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62951" w14:textId="77777777" w:rsidR="001E371F" w:rsidRPr="00B55986" w:rsidRDefault="001E371F" w:rsidP="00D95F25">
      <w:pPr>
        <w:spacing w:before="120" w:after="120"/>
        <w:jc w:val="center"/>
        <w:rPr>
          <w:rFonts w:ascii="Arial Narrow Bold" w:hAnsi="Arial Narrow Bold" w:cs="Arial"/>
          <w:b/>
          <w:smallCaps/>
          <w:color w:val="0E5F60"/>
          <w:sz w:val="32"/>
          <w:szCs w:val="32"/>
        </w:rPr>
      </w:pPr>
      <w:bookmarkStart w:id="0" w:name="_GoBack"/>
      <w:bookmarkEnd w:id="0"/>
      <w:r w:rsidRPr="00B55986">
        <w:rPr>
          <w:rFonts w:ascii="Arial Narrow Bold" w:hAnsi="Arial Narrow Bold" w:cs="Arial"/>
          <w:b/>
          <w:iCs/>
          <w:smallCaps/>
          <w:color w:val="0E5F60"/>
          <w:sz w:val="32"/>
          <w:szCs w:val="32"/>
        </w:rPr>
        <w:t>PJSI Guidance</w:t>
      </w:r>
    </w:p>
    <w:p w14:paraId="3D4344BA" w14:textId="77777777" w:rsidR="001E371F" w:rsidRPr="00B55986" w:rsidRDefault="001E371F" w:rsidP="001E371F">
      <w:pPr>
        <w:jc w:val="center"/>
        <w:rPr>
          <w:rFonts w:ascii="Arial Narrow" w:hAnsi="Arial Narrow" w:cs="Arial"/>
          <w:b/>
          <w:smallCaps/>
          <w:color w:val="0E5F60"/>
          <w:sz w:val="32"/>
          <w:szCs w:val="32"/>
        </w:rPr>
      </w:pPr>
      <w:r w:rsidRPr="00B55986">
        <w:rPr>
          <w:rFonts w:ascii="Arial Narrow" w:hAnsi="Arial Narrow" w:cs="Arial"/>
          <w:b/>
          <w:smallCaps/>
          <w:color w:val="0E5F60"/>
          <w:sz w:val="32"/>
          <w:szCs w:val="32"/>
        </w:rPr>
        <w:t xml:space="preserve">Promoting Access to Justice </w:t>
      </w:r>
    </w:p>
    <w:p w14:paraId="58B05A60" w14:textId="77777777" w:rsidR="001E371F" w:rsidRPr="00B55986" w:rsidRDefault="001E371F" w:rsidP="001E371F">
      <w:pPr>
        <w:jc w:val="center"/>
        <w:rPr>
          <w:rFonts w:ascii="Arial Narrow" w:hAnsi="Arial Narrow" w:cs="Arial"/>
          <w:b/>
          <w:smallCaps/>
          <w:color w:val="0E5F60"/>
          <w:sz w:val="32"/>
          <w:szCs w:val="32"/>
        </w:rPr>
      </w:pPr>
      <w:r w:rsidRPr="00B55986">
        <w:rPr>
          <w:rFonts w:ascii="Arial Narrow" w:hAnsi="Arial Narrow" w:cs="Arial"/>
          <w:b/>
          <w:smallCaps/>
          <w:color w:val="0E5F60"/>
          <w:sz w:val="32"/>
          <w:szCs w:val="32"/>
        </w:rPr>
        <w:t>Through Community Consultations</w:t>
      </w:r>
    </w:p>
    <w:p w14:paraId="008807AB" w14:textId="77777777" w:rsidR="001E371F" w:rsidRPr="00D95F25" w:rsidRDefault="001E371F" w:rsidP="001E371F">
      <w:pPr>
        <w:rPr>
          <w:rFonts w:ascii="Arial Narrow" w:hAnsi="Arial Narrow" w:cs="Arial"/>
        </w:rPr>
      </w:pPr>
    </w:p>
    <w:p w14:paraId="3AECD326" w14:textId="77777777" w:rsidR="001E371F" w:rsidRPr="00D95F25" w:rsidRDefault="001E371F" w:rsidP="00B55986">
      <w:pPr>
        <w:jc w:val="left"/>
        <w:rPr>
          <w:rFonts w:ascii="Arial Narrow" w:hAnsi="Arial Narrow" w:cs="Arial"/>
        </w:rPr>
      </w:pPr>
      <w:r w:rsidRPr="00D95F25">
        <w:rPr>
          <w:rFonts w:ascii="Arial Narrow" w:hAnsi="Arial Narrow" w:cs="Arial"/>
        </w:rPr>
        <w:t>The Pacific Judicial Strengthening Initiative (PJSI) is pleased to provide a guidance note to assist courts to promote access to justice through community consultations. This guidance consolidates the experiences and distils lessons learned by courts across the region to promote access to justice through community consultations over recent years.</w:t>
      </w:r>
      <w:r w:rsidRPr="00D95F25">
        <w:rPr>
          <w:rFonts w:ascii="Arial Narrow" w:hAnsi="Arial Narrow" w:cs="Arial"/>
          <w:b/>
          <w:vertAlign w:val="superscript"/>
        </w:rPr>
        <w:footnoteReference w:id="1"/>
      </w:r>
    </w:p>
    <w:p w14:paraId="2A6D3C3C" w14:textId="77777777" w:rsidR="001E371F" w:rsidRPr="00D95F25" w:rsidRDefault="001E371F" w:rsidP="001E371F">
      <w:pPr>
        <w:rPr>
          <w:rFonts w:ascii="Arial Narrow" w:hAnsi="Arial Narrow" w:cs="Arial"/>
        </w:rPr>
      </w:pPr>
    </w:p>
    <w:p w14:paraId="3BACA50F" w14:textId="77777777" w:rsidR="001E371F" w:rsidRPr="00B55986" w:rsidRDefault="001E371F" w:rsidP="00D95F25">
      <w:pPr>
        <w:spacing w:after="100"/>
        <w:rPr>
          <w:rFonts w:ascii="Arial Narrow" w:hAnsi="Arial Narrow" w:cs="Arial"/>
          <w:b/>
          <w:color w:val="0E5F60"/>
          <w:sz w:val="26"/>
          <w:szCs w:val="26"/>
        </w:rPr>
      </w:pPr>
      <w:r w:rsidRPr="00B55986">
        <w:rPr>
          <w:rFonts w:ascii="Arial Narrow" w:hAnsi="Arial Narrow" w:cs="Arial"/>
          <w:b/>
          <w:color w:val="0E5F60"/>
          <w:sz w:val="26"/>
          <w:szCs w:val="26"/>
        </w:rPr>
        <w:t>Purpose</w:t>
      </w:r>
    </w:p>
    <w:p w14:paraId="1A073AC8" w14:textId="77777777" w:rsidR="001E371F" w:rsidRPr="00D95F25" w:rsidRDefault="001E371F" w:rsidP="00B55986">
      <w:pPr>
        <w:jc w:val="left"/>
        <w:rPr>
          <w:rFonts w:ascii="Arial Narrow" w:hAnsi="Arial Narrow" w:cs="Arial"/>
        </w:rPr>
      </w:pPr>
      <w:r w:rsidRPr="00D95F25">
        <w:rPr>
          <w:rFonts w:ascii="Arial Narrow" w:hAnsi="Arial Narrow" w:cs="Arial"/>
        </w:rPr>
        <w:t>The purpose of this guidance note is to assist law courts across the Pacific region to conduct and use community consultations to promote access to justice and improve the quality of judicial service delivery.</w:t>
      </w:r>
    </w:p>
    <w:p w14:paraId="2266B9A3" w14:textId="77777777" w:rsidR="001E371F" w:rsidRPr="00D95F25" w:rsidRDefault="001E371F" w:rsidP="00B55986">
      <w:pPr>
        <w:jc w:val="left"/>
        <w:rPr>
          <w:rFonts w:ascii="Arial Narrow" w:hAnsi="Arial Narrow" w:cs="Arial"/>
        </w:rPr>
      </w:pPr>
    </w:p>
    <w:p w14:paraId="59EC77C8" w14:textId="6E7CA769" w:rsidR="001E371F" w:rsidRPr="00D95F25" w:rsidRDefault="001E371F" w:rsidP="00B55986">
      <w:pPr>
        <w:jc w:val="left"/>
        <w:rPr>
          <w:rFonts w:ascii="Arial Narrow" w:hAnsi="Arial Narrow" w:cs="Arial"/>
        </w:rPr>
      </w:pPr>
      <w:r w:rsidRPr="00D95F25">
        <w:rPr>
          <w:rFonts w:ascii="Arial Narrow" w:hAnsi="Arial Narrow" w:cs="Arial"/>
        </w:rPr>
        <w:t>This guidance</w:t>
      </w:r>
      <w:r w:rsidR="00294E47" w:rsidRPr="00D95F25">
        <w:rPr>
          <w:rFonts w:ascii="Arial Narrow" w:hAnsi="Arial Narrow" w:cs="Arial"/>
        </w:rPr>
        <w:t xml:space="preserve"> note</w:t>
      </w:r>
      <w:r w:rsidRPr="00D95F25">
        <w:rPr>
          <w:rFonts w:ascii="Arial Narrow" w:hAnsi="Arial Narrow" w:cs="Arial"/>
        </w:rPr>
        <w:t xml:space="preserve"> explains why </w:t>
      </w:r>
      <w:r w:rsidR="00472E32" w:rsidRPr="00D95F25">
        <w:rPr>
          <w:rFonts w:ascii="Arial Narrow" w:hAnsi="Arial Narrow" w:cs="Arial"/>
        </w:rPr>
        <w:t xml:space="preserve">courts should </w:t>
      </w:r>
      <w:r w:rsidRPr="00D95F25">
        <w:rPr>
          <w:rFonts w:ascii="Arial Narrow" w:hAnsi="Arial Narrow" w:cs="Arial"/>
        </w:rPr>
        <w:t xml:space="preserve">and how courts </w:t>
      </w:r>
      <w:r w:rsidR="00472E32" w:rsidRPr="00D95F25">
        <w:rPr>
          <w:rFonts w:ascii="Arial Narrow" w:hAnsi="Arial Narrow" w:cs="Arial"/>
        </w:rPr>
        <w:t xml:space="preserve">can </w:t>
      </w:r>
      <w:r w:rsidRPr="00D95F25">
        <w:rPr>
          <w:rFonts w:ascii="Arial Narrow" w:hAnsi="Arial Narrow" w:cs="Arial"/>
        </w:rPr>
        <w:t xml:space="preserve">conduct community consultations. It addresses the need to find the right balance between the imperative to preserve judicial independence with the competing needs for community engagement and collaboration with other justice sector actors. It frames these consultations within the broader process of planning for continuous improvement, and the value of adopting a people-centred approach. Finally, it outlines and describes a range of useful public information, community education and outreach activities that have been developed by the courts across the region to promote access to justice. </w:t>
      </w:r>
    </w:p>
    <w:p w14:paraId="5A9EC95F" w14:textId="18A018CE" w:rsidR="00E245B6" w:rsidRPr="00D95F25" w:rsidRDefault="00E245B6" w:rsidP="001E371F">
      <w:pPr>
        <w:rPr>
          <w:rFonts w:ascii="Arial Narrow" w:hAnsi="Arial Narrow" w:cs="Arial"/>
        </w:rPr>
      </w:pPr>
    </w:p>
    <w:p w14:paraId="6DA837BC" w14:textId="77777777" w:rsidR="00E245B6" w:rsidRPr="00D95F25" w:rsidRDefault="00E245B6" w:rsidP="00D95F25">
      <w:pPr>
        <w:spacing w:after="100"/>
        <w:rPr>
          <w:rFonts w:ascii="Arial Narrow" w:hAnsi="Arial Narrow" w:cs="Arial"/>
          <w:b/>
          <w:sz w:val="24"/>
          <w:szCs w:val="24"/>
        </w:rPr>
      </w:pPr>
      <w:r w:rsidRPr="00D95F25">
        <w:rPr>
          <w:rFonts w:ascii="Arial Narrow" w:hAnsi="Arial Narrow" w:cs="Arial"/>
          <w:b/>
          <w:sz w:val="24"/>
          <w:szCs w:val="24"/>
        </w:rPr>
        <w:t>Using this Guidance</w:t>
      </w:r>
    </w:p>
    <w:p w14:paraId="6787B40A" w14:textId="402CBC4B" w:rsidR="00E245B6" w:rsidRPr="00D95F25" w:rsidRDefault="00E245B6" w:rsidP="00B55986">
      <w:pPr>
        <w:jc w:val="left"/>
        <w:rPr>
          <w:rFonts w:ascii="Arial Narrow" w:hAnsi="Arial Narrow" w:cs="Arial"/>
          <w:b/>
        </w:rPr>
      </w:pPr>
      <w:r w:rsidRPr="00D95F25">
        <w:rPr>
          <w:rFonts w:ascii="Arial Narrow" w:hAnsi="Arial Narrow" w:cs="Arial"/>
        </w:rPr>
        <w:t xml:space="preserve">This guidance is </w:t>
      </w:r>
      <w:r w:rsidR="009D32D7" w:rsidRPr="00D95F25">
        <w:rPr>
          <w:rFonts w:ascii="Arial Narrow" w:hAnsi="Arial Narrow" w:cs="Arial"/>
        </w:rPr>
        <w:t xml:space="preserve">designed for judicial officers and court administrators as </w:t>
      </w:r>
      <w:r w:rsidRPr="00D95F25">
        <w:rPr>
          <w:rFonts w:ascii="Arial Narrow" w:hAnsi="Arial Narrow" w:cs="Arial"/>
        </w:rPr>
        <w:t xml:space="preserve">an informal resource for use in and by the courts of the Pacific to assist ongoing efforts to promote access to justice through community consultations. </w:t>
      </w:r>
    </w:p>
    <w:p w14:paraId="5C12CFAE" w14:textId="77777777" w:rsidR="00E245B6" w:rsidRPr="00D95F25" w:rsidRDefault="00E245B6" w:rsidP="00B55986">
      <w:pPr>
        <w:jc w:val="left"/>
        <w:rPr>
          <w:rFonts w:ascii="Arial Narrow" w:hAnsi="Arial Narrow" w:cs="Arial"/>
        </w:rPr>
      </w:pPr>
    </w:p>
    <w:p w14:paraId="58B61D34" w14:textId="160B59A5" w:rsidR="00E245B6" w:rsidRPr="00D95F25" w:rsidRDefault="00E245B6" w:rsidP="00B55986">
      <w:pPr>
        <w:jc w:val="left"/>
        <w:rPr>
          <w:rFonts w:ascii="Arial Narrow" w:hAnsi="Arial Narrow" w:cs="Arial"/>
        </w:rPr>
      </w:pPr>
      <w:r w:rsidRPr="00D95F25">
        <w:rPr>
          <w:rFonts w:ascii="Arial Narrow" w:hAnsi="Arial Narrow" w:cs="Arial"/>
        </w:rPr>
        <w:t xml:space="preserve">Courts may wish to use this guidance as drafted, or to adapt it to suit local conditions in your jurisdiction and country. Each jurisdiction is different. You may consider that some aspect of local culture or traditions should be </w:t>
      </w:r>
      <w:r w:rsidR="009D32D7" w:rsidRPr="00D95F25">
        <w:rPr>
          <w:rFonts w:ascii="Arial Narrow" w:hAnsi="Arial Narrow" w:cs="Arial"/>
        </w:rPr>
        <w:t xml:space="preserve">specifically </w:t>
      </w:r>
      <w:r w:rsidRPr="00D95F25">
        <w:rPr>
          <w:rFonts w:ascii="Arial Narrow" w:hAnsi="Arial Narrow" w:cs="Arial"/>
        </w:rPr>
        <w:t>mentioned. We also recommend that the guidance and any associated materials relating to promoting access to justice through community consultations is written in words that are readily understood in your country and is translated into local language/s.</w:t>
      </w:r>
    </w:p>
    <w:p w14:paraId="5D8B294F" w14:textId="77777777" w:rsidR="00E245B6" w:rsidRPr="00D95F25" w:rsidRDefault="00E245B6" w:rsidP="00B55986">
      <w:pPr>
        <w:jc w:val="left"/>
        <w:rPr>
          <w:rFonts w:ascii="Arial Narrow" w:hAnsi="Arial Narrow" w:cs="Arial"/>
        </w:rPr>
      </w:pPr>
    </w:p>
    <w:p w14:paraId="50E461C3" w14:textId="2D4E56DB" w:rsidR="00E245B6" w:rsidRPr="00D95F25" w:rsidRDefault="009D32D7" w:rsidP="00B55986">
      <w:pPr>
        <w:jc w:val="left"/>
        <w:rPr>
          <w:rFonts w:ascii="Arial Narrow" w:hAnsi="Arial Narrow" w:cs="Arial"/>
        </w:rPr>
      </w:pPr>
      <w:r w:rsidRPr="00D95F25">
        <w:rPr>
          <w:rFonts w:ascii="Arial Narrow" w:hAnsi="Arial Narrow" w:cs="Arial"/>
        </w:rPr>
        <w:t>We</w:t>
      </w:r>
      <w:r w:rsidR="00E245B6" w:rsidRPr="00D95F25">
        <w:rPr>
          <w:rFonts w:ascii="Arial Narrow" w:hAnsi="Arial Narrow" w:cs="Arial"/>
        </w:rPr>
        <w:t xml:space="preserve"> recommend that this guidance should be read and used within the broader context of the courts public relations endeavours to promote access to justice.</w:t>
      </w:r>
    </w:p>
    <w:p w14:paraId="2644480E" w14:textId="77777777" w:rsidR="000709B4" w:rsidRPr="009F4592" w:rsidRDefault="000709B4">
      <w:pPr>
        <w:spacing w:after="160" w:line="259" w:lineRule="auto"/>
        <w:jc w:val="left"/>
        <w:rPr>
          <w:rFonts w:ascii="Arial Narrow" w:hAnsi="Arial Narrow" w:cs="Arial"/>
        </w:rPr>
      </w:pPr>
    </w:p>
    <w:p w14:paraId="4F941396" w14:textId="248D03C6" w:rsidR="009D32D7" w:rsidRPr="009F4592" w:rsidRDefault="009D32D7">
      <w:pPr>
        <w:spacing w:after="160" w:line="259" w:lineRule="auto"/>
        <w:jc w:val="left"/>
        <w:rPr>
          <w:rFonts w:ascii="Arial Narrow" w:hAnsi="Arial Narrow" w:cs="Arial"/>
        </w:rPr>
      </w:pPr>
      <w:r w:rsidRPr="00D95F25">
        <w:rPr>
          <w:rFonts w:ascii="Arial Narrow" w:hAnsi="Arial Narrow" w:cs="Arial"/>
          <w:b/>
        </w:rPr>
        <w:br w:type="page"/>
      </w:r>
    </w:p>
    <w:p w14:paraId="0442BC52" w14:textId="54893B7F" w:rsidR="001E371F" w:rsidRPr="00B55986" w:rsidRDefault="006D1FAD" w:rsidP="00B55986">
      <w:pPr>
        <w:pStyle w:val="ListParagraph"/>
        <w:numPr>
          <w:ilvl w:val="0"/>
          <w:numId w:val="9"/>
        </w:numPr>
        <w:spacing w:before="240" w:after="60"/>
        <w:ind w:left="426" w:hanging="426"/>
        <w:rPr>
          <w:rFonts w:cs="Arial"/>
          <w:b/>
          <w:smallCaps/>
          <w:color w:val="0E5F60"/>
          <w:sz w:val="26"/>
          <w:szCs w:val="26"/>
        </w:rPr>
      </w:pPr>
      <w:r w:rsidRPr="00B55986">
        <w:rPr>
          <w:rFonts w:cs="Arial"/>
          <w:b/>
          <w:smallCaps/>
          <w:color w:val="0E5F60"/>
          <w:sz w:val="26"/>
          <w:szCs w:val="26"/>
        </w:rPr>
        <w:lastRenderedPageBreak/>
        <w:t>Why Conduct Community C</w:t>
      </w:r>
      <w:r w:rsidR="001E371F" w:rsidRPr="00B55986">
        <w:rPr>
          <w:rFonts w:cs="Arial"/>
          <w:b/>
          <w:smallCaps/>
          <w:color w:val="0E5F60"/>
          <w:sz w:val="26"/>
          <w:szCs w:val="26"/>
        </w:rPr>
        <w:t>onsultations?</w:t>
      </w:r>
    </w:p>
    <w:p w14:paraId="0F3F4419" w14:textId="3F2F64BA" w:rsidR="001E371F" w:rsidRPr="00D95F25" w:rsidRDefault="001E371F" w:rsidP="00B55986">
      <w:pPr>
        <w:jc w:val="left"/>
        <w:rPr>
          <w:rFonts w:ascii="Arial Narrow" w:hAnsi="Arial Narrow" w:cs="Arial"/>
        </w:rPr>
      </w:pPr>
      <w:r w:rsidRPr="00D95F25">
        <w:rPr>
          <w:rFonts w:ascii="Arial Narrow" w:hAnsi="Arial Narrow" w:cs="Arial"/>
        </w:rPr>
        <w:t xml:space="preserve">Community consultations are important, valuable and useful for the courts for </w:t>
      </w:r>
      <w:r w:rsidR="009D32D7" w:rsidRPr="00D95F25">
        <w:rPr>
          <w:rFonts w:ascii="Arial Narrow" w:hAnsi="Arial Narrow" w:cs="Arial"/>
        </w:rPr>
        <w:t>3</w:t>
      </w:r>
      <w:r w:rsidR="00B97E50" w:rsidRPr="00D95F25">
        <w:rPr>
          <w:rFonts w:ascii="Arial Narrow" w:hAnsi="Arial Narrow" w:cs="Arial"/>
        </w:rPr>
        <w:t xml:space="preserve"> </w:t>
      </w:r>
      <w:r w:rsidRPr="00D95F25">
        <w:rPr>
          <w:rFonts w:ascii="Arial Narrow" w:hAnsi="Arial Narrow" w:cs="Arial"/>
        </w:rPr>
        <w:t>main reasons that relate to the court</w:t>
      </w:r>
      <w:r w:rsidR="00EA0A44" w:rsidRPr="00D95F25">
        <w:rPr>
          <w:rFonts w:ascii="Arial Narrow" w:hAnsi="Arial Narrow" w:cs="Arial"/>
        </w:rPr>
        <w:t>s</w:t>
      </w:r>
      <w:r w:rsidRPr="00D95F25">
        <w:rPr>
          <w:rFonts w:ascii="Arial Narrow" w:hAnsi="Arial Narrow" w:cs="Arial"/>
        </w:rPr>
        <w:t xml:space="preserve"> performing their role to administer justice and improving the quality of the services they deliver.  </w:t>
      </w:r>
    </w:p>
    <w:p w14:paraId="0924304D" w14:textId="77777777" w:rsidR="001E371F" w:rsidRPr="00D95F25" w:rsidRDefault="001E371F" w:rsidP="001E371F">
      <w:pPr>
        <w:rPr>
          <w:rFonts w:ascii="Arial Narrow" w:hAnsi="Arial Narrow" w:cs="Arial"/>
        </w:rPr>
      </w:pPr>
    </w:p>
    <w:p w14:paraId="4C5DBCCF" w14:textId="3FF3B1EE" w:rsidR="001E371F" w:rsidRPr="00B55986" w:rsidRDefault="001E371F" w:rsidP="00346856">
      <w:pPr>
        <w:pStyle w:val="ListParagraph"/>
        <w:numPr>
          <w:ilvl w:val="1"/>
          <w:numId w:val="7"/>
        </w:numPr>
        <w:spacing w:before="120"/>
        <w:ind w:left="425" w:hanging="425"/>
        <w:contextualSpacing w:val="0"/>
        <w:rPr>
          <w:rFonts w:cs="Arial"/>
          <w:b/>
          <w:smallCaps/>
          <w:color w:val="0E5F60"/>
          <w:szCs w:val="24"/>
        </w:rPr>
      </w:pPr>
      <w:r w:rsidRPr="00B55986">
        <w:rPr>
          <w:rFonts w:cs="Arial"/>
          <w:b/>
          <w:bCs/>
          <w:smallCaps/>
          <w:color w:val="0E5F60"/>
          <w:szCs w:val="24"/>
        </w:rPr>
        <w:t>Constitutional role and responsibilities of the courts</w:t>
      </w:r>
    </w:p>
    <w:p w14:paraId="43212BF0" w14:textId="77777777" w:rsidR="001E371F" w:rsidRPr="00D95F25" w:rsidRDefault="001E371F" w:rsidP="001E371F">
      <w:pPr>
        <w:rPr>
          <w:rFonts w:ascii="Arial Narrow" w:hAnsi="Arial Narrow" w:cs="Arial"/>
        </w:rPr>
      </w:pPr>
    </w:p>
    <w:p w14:paraId="6A9F6EC0" w14:textId="77777777" w:rsidR="001E371F" w:rsidRPr="00D95F25" w:rsidRDefault="001E371F" w:rsidP="00B55986">
      <w:pPr>
        <w:jc w:val="left"/>
        <w:rPr>
          <w:rFonts w:ascii="Arial Narrow" w:hAnsi="Arial Narrow" w:cs="Arial"/>
        </w:rPr>
      </w:pPr>
      <w:r w:rsidRPr="00D95F25">
        <w:rPr>
          <w:rFonts w:ascii="Arial Narrow" w:hAnsi="Arial Narrow" w:cs="Arial"/>
        </w:rPr>
        <w:t xml:space="preserve">The first rationale for community consultations relates to the responsibility of the courts to administer justice. This rationale is concerned with the courts performing their role under the constitution. </w:t>
      </w:r>
    </w:p>
    <w:p w14:paraId="0168B06B" w14:textId="77777777" w:rsidR="001E371F" w:rsidRPr="00D95F25" w:rsidRDefault="001E371F" w:rsidP="00B55986">
      <w:pPr>
        <w:jc w:val="left"/>
        <w:rPr>
          <w:rFonts w:ascii="Arial Narrow" w:hAnsi="Arial Narrow" w:cs="Arial"/>
        </w:rPr>
      </w:pPr>
    </w:p>
    <w:p w14:paraId="2844A53B" w14:textId="77777777" w:rsidR="001E371F" w:rsidRPr="00D95F25" w:rsidRDefault="001E371F" w:rsidP="00B55986">
      <w:pPr>
        <w:jc w:val="left"/>
        <w:rPr>
          <w:rFonts w:ascii="Arial Narrow" w:hAnsi="Arial Narrow" w:cs="Arial"/>
          <w:lang w:val="en-US"/>
        </w:rPr>
      </w:pPr>
      <w:r w:rsidRPr="00D95F25">
        <w:rPr>
          <w:rFonts w:ascii="Arial Narrow" w:hAnsi="Arial Narrow" w:cs="Arial"/>
          <w:lang w:val="en-US"/>
        </w:rPr>
        <w:t xml:space="preserve">The constitution is the supreme law of each country. It </w:t>
      </w:r>
      <w:r w:rsidRPr="00D95F25">
        <w:rPr>
          <w:rFonts w:ascii="Arial Narrow" w:hAnsi="Arial Narrow" w:cs="Arial"/>
        </w:rPr>
        <w:t>embeds the ‘</w:t>
      </w:r>
      <w:r w:rsidRPr="00D95F25">
        <w:rPr>
          <w:rFonts w:ascii="Arial Narrow" w:hAnsi="Arial Narrow" w:cs="Arial"/>
          <w:i/>
          <w:iCs/>
        </w:rPr>
        <w:t>separation of powers</w:t>
      </w:r>
      <w:r w:rsidRPr="00D95F25">
        <w:rPr>
          <w:rFonts w:ascii="Arial Narrow" w:hAnsi="Arial Narrow" w:cs="Arial"/>
        </w:rPr>
        <w:t xml:space="preserve">’ doctrine which divides the powers and responsibilities of government into 3 arms: (1) </w:t>
      </w:r>
      <w:r w:rsidRPr="00D95F25">
        <w:rPr>
          <w:rFonts w:ascii="Arial Narrow" w:hAnsi="Arial Narrow" w:cs="Arial"/>
          <w:i/>
          <w:iCs/>
        </w:rPr>
        <w:t>executive</w:t>
      </w:r>
      <w:r w:rsidRPr="00D95F25">
        <w:rPr>
          <w:rFonts w:ascii="Arial Narrow" w:hAnsi="Arial Narrow" w:cs="Arial"/>
        </w:rPr>
        <w:t xml:space="preserve">, (2) </w:t>
      </w:r>
      <w:r w:rsidRPr="00D95F25">
        <w:rPr>
          <w:rFonts w:ascii="Arial Narrow" w:hAnsi="Arial Narrow" w:cs="Arial"/>
          <w:i/>
          <w:iCs/>
        </w:rPr>
        <w:t>legislature</w:t>
      </w:r>
      <w:r w:rsidRPr="00D95F25">
        <w:rPr>
          <w:rFonts w:ascii="Arial Narrow" w:hAnsi="Arial Narrow" w:cs="Arial"/>
        </w:rPr>
        <w:t xml:space="preserve"> and (3) </w:t>
      </w:r>
      <w:r w:rsidRPr="00D95F25">
        <w:rPr>
          <w:rFonts w:ascii="Arial Narrow" w:hAnsi="Arial Narrow" w:cs="Arial"/>
          <w:i/>
          <w:iCs/>
        </w:rPr>
        <w:t>judiciary</w:t>
      </w:r>
      <w:r w:rsidRPr="00D95F25">
        <w:rPr>
          <w:rFonts w:ascii="Arial Narrow" w:hAnsi="Arial Narrow" w:cs="Arial"/>
        </w:rPr>
        <w:t xml:space="preserve">. Under the constitution, </w:t>
      </w:r>
      <w:r w:rsidRPr="00D95F25">
        <w:rPr>
          <w:rFonts w:ascii="Arial Narrow" w:hAnsi="Arial Narrow" w:cs="Arial"/>
          <w:lang w:val="en-US"/>
        </w:rPr>
        <w:t>courts are mandated to administer justice. The main functions of the courts are to protect the constitution, administer the law, resolve disputes and review the administrative decisions of government. Justice is dependent on - but separate and additional to - law.</w:t>
      </w:r>
      <w:r w:rsidRPr="00D95F25">
        <w:rPr>
          <w:rFonts w:ascii="Arial Narrow" w:hAnsi="Arial Narrow" w:cs="Arial"/>
        </w:rPr>
        <w:t xml:space="preserve"> </w:t>
      </w:r>
      <w:r w:rsidRPr="00D95F25">
        <w:rPr>
          <w:rFonts w:ascii="Arial Narrow" w:hAnsi="Arial Narrow" w:cs="Arial"/>
          <w:lang w:val="en-US"/>
        </w:rPr>
        <w:t xml:space="preserve">At its essence, justice is concerned with fairness.  Fairness describes the equality of distribution and the treatment of legal rights in any given situation. </w:t>
      </w:r>
      <w:r w:rsidRPr="00D95F25">
        <w:rPr>
          <w:rFonts w:ascii="Arial Narrow" w:hAnsi="Arial Narrow" w:cs="Arial"/>
        </w:rPr>
        <w:t>In this way, the courts may be seen as guardians of the norms and values of each country as enshrined in its constitution.</w:t>
      </w:r>
    </w:p>
    <w:p w14:paraId="6C83904A" w14:textId="77777777" w:rsidR="001E371F" w:rsidRPr="00D95F25" w:rsidRDefault="001E371F" w:rsidP="00B55986">
      <w:pPr>
        <w:jc w:val="left"/>
        <w:rPr>
          <w:rFonts w:ascii="Arial Narrow" w:hAnsi="Arial Narrow" w:cs="Arial"/>
          <w:lang w:val="en-US"/>
        </w:rPr>
      </w:pPr>
    </w:p>
    <w:p w14:paraId="0E4353A5" w14:textId="125580FC" w:rsidR="001E371F" w:rsidRPr="00D95F25" w:rsidRDefault="001E371F" w:rsidP="00B55986">
      <w:pPr>
        <w:jc w:val="left"/>
        <w:rPr>
          <w:rFonts w:ascii="Arial Narrow" w:hAnsi="Arial Narrow" w:cs="Arial"/>
        </w:rPr>
      </w:pPr>
      <w:r w:rsidRPr="00D95F25">
        <w:rPr>
          <w:rFonts w:ascii="Arial Narrow" w:hAnsi="Arial Narrow" w:cs="Arial"/>
        </w:rPr>
        <w:t>On a day-to-day basis, the courts administer justice by applying the law to specific cases or disputes that are brought before them. These disputes may be criminal or civil. The courts determine the application of the laws to the particular situation. In doing so, they resolve disputes between government, people and businesses. They protect the rights of the citizen and, where needed, they protect the citizen against the abuse of government power.  Ultimately, the courts exist to protect the liberties and to enforce the rights of the people. They also protect the citizen from unlawful intrusion by government. Without the courts, there is no justice (excluding custom) in the state.</w:t>
      </w:r>
    </w:p>
    <w:p w14:paraId="754211D8" w14:textId="02B3848F" w:rsidR="00B97E50" w:rsidRPr="00D95F25" w:rsidRDefault="00B97E50" w:rsidP="00B55986">
      <w:pPr>
        <w:jc w:val="left"/>
        <w:rPr>
          <w:rFonts w:ascii="Arial Narrow" w:hAnsi="Arial Narrow" w:cs="Arial"/>
        </w:rPr>
      </w:pPr>
    </w:p>
    <w:p w14:paraId="3BF10371" w14:textId="2AC83DF9" w:rsidR="00B97E50" w:rsidRPr="00D95F25" w:rsidRDefault="00B97E50" w:rsidP="00B55986">
      <w:pPr>
        <w:jc w:val="left"/>
        <w:rPr>
          <w:rFonts w:ascii="Arial Narrow" w:hAnsi="Arial Narrow" w:cs="Arial"/>
        </w:rPr>
      </w:pPr>
      <w:r w:rsidRPr="00D95F25">
        <w:rPr>
          <w:rFonts w:ascii="Arial Narrow" w:hAnsi="Arial Narrow" w:cs="Arial"/>
        </w:rPr>
        <w:t xml:space="preserve">The courts can only discharge their constitutional mandate when the community they serve understand their mandate and role to administer justice. Hence </w:t>
      </w:r>
      <w:r w:rsidR="00137AC5" w:rsidRPr="00D95F25">
        <w:rPr>
          <w:rFonts w:ascii="Arial Narrow" w:hAnsi="Arial Narrow" w:cs="Arial"/>
        </w:rPr>
        <w:t xml:space="preserve">to perform their constitutional role, </w:t>
      </w:r>
      <w:r w:rsidRPr="00D95F25">
        <w:rPr>
          <w:rFonts w:ascii="Arial Narrow" w:hAnsi="Arial Narrow" w:cs="Arial"/>
        </w:rPr>
        <w:t>the courts must be proactive in consulting the community to ensure this understanding.</w:t>
      </w:r>
    </w:p>
    <w:p w14:paraId="47EC9A43" w14:textId="77777777" w:rsidR="001E371F" w:rsidRPr="00D95F25" w:rsidRDefault="001E371F" w:rsidP="001E371F">
      <w:pPr>
        <w:rPr>
          <w:rFonts w:ascii="Arial Narrow" w:hAnsi="Arial Narrow" w:cs="Arial"/>
        </w:rPr>
      </w:pPr>
    </w:p>
    <w:p w14:paraId="5AE6D474" w14:textId="2D076083" w:rsidR="001E371F" w:rsidRPr="00B55986" w:rsidRDefault="001E371F" w:rsidP="00346856">
      <w:pPr>
        <w:pStyle w:val="ListParagraph"/>
        <w:numPr>
          <w:ilvl w:val="1"/>
          <w:numId w:val="7"/>
        </w:numPr>
        <w:spacing w:before="120"/>
        <w:ind w:left="425" w:hanging="425"/>
        <w:contextualSpacing w:val="0"/>
        <w:rPr>
          <w:rFonts w:cs="Arial"/>
          <w:b/>
          <w:bCs/>
          <w:smallCaps/>
          <w:color w:val="0E5F60"/>
          <w:szCs w:val="24"/>
        </w:rPr>
      </w:pPr>
      <w:r w:rsidRPr="00B55986">
        <w:rPr>
          <w:rFonts w:cs="Arial"/>
          <w:b/>
          <w:bCs/>
          <w:smallCaps/>
          <w:color w:val="0E5F60"/>
          <w:szCs w:val="24"/>
        </w:rPr>
        <w:t>Promoting access to justice</w:t>
      </w:r>
    </w:p>
    <w:p w14:paraId="6471575B" w14:textId="77777777" w:rsidR="001E371F" w:rsidRPr="00D95F25" w:rsidRDefault="001E371F" w:rsidP="00D95F25">
      <w:pPr>
        <w:rPr>
          <w:rFonts w:ascii="Arial Narrow" w:hAnsi="Arial Narrow" w:cs="Arial"/>
        </w:rPr>
      </w:pPr>
    </w:p>
    <w:p w14:paraId="6B312981" w14:textId="1837F788" w:rsidR="001E371F" w:rsidRPr="00D95F25" w:rsidRDefault="00137AC5" w:rsidP="00B55986">
      <w:pPr>
        <w:jc w:val="left"/>
        <w:rPr>
          <w:rFonts w:ascii="Arial Narrow" w:hAnsi="Arial Narrow" w:cs="Arial"/>
        </w:rPr>
      </w:pPr>
      <w:r w:rsidRPr="00D95F25">
        <w:rPr>
          <w:rFonts w:ascii="Arial Narrow" w:hAnsi="Arial Narrow" w:cs="Arial"/>
        </w:rPr>
        <w:t>Second, i</w:t>
      </w:r>
      <w:r w:rsidR="001E371F" w:rsidRPr="00D95F25">
        <w:rPr>
          <w:rFonts w:ascii="Arial Narrow" w:hAnsi="Arial Narrow" w:cs="Arial"/>
        </w:rPr>
        <w:t xml:space="preserve">n order for the courts to perform their role and responsibilities, it is essential that the people can understand this role so that they can access and exercise their legal rights when needed. </w:t>
      </w:r>
    </w:p>
    <w:p w14:paraId="581225D5" w14:textId="77777777" w:rsidR="001E371F" w:rsidRPr="00D95F25" w:rsidRDefault="001E371F" w:rsidP="00B55986">
      <w:pPr>
        <w:jc w:val="left"/>
        <w:rPr>
          <w:rFonts w:ascii="Arial Narrow" w:hAnsi="Arial Narrow" w:cs="Arial"/>
        </w:rPr>
      </w:pPr>
    </w:p>
    <w:p w14:paraId="4B4252D7" w14:textId="610171A2" w:rsidR="001E371F" w:rsidRPr="00D95F25" w:rsidRDefault="001E371F" w:rsidP="00B55986">
      <w:pPr>
        <w:jc w:val="left"/>
        <w:rPr>
          <w:rFonts w:ascii="Arial Narrow" w:hAnsi="Arial Narrow" w:cs="Arial"/>
        </w:rPr>
      </w:pPr>
      <w:r w:rsidRPr="00D95F25">
        <w:rPr>
          <w:rFonts w:ascii="Arial Narrow" w:hAnsi="Arial Narrow" w:cs="Arial"/>
        </w:rPr>
        <w:t>Unfortunately, our consultations with communities have found that many - if not most - people across the Pacific region do not clearly understand the role of the courts or how they work. Moreover, they are often uncertain, shy and unconfident to exercise their legal rights. Consequently, a large proportion of the population is unlikely to approach the court for help - however needy - without some support from the court.</w:t>
      </w:r>
    </w:p>
    <w:p w14:paraId="0F714EF6" w14:textId="08EEF78E" w:rsidR="00EA0A44" w:rsidRPr="00D95F25" w:rsidRDefault="00EA0A44" w:rsidP="00B55986">
      <w:pPr>
        <w:jc w:val="left"/>
        <w:rPr>
          <w:rFonts w:ascii="Arial Narrow" w:hAnsi="Arial Narrow" w:cs="Arial"/>
        </w:rPr>
      </w:pPr>
    </w:p>
    <w:p w14:paraId="529BC14D" w14:textId="361FEC95" w:rsidR="00EA0A44" w:rsidRPr="00D95F25" w:rsidRDefault="00EA0A44" w:rsidP="00B55986">
      <w:pPr>
        <w:jc w:val="left"/>
        <w:rPr>
          <w:rFonts w:ascii="Arial Narrow" w:hAnsi="Arial Narrow" w:cs="Arial"/>
        </w:rPr>
      </w:pPr>
      <w:r w:rsidRPr="00D95F25">
        <w:rPr>
          <w:rFonts w:ascii="Arial Narrow" w:hAnsi="Arial Narrow" w:cs="Arial"/>
        </w:rPr>
        <w:t xml:space="preserve">Our courts operate in what is called the ‘adversarial’ model of justice. This means that the parties to any dispute are responsible for claiming and defending their </w:t>
      </w:r>
      <w:r w:rsidR="007B0C51" w:rsidRPr="00D95F25">
        <w:rPr>
          <w:rFonts w:ascii="Arial Narrow" w:hAnsi="Arial Narrow" w:cs="Arial"/>
        </w:rPr>
        <w:t xml:space="preserve">dispute in </w:t>
      </w:r>
      <w:r w:rsidRPr="00D95F25">
        <w:rPr>
          <w:rFonts w:ascii="Arial Narrow" w:hAnsi="Arial Narrow" w:cs="Arial"/>
        </w:rPr>
        <w:t>court, and the magistrate/judge make the decision based on their representations. Where however one of the parties does not know or understand how to exercise their legal rights, this process can become uneven and impair the quality of justice. For the adversarial process to operate fairly, it is essential that both parties understand and can use the process.</w:t>
      </w:r>
    </w:p>
    <w:p w14:paraId="4A70E29D" w14:textId="77777777" w:rsidR="001E371F" w:rsidRPr="00D95F25" w:rsidRDefault="001E371F" w:rsidP="00B55986">
      <w:pPr>
        <w:jc w:val="left"/>
        <w:rPr>
          <w:rFonts w:ascii="Arial Narrow" w:hAnsi="Arial Narrow" w:cs="Arial"/>
        </w:rPr>
      </w:pPr>
    </w:p>
    <w:p w14:paraId="67B27913" w14:textId="153CE58D" w:rsidR="001E371F" w:rsidRPr="00D95F25" w:rsidRDefault="00EA0A44" w:rsidP="00B55986">
      <w:pPr>
        <w:jc w:val="left"/>
        <w:rPr>
          <w:rFonts w:ascii="Arial Narrow" w:hAnsi="Arial Narrow" w:cs="Arial"/>
        </w:rPr>
      </w:pPr>
      <w:r w:rsidRPr="00D95F25">
        <w:rPr>
          <w:rFonts w:ascii="Arial Narrow" w:hAnsi="Arial Narrow" w:cs="Arial"/>
        </w:rPr>
        <w:t>Hence, it is i</w:t>
      </w:r>
      <w:r w:rsidR="001E371F" w:rsidRPr="00D95F25">
        <w:rPr>
          <w:rFonts w:ascii="Arial Narrow" w:hAnsi="Arial Narrow" w:cs="Arial"/>
        </w:rPr>
        <w:t>n the interests of justice</w:t>
      </w:r>
      <w:r w:rsidRPr="00D95F25">
        <w:rPr>
          <w:rFonts w:ascii="Arial Narrow" w:hAnsi="Arial Narrow" w:cs="Arial"/>
        </w:rPr>
        <w:t xml:space="preserve"> that</w:t>
      </w:r>
      <w:r w:rsidR="001E371F" w:rsidRPr="00D95F25">
        <w:rPr>
          <w:rFonts w:ascii="Arial Narrow" w:hAnsi="Arial Narrow" w:cs="Arial"/>
        </w:rPr>
        <w:t xml:space="preserve"> the courts </w:t>
      </w:r>
      <w:r w:rsidRPr="00D95F25">
        <w:rPr>
          <w:rFonts w:ascii="Arial Narrow" w:hAnsi="Arial Narrow" w:cs="Arial"/>
        </w:rPr>
        <w:t>exercise the</w:t>
      </w:r>
      <w:r w:rsidR="001E371F" w:rsidRPr="00D95F25">
        <w:rPr>
          <w:rFonts w:ascii="Arial Narrow" w:hAnsi="Arial Narrow" w:cs="Arial"/>
        </w:rPr>
        <w:t xml:space="preserve"> responsibility to ensure that citizens can </w:t>
      </w:r>
      <w:r w:rsidRPr="00D95F25">
        <w:rPr>
          <w:rFonts w:ascii="Arial Narrow" w:hAnsi="Arial Narrow" w:cs="Arial"/>
        </w:rPr>
        <w:t>understand and use</w:t>
      </w:r>
      <w:r w:rsidR="001E371F" w:rsidRPr="00D95F25">
        <w:rPr>
          <w:rFonts w:ascii="Arial Narrow" w:hAnsi="Arial Narrow" w:cs="Arial"/>
        </w:rPr>
        <w:t xml:space="preserve"> their rights to a fair hearing. This responsibility requires courts taking active steps to ensure that people can and do understand the role and functions of the courts, so that they are able to </w:t>
      </w:r>
      <w:r w:rsidR="001E371F" w:rsidRPr="00D95F25">
        <w:rPr>
          <w:rFonts w:ascii="Arial Narrow" w:hAnsi="Arial Narrow" w:cs="Arial"/>
        </w:rPr>
        <w:lastRenderedPageBreak/>
        <w:t>exercise their legal rights as/when needed. As the constitutional guardians of justice, the courts have the responsibility to ensure that citizens can exercise their lawful rights to a fair hearing.</w:t>
      </w:r>
    </w:p>
    <w:p w14:paraId="44DBB827" w14:textId="77777777" w:rsidR="001E371F" w:rsidRPr="00D95F25" w:rsidRDefault="001E371F" w:rsidP="001E371F">
      <w:pPr>
        <w:rPr>
          <w:rFonts w:ascii="Arial Narrow" w:hAnsi="Arial Narrow" w:cs="Arial"/>
        </w:rPr>
      </w:pPr>
    </w:p>
    <w:p w14:paraId="3C347960" w14:textId="01C3D13F" w:rsidR="001E371F" w:rsidRPr="00D95F25" w:rsidRDefault="001E371F" w:rsidP="00B55986">
      <w:pPr>
        <w:jc w:val="left"/>
        <w:rPr>
          <w:rFonts w:ascii="Arial Narrow" w:hAnsi="Arial Narrow" w:cs="Arial"/>
        </w:rPr>
      </w:pPr>
      <w:r w:rsidRPr="00D95F25">
        <w:rPr>
          <w:rFonts w:ascii="Arial Narrow" w:hAnsi="Arial Narrow" w:cs="Arial"/>
        </w:rPr>
        <w:t>Courts that exclude or disable citizens from accessing justice fail to perform their role</w:t>
      </w:r>
      <w:r w:rsidR="0063021A" w:rsidRPr="00D95F25">
        <w:rPr>
          <w:rFonts w:ascii="Arial Narrow" w:hAnsi="Arial Narrow" w:cs="Arial"/>
        </w:rPr>
        <w:t>,</w:t>
      </w:r>
      <w:r w:rsidRPr="00D95F25">
        <w:rPr>
          <w:rFonts w:ascii="Arial Narrow" w:hAnsi="Arial Narrow" w:cs="Arial"/>
        </w:rPr>
        <w:t xml:space="preserve"> and risk losing the trust and respect of the community. To ensure that citizens can exercise their legal rights, the courts should be proactive in informing and educating the community on the court’s role and how people may use the courts to exercise their rights. </w:t>
      </w:r>
    </w:p>
    <w:p w14:paraId="44211D1C" w14:textId="77777777" w:rsidR="001E371F" w:rsidRPr="00D95F25" w:rsidRDefault="001E371F" w:rsidP="001E371F">
      <w:pPr>
        <w:rPr>
          <w:rFonts w:ascii="Arial Narrow" w:hAnsi="Arial Narrow" w:cs="Arial"/>
        </w:rPr>
      </w:pPr>
    </w:p>
    <w:p w14:paraId="45668EB8" w14:textId="7DAA2DF7" w:rsidR="001E371F" w:rsidRPr="00B55986" w:rsidRDefault="001E371F" w:rsidP="00346856">
      <w:pPr>
        <w:pStyle w:val="ListParagraph"/>
        <w:numPr>
          <w:ilvl w:val="1"/>
          <w:numId w:val="7"/>
        </w:numPr>
        <w:spacing w:before="120"/>
        <w:ind w:left="425" w:hanging="425"/>
        <w:contextualSpacing w:val="0"/>
        <w:rPr>
          <w:rFonts w:cs="Arial"/>
          <w:b/>
          <w:bCs/>
          <w:smallCaps/>
          <w:color w:val="0E5F60"/>
          <w:szCs w:val="24"/>
        </w:rPr>
      </w:pPr>
      <w:r w:rsidRPr="00B55986">
        <w:rPr>
          <w:rFonts w:cs="Arial"/>
          <w:b/>
          <w:bCs/>
          <w:smallCaps/>
          <w:color w:val="0E5F60"/>
          <w:szCs w:val="24"/>
        </w:rPr>
        <w:t>Mechanism for continuous improvement of court services</w:t>
      </w:r>
    </w:p>
    <w:p w14:paraId="0A7DF0A1" w14:textId="77777777" w:rsidR="001E371F" w:rsidRPr="00E81DE3" w:rsidRDefault="001E371F" w:rsidP="001E371F">
      <w:pPr>
        <w:rPr>
          <w:rFonts w:ascii="Arial Narrow" w:hAnsi="Arial Narrow" w:cs="Arial"/>
          <w:sz w:val="21"/>
          <w:szCs w:val="21"/>
        </w:rPr>
      </w:pPr>
    </w:p>
    <w:p w14:paraId="1C85046B" w14:textId="503F0B71" w:rsidR="001E371F" w:rsidRPr="00D95F25" w:rsidRDefault="001E371F" w:rsidP="00DB0718">
      <w:pPr>
        <w:jc w:val="left"/>
        <w:rPr>
          <w:rFonts w:ascii="Arial Narrow" w:hAnsi="Arial Narrow" w:cs="Arial"/>
        </w:rPr>
      </w:pPr>
      <w:r w:rsidRPr="00D95F25">
        <w:rPr>
          <w:rFonts w:ascii="Arial Narrow" w:hAnsi="Arial Narrow" w:cs="Arial"/>
        </w:rPr>
        <w:t xml:space="preserve">The </w:t>
      </w:r>
      <w:r w:rsidR="00575F97" w:rsidRPr="00D95F25">
        <w:rPr>
          <w:rFonts w:ascii="Arial Narrow" w:hAnsi="Arial Narrow" w:cs="Arial"/>
        </w:rPr>
        <w:t xml:space="preserve">third </w:t>
      </w:r>
      <w:r w:rsidRPr="00D95F25">
        <w:rPr>
          <w:rFonts w:ascii="Arial Narrow" w:hAnsi="Arial Narrow" w:cs="Arial"/>
        </w:rPr>
        <w:t xml:space="preserve">rationale for community consultations relates to improving the quality of the justice services that courts deliver. This rationale is concerned with the courts being accountable to the communities they serve by providing court users with an opportunity or mechanism to provide feedback on their satisfaction with those services, and how they can be improved. </w:t>
      </w:r>
    </w:p>
    <w:p w14:paraId="36072BA1" w14:textId="77777777" w:rsidR="001E371F" w:rsidRPr="00D95F25" w:rsidRDefault="001E371F" w:rsidP="00DB0718">
      <w:pPr>
        <w:jc w:val="left"/>
        <w:rPr>
          <w:rFonts w:ascii="Arial Narrow" w:hAnsi="Arial Narrow" w:cs="Arial"/>
        </w:rPr>
      </w:pPr>
    </w:p>
    <w:p w14:paraId="4C218027" w14:textId="405918CB" w:rsidR="001E371F" w:rsidRPr="00D95F25" w:rsidRDefault="001E371F" w:rsidP="00DB0718">
      <w:pPr>
        <w:jc w:val="left"/>
        <w:rPr>
          <w:rFonts w:ascii="Arial Narrow" w:hAnsi="Arial Narrow" w:cs="Arial"/>
        </w:rPr>
      </w:pPr>
      <w:r w:rsidRPr="00D95F25">
        <w:rPr>
          <w:rFonts w:ascii="Arial Narrow" w:hAnsi="Arial Narrow" w:cs="Arial"/>
        </w:rPr>
        <w:t xml:space="preserve">Courts, among other progressive organisations around the world, </w:t>
      </w:r>
      <w:r w:rsidR="00FD41C7" w:rsidRPr="00D95F25">
        <w:rPr>
          <w:rFonts w:ascii="Arial Narrow" w:hAnsi="Arial Narrow" w:cs="Arial"/>
        </w:rPr>
        <w:t>are</w:t>
      </w:r>
      <w:r w:rsidRPr="00D95F25">
        <w:rPr>
          <w:rFonts w:ascii="Arial Narrow" w:hAnsi="Arial Narrow" w:cs="Arial"/>
        </w:rPr>
        <w:t xml:space="preserve"> committed to continuous improvement. Continuous improvement presumes that these organisations will do the best they can but simultaneously recognises that mistakes and shortcoming</w:t>
      </w:r>
      <w:r w:rsidR="00294E47" w:rsidRPr="00D95F25">
        <w:rPr>
          <w:rFonts w:ascii="Arial Narrow" w:hAnsi="Arial Narrow" w:cs="Arial"/>
        </w:rPr>
        <w:t>s</w:t>
      </w:r>
      <w:r w:rsidRPr="00D95F25">
        <w:rPr>
          <w:rFonts w:ascii="Arial Narrow" w:hAnsi="Arial Narrow" w:cs="Arial"/>
        </w:rPr>
        <w:t xml:space="preserve"> are unavoidable. The distinctive notion of continuous improvement is in ensuring the organisation learns from these mistakes, so they are avoided in future.</w:t>
      </w:r>
    </w:p>
    <w:p w14:paraId="3C3E28A4" w14:textId="77777777" w:rsidR="001E371F" w:rsidRPr="00D95F25" w:rsidRDefault="001E371F" w:rsidP="00DB0718">
      <w:pPr>
        <w:jc w:val="left"/>
        <w:rPr>
          <w:rFonts w:ascii="Arial Narrow" w:hAnsi="Arial Narrow" w:cs="Arial"/>
        </w:rPr>
      </w:pPr>
    </w:p>
    <w:p w14:paraId="37A9F891" w14:textId="77777777" w:rsidR="001E371F" w:rsidRPr="00D95F25" w:rsidRDefault="001E371F" w:rsidP="00DB0718">
      <w:pPr>
        <w:jc w:val="left"/>
        <w:rPr>
          <w:rFonts w:ascii="Arial Narrow" w:hAnsi="Arial Narrow" w:cs="Arial"/>
        </w:rPr>
      </w:pPr>
      <w:r w:rsidRPr="00D95F25">
        <w:rPr>
          <w:rFonts w:ascii="Arial Narrow" w:hAnsi="Arial Narrow" w:cs="Arial"/>
        </w:rPr>
        <w:t>Community consultations provide a precious mechanism for the courts to consult their users - and equally importantly, their non-users - to ascertain whether they are doing a good job and, if not, how they can improve.</w:t>
      </w:r>
    </w:p>
    <w:p w14:paraId="0EB1961D" w14:textId="77777777" w:rsidR="001E371F" w:rsidRPr="00D95F25" w:rsidRDefault="001E371F" w:rsidP="00DB0718">
      <w:pPr>
        <w:jc w:val="left"/>
        <w:rPr>
          <w:rFonts w:ascii="Arial Narrow" w:hAnsi="Arial Narrow" w:cs="Arial"/>
        </w:rPr>
      </w:pPr>
    </w:p>
    <w:p w14:paraId="4DD89C4B" w14:textId="625B98D1" w:rsidR="001E371F" w:rsidRPr="00D95F25" w:rsidRDefault="001E371F" w:rsidP="00DB0718">
      <w:pPr>
        <w:jc w:val="left"/>
        <w:rPr>
          <w:rFonts w:ascii="Arial Narrow" w:hAnsi="Arial Narrow" w:cs="Arial"/>
        </w:rPr>
      </w:pPr>
      <w:r w:rsidRPr="00D95F25">
        <w:rPr>
          <w:rFonts w:ascii="Arial Narrow" w:hAnsi="Arial Narrow" w:cs="Arial"/>
        </w:rPr>
        <w:t>Some judges may be uncomfortable with the notion that courts provide ‘services to users’, who may also be described as ‘clients’ or ‘customers.</w:t>
      </w:r>
      <w:r w:rsidR="00FD41C7" w:rsidRPr="00D95F25">
        <w:rPr>
          <w:rFonts w:ascii="Arial Narrow" w:hAnsi="Arial Narrow" w:cs="Arial"/>
        </w:rPr>
        <w:t>’</w:t>
      </w:r>
      <w:r w:rsidRPr="00D95F25">
        <w:rPr>
          <w:rFonts w:ascii="Arial Narrow" w:hAnsi="Arial Narrow" w:cs="Arial"/>
        </w:rPr>
        <w:t xml:space="preserve"> This is because it seems to suggest that the courts are like other suppliers of services, for example, lawyers or shopkeepers who are paid for professional or commercial services. Courts are of course not like lawyers who are hired for a professional fee, nor are they like retailers who are paid to supply commercial good</w:t>
      </w:r>
      <w:r w:rsidR="00294E47" w:rsidRPr="00D95F25">
        <w:rPr>
          <w:rFonts w:ascii="Arial Narrow" w:hAnsi="Arial Narrow" w:cs="Arial"/>
        </w:rPr>
        <w:t>s</w:t>
      </w:r>
      <w:r w:rsidRPr="00D95F25">
        <w:rPr>
          <w:rFonts w:ascii="Arial Narrow" w:hAnsi="Arial Narrow" w:cs="Arial"/>
        </w:rPr>
        <w:t xml:space="preserve">. Courts are fundamentally unique in performing a constitutional role to provide a public good, that is, to administer justice for the state and community.  Seeing the courts as the </w:t>
      </w:r>
      <w:r w:rsidR="00FD41C7" w:rsidRPr="00D95F25">
        <w:rPr>
          <w:rFonts w:ascii="Arial Narrow" w:hAnsi="Arial Narrow" w:cs="Arial"/>
        </w:rPr>
        <w:t>provider</w:t>
      </w:r>
      <w:r w:rsidRPr="00D95F25">
        <w:rPr>
          <w:rFonts w:ascii="Arial Narrow" w:hAnsi="Arial Narrow" w:cs="Arial"/>
        </w:rPr>
        <w:t xml:space="preserve"> of justice </w:t>
      </w:r>
      <w:r w:rsidR="00FD41C7" w:rsidRPr="00D95F25">
        <w:rPr>
          <w:rFonts w:ascii="Arial Narrow" w:hAnsi="Arial Narrow" w:cs="Arial"/>
        </w:rPr>
        <w:t xml:space="preserve">services </w:t>
      </w:r>
      <w:r w:rsidRPr="00D95F25">
        <w:rPr>
          <w:rFonts w:ascii="Arial Narrow" w:hAnsi="Arial Narrow" w:cs="Arial"/>
        </w:rPr>
        <w:t xml:space="preserve">is however useful in </w:t>
      </w:r>
      <w:r w:rsidR="00FD41C7" w:rsidRPr="00D95F25">
        <w:rPr>
          <w:rFonts w:ascii="Arial Narrow" w:hAnsi="Arial Narrow" w:cs="Arial"/>
        </w:rPr>
        <w:t>positioning</w:t>
      </w:r>
      <w:r w:rsidRPr="00D95F25">
        <w:rPr>
          <w:rFonts w:ascii="Arial Narrow" w:hAnsi="Arial Narrow" w:cs="Arial"/>
        </w:rPr>
        <w:t xml:space="preserve"> the courts as being </w:t>
      </w:r>
      <w:r w:rsidR="00FD41C7" w:rsidRPr="00D95F25">
        <w:rPr>
          <w:rFonts w:ascii="Arial Narrow" w:hAnsi="Arial Narrow" w:cs="Arial"/>
        </w:rPr>
        <w:t xml:space="preserve">seen to be </w:t>
      </w:r>
      <w:r w:rsidRPr="00D95F25">
        <w:rPr>
          <w:rFonts w:ascii="Arial Narrow" w:hAnsi="Arial Narrow" w:cs="Arial"/>
        </w:rPr>
        <w:t xml:space="preserve">in a relationship of accountability to both the state and the community to whom they are mandated to serve. Ultimately, the courts must be accountable for the quality of these services. </w:t>
      </w:r>
    </w:p>
    <w:p w14:paraId="09F0C736" w14:textId="77777777" w:rsidR="001E371F" w:rsidRPr="00D95F25" w:rsidRDefault="001E371F" w:rsidP="00DB0718">
      <w:pPr>
        <w:jc w:val="left"/>
        <w:rPr>
          <w:rFonts w:ascii="Arial Narrow" w:hAnsi="Arial Narrow" w:cs="Arial"/>
        </w:rPr>
      </w:pPr>
    </w:p>
    <w:p w14:paraId="75170D8C" w14:textId="2A46FB49" w:rsidR="001E371F" w:rsidRPr="00D95F25" w:rsidRDefault="001E371F" w:rsidP="00DB0718">
      <w:pPr>
        <w:jc w:val="left"/>
        <w:rPr>
          <w:rFonts w:ascii="Arial Narrow" w:hAnsi="Arial Narrow" w:cs="Arial"/>
        </w:rPr>
      </w:pPr>
      <w:r w:rsidRPr="00D95F25">
        <w:rPr>
          <w:rFonts w:ascii="Arial Narrow" w:hAnsi="Arial Narrow" w:cs="Arial"/>
        </w:rPr>
        <w:t xml:space="preserve">Hence community consultations provide the courts with a valuable mechanism to both explain their role </w:t>
      </w:r>
      <w:r w:rsidR="00FD41C7" w:rsidRPr="00D95F25">
        <w:rPr>
          <w:rFonts w:ascii="Arial Narrow" w:hAnsi="Arial Narrow" w:cs="Arial"/>
        </w:rPr>
        <w:t>in order to ensure that the courts can be used by the needy when they are needed</w:t>
      </w:r>
      <w:r w:rsidRPr="00D95F25">
        <w:rPr>
          <w:rFonts w:ascii="Arial Narrow" w:hAnsi="Arial Narrow" w:cs="Arial"/>
        </w:rPr>
        <w:t xml:space="preserve">, and </w:t>
      </w:r>
      <w:r w:rsidR="00FD41C7" w:rsidRPr="00D95F25">
        <w:rPr>
          <w:rFonts w:ascii="Arial Narrow" w:hAnsi="Arial Narrow" w:cs="Arial"/>
        </w:rPr>
        <w:t xml:space="preserve">also </w:t>
      </w:r>
      <w:r w:rsidRPr="00D95F25">
        <w:rPr>
          <w:rFonts w:ascii="Arial Narrow" w:hAnsi="Arial Narrow" w:cs="Arial"/>
        </w:rPr>
        <w:t xml:space="preserve">to provide accountability by enabling and addressing feedback on its services.  </w:t>
      </w:r>
    </w:p>
    <w:p w14:paraId="06AFB2F5" w14:textId="59570C5D" w:rsidR="001E371F" w:rsidRPr="00DB0718" w:rsidRDefault="006D1FAD" w:rsidP="00DB0718">
      <w:pPr>
        <w:pStyle w:val="ListParagraph"/>
        <w:numPr>
          <w:ilvl w:val="0"/>
          <w:numId w:val="7"/>
        </w:numPr>
        <w:spacing w:before="240" w:after="60"/>
        <w:ind w:left="426" w:hanging="426"/>
        <w:rPr>
          <w:rFonts w:cs="Arial"/>
          <w:b/>
          <w:smallCaps/>
          <w:color w:val="0E5F60"/>
          <w:sz w:val="26"/>
          <w:szCs w:val="26"/>
        </w:rPr>
      </w:pPr>
      <w:r w:rsidRPr="00DB0718">
        <w:rPr>
          <w:rFonts w:cs="Arial"/>
          <w:b/>
          <w:smallCaps/>
          <w:color w:val="0E5F60"/>
          <w:sz w:val="26"/>
          <w:szCs w:val="26"/>
        </w:rPr>
        <w:t>Doctrine of Judicial I</w:t>
      </w:r>
      <w:r w:rsidR="001E371F" w:rsidRPr="00DB0718">
        <w:rPr>
          <w:rFonts w:cs="Arial"/>
          <w:b/>
          <w:smallCaps/>
          <w:color w:val="0E5F60"/>
          <w:sz w:val="26"/>
          <w:szCs w:val="26"/>
        </w:rPr>
        <w:t>ndependence</w:t>
      </w:r>
    </w:p>
    <w:p w14:paraId="1D71183A" w14:textId="5785F2B2" w:rsidR="001E371F" w:rsidRPr="00D95F25" w:rsidRDefault="001E371F" w:rsidP="00DB0718">
      <w:pPr>
        <w:jc w:val="left"/>
        <w:rPr>
          <w:rFonts w:ascii="Arial Narrow" w:hAnsi="Arial Narrow" w:cs="Arial"/>
        </w:rPr>
      </w:pPr>
      <w:r w:rsidRPr="00D95F25">
        <w:rPr>
          <w:rFonts w:ascii="Arial Narrow" w:hAnsi="Arial Narrow" w:cs="Arial"/>
        </w:rPr>
        <w:t>Creating opportunities for court users to provide feedback on their services does however raise unique challenges for the courts. The courts are unlike other service providers in terms of their relations with their users, clients or customers. Unlike other service provider</w:t>
      </w:r>
      <w:r w:rsidR="00297F60" w:rsidRPr="00D95F25">
        <w:rPr>
          <w:rFonts w:ascii="Arial Narrow" w:hAnsi="Arial Narrow" w:cs="Arial"/>
        </w:rPr>
        <w:t>s</w:t>
      </w:r>
      <w:r w:rsidRPr="00D95F25">
        <w:rPr>
          <w:rFonts w:ascii="Arial Narrow" w:hAnsi="Arial Narrow" w:cs="Arial"/>
        </w:rPr>
        <w:t xml:space="preserve">, the courts are required to be independent, not only from the other branches of government, but even from the parties who may appear before them. Independence is vital to ensure impartiality, the appearance of impartiality, and thereby public trust in </w:t>
      </w:r>
      <w:r w:rsidR="0069679C" w:rsidRPr="00D95F25">
        <w:rPr>
          <w:rFonts w:ascii="Arial Narrow" w:hAnsi="Arial Narrow" w:cs="Arial"/>
        </w:rPr>
        <w:t xml:space="preserve">the courts and </w:t>
      </w:r>
      <w:r w:rsidRPr="00D95F25">
        <w:rPr>
          <w:rFonts w:ascii="Arial Narrow" w:hAnsi="Arial Narrow" w:cs="Arial"/>
        </w:rPr>
        <w:t xml:space="preserve">the administration of justice. </w:t>
      </w:r>
    </w:p>
    <w:p w14:paraId="16BB3DE4" w14:textId="77777777" w:rsidR="001E371F" w:rsidRPr="00D95F25" w:rsidRDefault="001E371F" w:rsidP="00DB0718">
      <w:pPr>
        <w:jc w:val="left"/>
        <w:rPr>
          <w:rFonts w:ascii="Arial Narrow" w:hAnsi="Arial Narrow" w:cs="Arial"/>
        </w:rPr>
      </w:pPr>
    </w:p>
    <w:p w14:paraId="28421EFC" w14:textId="77777777" w:rsidR="001E371F" w:rsidRPr="00D95F25" w:rsidRDefault="001E371F" w:rsidP="00DB0718">
      <w:pPr>
        <w:jc w:val="left"/>
        <w:rPr>
          <w:rFonts w:ascii="Arial Narrow" w:hAnsi="Arial Narrow" w:cs="Arial"/>
        </w:rPr>
      </w:pPr>
      <w:r w:rsidRPr="00D95F25">
        <w:rPr>
          <w:rFonts w:ascii="Arial Narrow" w:hAnsi="Arial Narrow" w:cs="Arial"/>
        </w:rPr>
        <w:t xml:space="preserve">The importance of preserving and consolidating judicial independence cannot be over-stressed, as seen in the Bangalore Principles of Judicial Conduct, 2002, which enshrine 6 core principles that embody the international norms of judicial good practice. These principles or norms are independence, impartiality, </w:t>
      </w:r>
      <w:r w:rsidRPr="00D95F25">
        <w:rPr>
          <w:rFonts w:ascii="Arial Narrow" w:hAnsi="Arial Narrow" w:cs="Arial"/>
        </w:rPr>
        <w:lastRenderedPageBreak/>
        <w:t>integrity, propriety, equality and competence. These are mutually interdependent and may overlap. Significantly, the principle for independence is foremost: -</w:t>
      </w:r>
    </w:p>
    <w:p w14:paraId="0BAB6425" w14:textId="77777777" w:rsidR="001E371F" w:rsidRPr="00D95F25" w:rsidRDefault="001E371F" w:rsidP="001E371F">
      <w:pPr>
        <w:rPr>
          <w:rFonts w:ascii="Arial Narrow" w:hAnsi="Arial Narrow" w:cs="Arial"/>
        </w:rPr>
      </w:pPr>
    </w:p>
    <w:p w14:paraId="492D9491" w14:textId="77777777" w:rsidR="001E371F" w:rsidRPr="00D95F25" w:rsidRDefault="001E371F" w:rsidP="001E371F">
      <w:pPr>
        <w:jc w:val="center"/>
        <w:rPr>
          <w:rFonts w:ascii="Arial Narrow" w:hAnsi="Arial Narrow" w:cs="Arial"/>
          <w:lang w:val="en-GB"/>
        </w:rPr>
      </w:pPr>
      <w:r w:rsidRPr="00D95F25">
        <w:rPr>
          <w:rFonts w:ascii="Arial Narrow" w:hAnsi="Arial Narrow" w:cs="Arial"/>
          <w:i/>
          <w:iCs/>
          <w:lang w:val="en-GB"/>
        </w:rPr>
        <w:t>Value 1:</w:t>
      </w:r>
    </w:p>
    <w:p w14:paraId="74A95032" w14:textId="77777777" w:rsidR="001E371F" w:rsidRPr="00D95F25" w:rsidRDefault="001E371F" w:rsidP="001E371F">
      <w:pPr>
        <w:jc w:val="center"/>
        <w:rPr>
          <w:rFonts w:ascii="Arial Narrow" w:hAnsi="Arial Narrow" w:cs="Arial"/>
          <w:lang w:val="en-GB"/>
        </w:rPr>
      </w:pPr>
      <w:r w:rsidRPr="00D95F25">
        <w:rPr>
          <w:rFonts w:ascii="Arial Narrow" w:hAnsi="Arial Narrow" w:cs="Arial"/>
          <w:b/>
          <w:bCs/>
          <w:lang w:val="en-GB"/>
        </w:rPr>
        <w:t>INDEPENDENCE</w:t>
      </w:r>
    </w:p>
    <w:p w14:paraId="0F1B8521" w14:textId="77777777" w:rsidR="000B47E3" w:rsidRDefault="000B47E3" w:rsidP="001E371F">
      <w:pPr>
        <w:jc w:val="center"/>
        <w:rPr>
          <w:rFonts w:ascii="Arial Narrow" w:hAnsi="Arial Narrow" w:cs="Arial"/>
          <w:i/>
          <w:iCs/>
          <w:lang w:val="en-GB"/>
        </w:rPr>
      </w:pPr>
    </w:p>
    <w:p w14:paraId="471C68A6" w14:textId="4A940E69" w:rsidR="000B47E3" w:rsidRDefault="001E371F" w:rsidP="000B47E3">
      <w:pPr>
        <w:jc w:val="center"/>
        <w:rPr>
          <w:rFonts w:ascii="Arial Narrow" w:hAnsi="Arial Narrow" w:cs="Arial"/>
          <w:lang w:val="en-GB"/>
        </w:rPr>
      </w:pPr>
      <w:r w:rsidRPr="00D95F25">
        <w:rPr>
          <w:rFonts w:ascii="Arial Narrow" w:hAnsi="Arial Narrow" w:cs="Arial"/>
          <w:i/>
          <w:iCs/>
          <w:lang w:val="en-GB"/>
        </w:rPr>
        <w:t>Principle</w:t>
      </w:r>
      <w:r w:rsidRPr="00D95F25">
        <w:rPr>
          <w:rFonts w:ascii="Arial Narrow" w:hAnsi="Arial Narrow" w:cs="Arial"/>
          <w:lang w:val="en-GB"/>
        </w:rPr>
        <w:t>:</w:t>
      </w:r>
    </w:p>
    <w:p w14:paraId="215B2F8B" w14:textId="77777777" w:rsidR="001E371F" w:rsidRPr="00D95F25" w:rsidRDefault="001E371F" w:rsidP="001E371F">
      <w:pPr>
        <w:jc w:val="center"/>
        <w:rPr>
          <w:rFonts w:ascii="Arial Narrow" w:hAnsi="Arial Narrow" w:cs="Arial"/>
          <w:lang w:val="en-GB"/>
        </w:rPr>
      </w:pPr>
      <w:r w:rsidRPr="00D95F25">
        <w:rPr>
          <w:rFonts w:ascii="Arial Narrow" w:hAnsi="Arial Narrow" w:cs="Arial"/>
          <w:i/>
          <w:iCs/>
          <w:lang w:val="en-GB"/>
        </w:rPr>
        <w:t>Judicial independence is a pre-requisite to the rule of law and a fundamental guarantee of a fair trial. A judge shall therefore uphold and exemplify judicial independence in both its individual and institutional aspects</w:t>
      </w:r>
      <w:r w:rsidRPr="00D95F25">
        <w:rPr>
          <w:rFonts w:ascii="Arial Narrow" w:hAnsi="Arial Narrow" w:cs="Arial"/>
          <w:lang w:val="en-GB"/>
        </w:rPr>
        <w:t>.</w:t>
      </w:r>
    </w:p>
    <w:p w14:paraId="423BB665" w14:textId="77777777" w:rsidR="001E371F" w:rsidRPr="00D95F25" w:rsidRDefault="001E371F" w:rsidP="001E371F">
      <w:pPr>
        <w:rPr>
          <w:rFonts w:ascii="Arial Narrow" w:hAnsi="Arial Narrow" w:cs="Arial"/>
          <w:lang w:val="en-GB"/>
        </w:rPr>
      </w:pPr>
    </w:p>
    <w:p w14:paraId="07D124CD" w14:textId="77777777" w:rsidR="001E371F" w:rsidRPr="00D95F25" w:rsidRDefault="001E371F" w:rsidP="00DB0718">
      <w:pPr>
        <w:jc w:val="left"/>
        <w:rPr>
          <w:rFonts w:ascii="Arial Narrow" w:hAnsi="Arial Narrow" w:cs="Arial"/>
        </w:rPr>
      </w:pPr>
      <w:r w:rsidRPr="00D95F25">
        <w:rPr>
          <w:rFonts w:ascii="Arial Narrow" w:hAnsi="Arial Narrow" w:cs="Arial"/>
        </w:rPr>
        <w:t>Independence is required to protect and guarantee the integrity of the courts to administer justice according to law, without interference or improper influence from government, the parties or other powerful interests. Without this guarantee, public trust and confidence in the courts would be eroded, and the role of the courts would be perverted from protector to oppressor.</w:t>
      </w:r>
    </w:p>
    <w:p w14:paraId="7D7D735B" w14:textId="77777777" w:rsidR="001E371F" w:rsidRPr="00D95F25" w:rsidRDefault="001E371F" w:rsidP="00DB0718">
      <w:pPr>
        <w:jc w:val="left"/>
        <w:rPr>
          <w:rFonts w:ascii="Arial Narrow" w:hAnsi="Arial Narrow" w:cs="Arial"/>
        </w:rPr>
      </w:pPr>
    </w:p>
    <w:p w14:paraId="50BF74AD" w14:textId="77777777" w:rsidR="001E371F" w:rsidRPr="00D95F25" w:rsidRDefault="001E371F" w:rsidP="00DB0718">
      <w:pPr>
        <w:jc w:val="left"/>
        <w:rPr>
          <w:rFonts w:ascii="Arial Narrow" w:hAnsi="Arial Narrow" w:cs="Arial"/>
        </w:rPr>
      </w:pPr>
      <w:r w:rsidRPr="00D95F25">
        <w:rPr>
          <w:rFonts w:ascii="Arial Narrow" w:hAnsi="Arial Narrow" w:cs="Arial"/>
        </w:rPr>
        <w:t xml:space="preserve">The principle of independence requires the courts to ensure that they are in fact independent and equally </w:t>
      </w:r>
      <w:r w:rsidRPr="00D95F25">
        <w:rPr>
          <w:rFonts w:ascii="Arial Narrow" w:hAnsi="Arial Narrow" w:cs="Arial"/>
          <w:i/>
          <w:iCs/>
        </w:rPr>
        <w:t>are seen to be</w:t>
      </w:r>
      <w:r w:rsidRPr="00D95F25">
        <w:rPr>
          <w:rFonts w:ascii="Arial Narrow" w:hAnsi="Arial Narrow" w:cs="Arial"/>
        </w:rPr>
        <w:t xml:space="preserve"> independent. This requires that courts to be extremely careful in operating at an appropriate distance separated from government, court users and the community. It is for this reason that it is inappropriate for the courts to market their services as other service providers might. Unlike professional or commercial service providers, judges generally do not socialise much or mingle in public in order to protect the appearance of independence of the courts. </w:t>
      </w:r>
    </w:p>
    <w:p w14:paraId="5BEBEC2F" w14:textId="77777777" w:rsidR="001E371F" w:rsidRPr="00D95F25" w:rsidRDefault="001E371F" w:rsidP="00DB0718">
      <w:pPr>
        <w:jc w:val="left"/>
        <w:rPr>
          <w:rFonts w:ascii="Arial Narrow" w:hAnsi="Arial Narrow" w:cs="Arial"/>
        </w:rPr>
      </w:pPr>
    </w:p>
    <w:p w14:paraId="04D0B107" w14:textId="6B4588A0" w:rsidR="001E371F" w:rsidRPr="00D95F25" w:rsidRDefault="001E371F" w:rsidP="00DB0718">
      <w:pPr>
        <w:jc w:val="left"/>
        <w:rPr>
          <w:rFonts w:ascii="Arial Narrow" w:hAnsi="Arial Narrow" w:cs="Arial"/>
        </w:rPr>
      </w:pPr>
      <w:r w:rsidRPr="00D95F25">
        <w:rPr>
          <w:rFonts w:ascii="Arial Narrow" w:hAnsi="Arial Narrow" w:cs="Arial"/>
        </w:rPr>
        <w:t xml:space="preserve">Traditionally, the </w:t>
      </w:r>
      <w:r w:rsidR="00297F60" w:rsidRPr="00D95F25">
        <w:rPr>
          <w:rFonts w:ascii="Arial Narrow" w:hAnsi="Arial Narrow" w:cs="Arial"/>
        </w:rPr>
        <w:t>imperative to preserve</w:t>
      </w:r>
      <w:r w:rsidRPr="00D95F25">
        <w:rPr>
          <w:rFonts w:ascii="Arial Narrow" w:hAnsi="Arial Narrow" w:cs="Arial"/>
        </w:rPr>
        <w:t xml:space="preserve"> the independence of the judiciary and protecting the neutrality of the courts from improper influence has led the courts to a withdrawal from public contract. This withdrawal was seen as being legitimate and necessary to insulate the judiciary. Over recent years, however, this ‘insulation’ has on occasion been publicly criticised as becoming ‘isolation’ and has provoked complaints that the courts are ‘out of touch’ with the needs of the community. These complaints have most commonly been driven by public perceptions that judges are non-representative of </w:t>
      </w:r>
      <w:r w:rsidR="00D1566F" w:rsidRPr="00D95F25">
        <w:rPr>
          <w:rFonts w:ascii="Arial Narrow" w:hAnsi="Arial Narrow" w:cs="Arial"/>
        </w:rPr>
        <w:t>the community</w:t>
      </w:r>
      <w:r w:rsidRPr="00D95F25">
        <w:rPr>
          <w:rFonts w:ascii="Arial Narrow" w:hAnsi="Arial Narrow" w:cs="Arial"/>
        </w:rPr>
        <w:t xml:space="preserve"> and patriarchal (usually men) who fail to properly understand and adequately protect the needs of women, minorities and the powerless poor. Courts are often criticised for being too remote. These are of course serious complaints</w:t>
      </w:r>
      <w:r w:rsidR="00297F60" w:rsidRPr="00D95F25">
        <w:rPr>
          <w:rFonts w:ascii="Arial Narrow" w:hAnsi="Arial Narrow" w:cs="Arial"/>
        </w:rPr>
        <w:t xml:space="preserve"> - </w:t>
      </w:r>
      <w:r w:rsidRPr="00D95F25">
        <w:rPr>
          <w:rFonts w:ascii="Arial Narrow" w:hAnsi="Arial Narrow" w:cs="Arial"/>
        </w:rPr>
        <w:t>even if misconceived</w:t>
      </w:r>
      <w:r w:rsidR="00297F60" w:rsidRPr="00D95F25">
        <w:rPr>
          <w:rFonts w:ascii="Arial Narrow" w:hAnsi="Arial Narrow" w:cs="Arial"/>
        </w:rPr>
        <w:t xml:space="preserve"> -</w:t>
      </w:r>
      <w:r w:rsidRPr="00D95F25">
        <w:rPr>
          <w:rFonts w:ascii="Arial Narrow" w:hAnsi="Arial Narrow" w:cs="Arial"/>
        </w:rPr>
        <w:t xml:space="preserve"> because they erode trust.</w:t>
      </w:r>
    </w:p>
    <w:p w14:paraId="552406E0" w14:textId="77777777" w:rsidR="001E371F" w:rsidRPr="00D95F25" w:rsidRDefault="001E371F" w:rsidP="00DB0718">
      <w:pPr>
        <w:jc w:val="left"/>
        <w:rPr>
          <w:rFonts w:ascii="Arial Narrow" w:hAnsi="Arial Narrow" w:cs="Arial"/>
        </w:rPr>
      </w:pPr>
    </w:p>
    <w:p w14:paraId="62289517" w14:textId="19C96EE7" w:rsidR="001E371F" w:rsidRPr="00D95F25" w:rsidRDefault="001E371F" w:rsidP="00DB0718">
      <w:pPr>
        <w:jc w:val="left"/>
        <w:rPr>
          <w:rFonts w:ascii="Arial Narrow" w:hAnsi="Arial Narrow" w:cs="Arial"/>
        </w:rPr>
      </w:pPr>
      <w:r w:rsidRPr="00D95F25">
        <w:rPr>
          <w:rFonts w:ascii="Arial Narrow" w:hAnsi="Arial Narrow" w:cs="Arial"/>
        </w:rPr>
        <w:t xml:space="preserve">There are now mounting concerns that the protection of independence has been at the expense of the courts failing to adequately enable to rights of the poor, the vulnerable, the marginalised and the weak - that is, to address the needs of the most needy in society. </w:t>
      </w:r>
    </w:p>
    <w:p w14:paraId="49EC8BC4" w14:textId="77777777" w:rsidR="001E371F" w:rsidRPr="00D95F25" w:rsidRDefault="001E371F" w:rsidP="00DB0718">
      <w:pPr>
        <w:jc w:val="left"/>
        <w:rPr>
          <w:rFonts w:ascii="Arial Narrow" w:hAnsi="Arial Narrow" w:cs="Arial"/>
        </w:rPr>
      </w:pPr>
    </w:p>
    <w:p w14:paraId="12BAB413" w14:textId="12068EC8" w:rsidR="001E371F" w:rsidRPr="00D95F25" w:rsidRDefault="001E371F" w:rsidP="00DB0718">
      <w:pPr>
        <w:jc w:val="left"/>
        <w:rPr>
          <w:rFonts w:ascii="Arial Narrow" w:hAnsi="Arial Narrow" w:cs="Arial"/>
        </w:rPr>
      </w:pPr>
      <w:r w:rsidRPr="00D95F25">
        <w:rPr>
          <w:rFonts w:ascii="Arial Narrow" w:hAnsi="Arial Narrow" w:cs="Arial"/>
        </w:rPr>
        <w:t>Understandably, the courts have found it difficult to find the right balance between independence and engagement. But increasingly, they are recognising the importance of doing so</w:t>
      </w:r>
      <w:r w:rsidR="0015140B">
        <w:rPr>
          <w:rFonts w:ascii="Arial Narrow" w:hAnsi="Arial Narrow" w:cs="Arial"/>
        </w:rPr>
        <w:t>, in part recognis</w:t>
      </w:r>
      <w:r w:rsidR="00137AC5" w:rsidRPr="00D95F25">
        <w:rPr>
          <w:rFonts w:ascii="Arial Narrow" w:hAnsi="Arial Narrow" w:cs="Arial"/>
        </w:rPr>
        <w:t>ing that engagement may strengthen public perceptions of independence</w:t>
      </w:r>
      <w:r w:rsidRPr="00D95F25">
        <w:rPr>
          <w:rFonts w:ascii="Arial Narrow" w:hAnsi="Arial Narrow" w:cs="Arial"/>
        </w:rPr>
        <w:t xml:space="preserve">. It is within this context of the </w:t>
      </w:r>
      <w:r w:rsidR="00297F60" w:rsidRPr="00D95F25">
        <w:rPr>
          <w:rFonts w:ascii="Arial Narrow" w:hAnsi="Arial Narrow" w:cs="Arial"/>
        </w:rPr>
        <w:t xml:space="preserve">imperative to </w:t>
      </w:r>
      <w:r w:rsidRPr="00D95F25">
        <w:rPr>
          <w:rFonts w:ascii="Arial Narrow" w:hAnsi="Arial Narrow" w:cs="Arial"/>
        </w:rPr>
        <w:t>preserv</w:t>
      </w:r>
      <w:r w:rsidR="00297F60" w:rsidRPr="00D95F25">
        <w:rPr>
          <w:rFonts w:ascii="Arial Narrow" w:hAnsi="Arial Narrow" w:cs="Arial"/>
        </w:rPr>
        <w:t>e</w:t>
      </w:r>
      <w:r w:rsidRPr="00D95F25">
        <w:rPr>
          <w:rFonts w:ascii="Arial Narrow" w:hAnsi="Arial Narrow" w:cs="Arial"/>
        </w:rPr>
        <w:t xml:space="preserve"> judicial independence, that community consultations provide a valuable strategy and mechanisms for the courts to reach out and engage in a transparent two-way dialogue with the community which could otherwise not happen. </w:t>
      </w:r>
    </w:p>
    <w:p w14:paraId="1F9AF686" w14:textId="77777777" w:rsidR="001E371F" w:rsidRPr="00D95F25" w:rsidRDefault="001E371F" w:rsidP="00DB0718">
      <w:pPr>
        <w:jc w:val="left"/>
        <w:rPr>
          <w:rFonts w:ascii="Arial Narrow" w:hAnsi="Arial Narrow" w:cs="Arial"/>
        </w:rPr>
      </w:pPr>
    </w:p>
    <w:p w14:paraId="358C282F" w14:textId="77777777" w:rsidR="009F4592" w:rsidRDefault="001E371F" w:rsidP="00DB0718">
      <w:pPr>
        <w:jc w:val="left"/>
        <w:rPr>
          <w:rFonts w:ascii="Arial Narrow" w:hAnsi="Arial Narrow" w:cs="Arial"/>
        </w:rPr>
      </w:pPr>
      <w:r w:rsidRPr="00D95F25">
        <w:rPr>
          <w:rFonts w:ascii="Arial Narrow" w:hAnsi="Arial Narrow" w:cs="Arial"/>
        </w:rPr>
        <w:t xml:space="preserve">In order for the courts to exercise their mandate to administer justice, they must enable the rights of claim-makers. But to do so, they must first ascertain what needs are going unmet. Getting an answer to the question: </w:t>
      </w:r>
      <w:r w:rsidRPr="00D95F25">
        <w:rPr>
          <w:rFonts w:ascii="Arial Narrow" w:hAnsi="Arial Narrow" w:cs="Arial"/>
          <w:i/>
          <w:iCs/>
        </w:rPr>
        <w:t xml:space="preserve">What needs are going unmet? </w:t>
      </w:r>
      <w:r w:rsidRPr="00D95F25">
        <w:rPr>
          <w:rFonts w:ascii="Arial Narrow" w:hAnsi="Arial Narrow" w:cs="Arial"/>
        </w:rPr>
        <w:t xml:space="preserve">requires the courts to more actively engage with the community. </w:t>
      </w:r>
    </w:p>
    <w:p w14:paraId="19DFD112" w14:textId="4A8398DD" w:rsidR="000709B4" w:rsidRPr="00D95F25" w:rsidRDefault="000709B4" w:rsidP="006F15DB">
      <w:pPr>
        <w:rPr>
          <w:rFonts w:ascii="Arial Narrow" w:hAnsi="Arial Narrow" w:cs="Arial"/>
        </w:rPr>
      </w:pPr>
      <w:r w:rsidRPr="00D95F25">
        <w:rPr>
          <w:rFonts w:ascii="Arial Narrow" w:hAnsi="Arial Narrow" w:cs="Arial"/>
        </w:rPr>
        <w:br w:type="page"/>
      </w:r>
    </w:p>
    <w:p w14:paraId="3A64661F" w14:textId="025D4F74" w:rsidR="001E371F" w:rsidRPr="00DB0718" w:rsidRDefault="001E371F" w:rsidP="00DB0718">
      <w:pPr>
        <w:pStyle w:val="ListParagraph"/>
        <w:numPr>
          <w:ilvl w:val="0"/>
          <w:numId w:val="7"/>
        </w:numPr>
        <w:spacing w:before="240" w:after="60"/>
        <w:ind w:left="425" w:hanging="425"/>
        <w:contextualSpacing w:val="0"/>
        <w:rPr>
          <w:rFonts w:cs="Arial"/>
          <w:b/>
          <w:smallCaps/>
          <w:color w:val="0E5F60"/>
          <w:sz w:val="26"/>
          <w:szCs w:val="26"/>
        </w:rPr>
      </w:pPr>
      <w:r w:rsidRPr="00DB0718">
        <w:rPr>
          <w:rFonts w:cs="Arial"/>
          <w:b/>
          <w:smallCaps/>
          <w:color w:val="0E5F60"/>
          <w:sz w:val="26"/>
          <w:szCs w:val="26"/>
        </w:rPr>
        <w:lastRenderedPageBreak/>
        <w:t xml:space="preserve">Planning for </w:t>
      </w:r>
      <w:r w:rsidR="006D1FAD" w:rsidRPr="00DB0718">
        <w:rPr>
          <w:rFonts w:cs="Arial"/>
          <w:b/>
          <w:smallCaps/>
          <w:color w:val="0E5F60"/>
          <w:sz w:val="26"/>
          <w:szCs w:val="26"/>
        </w:rPr>
        <w:t>I</w:t>
      </w:r>
      <w:r w:rsidRPr="00DB0718">
        <w:rPr>
          <w:rFonts w:cs="Arial"/>
          <w:b/>
          <w:smallCaps/>
          <w:color w:val="0E5F60"/>
          <w:sz w:val="26"/>
          <w:szCs w:val="26"/>
        </w:rPr>
        <w:t>mprovement</w:t>
      </w:r>
    </w:p>
    <w:p w14:paraId="1C032923" w14:textId="21C42C77" w:rsidR="001E371F" w:rsidRPr="00D95F25" w:rsidRDefault="001E371F" w:rsidP="00DB0718">
      <w:pPr>
        <w:jc w:val="left"/>
        <w:rPr>
          <w:rFonts w:ascii="Arial Narrow" w:hAnsi="Arial Narrow" w:cs="Arial"/>
        </w:rPr>
      </w:pPr>
      <w:r w:rsidRPr="00D95F25">
        <w:rPr>
          <w:rFonts w:ascii="Arial Narrow" w:hAnsi="Arial Narrow" w:cs="Arial"/>
        </w:rPr>
        <w:t xml:space="preserve">Over the past decade, courts across the region have increasingly engaged in organisational planning to improve the quality of their services. The agendas and priorities of each plan </w:t>
      </w:r>
      <w:r w:rsidR="0026238E" w:rsidRPr="00D95F25">
        <w:rPr>
          <w:rFonts w:ascii="Arial Narrow" w:hAnsi="Arial Narrow" w:cs="Arial"/>
        </w:rPr>
        <w:t xml:space="preserve">has of course </w:t>
      </w:r>
      <w:r w:rsidRPr="00D95F25">
        <w:rPr>
          <w:rFonts w:ascii="Arial Narrow" w:hAnsi="Arial Narrow" w:cs="Arial"/>
        </w:rPr>
        <w:t>varie</w:t>
      </w:r>
      <w:r w:rsidR="0026238E" w:rsidRPr="00D95F25">
        <w:rPr>
          <w:rFonts w:ascii="Arial Narrow" w:hAnsi="Arial Narrow" w:cs="Arial"/>
        </w:rPr>
        <w:t>d</w:t>
      </w:r>
      <w:r w:rsidRPr="00D95F25">
        <w:rPr>
          <w:rFonts w:ascii="Arial Narrow" w:hAnsi="Arial Narrow" w:cs="Arial"/>
        </w:rPr>
        <w:t xml:space="preserve"> from country to country, and from court to court. Usually, however, these plans start with an assessment of what is going well and what needs improvement. This process is variously called a </w:t>
      </w:r>
      <w:r w:rsidR="0026238E" w:rsidRPr="00D95F25">
        <w:rPr>
          <w:rFonts w:ascii="Arial Narrow" w:hAnsi="Arial Narrow" w:cs="Arial"/>
        </w:rPr>
        <w:t>‘needs assessment’</w:t>
      </w:r>
      <w:r w:rsidR="00146604" w:rsidRPr="00D95F25">
        <w:rPr>
          <w:rFonts w:ascii="Arial Narrow" w:hAnsi="Arial Narrow" w:cs="Arial"/>
        </w:rPr>
        <w:t>,</w:t>
      </w:r>
      <w:r w:rsidR="0026238E" w:rsidRPr="00D95F25">
        <w:rPr>
          <w:rFonts w:ascii="Arial Narrow" w:hAnsi="Arial Narrow" w:cs="Arial"/>
        </w:rPr>
        <w:t xml:space="preserve"> </w:t>
      </w:r>
      <w:r w:rsidRPr="00D95F25">
        <w:rPr>
          <w:rFonts w:ascii="Arial Narrow" w:hAnsi="Arial Narrow" w:cs="Arial"/>
        </w:rPr>
        <w:t>‘situation analysis’ or ‘</w:t>
      </w:r>
      <w:r w:rsidR="00137AC5" w:rsidRPr="00D95F25">
        <w:rPr>
          <w:rFonts w:ascii="Arial Narrow" w:hAnsi="Arial Narrow" w:cs="Arial"/>
        </w:rPr>
        <w:t>court user survey’</w:t>
      </w:r>
      <w:r w:rsidRPr="00D95F25">
        <w:rPr>
          <w:rFonts w:ascii="Arial Narrow" w:hAnsi="Arial Narrow" w:cs="Arial"/>
        </w:rPr>
        <w:t xml:space="preserve">. Whatever their name, these assessments are </w:t>
      </w:r>
      <w:r w:rsidR="0026238E" w:rsidRPr="00D95F25">
        <w:rPr>
          <w:rFonts w:ascii="Arial Narrow" w:hAnsi="Arial Narrow" w:cs="Arial"/>
        </w:rPr>
        <w:t xml:space="preserve">usually </w:t>
      </w:r>
      <w:r w:rsidRPr="00D95F25">
        <w:rPr>
          <w:rFonts w:ascii="Arial Narrow" w:hAnsi="Arial Narrow" w:cs="Arial"/>
        </w:rPr>
        <w:t xml:space="preserve">based largely on inputs from community consultations among other sources. </w:t>
      </w:r>
    </w:p>
    <w:p w14:paraId="404DDE62" w14:textId="77777777" w:rsidR="001E371F" w:rsidRPr="00846E78" w:rsidRDefault="001E371F" w:rsidP="00DB0718">
      <w:pPr>
        <w:jc w:val="left"/>
        <w:rPr>
          <w:rFonts w:ascii="Arial Narrow" w:hAnsi="Arial Narrow" w:cs="Arial"/>
          <w:sz w:val="20"/>
          <w:szCs w:val="20"/>
        </w:rPr>
      </w:pPr>
    </w:p>
    <w:p w14:paraId="06593810" w14:textId="3D47487B" w:rsidR="001E371F" w:rsidRPr="00D95F25" w:rsidRDefault="001E371F" w:rsidP="00DB0718">
      <w:pPr>
        <w:jc w:val="left"/>
        <w:rPr>
          <w:rFonts w:ascii="Arial Narrow" w:hAnsi="Arial Narrow" w:cs="Arial"/>
        </w:rPr>
      </w:pPr>
      <w:r w:rsidRPr="00D95F25">
        <w:rPr>
          <w:rFonts w:ascii="Arial Narrow" w:hAnsi="Arial Narrow" w:cs="Arial"/>
        </w:rPr>
        <w:t xml:space="preserve">Community consultations provide local stakeholders with </w:t>
      </w:r>
      <w:r w:rsidR="00C3202C" w:rsidRPr="00D95F25">
        <w:rPr>
          <w:rFonts w:ascii="Arial Narrow" w:hAnsi="Arial Narrow" w:cs="Arial"/>
        </w:rPr>
        <w:t>the</w:t>
      </w:r>
      <w:r w:rsidRPr="00D95F25">
        <w:rPr>
          <w:rFonts w:ascii="Arial Narrow" w:hAnsi="Arial Narrow" w:cs="Arial"/>
        </w:rPr>
        <w:t xml:space="preserve"> opportunity to provide feedback on their satisfaction with court services. They may identify any number of challenges and opportunities for the courts to redress. Once identified, it is necessary for the courts to set its priorities on where to start. Across the region, these challenges often relate to barriers to accessing the courts - whether physical, geographic, financial, informational or cultural; lack of knowledge and understanding of how the courts work, and how people can use them. Delay and cost are other common problems. </w:t>
      </w:r>
    </w:p>
    <w:p w14:paraId="27C864DA" w14:textId="77777777" w:rsidR="001E371F" w:rsidRPr="00846E78" w:rsidRDefault="001E371F" w:rsidP="00DB0718">
      <w:pPr>
        <w:jc w:val="left"/>
        <w:rPr>
          <w:rFonts w:ascii="Arial Narrow" w:hAnsi="Arial Narrow" w:cs="Arial"/>
          <w:sz w:val="20"/>
          <w:szCs w:val="20"/>
        </w:rPr>
      </w:pPr>
    </w:p>
    <w:p w14:paraId="4DD1CB06" w14:textId="77777777" w:rsidR="001E371F" w:rsidRPr="00D95F25" w:rsidRDefault="001E371F" w:rsidP="00DB0718">
      <w:pPr>
        <w:jc w:val="left"/>
        <w:rPr>
          <w:rFonts w:ascii="Arial Narrow" w:hAnsi="Arial Narrow" w:cs="Arial"/>
        </w:rPr>
      </w:pPr>
      <w:r w:rsidRPr="00D95F25">
        <w:rPr>
          <w:rFonts w:ascii="Arial Narrow" w:hAnsi="Arial Narrow" w:cs="Arial"/>
        </w:rPr>
        <w:t xml:space="preserve">These consultations also usually reveal that many in the community neither know or understand the role and functions of the courts or how to access and use their services. Unsurprisingly these people are </w:t>
      </w:r>
      <w:r w:rsidRPr="00D95F25">
        <w:rPr>
          <w:rFonts w:ascii="Arial Narrow" w:hAnsi="Arial Narrow" w:cs="Arial"/>
          <w:i/>
          <w:iCs/>
        </w:rPr>
        <w:t>non</w:t>
      </w:r>
      <w:r w:rsidRPr="00D95F25">
        <w:rPr>
          <w:rFonts w:ascii="Arial Narrow" w:hAnsi="Arial Narrow" w:cs="Arial"/>
        </w:rPr>
        <w:t xml:space="preserve">-users of the courts. Community consultations can not only inform and educate these non-users on the role of the courts and their legal rights, but also contribute to enabling them to use court services, thus transforming and restructuring community relationships. </w:t>
      </w:r>
    </w:p>
    <w:p w14:paraId="04667821" w14:textId="77777777" w:rsidR="001E371F" w:rsidRPr="00846E78" w:rsidRDefault="001E371F" w:rsidP="00DB0718">
      <w:pPr>
        <w:jc w:val="left"/>
        <w:rPr>
          <w:rFonts w:ascii="Arial Narrow" w:hAnsi="Arial Narrow" w:cs="Arial"/>
          <w:sz w:val="20"/>
          <w:szCs w:val="20"/>
        </w:rPr>
      </w:pPr>
    </w:p>
    <w:p w14:paraId="6A1B4062" w14:textId="26D120D2" w:rsidR="001E371F" w:rsidRPr="00D95F25" w:rsidRDefault="001E371F" w:rsidP="00DB0718">
      <w:pPr>
        <w:jc w:val="left"/>
        <w:rPr>
          <w:rFonts w:ascii="Arial Narrow" w:hAnsi="Arial Narrow" w:cs="Arial"/>
        </w:rPr>
      </w:pPr>
      <w:r w:rsidRPr="00D95F25">
        <w:rPr>
          <w:rFonts w:ascii="Arial Narrow" w:hAnsi="Arial Narrow" w:cs="Arial"/>
        </w:rPr>
        <w:t xml:space="preserve">Hence planning consultations </w:t>
      </w:r>
      <w:r w:rsidR="007723E3">
        <w:rPr>
          <w:rFonts w:ascii="Arial Narrow" w:hAnsi="Arial Narrow" w:cs="Arial"/>
        </w:rPr>
        <w:t>is</w:t>
      </w:r>
      <w:r w:rsidRPr="00D95F25">
        <w:rPr>
          <w:rFonts w:ascii="Arial Narrow" w:hAnsi="Arial Narrow" w:cs="Arial"/>
        </w:rPr>
        <w:t xml:space="preserve"> </w:t>
      </w:r>
      <w:r w:rsidR="006A267E" w:rsidRPr="00D95F25">
        <w:rPr>
          <w:rFonts w:ascii="Arial Narrow" w:hAnsi="Arial Narrow" w:cs="Arial"/>
        </w:rPr>
        <w:t xml:space="preserve">usually </w:t>
      </w:r>
      <w:r w:rsidRPr="00D95F25">
        <w:rPr>
          <w:rFonts w:ascii="Arial Narrow" w:hAnsi="Arial Narrow" w:cs="Arial"/>
        </w:rPr>
        <w:t xml:space="preserve">directed towards reaching two goals: (a) to inform the community on the role and services of the courts for </w:t>
      </w:r>
      <w:r w:rsidRPr="00D95F25">
        <w:rPr>
          <w:rFonts w:ascii="Arial Narrow" w:hAnsi="Arial Narrow" w:cs="Arial"/>
          <w:i/>
          <w:iCs/>
        </w:rPr>
        <w:t>non-users</w:t>
      </w:r>
      <w:r w:rsidRPr="00D95F25">
        <w:rPr>
          <w:rFonts w:ascii="Arial Narrow" w:hAnsi="Arial Narrow" w:cs="Arial"/>
        </w:rPr>
        <w:t xml:space="preserve">, and (b) to initiate a dialogue seeking feedback on </w:t>
      </w:r>
      <w:r w:rsidRPr="00D95F25">
        <w:rPr>
          <w:rFonts w:ascii="Arial Narrow" w:hAnsi="Arial Narrow" w:cs="Arial"/>
          <w:i/>
          <w:iCs/>
        </w:rPr>
        <w:t>users’</w:t>
      </w:r>
      <w:r w:rsidRPr="00D95F25">
        <w:rPr>
          <w:rFonts w:ascii="Arial Narrow" w:hAnsi="Arial Narrow" w:cs="Arial"/>
        </w:rPr>
        <w:t xml:space="preserve"> satisfaction with court services. Courts should focus on attaining these goals within the broader context of assessing, planning, developing and addressing their various improvements in an integrated organisational strategic manner. </w:t>
      </w:r>
    </w:p>
    <w:p w14:paraId="3281EADC" w14:textId="77777777" w:rsidR="001E371F" w:rsidRPr="00846E78" w:rsidRDefault="001E371F" w:rsidP="00DB0718">
      <w:pPr>
        <w:jc w:val="left"/>
        <w:rPr>
          <w:rFonts w:ascii="Arial Narrow" w:hAnsi="Arial Narrow" w:cs="Arial"/>
          <w:sz w:val="20"/>
          <w:szCs w:val="20"/>
        </w:rPr>
      </w:pPr>
    </w:p>
    <w:p w14:paraId="3D1BCC0B" w14:textId="659752F7" w:rsidR="001E371F" w:rsidRPr="00D95F25" w:rsidRDefault="001E371F" w:rsidP="00DB0718">
      <w:pPr>
        <w:jc w:val="left"/>
        <w:rPr>
          <w:rFonts w:ascii="Arial Narrow" w:hAnsi="Arial Narrow" w:cs="Arial"/>
        </w:rPr>
      </w:pPr>
      <w:r w:rsidRPr="00D95F25">
        <w:rPr>
          <w:rFonts w:ascii="Arial Narrow" w:hAnsi="Arial Narrow" w:cs="Arial"/>
        </w:rPr>
        <w:t xml:space="preserve">As </w:t>
      </w:r>
      <w:r w:rsidR="00607742" w:rsidRPr="00D95F25">
        <w:rPr>
          <w:rFonts w:ascii="Arial Narrow" w:hAnsi="Arial Narrow" w:cs="Arial"/>
        </w:rPr>
        <w:t xml:space="preserve">a </w:t>
      </w:r>
      <w:r w:rsidRPr="00D95F25">
        <w:rPr>
          <w:rFonts w:ascii="Arial Narrow" w:hAnsi="Arial Narrow" w:cs="Arial"/>
        </w:rPr>
        <w:t xml:space="preserve">result of conducting community consultations, it is likely that the courts will identify and prioritise a range of improvement activities, which may be inter-connected and overlap. For example, the court may decide to introduce a public information strategy that provides community-level education through visits, presentations and brochures with related education-raising activities in schools or on public radio, etc. Similarly, initiatives to obtain feedback from court-users might include a range of measures such as </w:t>
      </w:r>
      <w:r w:rsidR="00137AC5" w:rsidRPr="00D95F25">
        <w:rPr>
          <w:rFonts w:ascii="Arial Narrow" w:hAnsi="Arial Narrow" w:cs="Arial"/>
        </w:rPr>
        <w:t>court user survey</w:t>
      </w:r>
      <w:r w:rsidR="00D1566F" w:rsidRPr="00D95F25">
        <w:rPr>
          <w:rFonts w:ascii="Arial Narrow" w:hAnsi="Arial Narrow" w:cs="Arial"/>
        </w:rPr>
        <w:t>s</w:t>
      </w:r>
      <w:r w:rsidR="00137AC5" w:rsidRPr="00D95F25">
        <w:rPr>
          <w:rFonts w:ascii="Arial Narrow" w:hAnsi="Arial Narrow" w:cs="Arial"/>
        </w:rPr>
        <w:t xml:space="preserve"> </w:t>
      </w:r>
      <w:r w:rsidRPr="00D95F25">
        <w:rPr>
          <w:rFonts w:ascii="Arial Narrow" w:hAnsi="Arial Narrow" w:cs="Arial"/>
        </w:rPr>
        <w:t>after hearings, bench-bar liaison meetings and public open days, etc.</w:t>
      </w:r>
    </w:p>
    <w:p w14:paraId="4B2D2D3E" w14:textId="510BB778" w:rsidR="001E371F" w:rsidRPr="00DB0718" w:rsidRDefault="006D1FAD" w:rsidP="00DB0718">
      <w:pPr>
        <w:pStyle w:val="ListParagraph"/>
        <w:numPr>
          <w:ilvl w:val="0"/>
          <w:numId w:val="7"/>
        </w:numPr>
        <w:spacing w:before="240" w:after="60"/>
        <w:ind w:left="425" w:hanging="425"/>
        <w:contextualSpacing w:val="0"/>
        <w:rPr>
          <w:rFonts w:cs="Arial"/>
          <w:b/>
          <w:smallCaps/>
          <w:color w:val="0E5F60"/>
          <w:sz w:val="26"/>
          <w:szCs w:val="26"/>
        </w:rPr>
      </w:pPr>
      <w:r w:rsidRPr="00DB0718">
        <w:rPr>
          <w:rFonts w:cs="Arial"/>
          <w:b/>
          <w:smallCaps/>
          <w:color w:val="0E5F60"/>
          <w:sz w:val="26"/>
          <w:szCs w:val="26"/>
        </w:rPr>
        <w:t>Conducting Community Consultations: P</w:t>
      </w:r>
      <w:r w:rsidR="001E371F" w:rsidRPr="00DB0718">
        <w:rPr>
          <w:rFonts w:cs="Arial"/>
          <w:b/>
          <w:smallCaps/>
          <w:color w:val="0E5F60"/>
          <w:sz w:val="26"/>
          <w:szCs w:val="26"/>
        </w:rPr>
        <w:t>eople-centr</w:t>
      </w:r>
      <w:r w:rsidRPr="00DB0718">
        <w:rPr>
          <w:rFonts w:cs="Arial"/>
          <w:b/>
          <w:smallCaps/>
          <w:color w:val="0E5F60"/>
          <w:sz w:val="26"/>
          <w:szCs w:val="26"/>
        </w:rPr>
        <w:t>ed O</w:t>
      </w:r>
      <w:r w:rsidR="001E371F" w:rsidRPr="00DB0718">
        <w:rPr>
          <w:rFonts w:cs="Arial"/>
          <w:b/>
          <w:smallCaps/>
          <w:color w:val="0E5F60"/>
          <w:sz w:val="26"/>
          <w:szCs w:val="26"/>
        </w:rPr>
        <w:t>utreach</w:t>
      </w:r>
    </w:p>
    <w:p w14:paraId="2D6EBEA2" w14:textId="0C94F40F" w:rsidR="001E371F" w:rsidRPr="009F4592" w:rsidRDefault="001E371F" w:rsidP="00DB0718">
      <w:pPr>
        <w:jc w:val="left"/>
        <w:rPr>
          <w:rFonts w:ascii="Arial Narrow" w:hAnsi="Arial Narrow" w:cs="Arial"/>
        </w:rPr>
      </w:pPr>
      <w:r w:rsidRPr="009F4592">
        <w:rPr>
          <w:rFonts w:ascii="Arial Narrow" w:hAnsi="Arial Narrow" w:cs="Arial"/>
        </w:rPr>
        <w:t>Over the past decade, courts across the region have revitalised their approach to the organisation of their business</w:t>
      </w:r>
      <w:r w:rsidR="006A267E" w:rsidRPr="009F4592">
        <w:rPr>
          <w:rFonts w:ascii="Arial Narrow" w:hAnsi="Arial Narrow" w:cs="Arial"/>
        </w:rPr>
        <w:t xml:space="preserve"> and their relationsh</w:t>
      </w:r>
      <w:r w:rsidR="00251862" w:rsidRPr="009F4592">
        <w:rPr>
          <w:rFonts w:ascii="Arial Narrow" w:hAnsi="Arial Narrow" w:cs="Arial"/>
        </w:rPr>
        <w:t>ip with the community</w:t>
      </w:r>
      <w:r w:rsidRPr="009F4592">
        <w:rPr>
          <w:rFonts w:ascii="Arial Narrow" w:hAnsi="Arial Narrow" w:cs="Arial"/>
        </w:rPr>
        <w:t xml:space="preserve">, sometimes radically. </w:t>
      </w:r>
      <w:r w:rsidR="00251862" w:rsidRPr="009F4592">
        <w:rPr>
          <w:rFonts w:ascii="Arial Narrow" w:hAnsi="Arial Narrow" w:cs="Arial"/>
        </w:rPr>
        <w:t>They</w:t>
      </w:r>
      <w:r w:rsidRPr="009F4592">
        <w:rPr>
          <w:rFonts w:ascii="Arial Narrow" w:hAnsi="Arial Narrow" w:cs="Arial"/>
        </w:rPr>
        <w:t xml:space="preserve"> have experienced that community consultations can play a valuable role in introducing a people-centred outreach - where the court </w:t>
      </w:r>
      <w:r w:rsidR="00251862" w:rsidRPr="009F4592">
        <w:rPr>
          <w:rFonts w:ascii="Arial Narrow" w:hAnsi="Arial Narrow" w:cs="Arial"/>
        </w:rPr>
        <w:t xml:space="preserve">proactively </w:t>
      </w:r>
      <w:r w:rsidR="006A267E" w:rsidRPr="009F4592">
        <w:rPr>
          <w:rFonts w:ascii="Arial Narrow" w:hAnsi="Arial Narrow" w:cs="Arial"/>
        </w:rPr>
        <w:t>goes out</w:t>
      </w:r>
      <w:r w:rsidRPr="009F4592">
        <w:rPr>
          <w:rFonts w:ascii="Arial Narrow" w:hAnsi="Arial Narrow" w:cs="Arial"/>
        </w:rPr>
        <w:t xml:space="preserve"> to the people, rather than waiting for the people to come </w:t>
      </w:r>
      <w:r w:rsidR="006A267E" w:rsidRPr="009F4592">
        <w:rPr>
          <w:rFonts w:ascii="Arial Narrow" w:hAnsi="Arial Narrow" w:cs="Arial"/>
        </w:rPr>
        <w:t>in</w:t>
      </w:r>
      <w:r w:rsidRPr="009F4592">
        <w:rPr>
          <w:rFonts w:ascii="Arial Narrow" w:hAnsi="Arial Narrow" w:cs="Arial"/>
        </w:rPr>
        <w:t xml:space="preserve">to the court. </w:t>
      </w:r>
    </w:p>
    <w:p w14:paraId="0C941CF4" w14:textId="77777777" w:rsidR="001E371F" w:rsidRPr="00846E78" w:rsidRDefault="001E371F" w:rsidP="00DB0718">
      <w:pPr>
        <w:jc w:val="left"/>
        <w:rPr>
          <w:rFonts w:ascii="Arial Narrow" w:hAnsi="Arial Narrow" w:cs="Arial"/>
          <w:sz w:val="20"/>
          <w:szCs w:val="20"/>
        </w:rPr>
      </w:pPr>
    </w:p>
    <w:p w14:paraId="292776C9" w14:textId="77777777" w:rsidR="001E371F" w:rsidRPr="009F4592" w:rsidRDefault="001E371F" w:rsidP="00DB0718">
      <w:pPr>
        <w:jc w:val="left"/>
        <w:rPr>
          <w:rFonts w:ascii="Arial Narrow" w:hAnsi="Arial Narrow" w:cs="Arial"/>
        </w:rPr>
      </w:pPr>
      <w:r w:rsidRPr="009F4592">
        <w:rPr>
          <w:rFonts w:ascii="Arial Narrow" w:hAnsi="Arial Narrow" w:cs="Arial"/>
        </w:rPr>
        <w:t>Judicial ‘outreach’ is a term used to describe those activities undertaken by the courts to engage with the community. These activities provide a communication process and relationship in building public understanding and trust in the work of the courts by external engagement and providing public information.</w:t>
      </w:r>
    </w:p>
    <w:p w14:paraId="7B809117" w14:textId="77777777" w:rsidR="00846E78" w:rsidRPr="00846E78" w:rsidRDefault="00846E78" w:rsidP="00DB0718">
      <w:pPr>
        <w:jc w:val="left"/>
        <w:rPr>
          <w:rFonts w:ascii="Arial Narrow" w:hAnsi="Arial Narrow" w:cs="Arial"/>
          <w:sz w:val="20"/>
          <w:szCs w:val="20"/>
        </w:rPr>
      </w:pPr>
    </w:p>
    <w:p w14:paraId="566E8AB2" w14:textId="6AF6073D" w:rsidR="001E371F" w:rsidRPr="009F4592" w:rsidRDefault="001E371F" w:rsidP="00DB0718">
      <w:pPr>
        <w:jc w:val="left"/>
        <w:rPr>
          <w:rFonts w:ascii="Arial Narrow" w:hAnsi="Arial Narrow" w:cs="Arial"/>
        </w:rPr>
      </w:pPr>
      <w:r w:rsidRPr="009F4592">
        <w:rPr>
          <w:rFonts w:ascii="Arial Narrow" w:hAnsi="Arial Narrow" w:cs="Arial"/>
        </w:rPr>
        <w:t xml:space="preserve">Given the </w:t>
      </w:r>
      <w:r w:rsidR="007A26E4" w:rsidRPr="009F4592">
        <w:rPr>
          <w:rFonts w:ascii="Arial Narrow" w:hAnsi="Arial Narrow" w:cs="Arial"/>
        </w:rPr>
        <w:t>constraints</w:t>
      </w:r>
      <w:r w:rsidRPr="009F4592">
        <w:rPr>
          <w:rFonts w:ascii="Arial Narrow" w:hAnsi="Arial Narrow" w:cs="Arial"/>
        </w:rPr>
        <w:t xml:space="preserve"> of judicial independence, this people-centred approach offers the courts </w:t>
      </w:r>
      <w:r w:rsidR="007A26E4" w:rsidRPr="009F4592">
        <w:rPr>
          <w:rFonts w:ascii="Arial Narrow" w:hAnsi="Arial Narrow" w:cs="Arial"/>
        </w:rPr>
        <w:t>some</w:t>
      </w:r>
      <w:r w:rsidRPr="009F4592">
        <w:rPr>
          <w:rFonts w:ascii="Arial Narrow" w:hAnsi="Arial Narrow" w:cs="Arial"/>
        </w:rPr>
        <w:t xml:space="preserve"> significant </w:t>
      </w:r>
      <w:r w:rsidR="007A26E4" w:rsidRPr="009F4592">
        <w:rPr>
          <w:rFonts w:ascii="Arial Narrow" w:hAnsi="Arial Narrow" w:cs="Arial"/>
        </w:rPr>
        <w:t>advantages</w:t>
      </w:r>
      <w:r w:rsidRPr="009F4592">
        <w:rPr>
          <w:rFonts w:ascii="Arial Narrow" w:hAnsi="Arial Narrow" w:cs="Arial"/>
        </w:rPr>
        <w:t xml:space="preserve"> including: - </w:t>
      </w:r>
    </w:p>
    <w:p w14:paraId="484DC908" w14:textId="77777777" w:rsidR="001E371F" w:rsidRPr="009F4592" w:rsidRDefault="001E371F" w:rsidP="00346856">
      <w:pPr>
        <w:pStyle w:val="ListParagraph"/>
        <w:numPr>
          <w:ilvl w:val="0"/>
          <w:numId w:val="3"/>
        </w:numPr>
        <w:contextualSpacing w:val="0"/>
        <w:jc w:val="left"/>
        <w:rPr>
          <w:rFonts w:cs="Arial"/>
          <w:b/>
          <w:bCs/>
          <w:sz w:val="23"/>
        </w:rPr>
      </w:pPr>
      <w:r w:rsidRPr="009F4592">
        <w:rPr>
          <w:rFonts w:cs="Arial"/>
          <w:bCs/>
          <w:sz w:val="23"/>
        </w:rPr>
        <w:t>displaying court’s commitments to quality, transparency and accountability</w:t>
      </w:r>
    </w:p>
    <w:p w14:paraId="6B260B73" w14:textId="77777777" w:rsidR="001E371F" w:rsidRPr="009F4592" w:rsidRDefault="001E371F" w:rsidP="00346856">
      <w:pPr>
        <w:pStyle w:val="ListParagraph"/>
        <w:numPr>
          <w:ilvl w:val="0"/>
          <w:numId w:val="3"/>
        </w:numPr>
        <w:contextualSpacing w:val="0"/>
        <w:jc w:val="left"/>
        <w:rPr>
          <w:rFonts w:cs="Arial"/>
          <w:b/>
          <w:bCs/>
          <w:sz w:val="23"/>
        </w:rPr>
      </w:pPr>
      <w:r w:rsidRPr="009F4592">
        <w:rPr>
          <w:rFonts w:cs="Arial"/>
          <w:bCs/>
          <w:sz w:val="23"/>
        </w:rPr>
        <w:t>addressing the needs and convenience of communities rather than government</w:t>
      </w:r>
    </w:p>
    <w:p w14:paraId="2D9228EC" w14:textId="77777777" w:rsidR="001E371F" w:rsidRPr="009F4592" w:rsidRDefault="001E371F" w:rsidP="00346856">
      <w:pPr>
        <w:pStyle w:val="ListParagraph"/>
        <w:numPr>
          <w:ilvl w:val="0"/>
          <w:numId w:val="3"/>
        </w:numPr>
        <w:contextualSpacing w:val="0"/>
        <w:jc w:val="left"/>
        <w:rPr>
          <w:rFonts w:cs="Arial"/>
          <w:b/>
          <w:bCs/>
          <w:sz w:val="23"/>
        </w:rPr>
      </w:pPr>
      <w:r w:rsidRPr="009F4592">
        <w:rPr>
          <w:rFonts w:cs="Arial"/>
          <w:bCs/>
          <w:sz w:val="23"/>
        </w:rPr>
        <w:t>humanising the court, which is otherwise impersonal, strange and potentially threatening</w:t>
      </w:r>
    </w:p>
    <w:p w14:paraId="5B38C02C" w14:textId="49639534" w:rsidR="001E371F" w:rsidRPr="009F4592" w:rsidRDefault="001E371F" w:rsidP="00346856">
      <w:pPr>
        <w:pStyle w:val="ListParagraph"/>
        <w:numPr>
          <w:ilvl w:val="0"/>
          <w:numId w:val="3"/>
        </w:numPr>
        <w:contextualSpacing w:val="0"/>
        <w:jc w:val="left"/>
        <w:rPr>
          <w:rFonts w:cs="Arial"/>
          <w:b/>
          <w:bCs/>
          <w:sz w:val="23"/>
        </w:rPr>
      </w:pPr>
      <w:r w:rsidRPr="009F4592">
        <w:rPr>
          <w:rFonts w:cs="Arial"/>
          <w:bCs/>
          <w:sz w:val="23"/>
        </w:rPr>
        <w:t xml:space="preserve">empowering rather than intimidating or bewildering </w:t>
      </w:r>
      <w:r w:rsidR="009A063C" w:rsidRPr="009F4592">
        <w:rPr>
          <w:rFonts w:cs="Arial"/>
          <w:bCs/>
          <w:sz w:val="23"/>
        </w:rPr>
        <w:t>ordinary people</w:t>
      </w:r>
    </w:p>
    <w:p w14:paraId="2B313B0B" w14:textId="77777777" w:rsidR="001E371F" w:rsidRPr="009F4592" w:rsidRDefault="001E371F" w:rsidP="00346856">
      <w:pPr>
        <w:pStyle w:val="ListParagraph"/>
        <w:numPr>
          <w:ilvl w:val="0"/>
          <w:numId w:val="3"/>
        </w:numPr>
        <w:contextualSpacing w:val="0"/>
        <w:jc w:val="left"/>
        <w:rPr>
          <w:rFonts w:cs="Arial"/>
          <w:b/>
          <w:bCs/>
          <w:sz w:val="23"/>
        </w:rPr>
      </w:pPr>
      <w:r w:rsidRPr="009F4592">
        <w:rPr>
          <w:rFonts w:cs="Arial"/>
          <w:bCs/>
          <w:sz w:val="23"/>
        </w:rPr>
        <w:t>providing an informal mechanism to obtain feedback to redress problems.</w:t>
      </w:r>
    </w:p>
    <w:p w14:paraId="27A395AA" w14:textId="45F0615D" w:rsidR="001E371F" w:rsidRPr="00DB0718" w:rsidRDefault="006D1FAD" w:rsidP="00DB0718">
      <w:pPr>
        <w:pStyle w:val="ListParagraph"/>
        <w:numPr>
          <w:ilvl w:val="0"/>
          <w:numId w:val="7"/>
        </w:numPr>
        <w:spacing w:before="240" w:after="60"/>
        <w:ind w:left="425" w:hanging="425"/>
        <w:contextualSpacing w:val="0"/>
        <w:rPr>
          <w:rFonts w:cs="Arial"/>
          <w:b/>
          <w:smallCaps/>
          <w:color w:val="0E5F60"/>
          <w:sz w:val="26"/>
          <w:szCs w:val="26"/>
        </w:rPr>
      </w:pPr>
      <w:r w:rsidRPr="00DB0718">
        <w:rPr>
          <w:rFonts w:cs="Arial"/>
          <w:b/>
          <w:smallCaps/>
          <w:color w:val="0E5F60"/>
          <w:sz w:val="26"/>
          <w:szCs w:val="26"/>
        </w:rPr>
        <w:lastRenderedPageBreak/>
        <w:t>Collaboration with Justice Sector A</w:t>
      </w:r>
      <w:r w:rsidR="001E371F" w:rsidRPr="00DB0718">
        <w:rPr>
          <w:rFonts w:cs="Arial"/>
          <w:b/>
          <w:smallCaps/>
          <w:color w:val="0E5F60"/>
          <w:sz w:val="26"/>
          <w:szCs w:val="26"/>
        </w:rPr>
        <w:t>ctors</w:t>
      </w:r>
    </w:p>
    <w:p w14:paraId="49B15B59" w14:textId="77777777" w:rsidR="001E371F" w:rsidRPr="009F4592" w:rsidRDefault="001E371F" w:rsidP="00DB0718">
      <w:pPr>
        <w:jc w:val="left"/>
        <w:rPr>
          <w:rFonts w:ascii="Arial Narrow" w:hAnsi="Arial Narrow" w:cs="Arial"/>
        </w:rPr>
      </w:pPr>
      <w:r w:rsidRPr="009F4592">
        <w:rPr>
          <w:rFonts w:ascii="Arial Narrow" w:hAnsi="Arial Narrow" w:cs="Arial"/>
        </w:rPr>
        <w:t xml:space="preserve">As we have now seen, the courts can conduct transparent public consultations with the community that provide information and education on the role and function of the courts, as well as feedback on users’ satisfaction with their services, among other things. </w:t>
      </w:r>
    </w:p>
    <w:p w14:paraId="340A2ED6" w14:textId="77777777" w:rsidR="001E371F" w:rsidRPr="009F4592" w:rsidRDefault="001E371F" w:rsidP="00DB0718">
      <w:pPr>
        <w:jc w:val="left"/>
        <w:rPr>
          <w:rFonts w:ascii="Arial Narrow" w:hAnsi="Arial Narrow" w:cs="Arial"/>
        </w:rPr>
      </w:pPr>
    </w:p>
    <w:p w14:paraId="05B3A8DA" w14:textId="77777777" w:rsidR="001E371F" w:rsidRPr="009F4592" w:rsidRDefault="001E371F" w:rsidP="00DB0718">
      <w:pPr>
        <w:jc w:val="left"/>
        <w:rPr>
          <w:rFonts w:ascii="Arial Narrow" w:hAnsi="Arial Narrow" w:cs="Arial"/>
        </w:rPr>
      </w:pPr>
      <w:r w:rsidRPr="009F4592">
        <w:rPr>
          <w:rFonts w:ascii="Arial Narrow" w:hAnsi="Arial Narrow" w:cs="Arial"/>
        </w:rPr>
        <w:t>These outreach activities are enhanced by the courts collaborating with other justice sector actors - notably the Ministry of Justice (however named), the prosecution, police, bar, legal aid and any relevant community-based organisations specialising for example in human rights or domestic violence.</w:t>
      </w:r>
    </w:p>
    <w:p w14:paraId="58617641" w14:textId="77777777" w:rsidR="001E371F" w:rsidRPr="009F4592" w:rsidRDefault="001E371F" w:rsidP="00DB0718">
      <w:pPr>
        <w:jc w:val="left"/>
        <w:rPr>
          <w:rFonts w:ascii="Arial Narrow" w:hAnsi="Arial Narrow" w:cs="Arial"/>
        </w:rPr>
      </w:pPr>
    </w:p>
    <w:p w14:paraId="2E028B42" w14:textId="77777777" w:rsidR="001E371F" w:rsidRPr="009F4592" w:rsidRDefault="001E371F" w:rsidP="00DB0718">
      <w:pPr>
        <w:jc w:val="left"/>
        <w:rPr>
          <w:rFonts w:ascii="Arial Narrow" w:hAnsi="Arial Narrow" w:cs="Arial"/>
        </w:rPr>
      </w:pPr>
      <w:r w:rsidRPr="009F4592">
        <w:rPr>
          <w:rFonts w:ascii="Arial Narrow" w:hAnsi="Arial Narrow" w:cs="Arial"/>
        </w:rPr>
        <w:t>Early inquiries are likely to reveal to the courts that the community has a spectrum of informational needs about various aspects of the justice system, and how it operates, that may be better addressed in a shared and coordinated approach rather than separately by respective agencies. For this reason, it may be useful to plan and organise a community public activity of, say, 2 hours at the end of a circuit court sitting, when all representatives of the bench, prosecution, police and bar are gathered together. In this activity, a representative from each agency can then present a description of their respective roles in the justice process and contribute to forming a panel discussion to answer questions on matters of community interest or concern.</w:t>
      </w:r>
    </w:p>
    <w:p w14:paraId="1AE77523" w14:textId="73F0BD98" w:rsidR="009A063C" w:rsidRPr="00DB0718" w:rsidRDefault="006D1FAD" w:rsidP="00DB0718">
      <w:pPr>
        <w:pStyle w:val="ListParagraph"/>
        <w:numPr>
          <w:ilvl w:val="0"/>
          <w:numId w:val="7"/>
        </w:numPr>
        <w:spacing w:before="240" w:after="60"/>
        <w:ind w:left="425" w:hanging="425"/>
        <w:contextualSpacing w:val="0"/>
        <w:rPr>
          <w:rFonts w:cs="Arial"/>
          <w:b/>
          <w:smallCaps/>
          <w:color w:val="0E5F60"/>
          <w:sz w:val="26"/>
          <w:szCs w:val="26"/>
        </w:rPr>
      </w:pPr>
      <w:r w:rsidRPr="00DB0718">
        <w:rPr>
          <w:rFonts w:cs="Arial"/>
          <w:b/>
          <w:smallCaps/>
          <w:color w:val="0E5F60"/>
          <w:sz w:val="26"/>
          <w:szCs w:val="26"/>
        </w:rPr>
        <w:t>Some Practical C</w:t>
      </w:r>
      <w:r w:rsidR="009A063C" w:rsidRPr="00DB0718">
        <w:rPr>
          <w:rFonts w:cs="Arial"/>
          <w:b/>
          <w:smallCaps/>
          <w:color w:val="0E5F60"/>
          <w:sz w:val="26"/>
          <w:szCs w:val="26"/>
        </w:rPr>
        <w:t>onsiderations</w:t>
      </w:r>
    </w:p>
    <w:p w14:paraId="6300C5D5" w14:textId="49E3D9E7" w:rsidR="009A063C" w:rsidRPr="009F4592" w:rsidRDefault="009A063C" w:rsidP="00DB0718">
      <w:pPr>
        <w:jc w:val="left"/>
        <w:rPr>
          <w:rFonts w:ascii="Arial Narrow" w:hAnsi="Arial Narrow" w:cs="Arial"/>
        </w:rPr>
      </w:pPr>
      <w:r w:rsidRPr="009F4592">
        <w:rPr>
          <w:rFonts w:ascii="Arial Narrow" w:hAnsi="Arial Narrow" w:cs="Arial"/>
        </w:rPr>
        <w:t xml:space="preserve">When planning and conducting community consultations, there are a range of practical considerations to be considered and addressed. These include ensuring that adequate and appropriate preparations are made to contact </w:t>
      </w:r>
      <w:r w:rsidR="00B707D6" w:rsidRPr="009F4592">
        <w:rPr>
          <w:rFonts w:ascii="Arial Narrow" w:hAnsi="Arial Narrow" w:cs="Arial"/>
        </w:rPr>
        <w:t xml:space="preserve">and brief </w:t>
      </w:r>
      <w:r w:rsidRPr="009F4592">
        <w:rPr>
          <w:rFonts w:ascii="Arial Narrow" w:hAnsi="Arial Narrow" w:cs="Arial"/>
        </w:rPr>
        <w:t>local stakeholders, to explain the purpose and process</w:t>
      </w:r>
      <w:r w:rsidR="00B707D6" w:rsidRPr="009F4592">
        <w:rPr>
          <w:rFonts w:ascii="Arial Narrow" w:hAnsi="Arial Narrow" w:cs="Arial"/>
        </w:rPr>
        <w:t xml:space="preserve"> of the consultations</w:t>
      </w:r>
      <w:r w:rsidRPr="009F4592">
        <w:rPr>
          <w:rFonts w:ascii="Arial Narrow" w:hAnsi="Arial Narrow" w:cs="Arial"/>
        </w:rPr>
        <w:t xml:space="preserve">, arrange a convenient place to </w:t>
      </w:r>
      <w:r w:rsidR="00B707D6" w:rsidRPr="009F4592">
        <w:rPr>
          <w:rFonts w:ascii="Arial Narrow" w:hAnsi="Arial Narrow" w:cs="Arial"/>
        </w:rPr>
        <w:t>meet</w:t>
      </w:r>
      <w:r w:rsidRPr="009F4592">
        <w:rPr>
          <w:rFonts w:ascii="Arial Narrow" w:hAnsi="Arial Narrow" w:cs="Arial"/>
        </w:rPr>
        <w:t xml:space="preserve">, and schedule these consultations at a </w:t>
      </w:r>
      <w:r w:rsidR="00B707D6" w:rsidRPr="009F4592">
        <w:rPr>
          <w:rFonts w:ascii="Arial Narrow" w:hAnsi="Arial Narrow" w:cs="Arial"/>
        </w:rPr>
        <w:t xml:space="preserve">convenient </w:t>
      </w:r>
      <w:r w:rsidRPr="009F4592">
        <w:rPr>
          <w:rFonts w:ascii="Arial Narrow" w:hAnsi="Arial Narrow" w:cs="Arial"/>
        </w:rPr>
        <w:t xml:space="preserve">time to suit local stakeholders. Care should also be taken to </w:t>
      </w:r>
      <w:r w:rsidR="00B707D6" w:rsidRPr="009F4592">
        <w:rPr>
          <w:rFonts w:ascii="Arial Narrow" w:hAnsi="Arial Narrow" w:cs="Arial"/>
        </w:rPr>
        <w:t>respect c</w:t>
      </w:r>
      <w:r w:rsidRPr="009F4592">
        <w:rPr>
          <w:rFonts w:ascii="Arial Narrow" w:hAnsi="Arial Narrow" w:cs="Arial"/>
        </w:rPr>
        <w:t xml:space="preserve">ultural and customary </w:t>
      </w:r>
      <w:r w:rsidR="00B707D6" w:rsidRPr="009F4592">
        <w:rPr>
          <w:rFonts w:ascii="Arial Narrow" w:hAnsi="Arial Narrow" w:cs="Arial"/>
        </w:rPr>
        <w:t>practices, for example, it may be normal practice to provide</w:t>
      </w:r>
      <w:r w:rsidRPr="009F4592">
        <w:rPr>
          <w:rFonts w:ascii="Arial Narrow" w:hAnsi="Arial Narrow" w:cs="Arial"/>
        </w:rPr>
        <w:t xml:space="preserve"> travel allowances and refreshments for participants. </w:t>
      </w:r>
      <w:r w:rsidR="00B707D6" w:rsidRPr="009F4592">
        <w:rPr>
          <w:rFonts w:ascii="Arial Narrow" w:hAnsi="Arial Narrow" w:cs="Arial"/>
        </w:rPr>
        <w:t>Additionally, there may be a need to provide an i</w:t>
      </w:r>
      <w:r w:rsidRPr="009F4592">
        <w:rPr>
          <w:rFonts w:ascii="Arial Narrow" w:hAnsi="Arial Narrow" w:cs="Arial"/>
        </w:rPr>
        <w:t>nterpret</w:t>
      </w:r>
      <w:r w:rsidR="00B707D6" w:rsidRPr="009F4592">
        <w:rPr>
          <w:rFonts w:ascii="Arial Narrow" w:hAnsi="Arial Narrow" w:cs="Arial"/>
        </w:rPr>
        <w:t>er</w:t>
      </w:r>
      <w:r w:rsidRPr="009F4592">
        <w:rPr>
          <w:rFonts w:ascii="Arial Narrow" w:hAnsi="Arial Narrow" w:cs="Arial"/>
        </w:rPr>
        <w:t>.</w:t>
      </w:r>
    </w:p>
    <w:p w14:paraId="060FC724" w14:textId="452E0829" w:rsidR="001E371F" w:rsidRPr="00DB0718" w:rsidRDefault="001E371F" w:rsidP="00DB0718">
      <w:pPr>
        <w:pStyle w:val="ListParagraph"/>
        <w:numPr>
          <w:ilvl w:val="0"/>
          <w:numId w:val="7"/>
        </w:numPr>
        <w:spacing w:before="240" w:after="60"/>
        <w:ind w:left="425" w:hanging="425"/>
        <w:contextualSpacing w:val="0"/>
        <w:rPr>
          <w:rFonts w:cs="Arial"/>
          <w:b/>
          <w:smallCaps/>
          <w:color w:val="0E5F60"/>
          <w:sz w:val="26"/>
          <w:szCs w:val="26"/>
        </w:rPr>
      </w:pPr>
      <w:r w:rsidRPr="00DB0718">
        <w:rPr>
          <w:rFonts w:cs="Arial"/>
          <w:b/>
          <w:smallCaps/>
          <w:color w:val="0E5F60"/>
          <w:sz w:val="26"/>
          <w:szCs w:val="26"/>
        </w:rPr>
        <w:t xml:space="preserve">Rule </w:t>
      </w:r>
      <w:r w:rsidR="006D1FAD" w:rsidRPr="00DB0718">
        <w:rPr>
          <w:rFonts w:cs="Arial"/>
          <w:b/>
          <w:smallCaps/>
          <w:color w:val="0E5F60"/>
          <w:sz w:val="26"/>
          <w:szCs w:val="26"/>
        </w:rPr>
        <w:t>A</w:t>
      </w:r>
      <w:r w:rsidRPr="00DB0718">
        <w:rPr>
          <w:rFonts w:cs="Arial"/>
          <w:b/>
          <w:smallCaps/>
          <w:color w:val="0E5F60"/>
          <w:sz w:val="26"/>
          <w:szCs w:val="26"/>
        </w:rPr>
        <w:t xml:space="preserve">gainst </w:t>
      </w:r>
      <w:r w:rsidR="006D1FAD" w:rsidRPr="00DB0718">
        <w:rPr>
          <w:rFonts w:cs="Arial"/>
          <w:b/>
          <w:smallCaps/>
          <w:color w:val="0E5F60"/>
          <w:sz w:val="26"/>
          <w:szCs w:val="26"/>
        </w:rPr>
        <w:t>Discussing Specific C</w:t>
      </w:r>
      <w:r w:rsidRPr="00DB0718">
        <w:rPr>
          <w:rFonts w:cs="Arial"/>
          <w:b/>
          <w:smallCaps/>
          <w:color w:val="0E5F60"/>
          <w:sz w:val="26"/>
          <w:szCs w:val="26"/>
        </w:rPr>
        <w:t>ases</w:t>
      </w:r>
    </w:p>
    <w:p w14:paraId="662B82C2" w14:textId="3696F01E" w:rsidR="00932D55" w:rsidRPr="009F4592" w:rsidRDefault="001E371F" w:rsidP="00DB0718">
      <w:pPr>
        <w:jc w:val="left"/>
        <w:rPr>
          <w:rFonts w:ascii="Arial Narrow" w:hAnsi="Arial Narrow" w:cs="Arial"/>
        </w:rPr>
      </w:pPr>
      <w:r w:rsidRPr="009F4592">
        <w:rPr>
          <w:rFonts w:ascii="Arial Narrow" w:hAnsi="Arial Narrow" w:cs="Arial"/>
        </w:rPr>
        <w:t>In any such community consultations, it is essential that everyone understands th</w:t>
      </w:r>
      <w:r w:rsidR="00E93B64" w:rsidRPr="009F4592">
        <w:rPr>
          <w:rFonts w:ascii="Arial Narrow" w:hAnsi="Arial Narrow" w:cs="Arial"/>
        </w:rPr>
        <w:t>at</w:t>
      </w:r>
      <w:r w:rsidRPr="009F4592">
        <w:rPr>
          <w:rFonts w:ascii="Arial Narrow" w:hAnsi="Arial Narrow" w:cs="Arial"/>
        </w:rPr>
        <w:t xml:space="preserve"> discussions must remain general, rather than focus on any specific case. The reason for this is that justice requires court decisions to be made in open court hearing before the parties based on the application of law to the facts, the rules of evidence and procedure. Should a party be unhappy with either the process or outcome of that hearing, then they may have rights to review and/or redress by appeal to a superior court, or by lodging a formal complaint to the court. </w:t>
      </w:r>
    </w:p>
    <w:p w14:paraId="0B9AD3C5" w14:textId="77777777" w:rsidR="00932D55" w:rsidRPr="009F4592" w:rsidRDefault="00932D55" w:rsidP="001E371F">
      <w:pPr>
        <w:rPr>
          <w:rFonts w:ascii="Arial Narrow" w:hAnsi="Arial Narrow" w:cs="Arial"/>
        </w:rPr>
      </w:pPr>
    </w:p>
    <w:p w14:paraId="7EECAEC6" w14:textId="3E8E4982" w:rsidR="001E371F" w:rsidRPr="009F4592" w:rsidRDefault="00932D55" w:rsidP="00DB0718">
      <w:pPr>
        <w:jc w:val="left"/>
        <w:rPr>
          <w:rFonts w:ascii="Arial Narrow" w:hAnsi="Arial Narrow" w:cs="Arial"/>
        </w:rPr>
      </w:pPr>
      <w:r w:rsidRPr="009F4592">
        <w:rPr>
          <w:rFonts w:ascii="Arial Narrow" w:hAnsi="Arial Narrow" w:cs="Arial"/>
        </w:rPr>
        <w:t xml:space="preserve">Participants </w:t>
      </w:r>
      <w:r w:rsidR="001E371F" w:rsidRPr="009F4592">
        <w:rPr>
          <w:rFonts w:ascii="Arial Narrow" w:hAnsi="Arial Narrow" w:cs="Arial"/>
        </w:rPr>
        <w:t xml:space="preserve">in community consultations </w:t>
      </w:r>
      <w:r w:rsidRPr="009F4592">
        <w:rPr>
          <w:rFonts w:ascii="Arial Narrow" w:hAnsi="Arial Narrow" w:cs="Arial"/>
        </w:rPr>
        <w:t xml:space="preserve">must </w:t>
      </w:r>
      <w:r w:rsidR="001E371F" w:rsidRPr="009F4592">
        <w:rPr>
          <w:rFonts w:ascii="Arial Narrow" w:hAnsi="Arial Narrow" w:cs="Arial"/>
        </w:rPr>
        <w:t>understand</w:t>
      </w:r>
      <w:r w:rsidRPr="009F4592">
        <w:rPr>
          <w:rFonts w:ascii="Arial Narrow" w:hAnsi="Arial Narrow" w:cs="Arial"/>
        </w:rPr>
        <w:t>, therefore,</w:t>
      </w:r>
      <w:r w:rsidR="001E371F" w:rsidRPr="009F4592">
        <w:rPr>
          <w:rFonts w:ascii="Arial Narrow" w:hAnsi="Arial Narrow" w:cs="Arial"/>
        </w:rPr>
        <w:t xml:space="preserve"> that in the interests of justice it is neither appropriate nor proper to discuss aspects of any specific case with judicial officers outside the safeguards of these processes. </w:t>
      </w:r>
    </w:p>
    <w:p w14:paraId="07592D99" w14:textId="4EEF22ED" w:rsidR="001E371F" w:rsidRPr="00DB0718" w:rsidRDefault="006D1FAD" w:rsidP="00DB0718">
      <w:pPr>
        <w:pStyle w:val="ListParagraph"/>
        <w:numPr>
          <w:ilvl w:val="0"/>
          <w:numId w:val="7"/>
        </w:numPr>
        <w:spacing w:before="240" w:after="60"/>
        <w:ind w:left="425" w:hanging="425"/>
        <w:contextualSpacing w:val="0"/>
        <w:rPr>
          <w:rFonts w:cs="Arial"/>
          <w:b/>
          <w:smallCaps/>
          <w:color w:val="0E5F60"/>
          <w:sz w:val="26"/>
          <w:szCs w:val="26"/>
        </w:rPr>
      </w:pPr>
      <w:r w:rsidRPr="00DB0718">
        <w:rPr>
          <w:rFonts w:cs="Arial"/>
          <w:b/>
          <w:smallCaps/>
          <w:color w:val="0E5F60"/>
          <w:sz w:val="26"/>
          <w:szCs w:val="26"/>
        </w:rPr>
        <w:t>Community Consultation - Public I</w:t>
      </w:r>
      <w:r w:rsidR="001E371F" w:rsidRPr="00DB0718">
        <w:rPr>
          <w:rFonts w:cs="Arial"/>
          <w:b/>
          <w:smallCaps/>
          <w:color w:val="0E5F60"/>
          <w:sz w:val="26"/>
          <w:szCs w:val="26"/>
        </w:rPr>
        <w:t>nformatio</w:t>
      </w:r>
      <w:r w:rsidRPr="00DB0718">
        <w:rPr>
          <w:rFonts w:cs="Arial"/>
          <w:b/>
          <w:smallCaps/>
          <w:color w:val="0E5F60"/>
          <w:sz w:val="26"/>
          <w:szCs w:val="26"/>
        </w:rPr>
        <w:t>n, Education and Outreach A</w:t>
      </w:r>
      <w:r w:rsidR="001E371F" w:rsidRPr="00DB0718">
        <w:rPr>
          <w:rFonts w:cs="Arial"/>
          <w:b/>
          <w:smallCaps/>
          <w:color w:val="0E5F60"/>
          <w:sz w:val="26"/>
          <w:szCs w:val="26"/>
        </w:rPr>
        <w:t>ctivities</w:t>
      </w:r>
    </w:p>
    <w:p w14:paraId="71E4236F" w14:textId="7E3DB1F8" w:rsidR="001E371F" w:rsidRPr="009F4592" w:rsidRDefault="001E371F" w:rsidP="00DB0718">
      <w:pPr>
        <w:jc w:val="left"/>
        <w:rPr>
          <w:rFonts w:ascii="Arial Narrow" w:hAnsi="Arial Narrow" w:cs="Arial"/>
        </w:rPr>
      </w:pPr>
      <w:r w:rsidRPr="009F4592">
        <w:rPr>
          <w:rFonts w:ascii="Arial Narrow" w:hAnsi="Arial Narrow" w:cs="Arial"/>
        </w:rPr>
        <w:t>Over recent years, PJSI has supported the work of many courts across the region to promote access to justice through community outreach, engagement and consultation. These courts have included Kiribati, F</w:t>
      </w:r>
      <w:r w:rsidR="00607742" w:rsidRPr="009F4592">
        <w:rPr>
          <w:rFonts w:ascii="Arial Narrow" w:hAnsi="Arial Narrow" w:cs="Arial"/>
        </w:rPr>
        <w:t xml:space="preserve">ederated </w:t>
      </w:r>
      <w:r w:rsidRPr="009F4592">
        <w:rPr>
          <w:rFonts w:ascii="Arial Narrow" w:hAnsi="Arial Narrow" w:cs="Arial"/>
        </w:rPr>
        <w:t>S</w:t>
      </w:r>
      <w:r w:rsidR="00607742" w:rsidRPr="009F4592">
        <w:rPr>
          <w:rFonts w:ascii="Arial Narrow" w:hAnsi="Arial Narrow" w:cs="Arial"/>
        </w:rPr>
        <w:t xml:space="preserve">tates of </w:t>
      </w:r>
      <w:r w:rsidRPr="009F4592">
        <w:rPr>
          <w:rFonts w:ascii="Arial Narrow" w:hAnsi="Arial Narrow" w:cs="Arial"/>
        </w:rPr>
        <w:t>M</w:t>
      </w:r>
      <w:r w:rsidR="00607742" w:rsidRPr="009F4592">
        <w:rPr>
          <w:rFonts w:ascii="Arial Narrow" w:hAnsi="Arial Narrow" w:cs="Arial"/>
        </w:rPr>
        <w:t>icronesia</w:t>
      </w:r>
      <w:r w:rsidRPr="009F4592">
        <w:rPr>
          <w:rFonts w:ascii="Arial Narrow" w:hAnsi="Arial Narrow" w:cs="Arial"/>
        </w:rPr>
        <w:t>, R</w:t>
      </w:r>
      <w:r w:rsidR="00607742" w:rsidRPr="009F4592">
        <w:rPr>
          <w:rFonts w:ascii="Arial Narrow" w:hAnsi="Arial Narrow" w:cs="Arial"/>
        </w:rPr>
        <w:t xml:space="preserve">epublic of </w:t>
      </w:r>
      <w:r w:rsidRPr="009F4592">
        <w:rPr>
          <w:rFonts w:ascii="Arial Narrow" w:hAnsi="Arial Narrow" w:cs="Arial"/>
        </w:rPr>
        <w:t>M</w:t>
      </w:r>
      <w:r w:rsidR="00607742" w:rsidRPr="009F4592">
        <w:rPr>
          <w:rFonts w:ascii="Arial Narrow" w:hAnsi="Arial Narrow" w:cs="Arial"/>
        </w:rPr>
        <w:t xml:space="preserve">arshall </w:t>
      </w:r>
      <w:r w:rsidRPr="009F4592">
        <w:rPr>
          <w:rFonts w:ascii="Arial Narrow" w:hAnsi="Arial Narrow" w:cs="Arial"/>
        </w:rPr>
        <w:t>I</w:t>
      </w:r>
      <w:r w:rsidR="00607742" w:rsidRPr="009F4592">
        <w:rPr>
          <w:rFonts w:ascii="Arial Narrow" w:hAnsi="Arial Narrow" w:cs="Arial"/>
        </w:rPr>
        <w:t>slands</w:t>
      </w:r>
      <w:r w:rsidRPr="009F4592">
        <w:rPr>
          <w:rFonts w:ascii="Arial Narrow" w:hAnsi="Arial Narrow" w:cs="Arial"/>
        </w:rPr>
        <w:t>, Cook Islands, P</w:t>
      </w:r>
      <w:r w:rsidR="00607742" w:rsidRPr="009F4592">
        <w:rPr>
          <w:rFonts w:ascii="Arial Narrow" w:hAnsi="Arial Narrow" w:cs="Arial"/>
        </w:rPr>
        <w:t xml:space="preserve">apua </w:t>
      </w:r>
      <w:r w:rsidRPr="009F4592">
        <w:rPr>
          <w:rFonts w:ascii="Arial Narrow" w:hAnsi="Arial Narrow" w:cs="Arial"/>
        </w:rPr>
        <w:t>N</w:t>
      </w:r>
      <w:r w:rsidR="00607742" w:rsidRPr="009F4592">
        <w:rPr>
          <w:rFonts w:ascii="Arial Narrow" w:hAnsi="Arial Narrow" w:cs="Arial"/>
        </w:rPr>
        <w:t xml:space="preserve">ew </w:t>
      </w:r>
      <w:r w:rsidRPr="009F4592">
        <w:rPr>
          <w:rFonts w:ascii="Arial Narrow" w:hAnsi="Arial Narrow" w:cs="Arial"/>
        </w:rPr>
        <w:t>G</w:t>
      </w:r>
      <w:r w:rsidR="00607742" w:rsidRPr="009F4592">
        <w:rPr>
          <w:rFonts w:ascii="Arial Narrow" w:hAnsi="Arial Narrow" w:cs="Arial"/>
        </w:rPr>
        <w:t>uinea</w:t>
      </w:r>
      <w:r w:rsidRPr="009F4592">
        <w:rPr>
          <w:rFonts w:ascii="Arial Narrow" w:hAnsi="Arial Narrow" w:cs="Arial"/>
        </w:rPr>
        <w:t xml:space="preserve"> and Vanuatu among others. The situation in each country is - and will remain - unique. It follows that the public information, education and outreach initiatives of each court have been crafted to address local needs and conditions. Each is different. As a result, the courts have introduced and are continuing to develop a wide variety of measures and tools for community consultations and engagement. These initiatives are ongoing. </w:t>
      </w:r>
    </w:p>
    <w:p w14:paraId="58304CDD" w14:textId="77777777" w:rsidR="001E371F" w:rsidRPr="0078022B" w:rsidRDefault="001E371F" w:rsidP="001E371F">
      <w:pPr>
        <w:rPr>
          <w:rFonts w:ascii="Arial Narrow" w:hAnsi="Arial Narrow" w:cs="Arial"/>
          <w:sz w:val="21"/>
          <w:szCs w:val="21"/>
        </w:rPr>
      </w:pPr>
    </w:p>
    <w:p w14:paraId="5001AEA6" w14:textId="77777777" w:rsidR="001E371F" w:rsidRPr="009F4592" w:rsidRDefault="001E371F" w:rsidP="00DB0718">
      <w:pPr>
        <w:jc w:val="left"/>
        <w:rPr>
          <w:rFonts w:ascii="Arial Narrow" w:hAnsi="Arial Narrow" w:cs="Arial"/>
        </w:rPr>
      </w:pPr>
      <w:r w:rsidRPr="009F4592">
        <w:rPr>
          <w:rFonts w:ascii="Arial Narrow" w:hAnsi="Arial Narrow" w:cs="Arial"/>
        </w:rPr>
        <w:t>This guidance outlines a range of these initiatives that have been and continue to be developed over recent years for the possible consideration and adaptation of other courts: -</w:t>
      </w:r>
    </w:p>
    <w:tbl>
      <w:tblPr>
        <w:tblStyle w:val="TableGrid"/>
        <w:tblW w:w="9351" w:type="dxa"/>
        <w:tblLook w:val="04A0" w:firstRow="1" w:lastRow="0" w:firstColumn="1" w:lastColumn="0" w:noHBand="0" w:noVBand="1"/>
      </w:tblPr>
      <w:tblGrid>
        <w:gridCol w:w="704"/>
        <w:gridCol w:w="3342"/>
        <w:gridCol w:w="5305"/>
      </w:tblGrid>
      <w:tr w:rsidR="001E371F" w:rsidRPr="00E81DE3" w14:paraId="710B6545" w14:textId="77777777" w:rsidTr="00DB0718">
        <w:trPr>
          <w:tblHeader/>
        </w:trPr>
        <w:tc>
          <w:tcPr>
            <w:tcW w:w="704" w:type="dxa"/>
            <w:shd w:val="pct15" w:color="auto" w:fill="auto"/>
          </w:tcPr>
          <w:p w14:paraId="72ABE74A" w14:textId="77777777" w:rsidR="001E371F" w:rsidRPr="009F4592" w:rsidRDefault="001E371F" w:rsidP="00561E20">
            <w:pPr>
              <w:spacing w:before="120" w:after="120"/>
              <w:jc w:val="center"/>
              <w:rPr>
                <w:rFonts w:ascii="Arial Narrow" w:hAnsi="Arial Narrow" w:cs="Arial"/>
                <w:b/>
                <w:bCs/>
                <w:sz w:val="21"/>
                <w:szCs w:val="21"/>
              </w:rPr>
            </w:pPr>
          </w:p>
        </w:tc>
        <w:tc>
          <w:tcPr>
            <w:tcW w:w="3342" w:type="dxa"/>
            <w:shd w:val="pct15" w:color="auto" w:fill="auto"/>
          </w:tcPr>
          <w:p w14:paraId="47D50814" w14:textId="77777777" w:rsidR="001E371F" w:rsidRPr="009F4592" w:rsidRDefault="001E371F" w:rsidP="00932D55">
            <w:pPr>
              <w:spacing w:before="120" w:after="120"/>
              <w:jc w:val="center"/>
              <w:rPr>
                <w:rFonts w:ascii="Arial Narrow" w:hAnsi="Arial Narrow" w:cs="Arial"/>
                <w:b/>
                <w:bCs/>
                <w:sz w:val="22"/>
                <w:szCs w:val="22"/>
              </w:rPr>
            </w:pPr>
            <w:r w:rsidRPr="009F4592">
              <w:rPr>
                <w:rFonts w:ascii="Arial Narrow" w:hAnsi="Arial Narrow" w:cs="Arial"/>
                <w:b/>
                <w:bCs/>
                <w:sz w:val="22"/>
                <w:szCs w:val="22"/>
              </w:rPr>
              <w:t>Activities</w:t>
            </w:r>
          </w:p>
        </w:tc>
        <w:tc>
          <w:tcPr>
            <w:tcW w:w="5305" w:type="dxa"/>
            <w:shd w:val="pct15" w:color="auto" w:fill="auto"/>
          </w:tcPr>
          <w:p w14:paraId="52A3CD64" w14:textId="77777777" w:rsidR="001E371F" w:rsidRPr="009F4592" w:rsidRDefault="001E371F" w:rsidP="00932D55">
            <w:pPr>
              <w:spacing w:before="120" w:after="120"/>
              <w:jc w:val="center"/>
              <w:rPr>
                <w:rFonts w:ascii="Arial Narrow" w:hAnsi="Arial Narrow" w:cs="Arial"/>
                <w:b/>
                <w:bCs/>
                <w:sz w:val="22"/>
                <w:szCs w:val="22"/>
              </w:rPr>
            </w:pPr>
            <w:r w:rsidRPr="009F4592">
              <w:rPr>
                <w:rFonts w:ascii="Arial Narrow" w:hAnsi="Arial Narrow" w:cs="Arial"/>
                <w:b/>
                <w:bCs/>
                <w:sz w:val="22"/>
                <w:szCs w:val="22"/>
              </w:rPr>
              <w:t>Description</w:t>
            </w:r>
          </w:p>
        </w:tc>
      </w:tr>
      <w:tr w:rsidR="001E371F" w:rsidRPr="00E81DE3" w14:paraId="7E553D7D" w14:textId="77777777" w:rsidTr="00DB0718">
        <w:tc>
          <w:tcPr>
            <w:tcW w:w="704" w:type="dxa"/>
          </w:tcPr>
          <w:p w14:paraId="5D38F024" w14:textId="77777777" w:rsidR="001E371F" w:rsidRPr="00DB0718" w:rsidRDefault="001E371F" w:rsidP="00DB0718">
            <w:pPr>
              <w:pStyle w:val="ListParagraph"/>
              <w:numPr>
                <w:ilvl w:val="0"/>
                <w:numId w:val="5"/>
              </w:numPr>
              <w:spacing w:before="120" w:after="120"/>
              <w:ind w:left="447"/>
              <w:contextualSpacing w:val="0"/>
              <w:jc w:val="left"/>
              <w:rPr>
                <w:rFonts w:cs="Arial"/>
                <w:sz w:val="22"/>
                <w:szCs w:val="22"/>
              </w:rPr>
            </w:pPr>
          </w:p>
        </w:tc>
        <w:tc>
          <w:tcPr>
            <w:tcW w:w="3342" w:type="dxa"/>
          </w:tcPr>
          <w:p w14:paraId="6C617A74"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 xml:space="preserve">Community outreach, roadshows, public awareness </w:t>
            </w:r>
          </w:p>
        </w:tc>
        <w:tc>
          <w:tcPr>
            <w:tcW w:w="5305" w:type="dxa"/>
          </w:tcPr>
          <w:p w14:paraId="72A3AB20" w14:textId="631F8ED0"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Representatives of the court visit local communities and conduct meetings</w:t>
            </w:r>
            <w:r w:rsidR="004018BA" w:rsidRPr="00DB0718">
              <w:rPr>
                <w:rFonts w:ascii="Arial Narrow" w:hAnsi="Arial Narrow" w:cs="Arial"/>
                <w:sz w:val="22"/>
                <w:szCs w:val="22"/>
              </w:rPr>
              <w:t>, focus group discussions, and other engagement activities</w:t>
            </w:r>
            <w:r w:rsidRPr="00DB0718">
              <w:rPr>
                <w:rFonts w:ascii="Arial Narrow" w:hAnsi="Arial Narrow" w:cs="Arial"/>
                <w:sz w:val="22"/>
                <w:szCs w:val="22"/>
              </w:rPr>
              <w:t xml:space="preserve"> to open a dialogue to explain the role and function of the courts, </w:t>
            </w:r>
            <w:r w:rsidR="004018BA" w:rsidRPr="00DB0718">
              <w:rPr>
                <w:rFonts w:ascii="Arial Narrow" w:hAnsi="Arial Narrow" w:cs="Arial"/>
                <w:sz w:val="22"/>
                <w:szCs w:val="22"/>
              </w:rPr>
              <w:t xml:space="preserve">raise awareness on peoples’ rights, </w:t>
            </w:r>
            <w:r w:rsidRPr="00DB0718">
              <w:rPr>
                <w:rFonts w:ascii="Arial Narrow" w:hAnsi="Arial Narrow" w:cs="Arial"/>
                <w:sz w:val="22"/>
                <w:szCs w:val="22"/>
              </w:rPr>
              <w:t xml:space="preserve">how </w:t>
            </w:r>
            <w:r w:rsidR="004018BA" w:rsidRPr="00DB0718">
              <w:rPr>
                <w:rFonts w:ascii="Arial Narrow" w:hAnsi="Arial Narrow" w:cs="Arial"/>
                <w:sz w:val="22"/>
                <w:szCs w:val="22"/>
              </w:rPr>
              <w:t xml:space="preserve">courts </w:t>
            </w:r>
            <w:r w:rsidRPr="00DB0718">
              <w:rPr>
                <w:rFonts w:ascii="Arial Narrow" w:hAnsi="Arial Narrow" w:cs="Arial"/>
                <w:sz w:val="22"/>
                <w:szCs w:val="22"/>
              </w:rPr>
              <w:t>can help needy community members</w:t>
            </w:r>
            <w:r w:rsidR="004018BA" w:rsidRPr="00DB0718">
              <w:rPr>
                <w:rFonts w:ascii="Arial Narrow" w:hAnsi="Arial Narrow" w:cs="Arial"/>
                <w:sz w:val="22"/>
                <w:szCs w:val="22"/>
              </w:rPr>
              <w:t>, and to receive feedback on court services</w:t>
            </w:r>
            <w:r w:rsidRPr="00DB0718">
              <w:rPr>
                <w:rFonts w:ascii="Arial Narrow" w:hAnsi="Arial Narrow" w:cs="Arial"/>
                <w:sz w:val="22"/>
                <w:szCs w:val="22"/>
              </w:rPr>
              <w:t>. Some courts regularly conduct a travelling ‘roadshow’ to communities.</w:t>
            </w:r>
          </w:p>
          <w:p w14:paraId="0BE8D58D" w14:textId="4CB6A07F"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FSM, Vanuatu and Kiribati have each conducted various community outreach and awareness-</w:t>
            </w:r>
            <w:r w:rsidR="00B93EF1" w:rsidRPr="00DB0718">
              <w:rPr>
                <w:rFonts w:ascii="Arial Narrow" w:hAnsi="Arial Narrow" w:cs="Arial"/>
                <w:sz w:val="22"/>
                <w:szCs w:val="22"/>
              </w:rPr>
              <w:t>r</w:t>
            </w:r>
            <w:r w:rsidRPr="00DB0718">
              <w:rPr>
                <w:rFonts w:ascii="Arial Narrow" w:hAnsi="Arial Narrow" w:cs="Arial"/>
                <w:sz w:val="22"/>
                <w:szCs w:val="22"/>
              </w:rPr>
              <w:t>aising programs in remote communities and on outer islands.</w:t>
            </w:r>
          </w:p>
        </w:tc>
      </w:tr>
      <w:tr w:rsidR="001E371F" w:rsidRPr="00E81DE3" w14:paraId="7B126D47" w14:textId="77777777" w:rsidTr="00DB0718">
        <w:tc>
          <w:tcPr>
            <w:tcW w:w="704" w:type="dxa"/>
          </w:tcPr>
          <w:p w14:paraId="2724D840" w14:textId="77777777" w:rsidR="001E371F" w:rsidRPr="00DB0718" w:rsidRDefault="001E371F" w:rsidP="00DB0718">
            <w:pPr>
              <w:pStyle w:val="ListParagraph"/>
              <w:numPr>
                <w:ilvl w:val="0"/>
                <w:numId w:val="5"/>
              </w:numPr>
              <w:spacing w:before="120" w:after="120"/>
              <w:ind w:left="447"/>
              <w:contextualSpacing w:val="0"/>
              <w:jc w:val="left"/>
              <w:rPr>
                <w:rFonts w:cs="Arial"/>
                <w:sz w:val="22"/>
                <w:szCs w:val="22"/>
              </w:rPr>
            </w:pPr>
          </w:p>
        </w:tc>
        <w:tc>
          <w:tcPr>
            <w:tcW w:w="3342" w:type="dxa"/>
          </w:tcPr>
          <w:p w14:paraId="4B88E232"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 xml:space="preserve">Public information, community education </w:t>
            </w:r>
          </w:p>
        </w:tc>
        <w:tc>
          <w:tcPr>
            <w:tcW w:w="5305" w:type="dxa"/>
          </w:tcPr>
          <w:p w14:paraId="5D5A74EC"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Courts develop information packages in multiple media to inform and educate the public on the role and function of the courts, the rights of citizens, and how they can exercise their rights in court: -</w:t>
            </w:r>
          </w:p>
          <w:p w14:paraId="72447CFD" w14:textId="77777777" w:rsidR="001E371F" w:rsidRPr="00DB0718" w:rsidRDefault="001E371F" w:rsidP="00346856">
            <w:pPr>
              <w:pStyle w:val="ListParagraph"/>
              <w:numPr>
                <w:ilvl w:val="0"/>
                <w:numId w:val="4"/>
              </w:numPr>
              <w:spacing w:before="120" w:after="120"/>
              <w:contextualSpacing w:val="0"/>
              <w:jc w:val="left"/>
              <w:rPr>
                <w:rFonts w:cs="Arial"/>
                <w:b/>
                <w:sz w:val="22"/>
                <w:szCs w:val="22"/>
              </w:rPr>
            </w:pPr>
            <w:r w:rsidRPr="00DB0718">
              <w:rPr>
                <w:rFonts w:cs="Arial"/>
                <w:sz w:val="22"/>
                <w:szCs w:val="22"/>
              </w:rPr>
              <w:t>pamphlets in local language</w:t>
            </w:r>
          </w:p>
          <w:p w14:paraId="487BEE65" w14:textId="77777777" w:rsidR="001E371F" w:rsidRPr="00DB0718" w:rsidRDefault="001E371F" w:rsidP="00346856">
            <w:pPr>
              <w:pStyle w:val="ListParagraph"/>
              <w:numPr>
                <w:ilvl w:val="0"/>
                <w:numId w:val="4"/>
              </w:numPr>
              <w:spacing w:before="120" w:after="120"/>
              <w:contextualSpacing w:val="0"/>
              <w:jc w:val="left"/>
              <w:rPr>
                <w:rFonts w:cs="Arial"/>
                <w:b/>
                <w:sz w:val="22"/>
                <w:szCs w:val="22"/>
              </w:rPr>
            </w:pPr>
            <w:r w:rsidRPr="00DB0718">
              <w:rPr>
                <w:rFonts w:cs="Arial"/>
                <w:sz w:val="22"/>
                <w:szCs w:val="22"/>
              </w:rPr>
              <w:t>posters</w:t>
            </w:r>
            <w:r w:rsidRPr="00DB0718">
              <w:rPr>
                <w:rFonts w:cs="Arial"/>
                <w:b/>
                <w:sz w:val="22"/>
                <w:szCs w:val="22"/>
              </w:rPr>
              <w:t xml:space="preserve"> with graphics</w:t>
            </w:r>
          </w:p>
          <w:p w14:paraId="55757587" w14:textId="77777777" w:rsidR="001E371F" w:rsidRPr="00DB0718" w:rsidRDefault="001E371F" w:rsidP="00346856">
            <w:pPr>
              <w:pStyle w:val="ListParagraph"/>
              <w:numPr>
                <w:ilvl w:val="0"/>
                <w:numId w:val="4"/>
              </w:numPr>
              <w:spacing w:before="120" w:after="120"/>
              <w:contextualSpacing w:val="0"/>
              <w:jc w:val="left"/>
              <w:rPr>
                <w:rFonts w:cs="Arial"/>
                <w:b/>
                <w:sz w:val="22"/>
                <w:szCs w:val="22"/>
              </w:rPr>
            </w:pPr>
            <w:r w:rsidRPr="00DB0718">
              <w:rPr>
                <w:rFonts w:cs="Arial"/>
                <w:sz w:val="22"/>
                <w:szCs w:val="22"/>
              </w:rPr>
              <w:t>radio talks and interviews</w:t>
            </w:r>
          </w:p>
          <w:p w14:paraId="162A97E8" w14:textId="77777777" w:rsidR="001E371F" w:rsidRPr="00DB0718" w:rsidRDefault="001E371F" w:rsidP="00346856">
            <w:pPr>
              <w:pStyle w:val="ListParagraph"/>
              <w:numPr>
                <w:ilvl w:val="0"/>
                <w:numId w:val="4"/>
              </w:numPr>
              <w:spacing w:before="120" w:after="120"/>
              <w:contextualSpacing w:val="0"/>
              <w:jc w:val="left"/>
              <w:rPr>
                <w:rFonts w:cs="Arial"/>
                <w:sz w:val="22"/>
                <w:szCs w:val="22"/>
              </w:rPr>
            </w:pPr>
            <w:r w:rsidRPr="00DB0718">
              <w:rPr>
                <w:rFonts w:cs="Arial"/>
                <w:b/>
                <w:sz w:val="22"/>
                <w:szCs w:val="22"/>
              </w:rPr>
              <w:t>video</w:t>
            </w:r>
            <w:r w:rsidRPr="00DB0718">
              <w:rPr>
                <w:rFonts w:cs="Arial"/>
                <w:sz w:val="22"/>
                <w:szCs w:val="22"/>
              </w:rPr>
              <w:t>.</w:t>
            </w:r>
          </w:p>
        </w:tc>
      </w:tr>
      <w:tr w:rsidR="001E371F" w:rsidRPr="00E81DE3" w14:paraId="615D8F8F" w14:textId="77777777" w:rsidTr="00DB0718">
        <w:tc>
          <w:tcPr>
            <w:tcW w:w="704" w:type="dxa"/>
          </w:tcPr>
          <w:p w14:paraId="0CF7405F" w14:textId="77777777" w:rsidR="001E371F" w:rsidRPr="00DB0718" w:rsidRDefault="001E371F" w:rsidP="00DB0718">
            <w:pPr>
              <w:pStyle w:val="ListParagraph"/>
              <w:numPr>
                <w:ilvl w:val="0"/>
                <w:numId w:val="5"/>
              </w:numPr>
              <w:spacing w:before="120" w:after="120"/>
              <w:ind w:left="447"/>
              <w:contextualSpacing w:val="0"/>
              <w:jc w:val="left"/>
              <w:rPr>
                <w:rFonts w:cs="Arial"/>
                <w:sz w:val="22"/>
                <w:szCs w:val="22"/>
              </w:rPr>
            </w:pPr>
          </w:p>
        </w:tc>
        <w:tc>
          <w:tcPr>
            <w:tcW w:w="3342" w:type="dxa"/>
          </w:tcPr>
          <w:p w14:paraId="046D2E7E"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Pamphlets</w:t>
            </w:r>
          </w:p>
        </w:tc>
        <w:tc>
          <w:tcPr>
            <w:tcW w:w="5305" w:type="dxa"/>
          </w:tcPr>
          <w:p w14:paraId="6B9D512B"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Pamphlets can be very useful in providing brief descriptions of the role and services of the courts in particular jurisdictions or matters - for example, crime, land disputes, domestic violence. They should be written in local language and preferably include graphics. They are generally simple and cheap to produce in-house.</w:t>
            </w:r>
          </w:p>
          <w:p w14:paraId="5376621C" w14:textId="3DAED298"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Kiribati has recently produced more than a dozen brochures on various functions</w:t>
            </w:r>
            <w:r w:rsidR="00F84F25" w:rsidRPr="00DB0718">
              <w:rPr>
                <w:rFonts w:ascii="Arial Narrow" w:hAnsi="Arial Narrow" w:cs="Arial"/>
                <w:sz w:val="22"/>
                <w:szCs w:val="22"/>
              </w:rPr>
              <w:t xml:space="preserve"> of the courts </w:t>
            </w:r>
            <w:r w:rsidRPr="00DB0718">
              <w:rPr>
                <w:rFonts w:ascii="Arial Narrow" w:hAnsi="Arial Narrow" w:cs="Arial"/>
                <w:sz w:val="22"/>
                <w:szCs w:val="22"/>
              </w:rPr>
              <w:t>which were distributed at its ‘open day’. It is also planning to produce pamphlets for specific needy or vulnerable groups (rather than topics) such as women, youth and old people.</w:t>
            </w:r>
          </w:p>
          <w:p w14:paraId="0D3FBDB5" w14:textId="4324E4F2" w:rsidR="00B707D6" w:rsidRPr="00DB0718" w:rsidRDefault="00B707D6" w:rsidP="00932D55">
            <w:pPr>
              <w:spacing w:before="120" w:after="120"/>
              <w:jc w:val="left"/>
              <w:rPr>
                <w:rFonts w:ascii="Arial Narrow" w:hAnsi="Arial Narrow" w:cs="Arial"/>
                <w:sz w:val="22"/>
                <w:szCs w:val="22"/>
              </w:rPr>
            </w:pPr>
            <w:r w:rsidRPr="00DB0718">
              <w:rPr>
                <w:rFonts w:ascii="Arial Narrow" w:hAnsi="Arial Narrow" w:cs="Arial"/>
                <w:sz w:val="22"/>
                <w:szCs w:val="22"/>
              </w:rPr>
              <w:t>Vanuatu is in the process of printing 24 pamphlets on many aspects of court proceedings.</w:t>
            </w:r>
          </w:p>
        </w:tc>
      </w:tr>
      <w:tr w:rsidR="001E371F" w:rsidRPr="00E81DE3" w14:paraId="0A4CB97E" w14:textId="77777777" w:rsidTr="00DB0718">
        <w:tc>
          <w:tcPr>
            <w:tcW w:w="704" w:type="dxa"/>
          </w:tcPr>
          <w:p w14:paraId="5D5953BD" w14:textId="77777777" w:rsidR="001E371F" w:rsidRPr="00DB0718" w:rsidRDefault="001E371F" w:rsidP="00DB0718">
            <w:pPr>
              <w:pStyle w:val="ListParagraph"/>
              <w:numPr>
                <w:ilvl w:val="0"/>
                <w:numId w:val="5"/>
              </w:numPr>
              <w:spacing w:before="120" w:after="120"/>
              <w:ind w:left="447"/>
              <w:contextualSpacing w:val="0"/>
              <w:jc w:val="left"/>
              <w:rPr>
                <w:rFonts w:cs="Arial"/>
                <w:sz w:val="22"/>
                <w:szCs w:val="22"/>
              </w:rPr>
            </w:pPr>
          </w:p>
        </w:tc>
        <w:tc>
          <w:tcPr>
            <w:tcW w:w="3342" w:type="dxa"/>
          </w:tcPr>
          <w:p w14:paraId="46EE5DFD"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w:t>
            </w:r>
            <w:r w:rsidRPr="00DB0718">
              <w:rPr>
                <w:rFonts w:ascii="Arial Narrow" w:hAnsi="Arial Narrow" w:cs="Arial"/>
                <w:i/>
                <w:iCs/>
                <w:sz w:val="22"/>
                <w:szCs w:val="22"/>
              </w:rPr>
              <w:t>Know Your Rights</w:t>
            </w:r>
            <w:r w:rsidRPr="00DB0718">
              <w:rPr>
                <w:rFonts w:ascii="Arial Narrow" w:hAnsi="Arial Narrow" w:cs="Arial"/>
                <w:sz w:val="22"/>
                <w:szCs w:val="22"/>
              </w:rPr>
              <w:t xml:space="preserve">” Guidance </w:t>
            </w:r>
          </w:p>
        </w:tc>
        <w:tc>
          <w:tcPr>
            <w:tcW w:w="5305" w:type="dxa"/>
          </w:tcPr>
          <w:p w14:paraId="41989511" w14:textId="34F6D916"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 xml:space="preserve">This brochure (see: </w:t>
            </w:r>
            <w:r w:rsidR="00A15958" w:rsidRPr="00A15958">
              <w:rPr>
                <w:rFonts w:ascii="Arial Narrow" w:hAnsi="Arial Narrow" w:cs="Arial"/>
                <w:sz w:val="22"/>
                <w:szCs w:val="22"/>
              </w:rPr>
              <w:t>A</w:t>
            </w:r>
            <w:r w:rsidRPr="00A15958">
              <w:rPr>
                <w:rFonts w:ascii="Arial Narrow" w:hAnsi="Arial Narrow" w:cs="Arial"/>
                <w:sz w:val="22"/>
                <w:szCs w:val="22"/>
              </w:rPr>
              <w:t xml:space="preserve">nnex </w:t>
            </w:r>
            <w:r w:rsidR="00A15958" w:rsidRPr="00A15958">
              <w:rPr>
                <w:rFonts w:ascii="Arial Narrow" w:hAnsi="Arial Narrow" w:cs="Arial"/>
                <w:sz w:val="22"/>
                <w:szCs w:val="22"/>
              </w:rPr>
              <w:t>3B</w:t>
            </w:r>
            <w:r w:rsidRPr="00A15958">
              <w:rPr>
                <w:rFonts w:ascii="Arial Narrow" w:hAnsi="Arial Narrow" w:cs="Arial"/>
                <w:sz w:val="22"/>
                <w:szCs w:val="22"/>
              </w:rPr>
              <w:t>)</w:t>
            </w:r>
            <w:r w:rsidRPr="00DB0718">
              <w:rPr>
                <w:rFonts w:ascii="Arial Narrow" w:hAnsi="Arial Narrow" w:cs="Arial"/>
                <w:sz w:val="22"/>
                <w:szCs w:val="22"/>
              </w:rPr>
              <w:t xml:space="preserve"> was piloted in Kiribati and adapted in FSM, RMI and the Cook Islands. It provides essential basic information on the role of the courts; and it also explains people’s fundamental legal rights, particularly in criminal proceedings, and also</w:t>
            </w:r>
            <w:r w:rsidR="004371A1" w:rsidRPr="00DB0718">
              <w:rPr>
                <w:rFonts w:ascii="Arial Narrow" w:hAnsi="Arial Narrow" w:cs="Arial"/>
                <w:sz w:val="22"/>
                <w:szCs w:val="22"/>
              </w:rPr>
              <w:t xml:space="preserve"> civil disputes</w:t>
            </w:r>
            <w:r w:rsidRPr="00DB0718">
              <w:rPr>
                <w:rFonts w:ascii="Arial Narrow" w:hAnsi="Arial Narrow" w:cs="Arial"/>
                <w:sz w:val="22"/>
                <w:szCs w:val="22"/>
              </w:rPr>
              <w:t>. It should be printed in local language and distributed to district and local authorities in remote communities.</w:t>
            </w:r>
          </w:p>
          <w:p w14:paraId="159B8512" w14:textId="2CB48F74"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Some courts, like Kiribati, have circulated a general guidance; while others, like Vanuatu, are producing separate guidance</w:t>
            </w:r>
            <w:r w:rsidR="00B93EF1" w:rsidRPr="00DB0718">
              <w:rPr>
                <w:rFonts w:ascii="Arial Narrow" w:hAnsi="Arial Narrow" w:cs="Arial"/>
                <w:sz w:val="22"/>
                <w:szCs w:val="22"/>
              </w:rPr>
              <w:t xml:space="preserve"> note</w:t>
            </w:r>
            <w:r w:rsidRPr="00DB0718">
              <w:rPr>
                <w:rFonts w:ascii="Arial Narrow" w:hAnsi="Arial Narrow" w:cs="Arial"/>
                <w:sz w:val="22"/>
                <w:szCs w:val="22"/>
              </w:rPr>
              <w:t>s for criminal and civil proceedings</w:t>
            </w:r>
            <w:r w:rsidR="004371A1" w:rsidRPr="00DB0718">
              <w:rPr>
                <w:rFonts w:ascii="Arial Narrow" w:hAnsi="Arial Narrow" w:cs="Arial"/>
                <w:sz w:val="22"/>
                <w:szCs w:val="22"/>
              </w:rPr>
              <w:t xml:space="preserve"> among others</w:t>
            </w:r>
            <w:r w:rsidRPr="00DB0718">
              <w:rPr>
                <w:rFonts w:ascii="Arial Narrow" w:hAnsi="Arial Narrow" w:cs="Arial"/>
                <w:sz w:val="22"/>
                <w:szCs w:val="22"/>
              </w:rPr>
              <w:t xml:space="preserve">. </w:t>
            </w:r>
          </w:p>
        </w:tc>
      </w:tr>
      <w:tr w:rsidR="001E371F" w:rsidRPr="00E81DE3" w14:paraId="03D41825" w14:textId="77777777" w:rsidTr="00DB0718">
        <w:tc>
          <w:tcPr>
            <w:tcW w:w="704" w:type="dxa"/>
          </w:tcPr>
          <w:p w14:paraId="3C74C1DC" w14:textId="77777777" w:rsidR="001E371F" w:rsidRPr="00DB0718" w:rsidRDefault="001E371F" w:rsidP="00DB0718">
            <w:pPr>
              <w:pStyle w:val="ListParagraph"/>
              <w:numPr>
                <w:ilvl w:val="0"/>
                <w:numId w:val="5"/>
              </w:numPr>
              <w:spacing w:before="120" w:after="120"/>
              <w:ind w:left="447"/>
              <w:contextualSpacing w:val="0"/>
              <w:jc w:val="left"/>
              <w:rPr>
                <w:rFonts w:cs="Arial"/>
                <w:sz w:val="22"/>
                <w:szCs w:val="22"/>
              </w:rPr>
            </w:pPr>
          </w:p>
        </w:tc>
        <w:tc>
          <w:tcPr>
            <w:tcW w:w="3342" w:type="dxa"/>
          </w:tcPr>
          <w:p w14:paraId="663DD968"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Posters</w:t>
            </w:r>
          </w:p>
        </w:tc>
        <w:tc>
          <w:tcPr>
            <w:tcW w:w="5305" w:type="dxa"/>
          </w:tcPr>
          <w:p w14:paraId="6DCA455E" w14:textId="55C7BFC6"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 xml:space="preserve">Posters are very useful in displaying brief messages of public importance relating to the role and services of the courts in </w:t>
            </w:r>
            <w:r w:rsidRPr="00DB0718">
              <w:rPr>
                <w:rFonts w:ascii="Arial Narrow" w:hAnsi="Arial Narrow" w:cs="Arial"/>
                <w:sz w:val="22"/>
                <w:szCs w:val="22"/>
              </w:rPr>
              <w:lastRenderedPageBreak/>
              <w:t>particular jurisdictions or matters - for example, crime, land disputes, domestic violence</w:t>
            </w:r>
            <w:r w:rsidR="00B707D6" w:rsidRPr="00DB0718">
              <w:rPr>
                <w:rFonts w:ascii="Arial Narrow" w:hAnsi="Arial Narrow" w:cs="Arial"/>
                <w:sz w:val="22"/>
                <w:szCs w:val="22"/>
              </w:rPr>
              <w:t xml:space="preserve"> and any special Covid-19 procedures</w:t>
            </w:r>
            <w:r w:rsidRPr="00DB0718">
              <w:rPr>
                <w:rFonts w:ascii="Arial Narrow" w:hAnsi="Arial Narrow" w:cs="Arial"/>
                <w:sz w:val="22"/>
                <w:szCs w:val="22"/>
              </w:rPr>
              <w:t xml:space="preserve"> - in local language and preferably with graphics. They can be easily displayed on court, government, school and community notice boards. If displayed outside, they should be behind glass or laminated to preserve condition.</w:t>
            </w:r>
          </w:p>
        </w:tc>
      </w:tr>
      <w:tr w:rsidR="001E371F" w:rsidRPr="00E81DE3" w14:paraId="63189D02" w14:textId="77777777" w:rsidTr="00DB0718">
        <w:tc>
          <w:tcPr>
            <w:tcW w:w="704" w:type="dxa"/>
          </w:tcPr>
          <w:p w14:paraId="7AAEF39E" w14:textId="77777777" w:rsidR="001E371F" w:rsidRPr="00DB0718" w:rsidRDefault="001E371F" w:rsidP="00DB0718">
            <w:pPr>
              <w:pStyle w:val="ListParagraph"/>
              <w:numPr>
                <w:ilvl w:val="0"/>
                <w:numId w:val="5"/>
              </w:numPr>
              <w:spacing w:before="120" w:after="120"/>
              <w:ind w:left="447"/>
              <w:contextualSpacing w:val="0"/>
              <w:jc w:val="left"/>
              <w:rPr>
                <w:rFonts w:cs="Arial"/>
                <w:sz w:val="22"/>
                <w:szCs w:val="22"/>
              </w:rPr>
            </w:pPr>
          </w:p>
        </w:tc>
        <w:tc>
          <w:tcPr>
            <w:tcW w:w="3342" w:type="dxa"/>
          </w:tcPr>
          <w:p w14:paraId="24C4ECBC"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Radio show, interviews</w:t>
            </w:r>
          </w:p>
        </w:tc>
        <w:tc>
          <w:tcPr>
            <w:tcW w:w="5305" w:type="dxa"/>
          </w:tcPr>
          <w:p w14:paraId="31BAB759" w14:textId="2178AB74" w:rsidR="001E371F" w:rsidRPr="00DB0718" w:rsidRDefault="001E371F" w:rsidP="00F84F25">
            <w:pPr>
              <w:spacing w:before="120" w:after="120"/>
              <w:jc w:val="left"/>
              <w:rPr>
                <w:rFonts w:ascii="Arial Narrow" w:hAnsi="Arial Narrow" w:cs="Arial"/>
                <w:sz w:val="22"/>
                <w:szCs w:val="22"/>
              </w:rPr>
            </w:pPr>
            <w:r w:rsidRPr="00DB0718">
              <w:rPr>
                <w:rFonts w:ascii="Arial Narrow" w:hAnsi="Arial Narrow" w:cs="Arial"/>
                <w:sz w:val="22"/>
                <w:szCs w:val="22"/>
              </w:rPr>
              <w:t>Over the years, some courts</w:t>
            </w:r>
            <w:r w:rsidR="00F84F25" w:rsidRPr="00DB0718">
              <w:rPr>
                <w:rFonts w:ascii="Arial Narrow" w:hAnsi="Arial Narrow" w:cs="Arial"/>
                <w:sz w:val="22"/>
                <w:szCs w:val="22"/>
              </w:rPr>
              <w:t xml:space="preserve"> including </w:t>
            </w:r>
            <w:r w:rsidR="00B707D6" w:rsidRPr="00DB0718">
              <w:rPr>
                <w:rFonts w:ascii="Arial Narrow" w:hAnsi="Arial Narrow" w:cs="Arial"/>
                <w:sz w:val="22"/>
                <w:szCs w:val="22"/>
              </w:rPr>
              <w:t xml:space="preserve">RMI and Kiribati </w:t>
            </w:r>
            <w:r w:rsidRPr="00DB0718">
              <w:rPr>
                <w:rFonts w:ascii="Arial Narrow" w:hAnsi="Arial Narrow" w:cs="Arial"/>
                <w:sz w:val="22"/>
                <w:szCs w:val="22"/>
              </w:rPr>
              <w:t>have regularly conducted talk shows on public radio of about 30 minutes duration on a monthly basis. The advantage is these programs has been that they are generally popular, usually have wide community reach, and are low cost for the court to produce. It is recommended that thought be given to preparing a script of discussions in advance - in terms of topics, questions and answers, to keep the conversations on track.</w:t>
            </w:r>
          </w:p>
        </w:tc>
      </w:tr>
      <w:tr w:rsidR="001E371F" w:rsidRPr="00E81DE3" w14:paraId="2B17C0E2" w14:textId="77777777" w:rsidTr="00DB0718">
        <w:tc>
          <w:tcPr>
            <w:tcW w:w="704" w:type="dxa"/>
          </w:tcPr>
          <w:p w14:paraId="424C4119" w14:textId="77777777" w:rsidR="001E371F" w:rsidRPr="00DB0718" w:rsidRDefault="001E371F" w:rsidP="00DB0718">
            <w:pPr>
              <w:pStyle w:val="ListParagraph"/>
              <w:numPr>
                <w:ilvl w:val="0"/>
                <w:numId w:val="5"/>
              </w:numPr>
              <w:spacing w:before="120" w:after="120"/>
              <w:ind w:left="447"/>
              <w:contextualSpacing w:val="0"/>
              <w:jc w:val="left"/>
              <w:rPr>
                <w:rFonts w:cs="Arial"/>
                <w:sz w:val="22"/>
                <w:szCs w:val="22"/>
              </w:rPr>
            </w:pPr>
          </w:p>
        </w:tc>
        <w:tc>
          <w:tcPr>
            <w:tcW w:w="3342" w:type="dxa"/>
          </w:tcPr>
          <w:p w14:paraId="026A4117"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 xml:space="preserve">Video </w:t>
            </w:r>
          </w:p>
        </w:tc>
        <w:tc>
          <w:tcPr>
            <w:tcW w:w="5305" w:type="dxa"/>
          </w:tcPr>
          <w:p w14:paraId="414FBD23"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While videos take more effort and resources to produce, they have a long ‘shelf life’ and can be used often. Recently, a video has been produced for public broadcast explaining the role of the courts and the Centre for Judicial Excellence in PNG.</w:t>
            </w:r>
          </w:p>
        </w:tc>
      </w:tr>
      <w:tr w:rsidR="001E371F" w:rsidRPr="00E81DE3" w14:paraId="5F36118E" w14:textId="77777777" w:rsidTr="00DB0718">
        <w:tc>
          <w:tcPr>
            <w:tcW w:w="704" w:type="dxa"/>
          </w:tcPr>
          <w:p w14:paraId="494F6E6D" w14:textId="77777777" w:rsidR="001E371F" w:rsidRPr="00DB0718" w:rsidRDefault="001E371F" w:rsidP="00DB0718">
            <w:pPr>
              <w:pStyle w:val="ListParagraph"/>
              <w:numPr>
                <w:ilvl w:val="0"/>
                <w:numId w:val="5"/>
              </w:numPr>
              <w:spacing w:before="120" w:after="120"/>
              <w:ind w:left="447"/>
              <w:contextualSpacing w:val="0"/>
              <w:jc w:val="left"/>
              <w:rPr>
                <w:rFonts w:cs="Arial"/>
                <w:sz w:val="22"/>
                <w:szCs w:val="22"/>
              </w:rPr>
            </w:pPr>
          </w:p>
        </w:tc>
        <w:tc>
          <w:tcPr>
            <w:tcW w:w="3342" w:type="dxa"/>
          </w:tcPr>
          <w:p w14:paraId="074C1AA7"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 xml:space="preserve">Needs questionnaires, exit surveys </w:t>
            </w:r>
          </w:p>
        </w:tc>
        <w:tc>
          <w:tcPr>
            <w:tcW w:w="5305" w:type="dxa"/>
          </w:tcPr>
          <w:p w14:paraId="0DA71DFC" w14:textId="1A754CD5"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 xml:space="preserve">Some courts conduct exit surveys of court users, such as </w:t>
            </w:r>
            <w:r w:rsidR="003949C5" w:rsidRPr="00DB0718">
              <w:rPr>
                <w:rFonts w:ascii="Arial Narrow" w:hAnsi="Arial Narrow" w:cs="Arial"/>
                <w:sz w:val="22"/>
                <w:szCs w:val="22"/>
              </w:rPr>
              <w:t>F</w:t>
            </w:r>
            <w:r w:rsidR="00164365" w:rsidRPr="00DB0718">
              <w:rPr>
                <w:rFonts w:ascii="Arial Narrow" w:hAnsi="Arial Narrow" w:cs="Arial"/>
                <w:sz w:val="22"/>
                <w:szCs w:val="22"/>
              </w:rPr>
              <w:t xml:space="preserve">ederated </w:t>
            </w:r>
            <w:r w:rsidR="003949C5" w:rsidRPr="00DB0718">
              <w:rPr>
                <w:rFonts w:ascii="Arial Narrow" w:hAnsi="Arial Narrow" w:cs="Arial"/>
                <w:sz w:val="22"/>
                <w:szCs w:val="22"/>
              </w:rPr>
              <w:t>S</w:t>
            </w:r>
            <w:r w:rsidR="00164365" w:rsidRPr="00DB0718">
              <w:rPr>
                <w:rFonts w:ascii="Arial Narrow" w:hAnsi="Arial Narrow" w:cs="Arial"/>
                <w:sz w:val="22"/>
                <w:szCs w:val="22"/>
              </w:rPr>
              <w:t xml:space="preserve">tates of </w:t>
            </w:r>
            <w:r w:rsidR="003949C5" w:rsidRPr="00DB0718">
              <w:rPr>
                <w:rFonts w:ascii="Arial Narrow" w:hAnsi="Arial Narrow" w:cs="Arial"/>
                <w:sz w:val="22"/>
                <w:szCs w:val="22"/>
              </w:rPr>
              <w:t>M</w:t>
            </w:r>
            <w:r w:rsidR="00164365" w:rsidRPr="00DB0718">
              <w:rPr>
                <w:rFonts w:ascii="Arial Narrow" w:hAnsi="Arial Narrow" w:cs="Arial"/>
                <w:sz w:val="22"/>
                <w:szCs w:val="22"/>
              </w:rPr>
              <w:t>icronesia</w:t>
            </w:r>
            <w:r w:rsidR="003949C5" w:rsidRPr="00DB0718">
              <w:rPr>
                <w:rFonts w:ascii="Arial Narrow" w:hAnsi="Arial Narrow" w:cs="Arial"/>
                <w:sz w:val="22"/>
                <w:szCs w:val="22"/>
              </w:rPr>
              <w:t xml:space="preserve">, Palau, and </w:t>
            </w:r>
            <w:r w:rsidRPr="00DB0718">
              <w:rPr>
                <w:rFonts w:ascii="Arial Narrow" w:hAnsi="Arial Narrow" w:cs="Arial"/>
                <w:sz w:val="22"/>
                <w:szCs w:val="22"/>
              </w:rPr>
              <w:t>R</w:t>
            </w:r>
            <w:r w:rsidR="00164365" w:rsidRPr="00DB0718">
              <w:rPr>
                <w:rFonts w:ascii="Arial Narrow" w:hAnsi="Arial Narrow" w:cs="Arial"/>
                <w:sz w:val="22"/>
                <w:szCs w:val="22"/>
              </w:rPr>
              <w:t xml:space="preserve">epublic of </w:t>
            </w:r>
            <w:r w:rsidRPr="00DB0718">
              <w:rPr>
                <w:rFonts w:ascii="Arial Narrow" w:hAnsi="Arial Narrow" w:cs="Arial"/>
                <w:sz w:val="22"/>
                <w:szCs w:val="22"/>
              </w:rPr>
              <w:t>M</w:t>
            </w:r>
            <w:r w:rsidR="00164365" w:rsidRPr="00DB0718">
              <w:rPr>
                <w:rFonts w:ascii="Arial Narrow" w:hAnsi="Arial Narrow" w:cs="Arial"/>
                <w:sz w:val="22"/>
                <w:szCs w:val="22"/>
              </w:rPr>
              <w:t xml:space="preserve">arshall </w:t>
            </w:r>
            <w:r w:rsidRPr="00DB0718">
              <w:rPr>
                <w:rFonts w:ascii="Arial Narrow" w:hAnsi="Arial Narrow" w:cs="Arial"/>
                <w:sz w:val="22"/>
                <w:szCs w:val="22"/>
              </w:rPr>
              <w:t>I</w:t>
            </w:r>
            <w:r w:rsidR="00164365" w:rsidRPr="00DB0718">
              <w:rPr>
                <w:rFonts w:ascii="Arial Narrow" w:hAnsi="Arial Narrow" w:cs="Arial"/>
                <w:sz w:val="22"/>
                <w:szCs w:val="22"/>
              </w:rPr>
              <w:t>slands</w:t>
            </w:r>
            <w:r w:rsidRPr="00DB0718">
              <w:rPr>
                <w:rFonts w:ascii="Arial Narrow" w:hAnsi="Arial Narrow" w:cs="Arial"/>
                <w:sz w:val="22"/>
                <w:szCs w:val="22"/>
              </w:rPr>
              <w:t>. The courts of Kiribati are considering questionnaires for the pub</w:t>
            </w:r>
            <w:r w:rsidR="00F84F25" w:rsidRPr="00DB0718">
              <w:rPr>
                <w:rFonts w:ascii="Arial Narrow" w:hAnsi="Arial Narrow" w:cs="Arial"/>
                <w:sz w:val="22"/>
                <w:szCs w:val="22"/>
              </w:rPr>
              <w:t>l</w:t>
            </w:r>
            <w:r w:rsidRPr="00DB0718">
              <w:rPr>
                <w:rFonts w:ascii="Arial Narrow" w:hAnsi="Arial Narrow" w:cs="Arial"/>
                <w:sz w:val="22"/>
                <w:szCs w:val="22"/>
              </w:rPr>
              <w:t>ic to raise questions about the courts, law and justice that they can address.</w:t>
            </w:r>
          </w:p>
        </w:tc>
      </w:tr>
      <w:tr w:rsidR="001E371F" w:rsidRPr="00E81DE3" w14:paraId="383199F1" w14:textId="77777777" w:rsidTr="00DB0718">
        <w:tc>
          <w:tcPr>
            <w:tcW w:w="704" w:type="dxa"/>
          </w:tcPr>
          <w:p w14:paraId="384C5997" w14:textId="77777777" w:rsidR="001E371F" w:rsidRPr="00DB0718" w:rsidRDefault="001E371F" w:rsidP="00DB0718">
            <w:pPr>
              <w:pStyle w:val="ListParagraph"/>
              <w:numPr>
                <w:ilvl w:val="0"/>
                <w:numId w:val="5"/>
              </w:numPr>
              <w:spacing w:before="120" w:after="120"/>
              <w:ind w:left="447"/>
              <w:contextualSpacing w:val="0"/>
              <w:jc w:val="left"/>
              <w:rPr>
                <w:rFonts w:cs="Arial"/>
                <w:sz w:val="22"/>
                <w:szCs w:val="22"/>
              </w:rPr>
            </w:pPr>
          </w:p>
        </w:tc>
        <w:tc>
          <w:tcPr>
            <w:tcW w:w="3342" w:type="dxa"/>
          </w:tcPr>
          <w:p w14:paraId="6415CA00"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Circuit court meetings</w:t>
            </w:r>
          </w:p>
        </w:tc>
        <w:tc>
          <w:tcPr>
            <w:tcW w:w="5305" w:type="dxa"/>
          </w:tcPr>
          <w:p w14:paraId="5715EC23"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 xml:space="preserve">Some courts conduct public meetings after court circuit sittings in remote communities periodically. These sessions should coordinate with and include the other justice sector actors - prosecution/police, defenders and bar - to give presentations on their role and form a panel discussion for questions. Their advantages are that they are quite simple to organise, usually at no cost. </w:t>
            </w:r>
          </w:p>
          <w:p w14:paraId="32F33B2A" w14:textId="56B09FDC" w:rsidR="00440779" w:rsidRPr="00DB0718" w:rsidRDefault="00440779" w:rsidP="00440779">
            <w:pPr>
              <w:rPr>
                <w:rFonts w:ascii="Arial Narrow" w:hAnsi="Arial Narrow"/>
                <w:sz w:val="22"/>
                <w:szCs w:val="22"/>
              </w:rPr>
            </w:pPr>
            <w:r w:rsidRPr="00DB0718">
              <w:rPr>
                <w:rFonts w:ascii="Arial Narrow" w:hAnsi="Arial Narrow"/>
                <w:sz w:val="22"/>
                <w:szCs w:val="22"/>
              </w:rPr>
              <w:t>Vanuatu currently plans to develop a grass-roots approach for the Courts’ engagement with the community by undertaking consultation in conjunction with court circuits.</w:t>
            </w:r>
          </w:p>
        </w:tc>
      </w:tr>
      <w:tr w:rsidR="001E371F" w:rsidRPr="00E81DE3" w14:paraId="6005E4E3" w14:textId="77777777" w:rsidTr="00DB0718">
        <w:tc>
          <w:tcPr>
            <w:tcW w:w="704" w:type="dxa"/>
          </w:tcPr>
          <w:p w14:paraId="61EB8AAA" w14:textId="77777777" w:rsidR="001E371F" w:rsidRPr="00DB0718" w:rsidRDefault="001E371F" w:rsidP="00DB0718">
            <w:pPr>
              <w:pStyle w:val="ListParagraph"/>
              <w:numPr>
                <w:ilvl w:val="0"/>
                <w:numId w:val="5"/>
              </w:numPr>
              <w:spacing w:before="120" w:after="120"/>
              <w:ind w:left="447"/>
              <w:contextualSpacing w:val="0"/>
              <w:jc w:val="left"/>
              <w:rPr>
                <w:rFonts w:cs="Arial"/>
                <w:sz w:val="22"/>
                <w:szCs w:val="22"/>
              </w:rPr>
            </w:pPr>
          </w:p>
        </w:tc>
        <w:tc>
          <w:tcPr>
            <w:tcW w:w="3342" w:type="dxa"/>
          </w:tcPr>
          <w:p w14:paraId="24338CFA"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Court registry training</w:t>
            </w:r>
          </w:p>
        </w:tc>
        <w:tc>
          <w:tcPr>
            <w:tcW w:w="5305" w:type="dxa"/>
          </w:tcPr>
          <w:p w14:paraId="5F57C956"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 xml:space="preserve">Some courts conduct training on public relations, customer service, inquiries, referrals to other service providers. While this training is internal for court staff, it focuses externally on engagement with the public and community. </w:t>
            </w:r>
          </w:p>
          <w:p w14:paraId="68B417E7" w14:textId="06F8BC8D" w:rsidR="00440779" w:rsidRPr="00DB0718" w:rsidRDefault="009105B3" w:rsidP="00440779">
            <w:pPr>
              <w:pStyle w:val="CommentText"/>
              <w:rPr>
                <w:rFonts w:ascii="Arial Narrow" w:hAnsi="Arial Narrow"/>
                <w:sz w:val="22"/>
                <w:szCs w:val="22"/>
              </w:rPr>
            </w:pPr>
            <w:r w:rsidRPr="00DB0718">
              <w:rPr>
                <w:rFonts w:ascii="Arial Narrow" w:hAnsi="Arial Narrow"/>
                <w:sz w:val="22"/>
                <w:szCs w:val="22"/>
              </w:rPr>
              <w:t xml:space="preserve">In recent years, </w:t>
            </w:r>
            <w:r w:rsidR="00440779" w:rsidRPr="00DB0718">
              <w:rPr>
                <w:rFonts w:ascii="Arial Narrow" w:hAnsi="Arial Narrow"/>
                <w:sz w:val="22"/>
                <w:szCs w:val="22"/>
              </w:rPr>
              <w:t xml:space="preserve">Palau, Papua New Guinea and Kiribati </w:t>
            </w:r>
            <w:r w:rsidRPr="00DB0718">
              <w:rPr>
                <w:rFonts w:ascii="Arial Narrow" w:hAnsi="Arial Narrow"/>
                <w:sz w:val="22"/>
                <w:szCs w:val="22"/>
              </w:rPr>
              <w:t>have conducted s</w:t>
            </w:r>
            <w:r w:rsidR="00440779" w:rsidRPr="00DB0718">
              <w:rPr>
                <w:rFonts w:ascii="Arial Narrow" w:hAnsi="Arial Narrow"/>
                <w:sz w:val="22"/>
                <w:szCs w:val="22"/>
              </w:rPr>
              <w:t>ervice training for their registry</w:t>
            </w:r>
            <w:r w:rsidRPr="00DB0718">
              <w:rPr>
                <w:rFonts w:ascii="Arial Narrow" w:hAnsi="Arial Narrow"/>
                <w:sz w:val="22"/>
                <w:szCs w:val="22"/>
              </w:rPr>
              <w:t xml:space="preserve"> staff.</w:t>
            </w:r>
          </w:p>
        </w:tc>
      </w:tr>
      <w:tr w:rsidR="001E371F" w:rsidRPr="00E81DE3" w14:paraId="0A2D0462" w14:textId="77777777" w:rsidTr="00DB0718">
        <w:tc>
          <w:tcPr>
            <w:tcW w:w="704" w:type="dxa"/>
          </w:tcPr>
          <w:p w14:paraId="5D2ACEDA" w14:textId="77777777" w:rsidR="001E371F" w:rsidRPr="00DB0718" w:rsidRDefault="001E371F" w:rsidP="00DB0718">
            <w:pPr>
              <w:pStyle w:val="ListParagraph"/>
              <w:numPr>
                <w:ilvl w:val="0"/>
                <w:numId w:val="5"/>
              </w:numPr>
              <w:spacing w:before="120" w:after="120"/>
              <w:ind w:left="447"/>
              <w:contextualSpacing w:val="0"/>
              <w:jc w:val="left"/>
              <w:rPr>
                <w:rFonts w:cs="Arial"/>
                <w:sz w:val="22"/>
                <w:szCs w:val="22"/>
              </w:rPr>
            </w:pPr>
          </w:p>
        </w:tc>
        <w:tc>
          <w:tcPr>
            <w:tcW w:w="3342" w:type="dxa"/>
          </w:tcPr>
          <w:p w14:paraId="4E4E5ABC"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Court technology, data management upgrades</w:t>
            </w:r>
          </w:p>
        </w:tc>
        <w:tc>
          <w:tcPr>
            <w:tcW w:w="5305" w:type="dxa"/>
          </w:tcPr>
          <w:p w14:paraId="449DD1C4"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A number of courts are upgrading their information communication technologies (ICT) relating to public information and community relations as part of their broader strategic planning and data management systems.</w:t>
            </w:r>
          </w:p>
          <w:p w14:paraId="2EFBBA76" w14:textId="3647026C" w:rsidR="008050D6" w:rsidRPr="00DB0718" w:rsidRDefault="008050D6" w:rsidP="00A15958">
            <w:pPr>
              <w:pStyle w:val="CommentText"/>
              <w:jc w:val="left"/>
              <w:rPr>
                <w:rFonts w:ascii="Arial Narrow" w:hAnsi="Arial Narrow"/>
                <w:sz w:val="22"/>
                <w:szCs w:val="22"/>
              </w:rPr>
            </w:pPr>
            <w:r w:rsidRPr="00DB0718">
              <w:rPr>
                <w:rFonts w:ascii="Arial Narrow" w:hAnsi="Arial Narrow"/>
                <w:sz w:val="22"/>
                <w:szCs w:val="22"/>
              </w:rPr>
              <w:t xml:space="preserve">These courts include implementing electronic case tracking systems in RMI, FSM, and Nauru; and excel-based case </w:t>
            </w:r>
            <w:r w:rsidRPr="00DB0718">
              <w:rPr>
                <w:rFonts w:ascii="Arial Narrow" w:hAnsi="Arial Narrow"/>
                <w:sz w:val="22"/>
                <w:szCs w:val="22"/>
              </w:rPr>
              <w:lastRenderedPageBreak/>
              <w:t>tracking system in Tuvalu and Niue.</w:t>
            </w:r>
          </w:p>
        </w:tc>
      </w:tr>
      <w:tr w:rsidR="001E371F" w:rsidRPr="00E81DE3" w14:paraId="292115D7" w14:textId="77777777" w:rsidTr="00DB0718">
        <w:tc>
          <w:tcPr>
            <w:tcW w:w="704" w:type="dxa"/>
          </w:tcPr>
          <w:p w14:paraId="7C0DC9F6" w14:textId="77777777" w:rsidR="001E371F" w:rsidRPr="00DB0718" w:rsidRDefault="001E371F" w:rsidP="00DB0718">
            <w:pPr>
              <w:pStyle w:val="ListParagraph"/>
              <w:numPr>
                <w:ilvl w:val="0"/>
                <w:numId w:val="5"/>
              </w:numPr>
              <w:spacing w:before="120" w:after="120"/>
              <w:ind w:left="447"/>
              <w:contextualSpacing w:val="0"/>
              <w:jc w:val="left"/>
              <w:rPr>
                <w:rFonts w:cs="Arial"/>
                <w:sz w:val="22"/>
                <w:szCs w:val="22"/>
              </w:rPr>
            </w:pPr>
          </w:p>
        </w:tc>
        <w:tc>
          <w:tcPr>
            <w:tcW w:w="3342" w:type="dxa"/>
          </w:tcPr>
          <w:p w14:paraId="3809E292"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Website public information page(s)</w:t>
            </w:r>
          </w:p>
        </w:tc>
        <w:tc>
          <w:tcPr>
            <w:tcW w:w="5305" w:type="dxa"/>
          </w:tcPr>
          <w:p w14:paraId="6E45CCC9"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Some courts that have websites, or share use of a website, have introduced dedicated public information pages to explain the role and functions of the court in brief simple language. These are separate and additional to pages for legal practitioners.</w:t>
            </w:r>
          </w:p>
          <w:p w14:paraId="06CE1B62"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For example, RMI has recently upgraded its website to include a new ‘Public Information’ page for interested citizens.</w:t>
            </w:r>
          </w:p>
          <w:p w14:paraId="2BFD227E" w14:textId="53D1BAC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 xml:space="preserve">Kiribati </w:t>
            </w:r>
            <w:r w:rsidR="008050D6" w:rsidRPr="00DB0718">
              <w:rPr>
                <w:rFonts w:ascii="Arial Narrow" w:hAnsi="Arial Narrow" w:cs="Arial"/>
                <w:sz w:val="22"/>
                <w:szCs w:val="22"/>
              </w:rPr>
              <w:t xml:space="preserve">and Nauru are </w:t>
            </w:r>
            <w:r w:rsidRPr="00DB0718">
              <w:rPr>
                <w:rFonts w:ascii="Arial Narrow" w:hAnsi="Arial Narrow" w:cs="Arial"/>
                <w:sz w:val="22"/>
                <w:szCs w:val="22"/>
              </w:rPr>
              <w:t>also reviewing</w:t>
            </w:r>
            <w:r w:rsidR="008050D6" w:rsidRPr="00DB0718">
              <w:rPr>
                <w:rFonts w:ascii="Arial Narrow" w:hAnsi="Arial Narrow" w:cs="Arial"/>
                <w:sz w:val="22"/>
                <w:szCs w:val="22"/>
              </w:rPr>
              <w:t>/</w:t>
            </w:r>
            <w:r w:rsidRPr="00DB0718">
              <w:rPr>
                <w:rFonts w:ascii="Arial Narrow" w:hAnsi="Arial Narrow" w:cs="Arial"/>
                <w:sz w:val="22"/>
                <w:szCs w:val="22"/>
              </w:rPr>
              <w:t xml:space="preserve">updating </w:t>
            </w:r>
            <w:r w:rsidR="008050D6" w:rsidRPr="00DB0718">
              <w:rPr>
                <w:rFonts w:ascii="Arial Narrow" w:hAnsi="Arial Narrow" w:cs="Arial"/>
                <w:sz w:val="22"/>
                <w:szCs w:val="22"/>
              </w:rPr>
              <w:t xml:space="preserve">their </w:t>
            </w:r>
            <w:r w:rsidRPr="00DB0718">
              <w:rPr>
                <w:rFonts w:ascii="Arial Narrow" w:hAnsi="Arial Narrow" w:cs="Arial"/>
                <w:sz w:val="22"/>
                <w:szCs w:val="22"/>
              </w:rPr>
              <w:t>website</w:t>
            </w:r>
            <w:r w:rsidR="008050D6" w:rsidRPr="00DB0718">
              <w:rPr>
                <w:rFonts w:ascii="Arial Narrow" w:hAnsi="Arial Narrow" w:cs="Arial"/>
                <w:sz w:val="22"/>
                <w:szCs w:val="22"/>
              </w:rPr>
              <w:t>s</w:t>
            </w:r>
            <w:r w:rsidRPr="00DB0718">
              <w:rPr>
                <w:rFonts w:ascii="Arial Narrow" w:hAnsi="Arial Narrow" w:cs="Arial"/>
                <w:sz w:val="22"/>
                <w:szCs w:val="22"/>
              </w:rPr>
              <w:t>, and creating a community relations database to track, manage and monitor its engagement activities as part of its ongoing access to justice strategy and managerial operating system.</w:t>
            </w:r>
          </w:p>
        </w:tc>
      </w:tr>
      <w:tr w:rsidR="001E371F" w:rsidRPr="00E81DE3" w14:paraId="520BA4FB" w14:textId="77777777" w:rsidTr="00DB0718">
        <w:tc>
          <w:tcPr>
            <w:tcW w:w="704" w:type="dxa"/>
          </w:tcPr>
          <w:p w14:paraId="754F9951" w14:textId="77777777" w:rsidR="001E371F" w:rsidRPr="00DB0718" w:rsidRDefault="001E371F" w:rsidP="00DB0718">
            <w:pPr>
              <w:pStyle w:val="ListParagraph"/>
              <w:numPr>
                <w:ilvl w:val="0"/>
                <w:numId w:val="5"/>
              </w:numPr>
              <w:spacing w:before="120" w:after="120"/>
              <w:ind w:left="447"/>
              <w:contextualSpacing w:val="0"/>
              <w:jc w:val="left"/>
              <w:rPr>
                <w:rFonts w:cs="Arial"/>
                <w:sz w:val="22"/>
                <w:szCs w:val="22"/>
              </w:rPr>
            </w:pPr>
          </w:p>
        </w:tc>
        <w:tc>
          <w:tcPr>
            <w:tcW w:w="3342" w:type="dxa"/>
          </w:tcPr>
          <w:p w14:paraId="09B9ABD2"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 xml:space="preserve">Cultural activities </w:t>
            </w:r>
          </w:p>
        </w:tc>
        <w:tc>
          <w:tcPr>
            <w:tcW w:w="5305" w:type="dxa"/>
          </w:tcPr>
          <w:p w14:paraId="33014047"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Some courts have found cultural activities are a locally compelling way to communicate interesting messages on law and justice. In Kiribati, for example, officers of the court recently conducted a song composition competition for school students which was well received. They are also planning a drama activity for the schools. Puppet shows have been successful in schools over the years.</w:t>
            </w:r>
          </w:p>
        </w:tc>
      </w:tr>
      <w:tr w:rsidR="001E371F" w:rsidRPr="00E81DE3" w14:paraId="05C1858F" w14:textId="77777777" w:rsidTr="00DB0718">
        <w:tc>
          <w:tcPr>
            <w:tcW w:w="704" w:type="dxa"/>
          </w:tcPr>
          <w:p w14:paraId="23C50C13" w14:textId="77777777" w:rsidR="001E371F" w:rsidRPr="00DB0718" w:rsidRDefault="001E371F" w:rsidP="00DB0718">
            <w:pPr>
              <w:pStyle w:val="ListParagraph"/>
              <w:numPr>
                <w:ilvl w:val="0"/>
                <w:numId w:val="5"/>
              </w:numPr>
              <w:spacing w:before="120" w:after="120"/>
              <w:ind w:left="447"/>
              <w:contextualSpacing w:val="0"/>
              <w:jc w:val="left"/>
              <w:rPr>
                <w:rFonts w:cs="Arial"/>
                <w:sz w:val="22"/>
                <w:szCs w:val="22"/>
              </w:rPr>
            </w:pPr>
          </w:p>
        </w:tc>
        <w:tc>
          <w:tcPr>
            <w:tcW w:w="3342" w:type="dxa"/>
          </w:tcPr>
          <w:p w14:paraId="596CF50A"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School curriculum</w:t>
            </w:r>
          </w:p>
        </w:tc>
        <w:tc>
          <w:tcPr>
            <w:tcW w:w="5305" w:type="dxa"/>
          </w:tcPr>
          <w:p w14:paraId="44016D0E" w14:textId="1538074C" w:rsidR="001E371F" w:rsidRPr="00DB0718" w:rsidRDefault="001E371F" w:rsidP="00C7469E">
            <w:pPr>
              <w:pStyle w:val="CommentText"/>
              <w:rPr>
                <w:rFonts w:ascii="Arial Narrow" w:hAnsi="Arial Narrow"/>
                <w:sz w:val="22"/>
                <w:szCs w:val="22"/>
              </w:rPr>
            </w:pPr>
            <w:r w:rsidRPr="00DB0718">
              <w:rPr>
                <w:rFonts w:ascii="Arial Narrow" w:hAnsi="Arial Narrow"/>
                <w:sz w:val="22"/>
                <w:szCs w:val="22"/>
              </w:rPr>
              <w:t xml:space="preserve">Discussions with the secondary school curriculum committee have been initiated in some countries to consider introducing education on the justice system, role and function of the courts, and legal rights as part of secondary school social studies courses. The reach and depth of this initiative is potentially very substantial. Materials may be extracted from </w:t>
            </w:r>
            <w:r w:rsidR="00607742" w:rsidRPr="00DB0718">
              <w:rPr>
                <w:rFonts w:ascii="Arial Narrow" w:hAnsi="Arial Narrow"/>
                <w:sz w:val="22"/>
                <w:szCs w:val="22"/>
              </w:rPr>
              <w:t xml:space="preserve">the </w:t>
            </w:r>
            <w:r w:rsidRPr="00DB0718">
              <w:rPr>
                <w:rFonts w:ascii="Arial Narrow" w:hAnsi="Arial Narrow"/>
                <w:sz w:val="22"/>
                <w:szCs w:val="22"/>
              </w:rPr>
              <w:t>U</w:t>
            </w:r>
            <w:r w:rsidR="00607742" w:rsidRPr="00DB0718">
              <w:rPr>
                <w:rFonts w:ascii="Arial Narrow" w:hAnsi="Arial Narrow"/>
                <w:sz w:val="22"/>
                <w:szCs w:val="22"/>
              </w:rPr>
              <w:t xml:space="preserve">niversity of the </w:t>
            </w:r>
            <w:r w:rsidRPr="00DB0718">
              <w:rPr>
                <w:rFonts w:ascii="Arial Narrow" w:hAnsi="Arial Narrow"/>
                <w:sz w:val="22"/>
                <w:szCs w:val="22"/>
              </w:rPr>
              <w:t>S</w:t>
            </w:r>
            <w:r w:rsidR="00607742" w:rsidRPr="00DB0718">
              <w:rPr>
                <w:rFonts w:ascii="Arial Narrow" w:hAnsi="Arial Narrow"/>
                <w:sz w:val="22"/>
                <w:szCs w:val="22"/>
              </w:rPr>
              <w:t xml:space="preserve">outh </w:t>
            </w:r>
            <w:r w:rsidRPr="00DB0718">
              <w:rPr>
                <w:rFonts w:ascii="Arial Narrow" w:hAnsi="Arial Narrow"/>
                <w:sz w:val="22"/>
                <w:szCs w:val="22"/>
              </w:rPr>
              <w:t>P</w:t>
            </w:r>
            <w:r w:rsidR="00607742" w:rsidRPr="00DB0718">
              <w:rPr>
                <w:rFonts w:ascii="Arial Narrow" w:hAnsi="Arial Narrow"/>
                <w:sz w:val="22"/>
                <w:szCs w:val="22"/>
              </w:rPr>
              <w:t>acific</w:t>
            </w:r>
            <w:r w:rsidRPr="00DB0718">
              <w:rPr>
                <w:rFonts w:ascii="Arial Narrow" w:hAnsi="Arial Narrow"/>
                <w:sz w:val="22"/>
                <w:szCs w:val="22"/>
              </w:rPr>
              <w:t xml:space="preserve">’s new </w:t>
            </w:r>
            <w:r w:rsidRPr="00DB0718">
              <w:rPr>
                <w:rFonts w:ascii="Arial Narrow" w:hAnsi="Arial Narrow"/>
                <w:i/>
                <w:iCs/>
                <w:sz w:val="22"/>
                <w:szCs w:val="22"/>
              </w:rPr>
              <w:t>Certificate of Justice</w:t>
            </w:r>
            <w:r w:rsidRPr="00DB0718">
              <w:rPr>
                <w:rFonts w:ascii="Arial Narrow" w:hAnsi="Arial Narrow"/>
                <w:sz w:val="22"/>
                <w:szCs w:val="22"/>
              </w:rPr>
              <w:t xml:space="preserve"> which has been recently developed </w:t>
            </w:r>
            <w:r w:rsidR="00607742" w:rsidRPr="00DB0718">
              <w:rPr>
                <w:rFonts w:ascii="Arial Narrow" w:hAnsi="Arial Narrow"/>
                <w:sz w:val="22"/>
                <w:szCs w:val="22"/>
              </w:rPr>
              <w:t xml:space="preserve">in collaboration with </w:t>
            </w:r>
            <w:r w:rsidRPr="00DB0718">
              <w:rPr>
                <w:rFonts w:ascii="Arial Narrow" w:hAnsi="Arial Narrow"/>
                <w:sz w:val="22"/>
                <w:szCs w:val="22"/>
              </w:rPr>
              <w:t>PJSI.</w:t>
            </w:r>
            <w:r w:rsidR="00C7469E" w:rsidRPr="00DB0718">
              <w:rPr>
                <w:rFonts w:ascii="Arial Narrow" w:hAnsi="Arial Narrow"/>
                <w:sz w:val="22"/>
                <w:szCs w:val="22"/>
              </w:rPr>
              <w:t xml:space="preserve"> School awareness sessions are also undertaken in Palau by judges/court officers.</w:t>
            </w:r>
          </w:p>
        </w:tc>
      </w:tr>
      <w:tr w:rsidR="001E371F" w:rsidRPr="00E81DE3" w14:paraId="2B5C63D3" w14:textId="77777777" w:rsidTr="00DB0718">
        <w:tc>
          <w:tcPr>
            <w:tcW w:w="704" w:type="dxa"/>
          </w:tcPr>
          <w:p w14:paraId="6C2D7FC3" w14:textId="77777777" w:rsidR="001E371F" w:rsidRPr="00DB0718" w:rsidRDefault="001E371F" w:rsidP="00DB0718">
            <w:pPr>
              <w:pStyle w:val="ListParagraph"/>
              <w:numPr>
                <w:ilvl w:val="0"/>
                <w:numId w:val="5"/>
              </w:numPr>
              <w:spacing w:before="120" w:after="120"/>
              <w:ind w:left="447"/>
              <w:contextualSpacing w:val="0"/>
              <w:jc w:val="left"/>
              <w:rPr>
                <w:rFonts w:cs="Arial"/>
                <w:sz w:val="22"/>
                <w:szCs w:val="22"/>
              </w:rPr>
            </w:pPr>
          </w:p>
        </w:tc>
        <w:tc>
          <w:tcPr>
            <w:tcW w:w="3342" w:type="dxa"/>
          </w:tcPr>
          <w:p w14:paraId="288B3A40"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‘Open day’</w:t>
            </w:r>
          </w:p>
        </w:tc>
        <w:tc>
          <w:tcPr>
            <w:tcW w:w="5305" w:type="dxa"/>
          </w:tcPr>
          <w:p w14:paraId="00467E00" w14:textId="045D5B73" w:rsidR="001E371F" w:rsidRPr="00DB0718" w:rsidRDefault="001E371F" w:rsidP="00F84F25">
            <w:pPr>
              <w:pStyle w:val="CommentText"/>
              <w:rPr>
                <w:rFonts w:ascii="Arial Narrow" w:hAnsi="Arial Narrow"/>
                <w:sz w:val="22"/>
                <w:szCs w:val="22"/>
              </w:rPr>
            </w:pPr>
            <w:r w:rsidRPr="00DB0718">
              <w:rPr>
                <w:rFonts w:ascii="Arial Narrow" w:hAnsi="Arial Narrow"/>
                <w:sz w:val="22"/>
                <w:szCs w:val="22"/>
              </w:rPr>
              <w:t>Some jurisdictions conduct ‘open days’ for the public either alone or with other justice sector actors with posters, pamphlets, presentations, and Q&amp;A sessions. Kiribati has done this very successfully several times in conjunction with the Ministry of Justice.</w:t>
            </w:r>
            <w:r w:rsidR="00C7469E" w:rsidRPr="00DB0718">
              <w:rPr>
                <w:rFonts w:ascii="Arial Narrow" w:hAnsi="Arial Narrow"/>
                <w:sz w:val="22"/>
                <w:szCs w:val="22"/>
              </w:rPr>
              <w:t xml:space="preserve"> FSM also has a ‘National Law Day’.</w:t>
            </w:r>
            <w:r w:rsidR="00F84F25" w:rsidRPr="00DB0718">
              <w:rPr>
                <w:rFonts w:ascii="Arial Narrow" w:hAnsi="Arial Narrow"/>
                <w:sz w:val="22"/>
                <w:szCs w:val="22"/>
              </w:rPr>
              <w:t xml:space="preserve"> </w:t>
            </w:r>
            <w:r w:rsidR="00C7469E" w:rsidRPr="00DB0718">
              <w:rPr>
                <w:rFonts w:ascii="Arial Narrow" w:hAnsi="Arial Narrow"/>
                <w:sz w:val="22"/>
                <w:szCs w:val="22"/>
              </w:rPr>
              <w:t>This year they had a remote/Zoom debate by high school teams from all four states.</w:t>
            </w:r>
          </w:p>
        </w:tc>
      </w:tr>
      <w:tr w:rsidR="001E371F" w:rsidRPr="00E81DE3" w14:paraId="512FDAAB" w14:textId="77777777" w:rsidTr="00DB0718">
        <w:tc>
          <w:tcPr>
            <w:tcW w:w="704" w:type="dxa"/>
          </w:tcPr>
          <w:p w14:paraId="126E545F" w14:textId="77777777" w:rsidR="001E371F" w:rsidRPr="00DB0718" w:rsidRDefault="001E371F" w:rsidP="00DB0718">
            <w:pPr>
              <w:pStyle w:val="ListParagraph"/>
              <w:numPr>
                <w:ilvl w:val="0"/>
                <w:numId w:val="5"/>
              </w:numPr>
              <w:spacing w:before="120" w:after="120"/>
              <w:ind w:left="447"/>
              <w:contextualSpacing w:val="0"/>
              <w:jc w:val="left"/>
              <w:rPr>
                <w:rFonts w:cs="Arial"/>
                <w:sz w:val="22"/>
                <w:szCs w:val="22"/>
              </w:rPr>
            </w:pPr>
          </w:p>
        </w:tc>
        <w:tc>
          <w:tcPr>
            <w:tcW w:w="3342" w:type="dxa"/>
          </w:tcPr>
          <w:p w14:paraId="2DA783A6"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Press releases</w:t>
            </w:r>
          </w:p>
        </w:tc>
        <w:tc>
          <w:tcPr>
            <w:tcW w:w="5305" w:type="dxa"/>
          </w:tcPr>
          <w:p w14:paraId="0E72478E" w14:textId="57AB9A43"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 xml:space="preserve">Some courts regularly issue press releases to the media relating to community consultations and on related matters of broader public interest as/when required - for example, FSM, </w:t>
            </w:r>
            <w:r w:rsidR="00561E20" w:rsidRPr="00DB0718">
              <w:rPr>
                <w:rFonts w:ascii="Arial Narrow" w:hAnsi="Arial Narrow" w:cs="Arial"/>
                <w:sz w:val="22"/>
                <w:szCs w:val="22"/>
              </w:rPr>
              <w:t xml:space="preserve">Palau, </w:t>
            </w:r>
            <w:r w:rsidRPr="00DB0718">
              <w:rPr>
                <w:rFonts w:ascii="Arial Narrow" w:hAnsi="Arial Narrow" w:cs="Arial"/>
                <w:sz w:val="22"/>
                <w:szCs w:val="22"/>
              </w:rPr>
              <w:t>RMI, PNG and Kiribati.</w:t>
            </w:r>
          </w:p>
        </w:tc>
      </w:tr>
      <w:tr w:rsidR="001E371F" w:rsidRPr="00E81DE3" w14:paraId="09CCCC3D" w14:textId="77777777" w:rsidTr="00DB0718">
        <w:tc>
          <w:tcPr>
            <w:tcW w:w="704" w:type="dxa"/>
          </w:tcPr>
          <w:p w14:paraId="33E4A1EC" w14:textId="77777777" w:rsidR="001E371F" w:rsidRPr="00DB0718" w:rsidRDefault="001E371F" w:rsidP="00DB0718">
            <w:pPr>
              <w:pStyle w:val="ListParagraph"/>
              <w:numPr>
                <w:ilvl w:val="0"/>
                <w:numId w:val="5"/>
              </w:numPr>
              <w:spacing w:before="120" w:after="120"/>
              <w:ind w:left="447"/>
              <w:contextualSpacing w:val="0"/>
              <w:jc w:val="left"/>
              <w:rPr>
                <w:rFonts w:cs="Arial"/>
                <w:sz w:val="22"/>
                <w:szCs w:val="22"/>
              </w:rPr>
            </w:pPr>
          </w:p>
        </w:tc>
        <w:tc>
          <w:tcPr>
            <w:tcW w:w="3342" w:type="dxa"/>
          </w:tcPr>
          <w:p w14:paraId="65249F5E" w14:textId="77777777"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Annual reports</w:t>
            </w:r>
          </w:p>
        </w:tc>
        <w:tc>
          <w:tcPr>
            <w:tcW w:w="5305" w:type="dxa"/>
          </w:tcPr>
          <w:p w14:paraId="4902C1AC" w14:textId="2193B6B8" w:rsidR="001E371F" w:rsidRPr="00DB0718" w:rsidRDefault="001E371F" w:rsidP="00932D55">
            <w:pPr>
              <w:spacing w:before="120" w:after="120"/>
              <w:jc w:val="left"/>
              <w:rPr>
                <w:rFonts w:ascii="Arial Narrow" w:hAnsi="Arial Narrow" w:cs="Arial"/>
                <w:sz w:val="22"/>
                <w:szCs w:val="22"/>
              </w:rPr>
            </w:pPr>
            <w:r w:rsidRPr="00DB0718">
              <w:rPr>
                <w:rFonts w:ascii="Arial Narrow" w:hAnsi="Arial Narrow" w:cs="Arial"/>
                <w:sz w:val="22"/>
                <w:szCs w:val="22"/>
              </w:rPr>
              <w:t xml:space="preserve">Some courts distribute their annual reports not only to parliament but also distribute </w:t>
            </w:r>
            <w:r w:rsidR="00561E20" w:rsidRPr="00DB0718">
              <w:rPr>
                <w:rFonts w:ascii="Arial Narrow" w:hAnsi="Arial Narrow" w:cs="Arial"/>
                <w:sz w:val="22"/>
                <w:szCs w:val="22"/>
              </w:rPr>
              <w:t xml:space="preserve">the reports or </w:t>
            </w:r>
            <w:r w:rsidRPr="00DB0718">
              <w:rPr>
                <w:rFonts w:ascii="Arial Narrow" w:hAnsi="Arial Narrow" w:cs="Arial"/>
                <w:sz w:val="22"/>
                <w:szCs w:val="22"/>
              </w:rPr>
              <w:t xml:space="preserve">key extracts more broadly </w:t>
            </w:r>
            <w:r w:rsidR="00561E20" w:rsidRPr="00DB0718">
              <w:rPr>
                <w:rFonts w:ascii="Arial Narrow" w:hAnsi="Arial Narrow" w:cs="Arial"/>
                <w:sz w:val="22"/>
                <w:szCs w:val="22"/>
              </w:rPr>
              <w:t xml:space="preserve">on their </w:t>
            </w:r>
            <w:r w:rsidR="00CF238B" w:rsidRPr="00DB0718">
              <w:rPr>
                <w:rFonts w:ascii="Arial Narrow" w:hAnsi="Arial Narrow" w:cs="Arial"/>
                <w:sz w:val="22"/>
                <w:szCs w:val="22"/>
              </w:rPr>
              <w:t xml:space="preserve">court’s (or PacLII’s) </w:t>
            </w:r>
            <w:r w:rsidR="00561E20" w:rsidRPr="00DB0718">
              <w:rPr>
                <w:rFonts w:ascii="Arial Narrow" w:hAnsi="Arial Narrow" w:cs="Arial"/>
                <w:sz w:val="22"/>
                <w:szCs w:val="22"/>
              </w:rPr>
              <w:t xml:space="preserve">website, </w:t>
            </w:r>
            <w:r w:rsidRPr="00DB0718">
              <w:rPr>
                <w:rFonts w:ascii="Arial Narrow" w:hAnsi="Arial Narrow" w:cs="Arial"/>
                <w:sz w:val="22"/>
                <w:szCs w:val="22"/>
              </w:rPr>
              <w:t>to the media and district/local councils.</w:t>
            </w:r>
            <w:r w:rsidR="00561E20" w:rsidRPr="00DB0718">
              <w:rPr>
                <w:rFonts w:ascii="Arial Narrow" w:hAnsi="Arial Narrow" w:cs="Arial"/>
                <w:sz w:val="22"/>
                <w:szCs w:val="22"/>
              </w:rPr>
              <w:t xml:space="preserve">  </w:t>
            </w:r>
          </w:p>
        </w:tc>
      </w:tr>
    </w:tbl>
    <w:p w14:paraId="5F167DDA" w14:textId="4D66A397" w:rsidR="0078022B" w:rsidRDefault="0078022B" w:rsidP="0078022B">
      <w:pPr>
        <w:pStyle w:val="ListParagraph"/>
        <w:numPr>
          <w:ilvl w:val="0"/>
          <w:numId w:val="0"/>
        </w:numPr>
        <w:spacing w:before="240" w:after="60"/>
        <w:ind w:left="425"/>
        <w:contextualSpacing w:val="0"/>
        <w:rPr>
          <w:rFonts w:cs="Arial"/>
          <w:b/>
          <w:smallCaps/>
          <w:color w:val="0E5F60"/>
          <w:sz w:val="26"/>
          <w:szCs w:val="26"/>
        </w:rPr>
      </w:pPr>
      <w:r>
        <w:rPr>
          <w:rFonts w:cs="Arial"/>
          <w:b/>
          <w:smallCaps/>
          <w:color w:val="0E5F60"/>
          <w:sz w:val="26"/>
          <w:szCs w:val="26"/>
        </w:rPr>
        <w:br w:type="page"/>
      </w:r>
    </w:p>
    <w:p w14:paraId="01517F4E" w14:textId="474FE524" w:rsidR="001E371F" w:rsidRPr="00DB0718" w:rsidRDefault="001E371F" w:rsidP="00DB0718">
      <w:pPr>
        <w:pStyle w:val="ListParagraph"/>
        <w:numPr>
          <w:ilvl w:val="0"/>
          <w:numId w:val="7"/>
        </w:numPr>
        <w:spacing w:before="240" w:after="60"/>
        <w:ind w:left="425" w:hanging="425"/>
        <w:contextualSpacing w:val="0"/>
        <w:rPr>
          <w:rFonts w:cs="Arial"/>
          <w:b/>
          <w:smallCaps/>
          <w:color w:val="0E5F60"/>
          <w:sz w:val="26"/>
          <w:szCs w:val="26"/>
        </w:rPr>
      </w:pPr>
      <w:r w:rsidRPr="00DB0718">
        <w:rPr>
          <w:rFonts w:cs="Arial"/>
          <w:b/>
          <w:smallCaps/>
          <w:color w:val="0E5F60"/>
          <w:sz w:val="26"/>
          <w:szCs w:val="26"/>
        </w:rPr>
        <w:lastRenderedPageBreak/>
        <w:t>Additional Resources: Toolkits and Tools</w:t>
      </w:r>
    </w:p>
    <w:p w14:paraId="36053A38" w14:textId="1FE87D51" w:rsidR="001E371F" w:rsidRPr="00346856" w:rsidRDefault="001E371F" w:rsidP="00DB0718">
      <w:pPr>
        <w:jc w:val="left"/>
        <w:rPr>
          <w:rFonts w:ascii="Arial Narrow" w:hAnsi="Arial Narrow" w:cs="Arial"/>
        </w:rPr>
      </w:pPr>
      <w:r w:rsidRPr="00346856">
        <w:rPr>
          <w:rFonts w:ascii="Arial Narrow" w:hAnsi="Arial Narrow" w:cs="Arial"/>
        </w:rPr>
        <w:t xml:space="preserve">The Pacific Judicial Strengthening Initiative (PJSI) has published a wide collection of 19 toolkits for the ongoing development of courts in the region. These toolkits aim to support partner courts to implement their development activities at the local level by providing information and practical guidance on what to do. They may be downloaded at: - </w:t>
      </w:r>
      <w:hyperlink r:id="rId8" w:history="1">
        <w:r w:rsidR="009F4592" w:rsidRPr="00346856">
          <w:rPr>
            <w:rStyle w:val="Hyperlink"/>
            <w:rFonts w:ascii="Arial Narrow" w:eastAsia="MS ??" w:hAnsi="Arial Narrow"/>
            <w:color w:val="0000FF"/>
          </w:rPr>
          <w:t>http://www.fedcourt.gov.au/pjsi/resources/toolkits</w:t>
        </w:r>
      </w:hyperlink>
    </w:p>
    <w:p w14:paraId="01973B6F" w14:textId="77777777" w:rsidR="001E371F" w:rsidRPr="00346856" w:rsidRDefault="001E371F" w:rsidP="001E371F">
      <w:pPr>
        <w:rPr>
          <w:rFonts w:ascii="Arial Narrow" w:hAnsi="Arial Narrow" w:cs="Arial"/>
        </w:rPr>
      </w:pPr>
    </w:p>
    <w:p w14:paraId="21CFB092" w14:textId="77777777" w:rsidR="001E371F" w:rsidRPr="00346856" w:rsidRDefault="001E371F" w:rsidP="00DB0718">
      <w:pPr>
        <w:jc w:val="left"/>
        <w:rPr>
          <w:rFonts w:ascii="Arial Narrow" w:hAnsi="Arial Narrow" w:cs="Arial"/>
        </w:rPr>
      </w:pPr>
      <w:r w:rsidRPr="00346856">
        <w:rPr>
          <w:rFonts w:ascii="Arial Narrow" w:hAnsi="Arial Narrow" w:cs="Arial"/>
        </w:rPr>
        <w:t>More specifically, 3 toolkits relating to promoting access to justice through community consultations are linked below for your reference and use: -</w:t>
      </w:r>
    </w:p>
    <w:p w14:paraId="37B5A111" w14:textId="77777777" w:rsidR="001E371F" w:rsidRPr="00346856" w:rsidRDefault="00FC6713" w:rsidP="00346856">
      <w:pPr>
        <w:numPr>
          <w:ilvl w:val="0"/>
          <w:numId w:val="6"/>
        </w:numPr>
        <w:spacing w:before="120" w:after="100" w:afterAutospacing="1"/>
        <w:ind w:left="714" w:hanging="357"/>
        <w:jc w:val="left"/>
        <w:rPr>
          <w:rFonts w:ascii="Arial Narrow" w:hAnsi="Arial Narrow" w:cs="Arial"/>
          <w:color w:val="0000FF"/>
        </w:rPr>
      </w:pPr>
      <w:hyperlink r:id="rId9" w:anchor="l5" w:history="1">
        <w:r w:rsidR="001E371F" w:rsidRPr="00346856">
          <w:rPr>
            <w:rStyle w:val="Hyperlink"/>
            <w:rFonts w:ascii="Arial Narrow" w:hAnsi="Arial Narrow" w:cs="Arial"/>
            <w:color w:val="0000FF"/>
          </w:rPr>
          <w:t>Access to Justice Assessment Toolkit</w:t>
        </w:r>
      </w:hyperlink>
    </w:p>
    <w:p w14:paraId="4DF0C7DA" w14:textId="77777777" w:rsidR="001E371F" w:rsidRPr="00346856" w:rsidRDefault="00FC6713" w:rsidP="00346856">
      <w:pPr>
        <w:numPr>
          <w:ilvl w:val="0"/>
          <w:numId w:val="6"/>
        </w:numPr>
        <w:spacing w:before="100" w:beforeAutospacing="1" w:after="100" w:afterAutospacing="1"/>
        <w:jc w:val="left"/>
        <w:rPr>
          <w:rFonts w:ascii="Arial Narrow" w:hAnsi="Arial Narrow" w:cs="Arial"/>
          <w:color w:val="0000FF"/>
        </w:rPr>
      </w:pPr>
      <w:hyperlink r:id="rId10" w:anchor="l10" w:history="1">
        <w:r w:rsidR="001E371F" w:rsidRPr="00346856">
          <w:rPr>
            <w:rStyle w:val="Hyperlink"/>
            <w:rFonts w:ascii="Arial Narrow" w:hAnsi="Arial Narrow" w:cs="Arial"/>
            <w:color w:val="0000FF"/>
          </w:rPr>
          <w:t>Enabling Rights and Unrepresented Litigants Toolkit</w:t>
        </w:r>
      </w:hyperlink>
    </w:p>
    <w:p w14:paraId="292FE10B" w14:textId="77777777" w:rsidR="001E371F" w:rsidRPr="00346856" w:rsidRDefault="00FC6713" w:rsidP="00346856">
      <w:pPr>
        <w:numPr>
          <w:ilvl w:val="0"/>
          <w:numId w:val="6"/>
        </w:numPr>
        <w:spacing w:before="100" w:beforeAutospacing="1" w:after="100" w:afterAutospacing="1"/>
        <w:jc w:val="left"/>
        <w:rPr>
          <w:rFonts w:ascii="Arial Narrow" w:hAnsi="Arial Narrow" w:cs="Arial"/>
          <w:color w:val="0000FF"/>
        </w:rPr>
      </w:pPr>
      <w:hyperlink r:id="rId11" w:anchor="l9" w:history="1">
        <w:r w:rsidR="001E371F" w:rsidRPr="00346856">
          <w:rPr>
            <w:rStyle w:val="Hyperlink"/>
            <w:rFonts w:ascii="Arial Narrow" w:hAnsi="Arial Narrow" w:cs="Arial"/>
            <w:color w:val="0000FF"/>
          </w:rPr>
          <w:t>Public Information Toolkit</w:t>
        </w:r>
      </w:hyperlink>
    </w:p>
    <w:p w14:paraId="2CD93D96" w14:textId="36DCBA45" w:rsidR="001E371F" w:rsidRPr="00346856" w:rsidRDefault="001E371F" w:rsidP="00DB0718">
      <w:pPr>
        <w:jc w:val="left"/>
        <w:rPr>
          <w:rFonts w:ascii="Arial Narrow" w:hAnsi="Arial Narrow" w:cs="Arial"/>
        </w:rPr>
      </w:pPr>
      <w:r w:rsidRPr="00346856">
        <w:rPr>
          <w:rFonts w:ascii="Arial Narrow" w:hAnsi="Arial Narrow" w:cs="Arial"/>
        </w:rPr>
        <w:t>These toolkits were designed to support change by promoting the local use, management, ownership and sustainability of judicial development in PICs across the region. By developing and making available these resources, PJSI aims to build local capacity to enable partner courts to address local needs and reduce reliance on external donor and adviser support</w:t>
      </w:r>
      <w:r w:rsidR="00F84F25">
        <w:rPr>
          <w:rFonts w:ascii="Arial Narrow" w:hAnsi="Arial Narrow" w:cs="Arial"/>
        </w:rPr>
        <w:t>.</w:t>
      </w:r>
    </w:p>
    <w:p w14:paraId="1314C1F6" w14:textId="77777777" w:rsidR="009F4592" w:rsidRPr="00346856" w:rsidRDefault="009F4592" w:rsidP="009F4592">
      <w:pPr>
        <w:rPr>
          <w:rFonts w:ascii="Arial Narrow" w:hAnsi="Arial Narrow" w:cs="Arial"/>
        </w:rPr>
      </w:pPr>
    </w:p>
    <w:p w14:paraId="7BFD85E4" w14:textId="02C12450" w:rsidR="00002BE2" w:rsidRPr="00346856" w:rsidRDefault="001E371F" w:rsidP="00DB0718">
      <w:pPr>
        <w:jc w:val="left"/>
        <w:rPr>
          <w:rFonts w:ascii="Arial Narrow" w:hAnsi="Arial Narrow" w:cs="Arial"/>
          <w:color w:val="333333"/>
        </w:rPr>
      </w:pPr>
      <w:r w:rsidRPr="00346856">
        <w:rPr>
          <w:rFonts w:ascii="Arial Narrow" w:hAnsi="Arial Narrow" w:cs="Arial"/>
        </w:rPr>
        <w:t>These toolkits are available on-line for the use of partner courts. We hope that partner courts will use these toolkits as/when required. Should you need any additional assistance, please contact us at:</w:t>
      </w:r>
      <w:r w:rsidRPr="00346856">
        <w:rPr>
          <w:rStyle w:val="apple-converted-space"/>
          <w:rFonts w:ascii="Arial Narrow" w:hAnsi="Arial Narrow" w:cs="Arial"/>
          <w:color w:val="333333"/>
        </w:rPr>
        <w:t> </w:t>
      </w:r>
      <w:hyperlink r:id="rId12" w:history="1">
        <w:r w:rsidR="009F4592" w:rsidRPr="00346856">
          <w:rPr>
            <w:rStyle w:val="Hyperlink"/>
            <w:rFonts w:ascii="Arial Narrow" w:eastAsia="MS ??" w:hAnsi="Arial Narrow"/>
            <w:color w:val="0000FF"/>
          </w:rPr>
          <w:t>pjsi@fedcourt.gov.au</w:t>
        </w:r>
      </w:hyperlink>
      <w:r w:rsidRPr="00346856">
        <w:rPr>
          <w:rFonts w:ascii="Arial Narrow" w:hAnsi="Arial Narrow" w:cs="Arial"/>
        </w:rPr>
        <w:t>.</w:t>
      </w:r>
      <w:r w:rsidR="003A4446" w:rsidRPr="00346856">
        <w:rPr>
          <w:rFonts w:ascii="Arial Narrow" w:hAnsi="Arial Narrow" w:cs="Arial"/>
          <w:color w:val="333333"/>
        </w:rPr>
        <w:t xml:space="preserve"> </w:t>
      </w:r>
    </w:p>
    <w:p w14:paraId="5454DB7C" w14:textId="66407E0E" w:rsidR="004504A4" w:rsidRPr="00346856" w:rsidRDefault="001E371F" w:rsidP="00002BE2">
      <w:pPr>
        <w:spacing w:before="100" w:beforeAutospacing="1" w:after="100" w:afterAutospacing="1"/>
        <w:jc w:val="center"/>
        <w:rPr>
          <w:rFonts w:ascii="Arial Narrow" w:eastAsiaTheme="minorEastAsia" w:hAnsi="Arial Narrow"/>
          <w:lang w:eastAsia="ja-JP"/>
        </w:rPr>
      </w:pPr>
      <w:r w:rsidRPr="00346856">
        <w:rPr>
          <w:rFonts w:ascii="Arial Narrow" w:hAnsi="Arial Narrow" w:cs="Arial"/>
        </w:rPr>
        <w:t>*</w:t>
      </w:r>
      <w:r w:rsidR="00002BE2" w:rsidRPr="00346856">
        <w:rPr>
          <w:rFonts w:ascii="Arial Narrow" w:hAnsi="Arial Narrow" w:cs="Arial"/>
        </w:rPr>
        <w:t>**</w:t>
      </w:r>
    </w:p>
    <w:sectPr w:rsidR="004504A4" w:rsidRPr="00346856" w:rsidSect="00E81DE3">
      <w:headerReference w:type="even" r:id="rId13"/>
      <w:headerReference w:type="default" r:id="rId14"/>
      <w:footerReference w:type="even" r:id="rId15"/>
      <w:footerReference w:type="default" r:id="rId16"/>
      <w:headerReference w:type="first" r:id="rId17"/>
      <w:footerReference w:type="first" r:id="rId18"/>
      <w:pgSz w:w="11906" w:h="16838"/>
      <w:pgMar w:top="1531" w:right="1361" w:bottom="1304" w:left="1418" w:header="573" w:footer="2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1577C" w14:textId="77777777" w:rsidR="00FC6713" w:rsidRDefault="00FC6713" w:rsidP="009B2FA6">
      <w:r>
        <w:separator/>
      </w:r>
    </w:p>
  </w:endnote>
  <w:endnote w:type="continuationSeparator" w:id="0">
    <w:p w14:paraId="3B4BDAE1" w14:textId="77777777" w:rsidR="00FC6713" w:rsidRDefault="00FC6713" w:rsidP="009B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alibri (Body)">
    <w:altName w:val="Calibri"/>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Bright Math Symbol">
    <w:altName w:val="Symbol"/>
    <w:panose1 w:val="00000000000000000000"/>
    <w:charset w:val="02"/>
    <w:family w:val="auto"/>
    <w:notTrueType/>
    <w:pitch w:val="variable"/>
  </w:font>
  <w:font w:name="Arial Narrow Bold">
    <w:panose1 w:val="020B0706020202030204"/>
    <w:charset w:val="00"/>
    <w:family w:val="swiss"/>
    <w:pitch w:val="variable"/>
    <w:sig w:usb0="00000287" w:usb1="00000800" w:usb2="00000000" w:usb3="00000000" w:csb0="0000009F" w:csb1="00000000"/>
  </w:font>
  <w:font w:name="MS ??">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Optima"/>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5ACAF" w14:textId="77777777" w:rsidR="007520AA" w:rsidRDefault="00752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74" w:type="dxa"/>
      <w:jc w:val="center"/>
      <w:tblBorders>
        <w:top w:val="single" w:sz="18" w:space="0" w:color="0E6060"/>
      </w:tblBorders>
      <w:tblLayout w:type="fixed"/>
      <w:tblLook w:val="0000" w:firstRow="0" w:lastRow="0" w:firstColumn="0" w:lastColumn="0" w:noHBand="0" w:noVBand="0"/>
    </w:tblPr>
    <w:tblGrid>
      <w:gridCol w:w="9222"/>
      <w:gridCol w:w="2052"/>
    </w:tblGrid>
    <w:tr w:rsidR="009F4592" w:rsidRPr="009F4592" w14:paraId="158FE25E" w14:textId="77777777" w:rsidTr="00646FE8">
      <w:trPr>
        <w:trHeight w:val="176"/>
        <w:jc w:val="center"/>
      </w:trPr>
      <w:tc>
        <w:tcPr>
          <w:tcW w:w="9222" w:type="dxa"/>
          <w:tcBorders>
            <w:top w:val="single" w:sz="18" w:space="0" w:color="0E6060"/>
          </w:tcBorders>
        </w:tcPr>
        <w:p w14:paraId="6DDFD8C7" w14:textId="77777777" w:rsidR="009F4592" w:rsidRPr="009F4592" w:rsidRDefault="009F4592" w:rsidP="009F4592">
          <w:pPr>
            <w:snapToGrid w:val="0"/>
            <w:spacing w:before="120"/>
            <w:ind w:firstLine="965"/>
            <w:jc w:val="left"/>
            <w:rPr>
              <w:rFonts w:ascii="Arial Narrow" w:eastAsia="MS Mincho" w:hAnsi="Arial Narrow" w:cs="Calibri"/>
              <w:i/>
              <w:sz w:val="20"/>
              <w:szCs w:val="32"/>
            </w:rPr>
          </w:pPr>
          <w:r w:rsidRPr="009F4592">
            <w:rPr>
              <w:rFonts w:ascii="Arial Narrow" w:eastAsia="MS Mincho" w:hAnsi="Arial Narrow" w:cs="Times New Roman"/>
              <w:i/>
              <w:sz w:val="20"/>
              <w:szCs w:val="32"/>
            </w:rPr>
            <w:t>PJDP is funded by the Government of New Zealand and managed by the Federal Court of Australia</w:t>
          </w:r>
        </w:p>
      </w:tc>
      <w:tc>
        <w:tcPr>
          <w:tcW w:w="2052" w:type="dxa"/>
          <w:tcBorders>
            <w:top w:val="single" w:sz="18" w:space="0" w:color="0E6060"/>
          </w:tcBorders>
          <w:vAlign w:val="bottom"/>
        </w:tcPr>
        <w:p w14:paraId="3F8C2FBF" w14:textId="77D95CDB" w:rsidR="009F4592" w:rsidRPr="009F4592" w:rsidRDefault="009F4592" w:rsidP="009F4592">
          <w:pPr>
            <w:autoSpaceDE w:val="0"/>
            <w:autoSpaceDN w:val="0"/>
            <w:adjustRightInd w:val="0"/>
            <w:ind w:left="195" w:right="44"/>
            <w:jc w:val="left"/>
            <w:rPr>
              <w:rFonts w:ascii="Cambria" w:eastAsia="MS Mincho" w:hAnsi="Cambria" w:cs="Times New Roman"/>
              <w:color w:val="0E6060"/>
              <w:sz w:val="40"/>
              <w:szCs w:val="44"/>
            </w:rPr>
          </w:pPr>
          <w:r w:rsidRPr="009F4592">
            <w:rPr>
              <w:rFonts w:ascii="Cambria" w:eastAsia="MS Mincho" w:hAnsi="Cambria" w:cs="Times New Roman"/>
              <w:color w:val="0E6060"/>
              <w:sz w:val="40"/>
              <w:szCs w:val="44"/>
            </w:rPr>
            <w:fldChar w:fldCharType="begin"/>
          </w:r>
          <w:r w:rsidRPr="009F4592">
            <w:rPr>
              <w:rFonts w:ascii="Cambria" w:eastAsia="MS Mincho" w:hAnsi="Cambria" w:cs="Times New Roman"/>
              <w:color w:val="0E6060"/>
              <w:sz w:val="40"/>
              <w:szCs w:val="44"/>
            </w:rPr>
            <w:instrText xml:space="preserve"> PAGE </w:instrText>
          </w:r>
          <w:r w:rsidRPr="009F4592">
            <w:rPr>
              <w:rFonts w:ascii="Cambria" w:eastAsia="MS Mincho" w:hAnsi="Cambria" w:cs="Times New Roman"/>
              <w:color w:val="0E6060"/>
              <w:sz w:val="40"/>
              <w:szCs w:val="44"/>
            </w:rPr>
            <w:fldChar w:fldCharType="separate"/>
          </w:r>
          <w:r w:rsidR="007520AA">
            <w:rPr>
              <w:rFonts w:ascii="Cambria" w:eastAsia="MS Mincho" w:hAnsi="Cambria" w:cs="Times New Roman"/>
              <w:noProof/>
              <w:color w:val="0E6060"/>
              <w:sz w:val="40"/>
              <w:szCs w:val="44"/>
            </w:rPr>
            <w:t>2</w:t>
          </w:r>
          <w:r w:rsidRPr="009F4592">
            <w:rPr>
              <w:rFonts w:ascii="Cambria" w:eastAsia="MS Mincho" w:hAnsi="Cambria" w:cs="Times New Roman"/>
              <w:color w:val="0E6060"/>
              <w:sz w:val="40"/>
              <w:szCs w:val="44"/>
            </w:rPr>
            <w:fldChar w:fldCharType="end"/>
          </w:r>
        </w:p>
        <w:p w14:paraId="00108A22" w14:textId="77777777" w:rsidR="009F4592" w:rsidRPr="009F4592" w:rsidRDefault="009F4592" w:rsidP="009F4592">
          <w:pPr>
            <w:jc w:val="left"/>
            <w:rPr>
              <w:rFonts w:ascii="Arial Narrow" w:eastAsia="MS ??" w:hAnsi="Arial Narrow" w:cs="Times New Roman"/>
              <w:color w:val="0E6060"/>
              <w:sz w:val="5"/>
              <w:szCs w:val="24"/>
            </w:rPr>
          </w:pPr>
        </w:p>
      </w:tc>
    </w:tr>
  </w:tbl>
  <w:p w14:paraId="1E3A8669" w14:textId="77777777" w:rsidR="00561E20" w:rsidRDefault="00561E20" w:rsidP="009F459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10FC0" w14:textId="77777777" w:rsidR="007520AA" w:rsidRDefault="00752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8E2B4" w14:textId="77777777" w:rsidR="00FC6713" w:rsidRDefault="00FC6713" w:rsidP="009B2FA6">
      <w:r>
        <w:separator/>
      </w:r>
    </w:p>
  </w:footnote>
  <w:footnote w:type="continuationSeparator" w:id="0">
    <w:p w14:paraId="0DE95540" w14:textId="77777777" w:rsidR="00FC6713" w:rsidRDefault="00FC6713" w:rsidP="009B2FA6">
      <w:r>
        <w:continuationSeparator/>
      </w:r>
    </w:p>
  </w:footnote>
  <w:footnote w:id="1">
    <w:p w14:paraId="7D317D18" w14:textId="5FCA49C3" w:rsidR="00561E20" w:rsidRPr="00D95F25" w:rsidRDefault="00561E20" w:rsidP="00B55986">
      <w:pPr>
        <w:pStyle w:val="BodyText"/>
        <w:spacing w:before="40" w:after="40"/>
        <w:jc w:val="left"/>
        <w:rPr>
          <w:rFonts w:ascii="Arial Narrow" w:hAnsi="Arial Narrow"/>
          <w:sz w:val="20"/>
          <w:szCs w:val="20"/>
          <w:lang w:eastAsia="en-GB"/>
        </w:rPr>
      </w:pPr>
      <w:r w:rsidRPr="00D95F25">
        <w:rPr>
          <w:rStyle w:val="FootnoteReference"/>
          <w:rFonts w:ascii="Arial Narrow" w:hAnsi="Arial Narrow"/>
          <w:sz w:val="20"/>
          <w:szCs w:val="20"/>
        </w:rPr>
        <w:footnoteRef/>
      </w:r>
      <w:r w:rsidRPr="00D95F25">
        <w:rPr>
          <w:rFonts w:ascii="Arial Narrow" w:hAnsi="Arial Narrow"/>
          <w:sz w:val="20"/>
          <w:szCs w:val="20"/>
        </w:rPr>
        <w:t xml:space="preserve"> </w:t>
      </w:r>
      <w:r w:rsidRPr="00B55986">
        <w:rPr>
          <w:rFonts w:ascii="Arial Narrow" w:hAnsi="Arial Narrow"/>
          <w:sz w:val="18"/>
          <w:szCs w:val="18"/>
        </w:rPr>
        <w:t>Output 4 of Project 4 of PJSI’s COVID-19 Redesign 2020 specifies: (d)evelop a Court Guidance on ‘</w:t>
      </w:r>
      <w:r w:rsidRPr="00B55986">
        <w:rPr>
          <w:rFonts w:ascii="Arial Narrow" w:hAnsi="Arial Narrow"/>
          <w:i/>
          <w:iCs/>
          <w:sz w:val="18"/>
          <w:szCs w:val="18"/>
        </w:rPr>
        <w:t>Promoting Access to Justice through Community Consultations</w:t>
      </w:r>
      <w:r w:rsidRPr="00B55986">
        <w:rPr>
          <w:rFonts w:ascii="Arial Narrow" w:hAnsi="Arial Narrow"/>
          <w:sz w:val="18"/>
          <w:szCs w:val="18"/>
        </w:rPr>
        <w:t>’ for all courts across the region, which consolidates the experiences and distils lessons learned in ‘enabling rights’ visits to PICs. These visits included Kiribati in 2014</w:t>
      </w:r>
      <w:r w:rsidR="00294E47" w:rsidRPr="00B55986">
        <w:rPr>
          <w:rFonts w:ascii="Arial Narrow" w:hAnsi="Arial Narrow"/>
          <w:sz w:val="18"/>
          <w:szCs w:val="18"/>
        </w:rPr>
        <w:t xml:space="preserve"> &amp; 2019</w:t>
      </w:r>
      <w:r w:rsidRPr="00B55986">
        <w:rPr>
          <w:rFonts w:ascii="Arial Narrow" w:hAnsi="Arial Narrow"/>
          <w:sz w:val="18"/>
          <w:szCs w:val="18"/>
        </w:rPr>
        <w:t>, FSM in 2017, RMI in 2018, Cook Islands in 2018, and Vanuatu in 2019 among other related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B331B" w14:textId="77777777" w:rsidR="007520AA" w:rsidRDefault="00752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70" w:type="dxa"/>
      <w:jc w:val="center"/>
      <w:tblBorders>
        <w:bottom w:val="single" w:sz="4" w:space="0" w:color="auto"/>
      </w:tblBorders>
      <w:tblLayout w:type="fixed"/>
      <w:tblLook w:val="01E0" w:firstRow="1" w:lastRow="1" w:firstColumn="1" w:lastColumn="1" w:noHBand="0" w:noVBand="0"/>
    </w:tblPr>
    <w:tblGrid>
      <w:gridCol w:w="920"/>
      <w:gridCol w:w="10350"/>
    </w:tblGrid>
    <w:tr w:rsidR="00E81DE3" w:rsidRPr="00E81DE3" w14:paraId="4744ADF1" w14:textId="77777777" w:rsidTr="00646FE8">
      <w:trPr>
        <w:trHeight w:val="782"/>
        <w:jc w:val="center"/>
      </w:trPr>
      <w:tc>
        <w:tcPr>
          <w:tcW w:w="920" w:type="dxa"/>
          <w:tcBorders>
            <w:bottom w:val="nil"/>
          </w:tcBorders>
          <w:vAlign w:val="bottom"/>
        </w:tcPr>
        <w:p w14:paraId="0E420B95" w14:textId="77777777" w:rsidR="00E81DE3" w:rsidRPr="00E81DE3" w:rsidRDefault="00E81DE3" w:rsidP="00E81DE3">
          <w:pPr>
            <w:jc w:val="left"/>
            <w:rPr>
              <w:rFonts w:ascii="Arial Narrow" w:eastAsia="MS ??" w:hAnsi="Arial Narrow" w:cs="Times New Roman"/>
              <w:sz w:val="5"/>
              <w:szCs w:val="24"/>
            </w:rPr>
          </w:pPr>
        </w:p>
      </w:tc>
      <w:tc>
        <w:tcPr>
          <w:tcW w:w="10350" w:type="dxa"/>
          <w:tcBorders>
            <w:bottom w:val="nil"/>
          </w:tcBorders>
          <w:vAlign w:val="bottom"/>
        </w:tcPr>
        <w:p w14:paraId="16C2FA05" w14:textId="77777777" w:rsidR="00E81DE3" w:rsidRPr="00E81DE3" w:rsidRDefault="00E81DE3" w:rsidP="00E81DE3">
          <w:pPr>
            <w:tabs>
              <w:tab w:val="center" w:pos="4153"/>
              <w:tab w:val="right" w:pos="8306"/>
            </w:tabs>
            <w:spacing w:after="40"/>
            <w:jc w:val="left"/>
            <w:rPr>
              <w:rFonts w:ascii="Arial Narrow" w:eastAsia="MS Mincho" w:hAnsi="Arial Narrow" w:cs="Optima"/>
              <w:b/>
              <w:i/>
              <w:color w:val="000000"/>
              <w:sz w:val="20"/>
              <w:szCs w:val="20"/>
            </w:rPr>
          </w:pPr>
          <w:r w:rsidRPr="00E81DE3">
            <w:rPr>
              <w:rFonts w:ascii="Arial Narrow" w:eastAsia="MS Mincho" w:hAnsi="Arial Narrow" w:cs="Optima"/>
              <w:b/>
              <w:i/>
              <w:color w:val="000000"/>
              <w:sz w:val="20"/>
              <w:szCs w:val="20"/>
            </w:rPr>
            <w:t>Pacific Judicial Development Programme</w:t>
          </w:r>
        </w:p>
        <w:p w14:paraId="50FE4FB5" w14:textId="73C3A312" w:rsidR="00E81DE3" w:rsidRPr="00E81DE3" w:rsidRDefault="00B55986" w:rsidP="00E81DE3">
          <w:pPr>
            <w:tabs>
              <w:tab w:val="center" w:pos="4153"/>
              <w:tab w:val="right" w:pos="8306"/>
            </w:tabs>
            <w:spacing w:after="40"/>
            <w:jc w:val="left"/>
            <w:rPr>
              <w:rFonts w:ascii="Arial Narrow" w:eastAsia="MS ??" w:hAnsi="Arial Narrow" w:cs="Times New Roman"/>
              <w:sz w:val="20"/>
              <w:szCs w:val="68"/>
            </w:rPr>
          </w:pPr>
          <w:r>
            <w:rPr>
              <w:rFonts w:ascii="Arial Narrow" w:eastAsia="MS ??" w:hAnsi="Arial Narrow" w:cs="Times New Roman"/>
              <w:sz w:val="20"/>
              <w:szCs w:val="68"/>
            </w:rPr>
            <w:t>Enabling Rights &amp; Unrepresented Litigants</w:t>
          </w:r>
          <w:r w:rsidR="00A27B97">
            <w:rPr>
              <w:rFonts w:ascii="Arial Narrow" w:eastAsia="MS ??" w:hAnsi="Arial Narrow" w:cs="Times New Roman"/>
              <w:sz w:val="20"/>
              <w:szCs w:val="68"/>
            </w:rPr>
            <w:t xml:space="preserve"> / Pro Se</w:t>
          </w:r>
          <w:r>
            <w:rPr>
              <w:rFonts w:ascii="Arial Narrow" w:eastAsia="MS ??" w:hAnsi="Arial Narrow" w:cs="Times New Roman"/>
              <w:sz w:val="20"/>
              <w:szCs w:val="68"/>
            </w:rPr>
            <w:t xml:space="preserve"> Toolkit</w:t>
          </w:r>
        </w:p>
      </w:tc>
    </w:tr>
    <w:tr w:rsidR="00E81DE3" w:rsidRPr="00E81DE3" w14:paraId="7C87BA3F" w14:textId="77777777" w:rsidTr="00646FE8">
      <w:trPr>
        <w:trHeight w:val="286"/>
        <w:jc w:val="center"/>
      </w:trPr>
      <w:tc>
        <w:tcPr>
          <w:tcW w:w="11270" w:type="dxa"/>
          <w:gridSpan w:val="2"/>
          <w:tcBorders>
            <w:top w:val="nil"/>
            <w:bottom w:val="nil"/>
          </w:tcBorders>
        </w:tcPr>
        <w:p w14:paraId="30D1D290" w14:textId="43CE70C9" w:rsidR="00E81DE3" w:rsidRPr="00E81DE3" w:rsidRDefault="00E81DE3" w:rsidP="00E81DE3">
          <w:pPr>
            <w:tabs>
              <w:tab w:val="center" w:pos="4153"/>
              <w:tab w:val="right" w:pos="8306"/>
            </w:tabs>
            <w:ind w:left="-108"/>
            <w:jc w:val="right"/>
            <w:rPr>
              <w:rFonts w:ascii="Arial Narrow" w:eastAsia="MS Mincho" w:hAnsi="Arial Narrow" w:cs="Arial"/>
              <w:szCs w:val="24"/>
            </w:rPr>
          </w:pPr>
          <w:r w:rsidRPr="00E81DE3">
            <w:rPr>
              <w:rFonts w:ascii="Arial Narrow" w:eastAsia="MS Mincho" w:hAnsi="Arial Narrow" w:cs="Arial"/>
              <w:noProof/>
              <w:sz w:val="4"/>
              <w:szCs w:val="19"/>
            </w:rPr>
            <w:drawing>
              <wp:inline distT="0" distB="0" distL="0" distR="0" wp14:anchorId="114B3BCE" wp14:editId="3CC09986">
                <wp:extent cx="7155815" cy="170180"/>
                <wp:effectExtent l="0" t="0" r="6985" b="1270"/>
                <wp:docPr id="228" name="Picture 228"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5815" cy="170180"/>
                        </a:xfrm>
                        <a:prstGeom prst="rect">
                          <a:avLst/>
                        </a:prstGeom>
                        <a:noFill/>
                        <a:ln>
                          <a:noFill/>
                        </a:ln>
                      </pic:spPr>
                    </pic:pic>
                  </a:graphicData>
                </a:graphic>
              </wp:inline>
            </w:drawing>
          </w:r>
        </w:p>
      </w:tc>
    </w:tr>
  </w:tbl>
  <w:p w14:paraId="2A559C2B" w14:textId="3FA7FBB6" w:rsidR="00561E20" w:rsidRPr="00E81DE3" w:rsidRDefault="00561E20" w:rsidP="00E81DE3">
    <w:pPr>
      <w:pStyle w:val="Header"/>
      <w:rPr>
        <w:rFonts w:ascii="Arial Narrow" w:hAnsi="Arial Narrow"/>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22CE0" w14:textId="77777777" w:rsidR="007520AA" w:rsidRDefault="00752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53651"/>
    <w:multiLevelType w:val="multilevel"/>
    <w:tmpl w:val="BF824EC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61C86"/>
    <w:multiLevelType w:val="hybridMultilevel"/>
    <w:tmpl w:val="E49A98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F8312F6"/>
    <w:multiLevelType w:val="multilevel"/>
    <w:tmpl w:val="126C3E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595C26"/>
    <w:multiLevelType w:val="multilevel"/>
    <w:tmpl w:val="C0225F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C2A6FA3"/>
    <w:multiLevelType w:val="hybridMultilevel"/>
    <w:tmpl w:val="3F6E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B6643"/>
    <w:multiLevelType w:val="hybridMultilevel"/>
    <w:tmpl w:val="D7ECFD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125312"/>
    <w:multiLevelType w:val="hybridMultilevel"/>
    <w:tmpl w:val="1E6C9ED4"/>
    <w:lvl w:ilvl="0" w:tplc="D5F23CA8">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800DEE"/>
    <w:multiLevelType w:val="hybridMultilevel"/>
    <w:tmpl w:val="E37476F4"/>
    <w:lvl w:ilvl="0" w:tplc="E57A149C">
      <w:start w:val="1"/>
      <w:numFmt w:val="decimal"/>
      <w:lvlText w:val="%1."/>
      <w:lvlJc w:val="left"/>
      <w:pPr>
        <w:ind w:left="720" w:hanging="360"/>
      </w:pPr>
      <w:rPr>
        <w:b/>
        <w:sz w:val="23"/>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087755"/>
    <w:multiLevelType w:val="multilevel"/>
    <w:tmpl w:val="6736D7E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asciiTheme="minorHAnsi" w:hAnsiTheme="minorHAnsi" w:cstheme="minorHAnsi"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6"/>
  </w:num>
  <w:num w:numId="2">
    <w:abstractNumId w:val="8"/>
  </w:num>
  <w:num w:numId="3">
    <w:abstractNumId w:val="1"/>
  </w:num>
  <w:num w:numId="4">
    <w:abstractNumId w:val="4"/>
  </w:num>
  <w:num w:numId="5">
    <w:abstractNumId w:val="7"/>
  </w:num>
  <w:num w:numId="6">
    <w:abstractNumId w:val="0"/>
  </w:num>
  <w:num w:numId="7">
    <w:abstractNumId w:val="3"/>
  </w:num>
  <w:num w:numId="8">
    <w:abstractNumId w:val="2"/>
  </w:num>
  <w:num w:numId="9">
    <w:abstractNumId w:val="5"/>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D7"/>
    <w:rsid w:val="00001492"/>
    <w:rsid w:val="00002BE2"/>
    <w:rsid w:val="00005E6E"/>
    <w:rsid w:val="00011FF2"/>
    <w:rsid w:val="00022A19"/>
    <w:rsid w:val="0002374B"/>
    <w:rsid w:val="0002586A"/>
    <w:rsid w:val="0002679A"/>
    <w:rsid w:val="0002752C"/>
    <w:rsid w:val="00036163"/>
    <w:rsid w:val="00041611"/>
    <w:rsid w:val="00044405"/>
    <w:rsid w:val="00045070"/>
    <w:rsid w:val="00045A42"/>
    <w:rsid w:val="00062497"/>
    <w:rsid w:val="000709B4"/>
    <w:rsid w:val="000748A4"/>
    <w:rsid w:val="00082F27"/>
    <w:rsid w:val="00083078"/>
    <w:rsid w:val="00096C2D"/>
    <w:rsid w:val="000A05C5"/>
    <w:rsid w:val="000A2BA0"/>
    <w:rsid w:val="000A4F1D"/>
    <w:rsid w:val="000A6B55"/>
    <w:rsid w:val="000B2FAA"/>
    <w:rsid w:val="000B47E3"/>
    <w:rsid w:val="000B6D87"/>
    <w:rsid w:val="000D7EBE"/>
    <w:rsid w:val="000F3571"/>
    <w:rsid w:val="000F3FB7"/>
    <w:rsid w:val="000F57ED"/>
    <w:rsid w:val="001116EB"/>
    <w:rsid w:val="00137AC5"/>
    <w:rsid w:val="00141A7D"/>
    <w:rsid w:val="00146604"/>
    <w:rsid w:val="00150C6A"/>
    <w:rsid w:val="0015140B"/>
    <w:rsid w:val="00152A69"/>
    <w:rsid w:val="00164365"/>
    <w:rsid w:val="00164E30"/>
    <w:rsid w:val="001665BF"/>
    <w:rsid w:val="00185A41"/>
    <w:rsid w:val="001A4280"/>
    <w:rsid w:val="001C4A10"/>
    <w:rsid w:val="001E0C3D"/>
    <w:rsid w:val="001E339E"/>
    <w:rsid w:val="001E371F"/>
    <w:rsid w:val="001E7A27"/>
    <w:rsid w:val="00203E8C"/>
    <w:rsid w:val="0021334D"/>
    <w:rsid w:val="00213AB0"/>
    <w:rsid w:val="00217780"/>
    <w:rsid w:val="00251862"/>
    <w:rsid w:val="0026238E"/>
    <w:rsid w:val="00266E5C"/>
    <w:rsid w:val="0027036E"/>
    <w:rsid w:val="00294E47"/>
    <w:rsid w:val="00297F60"/>
    <w:rsid w:val="002A2F45"/>
    <w:rsid w:val="002B2DC3"/>
    <w:rsid w:val="002B3120"/>
    <w:rsid w:val="002B4C44"/>
    <w:rsid w:val="002B75A8"/>
    <w:rsid w:val="002C5918"/>
    <w:rsid w:val="002D25D4"/>
    <w:rsid w:val="002E1C73"/>
    <w:rsid w:val="003055A5"/>
    <w:rsid w:val="00316312"/>
    <w:rsid w:val="0031743B"/>
    <w:rsid w:val="00322114"/>
    <w:rsid w:val="00332D76"/>
    <w:rsid w:val="0033353E"/>
    <w:rsid w:val="00334818"/>
    <w:rsid w:val="00346856"/>
    <w:rsid w:val="003473B4"/>
    <w:rsid w:val="00360F55"/>
    <w:rsid w:val="003620BD"/>
    <w:rsid w:val="00362540"/>
    <w:rsid w:val="003641B2"/>
    <w:rsid w:val="00376FA5"/>
    <w:rsid w:val="0038566A"/>
    <w:rsid w:val="003859B5"/>
    <w:rsid w:val="00391F43"/>
    <w:rsid w:val="003940F6"/>
    <w:rsid w:val="0039485B"/>
    <w:rsid w:val="003949C5"/>
    <w:rsid w:val="00397283"/>
    <w:rsid w:val="003A4446"/>
    <w:rsid w:val="003D1671"/>
    <w:rsid w:val="003E43B2"/>
    <w:rsid w:val="003E5392"/>
    <w:rsid w:val="003F2132"/>
    <w:rsid w:val="004018BA"/>
    <w:rsid w:val="00407AB1"/>
    <w:rsid w:val="00415F47"/>
    <w:rsid w:val="00416EB3"/>
    <w:rsid w:val="00420ECA"/>
    <w:rsid w:val="0042255C"/>
    <w:rsid w:val="00427DCD"/>
    <w:rsid w:val="00436327"/>
    <w:rsid w:val="004371A1"/>
    <w:rsid w:val="00440779"/>
    <w:rsid w:val="00441CFC"/>
    <w:rsid w:val="004504A4"/>
    <w:rsid w:val="004604ED"/>
    <w:rsid w:val="00472E32"/>
    <w:rsid w:val="004730E4"/>
    <w:rsid w:val="00480167"/>
    <w:rsid w:val="004818B7"/>
    <w:rsid w:val="0048256B"/>
    <w:rsid w:val="00485D5D"/>
    <w:rsid w:val="004967E7"/>
    <w:rsid w:val="004C58D0"/>
    <w:rsid w:val="004D07D3"/>
    <w:rsid w:val="00523F69"/>
    <w:rsid w:val="0052427F"/>
    <w:rsid w:val="00525F8A"/>
    <w:rsid w:val="00532E51"/>
    <w:rsid w:val="00533A48"/>
    <w:rsid w:val="00533BF0"/>
    <w:rsid w:val="0053443B"/>
    <w:rsid w:val="00550B1B"/>
    <w:rsid w:val="005559CD"/>
    <w:rsid w:val="00561E20"/>
    <w:rsid w:val="00565167"/>
    <w:rsid w:val="00575F97"/>
    <w:rsid w:val="00583FC7"/>
    <w:rsid w:val="005A5268"/>
    <w:rsid w:val="005C2A92"/>
    <w:rsid w:val="005E074C"/>
    <w:rsid w:val="005E5ABC"/>
    <w:rsid w:val="005F0450"/>
    <w:rsid w:val="005F4FDB"/>
    <w:rsid w:val="00607742"/>
    <w:rsid w:val="006116BD"/>
    <w:rsid w:val="0063021A"/>
    <w:rsid w:val="0064698E"/>
    <w:rsid w:val="00666BCD"/>
    <w:rsid w:val="00682CF0"/>
    <w:rsid w:val="0069679C"/>
    <w:rsid w:val="006A05EF"/>
    <w:rsid w:val="006A064E"/>
    <w:rsid w:val="006A267E"/>
    <w:rsid w:val="006B7D07"/>
    <w:rsid w:val="006D1FAD"/>
    <w:rsid w:val="006E206A"/>
    <w:rsid w:val="006E560C"/>
    <w:rsid w:val="006F15DB"/>
    <w:rsid w:val="00721514"/>
    <w:rsid w:val="007249DD"/>
    <w:rsid w:val="00734EAF"/>
    <w:rsid w:val="0074178F"/>
    <w:rsid w:val="007447E0"/>
    <w:rsid w:val="007461FE"/>
    <w:rsid w:val="00746780"/>
    <w:rsid w:val="007520AA"/>
    <w:rsid w:val="00756FAB"/>
    <w:rsid w:val="007723E3"/>
    <w:rsid w:val="0078022B"/>
    <w:rsid w:val="00780B12"/>
    <w:rsid w:val="00792A89"/>
    <w:rsid w:val="007A26E4"/>
    <w:rsid w:val="007A4A6B"/>
    <w:rsid w:val="007B0C51"/>
    <w:rsid w:val="007B253F"/>
    <w:rsid w:val="007C5947"/>
    <w:rsid w:val="007C7371"/>
    <w:rsid w:val="007D08C2"/>
    <w:rsid w:val="007F18DB"/>
    <w:rsid w:val="007F1BDE"/>
    <w:rsid w:val="007F2A84"/>
    <w:rsid w:val="008028AE"/>
    <w:rsid w:val="008050D6"/>
    <w:rsid w:val="00820D8C"/>
    <w:rsid w:val="00831289"/>
    <w:rsid w:val="00841E72"/>
    <w:rsid w:val="00843E05"/>
    <w:rsid w:val="00845933"/>
    <w:rsid w:val="00846E78"/>
    <w:rsid w:val="00856965"/>
    <w:rsid w:val="00866149"/>
    <w:rsid w:val="00873C4B"/>
    <w:rsid w:val="00876FA9"/>
    <w:rsid w:val="0088707A"/>
    <w:rsid w:val="0089404E"/>
    <w:rsid w:val="008A5750"/>
    <w:rsid w:val="008B0625"/>
    <w:rsid w:val="008B4592"/>
    <w:rsid w:val="008C23ED"/>
    <w:rsid w:val="008C3768"/>
    <w:rsid w:val="008C70FD"/>
    <w:rsid w:val="008E793C"/>
    <w:rsid w:val="008F10AF"/>
    <w:rsid w:val="008F3D00"/>
    <w:rsid w:val="008F7CE7"/>
    <w:rsid w:val="009105B3"/>
    <w:rsid w:val="0091370F"/>
    <w:rsid w:val="00923778"/>
    <w:rsid w:val="00926B51"/>
    <w:rsid w:val="0093171D"/>
    <w:rsid w:val="00932D55"/>
    <w:rsid w:val="00940F38"/>
    <w:rsid w:val="00944A99"/>
    <w:rsid w:val="00947DFF"/>
    <w:rsid w:val="0095361B"/>
    <w:rsid w:val="009576EB"/>
    <w:rsid w:val="00984569"/>
    <w:rsid w:val="00986E43"/>
    <w:rsid w:val="0099703F"/>
    <w:rsid w:val="009974BC"/>
    <w:rsid w:val="009A063C"/>
    <w:rsid w:val="009B2FA6"/>
    <w:rsid w:val="009B3481"/>
    <w:rsid w:val="009C0548"/>
    <w:rsid w:val="009C629E"/>
    <w:rsid w:val="009C6447"/>
    <w:rsid w:val="009D2943"/>
    <w:rsid w:val="009D32D7"/>
    <w:rsid w:val="009D3BE6"/>
    <w:rsid w:val="009F0C53"/>
    <w:rsid w:val="009F4592"/>
    <w:rsid w:val="00A00A21"/>
    <w:rsid w:val="00A0173D"/>
    <w:rsid w:val="00A04E4C"/>
    <w:rsid w:val="00A15958"/>
    <w:rsid w:val="00A24DE1"/>
    <w:rsid w:val="00A27B97"/>
    <w:rsid w:val="00A3598B"/>
    <w:rsid w:val="00A44618"/>
    <w:rsid w:val="00A4486A"/>
    <w:rsid w:val="00A472EE"/>
    <w:rsid w:val="00A52E5C"/>
    <w:rsid w:val="00A77C6C"/>
    <w:rsid w:val="00A8007E"/>
    <w:rsid w:val="00A836E2"/>
    <w:rsid w:val="00A9148D"/>
    <w:rsid w:val="00A96C35"/>
    <w:rsid w:val="00A96E0B"/>
    <w:rsid w:val="00AA2E4D"/>
    <w:rsid w:val="00AB7DD1"/>
    <w:rsid w:val="00AC3BCE"/>
    <w:rsid w:val="00AD4BD2"/>
    <w:rsid w:val="00AF611F"/>
    <w:rsid w:val="00B00F8C"/>
    <w:rsid w:val="00B11F17"/>
    <w:rsid w:val="00B221A8"/>
    <w:rsid w:val="00B26A91"/>
    <w:rsid w:val="00B50F95"/>
    <w:rsid w:val="00B55986"/>
    <w:rsid w:val="00B5662B"/>
    <w:rsid w:val="00B56716"/>
    <w:rsid w:val="00B61864"/>
    <w:rsid w:val="00B66320"/>
    <w:rsid w:val="00B707D6"/>
    <w:rsid w:val="00B75666"/>
    <w:rsid w:val="00B871E5"/>
    <w:rsid w:val="00B909CD"/>
    <w:rsid w:val="00B91CE5"/>
    <w:rsid w:val="00B93EF1"/>
    <w:rsid w:val="00B97E50"/>
    <w:rsid w:val="00BA06CC"/>
    <w:rsid w:val="00BB1934"/>
    <w:rsid w:val="00BB41EA"/>
    <w:rsid w:val="00BB71FA"/>
    <w:rsid w:val="00BD4460"/>
    <w:rsid w:val="00BE2126"/>
    <w:rsid w:val="00BF0CA4"/>
    <w:rsid w:val="00BF470C"/>
    <w:rsid w:val="00C3202C"/>
    <w:rsid w:val="00C327DE"/>
    <w:rsid w:val="00C454CD"/>
    <w:rsid w:val="00C46012"/>
    <w:rsid w:val="00C7469E"/>
    <w:rsid w:val="00C86FEA"/>
    <w:rsid w:val="00C87D50"/>
    <w:rsid w:val="00C9379D"/>
    <w:rsid w:val="00C9696F"/>
    <w:rsid w:val="00CB66F4"/>
    <w:rsid w:val="00CD16E3"/>
    <w:rsid w:val="00CF238B"/>
    <w:rsid w:val="00CF76D7"/>
    <w:rsid w:val="00D1566F"/>
    <w:rsid w:val="00D45C72"/>
    <w:rsid w:val="00D54BCC"/>
    <w:rsid w:val="00D70919"/>
    <w:rsid w:val="00D860C1"/>
    <w:rsid w:val="00D94C4D"/>
    <w:rsid w:val="00D95F25"/>
    <w:rsid w:val="00DB0718"/>
    <w:rsid w:val="00DC2E3F"/>
    <w:rsid w:val="00DD321E"/>
    <w:rsid w:val="00DF65BC"/>
    <w:rsid w:val="00E00291"/>
    <w:rsid w:val="00E164C1"/>
    <w:rsid w:val="00E245B6"/>
    <w:rsid w:val="00E25512"/>
    <w:rsid w:val="00E305A4"/>
    <w:rsid w:val="00E33274"/>
    <w:rsid w:val="00E54438"/>
    <w:rsid w:val="00E5636E"/>
    <w:rsid w:val="00E616C2"/>
    <w:rsid w:val="00E65A93"/>
    <w:rsid w:val="00E66582"/>
    <w:rsid w:val="00E70E4B"/>
    <w:rsid w:val="00E71C7B"/>
    <w:rsid w:val="00E74E01"/>
    <w:rsid w:val="00E755A9"/>
    <w:rsid w:val="00E81DE3"/>
    <w:rsid w:val="00E87378"/>
    <w:rsid w:val="00E93B64"/>
    <w:rsid w:val="00EA0A44"/>
    <w:rsid w:val="00EA6978"/>
    <w:rsid w:val="00EB434E"/>
    <w:rsid w:val="00ED7796"/>
    <w:rsid w:val="00EE298E"/>
    <w:rsid w:val="00F00EF9"/>
    <w:rsid w:val="00F014EB"/>
    <w:rsid w:val="00F26FD0"/>
    <w:rsid w:val="00F3033C"/>
    <w:rsid w:val="00F44204"/>
    <w:rsid w:val="00F47FE6"/>
    <w:rsid w:val="00F65039"/>
    <w:rsid w:val="00F65FB3"/>
    <w:rsid w:val="00F71295"/>
    <w:rsid w:val="00F74E0D"/>
    <w:rsid w:val="00F76E66"/>
    <w:rsid w:val="00F84F25"/>
    <w:rsid w:val="00F87DE5"/>
    <w:rsid w:val="00FB2FDD"/>
    <w:rsid w:val="00FB7237"/>
    <w:rsid w:val="00FC4787"/>
    <w:rsid w:val="00FC5564"/>
    <w:rsid w:val="00FC6713"/>
    <w:rsid w:val="00FD11FB"/>
    <w:rsid w:val="00FD41C7"/>
    <w:rsid w:val="00FD63E4"/>
    <w:rsid w:val="00FE082D"/>
    <w:rsid w:val="00FE1009"/>
    <w:rsid w:val="00FE682F"/>
    <w:rsid w:val="00FF5D3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C1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FA6"/>
    <w:pPr>
      <w:spacing w:after="0" w:line="240" w:lineRule="auto"/>
      <w:jc w:val="both"/>
    </w:pPr>
    <w:rPr>
      <w:rFonts w:eastAsia="Times New Roman" w:cstheme="minorHAnsi"/>
      <w:sz w:val="23"/>
      <w:szCs w:val="23"/>
      <w:lang w:eastAsia="en-AU"/>
    </w:rPr>
  </w:style>
  <w:style w:type="paragraph" w:styleId="Heading1">
    <w:name w:val="heading 1"/>
    <w:basedOn w:val="Normal"/>
    <w:next w:val="Normal"/>
    <w:link w:val="Heading1Char"/>
    <w:qFormat/>
    <w:rsid w:val="00F44204"/>
    <w:pPr>
      <w:keepNext/>
      <w:numPr>
        <w:numId w:val="2"/>
      </w:numPr>
      <w:spacing w:before="240"/>
      <w:jc w:val="left"/>
      <w:outlineLvl w:val="0"/>
    </w:pPr>
    <w:rPr>
      <w:rFonts w:eastAsiaTheme="minorEastAsia" w:cs="Calibri (Body)"/>
      <w:b/>
      <w:bCs/>
      <w:color w:val="004040"/>
      <w:kern w:val="32"/>
      <w:sz w:val="44"/>
      <w:szCs w:val="36"/>
      <w:lang w:val="en-US" w:eastAsia="en-US"/>
    </w:rPr>
  </w:style>
  <w:style w:type="paragraph" w:styleId="Heading2">
    <w:name w:val="heading 2"/>
    <w:basedOn w:val="Normal"/>
    <w:next w:val="Normal"/>
    <w:link w:val="Heading2Char"/>
    <w:unhideWhenUsed/>
    <w:qFormat/>
    <w:rsid w:val="00A96C35"/>
    <w:pPr>
      <w:keepNext/>
      <w:keepLines/>
      <w:numPr>
        <w:ilvl w:val="1"/>
        <w:numId w:val="2"/>
      </w:numPr>
      <w:spacing w:before="120" w:after="20"/>
      <w:outlineLvl w:val="1"/>
    </w:pPr>
    <w:rPr>
      <w:rFonts w:eastAsiaTheme="majorEastAsia" w:cstheme="majorBidi"/>
      <w:b/>
      <w:bCs/>
      <w:sz w:val="26"/>
      <w:szCs w:val="26"/>
    </w:rPr>
  </w:style>
  <w:style w:type="paragraph" w:styleId="Heading3">
    <w:name w:val="heading 3"/>
    <w:basedOn w:val="Heading2"/>
    <w:next w:val="Normal"/>
    <w:link w:val="Heading3Char"/>
    <w:unhideWhenUsed/>
    <w:qFormat/>
    <w:rsid w:val="00C9696F"/>
    <w:pPr>
      <w:numPr>
        <w:ilvl w:val="2"/>
      </w:numPr>
      <w:spacing w:before="180"/>
      <w:outlineLvl w:val="2"/>
    </w:pPr>
    <w:rPr>
      <w:i/>
      <w:iCs/>
      <w:sz w:val="24"/>
      <w:szCs w:val="24"/>
    </w:rPr>
  </w:style>
  <w:style w:type="paragraph" w:styleId="Heading4">
    <w:name w:val="heading 4"/>
    <w:basedOn w:val="Normal"/>
    <w:next w:val="Normal"/>
    <w:link w:val="Heading4Char"/>
    <w:unhideWhenUsed/>
    <w:qFormat/>
    <w:rsid w:val="0064698E"/>
    <w:pPr>
      <w:numPr>
        <w:ilvl w:val="3"/>
        <w:numId w:val="2"/>
      </w:numPr>
      <w:spacing w:before="120"/>
      <w:outlineLvl w:val="3"/>
    </w:pPr>
    <w:rPr>
      <w:i/>
      <w:iCs/>
      <w:noProof/>
    </w:rPr>
  </w:style>
  <w:style w:type="paragraph" w:styleId="Heading5">
    <w:name w:val="heading 5"/>
    <w:basedOn w:val="Heading3"/>
    <w:next w:val="Normal"/>
    <w:link w:val="Heading5Char"/>
    <w:unhideWhenUsed/>
    <w:qFormat/>
    <w:rsid w:val="00E33274"/>
    <w:pPr>
      <w:numPr>
        <w:ilvl w:val="4"/>
      </w:numPr>
      <w:outlineLvl w:val="4"/>
    </w:pPr>
    <w:rPr>
      <w:rFonts w:eastAsia="Calibri"/>
      <w:i w:val="0"/>
      <w:iCs w:val="0"/>
      <w:sz w:val="28"/>
      <w:szCs w:val="28"/>
      <w:lang w:eastAsia="en-US"/>
    </w:rPr>
  </w:style>
  <w:style w:type="paragraph" w:styleId="Heading6">
    <w:name w:val="heading 6"/>
    <w:basedOn w:val="Normal"/>
    <w:next w:val="Normal"/>
    <w:link w:val="Heading6Char"/>
    <w:unhideWhenUsed/>
    <w:qFormat/>
    <w:rsid w:val="00E33274"/>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9696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C9696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C9696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4204"/>
    <w:rPr>
      <w:rFonts w:eastAsiaTheme="minorEastAsia" w:cs="Calibri (Body)"/>
      <w:b/>
      <w:bCs/>
      <w:color w:val="004040"/>
      <w:kern w:val="32"/>
      <w:sz w:val="44"/>
      <w:szCs w:val="36"/>
      <w:lang w:val="en-US"/>
    </w:rPr>
  </w:style>
  <w:style w:type="character" w:customStyle="1" w:styleId="Heading2Char">
    <w:name w:val="Heading 2 Char"/>
    <w:basedOn w:val="DefaultParagraphFont"/>
    <w:link w:val="Heading2"/>
    <w:rsid w:val="00A96C35"/>
    <w:rPr>
      <w:rFonts w:eastAsiaTheme="majorEastAsia" w:cstheme="majorBidi"/>
      <w:b/>
      <w:bCs/>
      <w:sz w:val="26"/>
      <w:szCs w:val="26"/>
      <w:lang w:eastAsia="en-AU"/>
    </w:rPr>
  </w:style>
  <w:style w:type="character" w:customStyle="1" w:styleId="Heading3Char">
    <w:name w:val="Heading 3 Char"/>
    <w:basedOn w:val="DefaultParagraphFont"/>
    <w:link w:val="Heading3"/>
    <w:rsid w:val="00C9696F"/>
    <w:rPr>
      <w:rFonts w:eastAsiaTheme="majorEastAsia" w:cstheme="majorBidi"/>
      <w:b/>
      <w:bCs/>
      <w:i/>
      <w:iCs/>
      <w:sz w:val="24"/>
      <w:szCs w:val="24"/>
      <w:lang w:eastAsia="en-AU"/>
    </w:rPr>
  </w:style>
  <w:style w:type="paragraph" w:styleId="Header">
    <w:name w:val="header"/>
    <w:basedOn w:val="Normal"/>
    <w:link w:val="HeaderChar"/>
    <w:unhideWhenUsed/>
    <w:rsid w:val="00CF76D7"/>
    <w:pPr>
      <w:tabs>
        <w:tab w:val="center" w:pos="4513"/>
        <w:tab w:val="right" w:pos="9026"/>
      </w:tabs>
    </w:pPr>
  </w:style>
  <w:style w:type="character" w:customStyle="1" w:styleId="HeaderChar">
    <w:name w:val="Header Char"/>
    <w:basedOn w:val="DefaultParagraphFont"/>
    <w:link w:val="Header"/>
    <w:rsid w:val="00CF76D7"/>
    <w:rPr>
      <w:rFonts w:eastAsia="Times New Roman" w:cs="Times New Roman"/>
      <w:sz w:val="23"/>
      <w:szCs w:val="24"/>
      <w:lang w:eastAsia="en-AU"/>
    </w:rPr>
  </w:style>
  <w:style w:type="paragraph" w:styleId="CommentText">
    <w:name w:val="annotation text"/>
    <w:basedOn w:val="Normal"/>
    <w:link w:val="CommentTextChar"/>
    <w:uiPriority w:val="99"/>
    <w:unhideWhenUsed/>
    <w:rsid w:val="00CF76D7"/>
    <w:rPr>
      <w:rFonts w:ascii="Arial" w:hAnsi="Arial" w:cs="Arial"/>
      <w:sz w:val="20"/>
      <w:szCs w:val="20"/>
    </w:rPr>
  </w:style>
  <w:style w:type="character" w:customStyle="1" w:styleId="CommentTextChar">
    <w:name w:val="Comment Text Char"/>
    <w:basedOn w:val="DefaultParagraphFont"/>
    <w:link w:val="CommentText"/>
    <w:uiPriority w:val="99"/>
    <w:rsid w:val="00CF76D7"/>
    <w:rPr>
      <w:rFonts w:ascii="Arial" w:eastAsia="Times New Roman" w:hAnsi="Arial" w:cs="Arial"/>
      <w:sz w:val="20"/>
      <w:szCs w:val="20"/>
      <w:lang w:eastAsia="en-AU"/>
    </w:rPr>
  </w:style>
  <w:style w:type="paragraph" w:styleId="FootnoteText">
    <w:name w:val="footnote text"/>
    <w:basedOn w:val="Normal"/>
    <w:link w:val="FootnoteTextChar"/>
    <w:uiPriority w:val="99"/>
    <w:unhideWhenUsed/>
    <w:rsid w:val="00CF76D7"/>
    <w:rPr>
      <w:sz w:val="20"/>
      <w:szCs w:val="20"/>
    </w:rPr>
  </w:style>
  <w:style w:type="character" w:customStyle="1" w:styleId="FootnoteTextChar">
    <w:name w:val="Footnote Text Char"/>
    <w:basedOn w:val="DefaultParagraphFont"/>
    <w:link w:val="FootnoteText"/>
    <w:uiPriority w:val="99"/>
    <w:rsid w:val="00CF76D7"/>
    <w:rPr>
      <w:rFonts w:eastAsia="Times New Roman" w:cs="Times New Roman"/>
      <w:sz w:val="20"/>
      <w:szCs w:val="20"/>
      <w:lang w:eastAsia="en-AU"/>
    </w:rPr>
  </w:style>
  <w:style w:type="character" w:styleId="FootnoteReference">
    <w:name w:val="footnote reference"/>
    <w:aliases w:val="BVI fnr"/>
    <w:basedOn w:val="DefaultParagraphFont"/>
    <w:uiPriority w:val="99"/>
    <w:unhideWhenUsed/>
    <w:rsid w:val="00CF76D7"/>
    <w:rPr>
      <w:vertAlign w:val="superscript"/>
    </w:rPr>
  </w:style>
  <w:style w:type="paragraph" w:styleId="Footer">
    <w:name w:val="footer"/>
    <w:basedOn w:val="Normal"/>
    <w:link w:val="FooterChar"/>
    <w:uiPriority w:val="99"/>
    <w:unhideWhenUsed/>
    <w:rsid w:val="00CF76D7"/>
    <w:pPr>
      <w:tabs>
        <w:tab w:val="center" w:pos="4513"/>
        <w:tab w:val="right" w:pos="9026"/>
      </w:tabs>
    </w:pPr>
  </w:style>
  <w:style w:type="character" w:customStyle="1" w:styleId="FooterChar">
    <w:name w:val="Footer Char"/>
    <w:basedOn w:val="DefaultParagraphFont"/>
    <w:link w:val="Footer"/>
    <w:uiPriority w:val="99"/>
    <w:rsid w:val="00CF76D7"/>
    <w:rPr>
      <w:rFonts w:eastAsia="Times New Roman" w:cs="Times New Roman"/>
      <w:sz w:val="23"/>
      <w:szCs w:val="24"/>
      <w:lang w:eastAsia="en-AU"/>
    </w:rPr>
  </w:style>
  <w:style w:type="paragraph" w:styleId="ListParagraph">
    <w:name w:val="List Paragraph"/>
    <w:aliases w:val="Table Bullet,Rec para,Dot pt,F5 List Paragraph,No Spacing1,List Paragraph Char Char Char,Indicator Text,Numbered Para 1,Colorful List - Accent 11,Bullet 1,MAIN CONTENT,List Paragraph12,List Paragraph2,Normal numbered,OBC Bullet,L,Bullets"/>
    <w:basedOn w:val="Normal"/>
    <w:link w:val="ListParagraphChar"/>
    <w:uiPriority w:val="34"/>
    <w:qFormat/>
    <w:rsid w:val="003473B4"/>
    <w:pPr>
      <w:numPr>
        <w:numId w:val="1"/>
      </w:numPr>
      <w:contextualSpacing/>
    </w:pPr>
    <w:rPr>
      <w:rFonts w:ascii="Arial Narrow" w:hAnsi="Arial Narrow"/>
      <w:sz w:val="24"/>
    </w:rPr>
  </w:style>
  <w:style w:type="character" w:styleId="Hyperlink">
    <w:name w:val="Hyperlink"/>
    <w:basedOn w:val="DefaultParagraphFont"/>
    <w:uiPriority w:val="99"/>
    <w:unhideWhenUsed/>
    <w:rsid w:val="00CF76D7"/>
    <w:rPr>
      <w:color w:val="0563C1" w:themeColor="hyperlink"/>
      <w:u w:val="single"/>
    </w:rPr>
  </w:style>
  <w:style w:type="character" w:styleId="Emphasis">
    <w:name w:val="Emphasis"/>
    <w:basedOn w:val="DefaultParagraphFont"/>
    <w:qFormat/>
    <w:rsid w:val="00CF76D7"/>
    <w:rPr>
      <w:i/>
      <w:iCs/>
    </w:rPr>
  </w:style>
  <w:style w:type="character" w:styleId="Strong">
    <w:name w:val="Strong"/>
    <w:aliases w:val="2 List"/>
    <w:qFormat/>
    <w:rsid w:val="008E793C"/>
  </w:style>
  <w:style w:type="paragraph" w:styleId="TOC2">
    <w:name w:val="toc 2"/>
    <w:basedOn w:val="Normal"/>
    <w:next w:val="Normal"/>
    <w:autoRedefine/>
    <w:uiPriority w:val="39"/>
    <w:unhideWhenUsed/>
    <w:qFormat/>
    <w:rsid w:val="00CF76D7"/>
    <w:pPr>
      <w:spacing w:before="120"/>
      <w:ind w:left="230"/>
      <w:jc w:val="left"/>
    </w:pPr>
    <w:rPr>
      <w:b/>
      <w:bCs/>
      <w:sz w:val="22"/>
      <w:szCs w:val="22"/>
    </w:rPr>
  </w:style>
  <w:style w:type="paragraph" w:styleId="TOC3">
    <w:name w:val="toc 3"/>
    <w:basedOn w:val="Normal"/>
    <w:next w:val="Normal"/>
    <w:autoRedefine/>
    <w:unhideWhenUsed/>
    <w:rsid w:val="00FB2FDD"/>
    <w:pPr>
      <w:ind w:left="460"/>
      <w:jc w:val="left"/>
    </w:pPr>
    <w:rPr>
      <w:sz w:val="20"/>
      <w:szCs w:val="20"/>
    </w:rPr>
  </w:style>
  <w:style w:type="paragraph" w:styleId="TOC1">
    <w:name w:val="toc 1"/>
    <w:basedOn w:val="Normal"/>
    <w:next w:val="Normal"/>
    <w:autoRedefine/>
    <w:uiPriority w:val="39"/>
    <w:unhideWhenUsed/>
    <w:rsid w:val="0074178F"/>
    <w:pPr>
      <w:tabs>
        <w:tab w:val="left" w:pos="460"/>
        <w:tab w:val="right" w:leader="dot" w:pos="9016"/>
      </w:tabs>
      <w:spacing w:before="120"/>
      <w:jc w:val="left"/>
    </w:pPr>
    <w:rPr>
      <w:b/>
      <w:bCs/>
      <w:i/>
      <w:iCs/>
      <w:noProof/>
      <w:sz w:val="24"/>
      <w:szCs w:val="24"/>
    </w:rPr>
  </w:style>
  <w:style w:type="character" w:customStyle="1" w:styleId="ListParagraphChar">
    <w:name w:val="List Paragraph Char"/>
    <w:aliases w:val="Table Bullet Char,Rec para Char,Dot pt Char,F5 List Paragraph Char,No Spacing1 Char,List Paragraph Char Char Char Char,Indicator Text Char,Numbered Para 1 Char,Colorful List - Accent 11 Char,Bullet 1 Char,MAIN CONTENT Char,L Char"/>
    <w:link w:val="ListParagraph"/>
    <w:uiPriority w:val="34"/>
    <w:qFormat/>
    <w:locked/>
    <w:rsid w:val="003473B4"/>
    <w:rPr>
      <w:rFonts w:ascii="Arial Narrow" w:eastAsia="Times New Roman" w:hAnsi="Arial Narrow" w:cstheme="minorHAnsi"/>
      <w:sz w:val="24"/>
      <w:szCs w:val="23"/>
      <w:lang w:eastAsia="en-AU"/>
    </w:rPr>
  </w:style>
  <w:style w:type="paragraph" w:customStyle="1" w:styleId="Pa18">
    <w:name w:val="Pa18"/>
    <w:basedOn w:val="Normal"/>
    <w:next w:val="Normal"/>
    <w:uiPriority w:val="99"/>
    <w:rsid w:val="00CF76D7"/>
    <w:pPr>
      <w:autoSpaceDE w:val="0"/>
      <w:autoSpaceDN w:val="0"/>
      <w:adjustRightInd w:val="0"/>
      <w:spacing w:line="221" w:lineRule="atLeast"/>
    </w:pPr>
    <w:rPr>
      <w:rFonts w:ascii="Calibri" w:eastAsiaTheme="minorEastAsia" w:hAnsi="Calibri" w:cstheme="minorBidi"/>
      <w:sz w:val="24"/>
      <w:lang w:eastAsia="ja-JP"/>
    </w:rPr>
  </w:style>
  <w:style w:type="paragraph" w:customStyle="1" w:styleId="BodyText1">
    <w:name w:val="Body Text1"/>
    <w:basedOn w:val="Normal"/>
    <w:next w:val="BodyText"/>
    <w:link w:val="BodyTextChar"/>
    <w:uiPriority w:val="99"/>
    <w:semiHidden/>
    <w:unhideWhenUsed/>
    <w:rsid w:val="00CF76D7"/>
    <w:pPr>
      <w:spacing w:after="120" w:line="276" w:lineRule="auto"/>
    </w:pPr>
    <w:rPr>
      <w:rFonts w:eastAsiaTheme="minorEastAsia" w:cstheme="minorBidi"/>
      <w:sz w:val="22"/>
      <w:szCs w:val="22"/>
      <w:lang w:eastAsia="ja-JP"/>
    </w:rPr>
  </w:style>
  <w:style w:type="character" w:customStyle="1" w:styleId="BodyTextChar">
    <w:name w:val="Body Text Char"/>
    <w:basedOn w:val="DefaultParagraphFont"/>
    <w:link w:val="BodyText1"/>
    <w:semiHidden/>
    <w:rsid w:val="00CF76D7"/>
    <w:rPr>
      <w:rFonts w:eastAsiaTheme="minorEastAsia"/>
      <w:lang w:eastAsia="ja-JP"/>
    </w:rPr>
  </w:style>
  <w:style w:type="paragraph" w:customStyle="1" w:styleId="Default">
    <w:name w:val="Default"/>
    <w:rsid w:val="00CF76D7"/>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customStyle="1" w:styleId="Pa1">
    <w:name w:val="Pa1"/>
    <w:basedOn w:val="Default"/>
    <w:next w:val="Default"/>
    <w:uiPriority w:val="99"/>
    <w:rsid w:val="00CF76D7"/>
    <w:pPr>
      <w:spacing w:line="241" w:lineRule="atLeast"/>
    </w:pPr>
    <w:rPr>
      <w:rFonts w:cstheme="minorBidi"/>
      <w:color w:val="auto"/>
    </w:rPr>
  </w:style>
  <w:style w:type="character" w:customStyle="1" w:styleId="A1">
    <w:name w:val="A1"/>
    <w:uiPriority w:val="99"/>
    <w:rsid w:val="00CF76D7"/>
    <w:rPr>
      <w:rFonts w:cs="Calibri"/>
      <w:b/>
      <w:bCs/>
      <w:color w:val="221E1F"/>
      <w:sz w:val="84"/>
      <w:szCs w:val="84"/>
    </w:rPr>
  </w:style>
  <w:style w:type="paragraph" w:styleId="BodyText">
    <w:name w:val="Body Text"/>
    <w:basedOn w:val="Normal"/>
    <w:link w:val="BodyTextChar1"/>
    <w:semiHidden/>
    <w:unhideWhenUsed/>
    <w:rsid w:val="00CF76D7"/>
    <w:pPr>
      <w:spacing w:after="120"/>
    </w:pPr>
  </w:style>
  <w:style w:type="character" w:customStyle="1" w:styleId="BodyTextChar1">
    <w:name w:val="Body Text Char1"/>
    <w:basedOn w:val="DefaultParagraphFont"/>
    <w:link w:val="BodyText"/>
    <w:uiPriority w:val="99"/>
    <w:semiHidden/>
    <w:rsid w:val="00CF76D7"/>
    <w:rPr>
      <w:rFonts w:eastAsia="Times New Roman" w:cs="Times New Roman"/>
      <w:sz w:val="23"/>
      <w:szCs w:val="24"/>
      <w:lang w:eastAsia="en-AU"/>
    </w:rPr>
  </w:style>
  <w:style w:type="character" w:customStyle="1" w:styleId="Heading4Char">
    <w:name w:val="Heading 4 Char"/>
    <w:basedOn w:val="DefaultParagraphFont"/>
    <w:link w:val="Heading4"/>
    <w:rsid w:val="0064698E"/>
    <w:rPr>
      <w:rFonts w:eastAsia="Times New Roman" w:cstheme="minorHAnsi"/>
      <w:i/>
      <w:iCs/>
      <w:noProof/>
      <w:sz w:val="23"/>
      <w:szCs w:val="23"/>
      <w:lang w:eastAsia="en-AU"/>
    </w:rPr>
  </w:style>
  <w:style w:type="character" w:customStyle="1" w:styleId="Heading5Char">
    <w:name w:val="Heading 5 Char"/>
    <w:basedOn w:val="DefaultParagraphFont"/>
    <w:link w:val="Heading5"/>
    <w:rsid w:val="00E33274"/>
    <w:rPr>
      <w:rFonts w:eastAsia="Calibri" w:cstheme="majorBidi"/>
      <w:b/>
      <w:bCs/>
      <w:sz w:val="28"/>
      <w:szCs w:val="28"/>
    </w:rPr>
  </w:style>
  <w:style w:type="table" w:styleId="TableGrid">
    <w:name w:val="Table Grid"/>
    <w:basedOn w:val="TableNormal"/>
    <w:uiPriority w:val="39"/>
    <w:unhideWhenUsed/>
    <w:rsid w:val="00CF76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F76D7"/>
    <w:pPr>
      <w:spacing w:after="120"/>
    </w:pPr>
    <w:rPr>
      <w:rFonts w:ascii="Arial" w:eastAsiaTheme="minorEastAsia" w:hAnsi="Arial" w:cs="Arial"/>
      <w:bCs/>
      <w:color w:val="8496B0" w:themeColor="text2" w:themeTint="99"/>
      <w:sz w:val="22"/>
      <w:szCs w:val="22"/>
    </w:rPr>
  </w:style>
  <w:style w:type="paragraph" w:styleId="IntenseQuote">
    <w:name w:val="Intense Quote"/>
    <w:basedOn w:val="Normal"/>
    <w:next w:val="Normal"/>
    <w:link w:val="IntenseQuoteChar"/>
    <w:uiPriority w:val="30"/>
    <w:qFormat/>
    <w:rsid w:val="00CF76D7"/>
    <w:pPr>
      <w:widowControl w:val="0"/>
      <w:pBdr>
        <w:bottom w:val="single" w:sz="4" w:space="4" w:color="5B9BD5" w:themeColor="accent1"/>
      </w:pBdr>
      <w:spacing w:before="200" w:after="280" w:line="276" w:lineRule="auto"/>
      <w:ind w:left="936" w:right="936"/>
    </w:pPr>
    <w:rPr>
      <w:rFonts w:ascii="Calibri" w:eastAsia="Franklin Gothic Book" w:hAnsi="Calibri" w:cs="Calibri"/>
      <w:b/>
      <w:bCs/>
      <w:i/>
      <w:iCs/>
      <w:color w:val="5B9BD5" w:themeColor="accent1"/>
      <w:spacing w:val="-5"/>
      <w:sz w:val="24"/>
      <w:lang w:val="en-US" w:eastAsia="en-US"/>
    </w:rPr>
  </w:style>
  <w:style w:type="character" w:customStyle="1" w:styleId="IntenseQuoteChar">
    <w:name w:val="Intense Quote Char"/>
    <w:basedOn w:val="DefaultParagraphFont"/>
    <w:link w:val="IntenseQuote"/>
    <w:uiPriority w:val="30"/>
    <w:rsid w:val="00CF76D7"/>
    <w:rPr>
      <w:rFonts w:ascii="Calibri" w:eastAsia="Franklin Gothic Book" w:hAnsi="Calibri" w:cs="Calibri"/>
      <w:b/>
      <w:bCs/>
      <w:i/>
      <w:iCs/>
      <w:color w:val="5B9BD5" w:themeColor="accent1"/>
      <w:spacing w:val="-5"/>
      <w:sz w:val="24"/>
      <w:szCs w:val="24"/>
      <w:lang w:val="en-US"/>
    </w:rPr>
  </w:style>
  <w:style w:type="character" w:styleId="CommentReference">
    <w:name w:val="annotation reference"/>
    <w:basedOn w:val="DefaultParagraphFont"/>
    <w:uiPriority w:val="99"/>
    <w:semiHidden/>
    <w:unhideWhenUsed/>
    <w:rsid w:val="00CF76D7"/>
    <w:rPr>
      <w:sz w:val="18"/>
      <w:szCs w:val="18"/>
    </w:rPr>
  </w:style>
  <w:style w:type="paragraph" w:styleId="NormalWeb">
    <w:name w:val="Normal (Web)"/>
    <w:basedOn w:val="Normal"/>
    <w:uiPriority w:val="99"/>
    <w:unhideWhenUsed/>
    <w:rsid w:val="00CF76D7"/>
    <w:pPr>
      <w:spacing w:before="100" w:beforeAutospacing="1" w:after="100" w:afterAutospacing="1"/>
    </w:pPr>
    <w:rPr>
      <w:rFonts w:ascii="Times New Roman" w:hAnsi="Times New Roman"/>
      <w:sz w:val="24"/>
      <w:lang w:eastAsia="en-GB"/>
    </w:rPr>
  </w:style>
  <w:style w:type="character" w:customStyle="1" w:styleId="apple-converted-space">
    <w:name w:val="apple-converted-space"/>
    <w:basedOn w:val="DefaultParagraphFont"/>
    <w:rsid w:val="00CF76D7"/>
  </w:style>
  <w:style w:type="table" w:styleId="GridTable2-Accent1">
    <w:name w:val="Grid Table 2 Accent 1"/>
    <w:basedOn w:val="TableNormal"/>
    <w:uiPriority w:val="47"/>
    <w:rsid w:val="00CF76D7"/>
    <w:pPr>
      <w:spacing w:after="0" w:line="240" w:lineRule="auto"/>
    </w:pPr>
    <w:rPr>
      <w:sz w:val="24"/>
      <w:szCs w:val="24"/>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Quote">
    <w:name w:val="Quote"/>
    <w:basedOn w:val="Normal"/>
    <w:next w:val="Normal"/>
    <w:link w:val="QuoteChar"/>
    <w:uiPriority w:val="29"/>
    <w:qFormat/>
    <w:rsid w:val="00CF76D7"/>
    <w:pPr>
      <w:spacing w:before="200" w:after="160"/>
      <w:ind w:left="864" w:right="864"/>
      <w:jc w:val="center"/>
    </w:pPr>
    <w:rPr>
      <w:i/>
      <w:iCs/>
      <w:color w:val="404040" w:themeColor="text1" w:themeTint="BF"/>
      <w:sz w:val="24"/>
      <w:lang w:eastAsia="en-GB"/>
    </w:rPr>
  </w:style>
  <w:style w:type="character" w:customStyle="1" w:styleId="QuoteChar">
    <w:name w:val="Quote Char"/>
    <w:basedOn w:val="DefaultParagraphFont"/>
    <w:link w:val="Quote"/>
    <w:uiPriority w:val="29"/>
    <w:rsid w:val="00CF76D7"/>
    <w:rPr>
      <w:rFonts w:eastAsia="Times New Roman" w:cstheme="minorHAnsi"/>
      <w:i/>
      <w:iCs/>
      <w:color w:val="404040" w:themeColor="text1" w:themeTint="BF"/>
      <w:sz w:val="24"/>
      <w:szCs w:val="24"/>
      <w:lang w:eastAsia="en-GB"/>
    </w:rPr>
  </w:style>
  <w:style w:type="character" w:styleId="SubtleEmphasis">
    <w:name w:val="Subtle Emphasis"/>
    <w:basedOn w:val="DefaultParagraphFont"/>
    <w:uiPriority w:val="19"/>
    <w:qFormat/>
    <w:rsid w:val="00EE298E"/>
    <w:rPr>
      <w:sz w:val="22"/>
      <w:szCs w:val="22"/>
    </w:rPr>
  </w:style>
  <w:style w:type="paragraph" w:styleId="BalloonText">
    <w:name w:val="Balloon Text"/>
    <w:basedOn w:val="Normal"/>
    <w:link w:val="BalloonTextChar"/>
    <w:uiPriority w:val="99"/>
    <w:semiHidden/>
    <w:unhideWhenUsed/>
    <w:rsid w:val="00CF76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6D7"/>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3D1671"/>
    <w:rPr>
      <w:rFonts w:asciiTheme="minorHAnsi" w:hAnsiTheme="minorHAnsi" w:cs="Times New Roman"/>
      <w:b/>
      <w:bCs/>
    </w:rPr>
  </w:style>
  <w:style w:type="character" w:customStyle="1" w:styleId="CommentSubjectChar">
    <w:name w:val="Comment Subject Char"/>
    <w:basedOn w:val="CommentTextChar"/>
    <w:link w:val="CommentSubject"/>
    <w:uiPriority w:val="99"/>
    <w:semiHidden/>
    <w:rsid w:val="003D1671"/>
    <w:rPr>
      <w:rFonts w:ascii="Arial" w:eastAsia="Times New Roman" w:hAnsi="Arial" w:cs="Times New Roman"/>
      <w:b/>
      <w:bCs/>
      <w:sz w:val="20"/>
      <w:szCs w:val="20"/>
      <w:lang w:eastAsia="en-AU"/>
    </w:rPr>
  </w:style>
  <w:style w:type="character" w:customStyle="1" w:styleId="UnresolvedMention1">
    <w:name w:val="Unresolved Mention1"/>
    <w:basedOn w:val="DefaultParagraphFont"/>
    <w:uiPriority w:val="99"/>
    <w:semiHidden/>
    <w:unhideWhenUsed/>
    <w:rsid w:val="00082F27"/>
    <w:rPr>
      <w:color w:val="605E5C"/>
      <w:shd w:val="clear" w:color="auto" w:fill="E1DFDD"/>
    </w:rPr>
  </w:style>
  <w:style w:type="character" w:styleId="IntenseEmphasis">
    <w:name w:val="Intense Emphasis"/>
    <w:basedOn w:val="DefaultParagraphFont"/>
    <w:uiPriority w:val="21"/>
    <w:qFormat/>
    <w:rsid w:val="00EE298E"/>
    <w:rPr>
      <w:i/>
      <w:iCs/>
      <w:color w:val="5B9BD5" w:themeColor="accent1"/>
    </w:rPr>
  </w:style>
  <w:style w:type="character" w:customStyle="1" w:styleId="Heading6Char">
    <w:name w:val="Heading 6 Char"/>
    <w:basedOn w:val="DefaultParagraphFont"/>
    <w:link w:val="Heading6"/>
    <w:rsid w:val="00E33274"/>
    <w:rPr>
      <w:rFonts w:asciiTheme="majorHAnsi" w:eastAsiaTheme="majorEastAsia" w:hAnsiTheme="majorHAnsi" w:cstheme="majorBidi"/>
      <w:color w:val="1F4D78" w:themeColor="accent1" w:themeShade="7F"/>
      <w:sz w:val="23"/>
      <w:szCs w:val="23"/>
      <w:lang w:eastAsia="en-AU"/>
    </w:rPr>
  </w:style>
  <w:style w:type="character" w:customStyle="1" w:styleId="Heading7Char">
    <w:name w:val="Heading 7 Char"/>
    <w:basedOn w:val="DefaultParagraphFont"/>
    <w:link w:val="Heading7"/>
    <w:rsid w:val="00C9696F"/>
    <w:rPr>
      <w:rFonts w:asciiTheme="majorHAnsi" w:eastAsiaTheme="majorEastAsia" w:hAnsiTheme="majorHAnsi" w:cstheme="majorBidi"/>
      <w:i/>
      <w:iCs/>
      <w:color w:val="1F4D78" w:themeColor="accent1" w:themeShade="7F"/>
      <w:sz w:val="23"/>
      <w:szCs w:val="23"/>
      <w:lang w:eastAsia="en-AU"/>
    </w:rPr>
  </w:style>
  <w:style w:type="character" w:customStyle="1" w:styleId="Heading8Char">
    <w:name w:val="Heading 8 Char"/>
    <w:basedOn w:val="DefaultParagraphFont"/>
    <w:link w:val="Heading8"/>
    <w:rsid w:val="00C9696F"/>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C9696F"/>
    <w:rPr>
      <w:rFonts w:asciiTheme="majorHAnsi" w:eastAsiaTheme="majorEastAsia" w:hAnsiTheme="majorHAnsi" w:cstheme="majorBidi"/>
      <w:i/>
      <w:iCs/>
      <w:color w:val="272727" w:themeColor="text1" w:themeTint="D8"/>
      <w:sz w:val="21"/>
      <w:szCs w:val="21"/>
      <w:lang w:eastAsia="en-AU"/>
    </w:rPr>
  </w:style>
  <w:style w:type="character" w:styleId="FollowedHyperlink">
    <w:name w:val="FollowedHyperlink"/>
    <w:basedOn w:val="DefaultParagraphFont"/>
    <w:uiPriority w:val="99"/>
    <w:semiHidden/>
    <w:unhideWhenUsed/>
    <w:rsid w:val="00334818"/>
    <w:rPr>
      <w:color w:val="954F72" w:themeColor="followedHyperlink"/>
      <w:u w:val="single"/>
    </w:rPr>
  </w:style>
  <w:style w:type="character" w:customStyle="1" w:styleId="UnresolvedMention2">
    <w:name w:val="Unresolved Mention2"/>
    <w:basedOn w:val="DefaultParagraphFont"/>
    <w:uiPriority w:val="99"/>
    <w:semiHidden/>
    <w:unhideWhenUsed/>
    <w:rsid w:val="00F26FD0"/>
    <w:rPr>
      <w:color w:val="605E5C"/>
      <w:shd w:val="clear" w:color="auto" w:fill="E1DFDD"/>
    </w:rPr>
  </w:style>
  <w:style w:type="paragraph" w:styleId="TOCHeading">
    <w:name w:val="TOC Heading"/>
    <w:basedOn w:val="Heading1"/>
    <w:next w:val="Normal"/>
    <w:uiPriority w:val="39"/>
    <w:unhideWhenUsed/>
    <w:qFormat/>
    <w:rsid w:val="00C87D50"/>
    <w:pPr>
      <w:keepLines/>
      <w:numPr>
        <w:numId w:val="0"/>
      </w:numPr>
      <w:spacing w:before="48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TOC4">
    <w:name w:val="toc 4"/>
    <w:basedOn w:val="Normal"/>
    <w:next w:val="Normal"/>
    <w:autoRedefine/>
    <w:unhideWhenUsed/>
    <w:rsid w:val="00C87D50"/>
    <w:pPr>
      <w:ind w:left="690"/>
      <w:jc w:val="left"/>
    </w:pPr>
    <w:rPr>
      <w:sz w:val="20"/>
      <w:szCs w:val="20"/>
    </w:rPr>
  </w:style>
  <w:style w:type="paragraph" w:styleId="TOC5">
    <w:name w:val="toc 5"/>
    <w:basedOn w:val="Normal"/>
    <w:next w:val="Normal"/>
    <w:autoRedefine/>
    <w:unhideWhenUsed/>
    <w:rsid w:val="00C87D50"/>
    <w:pPr>
      <w:ind w:left="920"/>
      <w:jc w:val="left"/>
    </w:pPr>
    <w:rPr>
      <w:sz w:val="20"/>
      <w:szCs w:val="20"/>
    </w:rPr>
  </w:style>
  <w:style w:type="paragraph" w:styleId="TOC6">
    <w:name w:val="toc 6"/>
    <w:basedOn w:val="Normal"/>
    <w:next w:val="Normal"/>
    <w:autoRedefine/>
    <w:unhideWhenUsed/>
    <w:rsid w:val="00C87D50"/>
    <w:pPr>
      <w:ind w:left="1150"/>
      <w:jc w:val="left"/>
    </w:pPr>
    <w:rPr>
      <w:sz w:val="20"/>
      <w:szCs w:val="20"/>
    </w:rPr>
  </w:style>
  <w:style w:type="paragraph" w:styleId="TOC7">
    <w:name w:val="toc 7"/>
    <w:basedOn w:val="Normal"/>
    <w:next w:val="Normal"/>
    <w:autoRedefine/>
    <w:unhideWhenUsed/>
    <w:rsid w:val="00C87D50"/>
    <w:pPr>
      <w:ind w:left="1380"/>
      <w:jc w:val="left"/>
    </w:pPr>
    <w:rPr>
      <w:sz w:val="20"/>
      <w:szCs w:val="20"/>
    </w:rPr>
  </w:style>
  <w:style w:type="paragraph" w:styleId="TOC8">
    <w:name w:val="toc 8"/>
    <w:basedOn w:val="Normal"/>
    <w:next w:val="Normal"/>
    <w:autoRedefine/>
    <w:unhideWhenUsed/>
    <w:rsid w:val="00C87D50"/>
    <w:pPr>
      <w:ind w:left="1610"/>
      <w:jc w:val="left"/>
    </w:pPr>
    <w:rPr>
      <w:sz w:val="20"/>
      <w:szCs w:val="20"/>
    </w:rPr>
  </w:style>
  <w:style w:type="paragraph" w:styleId="TOC9">
    <w:name w:val="toc 9"/>
    <w:basedOn w:val="Normal"/>
    <w:next w:val="Normal"/>
    <w:autoRedefine/>
    <w:unhideWhenUsed/>
    <w:rsid w:val="00C87D50"/>
    <w:pPr>
      <w:ind w:left="1840"/>
      <w:jc w:val="left"/>
    </w:pPr>
    <w:rPr>
      <w:sz w:val="20"/>
      <w:szCs w:val="20"/>
    </w:rPr>
  </w:style>
  <w:style w:type="character" w:styleId="PageNumber">
    <w:name w:val="page number"/>
    <w:basedOn w:val="DefaultParagraphFont"/>
    <w:uiPriority w:val="99"/>
    <w:rsid w:val="001E371F"/>
  </w:style>
  <w:style w:type="paragraph" w:styleId="BlockText">
    <w:name w:val="Block Text"/>
    <w:basedOn w:val="Normal"/>
    <w:semiHidden/>
    <w:rsid w:val="001E371F"/>
    <w:pPr>
      <w:ind w:left="1440" w:right="1440"/>
      <w:jc w:val="left"/>
    </w:pPr>
    <w:rPr>
      <w:rFonts w:ascii="Times" w:hAnsi="Times" w:cs="Lucida Bright Math Symbol"/>
      <w:sz w:val="24"/>
      <w:szCs w:val="20"/>
      <w:lang w:val="en-US" w:eastAsia="en-US"/>
    </w:rPr>
  </w:style>
  <w:style w:type="paragraph" w:styleId="Title">
    <w:name w:val="Title"/>
    <w:basedOn w:val="Normal"/>
    <w:link w:val="TitleChar"/>
    <w:qFormat/>
    <w:rsid w:val="001E371F"/>
    <w:pPr>
      <w:jc w:val="center"/>
    </w:pPr>
    <w:rPr>
      <w:rFonts w:ascii="Times New Roman" w:hAnsi="Times New Roman" w:cs="Lucida Bright Math Symbol"/>
      <w:b/>
      <w:smallCaps/>
      <w:noProof/>
      <w:sz w:val="20"/>
      <w:szCs w:val="20"/>
      <w:lang w:val="en-US" w:eastAsia="en-US"/>
    </w:rPr>
  </w:style>
  <w:style w:type="character" w:customStyle="1" w:styleId="TitleChar">
    <w:name w:val="Title Char"/>
    <w:basedOn w:val="DefaultParagraphFont"/>
    <w:link w:val="Title"/>
    <w:rsid w:val="001E371F"/>
    <w:rPr>
      <w:rFonts w:ascii="Times New Roman" w:eastAsia="Times New Roman" w:hAnsi="Times New Roman" w:cs="Lucida Bright Math Symbol"/>
      <w:b/>
      <w:smallCaps/>
      <w:noProof/>
      <w:sz w:val="20"/>
      <w:szCs w:val="20"/>
      <w:lang w:val="en-US"/>
    </w:rPr>
  </w:style>
  <w:style w:type="paragraph" w:styleId="BodyText2">
    <w:name w:val="Body Text 2"/>
    <w:basedOn w:val="Normal"/>
    <w:link w:val="BodyText2Char"/>
    <w:semiHidden/>
    <w:rsid w:val="001E371F"/>
    <w:pPr>
      <w:jc w:val="left"/>
    </w:pPr>
    <w:rPr>
      <w:rFonts w:ascii="Arial" w:hAnsi="Arial" w:cs="Lucida Bright Math Symbol"/>
      <w:noProof/>
      <w:sz w:val="22"/>
      <w:szCs w:val="20"/>
      <w:lang w:val="en-US" w:eastAsia="en-US"/>
    </w:rPr>
  </w:style>
  <w:style w:type="character" w:customStyle="1" w:styleId="BodyText2Char">
    <w:name w:val="Body Text 2 Char"/>
    <w:basedOn w:val="DefaultParagraphFont"/>
    <w:link w:val="BodyText2"/>
    <w:semiHidden/>
    <w:rsid w:val="001E371F"/>
    <w:rPr>
      <w:rFonts w:ascii="Arial" w:eastAsia="Times New Roman" w:hAnsi="Arial" w:cs="Lucida Bright Math Symbol"/>
      <w:noProof/>
      <w:szCs w:val="20"/>
      <w:lang w:val="en-US"/>
    </w:rPr>
  </w:style>
  <w:style w:type="paragraph" w:styleId="Subtitle">
    <w:name w:val="Subtitle"/>
    <w:basedOn w:val="Normal"/>
    <w:next w:val="Normal"/>
    <w:link w:val="SubtitleChar"/>
    <w:qFormat/>
    <w:rsid w:val="001E371F"/>
    <w:pPr>
      <w:numPr>
        <w:ilvl w:val="1"/>
      </w:numPr>
      <w:jc w:val="left"/>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sid w:val="001E371F"/>
    <w:rPr>
      <w:rFonts w:asciiTheme="majorHAnsi" w:eastAsiaTheme="majorEastAsia" w:hAnsiTheme="majorHAnsi" w:cstheme="majorBidi"/>
      <w:i/>
      <w:iCs/>
      <w:color w:val="5B9BD5" w:themeColor="accent1"/>
      <w:spacing w:val="15"/>
      <w:sz w:val="24"/>
      <w:szCs w:val="24"/>
      <w:lang w:eastAsia="en-AU"/>
    </w:rPr>
  </w:style>
  <w:style w:type="paragraph" w:customStyle="1" w:styleId="Standard">
    <w:name w:val="Standard"/>
    <w:uiPriority w:val="99"/>
    <w:rsid w:val="001E371F"/>
    <w:pPr>
      <w:widowControl w:val="0"/>
      <w:suppressAutoHyphens/>
      <w:autoSpaceDN w:val="0"/>
      <w:spacing w:after="0" w:line="240" w:lineRule="auto"/>
      <w:textAlignment w:val="baseline"/>
    </w:pPr>
    <w:rPr>
      <w:rFonts w:ascii="Arial" w:eastAsia="Times New Roman" w:hAnsi="Arial" w:cs="Arial"/>
      <w:kern w:val="3"/>
      <w:sz w:val="24"/>
      <w:szCs w:val="24"/>
      <w:lang w:val="en-GB" w:eastAsia="zh-CN" w:bidi="hi-IN"/>
    </w:rPr>
  </w:style>
  <w:style w:type="character" w:styleId="BookTitle">
    <w:name w:val="Book Title"/>
    <w:uiPriority w:val="33"/>
    <w:qFormat/>
    <w:rsid w:val="001E371F"/>
    <w:rPr>
      <w:rFonts w:ascii="Arial" w:hAnsi="Arial"/>
      <w:sz w:val="22"/>
      <w:szCs w:val="22"/>
    </w:rPr>
  </w:style>
  <w:style w:type="paragraph" w:styleId="Revision">
    <w:name w:val="Revision"/>
    <w:hidden/>
    <w:uiPriority w:val="99"/>
    <w:semiHidden/>
    <w:rsid w:val="00164365"/>
    <w:pPr>
      <w:spacing w:after="0" w:line="240" w:lineRule="auto"/>
    </w:pPr>
    <w:rPr>
      <w:rFonts w:eastAsia="Times New Roman" w:cstheme="minorHAnsi"/>
      <w:sz w:val="23"/>
      <w:szCs w:val="23"/>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84192">
      <w:bodyDiv w:val="1"/>
      <w:marLeft w:val="0"/>
      <w:marRight w:val="0"/>
      <w:marTop w:val="0"/>
      <w:marBottom w:val="0"/>
      <w:divBdr>
        <w:top w:val="none" w:sz="0" w:space="0" w:color="auto"/>
        <w:left w:val="none" w:sz="0" w:space="0" w:color="auto"/>
        <w:bottom w:val="none" w:sz="0" w:space="0" w:color="auto"/>
        <w:right w:val="none" w:sz="0" w:space="0" w:color="auto"/>
      </w:divBdr>
    </w:div>
    <w:div w:id="1392541381">
      <w:bodyDiv w:val="1"/>
      <w:marLeft w:val="0"/>
      <w:marRight w:val="0"/>
      <w:marTop w:val="0"/>
      <w:marBottom w:val="0"/>
      <w:divBdr>
        <w:top w:val="none" w:sz="0" w:space="0" w:color="auto"/>
        <w:left w:val="none" w:sz="0" w:space="0" w:color="auto"/>
        <w:bottom w:val="none" w:sz="0" w:space="0" w:color="auto"/>
        <w:right w:val="none" w:sz="0" w:space="0" w:color="auto"/>
      </w:divBdr>
    </w:div>
    <w:div w:id="1765881545">
      <w:bodyDiv w:val="1"/>
      <w:marLeft w:val="0"/>
      <w:marRight w:val="0"/>
      <w:marTop w:val="0"/>
      <w:marBottom w:val="0"/>
      <w:divBdr>
        <w:top w:val="none" w:sz="0" w:space="0" w:color="auto"/>
        <w:left w:val="none" w:sz="0" w:space="0" w:color="auto"/>
        <w:bottom w:val="none" w:sz="0" w:space="0" w:color="auto"/>
        <w:right w:val="none" w:sz="0" w:space="0" w:color="auto"/>
      </w:divBdr>
      <w:divsChild>
        <w:div w:id="1380058503">
          <w:marLeft w:val="0"/>
          <w:marRight w:val="0"/>
          <w:marTop w:val="0"/>
          <w:marBottom w:val="0"/>
          <w:divBdr>
            <w:top w:val="none" w:sz="0" w:space="0" w:color="auto"/>
            <w:left w:val="none" w:sz="0" w:space="0" w:color="auto"/>
            <w:bottom w:val="none" w:sz="0" w:space="0" w:color="auto"/>
            <w:right w:val="none" w:sz="0" w:space="0" w:color="auto"/>
          </w:divBdr>
        </w:div>
        <w:div w:id="105121822">
          <w:marLeft w:val="0"/>
          <w:marRight w:val="0"/>
          <w:marTop w:val="0"/>
          <w:marBottom w:val="0"/>
          <w:divBdr>
            <w:top w:val="none" w:sz="0" w:space="0" w:color="auto"/>
            <w:left w:val="none" w:sz="0" w:space="0" w:color="auto"/>
            <w:bottom w:val="none" w:sz="0" w:space="0" w:color="auto"/>
            <w:right w:val="none" w:sz="0" w:space="0" w:color="auto"/>
          </w:divBdr>
        </w:div>
      </w:divsChild>
    </w:div>
    <w:div w:id="206294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dcourt.gov.au/pjsi/resources/toolki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jsi@fedcourt.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court.gov.au/pjsi/resources/toolki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edcourt.gov.au/pjsi/resources/toolki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edcourt.gov.au/pjsi/resources/toolkit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85CA1-5036-4F68-BD5A-8ED0B6E24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4538</Words>
  <Characters>25873</Characters>
  <Application>Microsoft Office Word</Application>
  <DocSecurity>0</DocSecurity>
  <Lines>215</Lines>
  <Paragraphs>60</Paragraphs>
  <ScaleCrop>false</ScaleCrop>
  <Company/>
  <LinksUpToDate>false</LinksUpToDate>
  <CharactersWithSpaces>30351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Conducting Community Consultations Guidance</dc:title>
  <dc:subject/>
  <dc:creator/>
  <cp:keywords/>
  <dc:description/>
  <cp:lastModifiedBy/>
  <cp:revision>1</cp:revision>
  <dcterms:created xsi:type="dcterms:W3CDTF">2020-12-14T03:36:00Z</dcterms:created>
  <dcterms:modified xsi:type="dcterms:W3CDTF">2020-12-14T03:37:00Z</dcterms:modified>
</cp:coreProperties>
</file>