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3pt;margin-top:325.985016pt;width:595.450pt;height:515.9500pt;mso-position-horizontal-relative:page;mso-position-vertical-relative:page;z-index:-198592" coordorigin="-3,6520" coordsize="11909,10319">
            <v:rect style="position:absolute;left:0;top:7086;width:11906;height:9752" filled="true" fillcolor="#afcad1" stroked="false">
              <v:fill opacity="42598f" type="solid"/>
            </v:rect>
            <v:shape style="position:absolute;left:-3;top:8929;width:4835;height:5708" type="#_x0000_t75" stroked="false">
              <v:imagedata r:id="rId5" o:title=""/>
            </v:shape>
            <v:shape style="position:absolute;left:4894;top:10916;width:146;height:181" type="#_x0000_t75" stroked="false">
              <v:imagedata r:id="rId6" o:title=""/>
            </v:shape>
            <v:shape style="position:absolute;left:5091;top:11060;width:592;height:456" type="#_x0000_t75" stroked="false">
              <v:imagedata r:id="rId7" o:title=""/>
            </v:shape>
            <v:shape style="position:absolute;left:5825;top:12445;width:409;height:270" type="#_x0000_t75" stroked="false">
              <v:imagedata r:id="rId8" o:title=""/>
            </v:shape>
            <v:shape style="position:absolute;left:6080;top:11734;width:313;height:678" coordorigin="6080,11735" coordsize="313,678" path="m6213,12040l6204,12022,6191,12013,6185,12004,6182,11992,6182,11976,6181,11951,6175,11921,6164,11896,6147,11886,6118,11886,6118,11896,6091,11912,6080,11923,6082,11934,6095,11949,6112,11971,6129,11992,6142,12009,6147,12016,6127,12035,6120,12045,6127,12051,6147,12055,6167,12070,6179,12095,6186,12115,6194,12115,6204,12094,6212,12066,6213,12040m6235,11759l6226,11746,6210,11745,6196,11741,6186,11737,6182,11735,6182,11750,6175,11781,6177,11808,6185,11826,6201,11830,6218,11814,6231,11786,6235,11759m6294,12002l6286,11971,6270,11941,6254,11918,6246,11910,6234,11926,6228,11939,6226,11950,6226,11963,6236,11983,6260,12005,6283,12016,6294,12002m6309,12099l6260,12069,6243,12077,6225,12090,6220,12108,6246,12130,6283,12139,6301,12127,6308,12109,6309,12099m6380,12307l6379,12289,6368,12281,6346,12281,6340,12287,6335,12308,6337,12332,6346,12349,6360,12347,6373,12328,6380,12307m6392,12363l6373,12363,6354,12368,6331,12380,6321,12394,6340,12407,6370,12412,6386,12409,6392,12399,6392,12385,6392,12363e" filled="true" fillcolor="#65a5ae" stroked="false">
              <v:path arrowok="t"/>
              <v:fill opacity="22937f" type="solid"/>
            </v:shape>
            <v:shape style="position:absolute;left:7138;top:12027;width:303;height:242" type="#_x0000_t75" stroked="false">
              <v:imagedata r:id="rId9" o:title=""/>
            </v:shape>
            <v:shape style="position:absolute;left:5775;top:13988;width:1223;height:1665" coordorigin="5776,13989" coordsize="1223,1665" path="m6592,14894l6584,14881,6565,14872,6540,14853,6521,14833,6511,14826,6508,14833,6507,14853,6503,14859,6492,14874,6477,14893,6461,14910,6449,14907,6442,14878,6436,14839,6428,14809,6419,14796,6411,14795,6401,14804,6388,14817,6376,14829,6369,14839,6363,14851,6355,14870,6348,14873,6332,14880,6316,14893,6308,14910,6295,14917,6264,14933,6230,14952,6209,14970,6188,14999,6174,15020,6156,15049,6127,15086,6089,15126,6054,15171,6037,15224,6006,15281,5940,15337,5865,15384,5805,15414,5777,15438,5776,15465,5785,15490,5791,15507,5792,15515,5795,15526,5805,15545,5824,15580,5839,15584,5874,15593,5920,15602,5964,15606,5996,15612,6022,15624,6049,15640,6090,15653,6132,15643,6165,15602,6197,15545,6236,15487,6264,15434,6273,15385,6278,15337,6297,15288,6325,15258,6350,15253,6377,15251,6408,15228,6435,15197,6447,15173,6450,15140,6450,15082,6461,15038,6488,15034,6518,15041,6532,15034,6540,15029,6551,15005,6556,14984,6564,14960,6580,14925,6586,14910,6592,14894m6998,14479l6992,14455,6987,14438,6974,14405,6960,14384,6945,14380,6934,14391,6924,14410,6909,14428,6879,14439,6844,14448,6817,14455,6793,14452,6766,14426,6742,14392,6729,14367,6724,14349,6726,14333,6731,14320,6733,14315,6737,14295,6732,14283,6710,14287,6686,14300,6674,14311,6667,14318,6660,14320,6648,14317,6635,14310,6624,14303,6620,14300,6627,14286,6635,14272,6641,14255,6640,14234,6632,14216,6622,14207,6613,14198,6609,14181,6611,14158,6610,14139,6599,14120,6567,14101,6533,14086,6515,14075,6503,14064,6487,14048,6467,14025,6447,14002,6431,13989,6421,13995,6422,14012,6429,14027,6440,14044,6448,14068,6442,14095,6430,14120,6432,14149,6468,14187,6513,14223,6537,14247,6551,14270,6567,14304,6582,14330,6590,14345,6593,14376,6593,14410,6593,14455,6592,14536,6585,14578,6571,14593,6517,14605,6492,14614,6481,14627,6494,14645,6523,14661,6583,14682,6613,14698,6636,14717,6648,14737,6652,14760,6653,14791,6650,14819,6642,14836,6634,14848,6627,14857,6617,14868,6604,14881,6601,14895,6620,14910,6652,14925,6679,14937,6702,14938,6719,14921,6739,14884,6765,14835,6795,14783,6826,14738,6845,14695,6856,14616,6872,14599,6896,14591,6918,14580,6935,14567,6945,14552,6958,14541,6979,14531,6996,14513,6998,14479e" filled="true" fillcolor="#65a5ae" stroked="false">
              <v:path arrowok="t"/>
              <v:fill opacity="22937f" type="solid"/>
            </v:shape>
            <v:shape style="position:absolute;left:6150;top:15684;width:101;height:105" type="#_x0000_t75" stroked="false">
              <v:imagedata r:id="rId10" o:title=""/>
            </v:shape>
            <v:shape style="position:absolute;left:3887;top:14823;width:416;height:443" coordorigin="3887,14824" coordsize="416,443" path="m3893,14824l3888,14833,3887,14853,3887,14864,3889,14904,3895,14961,3909,15017,3933,15059,3970,15093,4011,15132,4044,15171,4058,15205,4066,15231,4087,15250,4115,15262,4146,15266,4177,15256,4208,15230,4231,15195,4240,15158,4247,15118,4261,15071,4278,15027,4291,14993,4299,14963,4302,14926,4302,14893,4119,14893,4089,14888,4066,14876,4048,14864,4033,14859,3933,14859,3907,14833,3893,14824xm4250,14824l4240,14825,4205,14835,4176,14859,4150,14882,4119,14893,4302,14893,4302,14853,4293,14832,4271,14824,4250,14824xe" filled="true" fillcolor="#65a5ae" stroked="false">
              <v:path arrowok="t"/>
              <v:fill opacity="22937f" type="solid"/>
            </v:shape>
            <v:shape style="position:absolute;left:6134;top:11910;width:233;height:233" type="#_x0000_t75" stroked="false">
              <v:imagedata r:id="rId11" o:title=""/>
            </v:shape>
            <v:shape style="position:absolute;left:5993;top:10272;width:233;height:233" type="#_x0000_t75" stroked="false">
              <v:imagedata r:id="rId11" o:title=""/>
            </v:shape>
            <v:shape style="position:absolute;left:6134;top:9411;width:233;height:233" type="#_x0000_t75" stroked="false">
              <v:imagedata r:id="rId11" o:title=""/>
            </v:shape>
            <v:shape style="position:absolute;left:7692;top:12625;width:233;height:233" type="#_x0000_t75" stroked="false">
              <v:imagedata r:id="rId11" o:title=""/>
            </v:shape>
            <v:shape style="position:absolute;left:8338;top:11675;width:233;height:233" type="#_x0000_t75" stroked="false">
              <v:imagedata r:id="rId11" o:title=""/>
            </v:shape>
            <v:shape style="position:absolute;left:8222;top:11216;width:233;height:233" type="#_x0000_t75" stroked="false">
              <v:imagedata r:id="rId12" o:title=""/>
            </v:shape>
            <v:shape style="position:absolute;left:9929;top:11921;width:233;height:233" type="#_x0000_t75" stroked="false">
              <v:imagedata r:id="rId11" o:title=""/>
            </v:shape>
            <v:shape style="position:absolute;left:5214;top:11171;width:233;height:233" type="#_x0000_t75" stroked="false">
              <v:imagedata r:id="rId11" o:title=""/>
            </v:shape>
            <v:shape style="position:absolute;left:4982;top:9518;width:233;height:233" type="#_x0000_t75" stroked="false">
              <v:imagedata r:id="rId11" o:title=""/>
            </v:shape>
            <v:shape style="position:absolute;left:7278;top:10073;width:233;height:233" type="#_x0000_t75" stroked="false">
              <v:imagedata r:id="rId11" o:title=""/>
            </v:shape>
            <v:shape style="position:absolute;left:8495;top:12336;width:233;height:233" type="#_x0000_t75" stroked="false">
              <v:imagedata r:id="rId11" o:title=""/>
            </v:shape>
            <v:shape style="position:absolute;left:7278;top:11133;width:233;height:233" type="#_x0000_t75" stroked="false">
              <v:imagedata r:id="rId11" o:title=""/>
            </v:shape>
            <v:rect style="position:absolute;left:0;top:6519;width:11906;height:567" filled="true" fillcolor="#00403f" stroked="false">
              <v:fill type="solid"/>
            </v:rect>
            <v:shape style="position:absolute;left:4995;top:7976;width:164;height:191" type="#_x0000_t75" stroked="false">
              <v:imagedata r:id="rId13" o:title=""/>
            </v:shape>
            <v:shape style="position:absolute;left:4715;top:8022;width:202;height:284" type="#_x0000_t75" stroked="false">
              <v:imagedata r:id="rId14" o:title=""/>
            </v:shape>
            <v:shape style="position:absolute;left:3935;top:8929;width:175;height:254" type="#_x0000_t75" stroked="false">
              <v:imagedata r:id="rId15" o:title=""/>
            </v:shape>
            <v:shape style="position:absolute;left:3571;top:7143;width:2155;height:2155" type="#_x0000_t75" stroked="false">
              <v:imagedata r:id="rId16" o:title=""/>
            </v:shape>
            <v:shape style="position:absolute;left:5782;top:7143;width:1871;height:2155" type="#_x0000_t75" stroked="false">
              <v:imagedata r:id="rId17" o:title=""/>
            </v:shape>
            <v:shape style="position:absolute;left:7710;top:7143;width:4196;height:2155" type="#_x0000_t75" stroked="false">
              <v:imagedata r:id="rId18" o:title=""/>
            </v:shape>
            <v:shape style="position:absolute;left:5896;top:15151;width:1758;height:1356" type="#_x0000_t75" stroked="false">
              <v:imagedata r:id="rId19" o:title=""/>
            </v:shape>
            <v:rect style="position:absolute;left:7823;top:16217;width:193;height:213" filled="true" fillcolor="#fdce0d" stroked="false">
              <v:fill type="solid"/>
            </v:rect>
            <v:rect style="position:absolute;left:8039;top:16217;width:202;height:213" filled="true" fillcolor="#efac1e" stroked="false">
              <v:fill type="solid"/>
            </v:rect>
            <v:rect style="position:absolute;left:8280;top:16217;width:185;height:213" filled="true" fillcolor="#9a3520" stroked="false">
              <v:fill type="solid"/>
            </v:rect>
            <v:rect style="position:absolute;left:8498;top:16217;width:185;height:213" filled="true" fillcolor="#b5b292" stroked="false">
              <v:fill type="solid"/>
            </v:rect>
            <v:rect style="position:absolute;left:8719;top:16217;width:298;height:213" filled="true" fillcolor="#929235" stroked="false">
              <v:fill type="solid"/>
            </v:rect>
            <v:rect style="position:absolute;left:9036;top:16217;width:480;height:213" filled="true" fillcolor="#b31f35" stroked="false">
              <v:fill type="solid"/>
            </v:rect>
            <v:rect style="position:absolute;left:9515;top:16217;width:621;height:213" filled="true" fillcolor="#82adb4" stroked="false">
              <v:fill type="solid"/>
            </v:rect>
            <v:rect style="position:absolute;left:10136;top:16217;width:800;height:213" filled="true" fillcolor="#04677d" stroked="false">
              <v:fill type="solid"/>
            </v:rect>
            <v:shape style="position:absolute;left:1014;top:14329;width:2445;height:2134" type="#_x0000_t75" stroked="false">
              <v:imagedata r:id="rId20" o:title=""/>
            </v:shape>
            <v:shape style="position:absolute;left:0;top:7143;width:3515;height:2155" type="#_x0000_t75" stroked="false">
              <v:imagedata r:id="rId21" o:title=""/>
            </v:shape>
            <w10:wrap type="none"/>
          </v:group>
        </w:pict>
      </w:r>
      <w:r>
        <w:rPr/>
        <w:drawing>
          <wp:anchor distT="0" distB="0" distL="0" distR="0" allowOverlap="1" layoutInCell="1" locked="0" behindDoc="0" simplePos="0" relativeHeight="1048">
            <wp:simplePos x="0" y="0"/>
            <wp:positionH relativeFrom="page">
              <wp:posOffset>0</wp:posOffset>
            </wp:positionH>
            <wp:positionV relativeFrom="page">
              <wp:posOffset>576008</wp:posOffset>
            </wp:positionV>
            <wp:extent cx="7559992" cy="720001"/>
            <wp:effectExtent l="0" t="0" r="0" b="0"/>
            <wp:wrapNone/>
            <wp:docPr id="1" name="image18.png" descr=""/>
            <wp:cNvGraphicFramePr>
              <a:graphicFrameLocks noChangeAspect="1"/>
            </wp:cNvGraphicFramePr>
            <a:graphic>
              <a:graphicData uri="http://schemas.openxmlformats.org/drawingml/2006/picture">
                <pic:pic>
                  <pic:nvPicPr>
                    <pic:cNvPr id="2" name="image18.png"/>
                    <pic:cNvPicPr/>
                  </pic:nvPicPr>
                  <pic:blipFill>
                    <a:blip r:embed="rId22" cstate="print"/>
                    <a:stretch>
                      <a:fillRect/>
                    </a:stretch>
                  </pic:blipFill>
                  <pic:spPr>
                    <a:xfrm>
                      <a:off x="0" y="0"/>
                      <a:ext cx="7559992" cy="7200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4"/>
        </w:rPr>
      </w:pPr>
    </w:p>
    <w:p>
      <w:pPr>
        <w:pStyle w:val="BodyText"/>
        <w:ind w:left="2560"/>
        <w:rPr>
          <w:rFonts w:ascii="Times New Roman"/>
          <w:sz w:val="20"/>
        </w:rPr>
      </w:pPr>
      <w:r>
        <w:rPr>
          <w:rFonts w:ascii="Times New Roman"/>
          <w:sz w:val="20"/>
        </w:rPr>
        <w:drawing>
          <wp:inline distT="0" distB="0" distL="0" distR="0">
            <wp:extent cx="4450079" cy="1267968"/>
            <wp:effectExtent l="0" t="0" r="0" b="0"/>
            <wp:docPr id="3" name="image19.png" descr=""/>
            <wp:cNvGraphicFramePr>
              <a:graphicFrameLocks noChangeAspect="1"/>
            </wp:cNvGraphicFramePr>
            <a:graphic>
              <a:graphicData uri="http://schemas.openxmlformats.org/drawingml/2006/picture">
                <pic:pic>
                  <pic:nvPicPr>
                    <pic:cNvPr id="4" name="image19.png"/>
                    <pic:cNvPicPr/>
                  </pic:nvPicPr>
                  <pic:blipFill>
                    <a:blip r:embed="rId23" cstate="print"/>
                    <a:stretch>
                      <a:fillRect/>
                    </a:stretch>
                  </pic:blipFill>
                  <pic:spPr>
                    <a:xfrm>
                      <a:off x="0" y="0"/>
                      <a:ext cx="4450079" cy="1267968"/>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4"/>
        <w:rPr>
          <w:rFonts w:ascii="Times New Roman"/>
          <w:sz w:val="28"/>
        </w:rPr>
      </w:pPr>
    </w:p>
    <w:p>
      <w:pPr>
        <w:pStyle w:val="Heading1"/>
      </w:pPr>
      <w:r>
        <w:rPr>
          <w:color w:val="231F20"/>
          <w:w w:val="105"/>
        </w:rPr>
        <w:t>2018 Court </w:t>
      </w:r>
      <w:r>
        <w:rPr>
          <w:color w:val="231F20"/>
          <w:spacing w:val="-11"/>
          <w:w w:val="105"/>
        </w:rPr>
        <w:t>Trend</w:t>
      </w:r>
      <w:r>
        <w:rPr>
          <w:color w:val="231F20"/>
          <w:spacing w:val="51"/>
          <w:w w:val="105"/>
        </w:rPr>
        <w:t> </w:t>
      </w:r>
      <w:r>
        <w:rPr>
          <w:color w:val="231F20"/>
          <w:w w:val="105"/>
        </w:rPr>
        <w:t>Report</w:t>
      </w:r>
    </w:p>
    <w:p>
      <w:pPr>
        <w:pStyle w:val="BodyText"/>
        <w:rPr>
          <w:b/>
          <w:sz w:val="20"/>
        </w:rPr>
      </w:pPr>
    </w:p>
    <w:p>
      <w:pPr>
        <w:pStyle w:val="BodyText"/>
        <w:spacing w:before="10"/>
        <w:rPr>
          <w:b/>
          <w:sz w:val="27"/>
        </w:rPr>
      </w:pPr>
    </w:p>
    <w:p>
      <w:pPr>
        <w:pStyle w:val="Heading4"/>
        <w:ind w:right="602"/>
      </w:pPr>
      <w:r>
        <w:rPr>
          <w:color w:val="FFFFFF"/>
          <w:w w:val="110"/>
        </w:rPr>
        <w:t>JUNE 2019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3"/>
        </w:rPr>
      </w:pPr>
    </w:p>
    <w:p>
      <w:pPr>
        <w:spacing w:line="189" w:lineRule="auto" w:before="176"/>
        <w:ind w:left="7781" w:right="911" w:firstLine="42"/>
        <w:jc w:val="left"/>
        <w:rPr>
          <w:rFonts w:ascii="Book Antiqua"/>
          <w:b/>
          <w:sz w:val="42"/>
        </w:rPr>
      </w:pPr>
      <w:r>
        <w:rPr>
          <w:rFonts w:ascii="Book Antiqua"/>
          <w:b/>
          <w:color w:val="231F20"/>
          <w:w w:val="85"/>
          <w:sz w:val="42"/>
        </w:rPr>
        <w:t>FEDERAL COURT </w:t>
      </w:r>
      <w:r>
        <w:rPr>
          <w:rFonts w:ascii="Book Antiqua"/>
          <w:b/>
          <w:color w:val="231F20"/>
          <w:w w:val="95"/>
          <w:sz w:val="42"/>
        </w:rPr>
        <w:t>OF</w:t>
      </w:r>
      <w:r>
        <w:rPr>
          <w:rFonts w:ascii="Book Antiqua"/>
          <w:b/>
          <w:color w:val="231F20"/>
          <w:spacing w:val="-66"/>
          <w:w w:val="95"/>
          <w:sz w:val="42"/>
        </w:rPr>
        <w:t> </w:t>
      </w:r>
      <w:r>
        <w:rPr>
          <w:rFonts w:ascii="Book Antiqua"/>
          <w:b/>
          <w:color w:val="231F20"/>
          <w:w w:val="95"/>
          <w:sz w:val="42"/>
        </w:rPr>
        <w:t>AUSTRALIA</w:t>
      </w:r>
    </w:p>
    <w:p>
      <w:pPr>
        <w:spacing w:after="0" w:line="189" w:lineRule="auto"/>
        <w:jc w:val="left"/>
        <w:rPr>
          <w:rFonts w:ascii="Book Antiqua"/>
          <w:sz w:val="42"/>
        </w:rPr>
        <w:sectPr>
          <w:type w:val="continuous"/>
          <w:pgSz w:w="11910" w:h="16840"/>
          <w:pgMar w:top="880" w:bottom="0" w:left="0" w:right="0"/>
        </w:sectPr>
      </w:pPr>
    </w:p>
    <w:p>
      <w:pPr>
        <w:pStyle w:val="BodyText"/>
        <w:rPr>
          <w:rFonts w:ascii="Book Antiqua"/>
          <w:b/>
          <w:sz w:val="20"/>
        </w:rPr>
      </w:pPr>
      <w:r>
        <w:rPr/>
        <w:pict>
          <v:group style="position:absolute;margin-left:0pt;margin-top:325.985016pt;width:595.3pt;height:515.9500pt;mso-position-horizontal-relative:page;mso-position-vertical-relative:page;z-index:-198544" coordorigin="0,6520" coordsize="11906,10319">
            <v:rect style="position:absolute;left:0;top:7086;width:11906;height:9752" filled="true" fillcolor="#afcad1" stroked="false">
              <v:fill opacity="42598f" type="solid"/>
            </v:rect>
            <v:rect style="position:absolute;left:0;top:6519;width:11906;height:567" filled="true" fillcolor="#00403f" stroked="false">
              <v:fill type="solid"/>
            </v:rect>
            <w10:wrap type="none"/>
          </v:group>
        </w:pict>
      </w:r>
      <w:r>
        <w:rPr/>
        <w:drawing>
          <wp:anchor distT="0" distB="0" distL="0" distR="0" allowOverlap="1" layoutInCell="1" locked="0" behindDoc="0" simplePos="0" relativeHeight="1096">
            <wp:simplePos x="0" y="0"/>
            <wp:positionH relativeFrom="page">
              <wp:posOffset>0</wp:posOffset>
            </wp:positionH>
            <wp:positionV relativeFrom="page">
              <wp:posOffset>576008</wp:posOffset>
            </wp:positionV>
            <wp:extent cx="7559992" cy="720001"/>
            <wp:effectExtent l="0" t="0" r="0" b="0"/>
            <wp:wrapNone/>
            <wp:docPr id="5" name="image20.png" descr=""/>
            <wp:cNvGraphicFramePr>
              <a:graphicFrameLocks noChangeAspect="1"/>
            </wp:cNvGraphicFramePr>
            <a:graphic>
              <a:graphicData uri="http://schemas.openxmlformats.org/drawingml/2006/picture">
                <pic:pic>
                  <pic:nvPicPr>
                    <pic:cNvPr id="6" name="image20.png"/>
                    <pic:cNvPicPr/>
                  </pic:nvPicPr>
                  <pic:blipFill>
                    <a:blip r:embed="rId24" cstate="print"/>
                    <a:stretch>
                      <a:fillRect/>
                    </a:stretch>
                  </pic:blipFill>
                  <pic:spPr>
                    <a:xfrm>
                      <a:off x="0" y="0"/>
                      <a:ext cx="7559992" cy="720001"/>
                    </a:xfrm>
                    <a:prstGeom prst="rect">
                      <a:avLst/>
                    </a:prstGeom>
                  </pic:spPr>
                </pic:pic>
              </a:graphicData>
            </a:graphic>
          </wp:anchor>
        </w:drawing>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10"/>
        <w:rPr>
          <w:rFonts w:ascii="Book Antiqua"/>
          <w:b/>
          <w:sz w:val="18"/>
        </w:rPr>
      </w:pPr>
    </w:p>
    <w:p>
      <w:pPr>
        <w:spacing w:before="94"/>
        <w:ind w:left="1700" w:right="0" w:firstLine="0"/>
        <w:jc w:val="left"/>
        <w:rPr>
          <w:sz w:val="17"/>
        </w:rPr>
      </w:pPr>
      <w:r>
        <w:rPr>
          <w:color w:val="231F20"/>
          <w:w w:val="105"/>
          <w:sz w:val="17"/>
        </w:rPr>
        <w:t>The information in this publication may be reproduced with suitable acknowledgement.</w:t>
      </w:r>
    </w:p>
    <w:p>
      <w:pPr>
        <w:spacing w:line="386" w:lineRule="auto" w:before="126"/>
        <w:ind w:left="1700" w:right="6159" w:firstLine="0"/>
        <w:jc w:val="left"/>
        <w:rPr>
          <w:sz w:val="17"/>
        </w:rPr>
      </w:pPr>
      <w:r>
        <w:rPr>
          <w:color w:val="231F20"/>
          <w:w w:val="105"/>
          <w:sz w:val="17"/>
        </w:rPr>
        <w:t>© New Zealand Ministry of Foreign Affairs and Trade. Published in June 2019.</w:t>
      </w:r>
    </w:p>
    <w:p>
      <w:pPr>
        <w:spacing w:line="206" w:lineRule="exact" w:before="0"/>
        <w:ind w:left="1700" w:right="0" w:firstLine="0"/>
        <w:jc w:val="left"/>
        <w:rPr>
          <w:sz w:val="17"/>
        </w:rPr>
      </w:pPr>
      <w:r>
        <w:rPr>
          <w:color w:val="231F20"/>
          <w:w w:val="105"/>
          <w:sz w:val="17"/>
        </w:rPr>
        <w:t>Prepared by Cate Sumner for the Federal Court of Australia.</w:t>
      </w:r>
    </w:p>
    <w:p>
      <w:pPr>
        <w:pStyle w:val="BodyText"/>
        <w:spacing w:before="11"/>
        <w:rPr>
          <w:sz w:val="28"/>
        </w:rPr>
      </w:pPr>
    </w:p>
    <w:p>
      <w:pPr>
        <w:spacing w:before="0"/>
        <w:ind w:left="1700" w:right="0" w:firstLine="0"/>
        <w:jc w:val="left"/>
        <w:rPr>
          <w:b/>
          <w:sz w:val="17"/>
        </w:rPr>
      </w:pPr>
      <w:r>
        <w:rPr>
          <w:b/>
          <w:color w:val="231F20"/>
          <w:w w:val="105"/>
          <w:sz w:val="17"/>
        </w:rPr>
        <w:t>Enquiries</w:t>
      </w:r>
    </w:p>
    <w:p>
      <w:pPr>
        <w:spacing w:line="254" w:lineRule="auto" w:before="69"/>
        <w:ind w:left="1700" w:right="8353" w:firstLine="0"/>
        <w:jc w:val="left"/>
        <w:rPr>
          <w:sz w:val="17"/>
        </w:rPr>
      </w:pPr>
      <w:r>
        <w:rPr>
          <w:color w:val="231F20"/>
          <w:w w:val="105"/>
          <w:sz w:val="17"/>
        </w:rPr>
        <w:t>Federal Court of</w:t>
      </w:r>
      <w:r>
        <w:rPr>
          <w:color w:val="231F20"/>
          <w:spacing w:val="-13"/>
          <w:w w:val="105"/>
          <w:sz w:val="17"/>
        </w:rPr>
        <w:t> </w:t>
      </w:r>
      <w:r>
        <w:rPr>
          <w:color w:val="231F20"/>
          <w:w w:val="105"/>
          <w:sz w:val="17"/>
        </w:rPr>
        <w:t>Australia Locked Bag A6000 Sydney NSW</w:t>
      </w:r>
      <w:r>
        <w:rPr>
          <w:color w:val="231F20"/>
          <w:spacing w:val="20"/>
          <w:w w:val="105"/>
          <w:sz w:val="17"/>
        </w:rPr>
        <w:t> </w:t>
      </w:r>
      <w:r>
        <w:rPr>
          <w:color w:val="231F20"/>
          <w:w w:val="105"/>
          <w:sz w:val="17"/>
        </w:rPr>
        <w:t>1235</w:t>
      </w:r>
    </w:p>
    <w:p>
      <w:pPr>
        <w:pStyle w:val="BodyText"/>
        <w:spacing w:before="7"/>
        <w:rPr>
          <w:sz w:val="18"/>
        </w:rPr>
      </w:pPr>
    </w:p>
    <w:p>
      <w:pPr>
        <w:spacing w:before="0"/>
        <w:ind w:left="1700" w:right="0" w:firstLine="0"/>
        <w:jc w:val="left"/>
        <w:rPr>
          <w:sz w:val="17"/>
        </w:rPr>
      </w:pPr>
      <w:r>
        <w:rPr>
          <w:b/>
          <w:color w:val="231F20"/>
          <w:w w:val="105"/>
          <w:sz w:val="17"/>
        </w:rPr>
        <w:t>Email </w:t>
      </w:r>
      <w:hyperlink r:id="rId25">
        <w:r>
          <w:rPr>
            <w:color w:val="231F20"/>
            <w:w w:val="105"/>
            <w:sz w:val="17"/>
          </w:rPr>
          <w:t>pjsi@fedcourt.gov.au</w:t>
        </w:r>
      </w:hyperlink>
    </w:p>
    <w:p>
      <w:pPr>
        <w:tabs>
          <w:tab w:pos="2267" w:val="left" w:leader="none"/>
        </w:tabs>
        <w:spacing w:before="13"/>
        <w:ind w:left="1700" w:right="0" w:firstLine="0"/>
        <w:jc w:val="left"/>
        <w:rPr>
          <w:sz w:val="17"/>
        </w:rPr>
      </w:pPr>
      <w:r>
        <w:rPr>
          <w:b/>
          <w:color w:val="231F20"/>
          <w:spacing w:val="-3"/>
          <w:w w:val="105"/>
          <w:sz w:val="17"/>
        </w:rPr>
        <w:t>Web</w:t>
        <w:tab/>
      </w:r>
      <w:hyperlink r:id="rId26">
        <w:r>
          <w:rPr>
            <w:color w:val="231F20"/>
            <w:w w:val="105"/>
            <w:sz w:val="17"/>
          </w:rPr>
          <w:t>http://www.fedcourt.gov.au/pjsi</w:t>
        </w:r>
      </w:hyperlink>
    </w:p>
    <w:p>
      <w:pPr>
        <w:spacing w:after="0"/>
        <w:jc w:val="left"/>
        <w:rPr>
          <w:sz w:val="17"/>
        </w:rPr>
        <w:sectPr>
          <w:pgSz w:w="11910" w:h="16840"/>
          <w:pgMar w:top="880" w:bottom="0" w:left="0" w:right="0"/>
        </w:sectPr>
      </w:pPr>
    </w:p>
    <w:p>
      <w:pPr>
        <w:pStyle w:val="BodyText"/>
        <w:rPr>
          <w:sz w:val="20"/>
        </w:rPr>
      </w:pPr>
      <w:r>
        <w:rPr/>
        <w:pict>
          <v:group style="position:absolute;margin-left:0pt;margin-top:325.985016pt;width:595.3pt;height:515.9500pt;mso-position-horizontal-relative:page;mso-position-vertical-relative:page;z-index:-198496" coordorigin="0,6520" coordsize="11906,10319">
            <v:rect style="position:absolute;left:0;top:7086;width:11906;height:9752" filled="true" fillcolor="#afcad1" stroked="false">
              <v:fill opacity="42598f" type="solid"/>
            </v:rect>
            <v:shape style="position:absolute;left:5329;top:14981;width:1758;height:1356" type="#_x0000_t75" stroked="false">
              <v:imagedata r:id="rId19" o:title=""/>
            </v:shape>
            <v:rect style="position:absolute;left:7256;top:16046;width:193;height:213" filled="true" fillcolor="#fdce0d" stroked="false">
              <v:fill type="solid"/>
            </v:rect>
            <v:rect style="position:absolute;left:7472;top:16046;width:202;height:213" filled="true" fillcolor="#efac1e" stroked="false">
              <v:fill type="solid"/>
            </v:rect>
            <v:rect style="position:absolute;left:7713;top:16046;width:185;height:213" filled="true" fillcolor="#9a3520" stroked="false">
              <v:fill type="solid"/>
            </v:rect>
            <v:rect style="position:absolute;left:7931;top:16046;width:185;height:213" filled="true" fillcolor="#b5b292" stroked="false">
              <v:fill type="solid"/>
            </v:rect>
            <v:rect style="position:absolute;left:8152;top:16046;width:298;height:213" filled="true" fillcolor="#929235" stroked="false">
              <v:fill type="solid"/>
            </v:rect>
            <v:rect style="position:absolute;left:8469;top:16046;width:480;height:213" filled="true" fillcolor="#b31f35" stroked="false">
              <v:fill type="solid"/>
            </v:rect>
            <v:rect style="position:absolute;left:8948;top:16046;width:621;height:213" filled="true" fillcolor="#82adb4" stroked="false">
              <v:fill type="solid"/>
            </v:rect>
            <v:rect style="position:absolute;left:9569;top:16046;width:800;height:213" filled="true" fillcolor="#04677d" stroked="false">
              <v:fill type="solid"/>
            </v:rect>
            <v:shape style="position:absolute;left:1525;top:14159;width:2445;height:2134" type="#_x0000_t75" stroked="false">
              <v:imagedata r:id="rId20" o:title=""/>
            </v:shape>
            <v:shape style="position:absolute;left:8820;top:12468;width:1058;height:985" coordorigin="8821,12469" coordsize="1058,985" path="m9820,12469l8879,12469,8845,12470,8828,12476,8822,12494,8821,12527,8821,13395,8822,13428,8828,13446,8845,13452,8879,13453,9820,13453,9853,13452,9871,13446,9877,13428,9878,13395,9878,12527,9877,12494,9871,12476,9853,12470,9820,12469xe" filled="true" fillcolor="#009ca7" stroked="false">
              <v:path arrowok="t"/>
              <v:fill type="solid"/>
            </v:shape>
            <v:shape style="position:absolute;left:8877;top:12565;width:936;height:798" type="#_x0000_t75" stroked="false">
              <v:imagedata r:id="rId27" o:title=""/>
            </v:shape>
            <v:shape style="position:absolute;left:3170;top:9297;width:1058;height:985" coordorigin="3171,9298" coordsize="1058,985" path="m4170,9298l3229,9298,3196,9299,3178,9305,3172,9322,3171,9356,3171,10224,3172,10257,3178,10275,3196,10281,3229,10282,4170,10282,4203,10281,4221,10275,4227,10257,4228,10224,4228,9356,4227,9322,4221,9305,4203,9299,4170,9298xe" filled="true" fillcolor="#efac1e" stroked="false">
              <v:path arrowok="t"/>
              <v:fill type="solid"/>
            </v:shape>
            <v:shape style="position:absolute;left:3297;top:9382;width:823;height:823" type="#_x0000_t75" stroked="false">
              <v:imagedata r:id="rId28" o:title=""/>
            </v:shape>
            <v:shape style="position:absolute;left:2040;top:9297;width:1058;height:985" coordorigin="2041,9298" coordsize="1058,985" path="m3040,9298l2099,9298,2066,9299,2048,9305,2042,9322,2041,9356,2041,10224,2042,10257,2048,10275,2066,10281,2099,10282,3040,10282,3073,10281,3091,10275,3097,10257,3098,10224,3098,9356,3097,9322,3091,9305,3073,9299,3040,9298xe" filled="true" fillcolor="#fdce0d" stroked="false">
              <v:path arrowok="t"/>
              <v:fill type="solid"/>
            </v:shape>
            <v:shape style="position:absolute;left:5430;top:9297;width:1058;height:985" coordorigin="5431,9298" coordsize="1058,985" path="m6430,9298l5489,9298,5456,9299,5438,9305,5432,9322,5431,9356,5431,10224,5432,10257,5438,10275,5456,10281,5489,10282,6430,10282,6463,10281,6481,10275,6487,10257,6488,10224,6488,9356,6487,9322,6481,9305,6463,9299,6430,9298xe" filled="true" fillcolor="#b5b292" stroked="false">
              <v:path arrowok="t"/>
              <v:fill type="solid"/>
            </v:shape>
            <v:shape style="position:absolute;left:5582;top:9369;width:747;height:848" type="#_x0000_t75" stroked="false">
              <v:imagedata r:id="rId29" o:title=""/>
            </v:shape>
            <v:shape style="position:absolute;left:4300;top:9297;width:1058;height:985" coordorigin="4301,9298" coordsize="1058,985" path="m5300,9298l4359,9298,4326,9299,4308,9305,4302,9322,4301,9356,4301,10224,4302,10257,4308,10275,4326,10281,4359,10282,5300,10282,5333,10281,5351,10275,5357,10257,5358,10224,5358,9356,5357,9322,5351,9305,5333,9299,5300,9298xe" filled="true" fillcolor="#81bd41" stroked="false">
              <v:path arrowok="t"/>
              <v:fill type="solid"/>
            </v:shape>
            <v:shape style="position:absolute;left:4300;top:10354;width:1058;height:985" coordorigin="4301,10355" coordsize="1058,985" path="m5300,10355l4359,10355,4326,10356,4308,10362,4302,10379,4301,10413,4301,11281,4302,11314,4308,11332,4326,11338,4359,11339,5300,11339,5333,11338,5351,11332,5357,11314,5358,11281,5358,10413,5357,10379,5351,10362,5333,10356,5300,10355xe" filled="true" fillcolor="#ef3a4c" stroked="false">
              <v:path arrowok="t"/>
              <v:fill type="solid"/>
            </v:shape>
            <v:shape style="position:absolute;left:4426;top:10431;width:823;height:823" type="#_x0000_t75" stroked="false">
              <v:imagedata r:id="rId30" o:title=""/>
            </v:shape>
            <v:shape style="position:absolute;left:4300;top:12468;width:1058;height:985" coordorigin="4301,12469" coordsize="1058,985" path="m5300,12469l4359,12469,4326,12470,4308,12476,4302,12494,4301,12527,4301,13395,4302,13428,4308,13446,4326,13452,4359,13453,5300,13453,5333,13452,5351,13446,5357,13428,5358,13395,5358,12527,5357,12494,5351,12476,5333,12470,5300,12469xe" filled="true" fillcolor="#b31f35" stroked="false">
              <v:path arrowok="t"/>
              <v:fill type="solid"/>
            </v:shape>
            <v:shape style="position:absolute;left:4369;top:12567;width:914;height:879" type="#_x0000_t75" stroked="false">
              <v:imagedata r:id="rId31" o:title=""/>
            </v:shape>
            <v:shape style="position:absolute;left:2040;top:10354;width:1058;height:985" coordorigin="2041,10355" coordsize="1058,985" path="m3040,10355l2099,10355,2066,10356,2048,10362,2042,10379,2041,10413,2041,11281,2042,11314,2048,11332,2066,11338,2099,11339,3040,11339,3073,11338,3091,11332,3097,11314,3098,11281,3098,10413,3097,10379,3091,10362,3073,10356,3040,10355xe" filled="true" fillcolor="#65a5ae" stroked="false">
              <v:path arrowok="t"/>
              <v:fill type="solid"/>
            </v:shape>
            <v:shape style="position:absolute;left:2138;top:10483;width:855;height:734" type="#_x0000_t75" stroked="false">
              <v:imagedata r:id="rId32" o:title=""/>
            </v:shape>
            <v:shape style="position:absolute;left:5430;top:10354;width:1058;height:985" coordorigin="5431,10355" coordsize="1058,985" path="m6430,10355l5489,10355,5456,10356,5438,10362,5432,10379,5431,10413,5431,11281,5432,11314,5438,11332,5456,11338,5489,11339,6430,11339,6463,11338,6481,11332,6487,11314,6488,11281,6488,10413,6487,10379,6481,10362,6463,10356,6430,10355xe" filled="true" fillcolor="#a8228c" stroked="false">
              <v:path arrowok="t"/>
              <v:fill type="solid"/>
            </v:shape>
            <v:shape style="position:absolute;left:5503;top:10464;width:914;height:789" type="#_x0000_t75" stroked="false">
              <v:imagedata r:id="rId33" o:title=""/>
            </v:shape>
            <v:shape style="position:absolute;left:4300;top:11411;width:1058;height:985" coordorigin="4301,11412" coordsize="1058,985" path="m5300,11412l4359,11412,4326,11413,4308,11419,4302,11436,4301,11470,4301,12338,4302,12371,4308,12389,4326,12395,4359,12396,5300,12396,5333,12395,5351,12389,5357,12371,5358,12338,5358,11470,5357,11436,5351,11419,5333,11413,5300,11412xe" filled="true" fillcolor="#87cca2" stroked="false">
              <v:path arrowok="t"/>
              <v:fill type="solid"/>
            </v:shape>
            <v:shape style="position:absolute;left:4395;top:11484;width:860;height:830" type="#_x0000_t75" stroked="false">
              <v:imagedata r:id="rId34" o:title=""/>
            </v:shape>
            <v:shape style="position:absolute;left:8820;top:11411;width:1058;height:985" coordorigin="8821,11412" coordsize="1058,985" path="m9820,11412l8879,11412,8845,11413,8828,11419,8822,11436,8821,11470,8821,12338,8822,12371,8828,12389,8845,12395,8879,12396,9820,12396,9853,12395,9871,12389,9877,12371,9878,12338,9878,11470,9877,11436,9871,11419,9853,11413,9820,11412xe" filled="true" fillcolor="#81bd41" stroked="false">
              <v:path arrowok="t"/>
              <v:fill type="solid"/>
            </v:shape>
            <v:shape style="position:absolute;left:8879;top:11462;width:931;height:874" type="#_x0000_t75" stroked="false">
              <v:imagedata r:id="rId35" o:title=""/>
            </v:shape>
            <v:shape style="position:absolute;left:6560;top:9297;width:1058;height:985" coordorigin="6561,9298" coordsize="1058,985" path="m7560,9298l6619,9298,6586,9299,6568,9305,6562,9322,6561,9356,6561,10224,6562,10257,6568,10275,6586,10281,6619,10282,7560,10282,7593,10281,7611,10275,7617,10257,7618,10224,7618,9356,7617,9322,7611,9305,7593,9299,7560,9298xe" filled="true" fillcolor="#e07e26" stroked="false">
              <v:path arrowok="t"/>
              <v:fill type="solid"/>
            </v:shape>
            <v:shape style="position:absolute;left:5430;top:11411;width:1058;height:985" coordorigin="5431,11412" coordsize="1058,985" path="m6430,11412l5489,11412,5456,11413,5438,11419,5432,11436,5431,11470,5431,12338,5432,12371,5438,12389,5456,12395,5489,12396,6430,12396,6463,12395,6481,12389,6487,12371,6488,12338,6488,11470,6487,11436,6481,11419,6463,11413,6430,11412xe" filled="true" fillcolor="#1a2857" stroked="false">
              <v:path arrowok="t"/>
              <v:fill type="solid"/>
            </v:shape>
            <v:shape style="position:absolute;left:5543;top:11496;width:825;height:823" type="#_x0000_t75" stroked="false">
              <v:imagedata r:id="rId36" o:title=""/>
            </v:shape>
            <v:shape style="position:absolute;left:6560;top:11411;width:1058;height:985" coordorigin="6561,11412" coordsize="1058,985" path="m7560,11412l6619,11412,6586,11413,6568,11419,6562,11436,6561,11470,6561,12338,6562,12371,6568,12389,6586,12395,6619,12396,7560,12396,7593,12395,7611,12389,7617,12371,7618,12338,7618,11470,7617,11436,7611,11419,7593,11413,7560,11412xe" filled="true" fillcolor="#929235" stroked="false">
              <v:path arrowok="t"/>
              <v:fill type="solid"/>
            </v:shape>
            <v:shape style="position:absolute;left:6637;top:11471;width:897;height:872" type="#_x0000_t75" stroked="false">
              <v:imagedata r:id="rId37" o:title=""/>
            </v:shape>
            <v:shape style="position:absolute;left:7690;top:10354;width:1058;height:985" coordorigin="7691,10355" coordsize="1058,985" path="m8690,10355l7749,10355,7715,10356,7698,10362,7692,10379,7691,10413,7691,11281,7692,11314,7698,11332,7715,11338,7749,11339,8690,11339,8723,11338,8741,11332,8747,11314,8748,11281,8748,10413,8747,10379,8741,10362,8723,10356,8690,10355xe" filled="true" fillcolor="#0f6161" stroked="false">
              <v:path arrowok="t"/>
              <v:fill type="solid"/>
            </v:shape>
            <v:shape style="position:absolute;left:7814;top:10456;width:813;height:794" type="#_x0000_t75" stroked="false">
              <v:imagedata r:id="rId38" o:title=""/>
            </v:shape>
            <v:shape style="position:absolute;left:7690;top:9297;width:1058;height:985" coordorigin="7691,9298" coordsize="1058,985" path="m8690,9298l7749,9298,7715,9299,7698,9305,7692,9322,7691,9356,7691,10224,7692,10257,7698,10275,7715,10281,7749,10282,8690,10282,8723,10281,8741,10275,8747,10257,8748,10224,8748,9356,8747,9322,8741,9305,8723,9299,8690,9298xe" filled="true" fillcolor="#007dbb" stroked="false">
              <v:path arrowok="t"/>
              <v:fill type="solid"/>
            </v:shape>
            <v:shape style="position:absolute;left:7775;top:9499;width:866;height:588" type="#_x0000_t75" stroked="false">
              <v:imagedata r:id="rId39" o:title=""/>
            </v:shape>
            <v:shape style="position:absolute;left:7690;top:11411;width:1058;height:985" coordorigin="7691,11412" coordsize="1058,985" path="m8690,11412l7749,11412,7715,11413,7698,11419,7692,11436,7691,11470,7691,12338,7692,12371,7698,12389,7715,12395,7749,12396,8690,12396,8723,12395,8741,12389,8747,12371,8748,12338,8748,11470,8747,11436,8741,11419,8723,11413,8690,11412xe" filled="true" fillcolor="#04677d" stroked="false">
              <v:path arrowok="t"/>
              <v:fill type="solid"/>
            </v:shape>
            <v:shape style="position:absolute;left:2040;top:12468;width:1058;height:985" coordorigin="2041,12469" coordsize="1058,985" path="m3040,12469l2099,12469,2066,12470,2048,12476,2042,12494,2041,12527,2041,13395,2042,13428,2048,13446,2066,13452,2099,13453,3040,13453,3073,13452,3091,13446,3097,13428,3098,13395,3098,12527,3097,12494,3091,12476,3073,12470,3040,12469xe" filled="true" fillcolor="#fdce0d" stroked="false">
              <v:path arrowok="t"/>
              <v:fill type="solid"/>
            </v:shape>
            <v:shape style="position:absolute;left:2193;top:12509;width:746;height:912" type="#_x0000_t75" stroked="false">
              <v:imagedata r:id="rId40" o:title=""/>
            </v:shape>
            <v:shape style="position:absolute;left:5430;top:12468;width:1058;height:985" coordorigin="5431,12469" coordsize="1058,985" path="m6430,12469l5489,12469,5456,12470,5438,12476,5432,12494,5431,12527,5431,13395,5432,13428,5438,13446,5456,13452,5489,13453,6430,13453,6463,13452,6481,13446,6487,13428,6488,13395,6488,12527,6487,12494,6481,12476,6463,12470,6430,12469xe" filled="true" fillcolor="#007dbb" stroked="false">
              <v:path arrowok="t"/>
              <v:fill type="solid"/>
            </v:shape>
            <v:shape style="position:absolute;left:3170;top:11411;width:1058;height:985" coordorigin="3171,11412" coordsize="1058,985" path="m4170,11412l3229,11412,3196,11413,3178,11419,3172,11436,3171,11470,3171,12338,3172,12371,3178,12389,3196,12395,3229,12396,4170,12396,4203,12395,4221,12389,4227,12371,4228,12338,4228,11470,4227,11436,4221,11419,4203,11413,4170,11412xe" filled="true" fillcolor="#efac1e" stroked="false">
              <v:path arrowok="t"/>
              <v:fill type="solid"/>
            </v:shape>
            <v:shape style="position:absolute;left:2040;top:11411;width:1058;height:985" coordorigin="2041,11412" coordsize="1058,985" path="m3040,11412l2099,11412,2066,11413,2048,11419,2042,11436,2041,11470,2041,12338,2042,12371,2048,12389,2066,12395,2099,12396,3040,12396,3073,12395,3091,12389,3097,12371,3098,12338,3098,11470,3097,11436,3091,11419,3073,11413,3040,11412xe" filled="true" fillcolor="#e07e26" stroked="false">
              <v:path arrowok="t"/>
              <v:fill type="solid"/>
            </v:shape>
            <v:shape style="position:absolute;left:2193;top:11535;width:744;height:744" type="#_x0000_t75" stroked="false">
              <v:imagedata r:id="rId41" o:title=""/>
            </v:shape>
            <v:shape style="position:absolute;left:8820;top:10354;width:1058;height:985" coordorigin="8821,10355" coordsize="1058,985" path="m9820,10355l8879,10355,8845,10356,8828,10362,8822,10379,8821,10413,8821,11281,8822,11314,8828,11332,8845,11338,8879,11339,9820,11339,9853,11338,9871,11332,9877,11314,9878,11281,9878,10413,9877,10379,9871,10362,9853,10356,9820,10355xe" filled="true" fillcolor="#1e4287" stroked="false">
              <v:path arrowok="t"/>
              <v:fill type="solid"/>
            </v:shape>
            <v:shape style="position:absolute;left:8884;top:10418;width:868;height:868" type="#_x0000_t75" stroked="false">
              <v:imagedata r:id="rId42" o:title=""/>
            </v:shape>
            <v:shape style="position:absolute;left:8820;top:9297;width:1058;height:985" coordorigin="8821,9298" coordsize="1058,985" path="m9820,9298l8879,9298,8845,9299,8828,9305,8822,9322,8821,9356,8821,10224,8822,10257,8828,10275,8845,10281,8879,10282,9820,10282,9853,10281,9871,10275,9877,10257,9878,10224,9878,9356,9877,9322,9871,9305,9853,9299,9820,9298xe" filled="true" fillcolor="#65a5ae" stroked="false">
              <v:path arrowok="t"/>
              <v:fill type="solid"/>
            </v:shape>
            <v:shape style="position:absolute;left:3170;top:10354;width:1058;height:985" coordorigin="3171,10355" coordsize="1058,985" path="m4170,10355l3229,10355,3196,10356,3178,10362,3172,10379,3171,10413,3171,11281,3172,11314,3178,11332,3196,11338,3229,11339,4170,11339,4203,11338,4221,11332,4227,11314,4228,11281,4228,10413,4227,10379,4221,10362,4203,10356,4170,10355xe" filled="true" fillcolor="#929235" stroked="false">
              <v:path arrowok="t"/>
              <v:fill type="solid"/>
            </v:shape>
            <v:shape style="position:absolute;left:7690;top:12470;width:1058;height:985" coordorigin="7691,12471" coordsize="1058,985" path="m8690,12471l7749,12471,7715,12472,7698,12478,7692,12495,7691,12529,7691,13396,7692,13430,7698,13448,7715,13454,7749,13455,8690,13455,8723,13454,8741,13448,8747,13430,8748,13396,8748,12529,8747,12495,8741,12478,8723,12472,8690,12471xe" filled="true" fillcolor="#0f6161" stroked="false">
              <v:path arrowok="t"/>
              <v:fill type="solid"/>
            </v:shape>
            <v:shape style="position:absolute;left:6560;top:12468;width:1058;height:985" coordorigin="6561,12469" coordsize="1058,985" path="m7560,12469l6619,12469,6586,12470,6568,12476,6562,12494,6561,12527,6561,13395,6562,13428,6568,13446,6586,13452,6619,13453,7560,13453,7593,13452,7611,13446,7617,13428,7618,13395,7618,12527,7617,12494,7611,12476,7593,12470,7560,12469xe" filled="true" fillcolor="#872a90" stroked="false">
              <v:path arrowok="t"/>
              <v:fill type="solid"/>
            </v:shape>
            <v:shape style="position:absolute;left:6706;top:12514;width:785;height:922" type="#_x0000_t75" stroked="false">
              <v:imagedata r:id="rId43" o:title=""/>
            </v:shape>
            <v:shape style="position:absolute;left:3170;top:12468;width:1058;height:985" type="#_x0000_t75" stroked="false">
              <v:imagedata r:id="rId44" o:title=""/>
            </v:shape>
            <v:shape style="position:absolute;left:6560;top:10354;width:1058;height:985" coordorigin="6561,10355" coordsize="1058,985" path="m7560,10355l6619,10355,6586,10356,6568,10362,6562,10379,6561,10413,6561,11281,6562,11314,6568,11332,6586,11338,6619,11339,7560,11339,7593,11338,7611,11332,7617,11314,7618,11281,7618,10413,7617,10379,7611,10362,7593,10356,7560,10355xe" filled="true" fillcolor="#e12726" stroked="false">
              <v:path arrowok="t"/>
              <v:fill type="solid"/>
            </v:shape>
            <v:rect style="position:absolute;left:0;top:6519;width:11906;height:567" filled="true" fillcolor="#00403f" stroked="false">
              <v:fill type="solid"/>
            </v:rect>
            <w10:wrap type="none"/>
          </v:group>
        </w:pict>
      </w:r>
      <w:r>
        <w:rPr/>
        <w:drawing>
          <wp:anchor distT="0" distB="0" distL="0" distR="0" allowOverlap="1" layoutInCell="1" locked="0" behindDoc="0" simplePos="0" relativeHeight="1144">
            <wp:simplePos x="0" y="0"/>
            <wp:positionH relativeFrom="page">
              <wp:posOffset>0</wp:posOffset>
            </wp:positionH>
            <wp:positionV relativeFrom="page">
              <wp:posOffset>576008</wp:posOffset>
            </wp:positionV>
            <wp:extent cx="7559992" cy="720001"/>
            <wp:effectExtent l="0" t="0" r="0" b="0"/>
            <wp:wrapNone/>
            <wp:docPr id="7" name="image18.png" descr=""/>
            <wp:cNvGraphicFramePr>
              <a:graphicFrameLocks noChangeAspect="1"/>
            </wp:cNvGraphicFramePr>
            <a:graphic>
              <a:graphicData uri="http://schemas.openxmlformats.org/drawingml/2006/picture">
                <pic:pic>
                  <pic:nvPicPr>
                    <pic:cNvPr id="8" name="image18.png"/>
                    <pic:cNvPicPr/>
                  </pic:nvPicPr>
                  <pic:blipFill>
                    <a:blip r:embed="rId22" cstate="print"/>
                    <a:stretch>
                      <a:fillRect/>
                    </a:stretch>
                  </pic:blipFill>
                  <pic:spPr>
                    <a:xfrm>
                      <a:off x="0" y="0"/>
                      <a:ext cx="7559992" cy="72000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after="1"/>
        <w:rPr>
          <w:sz w:val="27"/>
        </w:rPr>
      </w:pPr>
    </w:p>
    <w:p>
      <w:pPr>
        <w:pStyle w:val="BodyText"/>
        <w:ind w:left="2560"/>
        <w:rPr>
          <w:sz w:val="20"/>
        </w:rPr>
      </w:pPr>
      <w:r>
        <w:rPr>
          <w:sz w:val="20"/>
        </w:rPr>
        <w:drawing>
          <wp:inline distT="0" distB="0" distL="0" distR="0">
            <wp:extent cx="4450079" cy="1267968"/>
            <wp:effectExtent l="0" t="0" r="0" b="0"/>
            <wp:docPr id="9" name="image19.png" descr=""/>
            <wp:cNvGraphicFramePr>
              <a:graphicFrameLocks noChangeAspect="1"/>
            </wp:cNvGraphicFramePr>
            <a:graphic>
              <a:graphicData uri="http://schemas.openxmlformats.org/drawingml/2006/picture">
                <pic:pic>
                  <pic:nvPicPr>
                    <pic:cNvPr id="10" name="image19.png"/>
                    <pic:cNvPicPr/>
                  </pic:nvPicPr>
                  <pic:blipFill>
                    <a:blip r:embed="rId23" cstate="print"/>
                    <a:stretch>
                      <a:fillRect/>
                    </a:stretch>
                  </pic:blipFill>
                  <pic:spPr>
                    <a:xfrm>
                      <a:off x="0" y="0"/>
                      <a:ext cx="4450079" cy="1267968"/>
                    </a:xfrm>
                    <a:prstGeom prst="rect">
                      <a:avLst/>
                    </a:prstGeom>
                  </pic:spPr>
                </pic:pic>
              </a:graphicData>
            </a:graphic>
          </wp:inline>
        </w:drawing>
      </w:r>
      <w:r>
        <w:rPr>
          <w:sz w:val="20"/>
        </w:rPr>
      </w:r>
    </w:p>
    <w:p>
      <w:pPr>
        <w:pStyle w:val="BodyText"/>
        <w:rPr>
          <w:sz w:val="20"/>
        </w:rPr>
      </w:pPr>
    </w:p>
    <w:p>
      <w:pPr>
        <w:pStyle w:val="BodyText"/>
        <w:spacing w:before="7"/>
        <w:rPr>
          <w:sz w:val="25"/>
        </w:rPr>
      </w:pPr>
    </w:p>
    <w:p>
      <w:pPr>
        <w:pStyle w:val="Heading1"/>
      </w:pPr>
      <w:r>
        <w:rPr>
          <w:color w:val="231F20"/>
          <w:w w:val="105"/>
        </w:rPr>
        <w:t>2018 Court </w:t>
      </w:r>
      <w:r>
        <w:rPr>
          <w:color w:val="231F20"/>
          <w:spacing w:val="-11"/>
          <w:w w:val="105"/>
        </w:rPr>
        <w:t>Trend</w:t>
      </w:r>
      <w:r>
        <w:rPr>
          <w:color w:val="231F20"/>
          <w:spacing w:val="51"/>
          <w:w w:val="105"/>
        </w:rPr>
        <w:t> </w:t>
      </w:r>
      <w:r>
        <w:rPr>
          <w:color w:val="231F20"/>
          <w:w w:val="105"/>
        </w:rPr>
        <w:t>Report</w:t>
      </w:r>
    </w:p>
    <w:p>
      <w:pPr>
        <w:pStyle w:val="BodyText"/>
        <w:rPr>
          <w:b/>
          <w:sz w:val="20"/>
        </w:rPr>
      </w:pPr>
    </w:p>
    <w:p>
      <w:pPr>
        <w:pStyle w:val="BodyText"/>
        <w:spacing w:before="10"/>
        <w:rPr>
          <w:b/>
          <w:sz w:val="27"/>
        </w:rPr>
      </w:pPr>
    </w:p>
    <w:p>
      <w:pPr>
        <w:pStyle w:val="Heading4"/>
      </w:pPr>
      <w:r>
        <w:rPr>
          <w:color w:val="FFFFFF"/>
          <w:w w:val="110"/>
        </w:rPr>
        <w:t>JUNE 2019</w:t>
      </w:r>
    </w:p>
    <w:p>
      <w:pPr>
        <w:pStyle w:val="BodyText"/>
        <w:spacing w:before="5"/>
        <w:rPr>
          <w:b/>
          <w:sz w:val="29"/>
        </w:rPr>
      </w:pPr>
    </w:p>
    <w:p>
      <w:pPr>
        <w:spacing w:before="89"/>
        <w:ind w:left="2664" w:right="0" w:firstLine="0"/>
        <w:jc w:val="left"/>
        <w:rPr>
          <w:sz w:val="36"/>
        </w:rPr>
      </w:pPr>
      <w:r>
        <w:rPr>
          <w:color w:val="0F6161"/>
          <w:spacing w:val="-6"/>
          <w:w w:val="105"/>
          <w:sz w:val="36"/>
        </w:rPr>
        <w:t>The </w:t>
      </w:r>
      <w:r>
        <w:rPr>
          <w:color w:val="0F6161"/>
          <w:spacing w:val="-5"/>
          <w:w w:val="105"/>
          <w:sz w:val="36"/>
        </w:rPr>
        <w:t>Pacific </w:t>
      </w:r>
      <w:r>
        <w:rPr>
          <w:color w:val="0F6161"/>
          <w:w w:val="105"/>
          <w:sz w:val="36"/>
        </w:rPr>
        <w:t>Judicial Strengthening</w:t>
      </w:r>
      <w:r>
        <w:rPr>
          <w:color w:val="0F6161"/>
          <w:spacing w:val="70"/>
          <w:w w:val="105"/>
          <w:sz w:val="36"/>
        </w:rPr>
        <w:t> </w:t>
      </w:r>
      <w:r>
        <w:rPr>
          <w:color w:val="0F6161"/>
          <w:w w:val="105"/>
          <w:sz w:val="36"/>
        </w:rPr>
        <w:t>Initiative</w:t>
      </w:r>
    </w:p>
    <w:p>
      <w:pPr>
        <w:spacing w:before="0"/>
        <w:ind w:left="1936" w:right="1934" w:firstLine="0"/>
        <w:jc w:val="center"/>
        <w:rPr>
          <w:sz w:val="36"/>
        </w:rPr>
      </w:pPr>
      <w:r>
        <w:rPr>
          <w:color w:val="0F6161"/>
          <w:w w:val="105"/>
          <w:sz w:val="36"/>
        </w:rPr>
        <w:t>is a regional programme of assistance funded by the New Zealand Ministry of Foreign Affairs and Trade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line="189" w:lineRule="auto" w:before="176"/>
        <w:ind w:left="7214" w:right="1501" w:firstLine="42"/>
        <w:jc w:val="left"/>
        <w:rPr>
          <w:rFonts w:ascii="Book Antiqua"/>
          <w:b/>
          <w:sz w:val="42"/>
        </w:rPr>
      </w:pPr>
      <w:r>
        <w:rPr>
          <w:rFonts w:ascii="Book Antiqua"/>
          <w:b/>
          <w:color w:val="231F20"/>
          <w:w w:val="85"/>
          <w:sz w:val="42"/>
        </w:rPr>
        <w:t>FEDERAL COURT </w:t>
      </w:r>
      <w:r>
        <w:rPr>
          <w:rFonts w:ascii="Book Antiqua"/>
          <w:b/>
          <w:color w:val="231F20"/>
          <w:w w:val="95"/>
          <w:sz w:val="42"/>
        </w:rPr>
        <w:t>OF</w:t>
      </w:r>
      <w:r>
        <w:rPr>
          <w:rFonts w:ascii="Book Antiqua"/>
          <w:b/>
          <w:color w:val="231F20"/>
          <w:spacing w:val="-66"/>
          <w:w w:val="95"/>
          <w:sz w:val="42"/>
        </w:rPr>
        <w:t> </w:t>
      </w:r>
      <w:r>
        <w:rPr>
          <w:rFonts w:ascii="Book Antiqua"/>
          <w:b/>
          <w:color w:val="231F20"/>
          <w:w w:val="95"/>
          <w:sz w:val="42"/>
        </w:rPr>
        <w:t>AUSTRALIA</w:t>
      </w:r>
    </w:p>
    <w:p>
      <w:pPr>
        <w:spacing w:after="0" w:line="189" w:lineRule="auto"/>
        <w:jc w:val="left"/>
        <w:rPr>
          <w:rFonts w:ascii="Book Antiqua"/>
          <w:sz w:val="42"/>
        </w:rPr>
        <w:sectPr>
          <w:pgSz w:w="11910" w:h="16840"/>
          <w:pgMar w:top="880" w:bottom="0" w:left="0" w:right="0"/>
        </w:sectPr>
      </w:pPr>
    </w:p>
    <w:p>
      <w:pPr>
        <w:tabs>
          <w:tab w:pos="1700" w:val="left" w:leader="none"/>
        </w:tabs>
        <w:spacing w:before="65"/>
        <w:ind w:left="716" w:right="0" w:firstLine="0"/>
        <w:jc w:val="left"/>
        <w:rPr>
          <w:b/>
          <w:sz w:val="21"/>
        </w:rPr>
      </w:pPr>
      <w:r>
        <w:rPr/>
        <w:drawing>
          <wp:anchor distT="0" distB="0" distL="0" distR="0" allowOverlap="1" layoutInCell="1" locked="0" behindDoc="1" simplePos="0" relativeHeight="268237031">
            <wp:simplePos x="0" y="0"/>
            <wp:positionH relativeFrom="page">
              <wp:posOffset>0</wp:posOffset>
            </wp:positionH>
            <wp:positionV relativeFrom="paragraph">
              <wp:posOffset>373881</wp:posOffset>
            </wp:positionV>
            <wp:extent cx="7559992" cy="143992"/>
            <wp:effectExtent l="0" t="0" r="0" b="0"/>
            <wp:wrapNone/>
            <wp:docPr id="11" name="image39.png" descr=""/>
            <wp:cNvGraphicFramePr>
              <a:graphicFrameLocks noChangeAspect="1"/>
            </wp:cNvGraphicFramePr>
            <a:graphic>
              <a:graphicData uri="http://schemas.openxmlformats.org/drawingml/2006/picture">
                <pic:pic>
                  <pic:nvPicPr>
                    <pic:cNvPr id="12"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2</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1910" w:h="16840"/>
          <w:pgMar w:top="300" w:bottom="280" w:left="0" w:right="0"/>
        </w:sectPr>
      </w:pPr>
    </w:p>
    <w:p>
      <w:pPr>
        <w:pStyle w:val="BodyText"/>
        <w:rPr>
          <w:b/>
          <w:sz w:val="24"/>
        </w:rPr>
      </w:pPr>
    </w:p>
    <w:p>
      <w:pPr>
        <w:pStyle w:val="BodyText"/>
        <w:spacing w:before="158"/>
        <w:ind w:left="5428"/>
      </w:pPr>
      <w:r>
        <w:rPr>
          <w:color w:val="231F20"/>
          <w:w w:val="105"/>
        </w:rPr>
        <w:t>Palau</w:t>
      </w:r>
    </w:p>
    <w:p>
      <w:pPr>
        <w:pStyle w:val="BodyText"/>
        <w:rPr>
          <w:sz w:val="24"/>
        </w:rPr>
      </w:pPr>
    </w:p>
    <w:p>
      <w:pPr>
        <w:pStyle w:val="BodyText"/>
        <w:rPr>
          <w:sz w:val="24"/>
        </w:rPr>
      </w:pPr>
    </w:p>
    <w:p>
      <w:pPr>
        <w:pStyle w:val="BodyText"/>
        <w:spacing w:before="7"/>
      </w:pPr>
    </w:p>
    <w:p>
      <w:pPr>
        <w:pStyle w:val="BodyText"/>
        <w:spacing w:line="252" w:lineRule="auto"/>
        <w:ind w:left="3868" w:firstLine="211"/>
        <w:jc w:val="right"/>
      </w:pPr>
      <w:r>
        <w:rPr>
          <w:color w:val="231F20"/>
          <w:w w:val="105"/>
        </w:rPr>
        <w:t>PNG Supreme Court</w:t>
      </w:r>
      <w:r>
        <w:rPr>
          <w:color w:val="231F20"/>
          <w:w w:val="105"/>
        </w:rPr>
        <w:t> </w:t>
      </w:r>
      <w:r>
        <w:rPr>
          <w:color w:val="231F20"/>
          <w:w w:val="105"/>
        </w:rPr>
        <w:t>PNG Magistrates Court</w:t>
      </w:r>
    </w:p>
    <w:p>
      <w:pPr>
        <w:pStyle w:val="BodyText"/>
        <w:rPr>
          <w:sz w:val="20"/>
        </w:rPr>
      </w:pPr>
      <w:r>
        <w:rPr/>
        <w:br w:type="column"/>
      </w:r>
      <w:r>
        <w:rPr>
          <w:sz w:val="20"/>
        </w:rPr>
      </w:r>
    </w:p>
    <w:p>
      <w:pPr>
        <w:pStyle w:val="BodyText"/>
        <w:spacing w:before="11"/>
        <w:rPr>
          <w:sz w:val="10"/>
        </w:rPr>
      </w:pPr>
      <w:r>
        <w:rPr/>
        <w:pict>
          <v:shapetype id="_x0000_t202" o:spt="202" coordsize="21600,21600" path="m,l,21600r21600,l21600,xe">
            <v:stroke joinstyle="miter"/>
            <v:path gradientshapeok="t" o:connecttype="rect"/>
          </v:shapetype>
          <v:shape style="position:absolute;margin-left:322.799286pt;margin-top:7.874319pt;width:19.850pt;height:12.5pt;mso-position-horizontal-relative:page;mso-position-vertical-relative:paragraph;z-index:1168;mso-wrap-distance-left:0;mso-wrap-distance-right:0" type="#_x0000_t202" filled="false" stroked="false">
            <v:textbox inset="0,0,0,0">
              <w:txbxContent>
                <w:p>
                  <w:pPr>
                    <w:pStyle w:val="BodyText"/>
                    <w:spacing w:line="249" w:lineRule="exact"/>
                  </w:pPr>
                  <w:r>
                    <w:rPr>
                      <w:color w:val="231F20"/>
                      <w:w w:val="105"/>
                    </w:rPr>
                    <w:t>FSM</w:t>
                  </w:r>
                </w:p>
              </w:txbxContent>
            </v:textbox>
            <w10:wrap type="topAndBottom"/>
          </v:shape>
        </w:pict>
      </w: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206" w:lineRule="auto" w:before="200"/>
        <w:ind w:left="843" w:right="-6" w:hanging="94"/>
      </w:pPr>
      <w:r>
        <w:rPr>
          <w:color w:val="231F20"/>
          <w:w w:val="105"/>
        </w:rPr>
        <w:t>Solomon Islands</w:t>
      </w:r>
    </w:p>
    <w:p>
      <w:pPr>
        <w:pStyle w:val="BodyText"/>
        <w:spacing w:before="10"/>
      </w:pPr>
      <w:r>
        <w:rPr/>
        <w:br w:type="column"/>
      </w:r>
      <w:r>
        <w:rPr/>
      </w:r>
    </w:p>
    <w:p>
      <w:pPr>
        <w:pStyle w:val="BodyText"/>
        <w:spacing w:line="206" w:lineRule="auto"/>
        <w:ind w:left="610" w:right="164"/>
      </w:pPr>
      <w:r>
        <w:rPr>
          <w:color w:val="231F20"/>
          <w:w w:val="105"/>
        </w:rPr>
        <w:t>Republic of Marshall Islands</w:t>
      </w:r>
    </w:p>
    <w:p>
      <w:pPr>
        <w:pStyle w:val="BodyText"/>
        <w:spacing w:line="213" w:lineRule="exact" w:before="183"/>
        <w:jc w:val="right"/>
      </w:pPr>
      <w:r>
        <w:rPr>
          <w:color w:val="231F20"/>
          <w:w w:val="105"/>
        </w:rPr>
        <w:t>Kiribati</w:t>
      </w:r>
    </w:p>
    <w:p>
      <w:pPr>
        <w:pStyle w:val="BodyText"/>
        <w:spacing w:line="213" w:lineRule="exact"/>
        <w:ind w:left="483"/>
      </w:pPr>
      <w:r>
        <w:rPr>
          <w:color w:val="231F20"/>
          <w:w w:val="110"/>
        </w:rPr>
        <w:t>Nauru</w:t>
      </w:r>
    </w:p>
    <w:p>
      <w:pPr>
        <w:pStyle w:val="BodyText"/>
        <w:rPr>
          <w:sz w:val="24"/>
        </w:rPr>
      </w:pPr>
    </w:p>
    <w:p>
      <w:pPr>
        <w:pStyle w:val="BodyText"/>
        <w:spacing w:before="195"/>
        <w:ind w:left="642"/>
      </w:pPr>
      <w:r>
        <w:rPr>
          <w:color w:val="231F20"/>
          <w:w w:val="110"/>
        </w:rPr>
        <w:t>Tuvalu</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25"/>
        </w:rPr>
      </w:pPr>
    </w:p>
    <w:p>
      <w:pPr>
        <w:pStyle w:val="BodyText"/>
        <w:spacing w:line="370" w:lineRule="atLeast" w:before="1"/>
        <w:ind w:left="198" w:right="1229" w:hanging="105"/>
      </w:pPr>
      <w:r>
        <w:rPr>
          <w:color w:val="231F20"/>
          <w:w w:val="105"/>
        </w:rPr>
        <w:t>Tokelau Samoa</w:t>
      </w:r>
    </w:p>
    <w:p>
      <w:pPr>
        <w:spacing w:after="0" w:line="370" w:lineRule="atLeast"/>
        <w:sectPr>
          <w:type w:val="continuous"/>
          <w:pgSz w:w="11910" w:h="16840"/>
          <w:pgMar w:top="880" w:bottom="0" w:left="0" w:right="0"/>
          <w:cols w:num="4" w:equalWidth="0">
            <w:col w:w="5944" w:space="40"/>
            <w:col w:w="1556" w:space="39"/>
            <w:col w:w="2240" w:space="39"/>
            <w:col w:w="2052"/>
          </w:cols>
        </w:sectPr>
      </w:pPr>
    </w:p>
    <w:p>
      <w:pPr>
        <w:pStyle w:val="BodyText"/>
        <w:tabs>
          <w:tab w:pos="2472" w:val="left" w:leader="none"/>
        </w:tabs>
        <w:spacing w:line="141" w:lineRule="auto"/>
        <w:ind w:right="765"/>
        <w:jc w:val="right"/>
      </w:pPr>
      <w:r>
        <w:rPr>
          <w:color w:val="231F20"/>
          <w:w w:val="110"/>
        </w:rPr>
        <w:t>Vanuatu</w:t>
        <w:tab/>
      </w:r>
      <w:r>
        <w:rPr>
          <w:color w:val="231F20"/>
          <w:w w:val="110"/>
          <w:position w:val="-3"/>
        </w:rPr>
        <w:t>Cook</w:t>
      </w:r>
    </w:p>
    <w:p>
      <w:pPr>
        <w:spacing w:after="0" w:line="141" w:lineRule="auto"/>
        <w:jc w:val="right"/>
        <w:sectPr>
          <w:type w:val="continuous"/>
          <w:pgSz w:w="11910" w:h="16840"/>
          <w:pgMar w:top="880" w:bottom="0" w:left="0" w:right="0"/>
        </w:sectPr>
      </w:pPr>
    </w:p>
    <w:p>
      <w:pPr>
        <w:pStyle w:val="BodyText"/>
        <w:spacing w:before="5"/>
        <w:rPr>
          <w:sz w:val="29"/>
        </w:rPr>
      </w:pPr>
      <w:r>
        <w:rPr/>
        <w:pict>
          <v:group style="position:absolute;margin-left:-.000001pt;margin-top:99.213013pt;width:595.3pt;height:742.7pt;mso-position-horizontal-relative:page;mso-position-vertical-relative:page;z-index:-198400" coordorigin="0,1984" coordsize="11906,14854">
            <v:rect style="position:absolute;left:0;top:4960;width:11906;height:11878" filled="true" fillcolor="#afcad1" stroked="false">
              <v:fill opacity="42598f" type="solid"/>
            </v:rect>
            <v:shape style="position:absolute;left:0;top:4945;width:6809;height:7688" type="#_x0000_t75" stroked="false">
              <v:imagedata r:id="rId46" o:title=""/>
            </v:shape>
            <v:shape style="position:absolute;left:6862;top:9452;width:125;height:155" type="#_x0000_t75" stroked="false">
              <v:imagedata r:id="rId47" o:title=""/>
            </v:shape>
            <v:shape style="position:absolute;left:7031;top:9575;width:507;height:390" type="#_x0000_t75" stroked="false">
              <v:imagedata r:id="rId48" o:title=""/>
            </v:shape>
            <v:shape style="position:absolute;left:7658;top:10759;width:350;height:231" type="#_x0000_t75" stroked="false">
              <v:imagedata r:id="rId49" o:title=""/>
            </v:shape>
            <v:shape style="position:absolute;left:7876;top:10151;width:267;height:580" coordorigin="7877,10152" coordsize="267,580" path="m7990,10413l7982,10397,7971,10389,7966,10382,7964,10372,7963,10358,7962,10336,7958,10311,7948,10290,7933,10281,7908,10281,7908,10290,7886,10303,7877,10312,7878,10322,7889,10335,7904,10354,7918,10372,7929,10386,7933,10392,7916,10408,7911,10417,7916,10422,7933,10426,7951,10439,7961,10460,7967,10477,7974,10477,7983,10459,7989,10435,7990,10413m8008,10172l8001,10162,7982,10162,7963,10152,7963,10165,7958,10191,7959,10214,7966,10230,7980,10233,7995,10220,8005,10195,8008,10172m8059,10380l8053,10354,8039,10328,8025,10309,8019,10301,8008,10315,8003,10326,8001,10335,8001,10346,8010,10364,8030,10383,8050,10392,8059,10380m8072,10463l8030,10437,8016,10444,8000,10456,7996,10471,8019,10490,8050,10497,8065,10487,8071,10471,8072,10463m8133,10641l8132,10625,8123,10619,8103,10619,8099,10624,8094,10642,8096,10663,8104,10677,8116,10675,8127,10659,8133,10641m8143,10689l8127,10689,8111,10693,8091,10703,8082,10716,8099,10726,8125,10731,8138,10728,8143,10720,8143,10707,8143,10689e" filled="true" fillcolor="#65a5ae" stroked="false">
              <v:path arrowok="t"/>
              <v:fill opacity="22937f" type="solid"/>
            </v:shape>
            <v:shape style="position:absolute;left:8781;top:10401;width:259;height:207" type="#_x0000_t75" stroked="false">
              <v:imagedata r:id="rId50" o:title=""/>
            </v:shape>
            <v:shape style="position:absolute;left:7858;top:12115;width:1046;height:1504" coordorigin="7858,12115" coordsize="1046,1504" path="m8022,13549l8022,13529,7991,13533,7994,13543,7993,13549,7987,13554,7974,13561,7957,13570,7942,13581,7937,13591,7946,13601,7965,13610,7984,13617,8001,13618,8014,13610,8020,13589,8022,13562,8022,13549m8556,12890l8550,12878,8533,12871,8512,12855,8496,12837,8488,12831,8485,12837,8484,12855,8480,12860,8471,12873,8458,12889,8444,12903,8434,12900,8428,12876,8423,12843,8416,12817,8408,12805,8401,12805,8393,12812,8382,12824,8372,12834,8365,12842,8360,12853,8354,12869,8347,12871,8334,12878,8320,12888,8314,12903,8302,12909,8276,12923,8247,12940,8229,12954,8211,12980,8199,12997,8184,13022,8159,13053,8126,13088,8097,13127,8082,13172,8055,13221,7999,13268,7935,13308,7883,13334,7860,13355,7858,13378,7866,13400,7872,13414,7872,13421,7875,13430,7884,13447,7900,13476,7912,13479,7943,13487,7981,13495,8019,13499,8047,13503,8069,13514,8093,13527,8127,13538,8163,13530,8191,13495,8219,13447,8252,13397,8276,13352,8284,13309,8288,13268,8304,13226,8328,13201,8350,13197,8373,13195,8399,13175,8422,13149,8432,13128,8435,13100,8435,13051,8445,13013,8467,13009,8493,13015,8505,13009,8512,13005,8521,12984,8526,12967,8532,12946,8546,12916,8551,12903,8556,12890m8904,12535l8898,12514,8894,12499,8883,12471,8871,12454,8858,12450,8849,12459,8841,12475,8827,12491,8802,12501,8772,12508,8749,12514,8728,12511,8705,12489,8685,12460,8673,12439,8669,12423,8671,12410,8675,12399,8677,12394,8680,12378,8676,12367,8657,12370,8637,12382,8626,12391,8621,12397,8614,12399,8603,12399,8580,12382,8586,12370,8593,12358,8598,12343,8597,12325,8591,12310,8582,12302,8574,12295,8571,12280,8573,12260,8572,12244,8562,12228,8535,12212,8506,12198,8490,12189,8480,12180,8467,12166,8449,12146,8432,12127,8418,12115,8410,12121,8411,12135,8417,12148,8426,12162,8433,12183,8429,12206,8418,12228,8420,12253,8450,12285,8489,12316,8510,12336,8522,12356,8535,12385,8548,12407,8555,12420,8557,12446,8558,12514,8556,12583,8551,12619,8539,12633,8492,12642,8471,12650,8462,12662,8473,12677,8497,12690,8549,12708,8575,12722,8594,12738,8604,12755,8608,12775,8609,12801,8606,12825,8600,12840,8592,12850,8586,12858,8577,12867,8567,12879,8564,12891,8580,12903,8607,12916,8631,12926,8650,12927,8666,12912,8682,12881,8704,12839,8730,12795,8756,12756,8773,12719,8783,12651,8796,12637,8817,12631,8836,12621,8850,12610,8858,12597,8869,12587,8887,12579,8902,12564,8904,12535e" filled="true" fillcolor="#65a5ae" stroked="false">
              <v:path arrowok="t"/>
              <v:fill opacity="22937f" type="solid"/>
            </v:shape>
            <v:shape style="position:absolute;left:6001;top:12792;width:356;height:379" type="#_x0000_t75" stroked="false">
              <v:imagedata r:id="rId51" o:title=""/>
            </v:shape>
            <v:shape style="position:absolute;left:7922;top:10302;width:199;height:199" type="#_x0000_t75" stroked="false">
              <v:imagedata r:id="rId52" o:title=""/>
            </v:shape>
            <v:shape style="position:absolute;left:7802;top:8900;width:199;height:199" type="#_x0000_t75" stroked="false">
              <v:imagedata r:id="rId52" o:title=""/>
            </v:shape>
            <v:shape style="position:absolute;left:7922;top:8135;width:199;height:199" type="#_x0000_t75" stroked="false">
              <v:imagedata r:id="rId52" o:title=""/>
            </v:shape>
            <v:shape style="position:absolute;left:9255;top:10913;width:199;height:199" type="#_x0000_t75" stroked="false">
              <v:imagedata r:id="rId53" o:title=""/>
            </v:shape>
            <v:shape style="position:absolute;left:9807;top:10101;width:199;height:199" type="#_x0000_t75" stroked="false">
              <v:imagedata r:id="rId54" o:title=""/>
            </v:shape>
            <v:shape style="position:absolute;left:9708;top:9708;width:199;height:199" type="#_x0000_t75" stroked="false">
              <v:imagedata r:id="rId55" o:title=""/>
            </v:shape>
            <v:shape style="position:absolute;left:11168;top:10311;width:199;height:199" type="#_x0000_t75" stroked="false">
              <v:imagedata r:id="rId52" o:title=""/>
            </v:shape>
            <v:shape style="position:absolute;left:7136;top:9669;width:199;height:199" type="#_x0000_t75" stroked="false">
              <v:imagedata r:id="rId55" o:title=""/>
            </v:shape>
            <v:shape style="position:absolute;left:6937;top:8227;width:199;height:199" type="#_x0000_t75" stroked="false">
              <v:imagedata r:id="rId54" o:title=""/>
            </v:shape>
            <v:shape style="position:absolute;left:8900;top:8730;width:199;height:199" type="#_x0000_t75" stroked="false">
              <v:imagedata r:id="rId53" o:title=""/>
            </v:shape>
            <v:shape style="position:absolute;left:9942;top:10666;width:199;height:199" type="#_x0000_t75" stroked="false">
              <v:imagedata r:id="rId53" o:title=""/>
            </v:shape>
            <v:shape style="position:absolute;left:8900;top:9637;width:199;height:199" type="#_x0000_t75" stroked="false">
              <v:imagedata r:id="rId54" o:title=""/>
            </v:shape>
            <v:shape style="position:absolute;left:0;top:1984;width:11906;height:3062" type="#_x0000_t75" stroked="false">
              <v:imagedata r:id="rId56" o:title=""/>
            </v:shape>
            <w10:wrap type="none"/>
          </v:group>
        </w:pict>
      </w:r>
    </w:p>
    <w:p>
      <w:pPr>
        <w:pStyle w:val="BodyText"/>
        <w:jc w:val="right"/>
      </w:pPr>
      <w:r>
        <w:rPr>
          <w:color w:val="231F20"/>
          <w:w w:val="105"/>
        </w:rPr>
        <w:t>Tonga</w:t>
      </w:r>
    </w:p>
    <w:p>
      <w:pPr>
        <w:pStyle w:val="BodyText"/>
        <w:spacing w:before="104"/>
        <w:ind w:left="232"/>
      </w:pPr>
      <w:r>
        <w:rPr/>
        <w:br w:type="column"/>
      </w:r>
      <w:r>
        <w:rPr>
          <w:color w:val="231F20"/>
          <w:w w:val="110"/>
        </w:rPr>
        <w:t>Niue</w:t>
      </w:r>
    </w:p>
    <w:p>
      <w:pPr>
        <w:pStyle w:val="BodyText"/>
        <w:spacing w:line="241" w:lineRule="exact"/>
        <w:ind w:left="654"/>
      </w:pPr>
      <w:r>
        <w:rPr/>
        <w:br w:type="column"/>
      </w:r>
      <w:r>
        <w:rPr>
          <w:color w:val="231F20"/>
          <w:w w:val="105"/>
        </w:rPr>
        <w:t>Islands</w:t>
      </w:r>
    </w:p>
    <w:p>
      <w:pPr>
        <w:spacing w:after="0" w:line="241" w:lineRule="exact"/>
        <w:sectPr>
          <w:type w:val="continuous"/>
          <w:pgSz w:w="11910" w:h="16840"/>
          <w:pgMar w:top="880" w:bottom="0" w:left="0" w:right="0"/>
          <w:cols w:num="3" w:equalWidth="0">
            <w:col w:w="9180" w:space="40"/>
            <w:col w:w="676" w:space="39"/>
            <w:col w:w="1975"/>
          </w:cols>
        </w:sectPr>
      </w:pPr>
    </w:p>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2"/>
        <w:gridCol w:w="7654"/>
      </w:tblGrid>
      <w:tr>
        <w:trPr>
          <w:trHeight w:val="340" w:hRule="atLeast"/>
        </w:trPr>
        <w:tc>
          <w:tcPr>
            <w:tcW w:w="4252" w:type="dxa"/>
          </w:tcPr>
          <w:p>
            <w:pPr>
              <w:pStyle w:val="TableParagraph"/>
              <w:rPr>
                <w:rFonts w:ascii="Times New Roman"/>
                <w:sz w:val="20"/>
              </w:rPr>
            </w:pPr>
          </w:p>
        </w:tc>
        <w:tc>
          <w:tcPr>
            <w:tcW w:w="7654" w:type="dxa"/>
          </w:tcPr>
          <w:p>
            <w:pPr>
              <w:pStyle w:val="TableParagraph"/>
              <w:tabs>
                <w:tab w:pos="6936" w:val="right" w:leader="none"/>
              </w:tabs>
              <w:spacing w:line="320" w:lineRule="exact"/>
              <w:ind w:left="95"/>
              <w:rPr>
                <w:sz w:val="48"/>
              </w:rPr>
            </w:pP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3</w:t>
            </w:r>
          </w:p>
        </w:tc>
      </w:tr>
      <w:tr>
        <w:trPr>
          <w:trHeight w:val="226" w:hRule="atLeast"/>
        </w:trPr>
        <w:tc>
          <w:tcPr>
            <w:tcW w:w="4252" w:type="dxa"/>
            <w:shd w:val="clear" w:color="auto" w:fill="00403F"/>
          </w:tcPr>
          <w:p>
            <w:pPr>
              <w:pStyle w:val="TableParagraph"/>
              <w:rPr>
                <w:rFonts w:ascii="Times New Roman"/>
                <w:sz w:val="16"/>
              </w:rPr>
            </w:pPr>
          </w:p>
        </w:tc>
        <w:tc>
          <w:tcPr>
            <w:tcW w:w="7654" w:type="dxa"/>
            <w:shd w:val="clear" w:color="auto" w:fill="00403F"/>
          </w:tcPr>
          <w:p>
            <w:pPr>
              <w:pStyle w:val="TableParagraph"/>
              <w:rPr>
                <w:rFonts w:ascii="Times New Roman"/>
                <w:sz w:val="16"/>
              </w:rPr>
            </w:pPr>
          </w:p>
        </w:tc>
      </w:tr>
      <w:tr>
        <w:trPr>
          <w:trHeight w:val="1745" w:hRule="atLeast"/>
        </w:trPr>
        <w:tc>
          <w:tcPr>
            <w:tcW w:w="4252" w:type="dxa"/>
          </w:tcPr>
          <w:p>
            <w:pPr>
              <w:pStyle w:val="TableParagraph"/>
              <w:spacing w:before="4"/>
              <w:rPr>
                <w:sz w:val="63"/>
              </w:rPr>
            </w:pPr>
          </w:p>
          <w:p>
            <w:pPr>
              <w:pStyle w:val="TableParagraph"/>
              <w:ind w:left="1700"/>
              <w:rPr>
                <w:sz w:val="60"/>
              </w:rPr>
            </w:pPr>
            <w:r>
              <w:rPr>
                <w:color w:val="0F6161"/>
                <w:w w:val="105"/>
                <w:sz w:val="60"/>
              </w:rPr>
              <w:t>Contents</w:t>
            </w:r>
          </w:p>
        </w:tc>
        <w:tc>
          <w:tcPr>
            <w:tcW w:w="7654" w:type="dxa"/>
          </w:tcPr>
          <w:p>
            <w:pPr>
              <w:pStyle w:val="TableParagraph"/>
              <w:rPr>
                <w:rFonts w:ascii="Times New Roman"/>
                <w:sz w:val="20"/>
              </w:rPr>
            </w:pPr>
          </w:p>
        </w:tc>
      </w:tr>
      <w:tr>
        <w:trPr>
          <w:trHeight w:val="555" w:hRule="atLeast"/>
        </w:trPr>
        <w:tc>
          <w:tcPr>
            <w:tcW w:w="4252" w:type="dxa"/>
          </w:tcPr>
          <w:p>
            <w:pPr>
              <w:pStyle w:val="TableParagraph"/>
              <w:rPr>
                <w:sz w:val="19"/>
              </w:rPr>
            </w:pPr>
          </w:p>
          <w:p>
            <w:pPr>
              <w:pStyle w:val="TableParagraph"/>
              <w:ind w:left="1700"/>
              <w:rPr>
                <w:b/>
                <w:sz w:val="21"/>
              </w:rPr>
            </w:pPr>
            <w:r>
              <w:rPr>
                <w:b/>
                <w:color w:val="231F20"/>
                <w:w w:val="105"/>
                <w:sz w:val="21"/>
              </w:rPr>
              <w:t>Foreword</w:t>
            </w:r>
          </w:p>
        </w:tc>
        <w:tc>
          <w:tcPr>
            <w:tcW w:w="7654" w:type="dxa"/>
          </w:tcPr>
          <w:p>
            <w:pPr>
              <w:pStyle w:val="TableParagraph"/>
              <w:rPr>
                <w:sz w:val="19"/>
              </w:rPr>
            </w:pPr>
          </w:p>
          <w:p>
            <w:pPr>
              <w:pStyle w:val="TableParagraph"/>
              <w:ind w:right="1755"/>
              <w:jc w:val="right"/>
              <w:rPr>
                <w:b/>
                <w:sz w:val="21"/>
              </w:rPr>
            </w:pPr>
            <w:r>
              <w:rPr>
                <w:b/>
                <w:color w:val="231F20"/>
                <w:w w:val="109"/>
                <w:sz w:val="21"/>
              </w:rPr>
              <w:t>4</w:t>
            </w:r>
          </w:p>
        </w:tc>
      </w:tr>
      <w:tr>
        <w:trPr>
          <w:trHeight w:val="439" w:hRule="atLeast"/>
        </w:trPr>
        <w:tc>
          <w:tcPr>
            <w:tcW w:w="4252" w:type="dxa"/>
          </w:tcPr>
          <w:p>
            <w:pPr>
              <w:pStyle w:val="TableParagraph"/>
              <w:spacing w:before="60"/>
              <w:ind w:left="1814"/>
              <w:rPr>
                <w:sz w:val="21"/>
              </w:rPr>
            </w:pPr>
            <w:r>
              <w:rPr>
                <w:color w:val="231F20"/>
                <w:w w:val="105"/>
                <w:sz w:val="21"/>
              </w:rPr>
              <w:t>Trend Report Contributors</w:t>
            </w:r>
          </w:p>
        </w:tc>
        <w:tc>
          <w:tcPr>
            <w:tcW w:w="7654" w:type="dxa"/>
          </w:tcPr>
          <w:p>
            <w:pPr>
              <w:pStyle w:val="TableParagraph"/>
              <w:spacing w:before="60"/>
              <w:ind w:right="1755"/>
              <w:jc w:val="right"/>
              <w:rPr>
                <w:sz w:val="21"/>
              </w:rPr>
            </w:pPr>
            <w:r>
              <w:rPr>
                <w:color w:val="231F20"/>
                <w:w w:val="109"/>
                <w:sz w:val="21"/>
              </w:rPr>
              <w:t>5</w:t>
            </w:r>
          </w:p>
        </w:tc>
      </w:tr>
      <w:tr>
        <w:trPr>
          <w:trHeight w:val="373" w:hRule="atLeast"/>
        </w:trPr>
        <w:tc>
          <w:tcPr>
            <w:tcW w:w="4252" w:type="dxa"/>
          </w:tcPr>
          <w:p>
            <w:pPr>
              <w:pStyle w:val="TableParagraph"/>
              <w:spacing w:line="236" w:lineRule="exact" w:before="117"/>
              <w:ind w:left="1700"/>
              <w:rPr>
                <w:b/>
                <w:sz w:val="21"/>
              </w:rPr>
            </w:pPr>
            <w:r>
              <w:rPr>
                <w:b/>
                <w:color w:val="231F20"/>
                <w:w w:val="105"/>
                <w:sz w:val="21"/>
              </w:rPr>
              <w:t>Executive Summary</w:t>
            </w:r>
          </w:p>
        </w:tc>
        <w:tc>
          <w:tcPr>
            <w:tcW w:w="7654" w:type="dxa"/>
          </w:tcPr>
          <w:p>
            <w:pPr>
              <w:pStyle w:val="TableParagraph"/>
              <w:spacing w:line="236" w:lineRule="exact" w:before="117"/>
              <w:ind w:right="1755"/>
              <w:jc w:val="right"/>
              <w:rPr>
                <w:b/>
                <w:sz w:val="21"/>
              </w:rPr>
            </w:pPr>
            <w:r>
              <w:rPr>
                <w:b/>
                <w:color w:val="231F20"/>
                <w:w w:val="109"/>
                <w:sz w:val="21"/>
              </w:rPr>
              <w:t>6</w:t>
            </w:r>
          </w:p>
        </w:tc>
      </w:tr>
    </w:tbl>
    <w:p>
      <w:pPr>
        <w:pStyle w:val="BodyText"/>
        <w:spacing w:before="9"/>
        <w:rPr>
          <w:sz w:val="12"/>
        </w:rPr>
      </w:pPr>
    </w:p>
    <w:sdt>
      <w:sdtPr>
        <w:docPartObj>
          <w:docPartGallery w:val="Table of Contents"/>
          <w:docPartUnique/>
        </w:docPartObj>
      </w:sdtPr>
      <w:sdtEndPr/>
      <w:sdtContent>
        <w:p>
          <w:pPr>
            <w:pStyle w:val="TOC1"/>
            <w:tabs>
              <w:tab w:pos="10147" w:val="right" w:leader="none"/>
            </w:tabs>
            <w:spacing w:before="94"/>
          </w:pPr>
          <w:r>
            <w:rPr/>
            <w:pict>
              <v:group style="position:absolute;margin-left:85.039398pt;margin-top:3.503866pt;width:17.05pt;height:15.6pt;mso-position-horizontal-relative:page;mso-position-vertical-relative:paragraph;z-index:1264" coordorigin="1701,70" coordsize="341,312">
                <v:shape style="position:absolute;left:1700;top:70;width:341;height:312" type="#_x0000_t75" stroked="false">
                  <v:imagedata r:id="rId57" o:title=""/>
                </v:shape>
                <v:shape style="position:absolute;left:1700;top:70;width:341;height:312" type="#_x0000_t202" filled="false" stroked="false">
                  <v:textbox inset="0,0,0,0">
                    <w:txbxContent>
                      <w:p>
                        <w:pPr>
                          <w:spacing w:before="24"/>
                          <w:ind w:left="85" w:right="0" w:firstLine="0"/>
                          <w:jc w:val="left"/>
                          <w:rPr>
                            <w:b/>
                            <w:sz w:val="21"/>
                          </w:rPr>
                        </w:pPr>
                        <w:r>
                          <w:rPr>
                            <w:b/>
                            <w:color w:val="FFFFFF"/>
                            <w:w w:val="109"/>
                            <w:sz w:val="21"/>
                          </w:rPr>
                          <w:t>1</w:t>
                        </w:r>
                      </w:p>
                    </w:txbxContent>
                  </v:textbox>
                  <w10:wrap type="none"/>
                </v:shape>
                <w10:wrap type="none"/>
              </v:group>
            </w:pict>
          </w:r>
          <w:hyperlink w:history="true" w:anchor="_TOC_250005">
            <w:r>
              <w:rPr>
                <w:color w:val="231F20"/>
                <w:w w:val="105"/>
              </w:rPr>
              <w:t>Overview of Annual Reports</w:t>
            </w:r>
            <w:r>
              <w:rPr>
                <w:color w:val="231F20"/>
                <w:spacing w:val="25"/>
                <w:w w:val="105"/>
              </w:rPr>
              <w:t> </w:t>
            </w:r>
            <w:r>
              <w:rPr>
                <w:color w:val="231F20"/>
                <w:w w:val="105"/>
              </w:rPr>
              <w:t>2011–</w:t>
            </w:r>
            <w:r>
              <w:rPr>
                <w:color w:val="231F20"/>
                <w:spacing w:val="-25"/>
                <w:w w:val="105"/>
              </w:rPr>
              <w:t> </w:t>
            </w:r>
            <w:r>
              <w:rPr>
                <w:color w:val="231F20"/>
                <w:w w:val="105"/>
              </w:rPr>
              <w:t>2017</w:t>
              <w:tab/>
              <w:t>12</w:t>
            </w:r>
          </w:hyperlink>
        </w:p>
        <w:p>
          <w:pPr>
            <w:pStyle w:val="TOC1"/>
            <w:tabs>
              <w:tab w:pos="10147" w:val="right" w:leader="none"/>
            </w:tabs>
          </w:pPr>
          <w:r>
            <w:rPr/>
            <w:pict>
              <v:group style="position:absolute;margin-left:85.039398pt;margin-top:11.476943pt;width:17.05pt;height:15.6pt;mso-position-horizontal-relative:page;mso-position-vertical-relative:paragraph;z-index:1312" coordorigin="1701,230" coordsize="341,312">
                <v:shape style="position:absolute;left:1700;top:229;width:341;height:312" type="#_x0000_t75" stroked="false">
                  <v:imagedata r:id="rId58" o:title=""/>
                </v:shape>
                <v:shape style="position:absolute;left:1700;top:229;width:341;height:312" type="#_x0000_t202" filled="false" stroked="false">
                  <v:textbox inset="0,0,0,0">
                    <w:txbxContent>
                      <w:p>
                        <w:pPr>
                          <w:spacing w:before="10"/>
                          <w:ind w:left="85" w:right="0" w:firstLine="0"/>
                          <w:jc w:val="left"/>
                          <w:rPr>
                            <w:b/>
                            <w:sz w:val="21"/>
                          </w:rPr>
                        </w:pPr>
                        <w:r>
                          <w:rPr>
                            <w:b/>
                            <w:color w:val="FFFFFF"/>
                            <w:w w:val="109"/>
                            <w:sz w:val="21"/>
                          </w:rPr>
                          <w:t>2</w:t>
                        </w:r>
                      </w:p>
                    </w:txbxContent>
                  </v:textbox>
                  <w10:wrap type="none"/>
                </v:shape>
                <w10:wrap type="none"/>
              </v:group>
            </w:pict>
          </w:r>
          <w:r>
            <w:rPr>
              <w:color w:val="231F20"/>
              <w:w w:val="105"/>
            </w:rPr>
            <w:t>Overview of Sex, Age and Disability</w:t>
          </w:r>
          <w:r>
            <w:rPr>
              <w:color w:val="231F20"/>
              <w:spacing w:val="43"/>
              <w:w w:val="105"/>
            </w:rPr>
            <w:t> </w:t>
          </w:r>
          <w:r>
            <w:rPr>
              <w:color w:val="231F20"/>
              <w:w w:val="105"/>
            </w:rPr>
            <w:t>Disaggregated</w:t>
          </w:r>
          <w:r>
            <w:rPr>
              <w:color w:val="231F20"/>
              <w:spacing w:val="7"/>
              <w:w w:val="105"/>
            </w:rPr>
            <w:t> </w:t>
          </w:r>
          <w:r>
            <w:rPr>
              <w:color w:val="231F20"/>
              <w:w w:val="105"/>
            </w:rPr>
            <w:t>Data</w:t>
            <w:tab/>
            <w:t>14</w:t>
          </w:r>
        </w:p>
        <w:p>
          <w:pPr>
            <w:pStyle w:val="TOC1"/>
            <w:spacing w:before="71"/>
          </w:pPr>
          <w:r>
            <w:rPr>
              <w:color w:val="231F20"/>
              <w:w w:val="105"/>
            </w:rPr>
            <w:t>in PJSI Partner Annual Reports</w:t>
          </w:r>
        </w:p>
        <w:p>
          <w:pPr>
            <w:pStyle w:val="TOC1"/>
            <w:tabs>
              <w:tab w:pos="10147" w:val="right" w:leader="none"/>
            </w:tabs>
          </w:pPr>
          <w:r>
            <w:rPr/>
            <w:pict>
              <v:group style="position:absolute;margin-left:85.039398pt;margin-top:10.697286pt;width:17.05pt;height:15.6pt;mso-position-horizontal-relative:page;mso-position-vertical-relative:paragraph;z-index:1360" coordorigin="1701,214" coordsize="341,312">
                <v:shape style="position:absolute;left:1700;top:213;width:341;height:312" type="#_x0000_t75" stroked="false">
                  <v:imagedata r:id="rId59" o:title=""/>
                </v:shape>
                <v:shape style="position:absolute;left:1700;top:213;width:341;height:312" type="#_x0000_t202" filled="false" stroked="false">
                  <v:textbox inset="0,0,0,0">
                    <w:txbxContent>
                      <w:p>
                        <w:pPr>
                          <w:spacing w:before="26"/>
                          <w:ind w:left="85" w:right="0" w:firstLine="0"/>
                          <w:jc w:val="left"/>
                          <w:rPr>
                            <w:b/>
                            <w:sz w:val="21"/>
                          </w:rPr>
                        </w:pPr>
                        <w:r>
                          <w:rPr>
                            <w:b/>
                            <w:color w:val="FFFFFF"/>
                            <w:w w:val="109"/>
                            <w:sz w:val="21"/>
                          </w:rPr>
                          <w:t>3</w:t>
                        </w:r>
                      </w:p>
                    </w:txbxContent>
                  </v:textbox>
                  <w10:wrap type="none"/>
                </v:shape>
                <w10:wrap type="none"/>
              </v:group>
            </w:pict>
          </w:r>
          <w:r>
            <w:rPr>
              <w:color w:val="231F20"/>
              <w:w w:val="105"/>
            </w:rPr>
            <w:t>Review of Selected Cook</w:t>
          </w:r>
          <w:r>
            <w:rPr>
              <w:color w:val="231F20"/>
              <w:spacing w:val="30"/>
              <w:w w:val="105"/>
            </w:rPr>
            <w:t> </w:t>
          </w:r>
          <w:r>
            <w:rPr>
              <w:color w:val="231F20"/>
              <w:w w:val="105"/>
            </w:rPr>
            <w:t>Island</w:t>
          </w:r>
          <w:r>
            <w:rPr>
              <w:color w:val="231F20"/>
              <w:spacing w:val="6"/>
              <w:w w:val="105"/>
            </w:rPr>
            <w:t> </w:t>
          </w:r>
          <w:r>
            <w:rPr>
              <w:color w:val="231F20"/>
              <w:w w:val="105"/>
            </w:rPr>
            <w:t>Indicators</w:t>
            <w:tab/>
            <w:t>18</w:t>
          </w:r>
        </w:p>
        <w:p>
          <w:pPr>
            <w:pStyle w:val="TOC2"/>
            <w:tabs>
              <w:tab w:pos="3401" w:val="left" w:leader="none"/>
              <w:tab w:pos="10147" w:val="right" w:leader="none"/>
            </w:tabs>
          </w:pPr>
          <w:r>
            <w:rPr>
              <w:color w:val="231F20"/>
              <w:w w:val="105"/>
            </w:rPr>
            <w:t>Indicator</w:t>
          </w:r>
          <w:r>
            <w:rPr>
              <w:color w:val="231F20"/>
              <w:spacing w:val="8"/>
              <w:w w:val="105"/>
            </w:rPr>
            <w:t> </w:t>
          </w:r>
          <w:r>
            <w:rPr>
              <w:color w:val="231F20"/>
              <w:w w:val="105"/>
            </w:rPr>
            <w:t>1</w:t>
            <w:tab/>
            <w:t>Case </w:t>
          </w:r>
          <w:r>
            <w:rPr>
              <w:color w:val="231F20"/>
              <w:spacing w:val="1"/>
              <w:w w:val="105"/>
            </w:rPr>
            <w:t>Management–</w:t>
          </w:r>
          <w:r>
            <w:rPr>
              <w:color w:val="231F20"/>
              <w:spacing w:val="-17"/>
              <w:w w:val="105"/>
            </w:rPr>
            <w:t> </w:t>
          </w:r>
          <w:r>
            <w:rPr>
              <w:color w:val="231F20"/>
              <w:w w:val="105"/>
            </w:rPr>
            <w:t>Clearance</w:t>
          </w:r>
          <w:r>
            <w:rPr>
              <w:color w:val="231F20"/>
              <w:spacing w:val="6"/>
              <w:w w:val="105"/>
            </w:rPr>
            <w:t> </w:t>
          </w:r>
          <w:r>
            <w:rPr>
              <w:color w:val="231F20"/>
              <w:w w:val="105"/>
            </w:rPr>
            <w:t>Rate</w:t>
            <w:tab/>
            <w:t>18</w:t>
          </w:r>
        </w:p>
        <w:p>
          <w:pPr>
            <w:pStyle w:val="TOC2"/>
            <w:tabs>
              <w:tab w:pos="3401" w:val="left" w:leader="none"/>
              <w:tab w:pos="10147" w:val="right" w:leader="none"/>
            </w:tabs>
            <w:spacing w:before="98"/>
          </w:pPr>
          <w:hyperlink w:history="true" w:anchor="_TOC_250004">
            <w:r>
              <w:rPr>
                <w:color w:val="231F20"/>
                <w:w w:val="105"/>
              </w:rPr>
              <w:t>Indicator</w:t>
            </w:r>
            <w:r>
              <w:rPr>
                <w:color w:val="231F20"/>
                <w:spacing w:val="8"/>
                <w:w w:val="105"/>
              </w:rPr>
              <w:t> </w:t>
            </w:r>
            <w:r>
              <w:rPr>
                <w:color w:val="231F20"/>
                <w:w w:val="105"/>
              </w:rPr>
              <w:t>2</w:t>
              <w:tab/>
            </w:r>
            <w:r>
              <w:rPr>
                <w:color w:val="231F20"/>
                <w:spacing w:val="-3"/>
                <w:w w:val="105"/>
              </w:rPr>
              <w:t>Average </w:t>
            </w:r>
            <w:r>
              <w:rPr>
                <w:color w:val="231F20"/>
                <w:w w:val="105"/>
              </w:rPr>
              <w:t>Duration of</w:t>
            </w:r>
            <w:r>
              <w:rPr>
                <w:color w:val="231F20"/>
                <w:spacing w:val="26"/>
                <w:w w:val="105"/>
              </w:rPr>
              <w:t> </w:t>
            </w:r>
            <w:r>
              <w:rPr>
                <w:color w:val="231F20"/>
                <w:w w:val="105"/>
              </w:rPr>
              <w:t>a</w:t>
            </w:r>
            <w:r>
              <w:rPr>
                <w:color w:val="231F20"/>
                <w:spacing w:val="7"/>
                <w:w w:val="105"/>
              </w:rPr>
              <w:t> </w:t>
            </w:r>
            <w:r>
              <w:rPr>
                <w:color w:val="231F20"/>
                <w:w w:val="105"/>
              </w:rPr>
              <w:t>Case</w:t>
              <w:tab/>
              <w:t>21</w:t>
            </w:r>
          </w:hyperlink>
        </w:p>
        <w:p>
          <w:pPr>
            <w:pStyle w:val="TOC2"/>
            <w:tabs>
              <w:tab w:pos="3401" w:val="left" w:leader="none"/>
              <w:tab w:pos="10147" w:val="right" w:leader="none"/>
            </w:tabs>
          </w:pPr>
          <w:hyperlink w:history="true" w:anchor="_TOC_250003">
            <w:r>
              <w:rPr>
                <w:color w:val="231F20"/>
                <w:w w:val="105"/>
              </w:rPr>
              <w:t>Indicator</w:t>
            </w:r>
            <w:r>
              <w:rPr>
                <w:color w:val="231F20"/>
                <w:spacing w:val="8"/>
                <w:w w:val="105"/>
              </w:rPr>
              <w:t> </w:t>
            </w:r>
            <w:r>
              <w:rPr>
                <w:color w:val="231F20"/>
                <w:w w:val="105"/>
              </w:rPr>
              <w:t>3</w:t>
              <w:tab/>
              <w:t>Percentage</w:t>
            </w:r>
            <w:r>
              <w:rPr>
                <w:color w:val="231F20"/>
                <w:spacing w:val="6"/>
                <w:w w:val="105"/>
              </w:rPr>
              <w:t> </w:t>
            </w:r>
            <w:r>
              <w:rPr>
                <w:color w:val="231F20"/>
                <w:w w:val="105"/>
              </w:rPr>
              <w:t>of Appeals</w:t>
              <w:tab/>
              <w:t>24</w:t>
            </w:r>
          </w:hyperlink>
        </w:p>
        <w:p>
          <w:pPr>
            <w:pStyle w:val="TOC2"/>
            <w:tabs>
              <w:tab w:pos="3401" w:val="left" w:leader="none"/>
              <w:tab w:pos="10147" w:val="right" w:leader="none"/>
            </w:tabs>
          </w:pPr>
          <w:hyperlink w:history="true" w:anchor="_TOC_250002">
            <w:r>
              <w:rPr>
                <w:color w:val="231F20"/>
                <w:w w:val="105"/>
              </w:rPr>
              <w:t>Indicator</w:t>
            </w:r>
            <w:r>
              <w:rPr>
                <w:color w:val="231F20"/>
                <w:spacing w:val="8"/>
                <w:w w:val="105"/>
              </w:rPr>
              <w:t> </w:t>
            </w:r>
            <w:r>
              <w:rPr>
                <w:color w:val="231F20"/>
                <w:w w:val="105"/>
              </w:rPr>
              <w:t>4</w:t>
              <w:tab/>
              <w:t>Overturn Rate</w:t>
            </w:r>
            <w:r>
              <w:rPr>
                <w:color w:val="231F20"/>
                <w:spacing w:val="15"/>
                <w:w w:val="105"/>
              </w:rPr>
              <w:t> </w:t>
            </w:r>
            <w:r>
              <w:rPr>
                <w:color w:val="231F20"/>
                <w:w w:val="105"/>
              </w:rPr>
              <w:t>on Appeal</w:t>
              <w:tab/>
              <w:t>27</w:t>
            </w:r>
          </w:hyperlink>
        </w:p>
        <w:p>
          <w:pPr>
            <w:pStyle w:val="TOC2"/>
            <w:tabs>
              <w:tab w:pos="3401" w:val="left" w:leader="none"/>
              <w:tab w:pos="10147" w:val="right" w:leader="none"/>
            </w:tabs>
          </w:pPr>
          <w:hyperlink w:history="true" w:anchor="_TOC_250001">
            <w:r>
              <w:rPr>
                <w:color w:val="231F20"/>
                <w:w w:val="105"/>
              </w:rPr>
              <w:t>Indicator</w:t>
            </w:r>
            <w:r>
              <w:rPr>
                <w:color w:val="231F20"/>
                <w:spacing w:val="8"/>
                <w:w w:val="105"/>
              </w:rPr>
              <w:t> </w:t>
            </w:r>
            <w:r>
              <w:rPr>
                <w:color w:val="231F20"/>
                <w:w w:val="105"/>
              </w:rPr>
              <w:t>5</w:t>
              <w:tab/>
              <w:t>Percentage of Cases that are Granted a Court</w:t>
            </w:r>
            <w:r>
              <w:rPr>
                <w:color w:val="231F20"/>
                <w:spacing w:val="46"/>
                <w:w w:val="105"/>
              </w:rPr>
              <w:t> </w:t>
            </w:r>
            <w:r>
              <w:rPr>
                <w:color w:val="231F20"/>
                <w:spacing w:val="-4"/>
                <w:w w:val="105"/>
              </w:rPr>
              <w:t>Fee</w:t>
            </w:r>
            <w:r>
              <w:rPr>
                <w:color w:val="231F20"/>
                <w:spacing w:val="-1"/>
                <w:w w:val="105"/>
              </w:rPr>
              <w:t> </w:t>
            </w:r>
            <w:r>
              <w:rPr>
                <w:color w:val="231F20"/>
                <w:spacing w:val="-3"/>
                <w:w w:val="105"/>
              </w:rPr>
              <w:t>Waiver</w:t>
              <w:tab/>
            </w:r>
            <w:r>
              <w:rPr>
                <w:color w:val="231F20"/>
                <w:w w:val="105"/>
              </w:rPr>
              <w:t>29</w:t>
            </w:r>
          </w:hyperlink>
        </w:p>
        <w:p>
          <w:pPr>
            <w:pStyle w:val="TOC2"/>
            <w:tabs>
              <w:tab w:pos="3401" w:val="left" w:leader="none"/>
              <w:tab w:pos="10147" w:val="right" w:leader="none"/>
            </w:tabs>
            <w:spacing w:before="98"/>
          </w:pPr>
          <w:hyperlink w:history="true" w:anchor="_TOC_250000">
            <w:r>
              <w:rPr>
                <w:color w:val="231F20"/>
                <w:w w:val="105"/>
              </w:rPr>
              <w:t>Indicator</w:t>
            </w:r>
            <w:r>
              <w:rPr>
                <w:color w:val="231F20"/>
                <w:spacing w:val="8"/>
                <w:w w:val="105"/>
              </w:rPr>
              <w:t> </w:t>
            </w:r>
            <w:r>
              <w:rPr>
                <w:color w:val="231F20"/>
                <w:w w:val="105"/>
              </w:rPr>
              <w:t>7</w:t>
              <w:tab/>
              <w:t>Percentage of Cases Where a </w:t>
            </w:r>
            <w:r>
              <w:rPr>
                <w:color w:val="231F20"/>
                <w:spacing w:val="-4"/>
                <w:w w:val="105"/>
              </w:rPr>
              <w:t>Party </w:t>
            </w:r>
            <w:r>
              <w:rPr>
                <w:color w:val="231F20"/>
                <w:w w:val="105"/>
              </w:rPr>
              <w:t>Receives </w:t>
            </w:r>
            <w:r>
              <w:rPr>
                <w:color w:val="231F20"/>
                <w:spacing w:val="0"/>
                <w:w w:val="105"/>
              </w:rPr>
              <w:t> </w:t>
            </w:r>
            <w:r>
              <w:rPr>
                <w:color w:val="231F20"/>
                <w:w w:val="105"/>
              </w:rPr>
              <w:t>Legal Aid</w:t>
              <w:tab/>
              <w:t>31</w:t>
            </w:r>
          </w:hyperlink>
        </w:p>
        <w:p>
          <w:pPr>
            <w:pStyle w:val="TOC2"/>
            <w:tabs>
              <w:tab w:pos="3401" w:val="left" w:leader="none"/>
              <w:tab w:pos="10147" w:val="right" w:leader="none"/>
            </w:tabs>
          </w:pPr>
          <w:r>
            <w:rPr>
              <w:color w:val="231F20"/>
              <w:w w:val="105"/>
            </w:rPr>
            <w:t>Indicator</w:t>
          </w:r>
          <w:r>
            <w:rPr>
              <w:color w:val="231F20"/>
              <w:spacing w:val="8"/>
              <w:w w:val="105"/>
            </w:rPr>
            <w:t> </w:t>
          </w:r>
          <w:r>
            <w:rPr>
              <w:color w:val="231F20"/>
              <w:w w:val="105"/>
            </w:rPr>
            <w:t>8</w:t>
            <w:tab/>
            <w:t>Documented Process for Receiving</w:t>
          </w:r>
          <w:r>
            <w:rPr>
              <w:color w:val="231F20"/>
              <w:spacing w:val="33"/>
              <w:w w:val="105"/>
            </w:rPr>
            <w:t> </w:t>
          </w:r>
          <w:r>
            <w:rPr>
              <w:color w:val="231F20"/>
              <w:w w:val="105"/>
            </w:rPr>
            <w:t>and</w:t>
          </w:r>
          <w:r>
            <w:rPr>
              <w:color w:val="231F20"/>
              <w:spacing w:val="7"/>
              <w:w w:val="105"/>
            </w:rPr>
            <w:t> </w:t>
          </w:r>
          <w:r>
            <w:rPr>
              <w:color w:val="231F20"/>
              <w:w w:val="105"/>
            </w:rPr>
            <w:t>Processing</w:t>
            <w:tab/>
            <w:t>34</w:t>
          </w:r>
        </w:p>
        <w:p>
          <w:pPr>
            <w:pStyle w:val="TOC4"/>
          </w:pPr>
          <w:r>
            <w:rPr>
              <w:color w:val="231F20"/>
              <w:w w:val="110"/>
            </w:rPr>
            <w:t>a Complaint that is Publicly Available</w:t>
          </w:r>
        </w:p>
        <w:p>
          <w:pPr>
            <w:pStyle w:val="TOC2"/>
            <w:tabs>
              <w:tab w:pos="10147" w:val="right" w:leader="none"/>
            </w:tabs>
            <w:spacing w:before="98"/>
          </w:pPr>
          <w:r>
            <w:rPr>
              <w:color w:val="231F20"/>
              <w:w w:val="105"/>
            </w:rPr>
            <w:t>Indicator 13   Court produces or contributes to an Annual</w:t>
          </w:r>
          <w:r>
            <w:rPr>
              <w:color w:val="231F20"/>
              <w:spacing w:val="40"/>
              <w:w w:val="105"/>
            </w:rPr>
            <w:t> </w:t>
          </w:r>
          <w:r>
            <w:rPr>
              <w:color w:val="231F20"/>
              <w:w w:val="105"/>
            </w:rPr>
            <w:t>Report</w:t>
          </w:r>
          <w:r>
            <w:rPr>
              <w:color w:val="231F20"/>
              <w:spacing w:val="5"/>
              <w:w w:val="105"/>
            </w:rPr>
            <w:t> </w:t>
          </w:r>
          <w:r>
            <w:rPr>
              <w:color w:val="231F20"/>
              <w:w w:val="105"/>
            </w:rPr>
            <w:t>that</w:t>
            <w:tab/>
            <w:t>38</w:t>
          </w:r>
        </w:p>
        <w:p>
          <w:pPr>
            <w:pStyle w:val="TOC4"/>
          </w:pPr>
          <w:r>
            <w:rPr>
              <w:color w:val="231F20"/>
              <w:w w:val="105"/>
            </w:rPr>
            <w:t>is publicly available in the following year</w:t>
          </w:r>
        </w:p>
        <w:p>
          <w:pPr>
            <w:pStyle w:val="TOC3"/>
            <w:tabs>
              <w:tab w:pos="10147" w:val="right" w:leader="none"/>
            </w:tabs>
          </w:pPr>
          <w:r>
            <w:rPr/>
            <w:pict>
              <v:group style="position:absolute;margin-left:85.039398pt;margin-top:11.016346pt;width:42.55pt;height:15.6pt;mso-position-horizontal-relative:page;mso-position-vertical-relative:paragraph;z-index:1408" coordorigin="1701,220" coordsize="851,312">
                <v:shape style="position:absolute;left:1700;top:220;width:851;height:312" coordorigin="1701,220" coordsize="851,312" path="m2551,220l1701,220,1701,532,2431,532,2501,530,2536,517,2549,482,2551,412,2551,220xe" filled="true" fillcolor="#b31f35" stroked="false">
                  <v:path arrowok="t"/>
                  <v:fill type="solid"/>
                </v:shape>
                <v:shape style="position:absolute;left:1700;top:220;width:851;height:312" type="#_x0000_t202" filled="false" stroked="false">
                  <v:textbox inset="0,0,0,0">
                    <w:txbxContent>
                      <w:p>
                        <w:pPr>
                          <w:spacing w:before="19"/>
                          <w:ind w:left="85" w:right="0" w:firstLine="0"/>
                          <w:jc w:val="left"/>
                          <w:rPr>
                            <w:b/>
                            <w:sz w:val="21"/>
                          </w:rPr>
                        </w:pPr>
                        <w:r>
                          <w:rPr>
                            <w:b/>
                            <w:color w:val="FFFFFF"/>
                            <w:w w:val="105"/>
                            <w:sz w:val="21"/>
                          </w:rPr>
                          <w:t>Annex</w:t>
                        </w:r>
                      </w:p>
                    </w:txbxContent>
                  </v:textbox>
                  <w10:wrap type="none"/>
                </v:shape>
                <w10:wrap type="none"/>
              </v:group>
            </w:pict>
          </w:r>
          <w:r>
            <w:rPr>
              <w:color w:val="231F20"/>
              <w:w w:val="110"/>
            </w:rPr>
            <w:t>Cook</w:t>
          </w:r>
          <w:r>
            <w:rPr>
              <w:color w:val="231F20"/>
              <w:spacing w:val="3"/>
              <w:w w:val="110"/>
            </w:rPr>
            <w:t> </w:t>
          </w:r>
          <w:r>
            <w:rPr>
              <w:color w:val="231F20"/>
              <w:w w:val="110"/>
            </w:rPr>
            <w:t>Island</w:t>
          </w:r>
          <w:r>
            <w:rPr>
              <w:color w:val="231F20"/>
              <w:spacing w:val="3"/>
              <w:w w:val="110"/>
            </w:rPr>
            <w:t> </w:t>
          </w:r>
          <w:r>
            <w:rPr>
              <w:color w:val="231F20"/>
              <w:w w:val="110"/>
            </w:rPr>
            <w:t>Indicators</w:t>
            <w:tab/>
            <w:t>40</w:t>
          </w:r>
        </w:p>
      </w:sdtContent>
    </w:sdt>
    <w:p>
      <w:pPr>
        <w:spacing w:after="0"/>
        <w:sectPr>
          <w:pgSz w:w="11910" w:h="16840"/>
          <w:pgMar w:top="540" w:bottom="280" w:left="0" w:right="0"/>
        </w:sectPr>
      </w:pPr>
    </w:p>
    <w:p>
      <w:pPr>
        <w:tabs>
          <w:tab w:pos="1700" w:val="left" w:leader="none"/>
        </w:tabs>
        <w:spacing w:before="65"/>
        <w:ind w:left="716" w:right="0" w:firstLine="0"/>
        <w:jc w:val="left"/>
        <w:rPr>
          <w:b/>
          <w:sz w:val="21"/>
        </w:rPr>
      </w:pPr>
      <w:r>
        <w:rPr/>
        <w:drawing>
          <wp:anchor distT="0" distB="0" distL="0" distR="0" allowOverlap="1" layoutInCell="1" locked="0" behindDoc="1" simplePos="0" relativeHeight="268237271">
            <wp:simplePos x="0" y="0"/>
            <wp:positionH relativeFrom="page">
              <wp:posOffset>0</wp:posOffset>
            </wp:positionH>
            <wp:positionV relativeFrom="paragraph">
              <wp:posOffset>373881</wp:posOffset>
            </wp:positionV>
            <wp:extent cx="7559992" cy="143992"/>
            <wp:effectExtent l="0" t="0" r="0" b="0"/>
            <wp:wrapNone/>
            <wp:docPr id="13" name="image39.png" descr=""/>
            <wp:cNvGraphicFramePr>
              <a:graphicFrameLocks noChangeAspect="1"/>
            </wp:cNvGraphicFramePr>
            <a:graphic>
              <a:graphicData uri="http://schemas.openxmlformats.org/drawingml/2006/picture">
                <pic:pic>
                  <pic:nvPicPr>
                    <pic:cNvPr id="14"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4</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spacing w:before="8"/>
        <w:rPr>
          <w:b/>
          <w:sz w:val="25"/>
        </w:rPr>
      </w:pPr>
    </w:p>
    <w:p>
      <w:pPr>
        <w:spacing w:before="80"/>
        <w:ind w:left="1700" w:right="0" w:firstLine="0"/>
        <w:jc w:val="left"/>
        <w:rPr>
          <w:sz w:val="60"/>
        </w:rPr>
      </w:pPr>
      <w:r>
        <w:rPr>
          <w:color w:val="0F6161"/>
          <w:w w:val="105"/>
          <w:sz w:val="60"/>
        </w:rPr>
        <w:t>Foreword</w:t>
      </w:r>
    </w:p>
    <w:p>
      <w:pPr>
        <w:pStyle w:val="BodyText"/>
        <w:spacing w:line="252" w:lineRule="auto" w:before="193"/>
        <w:ind w:left="1700" w:right="1697"/>
        <w:jc w:val="both"/>
      </w:pPr>
      <w:r>
        <w:rPr>
          <w:color w:val="231F20"/>
          <w:w w:val="105"/>
        </w:rPr>
        <w:t>In Apia, Samoa in March 2012, Chief Justices endorsed the recommendations in the Regional Justice Performance Framework in which the Chief Justices of the countries participating in the Pacific Judicial Development Programme agreed to progressively build the capacity of their judicial and court staff colleagues to publish court Annual Reports. This followed a meeting of Chief Justices in Rarotonga, in the Cook Islands, in mid-2011 where a range of possible court performance measures were considered before the Chief Justices agreed upon the 15 Cook Island Indicators.</w:t>
      </w:r>
    </w:p>
    <w:p>
      <w:pPr>
        <w:pStyle w:val="BodyText"/>
        <w:spacing w:line="252" w:lineRule="auto" w:before="176"/>
        <w:ind w:left="1700" w:right="1698"/>
        <w:jc w:val="both"/>
      </w:pPr>
      <w:r>
        <w:rPr>
          <w:color w:val="231F20"/>
          <w:w w:val="105"/>
        </w:rPr>
        <w:t>The Cook Island Indicators were chosen by PJDP Chief Justices as they represented essential data that jurisdictions, whether large or small, should ideally have the capacity to collect, analyse and present in their annual reports.</w:t>
      </w:r>
    </w:p>
    <w:p>
      <w:pPr>
        <w:pStyle w:val="BodyText"/>
        <w:spacing w:line="252" w:lineRule="auto" w:before="172"/>
        <w:ind w:left="1700" w:right="1698"/>
        <w:jc w:val="both"/>
      </w:pPr>
      <w:r>
        <w:rPr>
          <w:color w:val="231F20"/>
          <w:spacing w:val="-3"/>
          <w:w w:val="105"/>
        </w:rPr>
        <w:t>This</w:t>
      </w:r>
      <w:r>
        <w:rPr>
          <w:color w:val="231F20"/>
          <w:spacing w:val="-9"/>
          <w:w w:val="105"/>
        </w:rPr>
        <w:t> </w:t>
      </w:r>
      <w:r>
        <w:rPr>
          <w:color w:val="231F20"/>
          <w:w w:val="105"/>
        </w:rPr>
        <w:t>represents</w:t>
      </w:r>
      <w:r>
        <w:rPr>
          <w:color w:val="231F20"/>
          <w:spacing w:val="-9"/>
          <w:w w:val="105"/>
        </w:rPr>
        <w:t> </w:t>
      </w:r>
      <w:r>
        <w:rPr>
          <w:color w:val="231F20"/>
          <w:w w:val="105"/>
        </w:rPr>
        <w:t>the</w:t>
      </w:r>
      <w:r>
        <w:rPr>
          <w:color w:val="231F20"/>
          <w:spacing w:val="-9"/>
          <w:w w:val="105"/>
        </w:rPr>
        <w:t> </w:t>
      </w:r>
      <w:r>
        <w:rPr>
          <w:color w:val="231F20"/>
          <w:w w:val="105"/>
        </w:rPr>
        <w:t>third</w:t>
      </w:r>
      <w:r>
        <w:rPr>
          <w:color w:val="231F20"/>
          <w:spacing w:val="-9"/>
          <w:w w:val="105"/>
        </w:rPr>
        <w:t> </w:t>
      </w:r>
      <w:r>
        <w:rPr>
          <w:color w:val="231F20"/>
          <w:w w:val="105"/>
        </w:rPr>
        <w:t>Court</w:t>
      </w:r>
      <w:r>
        <w:rPr>
          <w:color w:val="231F20"/>
          <w:spacing w:val="-9"/>
          <w:w w:val="105"/>
        </w:rPr>
        <w:t> </w:t>
      </w:r>
      <w:r>
        <w:rPr>
          <w:color w:val="231F20"/>
          <w:w w:val="105"/>
        </w:rPr>
        <w:t>Performance</w:t>
      </w:r>
      <w:r>
        <w:rPr>
          <w:color w:val="231F20"/>
          <w:spacing w:val="-21"/>
          <w:w w:val="105"/>
        </w:rPr>
        <w:t> </w:t>
      </w:r>
      <w:r>
        <w:rPr>
          <w:color w:val="231F20"/>
          <w:spacing w:val="-4"/>
          <w:w w:val="105"/>
        </w:rPr>
        <w:t>Trend</w:t>
      </w:r>
      <w:r>
        <w:rPr>
          <w:color w:val="231F20"/>
          <w:spacing w:val="-9"/>
          <w:w w:val="105"/>
        </w:rPr>
        <w:t> </w:t>
      </w:r>
      <w:r>
        <w:rPr>
          <w:color w:val="231F20"/>
          <w:w w:val="105"/>
        </w:rPr>
        <w:t>Report</w:t>
      </w:r>
      <w:r>
        <w:rPr>
          <w:color w:val="231F20"/>
          <w:spacing w:val="-9"/>
          <w:w w:val="105"/>
        </w:rPr>
        <w:t> </w:t>
      </w:r>
      <w:r>
        <w:rPr>
          <w:color w:val="231F20"/>
          <w:w w:val="105"/>
        </w:rPr>
        <w:t>updating</w:t>
      </w:r>
      <w:r>
        <w:rPr>
          <w:color w:val="231F20"/>
          <w:spacing w:val="-9"/>
          <w:w w:val="105"/>
        </w:rPr>
        <w:t> </w:t>
      </w:r>
      <w:r>
        <w:rPr>
          <w:color w:val="231F20"/>
          <w:w w:val="105"/>
        </w:rPr>
        <w:t>the</w:t>
      </w:r>
      <w:r>
        <w:rPr>
          <w:color w:val="231F20"/>
          <w:spacing w:val="-9"/>
          <w:w w:val="105"/>
        </w:rPr>
        <w:t> </w:t>
      </w:r>
      <w:r>
        <w:rPr>
          <w:color w:val="231F20"/>
          <w:w w:val="105"/>
        </w:rPr>
        <w:t>PJDP</w:t>
      </w:r>
      <w:r>
        <w:rPr>
          <w:color w:val="231F20"/>
          <w:spacing w:val="-9"/>
          <w:w w:val="105"/>
        </w:rPr>
        <w:t> </w:t>
      </w:r>
      <w:r>
        <w:rPr>
          <w:color w:val="231F20"/>
          <w:w w:val="105"/>
        </w:rPr>
        <w:t>Court</w:t>
      </w:r>
      <w:r>
        <w:rPr>
          <w:color w:val="231F20"/>
          <w:spacing w:val="-9"/>
          <w:w w:val="105"/>
        </w:rPr>
        <w:t> </w:t>
      </w:r>
      <w:r>
        <w:rPr>
          <w:color w:val="231F20"/>
          <w:w w:val="105"/>
        </w:rPr>
        <w:t>Performance Baseline Report of 2011 and presents a picture of the significant improvements in court annual reporting over the last seven years. </w:t>
      </w:r>
      <w:r>
        <w:rPr>
          <w:color w:val="231F20"/>
          <w:spacing w:val="-4"/>
          <w:w w:val="105"/>
        </w:rPr>
        <w:t>The </w:t>
      </w:r>
      <w:r>
        <w:rPr>
          <w:color w:val="231F20"/>
          <w:w w:val="105"/>
        </w:rPr>
        <w:t>Chief Justices and their colleagues in the Cook Islands, the</w:t>
      </w:r>
      <w:r>
        <w:rPr>
          <w:color w:val="231F20"/>
          <w:spacing w:val="-4"/>
          <w:w w:val="105"/>
        </w:rPr>
        <w:t> </w:t>
      </w:r>
      <w:r>
        <w:rPr>
          <w:color w:val="231F20"/>
          <w:w w:val="105"/>
        </w:rPr>
        <w:t>Republic</w:t>
      </w:r>
      <w:r>
        <w:rPr>
          <w:color w:val="231F20"/>
          <w:spacing w:val="-4"/>
          <w:w w:val="105"/>
        </w:rPr>
        <w:t> </w:t>
      </w:r>
      <w:r>
        <w:rPr>
          <w:color w:val="231F20"/>
          <w:w w:val="105"/>
        </w:rPr>
        <w:t>of</w:t>
      </w:r>
      <w:r>
        <w:rPr>
          <w:color w:val="231F20"/>
          <w:spacing w:val="-4"/>
          <w:w w:val="105"/>
        </w:rPr>
        <w:t> </w:t>
      </w:r>
      <w:r>
        <w:rPr>
          <w:color w:val="231F20"/>
          <w:w w:val="105"/>
        </w:rPr>
        <w:t>the</w:t>
      </w:r>
      <w:r>
        <w:rPr>
          <w:color w:val="231F20"/>
          <w:spacing w:val="-4"/>
          <w:w w:val="105"/>
        </w:rPr>
        <w:t> </w:t>
      </w:r>
      <w:r>
        <w:rPr>
          <w:color w:val="231F20"/>
          <w:w w:val="105"/>
        </w:rPr>
        <w:t>Marshall</w:t>
      </w:r>
      <w:r>
        <w:rPr>
          <w:color w:val="231F20"/>
          <w:spacing w:val="-4"/>
          <w:w w:val="105"/>
        </w:rPr>
        <w:t> </w:t>
      </w:r>
      <w:r>
        <w:rPr>
          <w:color w:val="231F20"/>
          <w:w w:val="105"/>
        </w:rPr>
        <w:t>Islands,</w:t>
      </w:r>
      <w:r>
        <w:rPr>
          <w:color w:val="231F20"/>
          <w:spacing w:val="-4"/>
          <w:w w:val="105"/>
        </w:rPr>
        <w:t> </w:t>
      </w:r>
      <w:r>
        <w:rPr>
          <w:color w:val="231F20"/>
          <w:w w:val="105"/>
        </w:rPr>
        <w:t>the</w:t>
      </w:r>
      <w:r>
        <w:rPr>
          <w:color w:val="231F20"/>
          <w:spacing w:val="-4"/>
          <w:w w:val="105"/>
        </w:rPr>
        <w:t> </w:t>
      </w:r>
      <w:r>
        <w:rPr>
          <w:color w:val="231F20"/>
          <w:w w:val="105"/>
        </w:rPr>
        <w:t>Republic</w:t>
      </w:r>
      <w:r>
        <w:rPr>
          <w:color w:val="231F20"/>
          <w:spacing w:val="-4"/>
          <w:w w:val="105"/>
        </w:rPr>
        <w:t> </w:t>
      </w:r>
      <w:r>
        <w:rPr>
          <w:color w:val="231F20"/>
          <w:w w:val="105"/>
        </w:rPr>
        <w:t>of</w:t>
      </w:r>
      <w:r>
        <w:rPr>
          <w:color w:val="231F20"/>
          <w:spacing w:val="-4"/>
          <w:w w:val="105"/>
        </w:rPr>
        <w:t> Palau, Papua </w:t>
      </w:r>
      <w:r>
        <w:rPr>
          <w:color w:val="231F20"/>
          <w:w w:val="105"/>
        </w:rPr>
        <w:t>New</w:t>
      </w:r>
      <w:r>
        <w:rPr>
          <w:color w:val="231F20"/>
          <w:spacing w:val="-4"/>
          <w:w w:val="105"/>
        </w:rPr>
        <w:t> </w:t>
      </w:r>
      <w:r>
        <w:rPr>
          <w:color w:val="231F20"/>
          <w:w w:val="105"/>
        </w:rPr>
        <w:t>Guinea</w:t>
      </w:r>
      <w:r>
        <w:rPr>
          <w:color w:val="231F20"/>
          <w:spacing w:val="-4"/>
          <w:w w:val="105"/>
        </w:rPr>
        <w:t> </w:t>
      </w:r>
      <w:r>
        <w:rPr>
          <w:color w:val="231F20"/>
          <w:w w:val="105"/>
        </w:rPr>
        <w:t>and</w:t>
      </w:r>
      <w:r>
        <w:rPr>
          <w:color w:val="231F20"/>
          <w:spacing w:val="-21"/>
          <w:w w:val="105"/>
        </w:rPr>
        <w:t> </w:t>
      </w:r>
      <w:r>
        <w:rPr>
          <w:color w:val="231F20"/>
          <w:spacing w:val="-3"/>
          <w:w w:val="105"/>
        </w:rPr>
        <w:t>Tokelau</w:t>
      </w:r>
      <w:r>
        <w:rPr>
          <w:color w:val="231F20"/>
          <w:spacing w:val="-4"/>
          <w:w w:val="105"/>
        </w:rPr>
        <w:t> </w:t>
      </w:r>
      <w:r>
        <w:rPr>
          <w:color w:val="231F20"/>
          <w:spacing w:val="-3"/>
          <w:w w:val="105"/>
        </w:rPr>
        <w:t>have </w:t>
      </w:r>
      <w:r>
        <w:rPr>
          <w:color w:val="231F20"/>
          <w:w w:val="105"/>
        </w:rPr>
        <w:t>contributed</w:t>
      </w:r>
      <w:r>
        <w:rPr>
          <w:color w:val="231F20"/>
          <w:spacing w:val="-11"/>
          <w:w w:val="105"/>
        </w:rPr>
        <w:t> </w:t>
      </w:r>
      <w:r>
        <w:rPr>
          <w:color w:val="231F20"/>
          <w:w w:val="105"/>
        </w:rPr>
        <w:t>considerably</w:t>
      </w:r>
      <w:r>
        <w:rPr>
          <w:color w:val="231F20"/>
          <w:spacing w:val="-11"/>
          <w:w w:val="105"/>
        </w:rPr>
        <w:t> </w:t>
      </w:r>
      <w:r>
        <w:rPr>
          <w:color w:val="231F20"/>
          <w:w w:val="105"/>
        </w:rPr>
        <w:t>to</w:t>
      </w:r>
      <w:r>
        <w:rPr>
          <w:color w:val="231F20"/>
          <w:spacing w:val="-11"/>
          <w:w w:val="105"/>
        </w:rPr>
        <w:t> </w:t>
      </w:r>
      <w:r>
        <w:rPr>
          <w:color w:val="231F20"/>
          <w:w w:val="105"/>
        </w:rPr>
        <w:t>many</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tools</w:t>
      </w:r>
      <w:r>
        <w:rPr>
          <w:color w:val="231F20"/>
          <w:spacing w:val="-11"/>
          <w:w w:val="105"/>
        </w:rPr>
        <w:t> </w:t>
      </w:r>
      <w:r>
        <w:rPr>
          <w:color w:val="231F20"/>
          <w:w w:val="105"/>
        </w:rPr>
        <w:t>and</w:t>
      </w:r>
      <w:r>
        <w:rPr>
          <w:color w:val="231F20"/>
          <w:spacing w:val="-11"/>
          <w:w w:val="105"/>
        </w:rPr>
        <w:t> </w:t>
      </w:r>
      <w:r>
        <w:rPr>
          <w:color w:val="231F20"/>
          <w:w w:val="105"/>
        </w:rPr>
        <w:t>checklists</w:t>
      </w:r>
      <w:r>
        <w:rPr>
          <w:color w:val="231F20"/>
          <w:spacing w:val="-11"/>
          <w:w w:val="105"/>
        </w:rPr>
        <w:t> </w:t>
      </w:r>
      <w:r>
        <w:rPr>
          <w:color w:val="231F20"/>
          <w:w w:val="105"/>
        </w:rPr>
        <w:t>that</w:t>
      </w:r>
      <w:r>
        <w:rPr>
          <w:color w:val="231F20"/>
          <w:spacing w:val="-11"/>
          <w:w w:val="105"/>
        </w:rPr>
        <w:t> </w:t>
      </w:r>
      <w:r>
        <w:rPr>
          <w:color w:val="231F20"/>
          <w:w w:val="105"/>
        </w:rPr>
        <w:t>are</w:t>
      </w:r>
      <w:r>
        <w:rPr>
          <w:color w:val="231F20"/>
          <w:spacing w:val="-11"/>
          <w:w w:val="105"/>
        </w:rPr>
        <w:t> </w:t>
      </w:r>
      <w:r>
        <w:rPr>
          <w:color w:val="231F20"/>
          <w:w w:val="105"/>
        </w:rPr>
        <w:t>part</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Court</w:t>
      </w:r>
      <w:r>
        <w:rPr>
          <w:color w:val="231F20"/>
          <w:spacing w:val="-11"/>
          <w:w w:val="105"/>
        </w:rPr>
        <w:t> </w:t>
      </w:r>
      <w:r>
        <w:rPr>
          <w:color w:val="231F20"/>
          <w:w w:val="105"/>
        </w:rPr>
        <w:t>Reporting </w:t>
      </w:r>
      <w:r>
        <w:rPr>
          <w:color w:val="231F20"/>
          <w:spacing w:val="-3"/>
          <w:w w:val="105"/>
        </w:rPr>
        <w:t>Toolkit </w:t>
      </w:r>
      <w:r>
        <w:rPr>
          <w:color w:val="231F20"/>
          <w:w w:val="105"/>
        </w:rPr>
        <w:t>and a great debt is owed to all PJDP Chief Justices for their generous contributions over the last seven</w:t>
      </w:r>
      <w:r>
        <w:rPr>
          <w:color w:val="231F20"/>
          <w:spacing w:val="20"/>
          <w:w w:val="105"/>
        </w:rPr>
        <w:t> </w:t>
      </w:r>
      <w:r>
        <w:rPr>
          <w:color w:val="231F20"/>
          <w:w w:val="105"/>
        </w:rPr>
        <w:t>years.</w:t>
      </w:r>
    </w:p>
    <w:p>
      <w:pPr>
        <w:pStyle w:val="BodyText"/>
        <w:spacing w:line="252" w:lineRule="auto" w:before="176"/>
        <w:ind w:left="1700" w:right="1698"/>
        <w:jc w:val="both"/>
      </w:pPr>
      <w:r>
        <w:rPr>
          <w:color w:val="231F20"/>
          <w:w w:val="105"/>
        </w:rPr>
        <w:t>Reflecting</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last</w:t>
      </w:r>
      <w:r>
        <w:rPr>
          <w:color w:val="231F20"/>
          <w:spacing w:val="-5"/>
          <w:w w:val="105"/>
        </w:rPr>
        <w:t> </w:t>
      </w:r>
      <w:r>
        <w:rPr>
          <w:color w:val="231F20"/>
          <w:w w:val="105"/>
        </w:rPr>
        <w:t>seven</w:t>
      </w:r>
      <w:r>
        <w:rPr>
          <w:color w:val="231F20"/>
          <w:spacing w:val="-5"/>
          <w:w w:val="105"/>
        </w:rPr>
        <w:t> </w:t>
      </w:r>
      <w:r>
        <w:rPr>
          <w:color w:val="231F20"/>
          <w:w w:val="105"/>
        </w:rPr>
        <w:t>years,</w:t>
      </w:r>
      <w:r>
        <w:rPr>
          <w:color w:val="231F20"/>
          <w:spacing w:val="-5"/>
          <w:w w:val="105"/>
        </w:rPr>
        <w:t> </w:t>
      </w:r>
      <w:r>
        <w:rPr>
          <w:color w:val="231F20"/>
          <w:w w:val="105"/>
        </w:rPr>
        <w:t>one</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most</w:t>
      </w:r>
      <w:r>
        <w:rPr>
          <w:color w:val="231F20"/>
          <w:spacing w:val="-5"/>
          <w:w w:val="105"/>
        </w:rPr>
        <w:t> </w:t>
      </w:r>
      <w:r>
        <w:rPr>
          <w:color w:val="231F20"/>
          <w:w w:val="105"/>
        </w:rPr>
        <w:t>striking</w:t>
      </w:r>
      <w:r>
        <w:rPr>
          <w:color w:val="231F20"/>
          <w:spacing w:val="-5"/>
          <w:w w:val="105"/>
        </w:rPr>
        <w:t> </w:t>
      </w:r>
      <w:r>
        <w:rPr>
          <w:color w:val="231F20"/>
          <w:w w:val="105"/>
        </w:rPr>
        <w:t>observations</w:t>
      </w:r>
      <w:r>
        <w:rPr>
          <w:color w:val="231F20"/>
          <w:spacing w:val="-5"/>
          <w:w w:val="105"/>
        </w:rPr>
        <w:t> </w:t>
      </w:r>
      <w:r>
        <w:rPr>
          <w:color w:val="231F20"/>
          <w:w w:val="105"/>
        </w:rPr>
        <w:t>is</w:t>
      </w:r>
      <w:r>
        <w:rPr>
          <w:color w:val="231F20"/>
          <w:spacing w:val="-5"/>
          <w:w w:val="105"/>
        </w:rPr>
        <w:t> </w:t>
      </w:r>
      <w:r>
        <w:rPr>
          <w:color w:val="231F20"/>
          <w:w w:val="105"/>
        </w:rPr>
        <w:t>that</w:t>
      </w:r>
      <w:r>
        <w:rPr>
          <w:color w:val="231F20"/>
          <w:spacing w:val="-5"/>
          <w:w w:val="105"/>
        </w:rPr>
        <w:t> </w:t>
      </w:r>
      <w:r>
        <w:rPr>
          <w:color w:val="231F20"/>
          <w:w w:val="105"/>
        </w:rPr>
        <w:t>excellent</w:t>
      </w:r>
      <w:r>
        <w:rPr>
          <w:color w:val="231F20"/>
          <w:spacing w:val="-12"/>
          <w:w w:val="105"/>
        </w:rPr>
        <w:t> </w:t>
      </w:r>
      <w:r>
        <w:rPr>
          <w:color w:val="231F20"/>
          <w:w w:val="105"/>
        </w:rPr>
        <w:t>Annual Reports are constantly evolving and reflect the dynamism and innovations being introduced by the courts during the reporting</w:t>
      </w:r>
      <w:r>
        <w:rPr>
          <w:color w:val="231F20"/>
          <w:spacing w:val="33"/>
          <w:w w:val="105"/>
        </w:rPr>
        <w:t> </w:t>
      </w:r>
      <w:r>
        <w:rPr>
          <w:color w:val="231F20"/>
          <w:spacing w:val="-4"/>
          <w:w w:val="105"/>
        </w:rPr>
        <w:t>year.</w:t>
      </w:r>
    </w:p>
    <w:p>
      <w:pPr>
        <w:pStyle w:val="BodyText"/>
        <w:spacing w:before="5"/>
        <w:rPr>
          <w:sz w:val="23"/>
        </w:rPr>
      </w:pPr>
    </w:p>
    <w:p>
      <w:pPr>
        <w:pStyle w:val="Heading7"/>
        <w:spacing w:before="1"/>
        <w:ind w:left="1700"/>
      </w:pPr>
      <w:r>
        <w:rPr>
          <w:color w:val="231F20"/>
          <w:w w:val="105"/>
        </w:rPr>
        <w:t>Cate Sumner</w:t>
      </w:r>
    </w:p>
    <w:p>
      <w:pPr>
        <w:spacing w:before="32"/>
        <w:ind w:left="1700" w:right="0" w:firstLine="0"/>
        <w:jc w:val="left"/>
        <w:rPr>
          <w:sz w:val="19"/>
        </w:rPr>
      </w:pPr>
      <w:r>
        <w:rPr>
          <w:color w:val="231F20"/>
          <w:w w:val="115"/>
          <w:sz w:val="19"/>
        </w:rPr>
        <w:t>ANNUAL REPORTING ADVISER</w:t>
      </w:r>
    </w:p>
    <w:p>
      <w:pPr>
        <w:pStyle w:val="BodyText"/>
        <w:spacing w:line="412" w:lineRule="auto" w:before="19"/>
        <w:ind w:left="1700" w:right="6577"/>
      </w:pPr>
      <w:r>
        <w:rPr>
          <w:color w:val="231F20"/>
          <w:w w:val="105"/>
        </w:rPr>
        <w:t>Pacific Judicial Strengthening Initiative 24 May 2019</w:t>
      </w:r>
    </w:p>
    <w:p>
      <w:pPr>
        <w:spacing w:after="0" w:line="412" w:lineRule="auto"/>
        <w:sectPr>
          <w:pgSz w:w="11910" w:h="16840"/>
          <w:pgMar w:top="300" w:bottom="280" w:left="0" w:right="0"/>
        </w:sectPr>
      </w:pPr>
    </w:p>
    <w:p>
      <w:pPr>
        <w:tabs>
          <w:tab w:pos="11188"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98160"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5</w:t>
      </w:r>
    </w:p>
    <w:p>
      <w:pPr>
        <w:pStyle w:val="BodyText"/>
        <w:rPr>
          <w:sz w:val="46"/>
        </w:rPr>
      </w:pPr>
    </w:p>
    <w:p>
      <w:pPr>
        <w:pStyle w:val="BodyText"/>
        <w:spacing w:before="1"/>
        <w:rPr>
          <w:sz w:val="36"/>
        </w:rPr>
      </w:pPr>
    </w:p>
    <w:p>
      <w:pPr>
        <w:spacing w:before="0"/>
        <w:ind w:left="1700" w:right="0" w:firstLine="0"/>
        <w:jc w:val="left"/>
        <w:rPr>
          <w:sz w:val="40"/>
        </w:rPr>
      </w:pPr>
      <w:r>
        <w:rPr>
          <w:color w:val="0F6161"/>
          <w:w w:val="105"/>
          <w:sz w:val="40"/>
        </w:rPr>
        <w:t>Trend Report Contributors</w:t>
      </w:r>
    </w:p>
    <w:p>
      <w:pPr>
        <w:pStyle w:val="BodyText"/>
        <w:spacing w:before="11"/>
        <w:rPr>
          <w:sz w:val="24"/>
        </w:rPr>
      </w:pPr>
    </w:p>
    <w:p>
      <w:pPr>
        <w:pStyle w:val="BodyText"/>
        <w:spacing w:line="612" w:lineRule="auto" w:before="93"/>
        <w:ind w:left="1700" w:right="3006" w:firstLine="3288"/>
      </w:pPr>
      <w:r>
        <w:rPr/>
        <w:pict>
          <v:shape style="position:absolute;margin-left:85.039001pt;margin-top:3.560383pt;width:161.6pt;height:16.2pt;mso-position-horizontal-relative:page;mso-position-vertical-relative:paragraph;z-index:-198136" type="#_x0000_t202" filled="true" fillcolor="#65a5ae" stroked="false">
            <v:textbox inset="0,0,0,0">
              <w:txbxContent>
                <w:p>
                  <w:pPr>
                    <w:spacing w:before="21"/>
                    <w:ind w:left="56" w:right="0" w:firstLine="0"/>
                    <w:jc w:val="left"/>
                    <w:rPr>
                      <w:b/>
                      <w:sz w:val="21"/>
                    </w:rPr>
                  </w:pPr>
                  <w:r>
                    <w:rPr>
                      <w:b/>
                      <w:color w:val="231F20"/>
                      <w:w w:val="105"/>
                      <w:sz w:val="21"/>
                    </w:rPr>
                    <w:t>Research Coordinator and Author</w:t>
                  </w:r>
                </w:p>
              </w:txbxContent>
            </v:textbox>
            <v:fill opacity="26214f" type="solid"/>
            <w10:wrap type="none"/>
          </v:shape>
        </w:pict>
      </w:r>
      <w:r>
        <w:rPr/>
        <w:pict>
          <v:shape style="position:absolute;margin-left:85.039398pt;margin-top:65.922081pt;width:425.45pt;height:290.350pt;mso-position-horizontal-relative:page;mso-position-vertical-relative:paragraph;z-index:1504" type="#_x0000_t202" filled="false" stroked="false">
            <v:textbox inset="0,0,0,0">
              <w:txbxContent>
                <w:tbl>
                  <w:tblPr>
                    <w:tblW w:w="0" w:type="auto"/>
                    <w:jc w:val="left"/>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3378"/>
                    <w:gridCol w:w="5117"/>
                  </w:tblGrid>
                  <w:tr>
                    <w:trPr>
                      <w:trHeight w:val="376" w:hRule="atLeast"/>
                    </w:trPr>
                    <w:tc>
                      <w:tcPr>
                        <w:tcW w:w="3378" w:type="dxa"/>
                        <w:shd w:val="clear" w:color="auto" w:fill="B6CFD4"/>
                      </w:tcPr>
                      <w:p>
                        <w:pPr>
                          <w:pStyle w:val="TableParagraph"/>
                          <w:spacing w:before="68"/>
                          <w:ind w:left="136"/>
                          <w:rPr>
                            <w:b/>
                            <w:sz w:val="21"/>
                          </w:rPr>
                        </w:pPr>
                        <w:r>
                          <w:rPr>
                            <w:b/>
                            <w:color w:val="231F20"/>
                            <w:w w:val="105"/>
                            <w:sz w:val="21"/>
                          </w:rPr>
                          <w:t>PJSI Jurisdiction</w:t>
                        </w:r>
                      </w:p>
                    </w:tc>
                    <w:tc>
                      <w:tcPr>
                        <w:tcW w:w="5117" w:type="dxa"/>
                        <w:shd w:val="clear" w:color="auto" w:fill="B6CFD4"/>
                      </w:tcPr>
                      <w:p>
                        <w:pPr>
                          <w:pStyle w:val="TableParagraph"/>
                          <w:spacing w:before="68"/>
                          <w:ind w:left="136"/>
                          <w:rPr>
                            <w:b/>
                            <w:sz w:val="21"/>
                          </w:rPr>
                        </w:pPr>
                        <w:r>
                          <w:rPr>
                            <w:b/>
                            <w:color w:val="231F20"/>
                            <w:w w:val="105"/>
                            <w:sz w:val="21"/>
                          </w:rPr>
                          <w:t>Chief Justice</w:t>
                        </w:r>
                      </w:p>
                    </w:tc>
                  </w:tr>
                  <w:tr>
                    <w:trPr>
                      <w:trHeight w:val="376" w:hRule="atLeast"/>
                    </w:trPr>
                    <w:tc>
                      <w:tcPr>
                        <w:tcW w:w="3378" w:type="dxa"/>
                        <w:shd w:val="clear" w:color="auto" w:fill="DCE6E9"/>
                      </w:tcPr>
                      <w:p>
                        <w:pPr>
                          <w:pStyle w:val="TableParagraph"/>
                          <w:spacing w:before="68"/>
                          <w:ind w:left="136"/>
                          <w:rPr>
                            <w:sz w:val="21"/>
                          </w:rPr>
                        </w:pPr>
                        <w:r>
                          <w:rPr>
                            <w:color w:val="231F20"/>
                            <w:w w:val="110"/>
                            <w:sz w:val="21"/>
                          </w:rPr>
                          <w:t>Cook Islands</w:t>
                        </w:r>
                      </w:p>
                    </w:tc>
                    <w:tc>
                      <w:tcPr>
                        <w:tcW w:w="5117" w:type="dxa"/>
                      </w:tcPr>
                      <w:p>
                        <w:pPr>
                          <w:pStyle w:val="TableParagraph"/>
                          <w:spacing w:before="68"/>
                          <w:ind w:left="136"/>
                          <w:rPr>
                            <w:sz w:val="21"/>
                          </w:rPr>
                        </w:pPr>
                        <w:r>
                          <w:rPr>
                            <w:color w:val="231F20"/>
                            <w:w w:val="110"/>
                            <w:sz w:val="21"/>
                          </w:rPr>
                          <w:t>Hon. Chief Justice Sir Hugh Williams</w:t>
                        </w:r>
                      </w:p>
                    </w:tc>
                  </w:tr>
                  <w:tr>
                    <w:trPr>
                      <w:trHeight w:val="376" w:hRule="atLeast"/>
                    </w:trPr>
                    <w:tc>
                      <w:tcPr>
                        <w:tcW w:w="3378" w:type="dxa"/>
                        <w:shd w:val="clear" w:color="auto" w:fill="DCE6E9"/>
                      </w:tcPr>
                      <w:p>
                        <w:pPr>
                          <w:pStyle w:val="TableParagraph"/>
                          <w:spacing w:before="68"/>
                          <w:ind w:left="136"/>
                          <w:rPr>
                            <w:sz w:val="21"/>
                          </w:rPr>
                        </w:pPr>
                        <w:r>
                          <w:rPr>
                            <w:color w:val="231F20"/>
                            <w:sz w:val="21"/>
                          </w:rPr>
                          <w:t>Federated States of Micronesia</w:t>
                        </w:r>
                      </w:p>
                    </w:tc>
                    <w:tc>
                      <w:tcPr>
                        <w:tcW w:w="5117" w:type="dxa"/>
                      </w:tcPr>
                      <w:p>
                        <w:pPr>
                          <w:pStyle w:val="TableParagraph"/>
                          <w:spacing w:before="68"/>
                          <w:ind w:left="136"/>
                          <w:rPr>
                            <w:sz w:val="21"/>
                          </w:rPr>
                        </w:pPr>
                        <w:r>
                          <w:rPr>
                            <w:color w:val="231F20"/>
                            <w:w w:val="110"/>
                            <w:sz w:val="21"/>
                          </w:rPr>
                          <w:t>Hon. Chief Justice Dennis Yamase</w:t>
                        </w:r>
                      </w:p>
                    </w:tc>
                  </w:tr>
                  <w:tr>
                    <w:trPr>
                      <w:trHeight w:val="376" w:hRule="atLeast"/>
                    </w:trPr>
                    <w:tc>
                      <w:tcPr>
                        <w:tcW w:w="3378" w:type="dxa"/>
                        <w:shd w:val="clear" w:color="auto" w:fill="DCE6E9"/>
                      </w:tcPr>
                      <w:p>
                        <w:pPr>
                          <w:pStyle w:val="TableParagraph"/>
                          <w:spacing w:before="68"/>
                          <w:ind w:left="136"/>
                          <w:rPr>
                            <w:sz w:val="21"/>
                          </w:rPr>
                        </w:pPr>
                        <w:r>
                          <w:rPr>
                            <w:color w:val="231F20"/>
                            <w:w w:val="105"/>
                            <w:sz w:val="21"/>
                          </w:rPr>
                          <w:t>Kiribati</w:t>
                        </w:r>
                      </w:p>
                    </w:tc>
                    <w:tc>
                      <w:tcPr>
                        <w:tcW w:w="5117" w:type="dxa"/>
                      </w:tcPr>
                      <w:p>
                        <w:pPr>
                          <w:pStyle w:val="TableParagraph"/>
                          <w:spacing w:before="68"/>
                          <w:ind w:left="136"/>
                          <w:rPr>
                            <w:sz w:val="21"/>
                          </w:rPr>
                        </w:pPr>
                        <w:r>
                          <w:rPr>
                            <w:color w:val="231F20"/>
                            <w:w w:val="105"/>
                            <w:sz w:val="21"/>
                          </w:rPr>
                          <w:t>Hon. Chief Justice Sir John Muria</w:t>
                        </w:r>
                      </w:p>
                    </w:tc>
                  </w:tr>
                  <w:tr>
                    <w:trPr>
                      <w:trHeight w:val="376" w:hRule="atLeast"/>
                    </w:trPr>
                    <w:tc>
                      <w:tcPr>
                        <w:tcW w:w="3378" w:type="dxa"/>
                        <w:shd w:val="clear" w:color="auto" w:fill="DCE6E9"/>
                      </w:tcPr>
                      <w:p>
                        <w:pPr>
                          <w:pStyle w:val="TableParagraph"/>
                          <w:spacing w:before="68"/>
                          <w:ind w:left="136"/>
                          <w:rPr>
                            <w:sz w:val="21"/>
                          </w:rPr>
                        </w:pPr>
                        <w:r>
                          <w:rPr>
                            <w:color w:val="231F20"/>
                            <w:w w:val="105"/>
                            <w:sz w:val="21"/>
                          </w:rPr>
                          <w:t>Republic of Marshall Islands</w:t>
                        </w:r>
                      </w:p>
                    </w:tc>
                    <w:tc>
                      <w:tcPr>
                        <w:tcW w:w="5117" w:type="dxa"/>
                      </w:tcPr>
                      <w:p>
                        <w:pPr>
                          <w:pStyle w:val="TableParagraph"/>
                          <w:spacing w:before="68"/>
                          <w:ind w:left="136"/>
                          <w:rPr>
                            <w:sz w:val="21"/>
                          </w:rPr>
                        </w:pPr>
                        <w:r>
                          <w:rPr>
                            <w:color w:val="231F20"/>
                            <w:w w:val="105"/>
                            <w:sz w:val="21"/>
                          </w:rPr>
                          <w:t>Hon. Chief Justice Carl Ingram</w:t>
                        </w:r>
                      </w:p>
                    </w:tc>
                  </w:tr>
                  <w:tr>
                    <w:trPr>
                      <w:trHeight w:val="376" w:hRule="atLeast"/>
                    </w:trPr>
                    <w:tc>
                      <w:tcPr>
                        <w:tcW w:w="3378" w:type="dxa"/>
                        <w:shd w:val="clear" w:color="auto" w:fill="DCE6E9"/>
                      </w:tcPr>
                      <w:p>
                        <w:pPr>
                          <w:pStyle w:val="TableParagraph"/>
                          <w:spacing w:before="68"/>
                          <w:ind w:left="136"/>
                          <w:rPr>
                            <w:sz w:val="21"/>
                          </w:rPr>
                        </w:pPr>
                        <w:r>
                          <w:rPr>
                            <w:color w:val="231F20"/>
                            <w:w w:val="110"/>
                            <w:sz w:val="21"/>
                          </w:rPr>
                          <w:t>Nauru</w:t>
                        </w:r>
                      </w:p>
                    </w:tc>
                    <w:tc>
                      <w:tcPr>
                        <w:tcW w:w="5117" w:type="dxa"/>
                      </w:tcPr>
                      <w:p>
                        <w:pPr>
                          <w:pStyle w:val="TableParagraph"/>
                          <w:spacing w:before="68"/>
                          <w:ind w:left="136"/>
                          <w:rPr>
                            <w:sz w:val="21"/>
                          </w:rPr>
                        </w:pPr>
                        <w:r>
                          <w:rPr>
                            <w:color w:val="231F20"/>
                            <w:w w:val="105"/>
                            <w:sz w:val="21"/>
                          </w:rPr>
                          <w:t>Hon. Chief Justice Filimone Jitoko</w:t>
                        </w:r>
                      </w:p>
                    </w:tc>
                  </w:tr>
                  <w:tr>
                    <w:trPr>
                      <w:trHeight w:val="376" w:hRule="atLeast"/>
                    </w:trPr>
                    <w:tc>
                      <w:tcPr>
                        <w:tcW w:w="3378" w:type="dxa"/>
                        <w:shd w:val="clear" w:color="auto" w:fill="DCE6E9"/>
                      </w:tcPr>
                      <w:p>
                        <w:pPr>
                          <w:pStyle w:val="TableParagraph"/>
                          <w:spacing w:before="68"/>
                          <w:ind w:left="136"/>
                          <w:rPr>
                            <w:sz w:val="21"/>
                          </w:rPr>
                        </w:pPr>
                        <w:r>
                          <w:rPr>
                            <w:color w:val="231F20"/>
                            <w:w w:val="110"/>
                            <w:sz w:val="21"/>
                          </w:rPr>
                          <w:t>Niue</w:t>
                        </w:r>
                      </w:p>
                    </w:tc>
                    <w:tc>
                      <w:tcPr>
                        <w:tcW w:w="5117" w:type="dxa"/>
                      </w:tcPr>
                      <w:p>
                        <w:pPr>
                          <w:pStyle w:val="TableParagraph"/>
                          <w:spacing w:before="68"/>
                          <w:ind w:left="136"/>
                          <w:rPr>
                            <w:sz w:val="21"/>
                          </w:rPr>
                        </w:pPr>
                        <w:r>
                          <w:rPr>
                            <w:color w:val="231F20"/>
                            <w:w w:val="110"/>
                            <w:sz w:val="21"/>
                          </w:rPr>
                          <w:t>Hon. Chief Justice Craig Coxhead</w:t>
                        </w:r>
                      </w:p>
                    </w:tc>
                  </w:tr>
                  <w:tr>
                    <w:trPr>
                      <w:trHeight w:val="376" w:hRule="atLeast"/>
                    </w:trPr>
                    <w:tc>
                      <w:tcPr>
                        <w:tcW w:w="3378" w:type="dxa"/>
                        <w:shd w:val="clear" w:color="auto" w:fill="DCE6E9"/>
                      </w:tcPr>
                      <w:p>
                        <w:pPr>
                          <w:pStyle w:val="TableParagraph"/>
                          <w:spacing w:before="68"/>
                          <w:ind w:left="136"/>
                          <w:rPr>
                            <w:sz w:val="21"/>
                          </w:rPr>
                        </w:pPr>
                        <w:r>
                          <w:rPr>
                            <w:color w:val="231F20"/>
                            <w:w w:val="105"/>
                            <w:sz w:val="21"/>
                          </w:rPr>
                          <w:t>Republic of Palau</w:t>
                        </w:r>
                      </w:p>
                    </w:tc>
                    <w:tc>
                      <w:tcPr>
                        <w:tcW w:w="5117" w:type="dxa"/>
                      </w:tcPr>
                      <w:p>
                        <w:pPr>
                          <w:pStyle w:val="TableParagraph"/>
                          <w:spacing w:before="68"/>
                          <w:ind w:left="136"/>
                          <w:rPr>
                            <w:sz w:val="21"/>
                          </w:rPr>
                        </w:pPr>
                        <w:r>
                          <w:rPr>
                            <w:color w:val="231F20"/>
                            <w:w w:val="105"/>
                            <w:sz w:val="21"/>
                          </w:rPr>
                          <w:t>Hon. Chief Justice Arthur Ngiraklsong</w:t>
                        </w:r>
                      </w:p>
                    </w:tc>
                  </w:tr>
                  <w:tr>
                    <w:trPr>
                      <w:trHeight w:val="376" w:hRule="atLeast"/>
                    </w:trPr>
                    <w:tc>
                      <w:tcPr>
                        <w:tcW w:w="3378" w:type="dxa"/>
                        <w:shd w:val="clear" w:color="auto" w:fill="DCE6E9"/>
                      </w:tcPr>
                      <w:p>
                        <w:pPr>
                          <w:pStyle w:val="TableParagraph"/>
                          <w:spacing w:before="68"/>
                          <w:ind w:left="136"/>
                          <w:rPr>
                            <w:sz w:val="21"/>
                          </w:rPr>
                        </w:pPr>
                        <w:r>
                          <w:rPr>
                            <w:color w:val="231F20"/>
                            <w:w w:val="110"/>
                            <w:sz w:val="21"/>
                          </w:rPr>
                          <w:t>Papua New Guinea</w:t>
                        </w:r>
                      </w:p>
                    </w:tc>
                    <w:tc>
                      <w:tcPr>
                        <w:tcW w:w="5117" w:type="dxa"/>
                      </w:tcPr>
                      <w:p>
                        <w:pPr>
                          <w:pStyle w:val="TableParagraph"/>
                          <w:spacing w:before="68"/>
                          <w:ind w:left="136"/>
                          <w:rPr>
                            <w:sz w:val="21"/>
                          </w:rPr>
                        </w:pPr>
                        <w:r>
                          <w:rPr>
                            <w:color w:val="231F20"/>
                            <w:w w:val="110"/>
                            <w:sz w:val="21"/>
                          </w:rPr>
                          <w:t>Hon. Chief Justice Sir Gibbs Salika</w:t>
                        </w:r>
                      </w:p>
                    </w:tc>
                  </w:tr>
                  <w:tr>
                    <w:trPr>
                      <w:trHeight w:val="376" w:hRule="atLeast"/>
                    </w:trPr>
                    <w:tc>
                      <w:tcPr>
                        <w:tcW w:w="3378" w:type="dxa"/>
                        <w:shd w:val="clear" w:color="auto" w:fill="DCE6E9"/>
                      </w:tcPr>
                      <w:p>
                        <w:pPr>
                          <w:pStyle w:val="TableParagraph"/>
                          <w:spacing w:before="68"/>
                          <w:ind w:left="136"/>
                          <w:rPr>
                            <w:sz w:val="21"/>
                          </w:rPr>
                        </w:pPr>
                        <w:r>
                          <w:rPr>
                            <w:color w:val="231F20"/>
                            <w:w w:val="105"/>
                            <w:sz w:val="21"/>
                          </w:rPr>
                          <w:t>Samoa</w:t>
                        </w:r>
                      </w:p>
                    </w:tc>
                    <w:tc>
                      <w:tcPr>
                        <w:tcW w:w="5117" w:type="dxa"/>
                      </w:tcPr>
                      <w:p>
                        <w:pPr>
                          <w:pStyle w:val="TableParagraph"/>
                          <w:spacing w:before="68"/>
                          <w:ind w:left="136"/>
                          <w:rPr>
                            <w:sz w:val="21"/>
                          </w:rPr>
                        </w:pPr>
                        <w:r>
                          <w:rPr>
                            <w:color w:val="231F20"/>
                            <w:w w:val="105"/>
                            <w:sz w:val="21"/>
                          </w:rPr>
                          <w:t>Hon. Chief Justice Patu Sapolu</w:t>
                        </w:r>
                      </w:p>
                    </w:tc>
                  </w:tr>
                  <w:tr>
                    <w:trPr>
                      <w:trHeight w:val="376" w:hRule="atLeast"/>
                    </w:trPr>
                    <w:tc>
                      <w:tcPr>
                        <w:tcW w:w="3378" w:type="dxa"/>
                        <w:shd w:val="clear" w:color="auto" w:fill="DCE6E9"/>
                      </w:tcPr>
                      <w:p>
                        <w:pPr>
                          <w:pStyle w:val="TableParagraph"/>
                          <w:spacing w:before="68"/>
                          <w:ind w:left="136"/>
                          <w:rPr>
                            <w:sz w:val="21"/>
                          </w:rPr>
                        </w:pPr>
                        <w:r>
                          <w:rPr>
                            <w:color w:val="231F20"/>
                            <w:w w:val="105"/>
                            <w:sz w:val="21"/>
                          </w:rPr>
                          <w:t>Solomon Islands</w:t>
                        </w:r>
                      </w:p>
                    </w:tc>
                    <w:tc>
                      <w:tcPr>
                        <w:tcW w:w="5117" w:type="dxa"/>
                      </w:tcPr>
                      <w:p>
                        <w:pPr>
                          <w:pStyle w:val="TableParagraph"/>
                          <w:spacing w:before="68"/>
                          <w:ind w:left="136"/>
                          <w:rPr>
                            <w:sz w:val="21"/>
                          </w:rPr>
                        </w:pPr>
                        <w:r>
                          <w:rPr>
                            <w:color w:val="231F20"/>
                            <w:w w:val="105"/>
                            <w:sz w:val="21"/>
                          </w:rPr>
                          <w:t>Hon. Chief Justice Sir Albert Palmer</w:t>
                        </w:r>
                      </w:p>
                    </w:tc>
                  </w:tr>
                  <w:tr>
                    <w:trPr>
                      <w:trHeight w:val="376" w:hRule="atLeast"/>
                    </w:trPr>
                    <w:tc>
                      <w:tcPr>
                        <w:tcW w:w="3378" w:type="dxa"/>
                        <w:shd w:val="clear" w:color="auto" w:fill="DCE6E9"/>
                      </w:tcPr>
                      <w:p>
                        <w:pPr>
                          <w:pStyle w:val="TableParagraph"/>
                          <w:spacing w:before="68"/>
                          <w:ind w:left="136"/>
                          <w:rPr>
                            <w:sz w:val="21"/>
                          </w:rPr>
                        </w:pPr>
                        <w:r>
                          <w:rPr>
                            <w:color w:val="231F20"/>
                            <w:w w:val="110"/>
                            <w:sz w:val="21"/>
                          </w:rPr>
                          <w:t>Tokelau</w:t>
                        </w:r>
                      </w:p>
                    </w:tc>
                    <w:tc>
                      <w:tcPr>
                        <w:tcW w:w="5117" w:type="dxa"/>
                      </w:tcPr>
                      <w:p>
                        <w:pPr>
                          <w:pStyle w:val="TableParagraph"/>
                          <w:spacing w:before="68"/>
                          <w:ind w:left="136"/>
                          <w:rPr>
                            <w:sz w:val="21"/>
                          </w:rPr>
                        </w:pPr>
                        <w:r>
                          <w:rPr>
                            <w:color w:val="231F20"/>
                            <w:w w:val="110"/>
                            <w:sz w:val="21"/>
                          </w:rPr>
                          <w:t>Hon. Chief Justice Helen Winkelmann</w:t>
                        </w:r>
                      </w:p>
                    </w:tc>
                  </w:tr>
                  <w:tr>
                    <w:trPr>
                      <w:trHeight w:val="376" w:hRule="atLeast"/>
                    </w:trPr>
                    <w:tc>
                      <w:tcPr>
                        <w:tcW w:w="3378" w:type="dxa"/>
                        <w:shd w:val="clear" w:color="auto" w:fill="DCE6E9"/>
                      </w:tcPr>
                      <w:p>
                        <w:pPr>
                          <w:pStyle w:val="TableParagraph"/>
                          <w:spacing w:before="68"/>
                          <w:ind w:left="136"/>
                          <w:rPr>
                            <w:sz w:val="21"/>
                          </w:rPr>
                        </w:pPr>
                        <w:r>
                          <w:rPr>
                            <w:color w:val="231F20"/>
                            <w:w w:val="105"/>
                            <w:sz w:val="21"/>
                          </w:rPr>
                          <w:t>Tonga</w:t>
                        </w:r>
                      </w:p>
                    </w:tc>
                    <w:tc>
                      <w:tcPr>
                        <w:tcW w:w="5117" w:type="dxa"/>
                      </w:tcPr>
                      <w:p>
                        <w:pPr>
                          <w:pStyle w:val="TableParagraph"/>
                          <w:spacing w:before="68"/>
                          <w:ind w:left="136"/>
                          <w:rPr>
                            <w:sz w:val="21"/>
                          </w:rPr>
                        </w:pPr>
                        <w:r>
                          <w:rPr>
                            <w:color w:val="231F20"/>
                            <w:w w:val="105"/>
                            <w:sz w:val="21"/>
                          </w:rPr>
                          <w:t>Hon. Chief Justice Owen Paulsen</w:t>
                        </w:r>
                      </w:p>
                    </w:tc>
                  </w:tr>
                  <w:tr>
                    <w:trPr>
                      <w:trHeight w:val="376" w:hRule="atLeast"/>
                    </w:trPr>
                    <w:tc>
                      <w:tcPr>
                        <w:tcW w:w="3378" w:type="dxa"/>
                        <w:shd w:val="clear" w:color="auto" w:fill="DCE6E9"/>
                      </w:tcPr>
                      <w:p>
                        <w:pPr>
                          <w:pStyle w:val="TableParagraph"/>
                          <w:spacing w:before="68"/>
                          <w:ind w:left="136"/>
                          <w:rPr>
                            <w:sz w:val="21"/>
                          </w:rPr>
                        </w:pPr>
                        <w:r>
                          <w:rPr>
                            <w:color w:val="231F20"/>
                            <w:w w:val="110"/>
                            <w:sz w:val="21"/>
                          </w:rPr>
                          <w:t>Tuvalu</w:t>
                        </w:r>
                      </w:p>
                    </w:tc>
                    <w:tc>
                      <w:tcPr>
                        <w:tcW w:w="5117" w:type="dxa"/>
                      </w:tcPr>
                      <w:p>
                        <w:pPr>
                          <w:pStyle w:val="TableParagraph"/>
                          <w:spacing w:before="68"/>
                          <w:ind w:left="136"/>
                          <w:rPr>
                            <w:sz w:val="21"/>
                          </w:rPr>
                        </w:pPr>
                        <w:r>
                          <w:rPr>
                            <w:color w:val="231F20"/>
                            <w:w w:val="105"/>
                            <w:sz w:val="21"/>
                          </w:rPr>
                          <w:t>Hon. Chief Justice Charles Sweeney</w:t>
                        </w:r>
                      </w:p>
                    </w:tc>
                  </w:tr>
                  <w:tr>
                    <w:trPr>
                      <w:trHeight w:val="376" w:hRule="atLeast"/>
                    </w:trPr>
                    <w:tc>
                      <w:tcPr>
                        <w:tcW w:w="3378" w:type="dxa"/>
                        <w:shd w:val="clear" w:color="auto" w:fill="DCE6E9"/>
                      </w:tcPr>
                      <w:p>
                        <w:pPr>
                          <w:pStyle w:val="TableParagraph"/>
                          <w:spacing w:before="68"/>
                          <w:ind w:left="136"/>
                          <w:rPr>
                            <w:sz w:val="21"/>
                          </w:rPr>
                        </w:pPr>
                        <w:r>
                          <w:rPr>
                            <w:color w:val="231F20"/>
                            <w:w w:val="105"/>
                            <w:sz w:val="21"/>
                          </w:rPr>
                          <w:t>Vanuatu</w:t>
                        </w:r>
                      </w:p>
                    </w:tc>
                    <w:tc>
                      <w:tcPr>
                        <w:tcW w:w="5117" w:type="dxa"/>
                      </w:tcPr>
                      <w:p>
                        <w:pPr>
                          <w:pStyle w:val="TableParagraph"/>
                          <w:spacing w:before="68"/>
                          <w:ind w:left="136"/>
                          <w:rPr>
                            <w:sz w:val="21"/>
                          </w:rPr>
                        </w:pPr>
                        <w:r>
                          <w:rPr>
                            <w:color w:val="231F20"/>
                            <w:w w:val="105"/>
                            <w:sz w:val="21"/>
                          </w:rPr>
                          <w:t>Hon. Chief Justice Vincent Lunabek</w:t>
                        </w:r>
                      </w:p>
                    </w:tc>
                  </w:tr>
                </w:tbl>
                <w:p>
                  <w:pPr>
                    <w:pStyle w:val="BodyText"/>
                  </w:pPr>
                </w:p>
              </w:txbxContent>
            </v:textbox>
            <w10:wrap type="none"/>
          </v:shape>
        </w:pict>
      </w:r>
      <w:r>
        <w:rPr>
          <w:color w:val="231F20"/>
          <w:w w:val="105"/>
        </w:rPr>
        <w:t>Cate Sumner, Annual Reporting Adviser In–Country Performance Monitoring Reports supported by:</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18"/>
        </w:rPr>
      </w:pPr>
    </w:p>
    <w:p>
      <w:pPr>
        <w:pStyle w:val="BodyText"/>
        <w:spacing w:line="252" w:lineRule="auto"/>
        <w:ind w:left="1700" w:right="1698"/>
        <w:jc w:val="both"/>
      </w:pPr>
      <w:r>
        <w:rPr>
          <w:color w:val="231F20"/>
          <w:w w:val="105"/>
        </w:rPr>
        <w:t>This Report was prepared in collaboration with Nicole Cherry of the Federal Court of Australia (FCA). Bethany Charlton, Simon O’Connor and Emmanuel Tupua worked as Research Interns at the FCA supporting the previous baseline and trend reports on court performance.</w:t>
      </w:r>
    </w:p>
    <w:p>
      <w:pPr>
        <w:pStyle w:val="BodyText"/>
        <w:spacing w:line="252" w:lineRule="auto" w:before="173"/>
        <w:ind w:left="1700" w:right="1698"/>
        <w:jc w:val="both"/>
      </w:pPr>
      <w:r>
        <w:rPr>
          <w:color w:val="231F20"/>
          <w:spacing w:val="-4"/>
          <w:w w:val="105"/>
        </w:rPr>
        <w:t>The </w:t>
      </w:r>
      <w:r>
        <w:rPr>
          <w:color w:val="231F20"/>
          <w:w w:val="105"/>
        </w:rPr>
        <w:t>PJSI </w:t>
      </w:r>
      <w:r>
        <w:rPr>
          <w:color w:val="231F20"/>
          <w:spacing w:val="-6"/>
          <w:w w:val="105"/>
        </w:rPr>
        <w:t>Team </w:t>
      </w:r>
      <w:r>
        <w:rPr>
          <w:color w:val="231F20"/>
          <w:spacing w:val="-3"/>
          <w:w w:val="105"/>
        </w:rPr>
        <w:t>Leader, Technical </w:t>
      </w:r>
      <w:r>
        <w:rPr>
          <w:color w:val="231F20"/>
          <w:w w:val="105"/>
        </w:rPr>
        <w:t>Director, other Advisers and the management team at the </w:t>
      </w:r>
      <w:r>
        <w:rPr>
          <w:color w:val="231F20"/>
          <w:spacing w:val="-4"/>
          <w:w w:val="105"/>
        </w:rPr>
        <w:t>FCA </w:t>
      </w:r>
      <w:r>
        <w:rPr>
          <w:color w:val="231F20"/>
          <w:spacing w:val="-3"/>
          <w:w w:val="105"/>
        </w:rPr>
        <w:t>have </w:t>
      </w:r>
      <w:r>
        <w:rPr>
          <w:color w:val="231F20"/>
          <w:w w:val="105"/>
        </w:rPr>
        <w:t>all generously assisted in the development of this document.</w:t>
      </w:r>
    </w:p>
    <w:p>
      <w:pPr>
        <w:pStyle w:val="BodyText"/>
        <w:spacing w:line="252" w:lineRule="auto" w:before="172"/>
        <w:ind w:left="1700" w:right="1698"/>
        <w:jc w:val="both"/>
      </w:pPr>
      <w:r>
        <w:rPr>
          <w:color w:val="231F20"/>
          <w:w w:val="105"/>
        </w:rPr>
        <w:t>The PJSI is a regional programme of assistance supported by the New Zealand Ministry for Foreign Affairs and Trade and implemented by the Federal Court of Australia.</w:t>
      </w:r>
    </w:p>
    <w:p>
      <w:pPr>
        <w:spacing w:after="0" w:line="252" w:lineRule="auto"/>
        <w:jc w:val="both"/>
        <w:sectPr>
          <w:pgSz w:w="11910" w:h="16840"/>
          <w:pgMar w:top="300" w:bottom="280" w:left="0" w:right="0"/>
        </w:sectPr>
      </w:pPr>
    </w:p>
    <w:p>
      <w:pPr>
        <w:tabs>
          <w:tab w:pos="1700" w:val="left" w:leader="none"/>
        </w:tabs>
        <w:spacing w:before="65"/>
        <w:ind w:left="716" w:right="0" w:firstLine="0"/>
        <w:jc w:val="left"/>
        <w:rPr>
          <w:b/>
          <w:sz w:val="21"/>
        </w:rPr>
      </w:pPr>
      <w:r>
        <w:rPr/>
        <w:drawing>
          <wp:anchor distT="0" distB="0" distL="0" distR="0" allowOverlap="1" layoutInCell="1" locked="0" behindDoc="1" simplePos="0" relativeHeight="268237367">
            <wp:simplePos x="0" y="0"/>
            <wp:positionH relativeFrom="page">
              <wp:posOffset>0</wp:posOffset>
            </wp:positionH>
            <wp:positionV relativeFrom="paragraph">
              <wp:posOffset>373881</wp:posOffset>
            </wp:positionV>
            <wp:extent cx="7559992" cy="143992"/>
            <wp:effectExtent l="0" t="0" r="0" b="0"/>
            <wp:wrapNone/>
            <wp:docPr id="15" name="image39.png" descr=""/>
            <wp:cNvGraphicFramePr>
              <a:graphicFrameLocks noChangeAspect="1"/>
            </wp:cNvGraphicFramePr>
            <a:graphic>
              <a:graphicData uri="http://schemas.openxmlformats.org/drawingml/2006/picture">
                <pic:pic>
                  <pic:nvPicPr>
                    <pic:cNvPr id="16"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6</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spacing w:before="8"/>
        <w:rPr>
          <w:b/>
          <w:sz w:val="25"/>
        </w:rPr>
      </w:pPr>
    </w:p>
    <w:p>
      <w:pPr>
        <w:pStyle w:val="Heading2"/>
        <w:ind w:left="1700"/>
      </w:pPr>
      <w:r>
        <w:rPr>
          <w:color w:val="0F6161"/>
          <w:w w:val="105"/>
        </w:rPr>
        <w:t>Executive Summary</w:t>
      </w:r>
    </w:p>
    <w:p>
      <w:pPr>
        <w:pStyle w:val="BodyText"/>
        <w:spacing w:line="252" w:lineRule="auto" w:before="193"/>
        <w:ind w:left="1700" w:right="1698"/>
        <w:jc w:val="both"/>
      </w:pPr>
      <w:r>
        <w:rPr>
          <w:color w:val="231F20"/>
          <w:w w:val="105"/>
        </w:rPr>
        <w:t>When PJDP embarked on the Court Annual Reporting activity in 2011, three jurisdictions had sought assistance under PJDP with the aim of improving their court performance reporting through Annual Reports. These jurisdictions were </w:t>
      </w:r>
      <w:r>
        <w:rPr>
          <w:color w:val="231F20"/>
          <w:spacing w:val="-4"/>
          <w:w w:val="105"/>
        </w:rPr>
        <w:t>Palau, Papua </w:t>
      </w:r>
      <w:r>
        <w:rPr>
          <w:color w:val="231F20"/>
          <w:w w:val="105"/>
        </w:rPr>
        <w:t>New Guinea and </w:t>
      </w:r>
      <w:r>
        <w:rPr>
          <w:color w:val="231F20"/>
          <w:spacing w:val="-3"/>
          <w:w w:val="105"/>
        </w:rPr>
        <w:t>Tokelau. </w:t>
      </w:r>
      <w:r>
        <w:rPr>
          <w:color w:val="231F20"/>
          <w:w w:val="105"/>
        </w:rPr>
        <w:t>What has emerged over a period of seven years is a willingness from the majority of PJSI jurisdictions to embrace the idea of Annual Reporting in some form or </w:t>
      </w:r>
      <w:r>
        <w:rPr>
          <w:color w:val="231F20"/>
          <w:spacing w:val="-3"/>
          <w:w w:val="105"/>
        </w:rPr>
        <w:t>other. </w:t>
      </w:r>
      <w:r>
        <w:rPr>
          <w:color w:val="231F20"/>
          <w:spacing w:val="-4"/>
          <w:w w:val="105"/>
        </w:rPr>
        <w:t>The </w:t>
      </w:r>
      <w:r>
        <w:rPr>
          <w:color w:val="231F20"/>
          <w:w w:val="105"/>
        </w:rPr>
        <w:t>Court Annual Reporting </w:t>
      </w:r>
      <w:r>
        <w:rPr>
          <w:color w:val="231F20"/>
          <w:spacing w:val="-3"/>
          <w:w w:val="105"/>
        </w:rPr>
        <w:t>Toolkit </w:t>
      </w:r>
      <w:r>
        <w:rPr>
          <w:color w:val="231F20"/>
          <w:w w:val="105"/>
        </w:rPr>
        <w:t>was originally published in 2012 and has been updated in 2014 and 2018. </w:t>
      </w:r>
      <w:r>
        <w:rPr>
          <w:color w:val="231F20"/>
          <w:spacing w:val="-4"/>
          <w:w w:val="105"/>
        </w:rPr>
        <w:t>The </w:t>
      </w:r>
      <w:r>
        <w:rPr>
          <w:color w:val="231F20"/>
          <w:spacing w:val="-3"/>
          <w:w w:val="105"/>
        </w:rPr>
        <w:t>Toolkit </w:t>
      </w:r>
      <w:r>
        <w:rPr>
          <w:color w:val="231F20"/>
          <w:w w:val="105"/>
        </w:rPr>
        <w:t>presents</w:t>
      </w:r>
      <w:r>
        <w:rPr>
          <w:color w:val="231F20"/>
          <w:spacing w:val="-12"/>
          <w:w w:val="105"/>
        </w:rPr>
        <w:t> </w:t>
      </w:r>
      <w:r>
        <w:rPr>
          <w:color w:val="231F20"/>
          <w:w w:val="105"/>
        </w:rPr>
        <w:t>a</w:t>
      </w:r>
      <w:r>
        <w:rPr>
          <w:color w:val="231F20"/>
          <w:spacing w:val="-12"/>
          <w:w w:val="105"/>
        </w:rPr>
        <w:t> </w:t>
      </w:r>
      <w:r>
        <w:rPr>
          <w:color w:val="231F20"/>
          <w:w w:val="105"/>
        </w:rPr>
        <w:t>range</w:t>
      </w:r>
      <w:r>
        <w:rPr>
          <w:color w:val="231F20"/>
          <w:spacing w:val="-12"/>
          <w:w w:val="105"/>
        </w:rPr>
        <w:t> </w:t>
      </w:r>
      <w:r>
        <w:rPr>
          <w:color w:val="231F20"/>
          <w:w w:val="105"/>
        </w:rPr>
        <w:t>of</w:t>
      </w:r>
      <w:r>
        <w:rPr>
          <w:color w:val="231F20"/>
          <w:spacing w:val="-12"/>
          <w:w w:val="105"/>
        </w:rPr>
        <w:t> </w:t>
      </w:r>
      <w:r>
        <w:rPr>
          <w:color w:val="231F20"/>
          <w:w w:val="105"/>
        </w:rPr>
        <w:t>tools</w:t>
      </w:r>
      <w:r>
        <w:rPr>
          <w:color w:val="231F20"/>
          <w:spacing w:val="-12"/>
          <w:w w:val="105"/>
        </w:rPr>
        <w:t> </w:t>
      </w:r>
      <w:r>
        <w:rPr>
          <w:color w:val="231F20"/>
          <w:w w:val="105"/>
        </w:rPr>
        <w:t>developed</w:t>
      </w:r>
      <w:r>
        <w:rPr>
          <w:color w:val="231F20"/>
          <w:spacing w:val="-12"/>
          <w:w w:val="105"/>
        </w:rPr>
        <w:t> </w:t>
      </w:r>
      <w:r>
        <w:rPr>
          <w:color w:val="231F20"/>
          <w:w w:val="105"/>
        </w:rPr>
        <w:t>under</w:t>
      </w:r>
      <w:r>
        <w:rPr>
          <w:color w:val="231F20"/>
          <w:spacing w:val="-12"/>
          <w:w w:val="105"/>
        </w:rPr>
        <w:t> </w:t>
      </w:r>
      <w:r>
        <w:rPr>
          <w:color w:val="231F20"/>
          <w:w w:val="105"/>
        </w:rPr>
        <w:t>this</w:t>
      </w:r>
      <w:r>
        <w:rPr>
          <w:color w:val="231F20"/>
          <w:spacing w:val="-12"/>
          <w:w w:val="105"/>
        </w:rPr>
        <w:t> </w:t>
      </w:r>
      <w:r>
        <w:rPr>
          <w:color w:val="231F20"/>
          <w:w w:val="105"/>
        </w:rPr>
        <w:t>activity</w:t>
      </w:r>
      <w:r>
        <w:rPr>
          <w:color w:val="231F20"/>
          <w:spacing w:val="-12"/>
          <w:w w:val="105"/>
        </w:rPr>
        <w:t> </w:t>
      </w:r>
      <w:r>
        <w:rPr>
          <w:color w:val="231F20"/>
          <w:w w:val="105"/>
        </w:rPr>
        <w:t>that</w:t>
      </w:r>
      <w:r>
        <w:rPr>
          <w:color w:val="231F20"/>
          <w:spacing w:val="-12"/>
          <w:w w:val="105"/>
        </w:rPr>
        <w:t> </w:t>
      </w:r>
      <w:r>
        <w:rPr>
          <w:color w:val="231F20"/>
          <w:w w:val="105"/>
        </w:rPr>
        <w:t>are</w:t>
      </w:r>
      <w:r>
        <w:rPr>
          <w:color w:val="231F20"/>
          <w:spacing w:val="-12"/>
          <w:w w:val="105"/>
        </w:rPr>
        <w:t> </w:t>
      </w:r>
      <w:r>
        <w:rPr>
          <w:color w:val="231F20"/>
          <w:w w:val="105"/>
        </w:rPr>
        <w:t>now</w:t>
      </w:r>
      <w:r>
        <w:rPr>
          <w:color w:val="231F20"/>
          <w:spacing w:val="-12"/>
          <w:w w:val="105"/>
        </w:rPr>
        <w:t> </w:t>
      </w:r>
      <w:r>
        <w:rPr>
          <w:color w:val="231F20"/>
          <w:w w:val="105"/>
        </w:rPr>
        <w:t>available</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PJSI</w:t>
      </w:r>
      <w:r>
        <w:rPr>
          <w:color w:val="231F20"/>
          <w:spacing w:val="-12"/>
          <w:w w:val="105"/>
        </w:rPr>
        <w:t> </w:t>
      </w:r>
      <w:r>
        <w:rPr>
          <w:color w:val="231F20"/>
          <w:w w:val="105"/>
        </w:rPr>
        <w:t>website to be used by partner</w:t>
      </w:r>
      <w:r>
        <w:rPr>
          <w:color w:val="231F20"/>
          <w:spacing w:val="35"/>
          <w:w w:val="105"/>
        </w:rPr>
        <w:t> </w:t>
      </w:r>
      <w:r>
        <w:rPr>
          <w:color w:val="231F20"/>
          <w:w w:val="105"/>
        </w:rPr>
        <w:t>judiciaries.</w:t>
      </w:r>
    </w:p>
    <w:p>
      <w:pPr>
        <w:pStyle w:val="BodyText"/>
        <w:spacing w:line="252" w:lineRule="auto" w:before="177"/>
        <w:ind w:left="1700" w:right="1698"/>
        <w:jc w:val="both"/>
      </w:pPr>
      <w:r>
        <w:rPr>
          <w:color w:val="231F20"/>
          <w:w w:val="105"/>
        </w:rPr>
        <w:t>This 2018 PJSI Court Trend Report presents a seventh year of court performance data against 15 indicators and compares results against those presented in the PJDP 2011 Court Baseline Report. There have been some significant improvements in the ability of PJSI partner courts to report on their performance each year to the public.</w:t>
      </w:r>
    </w:p>
    <w:p>
      <w:pPr>
        <w:pStyle w:val="BodyText"/>
        <w:spacing w:line="252" w:lineRule="auto" w:before="173"/>
        <w:ind w:left="1700" w:right="1698"/>
        <w:jc w:val="both"/>
      </w:pPr>
      <w:r>
        <w:rPr>
          <w:color w:val="231F20"/>
          <w:w w:val="105"/>
        </w:rPr>
        <w:t>At the National Coordinators Leadership Meeting held in the Cook Islands in June 2011, the key court performance areas were considered and a list developed that was then sent to Chief Justices for their review and comment. </w:t>
      </w:r>
      <w:r>
        <w:rPr>
          <w:color w:val="231F20"/>
          <w:spacing w:val="-4"/>
          <w:w w:val="105"/>
        </w:rPr>
        <w:t>The </w:t>
      </w:r>
      <w:r>
        <w:rPr>
          <w:color w:val="231F20"/>
          <w:w w:val="105"/>
        </w:rPr>
        <w:t>15 court performance indicators</w:t>
      </w:r>
      <w:r>
        <w:rPr>
          <w:color w:val="231F20"/>
          <w:spacing w:val="46"/>
          <w:w w:val="105"/>
        </w:rPr>
        <w:t> </w:t>
      </w:r>
      <w:r>
        <w:rPr>
          <w:color w:val="231F20"/>
          <w:w w:val="105"/>
        </w:rPr>
        <w:t>cover:</w:t>
      </w:r>
    </w:p>
    <w:p>
      <w:pPr>
        <w:pStyle w:val="BodyText"/>
        <w:spacing w:before="5"/>
        <w:rPr>
          <w:sz w:val="23"/>
        </w:rPr>
      </w:pPr>
    </w:p>
    <w:p>
      <w:pPr>
        <w:pStyle w:val="Heading7"/>
        <w:numPr>
          <w:ilvl w:val="0"/>
          <w:numId w:val="1"/>
        </w:numPr>
        <w:tabs>
          <w:tab w:pos="2041" w:val="left" w:leader="none"/>
        </w:tabs>
        <w:spacing w:line="240" w:lineRule="auto" w:before="0" w:after="0"/>
        <w:ind w:left="2040" w:right="0" w:hanging="340"/>
        <w:jc w:val="both"/>
      </w:pPr>
      <w:r>
        <w:rPr>
          <w:color w:val="231F20"/>
          <w:w w:val="105"/>
        </w:rPr>
        <w:t>Case management</w:t>
      </w:r>
      <w:r>
        <w:rPr>
          <w:color w:val="231F20"/>
          <w:spacing w:val="13"/>
          <w:w w:val="105"/>
        </w:rPr>
        <w:t> </w:t>
      </w:r>
      <w:r>
        <w:rPr>
          <w:color w:val="231F20"/>
          <w:w w:val="105"/>
        </w:rPr>
        <w:t>issues.</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w w:val="105"/>
          <w:sz w:val="21"/>
        </w:rPr>
        <w:t>Case finalisation or clearance</w:t>
      </w:r>
      <w:r>
        <w:rPr>
          <w:color w:val="231F20"/>
          <w:spacing w:val="30"/>
          <w:w w:val="105"/>
          <w:sz w:val="21"/>
        </w:rPr>
        <w:t> </w:t>
      </w:r>
      <w:r>
        <w:rPr>
          <w:color w:val="231F20"/>
          <w:w w:val="105"/>
          <w:sz w:val="21"/>
        </w:rPr>
        <w:t>rate.</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spacing w:val="-3"/>
          <w:w w:val="105"/>
          <w:sz w:val="21"/>
        </w:rPr>
        <w:t>Average </w:t>
      </w:r>
      <w:r>
        <w:rPr>
          <w:color w:val="231F20"/>
          <w:w w:val="105"/>
          <w:sz w:val="21"/>
        </w:rPr>
        <w:t>duration of a case from filing to</w:t>
      </w:r>
      <w:r>
        <w:rPr>
          <w:color w:val="231F20"/>
          <w:spacing w:val="10"/>
          <w:w w:val="105"/>
          <w:sz w:val="21"/>
        </w:rPr>
        <w:t> </w:t>
      </w:r>
      <w:r>
        <w:rPr>
          <w:color w:val="231F20"/>
          <w:w w:val="105"/>
          <w:sz w:val="21"/>
        </w:rPr>
        <w:t>finalisation.</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spacing w:val="-4"/>
          <w:w w:val="105"/>
          <w:sz w:val="21"/>
        </w:rPr>
        <w:t>The </w:t>
      </w:r>
      <w:r>
        <w:rPr>
          <w:color w:val="231F20"/>
          <w:w w:val="105"/>
          <w:sz w:val="21"/>
        </w:rPr>
        <w:t>percentage of</w:t>
      </w:r>
      <w:r>
        <w:rPr>
          <w:color w:val="231F20"/>
          <w:spacing w:val="25"/>
          <w:w w:val="105"/>
          <w:sz w:val="21"/>
        </w:rPr>
        <w:t> </w:t>
      </w:r>
      <w:r>
        <w:rPr>
          <w:color w:val="231F20"/>
          <w:w w:val="105"/>
          <w:sz w:val="21"/>
        </w:rPr>
        <w:t>appeals.</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w w:val="105"/>
          <w:sz w:val="21"/>
        </w:rPr>
        <w:t>Overturn rate on</w:t>
      </w:r>
      <w:r>
        <w:rPr>
          <w:color w:val="231F20"/>
          <w:spacing w:val="21"/>
          <w:w w:val="105"/>
          <w:sz w:val="21"/>
        </w:rPr>
        <w:t> </w:t>
      </w:r>
      <w:r>
        <w:rPr>
          <w:color w:val="231F20"/>
          <w:w w:val="105"/>
          <w:sz w:val="21"/>
        </w:rPr>
        <w:t>appeal.</w:t>
      </w:r>
    </w:p>
    <w:p>
      <w:pPr>
        <w:pStyle w:val="Heading7"/>
        <w:numPr>
          <w:ilvl w:val="0"/>
          <w:numId w:val="1"/>
        </w:numPr>
        <w:tabs>
          <w:tab w:pos="2041" w:val="left" w:leader="none"/>
        </w:tabs>
        <w:spacing w:line="240" w:lineRule="auto" w:before="212" w:after="0"/>
        <w:ind w:left="2040" w:right="0" w:hanging="340"/>
        <w:jc w:val="both"/>
      </w:pPr>
      <w:r>
        <w:rPr>
          <w:color w:val="231F20"/>
          <w:w w:val="105"/>
        </w:rPr>
        <w:t>Affordability and Accessibility for court</w:t>
      </w:r>
      <w:r>
        <w:rPr>
          <w:color w:val="231F20"/>
          <w:spacing w:val="31"/>
          <w:w w:val="105"/>
        </w:rPr>
        <w:t> </w:t>
      </w:r>
      <w:r>
        <w:rPr>
          <w:color w:val="231F20"/>
          <w:w w:val="105"/>
        </w:rPr>
        <w:t>clients.</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sz w:val="21"/>
        </w:rPr>
        <w:t>Percentage</w:t>
      </w:r>
      <w:r>
        <w:rPr>
          <w:color w:val="231F20"/>
          <w:spacing w:val="10"/>
          <w:sz w:val="21"/>
        </w:rPr>
        <w:t> </w:t>
      </w:r>
      <w:r>
        <w:rPr>
          <w:color w:val="231F20"/>
          <w:sz w:val="21"/>
        </w:rPr>
        <w:t>of</w:t>
      </w:r>
      <w:r>
        <w:rPr>
          <w:color w:val="231F20"/>
          <w:spacing w:val="10"/>
          <w:sz w:val="21"/>
        </w:rPr>
        <w:t> </w:t>
      </w:r>
      <w:r>
        <w:rPr>
          <w:color w:val="231F20"/>
          <w:sz w:val="21"/>
        </w:rPr>
        <w:t>cases</w:t>
      </w:r>
      <w:r>
        <w:rPr>
          <w:color w:val="231F20"/>
          <w:spacing w:val="10"/>
          <w:sz w:val="21"/>
        </w:rPr>
        <w:t> </w:t>
      </w:r>
      <w:r>
        <w:rPr>
          <w:color w:val="231F20"/>
          <w:sz w:val="21"/>
        </w:rPr>
        <w:t>that</w:t>
      </w:r>
      <w:r>
        <w:rPr>
          <w:color w:val="231F20"/>
          <w:spacing w:val="10"/>
          <w:sz w:val="21"/>
        </w:rPr>
        <w:t> </w:t>
      </w:r>
      <w:r>
        <w:rPr>
          <w:color w:val="231F20"/>
          <w:sz w:val="21"/>
        </w:rPr>
        <w:t>are</w:t>
      </w:r>
      <w:r>
        <w:rPr>
          <w:color w:val="231F20"/>
          <w:spacing w:val="10"/>
          <w:sz w:val="21"/>
        </w:rPr>
        <w:t> </w:t>
      </w:r>
      <w:r>
        <w:rPr>
          <w:color w:val="231F20"/>
          <w:sz w:val="21"/>
        </w:rPr>
        <w:t>granted</w:t>
      </w:r>
      <w:r>
        <w:rPr>
          <w:color w:val="231F20"/>
          <w:spacing w:val="10"/>
          <w:sz w:val="21"/>
        </w:rPr>
        <w:t> </w:t>
      </w:r>
      <w:r>
        <w:rPr>
          <w:color w:val="231F20"/>
          <w:sz w:val="21"/>
        </w:rPr>
        <w:t>a</w:t>
      </w:r>
      <w:r>
        <w:rPr>
          <w:color w:val="231F20"/>
          <w:spacing w:val="10"/>
          <w:sz w:val="21"/>
        </w:rPr>
        <w:t> </w:t>
      </w:r>
      <w:r>
        <w:rPr>
          <w:color w:val="231F20"/>
          <w:sz w:val="21"/>
        </w:rPr>
        <w:t>court</w:t>
      </w:r>
      <w:r>
        <w:rPr>
          <w:color w:val="231F20"/>
          <w:spacing w:val="10"/>
          <w:sz w:val="21"/>
        </w:rPr>
        <w:t> </w:t>
      </w:r>
      <w:r>
        <w:rPr>
          <w:color w:val="231F20"/>
          <w:sz w:val="21"/>
        </w:rPr>
        <w:t>fee</w:t>
      </w:r>
      <w:r>
        <w:rPr>
          <w:color w:val="231F20"/>
          <w:spacing w:val="10"/>
          <w:sz w:val="21"/>
        </w:rPr>
        <w:t> </w:t>
      </w:r>
      <w:r>
        <w:rPr>
          <w:color w:val="231F20"/>
          <w:spacing w:val="-4"/>
          <w:sz w:val="21"/>
        </w:rPr>
        <w:t>waiver.</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w w:val="105"/>
          <w:sz w:val="21"/>
        </w:rPr>
        <w:t>Percentage of cases disposed through a circuit</w:t>
      </w:r>
      <w:r>
        <w:rPr>
          <w:color w:val="231F20"/>
          <w:spacing w:val="-5"/>
          <w:w w:val="105"/>
          <w:sz w:val="21"/>
        </w:rPr>
        <w:t> </w:t>
      </w:r>
      <w:r>
        <w:rPr>
          <w:color w:val="231F20"/>
          <w:w w:val="105"/>
          <w:sz w:val="21"/>
        </w:rPr>
        <w:t>court.</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w w:val="105"/>
          <w:sz w:val="21"/>
        </w:rPr>
        <w:t>Percentage of cases where a party receives legal</w:t>
      </w:r>
      <w:r>
        <w:rPr>
          <w:color w:val="231F20"/>
          <w:spacing w:val="-1"/>
          <w:w w:val="105"/>
          <w:sz w:val="21"/>
        </w:rPr>
        <w:t> </w:t>
      </w:r>
      <w:r>
        <w:rPr>
          <w:color w:val="231F20"/>
          <w:w w:val="105"/>
          <w:sz w:val="21"/>
        </w:rPr>
        <w:t>aid.</w:t>
      </w:r>
    </w:p>
    <w:p>
      <w:pPr>
        <w:pStyle w:val="Heading7"/>
        <w:numPr>
          <w:ilvl w:val="0"/>
          <w:numId w:val="1"/>
        </w:numPr>
        <w:tabs>
          <w:tab w:pos="2041" w:val="left" w:leader="none"/>
        </w:tabs>
        <w:spacing w:line="240" w:lineRule="auto" w:before="212" w:after="0"/>
        <w:ind w:left="2040" w:right="0" w:hanging="340"/>
        <w:jc w:val="both"/>
      </w:pPr>
      <w:r>
        <w:rPr>
          <w:color w:val="231F20"/>
          <w:w w:val="105"/>
        </w:rPr>
        <w:t>Published procedures for the handling of feedback and</w:t>
      </w:r>
      <w:r>
        <w:rPr>
          <w:color w:val="231F20"/>
          <w:spacing w:val="2"/>
          <w:w w:val="105"/>
        </w:rPr>
        <w:t> </w:t>
      </w:r>
      <w:r>
        <w:rPr>
          <w:color w:val="231F20"/>
          <w:w w:val="105"/>
        </w:rPr>
        <w:t>complaints.</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w w:val="105"/>
          <w:sz w:val="21"/>
        </w:rPr>
        <w:t>Documented process for receiving and processing a complaint that is publicly</w:t>
      </w:r>
      <w:r>
        <w:rPr>
          <w:color w:val="231F20"/>
          <w:spacing w:val="21"/>
          <w:w w:val="105"/>
          <w:sz w:val="21"/>
        </w:rPr>
        <w:t> </w:t>
      </w:r>
      <w:r>
        <w:rPr>
          <w:color w:val="231F20"/>
          <w:w w:val="105"/>
          <w:sz w:val="21"/>
        </w:rPr>
        <w:t>available.</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w w:val="105"/>
          <w:sz w:val="21"/>
        </w:rPr>
        <w:t>Percentage of complaints received concerning a judicial</w:t>
      </w:r>
      <w:r>
        <w:rPr>
          <w:color w:val="231F20"/>
          <w:spacing w:val="3"/>
          <w:w w:val="105"/>
          <w:sz w:val="21"/>
        </w:rPr>
        <w:t> </w:t>
      </w:r>
      <w:r>
        <w:rPr>
          <w:color w:val="231F20"/>
          <w:w w:val="105"/>
          <w:sz w:val="21"/>
        </w:rPr>
        <w:t>officer.</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w w:val="105"/>
          <w:sz w:val="21"/>
        </w:rPr>
        <w:t>Percentage of complaints received concerning a court staff</w:t>
      </w:r>
      <w:r>
        <w:rPr>
          <w:color w:val="231F20"/>
          <w:spacing w:val="1"/>
          <w:w w:val="105"/>
          <w:sz w:val="21"/>
        </w:rPr>
        <w:t> </w:t>
      </w:r>
      <w:r>
        <w:rPr>
          <w:color w:val="231F20"/>
          <w:spacing w:val="-3"/>
          <w:w w:val="105"/>
          <w:sz w:val="21"/>
        </w:rPr>
        <w:t>member.</w:t>
      </w:r>
    </w:p>
    <w:p>
      <w:pPr>
        <w:pStyle w:val="Heading7"/>
        <w:numPr>
          <w:ilvl w:val="0"/>
          <w:numId w:val="1"/>
        </w:numPr>
        <w:tabs>
          <w:tab w:pos="2041" w:val="left" w:leader="none"/>
        </w:tabs>
        <w:spacing w:line="240" w:lineRule="auto" w:before="212" w:after="0"/>
        <w:ind w:left="2040" w:right="0" w:hanging="340"/>
        <w:jc w:val="both"/>
      </w:pPr>
      <w:r>
        <w:rPr>
          <w:color w:val="231F20"/>
          <w:w w:val="105"/>
        </w:rPr>
        <w:t>Human</w:t>
      </w:r>
      <w:r>
        <w:rPr>
          <w:color w:val="231F20"/>
          <w:spacing w:val="6"/>
          <w:w w:val="105"/>
        </w:rPr>
        <w:t> </w:t>
      </w:r>
      <w:r>
        <w:rPr>
          <w:color w:val="231F20"/>
          <w:w w:val="105"/>
        </w:rPr>
        <w:t>Resources.</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spacing w:val="-3"/>
          <w:w w:val="105"/>
          <w:sz w:val="21"/>
        </w:rPr>
        <w:t>Average </w:t>
      </w:r>
      <w:r>
        <w:rPr>
          <w:color w:val="231F20"/>
          <w:w w:val="105"/>
          <w:sz w:val="21"/>
        </w:rPr>
        <w:t>number of cases per judicial</w:t>
      </w:r>
      <w:r>
        <w:rPr>
          <w:color w:val="231F20"/>
          <w:spacing w:val="47"/>
          <w:w w:val="105"/>
          <w:sz w:val="21"/>
        </w:rPr>
        <w:t> </w:t>
      </w:r>
      <w:r>
        <w:rPr>
          <w:color w:val="231F20"/>
          <w:w w:val="105"/>
          <w:sz w:val="21"/>
        </w:rPr>
        <w:t>officer.</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spacing w:val="-3"/>
          <w:w w:val="105"/>
          <w:sz w:val="21"/>
        </w:rPr>
        <w:t>Average </w:t>
      </w:r>
      <w:r>
        <w:rPr>
          <w:color w:val="231F20"/>
          <w:w w:val="105"/>
          <w:sz w:val="21"/>
        </w:rPr>
        <w:t>number of cases per member of court</w:t>
      </w:r>
      <w:r>
        <w:rPr>
          <w:color w:val="231F20"/>
          <w:spacing w:val="5"/>
          <w:w w:val="105"/>
          <w:sz w:val="21"/>
        </w:rPr>
        <w:t> </w:t>
      </w:r>
      <w:r>
        <w:rPr>
          <w:color w:val="231F20"/>
          <w:w w:val="105"/>
          <w:sz w:val="21"/>
        </w:rPr>
        <w:t>staff.</w:t>
      </w:r>
    </w:p>
    <w:p>
      <w:pPr>
        <w:pStyle w:val="Heading7"/>
        <w:numPr>
          <w:ilvl w:val="0"/>
          <w:numId w:val="1"/>
        </w:numPr>
        <w:tabs>
          <w:tab w:pos="2041" w:val="left" w:leader="none"/>
        </w:tabs>
        <w:spacing w:line="240" w:lineRule="auto" w:before="213" w:after="0"/>
        <w:ind w:left="2040" w:right="0" w:hanging="340"/>
        <w:jc w:val="both"/>
      </w:pPr>
      <w:r>
        <w:rPr>
          <w:color w:val="231F20"/>
          <w:spacing w:val="-4"/>
          <w:w w:val="105"/>
        </w:rPr>
        <w:t>Transparency.</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w w:val="105"/>
          <w:sz w:val="21"/>
        </w:rPr>
        <w:t>Court</w:t>
      </w:r>
      <w:r>
        <w:rPr>
          <w:color w:val="231F20"/>
          <w:spacing w:val="6"/>
          <w:w w:val="105"/>
          <w:sz w:val="21"/>
        </w:rPr>
        <w:t> </w:t>
      </w:r>
      <w:r>
        <w:rPr>
          <w:color w:val="231F20"/>
          <w:w w:val="105"/>
          <w:sz w:val="21"/>
        </w:rPr>
        <w:t>produces</w:t>
      </w:r>
      <w:r>
        <w:rPr>
          <w:color w:val="231F20"/>
          <w:spacing w:val="6"/>
          <w:w w:val="105"/>
          <w:sz w:val="21"/>
        </w:rPr>
        <w:t> </w:t>
      </w:r>
      <w:r>
        <w:rPr>
          <w:color w:val="231F20"/>
          <w:w w:val="105"/>
          <w:sz w:val="21"/>
        </w:rPr>
        <w:t>or</w:t>
      </w:r>
      <w:r>
        <w:rPr>
          <w:color w:val="231F20"/>
          <w:spacing w:val="6"/>
          <w:w w:val="105"/>
          <w:sz w:val="21"/>
        </w:rPr>
        <w:t> </w:t>
      </w:r>
      <w:r>
        <w:rPr>
          <w:color w:val="231F20"/>
          <w:w w:val="105"/>
          <w:sz w:val="21"/>
        </w:rPr>
        <w:t>contributes</w:t>
      </w:r>
      <w:r>
        <w:rPr>
          <w:color w:val="231F20"/>
          <w:spacing w:val="6"/>
          <w:w w:val="105"/>
          <w:sz w:val="21"/>
        </w:rPr>
        <w:t> </w:t>
      </w:r>
      <w:r>
        <w:rPr>
          <w:color w:val="231F20"/>
          <w:w w:val="105"/>
          <w:sz w:val="21"/>
        </w:rPr>
        <w:t>to</w:t>
      </w:r>
      <w:r>
        <w:rPr>
          <w:color w:val="231F20"/>
          <w:spacing w:val="6"/>
          <w:w w:val="105"/>
          <w:sz w:val="21"/>
        </w:rPr>
        <w:t> </w:t>
      </w:r>
      <w:r>
        <w:rPr>
          <w:color w:val="231F20"/>
          <w:w w:val="105"/>
          <w:sz w:val="21"/>
        </w:rPr>
        <w:t>an Annual</w:t>
      </w:r>
      <w:r>
        <w:rPr>
          <w:color w:val="231F20"/>
          <w:spacing w:val="6"/>
          <w:w w:val="105"/>
          <w:sz w:val="21"/>
        </w:rPr>
        <w:t> </w:t>
      </w:r>
      <w:r>
        <w:rPr>
          <w:color w:val="231F20"/>
          <w:w w:val="105"/>
          <w:sz w:val="21"/>
        </w:rPr>
        <w:t>Report</w:t>
      </w:r>
      <w:r>
        <w:rPr>
          <w:color w:val="231F20"/>
          <w:spacing w:val="6"/>
          <w:w w:val="105"/>
          <w:sz w:val="21"/>
        </w:rPr>
        <w:t> </w:t>
      </w:r>
      <w:r>
        <w:rPr>
          <w:color w:val="231F20"/>
          <w:w w:val="105"/>
          <w:sz w:val="21"/>
        </w:rPr>
        <w:t>that</w:t>
      </w:r>
      <w:r>
        <w:rPr>
          <w:color w:val="231F20"/>
          <w:spacing w:val="6"/>
          <w:w w:val="105"/>
          <w:sz w:val="21"/>
        </w:rPr>
        <w:t> </w:t>
      </w:r>
      <w:r>
        <w:rPr>
          <w:color w:val="231F20"/>
          <w:w w:val="105"/>
          <w:sz w:val="21"/>
        </w:rPr>
        <w:t>is</w:t>
      </w:r>
      <w:r>
        <w:rPr>
          <w:color w:val="231F20"/>
          <w:spacing w:val="6"/>
          <w:w w:val="105"/>
          <w:sz w:val="21"/>
        </w:rPr>
        <w:t> </w:t>
      </w:r>
      <w:r>
        <w:rPr>
          <w:color w:val="231F20"/>
          <w:w w:val="105"/>
          <w:sz w:val="21"/>
        </w:rPr>
        <w:t>publicly</w:t>
      </w:r>
      <w:r>
        <w:rPr>
          <w:color w:val="231F20"/>
          <w:spacing w:val="6"/>
          <w:w w:val="105"/>
          <w:sz w:val="21"/>
        </w:rPr>
        <w:t> </w:t>
      </w:r>
      <w:r>
        <w:rPr>
          <w:color w:val="231F20"/>
          <w:w w:val="105"/>
          <w:sz w:val="21"/>
        </w:rPr>
        <w:t>available.</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w w:val="105"/>
          <w:sz w:val="21"/>
        </w:rPr>
        <w:t>Information on court services is publicly</w:t>
      </w:r>
      <w:r>
        <w:rPr>
          <w:color w:val="231F20"/>
          <w:spacing w:val="46"/>
          <w:w w:val="105"/>
          <w:sz w:val="21"/>
        </w:rPr>
        <w:t> </w:t>
      </w:r>
      <w:r>
        <w:rPr>
          <w:color w:val="231F20"/>
          <w:w w:val="105"/>
          <w:sz w:val="21"/>
        </w:rPr>
        <w:t>available.</w:t>
      </w:r>
    </w:p>
    <w:p>
      <w:pPr>
        <w:pStyle w:val="ListParagraph"/>
        <w:numPr>
          <w:ilvl w:val="1"/>
          <w:numId w:val="1"/>
        </w:numPr>
        <w:tabs>
          <w:tab w:pos="2325" w:val="left" w:leader="none"/>
        </w:tabs>
        <w:spacing w:line="240" w:lineRule="auto" w:before="42" w:after="0"/>
        <w:ind w:left="2324" w:right="0" w:hanging="284"/>
        <w:jc w:val="left"/>
        <w:rPr>
          <w:sz w:val="21"/>
        </w:rPr>
      </w:pPr>
      <w:r>
        <w:rPr>
          <w:color w:val="231F20"/>
          <w:w w:val="105"/>
          <w:sz w:val="21"/>
        </w:rPr>
        <w:t>Court</w:t>
      </w:r>
      <w:r>
        <w:rPr>
          <w:color w:val="231F20"/>
          <w:spacing w:val="5"/>
          <w:w w:val="105"/>
          <w:sz w:val="21"/>
        </w:rPr>
        <w:t> </w:t>
      </w:r>
      <w:r>
        <w:rPr>
          <w:color w:val="231F20"/>
          <w:w w:val="105"/>
          <w:sz w:val="21"/>
        </w:rPr>
        <w:t>publishes</w:t>
      </w:r>
      <w:r>
        <w:rPr>
          <w:color w:val="231F20"/>
          <w:spacing w:val="5"/>
          <w:w w:val="105"/>
          <w:sz w:val="21"/>
        </w:rPr>
        <w:t> </w:t>
      </w:r>
      <w:r>
        <w:rPr>
          <w:color w:val="231F20"/>
          <w:w w:val="105"/>
          <w:sz w:val="21"/>
        </w:rPr>
        <w:t>judgments</w:t>
      </w:r>
      <w:r>
        <w:rPr>
          <w:color w:val="231F20"/>
          <w:spacing w:val="5"/>
          <w:w w:val="105"/>
          <w:sz w:val="21"/>
        </w:rPr>
        <w:t> </w:t>
      </w:r>
      <w:r>
        <w:rPr>
          <w:color w:val="231F20"/>
          <w:w w:val="105"/>
          <w:sz w:val="21"/>
        </w:rPr>
        <w:t>on</w:t>
      </w:r>
      <w:r>
        <w:rPr>
          <w:color w:val="231F20"/>
          <w:spacing w:val="5"/>
          <w:w w:val="105"/>
          <w:sz w:val="21"/>
        </w:rPr>
        <w:t> </w:t>
      </w:r>
      <w:r>
        <w:rPr>
          <w:color w:val="231F20"/>
          <w:w w:val="105"/>
          <w:sz w:val="21"/>
        </w:rPr>
        <w:t>the</w:t>
      </w:r>
      <w:r>
        <w:rPr>
          <w:color w:val="231F20"/>
          <w:spacing w:val="5"/>
          <w:w w:val="105"/>
          <w:sz w:val="21"/>
        </w:rPr>
        <w:t> </w:t>
      </w:r>
      <w:r>
        <w:rPr>
          <w:color w:val="231F20"/>
          <w:w w:val="105"/>
          <w:sz w:val="21"/>
        </w:rPr>
        <w:t>Internet</w:t>
      </w:r>
      <w:r>
        <w:rPr>
          <w:color w:val="231F20"/>
          <w:spacing w:val="5"/>
          <w:w w:val="105"/>
          <w:sz w:val="21"/>
        </w:rPr>
        <w:t> </w:t>
      </w:r>
      <w:r>
        <w:rPr>
          <w:color w:val="231F20"/>
          <w:w w:val="105"/>
          <w:sz w:val="21"/>
        </w:rPr>
        <w:t>(own</w:t>
      </w:r>
      <w:r>
        <w:rPr>
          <w:color w:val="231F20"/>
          <w:spacing w:val="5"/>
          <w:w w:val="105"/>
          <w:sz w:val="21"/>
        </w:rPr>
        <w:t> </w:t>
      </w:r>
      <w:r>
        <w:rPr>
          <w:color w:val="231F20"/>
          <w:w w:val="105"/>
          <w:sz w:val="21"/>
        </w:rPr>
        <w:t>website</w:t>
      </w:r>
      <w:r>
        <w:rPr>
          <w:color w:val="231F20"/>
          <w:spacing w:val="5"/>
          <w:w w:val="105"/>
          <w:sz w:val="21"/>
        </w:rPr>
        <w:t> </w:t>
      </w:r>
      <w:r>
        <w:rPr>
          <w:color w:val="231F20"/>
          <w:w w:val="105"/>
          <w:sz w:val="21"/>
        </w:rPr>
        <w:t>or</w:t>
      </w:r>
      <w:r>
        <w:rPr>
          <w:color w:val="231F20"/>
          <w:spacing w:val="5"/>
          <w:w w:val="105"/>
          <w:sz w:val="21"/>
        </w:rPr>
        <w:t> </w:t>
      </w:r>
      <w:r>
        <w:rPr>
          <w:color w:val="231F20"/>
          <w:w w:val="105"/>
          <w:sz w:val="21"/>
        </w:rPr>
        <w:t>on</w:t>
      </w:r>
      <w:r>
        <w:rPr>
          <w:color w:val="231F20"/>
          <w:spacing w:val="5"/>
          <w:w w:val="105"/>
          <w:sz w:val="21"/>
        </w:rPr>
        <w:t> </w:t>
      </w:r>
      <w:r>
        <w:rPr>
          <w:color w:val="231F20"/>
          <w:spacing w:val="-3"/>
          <w:w w:val="105"/>
          <w:sz w:val="21"/>
        </w:rPr>
        <w:t>PacLII).</w:t>
      </w:r>
    </w:p>
    <w:p>
      <w:pPr>
        <w:pStyle w:val="BodyText"/>
        <w:spacing w:before="7"/>
        <w:rPr>
          <w:sz w:val="26"/>
        </w:rPr>
      </w:pPr>
    </w:p>
    <w:p>
      <w:pPr>
        <w:pStyle w:val="BodyText"/>
        <w:spacing w:line="252" w:lineRule="auto" w:before="1"/>
        <w:ind w:left="1700" w:right="1698"/>
        <w:jc w:val="both"/>
      </w:pPr>
      <w:r>
        <w:rPr>
          <w:color w:val="231F20"/>
          <w:spacing w:val="-4"/>
          <w:w w:val="105"/>
        </w:rPr>
        <w:t>The </w:t>
      </w:r>
      <w:r>
        <w:rPr>
          <w:color w:val="231F20"/>
          <w:w w:val="105"/>
        </w:rPr>
        <w:t>PJDP </w:t>
      </w:r>
      <w:r>
        <w:rPr>
          <w:color w:val="231F20"/>
          <w:spacing w:val="-3"/>
          <w:w w:val="105"/>
        </w:rPr>
        <w:t>Partner </w:t>
      </w:r>
      <w:r>
        <w:rPr>
          <w:color w:val="231F20"/>
          <w:w w:val="105"/>
        </w:rPr>
        <w:t>Courts ability to report on these 15 indicators is summarised in </w:t>
      </w:r>
      <w:r>
        <w:rPr>
          <w:color w:val="231F20"/>
          <w:spacing w:val="-4"/>
          <w:w w:val="105"/>
        </w:rPr>
        <w:t>Tables </w:t>
      </w:r>
      <w:r>
        <w:rPr>
          <w:color w:val="231F20"/>
          <w:w w:val="105"/>
        </w:rPr>
        <w:t>A and B that </w:t>
      </w:r>
      <w:r>
        <w:rPr>
          <w:color w:val="231F20"/>
          <w:spacing w:val="-3"/>
          <w:w w:val="105"/>
        </w:rPr>
        <w:t>follow.</w:t>
      </w:r>
    </w:p>
    <w:p>
      <w:pPr>
        <w:pStyle w:val="BodyText"/>
        <w:spacing w:before="4"/>
        <w:rPr>
          <w:sz w:val="23"/>
        </w:rPr>
      </w:pPr>
    </w:p>
    <w:p>
      <w:pPr>
        <w:pStyle w:val="BodyText"/>
        <w:ind w:left="1700"/>
        <w:jc w:val="both"/>
      </w:pPr>
      <w:r>
        <w:rPr>
          <w:color w:val="231F20"/>
          <w:w w:val="105"/>
        </w:rPr>
        <w:t>This 2018 PJSI Trend Report presents trend data on eight of the 15 Cook Island Indicators.</w:t>
      </w:r>
    </w:p>
    <w:p>
      <w:pPr>
        <w:spacing w:after="0"/>
        <w:jc w:val="both"/>
        <w:sectPr>
          <w:pgSz w:w="11910" w:h="16840"/>
          <w:pgMar w:top="300" w:bottom="280" w:left="0" w:right="0"/>
        </w:sectPr>
      </w:pPr>
    </w:p>
    <w:p>
      <w:pPr>
        <w:tabs>
          <w:tab w:pos="11188"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98064"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7</w:t>
      </w:r>
    </w:p>
    <w:p>
      <w:pPr>
        <w:pStyle w:val="BodyText"/>
        <w:rPr>
          <w:sz w:val="24"/>
        </w:rPr>
      </w:pPr>
    </w:p>
    <w:p>
      <w:pPr>
        <w:pStyle w:val="BodyText"/>
        <w:rPr>
          <w:sz w:val="24"/>
        </w:rPr>
      </w:pPr>
    </w:p>
    <w:p>
      <w:pPr>
        <w:pStyle w:val="BodyText"/>
        <w:spacing w:before="7"/>
        <w:rPr>
          <w:sz w:val="34"/>
        </w:rPr>
      </w:pPr>
    </w:p>
    <w:p>
      <w:pPr>
        <w:pStyle w:val="BodyText"/>
        <w:spacing w:line="252" w:lineRule="auto"/>
        <w:ind w:left="1700" w:right="1698"/>
        <w:jc w:val="both"/>
      </w:pPr>
      <w:r>
        <w:rPr>
          <w:color w:val="231F20"/>
          <w:spacing w:val="-4"/>
          <w:w w:val="105"/>
        </w:rPr>
        <w:t>The </w:t>
      </w:r>
      <w:r>
        <w:rPr>
          <w:color w:val="231F20"/>
          <w:w w:val="105"/>
        </w:rPr>
        <w:t>information presented in this 2018 PJSI Court Performance </w:t>
      </w:r>
      <w:r>
        <w:rPr>
          <w:color w:val="231F20"/>
          <w:spacing w:val="-4"/>
          <w:w w:val="105"/>
        </w:rPr>
        <w:t>Trend </w:t>
      </w:r>
      <w:r>
        <w:rPr>
          <w:color w:val="231F20"/>
          <w:w w:val="105"/>
        </w:rPr>
        <w:t>Report is based on the court</w:t>
      </w:r>
      <w:r>
        <w:rPr>
          <w:color w:val="231F20"/>
          <w:spacing w:val="-17"/>
          <w:w w:val="105"/>
        </w:rPr>
        <w:t> </w:t>
      </w:r>
      <w:r>
        <w:rPr>
          <w:color w:val="231F20"/>
          <w:w w:val="105"/>
        </w:rPr>
        <w:t>Annual</w:t>
      </w:r>
      <w:r>
        <w:rPr>
          <w:color w:val="231F20"/>
          <w:spacing w:val="-9"/>
          <w:w w:val="105"/>
        </w:rPr>
        <w:t> </w:t>
      </w:r>
      <w:r>
        <w:rPr>
          <w:color w:val="231F20"/>
          <w:w w:val="105"/>
        </w:rPr>
        <w:t>Report</w:t>
      </w:r>
      <w:r>
        <w:rPr>
          <w:color w:val="231F20"/>
          <w:spacing w:val="-9"/>
          <w:w w:val="105"/>
        </w:rPr>
        <w:t> </w:t>
      </w:r>
      <w:r>
        <w:rPr>
          <w:color w:val="231F20"/>
          <w:w w:val="105"/>
        </w:rPr>
        <w:t>or</w:t>
      </w:r>
      <w:r>
        <w:rPr>
          <w:color w:val="231F20"/>
          <w:spacing w:val="-9"/>
          <w:w w:val="105"/>
        </w:rPr>
        <w:t> </w:t>
      </w:r>
      <w:r>
        <w:rPr>
          <w:color w:val="231F20"/>
          <w:w w:val="105"/>
        </w:rPr>
        <w:t>other</w:t>
      </w:r>
      <w:r>
        <w:rPr>
          <w:color w:val="231F20"/>
          <w:spacing w:val="-9"/>
          <w:w w:val="105"/>
        </w:rPr>
        <w:t> </w:t>
      </w:r>
      <w:r>
        <w:rPr>
          <w:color w:val="231F20"/>
          <w:w w:val="105"/>
        </w:rPr>
        <w:t>public</w:t>
      </w:r>
      <w:r>
        <w:rPr>
          <w:color w:val="231F20"/>
          <w:spacing w:val="-9"/>
          <w:w w:val="105"/>
        </w:rPr>
        <w:t> </w:t>
      </w:r>
      <w:r>
        <w:rPr>
          <w:color w:val="231F20"/>
          <w:w w:val="105"/>
        </w:rPr>
        <w:t>documents</w:t>
      </w:r>
      <w:r>
        <w:rPr>
          <w:color w:val="231F20"/>
          <w:spacing w:val="-9"/>
          <w:w w:val="105"/>
        </w:rPr>
        <w:t> </w:t>
      </w:r>
      <w:r>
        <w:rPr>
          <w:color w:val="231F20"/>
          <w:w w:val="105"/>
        </w:rPr>
        <w:t>referred</w:t>
      </w:r>
      <w:r>
        <w:rPr>
          <w:color w:val="231F20"/>
          <w:spacing w:val="-9"/>
          <w:w w:val="105"/>
        </w:rPr>
        <w:t> </w:t>
      </w:r>
      <w:r>
        <w:rPr>
          <w:color w:val="231F20"/>
          <w:w w:val="105"/>
        </w:rPr>
        <w:t>in</w:t>
      </w:r>
      <w:r>
        <w:rPr>
          <w:color w:val="231F20"/>
          <w:spacing w:val="-24"/>
          <w:w w:val="105"/>
        </w:rPr>
        <w:t> </w:t>
      </w:r>
      <w:r>
        <w:rPr>
          <w:color w:val="231F20"/>
          <w:spacing w:val="-5"/>
          <w:w w:val="105"/>
        </w:rPr>
        <w:t>Table</w:t>
      </w:r>
      <w:r>
        <w:rPr>
          <w:color w:val="231F20"/>
          <w:spacing w:val="-17"/>
          <w:w w:val="105"/>
        </w:rPr>
        <w:t> </w:t>
      </w:r>
      <w:r>
        <w:rPr>
          <w:color w:val="231F20"/>
          <w:w w:val="105"/>
        </w:rPr>
        <w:t>A</w:t>
      </w:r>
      <w:r>
        <w:rPr>
          <w:color w:val="231F20"/>
          <w:spacing w:val="-9"/>
          <w:w w:val="105"/>
        </w:rPr>
        <w:t> </w:t>
      </w:r>
      <w:r>
        <w:rPr>
          <w:color w:val="231F20"/>
          <w:spacing w:val="-4"/>
          <w:w w:val="105"/>
        </w:rPr>
        <w:t>below.</w:t>
      </w:r>
      <w:r>
        <w:rPr>
          <w:color w:val="231F20"/>
          <w:spacing w:val="-9"/>
          <w:w w:val="105"/>
        </w:rPr>
        <w:t> </w:t>
      </w:r>
      <w:r>
        <w:rPr>
          <w:color w:val="231F20"/>
          <w:spacing w:val="-4"/>
          <w:w w:val="105"/>
        </w:rPr>
        <w:t>For</w:t>
      </w:r>
      <w:r>
        <w:rPr>
          <w:color w:val="231F20"/>
          <w:spacing w:val="-9"/>
          <w:w w:val="105"/>
        </w:rPr>
        <w:t> </w:t>
      </w:r>
      <w:r>
        <w:rPr>
          <w:color w:val="231F20"/>
          <w:w w:val="105"/>
        </w:rPr>
        <w:t>some</w:t>
      </w:r>
      <w:r>
        <w:rPr>
          <w:color w:val="231F20"/>
          <w:spacing w:val="-9"/>
          <w:w w:val="105"/>
        </w:rPr>
        <w:t> </w:t>
      </w:r>
      <w:r>
        <w:rPr>
          <w:color w:val="231F20"/>
          <w:w w:val="105"/>
        </w:rPr>
        <w:t>jurisdictions, this has been supplemented by additional information presented by</w:t>
      </w:r>
      <w:r>
        <w:rPr>
          <w:color w:val="231F20"/>
          <w:spacing w:val="45"/>
          <w:w w:val="105"/>
        </w:rPr>
        <w:t> </w:t>
      </w:r>
      <w:r>
        <w:rPr>
          <w:color w:val="231F20"/>
          <w:w w:val="105"/>
        </w:rPr>
        <w:t>courts:</w:t>
      </w:r>
    </w:p>
    <w:p>
      <w:pPr>
        <w:pStyle w:val="BodyText"/>
        <w:spacing w:before="9"/>
        <w:rPr>
          <w:sz w:val="23"/>
        </w:rPr>
      </w:pPr>
    </w:p>
    <w:p>
      <w:pPr>
        <w:pStyle w:val="BodyText"/>
        <w:spacing w:before="94" w:after="57"/>
        <w:ind w:left="1700"/>
      </w:pPr>
      <w:r>
        <w:rPr>
          <w:b/>
          <w:color w:val="231F20"/>
          <w:w w:val="105"/>
        </w:rPr>
        <w:t>Table A </w:t>
      </w:r>
      <w:r>
        <w:rPr>
          <w:color w:val="231F20"/>
          <w:w w:val="105"/>
        </w:rPr>
        <w:t>Data for 2018 PJSI Court Performance Trend Report</w:t>
      </w:r>
    </w:p>
    <w:tbl>
      <w:tblPr>
        <w:tblW w:w="0" w:type="auto"/>
        <w:jc w:val="left"/>
        <w:tblInd w:w="1705" w:type="dxa"/>
        <w:tblBorders>
          <w:top w:val="single" w:sz="8" w:space="0" w:color="65A5AE"/>
          <w:left w:val="single" w:sz="8" w:space="0" w:color="65A5AE"/>
          <w:bottom w:val="single" w:sz="8" w:space="0" w:color="65A5AE"/>
          <w:right w:val="single" w:sz="8" w:space="0" w:color="65A5AE"/>
          <w:insideH w:val="single" w:sz="8" w:space="0" w:color="65A5AE"/>
          <w:insideV w:val="single" w:sz="8" w:space="0" w:color="65A5AE"/>
        </w:tblBorders>
        <w:tblLayout w:type="fixed"/>
        <w:tblCellMar>
          <w:top w:w="0" w:type="dxa"/>
          <w:left w:w="0" w:type="dxa"/>
          <w:bottom w:w="0" w:type="dxa"/>
          <w:right w:w="0" w:type="dxa"/>
        </w:tblCellMar>
        <w:tblLook w:val="01E0"/>
      </w:tblPr>
      <w:tblGrid>
        <w:gridCol w:w="1351"/>
        <w:gridCol w:w="2060"/>
        <w:gridCol w:w="2953"/>
        <w:gridCol w:w="2130"/>
      </w:tblGrid>
      <w:tr>
        <w:trPr>
          <w:trHeight w:val="1240" w:hRule="atLeast"/>
        </w:trPr>
        <w:tc>
          <w:tcPr>
            <w:tcW w:w="1351" w:type="dxa"/>
            <w:tcBorders>
              <w:left w:val="single" w:sz="4" w:space="0" w:color="808285"/>
              <w:bottom w:val="single" w:sz="4" w:space="0" w:color="808285"/>
              <w:right w:val="single" w:sz="4" w:space="0" w:color="808285"/>
            </w:tcBorders>
            <w:shd w:val="clear" w:color="auto" w:fill="92BAC2"/>
          </w:tcPr>
          <w:p>
            <w:pPr>
              <w:pStyle w:val="TableParagraph"/>
              <w:rPr>
                <w:rFonts w:ascii="Times New Roman"/>
                <w:sz w:val="18"/>
              </w:rPr>
            </w:pPr>
          </w:p>
        </w:tc>
        <w:tc>
          <w:tcPr>
            <w:tcW w:w="2060" w:type="dxa"/>
            <w:tcBorders>
              <w:left w:val="single" w:sz="4" w:space="0" w:color="808285"/>
              <w:bottom w:val="single" w:sz="4" w:space="0" w:color="808285"/>
              <w:right w:val="single" w:sz="4" w:space="0" w:color="808285"/>
            </w:tcBorders>
            <w:shd w:val="clear" w:color="auto" w:fill="92BAC2"/>
          </w:tcPr>
          <w:p>
            <w:pPr>
              <w:pStyle w:val="TableParagraph"/>
              <w:spacing w:before="64"/>
              <w:ind w:left="79" w:right="107"/>
              <w:rPr>
                <w:b/>
                <w:sz w:val="19"/>
              </w:rPr>
            </w:pPr>
            <w:r>
              <w:rPr>
                <w:b/>
                <w:color w:val="231F20"/>
                <w:w w:val="105"/>
                <w:sz w:val="19"/>
              </w:rPr>
              <w:t>Annual Report or Year of Court data referred to in the Trend Report (hardcopy or e –copy on file)</w:t>
            </w:r>
          </w:p>
        </w:tc>
        <w:tc>
          <w:tcPr>
            <w:tcW w:w="2953" w:type="dxa"/>
            <w:tcBorders>
              <w:left w:val="single" w:sz="4" w:space="0" w:color="808285"/>
              <w:bottom w:val="single" w:sz="4" w:space="0" w:color="808285"/>
              <w:right w:val="single" w:sz="4" w:space="0" w:color="808285"/>
            </w:tcBorders>
            <w:shd w:val="clear" w:color="auto" w:fill="92BAC2"/>
          </w:tcPr>
          <w:p>
            <w:pPr>
              <w:pStyle w:val="TableParagraph"/>
              <w:spacing w:before="64"/>
              <w:ind w:left="79"/>
              <w:rPr>
                <w:b/>
                <w:sz w:val="19"/>
              </w:rPr>
            </w:pPr>
            <w:r>
              <w:rPr>
                <w:b/>
                <w:color w:val="231F20"/>
                <w:w w:val="105"/>
                <w:sz w:val="19"/>
              </w:rPr>
              <w:t>Court Website</w:t>
            </w:r>
          </w:p>
        </w:tc>
        <w:tc>
          <w:tcPr>
            <w:tcW w:w="2130" w:type="dxa"/>
            <w:tcBorders>
              <w:left w:val="single" w:sz="4" w:space="0" w:color="808285"/>
              <w:bottom w:val="single" w:sz="4" w:space="0" w:color="808285"/>
              <w:right w:val="single" w:sz="4" w:space="0" w:color="808285"/>
            </w:tcBorders>
            <w:shd w:val="clear" w:color="auto" w:fill="92BAC2"/>
          </w:tcPr>
          <w:p>
            <w:pPr>
              <w:pStyle w:val="TableParagraph"/>
              <w:spacing w:before="64"/>
              <w:ind w:left="79"/>
              <w:rPr>
                <w:b/>
                <w:sz w:val="19"/>
              </w:rPr>
            </w:pPr>
            <w:r>
              <w:rPr>
                <w:b/>
                <w:color w:val="231F20"/>
                <w:w w:val="105"/>
                <w:sz w:val="19"/>
              </w:rPr>
              <w:t>Annual Report on website; if </w:t>
            </w:r>
            <w:r>
              <w:rPr>
                <w:b/>
                <w:color w:val="231F20"/>
                <w:spacing w:val="-9"/>
                <w:w w:val="105"/>
                <w:sz w:val="19"/>
              </w:rPr>
              <w:t>Yes </w:t>
            </w:r>
            <w:r>
              <w:rPr>
                <w:b/>
                <w:color w:val="231F20"/>
                <w:spacing w:val="-3"/>
                <w:w w:val="105"/>
                <w:sz w:val="19"/>
              </w:rPr>
              <w:t>what </w:t>
            </w:r>
            <w:r>
              <w:rPr>
                <w:b/>
                <w:color w:val="231F20"/>
                <w:w w:val="105"/>
                <w:sz w:val="19"/>
              </w:rPr>
              <w:t>is the latest </w:t>
            </w:r>
            <w:r>
              <w:rPr>
                <w:b/>
                <w:color w:val="231F20"/>
                <w:spacing w:val="-3"/>
                <w:w w:val="105"/>
                <w:sz w:val="19"/>
              </w:rPr>
              <w:t>year</w:t>
            </w:r>
          </w:p>
        </w:tc>
      </w:tr>
      <w:tr>
        <w:trPr>
          <w:trHeight w:val="827"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Pr>
                <w:sz w:val="19"/>
              </w:rPr>
            </w:pPr>
            <w:r>
              <w:rPr>
                <w:color w:val="231F20"/>
                <w:w w:val="110"/>
                <w:sz w:val="19"/>
              </w:rPr>
              <w:t>Cook Islands</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765"/>
              <w:rPr>
                <w:sz w:val="19"/>
              </w:rPr>
            </w:pPr>
            <w:r>
              <w:rPr>
                <w:color w:val="231F20"/>
                <w:w w:val="105"/>
                <w:sz w:val="19"/>
              </w:rPr>
              <w:t>Annual Report </w:t>
            </w:r>
            <w:r>
              <w:rPr>
                <w:color w:val="231F20"/>
                <w:w w:val="110"/>
                <w:sz w:val="19"/>
              </w:rPr>
              <w:t>2016-2017</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10"/>
                <w:sz w:val="19"/>
              </w:rPr>
              <w:t>YES</w:t>
            </w:r>
          </w:p>
          <w:p>
            <w:pPr>
              <w:pStyle w:val="TableParagraph"/>
              <w:spacing w:before="55"/>
              <w:ind w:left="79"/>
              <w:rPr>
                <w:b/>
                <w:sz w:val="19"/>
              </w:rPr>
            </w:pPr>
            <w:hyperlink r:id="rId60">
              <w:r>
                <w:rPr>
                  <w:b/>
                  <w:color w:val="00403F"/>
                  <w:w w:val="105"/>
                  <w:sz w:val="19"/>
                </w:rPr>
                <w:t>http://www.justice.gov.ck</w:t>
              </w:r>
            </w:hyperlink>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283"/>
              <w:rPr>
                <w:sz w:val="19"/>
              </w:rPr>
            </w:pPr>
            <w:r>
              <w:rPr>
                <w:color w:val="231F20"/>
                <w:w w:val="105"/>
                <w:sz w:val="19"/>
              </w:rPr>
              <w:t>2015-2016 Annual Report on Ministry of Justice website</w:t>
            </w:r>
          </w:p>
        </w:tc>
      </w:tr>
      <w:tr>
        <w:trPr>
          <w:trHeight w:val="840"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ight="18"/>
              <w:rPr>
                <w:sz w:val="19"/>
              </w:rPr>
            </w:pPr>
            <w:r>
              <w:rPr>
                <w:color w:val="231F20"/>
                <w:sz w:val="19"/>
              </w:rPr>
              <w:t>Federated States of Micronesia</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05"/>
                <w:sz w:val="19"/>
              </w:rPr>
              <w:t>Annual Report 2018</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line="231" w:lineRule="exact" w:before="68"/>
              <w:ind w:left="79"/>
              <w:rPr>
                <w:sz w:val="19"/>
              </w:rPr>
            </w:pPr>
            <w:r>
              <w:rPr>
                <w:color w:val="231F20"/>
                <w:w w:val="110"/>
                <w:sz w:val="19"/>
              </w:rPr>
              <w:t>YES</w:t>
            </w:r>
          </w:p>
          <w:p>
            <w:pPr>
              <w:pStyle w:val="TableParagraph"/>
              <w:spacing w:line="231" w:lineRule="exact"/>
              <w:ind w:left="79"/>
              <w:rPr>
                <w:b/>
                <w:sz w:val="19"/>
              </w:rPr>
            </w:pPr>
            <w:hyperlink r:id="rId61">
              <w:r>
                <w:rPr>
                  <w:b/>
                  <w:color w:val="00403F"/>
                  <w:w w:val="105"/>
                  <w:sz w:val="19"/>
                </w:rPr>
                <w:t>www.fsmsupremecourt.org</w:t>
              </w:r>
            </w:hyperlink>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291"/>
              <w:rPr>
                <w:sz w:val="19"/>
              </w:rPr>
            </w:pPr>
            <w:r>
              <w:rPr>
                <w:color w:val="231F20"/>
                <w:w w:val="105"/>
                <w:sz w:val="19"/>
              </w:rPr>
              <w:t>2018 Annual </w:t>
            </w:r>
            <w:r>
              <w:rPr>
                <w:color w:val="231F20"/>
                <w:spacing w:val="-2"/>
                <w:w w:val="105"/>
                <w:sz w:val="19"/>
              </w:rPr>
              <w:t>Report </w:t>
            </w:r>
            <w:r>
              <w:rPr>
                <w:color w:val="231F20"/>
                <w:w w:val="105"/>
                <w:sz w:val="19"/>
              </w:rPr>
              <w:t>is on Court and </w:t>
            </w:r>
            <w:r>
              <w:rPr>
                <w:color w:val="231F20"/>
                <w:spacing w:val="-5"/>
                <w:w w:val="105"/>
                <w:sz w:val="19"/>
              </w:rPr>
              <w:t>PacLII </w:t>
            </w:r>
            <w:r>
              <w:rPr>
                <w:color w:val="231F20"/>
                <w:w w:val="105"/>
                <w:sz w:val="19"/>
              </w:rPr>
              <w:t>websites</w:t>
            </w:r>
          </w:p>
        </w:tc>
      </w:tr>
      <w:tr>
        <w:trPr>
          <w:trHeight w:val="585"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Pr>
                <w:sz w:val="19"/>
              </w:rPr>
            </w:pPr>
            <w:r>
              <w:rPr>
                <w:color w:val="231F20"/>
                <w:w w:val="105"/>
                <w:sz w:val="19"/>
              </w:rPr>
              <w:t>Kiribati</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10"/>
                <w:sz w:val="19"/>
              </w:rPr>
              <w:t>2012-2014</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25"/>
                <w:sz w:val="19"/>
              </w:rPr>
              <w:t>NO</w:t>
            </w:r>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line="231" w:lineRule="exact" w:before="68"/>
              <w:ind w:left="79"/>
              <w:rPr>
                <w:sz w:val="19"/>
              </w:rPr>
            </w:pPr>
            <w:r>
              <w:rPr>
                <w:color w:val="231F20"/>
                <w:w w:val="110"/>
                <w:sz w:val="19"/>
              </w:rPr>
              <w:t>YES 2012-2014 on</w:t>
            </w:r>
          </w:p>
          <w:p>
            <w:pPr>
              <w:pStyle w:val="TableParagraph"/>
              <w:spacing w:line="231" w:lineRule="exact"/>
              <w:ind w:left="79"/>
              <w:rPr>
                <w:sz w:val="19"/>
              </w:rPr>
            </w:pPr>
            <w:r>
              <w:rPr>
                <w:color w:val="231F20"/>
                <w:w w:val="105"/>
                <w:sz w:val="19"/>
              </w:rPr>
              <w:t>PacLII website</w:t>
            </w:r>
          </w:p>
        </w:tc>
      </w:tr>
      <w:tr>
        <w:trPr>
          <w:trHeight w:val="607"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ight="18"/>
              <w:rPr>
                <w:sz w:val="19"/>
              </w:rPr>
            </w:pPr>
            <w:r>
              <w:rPr>
                <w:color w:val="231F20"/>
                <w:w w:val="105"/>
                <w:sz w:val="19"/>
              </w:rPr>
              <w:t>Marshall Islands</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05"/>
                <w:sz w:val="19"/>
              </w:rPr>
              <w:t>Annual Report 2017</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line="231" w:lineRule="exact" w:before="68"/>
              <w:ind w:left="79"/>
              <w:rPr>
                <w:sz w:val="19"/>
              </w:rPr>
            </w:pPr>
            <w:r>
              <w:rPr>
                <w:color w:val="231F20"/>
                <w:w w:val="110"/>
                <w:sz w:val="19"/>
              </w:rPr>
              <w:t>YES</w:t>
            </w:r>
          </w:p>
          <w:p>
            <w:pPr>
              <w:pStyle w:val="TableParagraph"/>
              <w:spacing w:line="231" w:lineRule="exact"/>
              <w:ind w:left="79"/>
              <w:rPr>
                <w:b/>
                <w:sz w:val="19"/>
              </w:rPr>
            </w:pPr>
            <w:hyperlink r:id="rId62">
              <w:r>
                <w:rPr>
                  <w:b/>
                  <w:color w:val="00403F"/>
                  <w:sz w:val="19"/>
                </w:rPr>
                <w:t>http://rmicourts.org/</w:t>
              </w:r>
            </w:hyperlink>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146"/>
              <w:rPr>
                <w:sz w:val="19"/>
              </w:rPr>
            </w:pPr>
            <w:r>
              <w:rPr>
                <w:color w:val="231F20"/>
                <w:w w:val="105"/>
                <w:sz w:val="19"/>
              </w:rPr>
              <w:t>2017 Annual Report on Court website</w:t>
            </w:r>
          </w:p>
        </w:tc>
      </w:tr>
      <w:tr>
        <w:trPr>
          <w:trHeight w:val="609"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Pr>
                <w:sz w:val="19"/>
              </w:rPr>
            </w:pPr>
            <w:r>
              <w:rPr>
                <w:color w:val="231F20"/>
                <w:w w:val="110"/>
                <w:sz w:val="19"/>
              </w:rPr>
              <w:t>Nauru</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line="231" w:lineRule="exact" w:before="68"/>
              <w:ind w:left="79"/>
              <w:rPr>
                <w:sz w:val="19"/>
              </w:rPr>
            </w:pPr>
            <w:r>
              <w:rPr>
                <w:color w:val="231F20"/>
                <w:w w:val="110"/>
                <w:sz w:val="19"/>
              </w:rPr>
              <w:t>2016-2017</w:t>
            </w:r>
          </w:p>
          <w:p>
            <w:pPr>
              <w:pStyle w:val="TableParagraph"/>
              <w:spacing w:line="231" w:lineRule="exact"/>
              <w:ind w:left="79"/>
              <w:rPr>
                <w:sz w:val="19"/>
              </w:rPr>
            </w:pPr>
            <w:r>
              <w:rPr>
                <w:color w:val="231F20"/>
                <w:w w:val="105"/>
                <w:sz w:val="19"/>
              </w:rPr>
              <w:t>Annual Report</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25"/>
                <w:sz w:val="19"/>
              </w:rPr>
              <w:t>NO</w:t>
            </w:r>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17"/>
              <w:rPr>
                <w:sz w:val="19"/>
              </w:rPr>
            </w:pPr>
            <w:r>
              <w:rPr>
                <w:color w:val="231F20"/>
                <w:w w:val="105"/>
                <w:sz w:val="19"/>
              </w:rPr>
              <w:t>2009 -2010 Annual Report on PacLII website</w:t>
            </w:r>
          </w:p>
        </w:tc>
      </w:tr>
      <w:tr>
        <w:trPr>
          <w:trHeight w:val="612"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Pr>
                <w:sz w:val="19"/>
              </w:rPr>
            </w:pPr>
            <w:r>
              <w:rPr>
                <w:color w:val="231F20"/>
                <w:w w:val="110"/>
                <w:sz w:val="19"/>
              </w:rPr>
              <w:t>Niue</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765"/>
              <w:rPr>
                <w:sz w:val="19"/>
              </w:rPr>
            </w:pPr>
            <w:r>
              <w:rPr>
                <w:color w:val="231F20"/>
                <w:w w:val="105"/>
                <w:sz w:val="19"/>
              </w:rPr>
              <w:t>Annual Report </w:t>
            </w:r>
            <w:r>
              <w:rPr>
                <w:color w:val="231F20"/>
                <w:w w:val="110"/>
                <w:sz w:val="19"/>
              </w:rPr>
              <w:t>2014-2015</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25"/>
                <w:sz w:val="19"/>
              </w:rPr>
              <w:t>NO</w:t>
            </w:r>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17"/>
              <w:rPr>
                <w:sz w:val="19"/>
              </w:rPr>
            </w:pPr>
            <w:r>
              <w:rPr>
                <w:color w:val="231F20"/>
                <w:w w:val="110"/>
                <w:sz w:val="19"/>
              </w:rPr>
              <w:t>2013-2014 Annual </w:t>
            </w:r>
            <w:r>
              <w:rPr>
                <w:color w:val="231F20"/>
                <w:w w:val="105"/>
                <w:sz w:val="19"/>
              </w:rPr>
              <w:t>Report on PacLII website</w:t>
            </w:r>
          </w:p>
        </w:tc>
      </w:tr>
      <w:tr>
        <w:trPr>
          <w:trHeight w:val="784"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Pr>
                <w:sz w:val="19"/>
              </w:rPr>
            </w:pPr>
            <w:r>
              <w:rPr>
                <w:color w:val="231F20"/>
                <w:w w:val="105"/>
                <w:sz w:val="19"/>
              </w:rPr>
              <w:t>Palau</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05"/>
                <w:sz w:val="19"/>
              </w:rPr>
              <w:t>Annual Report 2017</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line="231" w:lineRule="exact" w:before="68"/>
              <w:ind w:left="79"/>
              <w:rPr>
                <w:sz w:val="19"/>
              </w:rPr>
            </w:pPr>
            <w:r>
              <w:rPr>
                <w:color w:val="231F20"/>
                <w:w w:val="110"/>
                <w:sz w:val="19"/>
              </w:rPr>
              <w:t>YES</w:t>
            </w:r>
          </w:p>
          <w:p>
            <w:pPr>
              <w:pStyle w:val="TableParagraph"/>
              <w:ind w:left="79"/>
              <w:rPr>
                <w:b/>
                <w:sz w:val="19"/>
              </w:rPr>
            </w:pPr>
            <w:r>
              <w:rPr>
                <w:b/>
                <w:color w:val="00403F"/>
                <w:sz w:val="19"/>
              </w:rPr>
              <w:t>http://www.palausupremecourt. net/</w:t>
            </w:r>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232"/>
              <w:rPr>
                <w:sz w:val="19"/>
              </w:rPr>
            </w:pPr>
            <w:r>
              <w:rPr>
                <w:color w:val="231F20"/>
                <w:w w:val="105"/>
                <w:sz w:val="19"/>
              </w:rPr>
              <w:t>2018 Annual Report on Court website and PacLII</w:t>
            </w:r>
          </w:p>
        </w:tc>
      </w:tr>
      <w:tr>
        <w:trPr>
          <w:trHeight w:val="784"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ight="18"/>
              <w:rPr>
                <w:sz w:val="19"/>
              </w:rPr>
            </w:pPr>
            <w:r>
              <w:rPr>
                <w:color w:val="231F20"/>
                <w:w w:val="105"/>
                <w:sz w:val="19"/>
              </w:rPr>
              <w:t>PNG Supreme </w:t>
            </w:r>
            <w:r>
              <w:rPr>
                <w:color w:val="231F20"/>
                <w:w w:val="110"/>
                <w:sz w:val="19"/>
              </w:rPr>
              <w:t>&amp; National Courts</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05"/>
                <w:sz w:val="19"/>
              </w:rPr>
              <w:t>Annual Report 2017</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line="231" w:lineRule="exact" w:before="68"/>
              <w:ind w:left="79"/>
              <w:rPr>
                <w:sz w:val="19"/>
              </w:rPr>
            </w:pPr>
            <w:r>
              <w:rPr>
                <w:color w:val="231F20"/>
                <w:w w:val="110"/>
                <w:sz w:val="19"/>
              </w:rPr>
              <w:t>YES</w:t>
            </w:r>
          </w:p>
          <w:p>
            <w:pPr>
              <w:pStyle w:val="TableParagraph"/>
              <w:spacing w:line="231" w:lineRule="exact"/>
              <w:ind w:left="79"/>
              <w:rPr>
                <w:b/>
                <w:sz w:val="19"/>
              </w:rPr>
            </w:pPr>
            <w:hyperlink r:id="rId63">
              <w:r>
                <w:rPr>
                  <w:b/>
                  <w:color w:val="00403F"/>
                  <w:w w:val="105"/>
                  <w:sz w:val="19"/>
                </w:rPr>
                <w:t>www.pngjudiciary.gov.pg</w:t>
              </w:r>
            </w:hyperlink>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25"/>
                <w:sz w:val="19"/>
              </w:rPr>
              <w:t>NO</w:t>
            </w:r>
          </w:p>
        </w:tc>
      </w:tr>
      <w:tr>
        <w:trPr>
          <w:trHeight w:val="1066"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Pr>
                <w:sz w:val="19"/>
              </w:rPr>
            </w:pPr>
            <w:r>
              <w:rPr>
                <w:color w:val="231F20"/>
                <w:w w:val="105"/>
                <w:sz w:val="19"/>
              </w:rPr>
              <w:t>Samoa</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51"/>
              <w:rPr>
                <w:sz w:val="19"/>
              </w:rPr>
            </w:pPr>
            <w:r>
              <w:rPr>
                <w:color w:val="231F20"/>
                <w:w w:val="105"/>
                <w:sz w:val="19"/>
              </w:rPr>
              <w:t>Court data contributed to MJCA Annual Report 2016-2017</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before="69"/>
              <w:ind w:left="79" w:right="259"/>
              <w:rPr>
                <w:b/>
                <w:sz w:val="19"/>
              </w:rPr>
            </w:pPr>
            <w:hyperlink r:id="rId64">
              <w:r>
                <w:rPr>
                  <w:b/>
                  <w:color w:val="00403F"/>
                  <w:sz w:val="19"/>
                </w:rPr>
                <w:t>http://www.palemene.ws/new/</w:t>
              </w:r>
            </w:hyperlink>
            <w:r>
              <w:rPr>
                <w:b/>
                <w:color w:val="00403F"/>
                <w:sz w:val="19"/>
              </w:rPr>
              <w:t> </w:t>
            </w:r>
            <w:r>
              <w:rPr>
                <w:b/>
                <w:color w:val="00403F"/>
                <w:w w:val="105"/>
                <w:sz w:val="19"/>
              </w:rPr>
              <w:t>parliament-business/annual- </w:t>
            </w:r>
            <w:r>
              <w:rPr>
                <w:b/>
                <w:color w:val="00403F"/>
                <w:sz w:val="19"/>
              </w:rPr>
              <w:t>reports/ministry-of-justice-and- </w:t>
            </w:r>
            <w:r>
              <w:rPr>
                <w:b/>
                <w:color w:val="00403F"/>
                <w:w w:val="105"/>
                <w:sz w:val="19"/>
              </w:rPr>
              <w:t>courts-administration/</w:t>
            </w:r>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line="231" w:lineRule="exact" w:before="68"/>
              <w:ind w:left="79"/>
              <w:rPr>
                <w:sz w:val="19"/>
              </w:rPr>
            </w:pPr>
            <w:r>
              <w:rPr>
                <w:color w:val="231F20"/>
                <w:w w:val="110"/>
                <w:sz w:val="19"/>
              </w:rPr>
              <w:t>2012-2013 MJCA</w:t>
            </w:r>
          </w:p>
          <w:p>
            <w:pPr>
              <w:pStyle w:val="TableParagraph"/>
              <w:ind w:left="79" w:right="146"/>
              <w:rPr>
                <w:sz w:val="19"/>
              </w:rPr>
            </w:pPr>
            <w:r>
              <w:rPr>
                <w:color w:val="231F20"/>
                <w:w w:val="105"/>
                <w:sz w:val="19"/>
              </w:rPr>
              <w:t>Annual Report is available on the MJCA website</w:t>
            </w:r>
          </w:p>
        </w:tc>
      </w:tr>
      <w:tr>
        <w:trPr>
          <w:trHeight w:val="651"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ight="523"/>
              <w:rPr>
                <w:sz w:val="19"/>
              </w:rPr>
            </w:pPr>
            <w:r>
              <w:rPr>
                <w:color w:val="231F20"/>
                <w:w w:val="105"/>
                <w:sz w:val="19"/>
              </w:rPr>
              <w:t>Solomon Islands</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765"/>
              <w:rPr>
                <w:sz w:val="19"/>
              </w:rPr>
            </w:pPr>
            <w:r>
              <w:rPr>
                <w:color w:val="231F20"/>
                <w:w w:val="105"/>
                <w:sz w:val="19"/>
              </w:rPr>
              <w:t>Annual Report </w:t>
            </w:r>
            <w:r>
              <w:rPr>
                <w:color w:val="231F20"/>
                <w:w w:val="110"/>
                <w:sz w:val="19"/>
              </w:rPr>
              <w:t>2012-2014</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25"/>
                <w:sz w:val="19"/>
              </w:rPr>
              <w:t>NO</w:t>
            </w:r>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232"/>
              <w:rPr>
                <w:sz w:val="19"/>
              </w:rPr>
            </w:pPr>
            <w:r>
              <w:rPr>
                <w:color w:val="231F20"/>
                <w:w w:val="105"/>
                <w:sz w:val="19"/>
              </w:rPr>
              <w:t>2009 Annual Report is on the PacLII website</w:t>
            </w:r>
          </w:p>
        </w:tc>
      </w:tr>
      <w:tr>
        <w:trPr>
          <w:trHeight w:val="793"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Pr>
                <w:sz w:val="19"/>
              </w:rPr>
            </w:pPr>
            <w:r>
              <w:rPr>
                <w:color w:val="231F20"/>
                <w:w w:val="110"/>
                <w:sz w:val="19"/>
              </w:rPr>
              <w:t>Tokelau</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765"/>
              <w:rPr>
                <w:sz w:val="19"/>
              </w:rPr>
            </w:pPr>
            <w:r>
              <w:rPr>
                <w:color w:val="231F20"/>
                <w:w w:val="105"/>
                <w:sz w:val="19"/>
              </w:rPr>
              <w:t>Annual Report </w:t>
            </w:r>
            <w:r>
              <w:rPr>
                <w:color w:val="231F20"/>
                <w:w w:val="110"/>
                <w:sz w:val="19"/>
              </w:rPr>
              <w:t>2016-2018</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25"/>
                <w:sz w:val="19"/>
              </w:rPr>
              <w:t>NO</w:t>
            </w:r>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246"/>
              <w:rPr>
                <w:sz w:val="19"/>
              </w:rPr>
            </w:pPr>
            <w:r>
              <w:rPr>
                <w:color w:val="231F20"/>
                <w:w w:val="110"/>
                <w:sz w:val="19"/>
              </w:rPr>
              <w:t>2015-2016 </w:t>
            </w:r>
            <w:r>
              <w:rPr>
                <w:color w:val="231F20"/>
                <w:spacing w:val="-2"/>
                <w:w w:val="110"/>
                <w:sz w:val="19"/>
              </w:rPr>
              <w:t>Annual </w:t>
            </w:r>
            <w:r>
              <w:rPr>
                <w:color w:val="231F20"/>
                <w:w w:val="110"/>
                <w:sz w:val="19"/>
              </w:rPr>
              <w:t>Report</w:t>
            </w:r>
            <w:r>
              <w:rPr>
                <w:color w:val="231F20"/>
                <w:spacing w:val="-22"/>
                <w:w w:val="110"/>
                <w:sz w:val="19"/>
              </w:rPr>
              <w:t> </w:t>
            </w:r>
            <w:r>
              <w:rPr>
                <w:color w:val="231F20"/>
                <w:w w:val="110"/>
                <w:sz w:val="19"/>
              </w:rPr>
              <w:t>is</w:t>
            </w:r>
            <w:r>
              <w:rPr>
                <w:color w:val="231F20"/>
                <w:spacing w:val="-22"/>
                <w:w w:val="110"/>
                <w:sz w:val="19"/>
              </w:rPr>
              <w:t> </w:t>
            </w:r>
            <w:r>
              <w:rPr>
                <w:color w:val="231F20"/>
                <w:w w:val="110"/>
                <w:sz w:val="19"/>
              </w:rPr>
              <w:t>on</w:t>
            </w:r>
            <w:r>
              <w:rPr>
                <w:color w:val="231F20"/>
                <w:spacing w:val="-22"/>
                <w:w w:val="110"/>
                <w:sz w:val="19"/>
              </w:rPr>
              <w:t> </w:t>
            </w:r>
            <w:r>
              <w:rPr>
                <w:color w:val="231F20"/>
                <w:w w:val="110"/>
                <w:sz w:val="19"/>
              </w:rPr>
              <w:t>the</w:t>
            </w:r>
            <w:r>
              <w:rPr>
                <w:color w:val="231F20"/>
                <w:spacing w:val="-22"/>
                <w:w w:val="110"/>
                <w:sz w:val="19"/>
              </w:rPr>
              <w:t> </w:t>
            </w:r>
            <w:r>
              <w:rPr>
                <w:color w:val="231F20"/>
                <w:spacing w:val="-5"/>
                <w:w w:val="110"/>
                <w:sz w:val="19"/>
              </w:rPr>
              <w:t>PacLII </w:t>
            </w:r>
            <w:r>
              <w:rPr>
                <w:color w:val="231F20"/>
                <w:w w:val="110"/>
                <w:sz w:val="19"/>
              </w:rPr>
              <w:t>website</w:t>
            </w:r>
          </w:p>
        </w:tc>
      </w:tr>
      <w:tr>
        <w:trPr>
          <w:trHeight w:val="584"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Pr>
                <w:sz w:val="19"/>
              </w:rPr>
            </w:pPr>
            <w:r>
              <w:rPr>
                <w:color w:val="231F20"/>
                <w:w w:val="105"/>
                <w:sz w:val="19"/>
              </w:rPr>
              <w:t>Tonga</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05"/>
                <w:sz w:val="19"/>
              </w:rPr>
              <w:t>Annual Report 2017</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line="231" w:lineRule="exact" w:before="68"/>
              <w:ind w:left="79"/>
              <w:rPr>
                <w:sz w:val="19"/>
              </w:rPr>
            </w:pPr>
            <w:r>
              <w:rPr>
                <w:color w:val="231F20"/>
                <w:w w:val="110"/>
                <w:sz w:val="19"/>
              </w:rPr>
              <w:t>YES</w:t>
            </w:r>
          </w:p>
          <w:p>
            <w:pPr>
              <w:pStyle w:val="TableParagraph"/>
              <w:spacing w:line="231" w:lineRule="exact"/>
              <w:ind w:left="79"/>
              <w:rPr>
                <w:b/>
                <w:sz w:val="19"/>
              </w:rPr>
            </w:pPr>
            <w:hyperlink r:id="rId65">
              <w:r>
                <w:rPr>
                  <w:b/>
                  <w:color w:val="00403F"/>
                  <w:w w:val="105"/>
                  <w:sz w:val="19"/>
                </w:rPr>
                <w:t>http://www.justice.gov.to</w:t>
              </w:r>
            </w:hyperlink>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232"/>
              <w:rPr>
                <w:sz w:val="19"/>
              </w:rPr>
            </w:pPr>
            <w:r>
              <w:rPr>
                <w:color w:val="231F20"/>
                <w:w w:val="105"/>
                <w:sz w:val="19"/>
              </w:rPr>
              <w:t>2018 Annual Report is on the PacLII website</w:t>
            </w:r>
          </w:p>
        </w:tc>
      </w:tr>
      <w:tr>
        <w:trPr>
          <w:trHeight w:val="366"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Pr>
                <w:sz w:val="19"/>
              </w:rPr>
            </w:pPr>
            <w:r>
              <w:rPr>
                <w:color w:val="231F20"/>
                <w:w w:val="110"/>
                <w:sz w:val="19"/>
              </w:rPr>
              <w:t>Tuvalu</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10"/>
                <w:sz w:val="19"/>
              </w:rPr>
              <w:t>No Annual Report</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25"/>
                <w:sz w:val="19"/>
              </w:rPr>
              <w:t>NO</w:t>
            </w:r>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25"/>
                <w:sz w:val="19"/>
              </w:rPr>
              <w:t>NO</w:t>
            </w:r>
          </w:p>
        </w:tc>
      </w:tr>
      <w:tr>
        <w:trPr>
          <w:trHeight w:val="1191" w:hRule="atLeast"/>
        </w:trPr>
        <w:tc>
          <w:tcPr>
            <w:tcW w:w="1351" w:type="dxa"/>
            <w:tcBorders>
              <w:top w:val="single" w:sz="4" w:space="0" w:color="808285"/>
              <w:left w:val="single" w:sz="4" w:space="0" w:color="808285"/>
              <w:bottom w:val="single" w:sz="4" w:space="0" w:color="808285"/>
              <w:right w:val="single" w:sz="4" w:space="0" w:color="808285"/>
            </w:tcBorders>
            <w:shd w:val="clear" w:color="auto" w:fill="DFE8F6"/>
          </w:tcPr>
          <w:p>
            <w:pPr>
              <w:pStyle w:val="TableParagraph"/>
              <w:spacing w:before="68"/>
              <w:ind w:left="80"/>
              <w:rPr>
                <w:sz w:val="19"/>
              </w:rPr>
            </w:pPr>
            <w:r>
              <w:rPr>
                <w:color w:val="231F20"/>
                <w:w w:val="105"/>
                <w:sz w:val="19"/>
              </w:rPr>
              <w:t>Vanuatu</w:t>
            </w:r>
          </w:p>
        </w:tc>
        <w:tc>
          <w:tcPr>
            <w:tcW w:w="206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Pr>
                <w:sz w:val="19"/>
              </w:rPr>
            </w:pPr>
            <w:r>
              <w:rPr>
                <w:color w:val="231F20"/>
                <w:w w:val="105"/>
                <w:sz w:val="19"/>
              </w:rPr>
              <w:t>Annual Report 2017</w:t>
            </w:r>
          </w:p>
        </w:tc>
        <w:tc>
          <w:tcPr>
            <w:tcW w:w="2953" w:type="dxa"/>
            <w:tcBorders>
              <w:top w:val="single" w:sz="4" w:space="0" w:color="808285"/>
              <w:left w:val="single" w:sz="4" w:space="0" w:color="808285"/>
              <w:bottom w:val="single" w:sz="4" w:space="0" w:color="808285"/>
              <w:right w:val="single" w:sz="4" w:space="0" w:color="808285"/>
            </w:tcBorders>
          </w:tcPr>
          <w:p>
            <w:pPr>
              <w:pStyle w:val="TableParagraph"/>
              <w:spacing w:line="231" w:lineRule="exact" w:before="68"/>
              <w:ind w:left="79"/>
              <w:rPr>
                <w:sz w:val="19"/>
              </w:rPr>
            </w:pPr>
            <w:r>
              <w:rPr>
                <w:color w:val="231F20"/>
                <w:w w:val="110"/>
                <w:sz w:val="19"/>
              </w:rPr>
              <w:t>YES</w:t>
            </w:r>
          </w:p>
          <w:p>
            <w:pPr>
              <w:pStyle w:val="TableParagraph"/>
              <w:ind w:left="79"/>
              <w:rPr>
                <w:b/>
                <w:sz w:val="19"/>
              </w:rPr>
            </w:pPr>
            <w:r>
              <w:rPr>
                <w:b/>
                <w:color w:val="00403F"/>
                <w:sz w:val="19"/>
              </w:rPr>
              <w:t>https://courts.gov.vu/bi/services/ </w:t>
            </w:r>
            <w:r>
              <w:rPr>
                <w:b/>
                <w:color w:val="00403F"/>
                <w:w w:val="105"/>
                <w:sz w:val="19"/>
              </w:rPr>
              <w:t>downloads</w:t>
            </w:r>
          </w:p>
        </w:tc>
        <w:tc>
          <w:tcPr>
            <w:tcW w:w="2130" w:type="dxa"/>
            <w:tcBorders>
              <w:top w:val="single" w:sz="4" w:space="0" w:color="808285"/>
              <w:left w:val="single" w:sz="4" w:space="0" w:color="808285"/>
              <w:bottom w:val="single" w:sz="4" w:space="0" w:color="808285"/>
              <w:right w:val="single" w:sz="4" w:space="0" w:color="808285"/>
            </w:tcBorders>
          </w:tcPr>
          <w:p>
            <w:pPr>
              <w:pStyle w:val="TableParagraph"/>
              <w:spacing w:before="68"/>
              <w:ind w:left="79" w:right="50"/>
              <w:rPr>
                <w:sz w:val="19"/>
              </w:rPr>
            </w:pPr>
            <w:r>
              <w:rPr>
                <w:color w:val="231F20"/>
                <w:w w:val="105"/>
                <w:sz w:val="19"/>
              </w:rPr>
              <w:t>2018 Annual Report is on the Court Website and 2017 Annual Report on the PacLII website</w:t>
            </w:r>
          </w:p>
        </w:tc>
      </w:tr>
    </w:tbl>
    <w:p>
      <w:pPr>
        <w:spacing w:after="0"/>
        <w:rPr>
          <w:sz w:val="19"/>
        </w:rPr>
        <w:sectPr>
          <w:pgSz w:w="11910" w:h="16840"/>
          <w:pgMar w:top="300" w:bottom="280" w:left="0" w:right="0"/>
        </w:sectPr>
      </w:pPr>
    </w:p>
    <w:p>
      <w:pPr>
        <w:tabs>
          <w:tab w:pos="1700" w:val="left" w:leader="none"/>
        </w:tabs>
        <w:spacing w:before="65"/>
        <w:ind w:left="716" w:right="0" w:firstLine="0"/>
        <w:jc w:val="left"/>
        <w:rPr>
          <w:b/>
          <w:sz w:val="21"/>
        </w:rPr>
      </w:pPr>
      <w:r>
        <w:rPr/>
        <w:drawing>
          <wp:anchor distT="0" distB="0" distL="0" distR="0" allowOverlap="1" layoutInCell="1" locked="0" behindDoc="1" simplePos="0" relativeHeight="268237415">
            <wp:simplePos x="0" y="0"/>
            <wp:positionH relativeFrom="page">
              <wp:posOffset>0</wp:posOffset>
            </wp:positionH>
            <wp:positionV relativeFrom="paragraph">
              <wp:posOffset>373881</wp:posOffset>
            </wp:positionV>
            <wp:extent cx="7559992" cy="143992"/>
            <wp:effectExtent l="0" t="0" r="0" b="0"/>
            <wp:wrapNone/>
            <wp:docPr id="17" name="image39.png" descr=""/>
            <wp:cNvGraphicFramePr>
              <a:graphicFrameLocks noChangeAspect="1"/>
            </wp:cNvGraphicFramePr>
            <a:graphic>
              <a:graphicData uri="http://schemas.openxmlformats.org/drawingml/2006/picture">
                <pic:pic>
                  <pic:nvPicPr>
                    <pic:cNvPr id="18"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8</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5"/>
        <w:rPr>
          <w:b/>
          <w:sz w:val="18"/>
        </w:rPr>
      </w:pPr>
    </w:p>
    <w:p>
      <w:pPr>
        <w:spacing w:line="208" w:lineRule="auto" w:before="130"/>
        <w:ind w:left="3401" w:right="2292" w:hanging="1"/>
        <w:jc w:val="left"/>
        <w:rPr>
          <w:sz w:val="32"/>
        </w:rPr>
      </w:pPr>
      <w:r>
        <w:rPr/>
        <w:pict>
          <v:group style="position:absolute;margin-left:85.039398pt;margin-top:3.632896pt;width:79.4pt;height:22.7pt;mso-position-horizontal-relative:page;mso-position-vertical-relative:paragraph;z-index:1624" coordorigin="1701,73" coordsize="1588,454">
            <v:shape style="position:absolute;left:1700;top:72;width:1588;height:454" coordorigin="1701,73" coordsize="1588,454" path="m3088,73l1701,73,1701,526,3088,526,3204,523,3263,501,3285,442,3288,326,3288,273,3285,157,3263,98,3204,76,3088,73xe" filled="true" fillcolor="#65a5ae" stroked="false">
              <v:path arrowok="t"/>
              <v:fill type="solid"/>
            </v:shape>
            <v:shape style="position:absolute;left:1700;top:72;width:1588;height:454" type="#_x0000_t202" filled="false" stroked="false">
              <v:textbox inset="0,0,0,0">
                <w:txbxContent>
                  <w:p>
                    <w:pPr>
                      <w:spacing w:before="17"/>
                      <w:ind w:left="56" w:right="0" w:firstLine="0"/>
                      <w:jc w:val="left"/>
                      <w:rPr>
                        <w:sz w:val="32"/>
                      </w:rPr>
                    </w:pPr>
                    <w:r>
                      <w:rPr>
                        <w:color w:val="FFFFFF"/>
                        <w:w w:val="110"/>
                        <w:sz w:val="32"/>
                      </w:rPr>
                      <w:t>Change 1</w:t>
                    </w:r>
                  </w:p>
                </w:txbxContent>
              </v:textbox>
              <w10:wrap type="none"/>
            </v:shape>
            <w10:wrap type="none"/>
          </v:group>
        </w:pict>
      </w:r>
      <w:r>
        <w:rPr/>
        <w:pict>
          <v:group style="position:absolute;margin-left:85.524002pt;margin-top:36.007195pt;width:76.05pt;height:98.05pt;mso-position-horizontal-relative:page;mso-position-vertical-relative:paragraph;z-index:1696" coordorigin="1710,720" coordsize="1521,1961">
            <v:shape style="position:absolute;left:1710;top:720;width:1521;height:1961" type="#_x0000_t75" stroked="false">
              <v:imagedata r:id="rId66" o:title=""/>
            </v:shape>
            <v:shape style="position:absolute;left:1894;top:1285;width:1151;height:340" coordorigin="1895,1286" coordsize="1151,340" path="m2017,1584l2004,1553,1998,1538,1979,1494,1979,1538,1933,1538,1956,1480,1979,1538,1979,1494,1973,1480,1964,1460,1948,1460,1895,1584,1914,1584,1926,1553,1985,1553,1998,1584,2017,1584m2106,1528l2106,1523,2103,1515,2102,1512,2101,1512,2096,1505,2093,1503,2085,1499,2081,1499,2072,1499,2069,1499,2064,1501,2061,1502,2056,1505,2054,1506,2051,1510,2049,1512,2048,1514,2048,1514,2048,1510,2048,1505,2047,1503,2047,1501,2032,1501,2032,1503,2032,1505,2032,1510,2032,1584,2049,1584,2049,1531,2051,1525,2059,1515,2060,1514,2064,1512,2075,1512,2078,1513,2083,1516,2085,1518,2087,1522,2088,1525,2089,1531,2090,1534,2090,1584,2106,1584,2106,1528m2208,1528l2207,1523,2205,1515,2203,1512,2203,1512,2198,1505,2195,1503,2187,1499,2182,1499,2174,1499,2171,1499,2165,1501,2163,1502,2158,1505,2156,1506,2152,1510,2151,1512,2150,1514,2149,1514,2149,1510,2149,1506,2149,1503,2149,1501,2133,1501,2133,1503,2134,1505,2134,1510,2134,1584,2150,1584,2150,1531,2152,1525,2161,1515,2161,1514,2166,1512,2176,1512,2180,1513,2184,1516,2186,1518,2189,1522,2190,1525,2191,1531,2191,1534,2191,1584,2208,1584,2208,1528m2287,1401l2230,1401,2262,1372,2265,1369,2268,1366,2274,1360,2277,1357,2282,1350,2283,1346,2286,1338,2287,1334,2287,1322,2285,1315,2285,1314,2280,1304,2276,1300,2266,1293,2261,1290,2249,1287,2242,1286,2229,1286,2223,1287,2210,1291,2205,1294,2196,1302,2192,1307,2185,1318,2183,1324,2183,1331,2214,1335,2215,1329,2217,1324,2224,1316,2229,1314,2240,1314,2244,1316,2250,1322,2252,1326,2252,1335,2251,1339,2246,1346,2244,1349,2240,1353,2186,1402,2186,1430,2287,1430,2287,1401m2309,1584l2309,1581,2309,1579,2309,1574,2309,1570,2309,1501,2292,1501,2292,1553,2290,1560,2282,1570,2277,1572,2266,1572,2263,1571,2258,1569,2256,1567,2254,1562,2253,1559,2252,1553,2251,1550,2251,1501,2235,1501,2235,1557,2235,1561,2238,1569,2240,1573,2245,1579,2248,1581,2256,1585,2260,1586,2272,1586,2277,1584,2287,1578,2291,1574,2292,1572,2293,1570,2293,1570,2293,1574,2293,1579,2294,1581,2294,1584,2309,1584m2406,1584l2405,1582,2405,1580,2405,1578,2405,1572,2404,1544,2404,1526,2404,1522,2401,1514,2399,1512,2399,1511,2393,1505,2390,1503,2381,1499,2376,1499,2363,1499,2357,1500,2345,1504,2340,1507,2336,1511,2345,1521,2348,1519,2351,1516,2359,1513,2364,1512,2374,1512,2379,1513,2387,1519,2389,1524,2389,1532,2389,1544,2389,1555,2387,1561,2378,1570,2372,1573,2363,1573,2361,1573,2357,1572,2355,1571,2352,1569,2350,1568,2348,1564,2348,1562,2348,1556,2349,1554,2354,1549,2357,1548,2364,1546,2368,1545,2376,1544,2381,1544,2389,1544,2389,1532,2382,1532,2375,1533,2361,1534,2355,1535,2344,1539,2340,1542,2333,1549,2331,1554,2331,1565,2332,1569,2336,1575,2338,1578,2344,1582,2347,1583,2354,1585,2358,1586,2367,1586,2373,1584,2382,1580,2386,1576,2388,1573,2389,1572,2389,1572,2389,1576,2390,1580,2391,1584,2406,1584m2418,1349l2417,1340,2413,1322,2410,1314,2410,1314,2402,1301,2396,1296,2384,1289,2384,1355,2384,1364,2384,1369,2383,1379,2382,1384,2379,1393,2377,1397,2372,1403,2368,1405,2360,1405,2356,1403,2350,1397,2348,1393,2345,1384,2344,1379,2343,1369,2343,1364,2343,1355,2343,1350,2344,1340,2345,1335,2348,1326,2350,1322,2356,1316,2360,1314,2368,1314,2372,1316,2377,1322,2379,1326,2382,1335,2383,1340,2384,1350,2384,1355,2384,1289,2382,1288,2374,1286,2354,1286,2346,1288,2332,1296,2326,1301,2317,1314,2314,1322,2310,1340,2309,1349,2309,1369,2310,1379,2314,1396,2317,1404,2326,1418,2332,1423,2346,1431,2354,1433,2374,1433,2382,1431,2396,1423,2402,1418,2410,1405,2410,1404,2413,1396,2417,1379,2418,1369,2418,1349m2449,1452l2432,1452,2432,1584,2449,1584,2449,1452m2516,1290l2486,1290,2440,1323,2457,1347,2483,1327,2483,1430,2516,1430,2516,1327,2516,1290m2610,1584l2577,1529,2575,1527,2584,1525,2592,1522,2599,1514,2603,1511,2605,1503,2605,1487,2604,1483,2600,1475,2600,1474,2596,1470,2588,1465,2588,1465,2588,1490,2588,1498,2587,1501,2584,1506,2582,1508,2577,1511,2574,1512,2567,1514,2563,1514,2539,1514,2539,1475,2564,1475,2568,1475,2574,1476,2577,1477,2582,1480,2584,1482,2587,1487,2588,1490,2588,1465,2584,1463,2573,1461,2567,1460,2522,1460,2522,1584,2539,1584,2539,1529,2558,1529,2589,1584,2610,1584m2671,1386l2671,1382,2668,1374,2666,1371,2665,1369,2662,1366,2659,1363,2653,1359,2650,1357,2646,1356,2646,1356,2653,1354,2658,1350,2662,1344,2666,1340,2668,1334,2668,1319,2666,1313,2666,1312,2661,1303,2657,1299,2648,1292,2643,1290,2638,1289,2638,1394,2637,1399,2629,1405,2625,1407,2613,1407,2608,1405,2601,1399,2599,1394,2599,1383,2601,1378,2608,1371,2613,1369,2625,1369,2629,1371,2637,1379,2638,1383,2638,1394,2638,1289,2636,1288,2636,1323,2636,1332,2634,1336,2628,1343,2624,1344,2614,1344,2610,1343,2604,1336,2602,1332,2602,1323,2604,1319,2610,1313,2614,1312,2624,1312,2628,1313,2634,1319,2636,1323,2636,1288,2632,1287,2625,1286,2612,1286,2606,1287,2594,1290,2589,1293,2580,1299,2577,1304,2571,1314,2570,1319,2570,1334,2572,1340,2580,1350,2585,1354,2591,1356,2591,1356,2588,1357,2585,1359,2579,1363,2576,1366,2571,1371,2570,1374,2567,1382,2566,1386,2566,1397,2568,1404,2574,1415,2577,1419,2587,1426,2593,1429,2605,1432,2612,1433,2626,1433,2632,1432,2645,1429,2651,1426,2660,1419,2664,1414,2668,1407,2670,1403,2671,1397,2671,1386m2703,1535l2703,1529,2699,1518,2696,1514,2694,1511,2689,1506,2687,1505,2687,1535,2637,1535,2638,1532,2639,1529,2641,1523,2643,1520,2648,1516,2651,1515,2657,1512,2660,1511,2667,1511,2671,1512,2676,1515,2679,1516,2683,1520,2684,1523,2686,1529,2687,1532,2687,1535,2687,1505,2685,1503,2675,1500,2670,1499,2657,1499,2652,1500,2641,1504,2637,1507,2629,1515,2626,1519,2622,1530,2621,1536,2621,1549,2622,1555,2626,1566,2629,1570,2637,1578,2642,1581,2652,1585,2658,1586,2672,1586,2678,1584,2690,1579,2696,1575,2697,1572,2700,1569,2688,1559,2686,1563,2683,1566,2675,1571,2670,1572,2661,1572,2657,1571,2651,1569,2648,1567,2643,1563,2641,1560,2638,1554,2638,1551,2637,1547,2703,1547,2703,1535m2814,1536l2813,1530,2809,1520,2806,1515,2803,1512,2799,1507,2797,1506,2797,1538,2797,1546,2796,1550,2794,1557,2792,1560,2788,1566,2785,1568,2778,1571,2778,1571,2774,1572,2765,1572,2761,1571,2761,1571,2755,1568,2752,1566,2747,1560,2745,1557,2742,1550,2742,1546,2742,1538,2742,1534,2745,1527,2747,1524,2752,1518,2755,1516,2760,1514,2761,1513,2765,1512,2774,1512,2778,1513,2785,1516,2788,1518,2792,1524,2794,1527,2796,1534,2797,1538,2797,1506,2794,1504,2784,1500,2779,1499,2766,1499,2760,1500,2749,1506,2745,1509,2743,1514,2742,1514,2742,1501,2726,1501,2726,1625,2743,1625,2743,1571,2743,1571,2746,1576,2750,1579,2761,1585,2766,1586,2779,1586,2784,1585,2795,1580,2799,1577,2803,1572,2806,1569,2809,1564,2813,1554,2814,1548,2814,1536m2921,1536l2920,1530,2915,1519,2912,1515,2910,1512,2904,1507,2904,1507,2904,1538,2904,1546,2903,1550,2901,1557,2899,1560,2894,1566,2891,1568,2884,1571,2880,1572,2871,1572,2868,1571,2861,1568,2858,1566,2853,1560,2851,1557,2849,1550,2848,1546,2848,1538,2849,1534,2851,1527,2853,1524,2858,1519,2861,1516,2868,1513,2871,1512,2880,1512,2884,1513,2891,1516,2894,1519,2899,1524,2901,1527,2903,1534,2904,1538,2904,1507,2899,1504,2888,1500,2882,1499,2870,1499,2864,1500,2853,1504,2848,1507,2840,1515,2837,1519,2833,1530,2831,1536,2831,1548,2833,1554,2837,1565,2840,1570,2848,1577,2853,1580,2864,1585,2870,1586,2882,1586,2888,1585,2899,1580,2904,1577,2909,1572,2912,1570,2915,1565,2920,1554,2921,1548,2921,1536m3045,1501l3023,1501,3023,1477,3007,1477,3007,1501,2991,1501,2991,1499,2990,1499,2987,1499,2979,1499,2974,1500,2965,1506,2962,1510,2959,1515,2959,1515,2959,1510,2959,1506,2959,1503,2958,1501,2943,1501,2943,1503,2943,1505,2943,1510,2943,1584,2960,1584,2960,1537,2960,1533,2962,1527,2964,1524,2967,1519,2970,1517,2975,1515,2976,1514,2979,1514,2986,1514,2988,1514,2991,1514,2991,1514,2991,1510,2991,1501,2991,1507,2991,1503,2991,1514,3007,1514,3007,1568,3009,1574,3017,1583,3023,1585,3033,1585,3036,1585,3041,1584,3043,1583,3045,1583,3044,1571,3044,1569,3043,1570,3041,1570,3038,1571,3036,1571,3031,1571,3028,1570,3024,1566,3023,1562,3023,1514,3045,1514,3045,1501e" filled="true" fillcolor="#231f20" stroked="false">
              <v:path arrowok="t"/>
              <v:fill type="solid"/>
            </v:shape>
            <w10:wrap type="none"/>
          </v:group>
        </w:pict>
      </w:r>
      <w:r>
        <w:rPr/>
        <w:pict>
          <v:shape style="position:absolute;margin-left:85.039001pt;margin-top:35.522198pt;width:77.5pt;height:99.05pt;mso-position-horizontal-relative:page;mso-position-vertical-relative:paragraph;z-index:1720"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521"/>
                  </w:tblGrid>
                  <w:tr>
                    <w:trPr>
                      <w:trHeight w:val="502" w:hRule="atLeast"/>
                    </w:trPr>
                    <w:tc>
                      <w:tcPr>
                        <w:tcW w:w="1521" w:type="dxa"/>
                        <w:tcBorders>
                          <w:bottom w:val="nil"/>
                        </w:tcBorders>
                      </w:tcPr>
                      <w:p>
                        <w:pPr>
                          <w:pStyle w:val="TableParagraph"/>
                          <w:rPr>
                            <w:rFonts w:ascii="Times New Roman"/>
                            <w:sz w:val="22"/>
                          </w:rPr>
                        </w:pPr>
                      </w:p>
                    </w:tc>
                  </w:tr>
                  <w:tr>
                    <w:trPr>
                      <w:trHeight w:val="440" w:hRule="atLeast"/>
                    </w:trPr>
                    <w:tc>
                      <w:tcPr>
                        <w:tcW w:w="1521" w:type="dxa"/>
                        <w:tcBorders>
                          <w:top w:val="nil"/>
                          <w:bottom w:val="nil"/>
                        </w:tcBorders>
                        <w:shd w:val="clear" w:color="auto" w:fill="869E3B"/>
                      </w:tcPr>
                      <w:p>
                        <w:pPr>
                          <w:pStyle w:val="TableParagraph"/>
                          <w:rPr>
                            <w:rFonts w:ascii="Times New Roman"/>
                            <w:sz w:val="22"/>
                          </w:rPr>
                        </w:pPr>
                      </w:p>
                    </w:tc>
                  </w:tr>
                  <w:tr>
                    <w:trPr>
                      <w:trHeight w:val="997" w:hRule="atLeast"/>
                    </w:trPr>
                    <w:tc>
                      <w:tcPr>
                        <w:tcW w:w="1521" w:type="dxa"/>
                        <w:tcBorders>
                          <w:top w:val="nil"/>
                        </w:tcBorders>
                      </w:tcPr>
                      <w:p>
                        <w:pPr>
                          <w:pStyle w:val="TableParagraph"/>
                          <w:rPr>
                            <w:rFonts w:ascii="Times New Roman"/>
                            <w:sz w:val="22"/>
                          </w:rPr>
                        </w:pPr>
                      </w:p>
                    </w:tc>
                  </w:tr>
                </w:tbl>
                <w:p>
                  <w:pPr>
                    <w:pStyle w:val="BodyText"/>
                  </w:pPr>
                </w:p>
              </w:txbxContent>
            </v:textbox>
            <w10:wrap type="none"/>
          </v:shape>
        </w:pict>
      </w:r>
      <w:r>
        <w:rPr>
          <w:color w:val="0F6161"/>
          <w:w w:val="105"/>
          <w:sz w:val="32"/>
        </w:rPr>
        <w:t>Sustained Increase in Transparency of Annual Reporting by PJSI Partner Judiciaries</w:t>
      </w:r>
    </w:p>
    <w:p>
      <w:pPr>
        <w:pStyle w:val="BodyText"/>
        <w:spacing w:line="252" w:lineRule="auto" w:before="165"/>
        <w:ind w:left="3401" w:right="1702"/>
        <w:jc w:val="both"/>
      </w:pPr>
      <w:r>
        <w:rPr>
          <w:color w:val="231F20"/>
          <w:w w:val="105"/>
        </w:rPr>
        <w:t>In the baseline year of 2011, only the judiciaries of the Republic of Marshall Islands and Vanuatu published an annual report each year and only the Marshall Islands judiciary produced an Annual Report that was publicly available through the court’s website or PacLII.</w:t>
      </w:r>
    </w:p>
    <w:p>
      <w:pPr>
        <w:pStyle w:val="BodyText"/>
        <w:spacing w:line="252" w:lineRule="auto" w:before="174"/>
        <w:ind w:left="3401" w:right="1702"/>
        <w:jc w:val="both"/>
      </w:pPr>
      <w:r>
        <w:rPr>
          <w:color w:val="231F20"/>
          <w:w w:val="105"/>
        </w:rPr>
        <w:t>In 2018, judiciaries in 13 of the 14 PJSI countries produce or contribute to an Annual Report. 9 of the 14 PJSI countries (64%) produced or</w:t>
      </w:r>
      <w:r>
        <w:rPr>
          <w:color w:val="231F20"/>
          <w:spacing w:val="5"/>
          <w:w w:val="105"/>
        </w:rPr>
        <w:t> </w:t>
      </w:r>
      <w:r>
        <w:rPr>
          <w:color w:val="231F20"/>
          <w:w w:val="105"/>
        </w:rPr>
        <w:t>contributed</w:t>
      </w:r>
    </w:p>
    <w:p>
      <w:pPr>
        <w:pStyle w:val="BodyText"/>
        <w:spacing w:line="252" w:lineRule="auto" w:before="1"/>
        <w:ind w:left="1700" w:right="1702"/>
        <w:jc w:val="both"/>
      </w:pPr>
      <w:r>
        <w:rPr>
          <w:color w:val="231F20"/>
          <w:w w:val="105"/>
        </w:rPr>
        <w:t>to an Annual Report in the year immediately following the reporting period and 6 out of the</w:t>
      </w:r>
      <w:r>
        <w:rPr>
          <w:color w:val="231F20"/>
          <w:spacing w:val="48"/>
          <w:w w:val="105"/>
        </w:rPr>
        <w:t> </w:t>
      </w:r>
      <w:r>
        <w:rPr>
          <w:color w:val="231F20"/>
          <w:w w:val="105"/>
        </w:rPr>
        <w:t>14 PJSI countries (43%) make this Annual Report publicly available in the year immediately following the reporting</w:t>
      </w:r>
      <w:r>
        <w:rPr>
          <w:color w:val="231F20"/>
          <w:spacing w:val="21"/>
          <w:w w:val="105"/>
        </w:rPr>
        <w:t> </w:t>
      </w:r>
      <w:r>
        <w:rPr>
          <w:color w:val="231F20"/>
          <w:w w:val="105"/>
        </w:rPr>
        <w:t>period.</w:t>
      </w:r>
    </w:p>
    <w:p>
      <w:pPr>
        <w:pStyle w:val="BodyText"/>
        <w:spacing w:line="252" w:lineRule="auto" w:before="173"/>
        <w:ind w:left="1700" w:right="1701"/>
        <w:jc w:val="both"/>
      </w:pPr>
      <w:r>
        <w:rPr>
          <w:color w:val="231F20"/>
          <w:spacing w:val="-4"/>
          <w:w w:val="105"/>
        </w:rPr>
        <w:t>For </w:t>
      </w:r>
      <w:r>
        <w:rPr>
          <w:color w:val="231F20"/>
          <w:w w:val="105"/>
        </w:rPr>
        <w:t>the first time, judiciaries in four PJSI countries published their 2018 Annual Report by April 2019 (Federated States of Micronesia, Republic of the Marshall Islands, Republic of </w:t>
      </w:r>
      <w:r>
        <w:rPr>
          <w:color w:val="231F20"/>
          <w:spacing w:val="-4"/>
          <w:w w:val="105"/>
        </w:rPr>
        <w:t>Palau </w:t>
      </w:r>
      <w:r>
        <w:rPr>
          <w:color w:val="231F20"/>
          <w:w w:val="105"/>
        </w:rPr>
        <w:t>and </w:t>
      </w:r>
      <w:r>
        <w:rPr>
          <w:color w:val="231F20"/>
          <w:spacing w:val="-4"/>
          <w:w w:val="105"/>
        </w:rPr>
        <w:t>Tonga)</w:t>
      </w:r>
      <w:r>
        <w:rPr>
          <w:color w:val="231F20"/>
          <w:spacing w:val="-11"/>
          <w:w w:val="105"/>
        </w:rPr>
        <w:t> </w:t>
      </w:r>
      <w:r>
        <w:rPr>
          <w:color w:val="231F20"/>
          <w:w w:val="105"/>
        </w:rPr>
        <w:t>showing</w:t>
      </w:r>
      <w:r>
        <w:rPr>
          <w:color w:val="231F20"/>
          <w:spacing w:val="-11"/>
          <w:w w:val="105"/>
        </w:rPr>
        <w:t> </w:t>
      </w:r>
      <w:r>
        <w:rPr>
          <w:color w:val="231F20"/>
          <w:w w:val="105"/>
        </w:rPr>
        <w:t>that</w:t>
      </w:r>
      <w:r>
        <w:rPr>
          <w:color w:val="231F20"/>
          <w:spacing w:val="-11"/>
          <w:w w:val="105"/>
        </w:rPr>
        <w:t> </w:t>
      </w:r>
      <w:r>
        <w:rPr>
          <w:color w:val="231F20"/>
          <w:w w:val="105"/>
        </w:rPr>
        <w:t>systems</w:t>
      </w:r>
      <w:r>
        <w:rPr>
          <w:color w:val="231F20"/>
          <w:spacing w:val="-11"/>
          <w:w w:val="105"/>
        </w:rPr>
        <w:t> </w:t>
      </w:r>
      <w:r>
        <w:rPr>
          <w:color w:val="231F20"/>
          <w:w w:val="105"/>
        </w:rPr>
        <w:t>were</w:t>
      </w:r>
      <w:r>
        <w:rPr>
          <w:color w:val="231F20"/>
          <w:spacing w:val="-11"/>
          <w:w w:val="105"/>
        </w:rPr>
        <w:t> </w:t>
      </w:r>
      <w:r>
        <w:rPr>
          <w:color w:val="231F20"/>
          <w:w w:val="105"/>
        </w:rPr>
        <w:t>in</w:t>
      </w:r>
      <w:r>
        <w:rPr>
          <w:color w:val="231F20"/>
          <w:spacing w:val="-11"/>
          <w:w w:val="105"/>
        </w:rPr>
        <w:t> </w:t>
      </w:r>
      <w:r>
        <w:rPr>
          <w:color w:val="231F20"/>
          <w:w w:val="105"/>
        </w:rPr>
        <w:t>place</w:t>
      </w:r>
      <w:r>
        <w:rPr>
          <w:color w:val="231F20"/>
          <w:spacing w:val="-11"/>
          <w:w w:val="105"/>
        </w:rPr>
        <w:t> </w:t>
      </w:r>
      <w:r>
        <w:rPr>
          <w:color w:val="231F20"/>
          <w:w w:val="105"/>
        </w:rPr>
        <w:t>for</w:t>
      </w:r>
      <w:r>
        <w:rPr>
          <w:color w:val="231F20"/>
          <w:spacing w:val="-11"/>
          <w:w w:val="105"/>
        </w:rPr>
        <w:t> </w:t>
      </w:r>
      <w:r>
        <w:rPr>
          <w:color w:val="231F20"/>
          <w:w w:val="105"/>
        </w:rPr>
        <w:t>the</w:t>
      </w:r>
      <w:r>
        <w:rPr>
          <w:color w:val="231F20"/>
          <w:spacing w:val="-11"/>
          <w:w w:val="105"/>
        </w:rPr>
        <w:t> </w:t>
      </w:r>
      <w:r>
        <w:rPr>
          <w:color w:val="231F20"/>
          <w:w w:val="105"/>
        </w:rPr>
        <w:t>analysis</w:t>
      </w:r>
      <w:r>
        <w:rPr>
          <w:color w:val="231F20"/>
          <w:spacing w:val="-11"/>
          <w:w w:val="105"/>
        </w:rPr>
        <w:t> </w:t>
      </w:r>
      <w:r>
        <w:rPr>
          <w:color w:val="231F20"/>
          <w:w w:val="105"/>
        </w:rPr>
        <w:t>and</w:t>
      </w:r>
      <w:r>
        <w:rPr>
          <w:color w:val="231F20"/>
          <w:spacing w:val="-11"/>
          <w:w w:val="105"/>
        </w:rPr>
        <w:t> </w:t>
      </w:r>
      <w:r>
        <w:rPr>
          <w:color w:val="231F20"/>
          <w:w w:val="105"/>
        </w:rPr>
        <w:t>publication</w:t>
      </w:r>
      <w:r>
        <w:rPr>
          <w:color w:val="231F20"/>
          <w:spacing w:val="-11"/>
          <w:w w:val="105"/>
        </w:rPr>
        <w:t> </w:t>
      </w:r>
      <w:r>
        <w:rPr>
          <w:color w:val="231F20"/>
          <w:w w:val="105"/>
        </w:rPr>
        <w:t>of</w:t>
      </w:r>
      <w:r>
        <w:rPr>
          <w:color w:val="231F20"/>
          <w:spacing w:val="-11"/>
          <w:w w:val="105"/>
        </w:rPr>
        <w:t> </w:t>
      </w:r>
      <w:r>
        <w:rPr>
          <w:color w:val="231F20"/>
          <w:w w:val="105"/>
        </w:rPr>
        <w:t>court</w:t>
      </w:r>
      <w:r>
        <w:rPr>
          <w:color w:val="231F20"/>
          <w:spacing w:val="-11"/>
          <w:w w:val="105"/>
        </w:rPr>
        <w:t> </w:t>
      </w:r>
      <w:r>
        <w:rPr>
          <w:color w:val="231F20"/>
          <w:w w:val="105"/>
        </w:rPr>
        <w:t>performance data early in the following</w:t>
      </w:r>
      <w:r>
        <w:rPr>
          <w:color w:val="231F20"/>
          <w:spacing w:val="36"/>
          <w:w w:val="105"/>
        </w:rPr>
        <w:t> </w:t>
      </w:r>
      <w:r>
        <w:rPr>
          <w:color w:val="231F20"/>
          <w:spacing w:val="-4"/>
          <w:w w:val="105"/>
        </w:rPr>
        <w:t>year.</w:t>
      </w:r>
    </w:p>
    <w:p>
      <w:pPr>
        <w:pStyle w:val="BodyText"/>
        <w:rPr>
          <w:sz w:val="24"/>
        </w:rPr>
      </w:pPr>
    </w:p>
    <w:p>
      <w:pPr>
        <w:pStyle w:val="BodyText"/>
        <w:spacing w:before="5"/>
        <w:rPr>
          <w:sz w:val="18"/>
        </w:rPr>
      </w:pPr>
    </w:p>
    <w:p>
      <w:pPr>
        <w:pStyle w:val="Heading5"/>
        <w:tabs>
          <w:tab w:pos="3401" w:val="left" w:leader="none"/>
        </w:tabs>
        <w:spacing w:line="208" w:lineRule="auto" w:before="1"/>
        <w:ind w:left="3401" w:right="3006" w:hanging="1645"/>
      </w:pPr>
      <w:r>
        <w:rPr/>
        <w:pict>
          <v:group style="position:absolute;margin-left:58.8703pt;margin-top:-3.261994pt;width:154.85pt;height:167.65pt;mso-position-horizontal-relative:page;mso-position-vertical-relative:paragraph;z-index:-197968" coordorigin="1177,-65" coordsize="3097,3353">
            <v:shape style="position:absolute;left:1700;top:-66;width:1588;height:454" coordorigin="1701,-65" coordsize="1588,454" path="m3088,-65l1701,-65,1701,388,3088,388,3204,385,3263,363,3285,304,3288,188,3288,135,3285,19,3263,-40,3204,-62,3088,-65xe" filled="true" fillcolor="#65a5ae" stroked="false">
              <v:path arrowok="t"/>
              <v:fill type="solid"/>
            </v:shape>
            <v:shape style="position:absolute;left:1709;top:455;width:1411;height:1819" type="#_x0000_t75" stroked="false">
              <v:imagedata r:id="rId67" o:title=""/>
            </v:shape>
            <v:shape style="position:absolute;left:1700;top:446;width:2565;height:2472" type="#_x0000_t75" stroked="false">
              <v:imagedata r:id="rId68" o:title=""/>
            </v:shape>
            <v:shape style="position:absolute;left:2614;top:920;width:1651;height:1998" type="#_x0000_t75" stroked="false">
              <v:imagedata r:id="rId69" o:title=""/>
            </v:shape>
            <v:shape style="position:absolute;left:1186;top:911;width:3088;height:2367" type="#_x0000_t75" stroked="false">
              <v:imagedata r:id="rId70" o:title=""/>
            </v:shape>
            <v:shape style="position:absolute;left:1177;top:1292;width:1640;height:1996" type="#_x0000_t75" stroked="false">
              <v:imagedata r:id="rId71" o:title=""/>
            </v:shape>
            <w10:wrap type="none"/>
          </v:group>
        </w:pict>
      </w:r>
      <w:r>
        <w:rPr>
          <w:color w:val="FFFFFF"/>
          <w:spacing w:val="-7"/>
          <w:w w:val="105"/>
        </w:rPr>
        <w:t>Change</w:t>
      </w:r>
      <w:r>
        <w:rPr>
          <w:color w:val="FFFFFF"/>
          <w:spacing w:val="25"/>
          <w:w w:val="105"/>
        </w:rPr>
        <w:t> </w:t>
      </w:r>
      <w:r>
        <w:rPr>
          <w:color w:val="FFFFFF"/>
          <w:w w:val="105"/>
        </w:rPr>
        <w:t>2</w:t>
        <w:tab/>
      </w:r>
      <w:r>
        <w:rPr>
          <w:color w:val="0F6161"/>
          <w:w w:val="105"/>
        </w:rPr>
        <w:t>Smaller PJSI </w:t>
      </w:r>
      <w:r>
        <w:rPr>
          <w:color w:val="0F6161"/>
          <w:spacing w:val="-5"/>
          <w:w w:val="105"/>
        </w:rPr>
        <w:t>Partner </w:t>
      </w:r>
      <w:r>
        <w:rPr>
          <w:color w:val="0F6161"/>
          <w:w w:val="105"/>
        </w:rPr>
        <w:t>Judiciaries Maintain Commitment to Annual</w:t>
      </w:r>
      <w:r>
        <w:rPr>
          <w:color w:val="0F6161"/>
          <w:spacing w:val="21"/>
          <w:w w:val="105"/>
        </w:rPr>
        <w:t> </w:t>
      </w:r>
      <w:r>
        <w:rPr>
          <w:color w:val="0F6161"/>
          <w:w w:val="105"/>
        </w:rPr>
        <w:t>Reporting</w:t>
      </w:r>
    </w:p>
    <w:p>
      <w:pPr>
        <w:pStyle w:val="BodyText"/>
        <w:spacing w:line="252" w:lineRule="auto" w:before="165"/>
        <w:ind w:left="4399" w:right="1702"/>
        <w:jc w:val="both"/>
      </w:pPr>
      <w:r>
        <w:rPr>
          <w:color w:val="231F20"/>
          <w:w w:val="105"/>
        </w:rPr>
        <w:t>In the baseline year of 2011, the judiciaries of the Cook Islands, FSM, Kiribati, Niue, </w:t>
      </w:r>
      <w:r>
        <w:rPr>
          <w:color w:val="231F20"/>
          <w:spacing w:val="-4"/>
          <w:w w:val="105"/>
        </w:rPr>
        <w:t>Palau </w:t>
      </w:r>
      <w:r>
        <w:rPr>
          <w:color w:val="231F20"/>
          <w:w w:val="105"/>
        </w:rPr>
        <w:t>and </w:t>
      </w:r>
      <w:r>
        <w:rPr>
          <w:color w:val="231F20"/>
          <w:spacing w:val="-3"/>
          <w:w w:val="105"/>
        </w:rPr>
        <w:t>Tokelau </w:t>
      </w:r>
      <w:r>
        <w:rPr>
          <w:color w:val="231F20"/>
          <w:w w:val="105"/>
        </w:rPr>
        <w:t>did not produce or contribute to an Annual Report. In 2018, three of six</w:t>
      </w:r>
      <w:r>
        <w:rPr>
          <w:color w:val="231F20"/>
          <w:spacing w:val="-16"/>
          <w:w w:val="105"/>
        </w:rPr>
        <w:t> </w:t>
      </w:r>
      <w:r>
        <w:rPr>
          <w:color w:val="231F20"/>
          <w:w w:val="105"/>
        </w:rPr>
        <w:t>jurisdictions </w:t>
      </w:r>
      <w:r>
        <w:rPr>
          <w:color w:val="231F20"/>
          <w:spacing w:val="-3"/>
          <w:w w:val="105"/>
        </w:rPr>
        <w:t>have </w:t>
      </w:r>
      <w:r>
        <w:rPr>
          <w:color w:val="231F20"/>
          <w:w w:val="105"/>
        </w:rPr>
        <w:t>produced an Annual Report every year since 2011, while the remaining three PJSI jurisdictions </w:t>
      </w:r>
      <w:r>
        <w:rPr>
          <w:color w:val="231F20"/>
          <w:spacing w:val="-3"/>
          <w:w w:val="105"/>
        </w:rPr>
        <w:t>have </w:t>
      </w:r>
      <w:r>
        <w:rPr>
          <w:color w:val="231F20"/>
          <w:w w:val="105"/>
        </w:rPr>
        <w:t>produced at least three Annual Reports since this</w:t>
      </w:r>
      <w:r>
        <w:rPr>
          <w:color w:val="231F20"/>
          <w:spacing w:val="25"/>
          <w:w w:val="105"/>
        </w:rPr>
        <w:t> </w:t>
      </w:r>
      <w:r>
        <w:rPr>
          <w:color w:val="231F20"/>
          <w:w w:val="105"/>
        </w:rPr>
        <w:t>time.</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0"/>
        </w:rPr>
      </w:pPr>
    </w:p>
    <w:p>
      <w:pPr>
        <w:pStyle w:val="Heading5"/>
        <w:tabs>
          <w:tab w:pos="3401" w:val="left" w:leader="none"/>
        </w:tabs>
        <w:spacing w:line="208" w:lineRule="auto"/>
        <w:ind w:left="3401" w:right="2318" w:hanging="1645"/>
      </w:pPr>
      <w:r>
        <w:rPr/>
        <w:pict>
          <v:group style="position:absolute;margin-left:43.937012pt;margin-top:-2.091280pt;width:120.5pt;height:133.7pt;mso-position-horizontal-relative:page;mso-position-vertical-relative:paragraph;z-index:-197944" coordorigin="879,-42" coordsize="2410,2674">
            <v:rect style="position:absolute;left:1700;top:128;width:1588;height:2041" filled="true" fillcolor="#e6e7e8" stroked="false">
              <v:fill type="solid"/>
            </v:rect>
            <v:shape style="position:absolute;left:1700;top:-42;width:1588;height:454" coordorigin="1701,-42" coordsize="1588,454" path="m3088,-42l1701,-42,1701,412,3088,412,3204,409,3263,387,3285,327,3288,212,3288,158,3285,43,3263,-17,3204,-39,3088,-42xe" filled="true" fillcolor="#65a5ae" stroked="false">
              <v:path arrowok="t"/>
              <v:fill type="solid"/>
            </v:shape>
            <v:shape style="position:absolute;left:1870;top:510;width:1248;height:1248" type="#_x0000_t75" stroked="false">
              <v:imagedata r:id="rId72" o:title=""/>
            </v:shape>
            <v:shape style="position:absolute;left:878;top:1110;width:1536;height:1521" type="#_x0000_t75" stroked="false">
              <v:imagedata r:id="rId73" o:title=""/>
            </v:shape>
            <v:shape style="position:absolute;left:1700;top:1295;width:505;height:485" coordorigin="1701,1296" coordsize="505,485" path="m1839,1296l1793,1299,1754,1315,1701,1349,1702,1370,1731,1504,1771,1595,1815,1667,1920,1742,2030,1780,2205,1515,2167,1444,2110,1382,1997,1317,1910,1300,1839,1296xe" filled="true" fillcolor="#fbbf12" stroked="false">
              <v:path arrowok="t"/>
              <v:fill type="solid"/>
            </v:shape>
            <v:shape style="position:absolute;left:2028;top:1512;width:202;height:306" type="#_x0000_t75" stroked="false">
              <v:imagedata r:id="rId74" o:title=""/>
            </v:shape>
            <w10:wrap type="none"/>
          </v:group>
        </w:pict>
      </w:r>
      <w:r>
        <w:rPr>
          <w:color w:val="FFFFFF"/>
          <w:spacing w:val="-7"/>
          <w:w w:val="105"/>
        </w:rPr>
        <w:t>Change</w:t>
      </w:r>
      <w:r>
        <w:rPr>
          <w:color w:val="FFFFFF"/>
          <w:spacing w:val="25"/>
          <w:w w:val="105"/>
        </w:rPr>
        <w:t> </w:t>
      </w:r>
      <w:r>
        <w:rPr>
          <w:color w:val="FFFFFF"/>
          <w:w w:val="105"/>
        </w:rPr>
        <w:t>3</w:t>
        <w:tab/>
      </w:r>
      <w:r>
        <w:rPr>
          <w:color w:val="0F6161"/>
          <w:w w:val="105"/>
        </w:rPr>
        <w:t>More In-depth Analysis and Increased presentation of </w:t>
      </w:r>
      <w:r>
        <w:rPr>
          <w:color w:val="0F6161"/>
          <w:spacing w:val="-5"/>
          <w:w w:val="105"/>
        </w:rPr>
        <w:t>Trend </w:t>
      </w:r>
      <w:r>
        <w:rPr>
          <w:color w:val="0F6161"/>
          <w:w w:val="105"/>
        </w:rPr>
        <w:t>Data in Annual</w:t>
      </w:r>
      <w:r>
        <w:rPr>
          <w:color w:val="0F6161"/>
          <w:spacing w:val="-1"/>
          <w:w w:val="105"/>
        </w:rPr>
        <w:t> </w:t>
      </w:r>
      <w:r>
        <w:rPr>
          <w:color w:val="0F6161"/>
          <w:w w:val="105"/>
        </w:rPr>
        <w:t>Reports</w:t>
      </w:r>
    </w:p>
    <w:p>
      <w:pPr>
        <w:pStyle w:val="BodyText"/>
        <w:spacing w:line="252" w:lineRule="auto" w:before="166"/>
        <w:ind w:left="3401" w:right="1702"/>
        <w:jc w:val="both"/>
      </w:pPr>
      <w:r>
        <w:rPr>
          <w:color w:val="231F20"/>
          <w:w w:val="105"/>
        </w:rPr>
        <w:t>In the baseline year of 2011, the Annual Reports that were produced would often present a single year’s court data without analysis of how the year’s performance compared with the previous years’ accomplishments.</w:t>
      </w:r>
    </w:p>
    <w:p>
      <w:pPr>
        <w:pStyle w:val="BodyText"/>
        <w:spacing w:line="252" w:lineRule="auto" w:before="172"/>
        <w:ind w:left="3401" w:right="1702"/>
        <w:jc w:val="both"/>
      </w:pPr>
      <w:r>
        <w:rPr>
          <w:color w:val="231F20"/>
          <w:w w:val="105"/>
        </w:rPr>
        <w:t>The PJDP Excel Chart Creator was a tool created by PJDP in late 2013 and allows courts to enter trend data over a number of years on most of the</w:t>
      </w:r>
    </w:p>
    <w:p>
      <w:pPr>
        <w:pStyle w:val="BodyText"/>
        <w:spacing w:line="252" w:lineRule="auto" w:before="2"/>
        <w:ind w:left="1700" w:right="1702"/>
        <w:jc w:val="both"/>
      </w:pPr>
      <w:r>
        <w:rPr>
          <w:color w:val="231F20"/>
          <w:w w:val="105"/>
        </w:rPr>
        <w:t>Cook Island Indicators. Recent Annual Reports from a number of judiciaries include trend data presented in clear charts and tables using the PJDP Excel Chart Creator Tool.</w:t>
      </w:r>
    </w:p>
    <w:p>
      <w:pPr>
        <w:pStyle w:val="BodyText"/>
        <w:spacing w:line="252" w:lineRule="auto" w:before="172"/>
        <w:ind w:left="1700" w:right="1702"/>
        <w:jc w:val="both"/>
      </w:pPr>
      <w:r>
        <w:rPr>
          <w:color w:val="231F20"/>
          <w:w w:val="105"/>
        </w:rPr>
        <w:t>All PJSI partner judiciaries </w:t>
      </w:r>
      <w:r>
        <w:rPr>
          <w:color w:val="231F20"/>
          <w:spacing w:val="-3"/>
          <w:w w:val="105"/>
        </w:rPr>
        <w:t>have </w:t>
      </w:r>
      <w:r>
        <w:rPr>
          <w:color w:val="231F20"/>
          <w:w w:val="105"/>
        </w:rPr>
        <w:t>improved the depth of analysis and quality of Annual Reports over the last seven years. Many judiciaries are now able to present data in a more</w:t>
      </w:r>
      <w:r>
        <w:rPr>
          <w:color w:val="231F20"/>
          <w:spacing w:val="-32"/>
          <w:w w:val="105"/>
        </w:rPr>
        <w:t> </w:t>
      </w:r>
      <w:r>
        <w:rPr>
          <w:color w:val="231F20"/>
          <w:w w:val="105"/>
        </w:rPr>
        <w:t>user-friendly manner incorporating charts and clear narrative text that explain the reasons for changes in court performance to a wide range of court stakeholders.</w:t>
      </w:r>
    </w:p>
    <w:p>
      <w:pPr>
        <w:spacing w:after="0" w:line="252" w:lineRule="auto"/>
        <w:jc w:val="both"/>
        <w:sectPr>
          <w:pgSz w:w="11910" w:h="16840"/>
          <w:pgMar w:top="300" w:bottom="280" w:left="0" w:right="0"/>
        </w:sectPr>
      </w:pPr>
    </w:p>
    <w:p>
      <w:pPr>
        <w:tabs>
          <w:tab w:pos="11188"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97800"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9</w:t>
      </w:r>
    </w:p>
    <w:p>
      <w:pPr>
        <w:pStyle w:val="BodyText"/>
        <w:rPr>
          <w:sz w:val="38"/>
        </w:rPr>
      </w:pPr>
    </w:p>
    <w:p>
      <w:pPr>
        <w:pStyle w:val="BodyText"/>
        <w:spacing w:before="8"/>
        <w:rPr>
          <w:sz w:val="48"/>
        </w:rPr>
      </w:pPr>
    </w:p>
    <w:p>
      <w:pPr>
        <w:pStyle w:val="Heading5"/>
        <w:spacing w:line="208" w:lineRule="auto" w:before="1"/>
        <w:ind w:left="3401" w:right="1917" w:hanging="1"/>
      </w:pPr>
      <w:r>
        <w:rPr/>
        <w:pict>
          <v:group style="position:absolute;margin-left:85.039398pt;margin-top:-2.108306pt;width:79.4pt;height:22.7pt;mso-position-horizontal-relative:page;mso-position-vertical-relative:paragraph;z-index:1960" coordorigin="1701,-42" coordsize="1588,454">
            <v:shape style="position:absolute;left:1700;top:-43;width:1588;height:454" coordorigin="1701,-42" coordsize="1588,454" path="m3088,-42l1701,-42,1701,411,3088,411,3204,408,3263,386,3285,327,3288,211,3288,158,3285,42,3263,-17,3204,-39,3088,-42xe" filled="true" fillcolor="#65a5ae" stroked="false">
              <v:path arrowok="t"/>
              <v:fill type="solid"/>
            </v:shape>
            <v:shape style="position:absolute;left:1700;top:-43;width:1588;height:454" type="#_x0000_t202" filled="false" stroked="false">
              <v:textbox inset="0,0,0,0">
                <w:txbxContent>
                  <w:p>
                    <w:pPr>
                      <w:spacing w:before="3"/>
                      <w:ind w:left="56" w:right="0" w:firstLine="0"/>
                      <w:jc w:val="left"/>
                      <w:rPr>
                        <w:sz w:val="32"/>
                      </w:rPr>
                    </w:pPr>
                    <w:r>
                      <w:rPr>
                        <w:color w:val="FFFFFF"/>
                        <w:w w:val="110"/>
                        <w:sz w:val="32"/>
                      </w:rPr>
                      <w:t>Change 4</w:t>
                    </w:r>
                  </w:p>
                </w:txbxContent>
              </v:textbox>
              <w10:wrap type="none"/>
            </v:shape>
            <w10:wrap type="none"/>
          </v:group>
        </w:pict>
      </w:r>
      <w:r>
        <w:rPr/>
        <w:pict>
          <v:group style="position:absolute;margin-left:90.709pt;margin-top:26.237793pt;width:65.8pt;height:61.25pt;mso-position-horizontal-relative:page;mso-position-vertical-relative:paragraph;z-index:2008" coordorigin="1814,525" coordsize="1316,1225">
            <v:shape style="position:absolute;left:1814;top:524;width:1316;height:1225" coordorigin="1814,525" coordsize="1316,1225" path="m3057,525l1887,525,1845,526,1823,534,1815,555,1814,597,1814,1677,1815,1719,1823,1740,1845,1748,1887,1749,3057,1749,3099,1748,3120,1740,3128,1719,3129,1677,3129,597,3128,555,3120,534,3099,526,3057,525xe" filled="true" fillcolor="#1e4287" stroked="false">
              <v:path arrowok="t"/>
              <v:fill type="solid"/>
            </v:shape>
            <v:shape style="position:absolute;left:1893;top:604;width:1080;height:1080" type="#_x0000_t75" stroked="false">
              <v:imagedata r:id="rId42" o:title=""/>
            </v:shape>
            <w10:wrap type="none"/>
          </v:group>
        </w:pict>
      </w:r>
      <w:r>
        <w:rPr>
          <w:color w:val="0F6161"/>
          <w:w w:val="105"/>
        </w:rPr>
        <w:t>Some PJSI Partner Judiciaries present Sex, Age and Disability Disaggregated Data</w:t>
      </w:r>
    </w:p>
    <w:p>
      <w:pPr>
        <w:pStyle w:val="BodyText"/>
        <w:spacing w:line="252" w:lineRule="auto" w:before="165"/>
        <w:ind w:left="3401" w:right="1698"/>
        <w:jc w:val="both"/>
      </w:pPr>
      <w:r>
        <w:rPr/>
        <w:drawing>
          <wp:anchor distT="0" distB="0" distL="0" distR="0" allowOverlap="1" layoutInCell="1" locked="0" behindDoc="0" simplePos="0" relativeHeight="2056">
            <wp:simplePos x="0" y="0"/>
            <wp:positionH relativeFrom="page">
              <wp:posOffset>1152004</wp:posOffset>
            </wp:positionH>
            <wp:positionV relativeFrom="paragraph">
              <wp:posOffset>728654</wp:posOffset>
            </wp:positionV>
            <wp:extent cx="835190" cy="777600"/>
            <wp:effectExtent l="0" t="0" r="0" b="0"/>
            <wp:wrapNone/>
            <wp:docPr id="19" name="image63.png" descr=""/>
            <wp:cNvGraphicFramePr>
              <a:graphicFrameLocks noChangeAspect="1"/>
            </wp:cNvGraphicFramePr>
            <a:graphic>
              <a:graphicData uri="http://schemas.openxmlformats.org/drawingml/2006/picture">
                <pic:pic>
                  <pic:nvPicPr>
                    <pic:cNvPr id="20" name="image63.png"/>
                    <pic:cNvPicPr/>
                  </pic:nvPicPr>
                  <pic:blipFill>
                    <a:blip r:embed="rId75" cstate="print"/>
                    <a:stretch>
                      <a:fillRect/>
                    </a:stretch>
                  </pic:blipFill>
                  <pic:spPr>
                    <a:xfrm>
                      <a:off x="0" y="0"/>
                      <a:ext cx="835190" cy="777600"/>
                    </a:xfrm>
                    <a:prstGeom prst="rect">
                      <a:avLst/>
                    </a:prstGeom>
                  </pic:spPr>
                </pic:pic>
              </a:graphicData>
            </a:graphic>
          </wp:anchor>
        </w:drawing>
      </w:r>
      <w:r>
        <w:rPr>
          <w:color w:val="231F20"/>
          <w:w w:val="105"/>
        </w:rPr>
        <w:t>In 2018, PJSI further developed the excel chart creator to allow courts to present data disaggregated by sex and age. Part 3 shows which PJSI partner courts are presenting sex, age and disability disaggregated data in their Annual Reports.</w:t>
      </w:r>
    </w:p>
    <w:p>
      <w:pPr>
        <w:pStyle w:val="BodyText"/>
        <w:spacing w:line="252" w:lineRule="auto" w:before="174"/>
        <w:ind w:left="3401" w:right="1698"/>
        <w:jc w:val="both"/>
      </w:pPr>
      <w:r>
        <w:rPr/>
        <w:pict>
          <v:group style="position:absolute;margin-left:90.709pt;margin-top:60.517334pt;width:65.8pt;height:61.25pt;mso-position-horizontal-relative:page;mso-position-vertical-relative:paragraph;z-index:2032" coordorigin="1814,1210" coordsize="1316,1225">
            <v:shape style="position:absolute;left:1814;top:1210;width:1316;height:1225" coordorigin="1814,1210" coordsize="1316,1225" path="m3057,1210l1887,1210,1845,1211,1823,1219,1815,1241,1814,1283,1814,2362,1815,2404,1823,2426,1845,2434,1887,2435,3057,2435,3099,2434,3120,2426,3128,2404,3129,2362,3129,1283,3128,1241,3120,1219,3099,1211,3057,1210xe" filled="true" fillcolor="#872a90" stroked="false">
              <v:path arrowok="t"/>
              <v:fill type="solid"/>
            </v:shape>
            <v:shape style="position:absolute;left:1995;top:1267;width:976;height:1147" type="#_x0000_t75" stroked="false">
              <v:imagedata r:id="rId43" o:title=""/>
            </v:shape>
            <w10:wrap type="none"/>
          </v:group>
        </w:pict>
      </w:r>
      <w:r>
        <w:rPr>
          <w:color w:val="231F20"/>
          <w:w w:val="105"/>
        </w:rPr>
        <w:t>Women and children in the </w:t>
      </w:r>
      <w:r>
        <w:rPr>
          <w:color w:val="231F20"/>
          <w:spacing w:val="-3"/>
          <w:w w:val="105"/>
        </w:rPr>
        <w:t>Pacific </w:t>
      </w:r>
      <w:r>
        <w:rPr>
          <w:color w:val="231F20"/>
          <w:w w:val="105"/>
        </w:rPr>
        <w:t>experience levels of violence that are double the global average, with most violence occurring within the </w:t>
      </w:r>
      <w:r>
        <w:rPr>
          <w:color w:val="231F20"/>
          <w:spacing w:val="-3"/>
          <w:w w:val="105"/>
        </w:rPr>
        <w:t>family. </w:t>
      </w:r>
      <w:r>
        <w:rPr>
          <w:color w:val="231F20"/>
          <w:w w:val="105"/>
        </w:rPr>
        <w:t>UNESCAP reports that women living with a disability are more likely to experience sexual or physical violence than women without disabilities. </w:t>
      </w:r>
      <w:r>
        <w:rPr>
          <w:color w:val="231F20"/>
          <w:spacing w:val="-3"/>
          <w:w w:val="105"/>
        </w:rPr>
        <w:t>Tracking </w:t>
      </w:r>
      <w:r>
        <w:rPr>
          <w:color w:val="231F20"/>
          <w:w w:val="105"/>
        </w:rPr>
        <w:t>case trends and presenting sex, age and disability disaggregated data for violence and family law cases is important to enable a range of national</w:t>
      </w:r>
      <w:r>
        <w:rPr>
          <w:color w:val="231F20"/>
          <w:spacing w:val="-7"/>
          <w:w w:val="105"/>
        </w:rPr>
        <w:t> </w:t>
      </w:r>
      <w:r>
        <w:rPr>
          <w:color w:val="231F20"/>
          <w:w w:val="105"/>
        </w:rPr>
        <w:t>stakeholders</w:t>
      </w:r>
      <w:r>
        <w:rPr>
          <w:color w:val="231F20"/>
          <w:spacing w:val="-7"/>
          <w:w w:val="105"/>
        </w:rPr>
        <w:t> </w:t>
      </w:r>
      <w:r>
        <w:rPr>
          <w:color w:val="231F20"/>
          <w:w w:val="105"/>
        </w:rPr>
        <w:t>to</w:t>
      </w:r>
      <w:r>
        <w:rPr>
          <w:color w:val="231F20"/>
          <w:spacing w:val="-7"/>
          <w:w w:val="105"/>
        </w:rPr>
        <w:t> </w:t>
      </w:r>
      <w:r>
        <w:rPr>
          <w:color w:val="231F20"/>
          <w:w w:val="105"/>
        </w:rPr>
        <w:t>understand</w:t>
      </w:r>
      <w:r>
        <w:rPr>
          <w:color w:val="231F20"/>
          <w:spacing w:val="-7"/>
          <w:w w:val="105"/>
        </w:rPr>
        <w:t> </w:t>
      </w:r>
      <w:r>
        <w:rPr>
          <w:color w:val="231F20"/>
          <w:w w:val="105"/>
        </w:rPr>
        <w:t>the</w:t>
      </w:r>
      <w:r>
        <w:rPr>
          <w:color w:val="231F20"/>
          <w:spacing w:val="-7"/>
          <w:w w:val="105"/>
        </w:rPr>
        <w:t> </w:t>
      </w:r>
      <w:r>
        <w:rPr>
          <w:color w:val="231F20"/>
          <w:w w:val="105"/>
        </w:rPr>
        <w:t>proportion</w:t>
      </w:r>
      <w:r>
        <w:rPr>
          <w:color w:val="231F20"/>
          <w:spacing w:val="-7"/>
          <w:w w:val="105"/>
        </w:rPr>
        <w:t> </w:t>
      </w:r>
      <w:r>
        <w:rPr>
          <w:color w:val="231F20"/>
          <w:w w:val="105"/>
        </w:rPr>
        <w:t>of</w:t>
      </w:r>
      <w:r>
        <w:rPr>
          <w:color w:val="231F20"/>
          <w:spacing w:val="-7"/>
          <w:w w:val="105"/>
        </w:rPr>
        <w:t> </w:t>
      </w:r>
      <w:r>
        <w:rPr>
          <w:color w:val="231F20"/>
          <w:w w:val="105"/>
        </w:rPr>
        <w:t>cases</w:t>
      </w:r>
      <w:r>
        <w:rPr>
          <w:color w:val="231F20"/>
          <w:spacing w:val="-7"/>
          <w:w w:val="105"/>
        </w:rPr>
        <w:t> </w:t>
      </w:r>
      <w:r>
        <w:rPr>
          <w:color w:val="231F20"/>
          <w:w w:val="105"/>
        </w:rPr>
        <w:t>coming</w:t>
      </w:r>
      <w:r>
        <w:rPr>
          <w:color w:val="231F20"/>
          <w:spacing w:val="-7"/>
          <w:w w:val="105"/>
        </w:rPr>
        <w:t> </w:t>
      </w:r>
      <w:r>
        <w:rPr>
          <w:color w:val="231F20"/>
          <w:w w:val="105"/>
        </w:rPr>
        <w:t>through the formal justice system, the outcomes in these cases and the challenges faced</w:t>
      </w:r>
      <w:r>
        <w:rPr>
          <w:color w:val="231F20"/>
          <w:spacing w:val="6"/>
          <w:w w:val="105"/>
        </w:rPr>
        <w:t> </w:t>
      </w:r>
      <w:r>
        <w:rPr>
          <w:color w:val="231F20"/>
          <w:w w:val="105"/>
        </w:rPr>
        <w:t>by</w:t>
      </w:r>
      <w:r>
        <w:rPr>
          <w:color w:val="231F20"/>
          <w:spacing w:val="6"/>
          <w:w w:val="105"/>
        </w:rPr>
        <w:t> </w:t>
      </w:r>
      <w:r>
        <w:rPr>
          <w:color w:val="231F20"/>
          <w:w w:val="105"/>
        </w:rPr>
        <w:t>women</w:t>
      </w:r>
      <w:r>
        <w:rPr>
          <w:color w:val="231F20"/>
          <w:spacing w:val="6"/>
          <w:w w:val="105"/>
        </w:rPr>
        <w:t> </w:t>
      </w:r>
      <w:r>
        <w:rPr>
          <w:color w:val="231F20"/>
          <w:w w:val="105"/>
        </w:rPr>
        <w:t>and</w:t>
      </w:r>
      <w:r>
        <w:rPr>
          <w:color w:val="231F20"/>
          <w:spacing w:val="6"/>
          <w:w w:val="105"/>
        </w:rPr>
        <w:t> </w:t>
      </w:r>
      <w:r>
        <w:rPr>
          <w:color w:val="231F20"/>
          <w:w w:val="105"/>
        </w:rPr>
        <w:t>children</w:t>
      </w:r>
      <w:r>
        <w:rPr>
          <w:color w:val="231F20"/>
          <w:spacing w:val="6"/>
          <w:w w:val="105"/>
        </w:rPr>
        <w:t> </w:t>
      </w:r>
      <w:r>
        <w:rPr>
          <w:color w:val="231F20"/>
          <w:w w:val="105"/>
        </w:rPr>
        <w:t>in</w:t>
      </w:r>
      <w:r>
        <w:rPr>
          <w:color w:val="231F20"/>
          <w:spacing w:val="6"/>
          <w:w w:val="105"/>
        </w:rPr>
        <w:t> </w:t>
      </w:r>
      <w:r>
        <w:rPr>
          <w:color w:val="231F20"/>
          <w:w w:val="105"/>
        </w:rPr>
        <w:t>order</w:t>
      </w:r>
      <w:r>
        <w:rPr>
          <w:color w:val="231F20"/>
          <w:spacing w:val="6"/>
          <w:w w:val="105"/>
        </w:rPr>
        <w:t> </w:t>
      </w:r>
      <w:r>
        <w:rPr>
          <w:color w:val="231F20"/>
          <w:w w:val="105"/>
        </w:rPr>
        <w:t>to</w:t>
      </w:r>
      <w:r>
        <w:rPr>
          <w:color w:val="231F20"/>
          <w:spacing w:val="6"/>
          <w:w w:val="105"/>
        </w:rPr>
        <w:t> </w:t>
      </w:r>
      <w:r>
        <w:rPr>
          <w:color w:val="231F20"/>
          <w:w w:val="105"/>
        </w:rPr>
        <w:t>improve</w:t>
      </w:r>
      <w:r>
        <w:rPr>
          <w:color w:val="231F20"/>
          <w:spacing w:val="6"/>
          <w:w w:val="105"/>
        </w:rPr>
        <w:t> </w:t>
      </w:r>
      <w:r>
        <w:rPr>
          <w:color w:val="231F20"/>
          <w:w w:val="105"/>
        </w:rPr>
        <w:t>service</w:t>
      </w:r>
      <w:r>
        <w:rPr>
          <w:color w:val="231F20"/>
          <w:spacing w:val="6"/>
          <w:w w:val="105"/>
        </w:rPr>
        <w:t> </w:t>
      </w:r>
      <w:r>
        <w:rPr>
          <w:color w:val="231F20"/>
          <w:w w:val="105"/>
        </w:rPr>
        <w:t>provision.</w:t>
      </w:r>
    </w:p>
    <w:p>
      <w:pPr>
        <w:pStyle w:val="BodyText"/>
        <w:spacing w:line="252" w:lineRule="auto" w:before="177"/>
        <w:ind w:left="1700" w:right="1698"/>
        <w:jc w:val="both"/>
      </w:pPr>
      <w:r>
        <w:rPr>
          <w:color w:val="231F20"/>
          <w:w w:val="105"/>
        </w:rPr>
        <w:t>The 2018 revised Court Annual Reporting Toolkit included a tool outlining the data fields that would ideally be included in court tracking systems to improve the collection, analysis and publication of sex, age and disability disaggregated data in their Annual Reports. The 2018 Annual Reports from Palau, Tonga and Vanuatu present new age and sex disaggregated data in relation to family law and violence cases.</w:t>
      </w:r>
    </w:p>
    <w:p>
      <w:pPr>
        <w:pStyle w:val="BodyText"/>
        <w:rPr>
          <w:sz w:val="20"/>
        </w:rPr>
      </w:pPr>
    </w:p>
    <w:p>
      <w:pPr>
        <w:pStyle w:val="BodyText"/>
        <w:spacing w:before="7"/>
        <w:rPr>
          <w:sz w:val="16"/>
        </w:rPr>
      </w:pPr>
    </w:p>
    <w:p>
      <w:pPr>
        <w:pStyle w:val="Heading5"/>
        <w:spacing w:line="208" w:lineRule="auto" w:before="130"/>
        <w:ind w:left="3401" w:right="1917" w:hanging="1"/>
      </w:pPr>
      <w:r>
        <w:rPr/>
        <w:pict>
          <v:group style="position:absolute;margin-left:85.039398pt;margin-top:3.719409pt;width:79.4pt;height:22.7pt;mso-position-horizontal-relative:page;mso-position-vertical-relative:paragraph;z-index:1912" coordorigin="1701,74" coordsize="1588,454">
            <v:shape style="position:absolute;left:1700;top:74;width:1588;height:454" coordorigin="1701,74" coordsize="1588,454" path="m3088,74l1701,74,1701,528,3088,528,3204,525,3263,503,3285,444,3288,328,3288,274,3285,159,3263,99,3204,78,3088,74xe" filled="true" fillcolor="#65a5ae" stroked="false">
              <v:path arrowok="t"/>
              <v:fill type="solid"/>
            </v:shape>
            <v:shape style="position:absolute;left:1700;top:74;width:1588;height:454" type="#_x0000_t202" filled="false" stroked="false">
              <v:textbox inset="0,0,0,0">
                <w:txbxContent>
                  <w:p>
                    <w:pPr>
                      <w:spacing w:before="16"/>
                      <w:ind w:left="56" w:right="0" w:firstLine="0"/>
                      <w:jc w:val="left"/>
                      <w:rPr>
                        <w:sz w:val="32"/>
                      </w:rPr>
                    </w:pPr>
                    <w:r>
                      <w:rPr>
                        <w:color w:val="FFFFFF"/>
                        <w:w w:val="110"/>
                        <w:sz w:val="32"/>
                      </w:rPr>
                      <w:t>Change 5</w:t>
                    </w:r>
                  </w:p>
                </w:txbxContent>
              </v:textbox>
              <w10:wrap type="none"/>
            </v:shape>
            <w10:wrap type="none"/>
          </v:group>
        </w:pict>
      </w:r>
      <w:r>
        <w:rPr>
          <w:color w:val="0F6161"/>
          <w:w w:val="105"/>
        </w:rPr>
        <w:t>Greater Ability of PJSI Judiciaries to Report on more of the Cook Island</w:t>
      </w:r>
      <w:r>
        <w:rPr>
          <w:color w:val="0F6161"/>
          <w:spacing w:val="58"/>
          <w:w w:val="105"/>
        </w:rPr>
        <w:t> </w:t>
      </w:r>
      <w:r>
        <w:rPr>
          <w:color w:val="0F6161"/>
          <w:w w:val="105"/>
        </w:rPr>
        <w:t>Indicators</w:t>
      </w:r>
    </w:p>
    <w:p>
      <w:pPr>
        <w:pStyle w:val="BodyText"/>
        <w:spacing w:line="252" w:lineRule="auto" w:before="165"/>
        <w:ind w:left="1700" w:right="1698"/>
        <w:jc w:val="both"/>
      </w:pPr>
      <w:r>
        <w:rPr>
          <w:color w:val="231F20"/>
          <w:w w:val="105"/>
        </w:rPr>
        <w:t>In the baseline year of 2011, only the judiciaries of the Marshall Islands and Palau were able to report on ten or more of the Cook Island Indicators. In 2018, 8 of the 14 PJSI countries (57%) are able to report on ten or more of the Cook Island indicators.</w:t>
      </w:r>
    </w:p>
    <w:p>
      <w:pPr>
        <w:pStyle w:val="BodyText"/>
        <w:spacing w:before="12"/>
        <w:rPr>
          <w:sz w:val="8"/>
        </w:rPr>
      </w:pPr>
      <w:r>
        <w:rPr/>
        <w:pict>
          <v:group style="position:absolute;margin-left:85.03920pt;margin-top:7.441894pt;width:44.05pt;height:86.05pt;mso-position-horizontal-relative:page;mso-position-vertical-relative:paragraph;z-index:1744;mso-wrap-distance-left:0;mso-wrap-distance-right:0" coordorigin="1701,149" coordsize="881,1721">
            <v:shape style="position:absolute;left:1700;top:1037;width:881;height:832" type="#_x0000_t75" stroked="false">
              <v:imagedata r:id="rId76" o:title=""/>
            </v:shape>
            <v:shape style="position:absolute;left:1700;top:148;width:881;height:832" coordorigin="1701,149" coordsize="881,832" path="m2532,149l1750,149,1721,150,1707,155,1702,169,1701,198,1701,931,1702,959,1707,974,1721,979,1750,980,2532,980,2560,979,2575,974,2580,959,2581,931,2581,198,2580,169,2575,155,2560,150,2532,149xe" filled="true" fillcolor="#fdce0d" stroked="false">
              <v:path arrowok="t"/>
              <v:fill type="solid"/>
            </v:shape>
            <v:shape style="position:absolute;left:1828;top:182;width:626;height:764" type="#_x0000_t75" stroked="false">
              <v:imagedata r:id="rId40" o:title=""/>
            </v:shape>
            <w10:wrap type="topAndBottom"/>
          </v:group>
        </w:pict>
      </w:r>
      <w:r>
        <w:rPr/>
        <w:pict>
          <v:group style="position:absolute;margin-left:132.713806pt;margin-top:7.441894pt;width:234.55pt;height:86.05pt;mso-position-horizontal-relative:page;mso-position-vertical-relative:paragraph;z-index:1768;mso-wrap-distance-left:0;mso-wrap-distance-right:0" coordorigin="2654,149" coordsize="4691,1721">
            <v:shape style="position:absolute;left:6464;top:1037;width:881;height:832" type="#_x0000_t75" stroked="false">
              <v:imagedata r:id="rId77" o:title=""/>
            </v:shape>
            <v:shape style="position:absolute;left:6464;top:148;width:881;height:832" coordorigin="6464,149" coordsize="881,832" path="m7296,149l6513,149,6485,150,6470,155,6465,169,6464,198,6464,931,6465,959,6470,974,6485,979,6513,980,7296,980,7324,979,7338,974,7344,959,7344,931,7344,198,7344,169,7338,155,7324,150,7296,149xe" filled="true" fillcolor="#65a5ae" stroked="false">
              <v:path arrowok="t"/>
              <v:fill type="solid"/>
            </v:shape>
            <v:shape style="position:absolute;left:6546;top:257;width:717;height:615" type="#_x0000_t75" stroked="false">
              <v:imagedata r:id="rId32" o:title=""/>
            </v:shape>
            <v:shape style="position:absolute;left:4557;top:148;width:881;height:832" coordorigin="4557,149" coordsize="881,832" path="m5389,149l4606,149,4578,150,4563,155,4558,169,4557,198,4557,931,4558,959,4563,974,4578,979,4606,980,5389,980,5417,979,5431,974,5437,959,5438,931,5438,198,5437,169,5431,155,5417,150,5389,149xe" filled="true" fillcolor="#b5b292" stroked="false">
              <v:path arrowok="t"/>
              <v:fill type="solid"/>
            </v:shape>
            <v:shape style="position:absolute;left:4684;top:209;width:626;height:711" type="#_x0000_t75" stroked="false">
              <v:imagedata r:id="rId29" o:title=""/>
            </v:shape>
            <v:shape style="position:absolute;left:4561;top:1037;width:881;height:832" coordorigin="4561,1038" coordsize="881,832" path="m5393,1038l4610,1038,4582,1039,4567,1044,4562,1059,4561,1087,4561,1820,4562,1848,4567,1863,4582,1868,4610,1869,5393,1869,5421,1868,5435,1863,5441,1848,5441,1820,5441,1087,5441,1059,5435,1044,5421,1039,5393,1038xe" filled="true" fillcolor="#ef3a4c" stroked="false">
              <v:path arrowok="t"/>
              <v:fill type="solid"/>
            </v:shape>
            <v:shape style="position:absolute;left:4661;top:1100;width:687;height:687" type="#_x0000_t75" stroked="false">
              <v:imagedata r:id="rId30" o:title=""/>
            </v:shape>
            <v:shape style="position:absolute;left:3603;top:148;width:881;height:832" coordorigin="3604,149" coordsize="881,832" path="m4435,149l3653,149,3625,150,3610,155,3605,169,3604,198,3604,931,3605,959,3610,974,3625,979,3653,980,4435,980,4463,979,4478,974,4483,959,4484,931,4484,198,4483,169,4478,155,4463,150,4435,149xe" filled="true" fillcolor="#007dbb" stroked="false">
              <v:path arrowok="t"/>
              <v:fill type="solid"/>
            </v:shape>
            <v:shape style="position:absolute;left:3675;top:317;width:726;height:493" type="#_x0000_t75" stroked="false">
              <v:imagedata r:id="rId39" o:title=""/>
            </v:shape>
            <v:shape style="position:absolute;left:3607;top:1037;width:881;height:832" coordorigin="3608,1038" coordsize="881,832" path="m4439,1038l3657,1038,3628,1039,3614,1044,3609,1059,3608,1087,3608,1820,3609,1848,3614,1863,3628,1868,3657,1869,4439,1869,4467,1868,4482,1863,4487,1848,4488,1820,4488,1087,4487,1059,4482,1044,4467,1039,4439,1038xe" filled="true" fillcolor="#87cca2" stroked="false">
              <v:path arrowok="t"/>
              <v:fill type="solid"/>
            </v:shape>
            <v:shape style="position:absolute;left:3687;top:1098;width:721;height:696" type="#_x0000_t75" stroked="false">
              <v:imagedata r:id="rId34" o:title=""/>
            </v:shape>
            <v:shape style="position:absolute;left:2654;top:1037;width:881;height:832" type="#_x0000_t75" stroked="false">
              <v:imagedata r:id="rId78" o:title=""/>
            </v:shape>
            <v:shape style="position:absolute;left:5510;top:148;width:881;height:832" coordorigin="5511,149" coordsize="881,832" path="m6342,149l5560,149,5531,150,5517,155,5512,169,5511,198,5511,931,5512,959,5517,974,5531,979,5560,980,6342,980,6370,979,6385,974,6390,959,6391,931,6391,198,6390,169,6385,155,6370,150,6342,149xe" filled="true" fillcolor="#e07e26" stroked="false">
              <v:path arrowok="t"/>
              <v:fill type="solid"/>
            </v:shape>
            <v:shape style="position:absolute;left:5638;top:252;width:624;height:624" type="#_x0000_t75" stroked="false">
              <v:imagedata r:id="rId41" o:title=""/>
            </v:shape>
            <v:shape style="position:absolute;left:5514;top:1037;width:881;height:832" coordorigin="5515,1038" coordsize="881,832" path="m6346,1038l5564,1038,5535,1039,5521,1044,5516,1059,5515,1087,5515,1820,5516,1848,5521,1863,5535,1868,5564,1869,6346,1869,6374,1868,6389,1863,6394,1848,6395,1820,6395,1087,6394,1059,6389,1044,6374,1039,6346,1038xe" filled="true" fillcolor="#1a2857" stroked="false">
              <v:path arrowok="t"/>
              <v:fill type="solid"/>
            </v:shape>
            <v:shape style="position:absolute;left:5609;top:1108;width:692;height:690" type="#_x0000_t75" stroked="false">
              <v:imagedata r:id="rId36" o:title=""/>
            </v:shape>
            <v:shape style="position:absolute;left:2654;top:148;width:881;height:832" coordorigin="2654,149" coordsize="881,832" path="m3486,149l2703,149,2675,150,2660,155,2655,169,2654,198,2654,931,2655,959,2660,974,2675,979,2703,980,3486,980,3514,979,3528,974,3534,959,3534,931,3534,198,3534,169,3528,155,3514,150,3486,149xe" filled="true" fillcolor="#efac1e" stroked="false">
              <v:path arrowok="t"/>
              <v:fill type="solid"/>
            </v:shape>
            <v:shape style="position:absolute;left:2760;top:219;width:690;height:690" type="#_x0000_t75" stroked="false">
              <v:imagedata r:id="rId28" o:title=""/>
            </v:shape>
            <w10:wrap type="topAndBottom"/>
          </v:group>
        </w:pict>
      </w:r>
      <w:r>
        <w:rPr/>
        <w:pict>
          <v:group style="position:absolute;margin-left:370.891998pt;margin-top:7.441894pt;width:139.4pt;height:86.05pt;mso-position-horizontal-relative:page;mso-position-vertical-relative:paragraph;z-index:1792;mso-wrap-distance-left:0;mso-wrap-distance-right:0" coordorigin="7418,149" coordsize="2788,1721">
            <v:shape style="position:absolute;left:8367;top:1037;width:881;height:832" type="#_x0000_t75" stroked="false">
              <v:imagedata r:id="rId79" o:title=""/>
            </v:shape>
            <v:shape style="position:absolute;left:7417;top:148;width:881;height:832" coordorigin="7418,149" coordsize="881,832" path="m8249,149l7467,149,7438,150,7424,155,7419,169,7418,198,7418,931,7419,959,7424,974,7438,979,7467,980,8249,980,8277,979,8292,974,8297,959,8298,931,8298,198,8297,169,8292,155,8277,150,8249,149xe" filled="true" fillcolor="#929235" stroked="false">
              <v:path arrowok="t"/>
              <v:fill type="solid"/>
            </v:shape>
            <v:shape style="position:absolute;left:7482;top:199;width:752;height:731" type="#_x0000_t75" stroked="false">
              <v:imagedata r:id="rId37" o:title=""/>
            </v:shape>
            <v:shape style="position:absolute;left:7417;top:1037;width:881;height:832" coordorigin="7418,1038" coordsize="881,832" path="m8249,1038l7467,1038,7438,1039,7424,1044,7419,1059,7418,1087,7418,1820,7419,1848,7424,1863,7438,1868,7467,1869,8249,1869,8277,1868,8292,1863,8297,1848,8298,1820,8298,1087,8297,1059,8292,1044,8277,1039,8249,1038xe" filled="true" fillcolor="#872a90" stroked="false">
              <v:path arrowok="t"/>
              <v:fill type="solid"/>
            </v:shape>
            <v:shape style="position:absolute;left:7534;top:1087;width:653;height:767" type="#_x0000_t75" stroked="false">
              <v:imagedata r:id="rId43" o:title=""/>
            </v:shape>
            <v:shape style="position:absolute;left:9320;top:1037;width:881;height:832" type="#_x0000_t75" stroked="false">
              <v:imagedata r:id="rId80" o:title=""/>
            </v:shape>
            <v:shape style="position:absolute;left:8371;top:148;width:881;height:832" coordorigin="8371,149" coordsize="881,832" path="m9203,149l8420,149,8392,150,8377,155,8372,169,8371,198,8371,931,8372,959,8377,974,8392,979,8420,980,9203,980,9231,979,9245,974,9251,959,9251,931,9251,198,9251,169,9245,155,9231,150,9203,149xe" filled="true" fillcolor="#0f6161" stroked="false">
              <v:path arrowok="t"/>
              <v:fill type="solid"/>
            </v:shape>
            <v:shape style="position:absolute;left:8475;top:234;width:681;height:665" type="#_x0000_t75" stroked="false">
              <v:imagedata r:id="rId38" o:title=""/>
            </v:shape>
            <v:shape style="position:absolute;left:9324;top:148;width:881;height:832" coordorigin="9325,149" coordsize="881,832" path="m10156,149l9374,149,9345,150,9331,155,9326,169,9325,198,9325,931,9326,959,9331,974,9345,979,9374,980,10156,980,10184,979,10199,974,10204,959,10205,931,10205,198,10204,169,10199,155,10184,150,10156,149xe" filled="true" fillcolor="#a8228c" stroked="false">
              <v:path arrowok="t"/>
              <v:fill type="solid"/>
            </v:shape>
            <v:shape style="position:absolute;left:9385;top:240;width:766;height:662" type="#_x0000_t75" stroked="false">
              <v:imagedata r:id="rId33" o:title=""/>
            </v:shape>
            <w10:wrap type="topAndBottom"/>
          </v:group>
        </w:pict>
      </w:r>
    </w:p>
    <w:p>
      <w:pPr>
        <w:pStyle w:val="BodyText"/>
        <w:rPr>
          <w:sz w:val="20"/>
        </w:rPr>
      </w:pPr>
    </w:p>
    <w:p>
      <w:pPr>
        <w:pStyle w:val="BodyText"/>
        <w:rPr>
          <w:sz w:val="20"/>
        </w:rPr>
      </w:pPr>
    </w:p>
    <w:p>
      <w:pPr>
        <w:pStyle w:val="Heading5"/>
        <w:spacing w:line="208" w:lineRule="auto" w:before="286"/>
        <w:ind w:left="3401" w:right="1917" w:hanging="1"/>
      </w:pPr>
      <w:r>
        <w:rPr/>
        <w:pict>
          <v:group style="position:absolute;margin-left:85.039398pt;margin-top:11.429209pt;width:79.4pt;height:22.7pt;mso-position-horizontal-relative:page;mso-position-vertical-relative:paragraph;z-index:1864" coordorigin="1701,229" coordsize="1588,454">
            <v:shape style="position:absolute;left:1700;top:228;width:1588;height:454" coordorigin="1701,229" coordsize="1588,454" path="m3088,229l1701,229,1701,682,3088,682,3204,679,3263,657,3285,598,3288,482,3288,429,3285,313,3263,254,3204,232,3088,229xe" filled="true" fillcolor="#65a5ae" stroked="false">
              <v:path arrowok="t"/>
              <v:fill type="solid"/>
            </v:shape>
            <v:shape style="position:absolute;left:1700;top:228;width:1588;height:454" type="#_x0000_t202" filled="false" stroked="false">
              <v:textbox inset="0,0,0,0">
                <w:txbxContent>
                  <w:p>
                    <w:pPr>
                      <w:spacing w:before="18"/>
                      <w:ind w:left="56" w:right="0" w:firstLine="0"/>
                      <w:jc w:val="left"/>
                      <w:rPr>
                        <w:sz w:val="32"/>
                      </w:rPr>
                    </w:pPr>
                    <w:r>
                      <w:rPr>
                        <w:color w:val="FFFFFF"/>
                        <w:w w:val="110"/>
                        <w:sz w:val="32"/>
                      </w:rPr>
                      <w:t>Change 6</w:t>
                    </w:r>
                  </w:p>
                </w:txbxContent>
              </v:textbox>
              <w10:wrap type="none"/>
            </v:shape>
            <w10:wrap type="none"/>
          </v:group>
        </w:pict>
      </w:r>
      <w:r>
        <w:rPr/>
        <w:drawing>
          <wp:anchor distT="0" distB="0" distL="0" distR="0" allowOverlap="1" layoutInCell="1" locked="0" behindDoc="0" simplePos="0" relativeHeight="1984">
            <wp:simplePos x="0" y="0"/>
            <wp:positionH relativeFrom="page">
              <wp:posOffset>1079995</wp:posOffset>
            </wp:positionH>
            <wp:positionV relativeFrom="paragraph">
              <wp:posOffset>575348</wp:posOffset>
            </wp:positionV>
            <wp:extent cx="1007998" cy="1072892"/>
            <wp:effectExtent l="0" t="0" r="0" b="0"/>
            <wp:wrapNone/>
            <wp:docPr id="21" name="image69.png" descr=""/>
            <wp:cNvGraphicFramePr>
              <a:graphicFrameLocks noChangeAspect="1"/>
            </wp:cNvGraphicFramePr>
            <a:graphic>
              <a:graphicData uri="http://schemas.openxmlformats.org/drawingml/2006/picture">
                <pic:pic>
                  <pic:nvPicPr>
                    <pic:cNvPr id="22" name="image69.png"/>
                    <pic:cNvPicPr/>
                  </pic:nvPicPr>
                  <pic:blipFill>
                    <a:blip r:embed="rId81" cstate="print"/>
                    <a:stretch>
                      <a:fillRect/>
                    </a:stretch>
                  </pic:blipFill>
                  <pic:spPr>
                    <a:xfrm>
                      <a:off x="0" y="0"/>
                      <a:ext cx="1007998" cy="1072892"/>
                    </a:xfrm>
                    <a:prstGeom prst="rect">
                      <a:avLst/>
                    </a:prstGeom>
                  </pic:spPr>
                </pic:pic>
              </a:graphicData>
            </a:graphic>
          </wp:anchor>
        </w:drawing>
      </w:r>
      <w:r>
        <w:rPr>
          <w:color w:val="0F6161"/>
          <w:w w:val="105"/>
        </w:rPr>
        <w:t>PJSI Partner Judiciaries Commitment to Court User Surveys</w:t>
      </w:r>
    </w:p>
    <w:p>
      <w:pPr>
        <w:pStyle w:val="BodyText"/>
        <w:spacing w:line="252" w:lineRule="auto" w:before="165"/>
        <w:ind w:left="3401" w:right="1698"/>
        <w:jc w:val="both"/>
      </w:pPr>
      <w:r>
        <w:rPr>
          <w:color w:val="231F20"/>
          <w:w w:val="105"/>
        </w:rPr>
        <w:t>From 2011-2018, </w:t>
      </w:r>
      <w:r>
        <w:rPr>
          <w:color w:val="231F20"/>
          <w:spacing w:val="-4"/>
          <w:w w:val="105"/>
        </w:rPr>
        <w:t>The </w:t>
      </w:r>
      <w:r>
        <w:rPr>
          <w:color w:val="231F20"/>
          <w:w w:val="105"/>
        </w:rPr>
        <w:t>Republic of the Marshall Islands  has  undertaken  four court user surveys in 2012, 2014, 2016 and 2018 and the results are included in their Annual</w:t>
      </w:r>
      <w:r>
        <w:rPr>
          <w:color w:val="231F20"/>
          <w:spacing w:val="23"/>
          <w:w w:val="105"/>
        </w:rPr>
        <w:t> </w:t>
      </w:r>
      <w:r>
        <w:rPr>
          <w:color w:val="231F20"/>
          <w:w w:val="105"/>
        </w:rPr>
        <w:t>Reports.</w:t>
      </w:r>
    </w:p>
    <w:p>
      <w:pPr>
        <w:pStyle w:val="BodyText"/>
        <w:spacing w:line="252" w:lineRule="auto" w:before="173"/>
        <w:ind w:left="3401" w:right="1699"/>
        <w:jc w:val="both"/>
      </w:pPr>
      <w:r>
        <w:rPr>
          <w:color w:val="231F20"/>
          <w:spacing w:val="-4"/>
          <w:w w:val="105"/>
        </w:rPr>
        <w:t>Similarly,</w:t>
      </w:r>
      <w:r>
        <w:rPr>
          <w:color w:val="231F20"/>
          <w:spacing w:val="-23"/>
          <w:w w:val="105"/>
        </w:rPr>
        <w:t> </w:t>
      </w:r>
      <w:r>
        <w:rPr>
          <w:color w:val="231F20"/>
          <w:w w:val="105"/>
        </w:rPr>
        <w:t>the</w:t>
      </w:r>
      <w:r>
        <w:rPr>
          <w:color w:val="231F20"/>
          <w:spacing w:val="-23"/>
          <w:w w:val="105"/>
        </w:rPr>
        <w:t> </w:t>
      </w:r>
      <w:r>
        <w:rPr>
          <w:color w:val="231F20"/>
          <w:w w:val="105"/>
        </w:rPr>
        <w:t>Republic</w:t>
      </w:r>
      <w:r>
        <w:rPr>
          <w:color w:val="231F20"/>
          <w:spacing w:val="-23"/>
          <w:w w:val="105"/>
        </w:rPr>
        <w:t> </w:t>
      </w:r>
      <w:r>
        <w:rPr>
          <w:color w:val="231F20"/>
          <w:w w:val="105"/>
        </w:rPr>
        <w:t>of</w:t>
      </w:r>
      <w:r>
        <w:rPr>
          <w:color w:val="231F20"/>
          <w:spacing w:val="-23"/>
          <w:w w:val="105"/>
        </w:rPr>
        <w:t> </w:t>
      </w:r>
      <w:r>
        <w:rPr>
          <w:color w:val="231F20"/>
          <w:spacing w:val="-6"/>
          <w:w w:val="105"/>
        </w:rPr>
        <w:t>Palau</w:t>
      </w:r>
      <w:r>
        <w:rPr>
          <w:color w:val="231F20"/>
          <w:spacing w:val="-23"/>
          <w:w w:val="105"/>
        </w:rPr>
        <w:t> </w:t>
      </w:r>
      <w:r>
        <w:rPr>
          <w:color w:val="231F20"/>
          <w:w w:val="105"/>
        </w:rPr>
        <w:t>has</w:t>
      </w:r>
      <w:r>
        <w:rPr>
          <w:color w:val="231F20"/>
          <w:spacing w:val="-23"/>
          <w:w w:val="105"/>
        </w:rPr>
        <w:t> </w:t>
      </w:r>
      <w:r>
        <w:rPr>
          <w:color w:val="231F20"/>
          <w:w w:val="105"/>
        </w:rPr>
        <w:t>undertaken</w:t>
      </w:r>
      <w:r>
        <w:rPr>
          <w:color w:val="231F20"/>
          <w:spacing w:val="-23"/>
          <w:w w:val="105"/>
        </w:rPr>
        <w:t> </w:t>
      </w:r>
      <w:r>
        <w:rPr>
          <w:color w:val="231F20"/>
          <w:w w:val="105"/>
        </w:rPr>
        <w:t>four</w:t>
      </w:r>
      <w:r>
        <w:rPr>
          <w:color w:val="231F20"/>
          <w:spacing w:val="-23"/>
          <w:w w:val="105"/>
        </w:rPr>
        <w:t> </w:t>
      </w:r>
      <w:r>
        <w:rPr>
          <w:color w:val="231F20"/>
          <w:w w:val="105"/>
        </w:rPr>
        <w:t>court</w:t>
      </w:r>
      <w:r>
        <w:rPr>
          <w:color w:val="231F20"/>
          <w:spacing w:val="-23"/>
          <w:w w:val="105"/>
        </w:rPr>
        <w:t> </w:t>
      </w:r>
      <w:r>
        <w:rPr>
          <w:color w:val="231F20"/>
          <w:w w:val="105"/>
        </w:rPr>
        <w:t>user</w:t>
      </w:r>
      <w:r>
        <w:rPr>
          <w:color w:val="231F20"/>
          <w:spacing w:val="-23"/>
          <w:w w:val="105"/>
        </w:rPr>
        <w:t> </w:t>
      </w:r>
      <w:r>
        <w:rPr>
          <w:color w:val="231F20"/>
          <w:w w:val="105"/>
        </w:rPr>
        <w:t>surveys</w:t>
      </w:r>
      <w:r>
        <w:rPr>
          <w:color w:val="231F20"/>
          <w:spacing w:val="-23"/>
          <w:w w:val="105"/>
        </w:rPr>
        <w:t> </w:t>
      </w:r>
      <w:r>
        <w:rPr>
          <w:color w:val="231F20"/>
          <w:w w:val="105"/>
        </w:rPr>
        <w:t>in</w:t>
      </w:r>
      <w:r>
        <w:rPr>
          <w:color w:val="231F20"/>
          <w:spacing w:val="-23"/>
          <w:w w:val="105"/>
        </w:rPr>
        <w:t> </w:t>
      </w:r>
      <w:r>
        <w:rPr>
          <w:color w:val="231F20"/>
          <w:w w:val="105"/>
        </w:rPr>
        <w:t>2011, 2012, 2013 and 2014 and the results are included in their Annual</w:t>
      </w:r>
      <w:r>
        <w:rPr>
          <w:color w:val="231F20"/>
          <w:spacing w:val="5"/>
          <w:w w:val="105"/>
        </w:rPr>
        <w:t> </w:t>
      </w:r>
      <w:r>
        <w:rPr>
          <w:color w:val="231F20"/>
          <w:w w:val="105"/>
        </w:rPr>
        <w:t>Reports.</w:t>
      </w:r>
    </w:p>
    <w:p>
      <w:pPr>
        <w:spacing w:after="0" w:line="252" w:lineRule="auto"/>
        <w:jc w:val="both"/>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0799">
            <wp:simplePos x="0" y="0"/>
            <wp:positionH relativeFrom="page">
              <wp:posOffset>0</wp:posOffset>
            </wp:positionH>
            <wp:positionV relativeFrom="paragraph">
              <wp:posOffset>373881</wp:posOffset>
            </wp:positionV>
            <wp:extent cx="7559992" cy="143992"/>
            <wp:effectExtent l="0" t="0" r="0" b="0"/>
            <wp:wrapNone/>
            <wp:docPr id="23" name="image39.png" descr=""/>
            <wp:cNvGraphicFramePr>
              <a:graphicFrameLocks noChangeAspect="1"/>
            </wp:cNvGraphicFramePr>
            <a:graphic>
              <a:graphicData uri="http://schemas.openxmlformats.org/drawingml/2006/picture">
                <pic:pic>
                  <pic:nvPicPr>
                    <pic:cNvPr id="24"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10</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spacing w:before="3"/>
        <w:rPr>
          <w:b/>
          <w:sz w:val="19"/>
        </w:rPr>
      </w:pPr>
    </w:p>
    <w:p>
      <w:pPr>
        <w:pStyle w:val="BodyText"/>
        <w:spacing w:before="93"/>
        <w:ind w:left="1700"/>
      </w:pPr>
      <w:r>
        <w:rPr/>
        <w:pict>
          <v:shape style="position:absolute;margin-left:84.539001pt;margin-top:20.31698pt;width:511.75pt;height:706.7pt;mso-position-horizontal-relative:page;mso-position-vertical-relative:paragraph;z-index:5032" type="#_x0000_t202" filled="false" stroked="false">
            <v:textbox inset="0,0,0,0">
              <w:txbxContent>
                <w:tbl>
                  <w:tblPr>
                    <w:tblW w:w="0" w:type="auto"/>
                    <w:jc w:val="left"/>
                    <w:tblBorders>
                      <w:top w:val="single" w:sz="8" w:space="0" w:color="65A5AE"/>
                      <w:left w:val="single" w:sz="8" w:space="0" w:color="65A5AE"/>
                      <w:bottom w:val="single" w:sz="8" w:space="0" w:color="65A5AE"/>
                      <w:right w:val="single" w:sz="8" w:space="0" w:color="65A5AE"/>
                      <w:insideH w:val="single" w:sz="8" w:space="0" w:color="65A5AE"/>
                      <w:insideV w:val="single" w:sz="8" w:space="0" w:color="65A5AE"/>
                    </w:tblBorders>
                    <w:tblLayout w:type="fixed"/>
                    <w:tblCellMar>
                      <w:top w:w="0" w:type="dxa"/>
                      <w:left w:w="0" w:type="dxa"/>
                      <w:bottom w:w="0" w:type="dxa"/>
                      <w:right w:w="0" w:type="dxa"/>
                    </w:tblCellMar>
                    <w:tblLook w:val="01E0"/>
                  </w:tblPr>
                  <w:tblGrid>
                    <w:gridCol w:w="1135"/>
                    <w:gridCol w:w="1570"/>
                    <w:gridCol w:w="961"/>
                    <w:gridCol w:w="985"/>
                    <w:gridCol w:w="978"/>
                    <w:gridCol w:w="992"/>
                    <w:gridCol w:w="978"/>
                    <w:gridCol w:w="978"/>
                    <w:gridCol w:w="934"/>
                    <w:gridCol w:w="696"/>
                  </w:tblGrid>
                  <w:tr>
                    <w:trPr>
                      <w:trHeight w:val="537" w:hRule="atLeast"/>
                    </w:trPr>
                    <w:tc>
                      <w:tcPr>
                        <w:tcW w:w="2705" w:type="dxa"/>
                        <w:gridSpan w:val="2"/>
                        <w:tcBorders>
                          <w:left w:val="nil"/>
                          <w:bottom w:val="nil"/>
                          <w:right w:val="single" w:sz="12" w:space="0" w:color="A0C2C9"/>
                        </w:tcBorders>
                        <w:shd w:val="clear" w:color="auto" w:fill="65A5AE"/>
                      </w:tcPr>
                      <w:p>
                        <w:pPr>
                          <w:pStyle w:val="TableParagraph"/>
                          <w:spacing w:before="78"/>
                          <w:ind w:left="66"/>
                          <w:rPr>
                            <w:b/>
                            <w:sz w:val="18"/>
                          </w:rPr>
                        </w:pPr>
                        <w:r>
                          <w:rPr>
                            <w:b/>
                            <w:color w:val="231F20"/>
                            <w:w w:val="105"/>
                            <w:sz w:val="18"/>
                          </w:rPr>
                          <w:t>PJSI Countries</w:t>
                        </w:r>
                      </w:p>
                    </w:tc>
                    <w:tc>
                      <w:tcPr>
                        <w:tcW w:w="961" w:type="dxa"/>
                        <w:tcBorders>
                          <w:left w:val="single" w:sz="12" w:space="0" w:color="A0C2C9"/>
                          <w:bottom w:val="nil"/>
                          <w:right w:val="single" w:sz="12" w:space="0" w:color="A0C2C9"/>
                        </w:tcBorders>
                        <w:shd w:val="clear" w:color="auto" w:fill="65A5AE"/>
                      </w:tcPr>
                      <w:p>
                        <w:pPr>
                          <w:pStyle w:val="TableParagraph"/>
                          <w:spacing w:line="218" w:lineRule="auto" w:before="80"/>
                          <w:ind w:left="213" w:right="180" w:firstLine="62"/>
                          <w:rPr>
                            <w:b/>
                            <w:sz w:val="18"/>
                          </w:rPr>
                        </w:pPr>
                        <w:r>
                          <w:rPr>
                            <w:b/>
                            <w:color w:val="231F20"/>
                            <w:w w:val="105"/>
                            <w:sz w:val="18"/>
                          </w:rPr>
                          <w:t>Cook </w:t>
                        </w:r>
                        <w:r>
                          <w:rPr>
                            <w:b/>
                            <w:color w:val="231F20"/>
                            <w:sz w:val="18"/>
                          </w:rPr>
                          <w:t>Islands</w:t>
                        </w:r>
                      </w:p>
                    </w:tc>
                    <w:tc>
                      <w:tcPr>
                        <w:tcW w:w="985" w:type="dxa"/>
                        <w:tcBorders>
                          <w:left w:val="single" w:sz="12" w:space="0" w:color="A0C2C9"/>
                          <w:bottom w:val="nil"/>
                          <w:right w:val="single" w:sz="12" w:space="0" w:color="A0C2C9"/>
                        </w:tcBorders>
                        <w:shd w:val="clear" w:color="auto" w:fill="65A5AE"/>
                      </w:tcPr>
                      <w:p>
                        <w:pPr>
                          <w:pStyle w:val="TableParagraph"/>
                          <w:spacing w:before="78"/>
                          <w:ind w:left="326"/>
                          <w:rPr>
                            <w:b/>
                            <w:sz w:val="18"/>
                          </w:rPr>
                        </w:pPr>
                        <w:r>
                          <w:rPr>
                            <w:b/>
                            <w:color w:val="231F20"/>
                            <w:w w:val="105"/>
                            <w:sz w:val="18"/>
                          </w:rPr>
                          <w:t>FSM</w:t>
                        </w:r>
                      </w:p>
                    </w:tc>
                    <w:tc>
                      <w:tcPr>
                        <w:tcW w:w="978" w:type="dxa"/>
                        <w:tcBorders>
                          <w:left w:val="single" w:sz="12" w:space="0" w:color="A0C2C9"/>
                          <w:bottom w:val="nil"/>
                          <w:right w:val="single" w:sz="12" w:space="0" w:color="A0C2C9"/>
                        </w:tcBorders>
                        <w:shd w:val="clear" w:color="auto" w:fill="65A5AE"/>
                      </w:tcPr>
                      <w:p>
                        <w:pPr>
                          <w:pStyle w:val="TableParagraph"/>
                          <w:spacing w:before="78"/>
                          <w:ind w:left="177" w:right="159"/>
                          <w:jc w:val="center"/>
                          <w:rPr>
                            <w:b/>
                            <w:sz w:val="18"/>
                          </w:rPr>
                        </w:pPr>
                        <w:r>
                          <w:rPr>
                            <w:b/>
                            <w:color w:val="231F20"/>
                            <w:w w:val="105"/>
                            <w:sz w:val="18"/>
                          </w:rPr>
                          <w:t>Kiribati</w:t>
                        </w:r>
                      </w:p>
                    </w:tc>
                    <w:tc>
                      <w:tcPr>
                        <w:tcW w:w="992" w:type="dxa"/>
                        <w:tcBorders>
                          <w:left w:val="single" w:sz="12" w:space="0" w:color="A0C2C9"/>
                          <w:bottom w:val="nil"/>
                          <w:right w:val="single" w:sz="12" w:space="0" w:color="A0C2C9"/>
                        </w:tcBorders>
                        <w:shd w:val="clear" w:color="auto" w:fill="65A5AE"/>
                      </w:tcPr>
                      <w:p>
                        <w:pPr>
                          <w:pStyle w:val="TableParagraph"/>
                          <w:spacing w:line="218" w:lineRule="auto" w:before="80"/>
                          <w:ind w:left="220" w:right="136" w:hanging="70"/>
                          <w:rPr>
                            <w:b/>
                            <w:sz w:val="18"/>
                          </w:rPr>
                        </w:pPr>
                        <w:r>
                          <w:rPr>
                            <w:b/>
                            <w:color w:val="231F20"/>
                            <w:sz w:val="18"/>
                          </w:rPr>
                          <w:t>Marshall </w:t>
                        </w:r>
                        <w:r>
                          <w:rPr>
                            <w:b/>
                            <w:color w:val="231F20"/>
                            <w:w w:val="105"/>
                            <w:sz w:val="18"/>
                          </w:rPr>
                          <w:t>Islands</w:t>
                        </w:r>
                      </w:p>
                    </w:tc>
                    <w:tc>
                      <w:tcPr>
                        <w:tcW w:w="978" w:type="dxa"/>
                        <w:tcBorders>
                          <w:left w:val="single" w:sz="12" w:space="0" w:color="A0C2C9"/>
                          <w:bottom w:val="nil"/>
                          <w:right w:val="single" w:sz="12" w:space="0" w:color="A0C2C9"/>
                        </w:tcBorders>
                        <w:shd w:val="clear" w:color="auto" w:fill="65A5AE"/>
                      </w:tcPr>
                      <w:p>
                        <w:pPr>
                          <w:pStyle w:val="TableParagraph"/>
                          <w:spacing w:before="78"/>
                          <w:ind w:left="158" w:right="159"/>
                          <w:jc w:val="center"/>
                          <w:rPr>
                            <w:b/>
                            <w:sz w:val="18"/>
                          </w:rPr>
                        </w:pPr>
                        <w:r>
                          <w:rPr>
                            <w:b/>
                            <w:color w:val="231F20"/>
                            <w:w w:val="110"/>
                            <w:sz w:val="18"/>
                          </w:rPr>
                          <w:t>Nauru</w:t>
                        </w:r>
                      </w:p>
                    </w:tc>
                    <w:tc>
                      <w:tcPr>
                        <w:tcW w:w="978" w:type="dxa"/>
                        <w:tcBorders>
                          <w:left w:val="single" w:sz="12" w:space="0" w:color="A0C2C9"/>
                          <w:bottom w:val="nil"/>
                          <w:right w:val="single" w:sz="12" w:space="0" w:color="A0C2C9"/>
                        </w:tcBorders>
                        <w:shd w:val="clear" w:color="auto" w:fill="65A5AE"/>
                      </w:tcPr>
                      <w:p>
                        <w:pPr>
                          <w:pStyle w:val="TableParagraph"/>
                          <w:spacing w:before="78"/>
                          <w:ind w:left="159" w:right="159"/>
                          <w:jc w:val="center"/>
                          <w:rPr>
                            <w:b/>
                            <w:sz w:val="18"/>
                          </w:rPr>
                        </w:pPr>
                        <w:r>
                          <w:rPr>
                            <w:b/>
                            <w:color w:val="231F20"/>
                            <w:w w:val="110"/>
                            <w:sz w:val="18"/>
                          </w:rPr>
                          <w:t>Niue</w:t>
                        </w:r>
                      </w:p>
                    </w:tc>
                    <w:tc>
                      <w:tcPr>
                        <w:tcW w:w="934" w:type="dxa"/>
                        <w:tcBorders>
                          <w:left w:val="single" w:sz="12" w:space="0" w:color="A0C2C9"/>
                          <w:bottom w:val="nil"/>
                          <w:right w:val="single" w:sz="12" w:space="0" w:color="A0C2C9"/>
                        </w:tcBorders>
                        <w:shd w:val="clear" w:color="auto" w:fill="65A5AE"/>
                      </w:tcPr>
                      <w:p>
                        <w:pPr>
                          <w:pStyle w:val="TableParagraph"/>
                          <w:spacing w:before="78"/>
                          <w:ind w:left="277"/>
                          <w:rPr>
                            <w:b/>
                            <w:sz w:val="18"/>
                          </w:rPr>
                        </w:pPr>
                        <w:r>
                          <w:rPr>
                            <w:b/>
                            <w:color w:val="231F20"/>
                            <w:w w:val="105"/>
                            <w:sz w:val="18"/>
                          </w:rPr>
                          <w:t>Palau</w:t>
                        </w:r>
                      </w:p>
                    </w:tc>
                    <w:tc>
                      <w:tcPr>
                        <w:tcW w:w="696" w:type="dxa"/>
                        <w:tcBorders>
                          <w:left w:val="single" w:sz="12" w:space="0" w:color="A0C2C9"/>
                          <w:bottom w:val="nil"/>
                          <w:right w:val="nil"/>
                        </w:tcBorders>
                        <w:shd w:val="clear" w:color="auto" w:fill="65A5AE"/>
                      </w:tcPr>
                      <w:p>
                        <w:pPr>
                          <w:pStyle w:val="TableParagraph"/>
                          <w:rPr>
                            <w:rFonts w:ascii="Times New Roman"/>
                            <w:sz w:val="18"/>
                          </w:rPr>
                        </w:pPr>
                      </w:p>
                    </w:tc>
                  </w:tr>
                  <w:tr>
                    <w:trPr>
                      <w:trHeight w:val="340" w:hRule="atLeast"/>
                    </w:trPr>
                    <w:tc>
                      <w:tcPr>
                        <w:tcW w:w="2705" w:type="dxa"/>
                        <w:gridSpan w:val="2"/>
                        <w:tcBorders>
                          <w:top w:val="nil"/>
                          <w:left w:val="nil"/>
                          <w:bottom w:val="single" w:sz="8" w:space="0" w:color="A0C2C9"/>
                          <w:right w:val="single" w:sz="12" w:space="0" w:color="A0C2C9"/>
                        </w:tcBorders>
                      </w:tcPr>
                      <w:p>
                        <w:pPr>
                          <w:pStyle w:val="TableParagraph"/>
                          <w:spacing w:before="37"/>
                          <w:ind w:left="66"/>
                          <w:rPr>
                            <w:b/>
                            <w:sz w:val="18"/>
                          </w:rPr>
                        </w:pPr>
                        <w:r>
                          <w:rPr>
                            <w:b/>
                            <w:color w:val="231F20"/>
                            <w:w w:val="105"/>
                            <w:sz w:val="18"/>
                          </w:rPr>
                          <w:t>2011 Baseline Report</w:t>
                        </w:r>
                      </w:p>
                    </w:tc>
                    <w:tc>
                      <w:tcPr>
                        <w:tcW w:w="961" w:type="dxa"/>
                        <w:tcBorders>
                          <w:top w:val="nil"/>
                          <w:left w:val="single" w:sz="12" w:space="0" w:color="A0C2C9"/>
                          <w:bottom w:val="single" w:sz="8" w:space="0" w:color="A0C2C9"/>
                          <w:right w:val="single" w:sz="12" w:space="0" w:color="A0C2C9"/>
                        </w:tcBorders>
                      </w:tcPr>
                      <w:p>
                        <w:pPr>
                          <w:pStyle w:val="TableParagraph"/>
                          <w:spacing w:before="37"/>
                          <w:ind w:left="72"/>
                          <w:jc w:val="center"/>
                          <w:rPr>
                            <w:sz w:val="18"/>
                          </w:rPr>
                        </w:pPr>
                        <w:r>
                          <w:rPr>
                            <w:color w:val="231F20"/>
                            <w:w w:val="109"/>
                            <w:sz w:val="18"/>
                          </w:rPr>
                          <w:t>1</w:t>
                        </w:r>
                      </w:p>
                    </w:tc>
                    <w:tc>
                      <w:tcPr>
                        <w:tcW w:w="985" w:type="dxa"/>
                        <w:tcBorders>
                          <w:top w:val="nil"/>
                          <w:left w:val="single" w:sz="12" w:space="0" w:color="A0C2C9"/>
                          <w:bottom w:val="single" w:sz="8" w:space="0" w:color="A0C2C9"/>
                          <w:right w:val="single" w:sz="12" w:space="0" w:color="A0C2C9"/>
                        </w:tcBorders>
                      </w:tcPr>
                      <w:p>
                        <w:pPr>
                          <w:pStyle w:val="TableParagraph"/>
                          <w:spacing w:before="37"/>
                          <w:ind w:right="31"/>
                          <w:jc w:val="center"/>
                          <w:rPr>
                            <w:sz w:val="18"/>
                          </w:rPr>
                        </w:pPr>
                        <w:r>
                          <w:rPr>
                            <w:color w:val="231F20"/>
                            <w:w w:val="109"/>
                            <w:sz w:val="18"/>
                          </w:rPr>
                          <w:t>1</w:t>
                        </w:r>
                      </w:p>
                    </w:tc>
                    <w:tc>
                      <w:tcPr>
                        <w:tcW w:w="978" w:type="dxa"/>
                        <w:tcBorders>
                          <w:top w:val="nil"/>
                          <w:left w:val="single" w:sz="12" w:space="0" w:color="A0C2C9"/>
                          <w:bottom w:val="single" w:sz="8" w:space="0" w:color="A0C2C9"/>
                          <w:right w:val="single" w:sz="12" w:space="0" w:color="A0C2C9"/>
                        </w:tcBorders>
                      </w:tcPr>
                      <w:p>
                        <w:pPr>
                          <w:pStyle w:val="TableParagraph"/>
                          <w:spacing w:before="37"/>
                          <w:ind w:left="83"/>
                          <w:jc w:val="center"/>
                          <w:rPr>
                            <w:sz w:val="18"/>
                          </w:rPr>
                        </w:pPr>
                        <w:r>
                          <w:rPr>
                            <w:color w:val="231F20"/>
                            <w:w w:val="109"/>
                            <w:sz w:val="18"/>
                          </w:rPr>
                          <w:t>4</w:t>
                        </w:r>
                      </w:p>
                    </w:tc>
                    <w:tc>
                      <w:tcPr>
                        <w:tcW w:w="992" w:type="dxa"/>
                        <w:tcBorders>
                          <w:top w:val="nil"/>
                          <w:left w:val="single" w:sz="12" w:space="0" w:color="A0C2C9"/>
                          <w:bottom w:val="single" w:sz="8" w:space="0" w:color="A0C2C9"/>
                          <w:right w:val="single" w:sz="12" w:space="0" w:color="A0C2C9"/>
                        </w:tcBorders>
                      </w:tcPr>
                      <w:p>
                        <w:pPr>
                          <w:pStyle w:val="TableParagraph"/>
                          <w:spacing w:before="37"/>
                          <w:ind w:left="369"/>
                          <w:rPr>
                            <w:sz w:val="18"/>
                          </w:rPr>
                        </w:pPr>
                        <w:r>
                          <w:rPr>
                            <w:color w:val="231F20"/>
                            <w:w w:val="110"/>
                            <w:sz w:val="18"/>
                          </w:rPr>
                          <w:t>14</w:t>
                        </w:r>
                      </w:p>
                    </w:tc>
                    <w:tc>
                      <w:tcPr>
                        <w:tcW w:w="978" w:type="dxa"/>
                        <w:tcBorders>
                          <w:top w:val="nil"/>
                          <w:left w:val="single" w:sz="12" w:space="0" w:color="A0C2C9"/>
                          <w:bottom w:val="single" w:sz="8" w:space="0" w:color="A0C2C9"/>
                          <w:right w:val="single" w:sz="12" w:space="0" w:color="A0C2C9"/>
                        </w:tcBorders>
                      </w:tcPr>
                      <w:p>
                        <w:pPr>
                          <w:pStyle w:val="TableParagraph"/>
                          <w:spacing w:before="37"/>
                          <w:ind w:right="54"/>
                          <w:jc w:val="center"/>
                          <w:rPr>
                            <w:sz w:val="18"/>
                          </w:rPr>
                        </w:pPr>
                        <w:r>
                          <w:rPr>
                            <w:color w:val="231F20"/>
                            <w:w w:val="109"/>
                            <w:sz w:val="18"/>
                          </w:rPr>
                          <w:t>2</w:t>
                        </w:r>
                      </w:p>
                    </w:tc>
                    <w:tc>
                      <w:tcPr>
                        <w:tcW w:w="978" w:type="dxa"/>
                        <w:tcBorders>
                          <w:top w:val="nil"/>
                          <w:left w:val="single" w:sz="12" w:space="0" w:color="A0C2C9"/>
                          <w:bottom w:val="single" w:sz="8" w:space="0" w:color="A0C2C9"/>
                          <w:right w:val="single" w:sz="12" w:space="0" w:color="A0C2C9"/>
                        </w:tcBorders>
                      </w:tcPr>
                      <w:p>
                        <w:pPr>
                          <w:pStyle w:val="TableParagraph"/>
                          <w:spacing w:before="37"/>
                          <w:ind w:left="27"/>
                          <w:jc w:val="center"/>
                          <w:rPr>
                            <w:sz w:val="18"/>
                          </w:rPr>
                        </w:pPr>
                        <w:r>
                          <w:rPr>
                            <w:color w:val="231F20"/>
                            <w:w w:val="109"/>
                            <w:sz w:val="18"/>
                          </w:rPr>
                          <w:t>1</w:t>
                        </w:r>
                      </w:p>
                    </w:tc>
                    <w:tc>
                      <w:tcPr>
                        <w:tcW w:w="934" w:type="dxa"/>
                        <w:tcBorders>
                          <w:top w:val="nil"/>
                          <w:left w:val="single" w:sz="12" w:space="0" w:color="A0C2C9"/>
                          <w:bottom w:val="single" w:sz="8" w:space="0" w:color="A0C2C9"/>
                          <w:right w:val="single" w:sz="12" w:space="0" w:color="A0C2C9"/>
                        </w:tcBorders>
                      </w:tcPr>
                      <w:p>
                        <w:pPr>
                          <w:pStyle w:val="TableParagraph"/>
                          <w:spacing w:before="37"/>
                          <w:ind w:left="286" w:right="352"/>
                          <w:jc w:val="center"/>
                          <w:rPr>
                            <w:sz w:val="18"/>
                          </w:rPr>
                        </w:pPr>
                        <w:r>
                          <w:rPr>
                            <w:color w:val="231F20"/>
                            <w:w w:val="110"/>
                            <w:sz w:val="18"/>
                          </w:rPr>
                          <w:t>11</w:t>
                        </w:r>
                      </w:p>
                    </w:tc>
                    <w:tc>
                      <w:tcPr>
                        <w:tcW w:w="696" w:type="dxa"/>
                        <w:vMerge w:val="restart"/>
                        <w:tcBorders>
                          <w:top w:val="nil"/>
                          <w:left w:val="single" w:sz="12" w:space="0" w:color="A0C2C9"/>
                          <w:bottom w:val="nil"/>
                          <w:right w:val="nil"/>
                        </w:tcBorders>
                      </w:tcPr>
                      <w:p>
                        <w:pPr>
                          <w:pStyle w:val="TableParagraph"/>
                          <w:rPr>
                            <w:rFonts w:ascii="Times New Roman"/>
                            <w:sz w:val="18"/>
                          </w:rPr>
                        </w:pPr>
                      </w:p>
                    </w:tc>
                  </w:tr>
                  <w:tr>
                    <w:trPr>
                      <w:trHeight w:val="362" w:hRule="atLeast"/>
                    </w:trPr>
                    <w:tc>
                      <w:tcPr>
                        <w:tcW w:w="2705" w:type="dxa"/>
                        <w:gridSpan w:val="2"/>
                        <w:tcBorders>
                          <w:top w:val="single" w:sz="8" w:space="0" w:color="A0C2C9"/>
                          <w:left w:val="nil"/>
                          <w:bottom w:val="single" w:sz="8" w:space="0" w:color="A0C2C9"/>
                          <w:right w:val="single" w:sz="12" w:space="0" w:color="A0C2C9"/>
                        </w:tcBorders>
                      </w:tcPr>
                      <w:p>
                        <w:pPr>
                          <w:pStyle w:val="TableParagraph"/>
                          <w:spacing w:before="47"/>
                          <w:ind w:left="66"/>
                          <w:rPr>
                            <w:b/>
                            <w:sz w:val="18"/>
                          </w:rPr>
                        </w:pPr>
                        <w:r>
                          <w:rPr>
                            <w:b/>
                            <w:color w:val="231F20"/>
                            <w:w w:val="105"/>
                            <w:sz w:val="18"/>
                          </w:rPr>
                          <w:t>2012 Trend Report</w:t>
                        </w:r>
                      </w:p>
                    </w:tc>
                    <w:tc>
                      <w:tcPr>
                        <w:tcW w:w="961" w:type="dxa"/>
                        <w:tcBorders>
                          <w:top w:val="single" w:sz="8" w:space="0" w:color="A0C2C9"/>
                          <w:left w:val="single" w:sz="12" w:space="0" w:color="A0C2C9"/>
                          <w:bottom w:val="single" w:sz="8" w:space="0" w:color="A0C2C9"/>
                          <w:right w:val="single" w:sz="12" w:space="0" w:color="A0C2C9"/>
                        </w:tcBorders>
                      </w:tcPr>
                      <w:p>
                        <w:pPr>
                          <w:pStyle w:val="TableParagraph"/>
                          <w:spacing w:before="47"/>
                          <w:ind w:left="332" w:right="357"/>
                          <w:jc w:val="center"/>
                          <w:rPr>
                            <w:sz w:val="18"/>
                          </w:rPr>
                        </w:pPr>
                        <w:r>
                          <w:rPr>
                            <w:color w:val="231F20"/>
                            <w:w w:val="110"/>
                            <w:sz w:val="18"/>
                          </w:rPr>
                          <w:t>10</w:t>
                        </w:r>
                      </w:p>
                    </w:tc>
                    <w:tc>
                      <w:tcPr>
                        <w:tcW w:w="985" w:type="dxa"/>
                        <w:tcBorders>
                          <w:top w:val="single" w:sz="8" w:space="0" w:color="A0C2C9"/>
                          <w:left w:val="single" w:sz="12" w:space="0" w:color="A0C2C9"/>
                          <w:bottom w:val="single" w:sz="8" w:space="0" w:color="A0C2C9"/>
                          <w:right w:val="single" w:sz="12" w:space="0" w:color="A0C2C9"/>
                        </w:tcBorders>
                      </w:tcPr>
                      <w:p>
                        <w:pPr>
                          <w:pStyle w:val="TableParagraph"/>
                          <w:spacing w:before="47"/>
                          <w:ind w:right="31"/>
                          <w:jc w:val="center"/>
                          <w:rPr>
                            <w:sz w:val="18"/>
                          </w:rPr>
                        </w:pPr>
                        <w:r>
                          <w:rPr>
                            <w:color w:val="231F20"/>
                            <w:w w:val="109"/>
                            <w:sz w:val="18"/>
                          </w:rPr>
                          <w:t>6</w:t>
                        </w:r>
                      </w:p>
                    </w:tc>
                    <w:tc>
                      <w:tcPr>
                        <w:tcW w:w="978" w:type="dxa"/>
                        <w:tcBorders>
                          <w:top w:val="single" w:sz="8" w:space="0" w:color="A0C2C9"/>
                          <w:left w:val="single" w:sz="12" w:space="0" w:color="A0C2C9"/>
                          <w:bottom w:val="single" w:sz="8" w:space="0" w:color="A0C2C9"/>
                          <w:right w:val="single" w:sz="12" w:space="0" w:color="A0C2C9"/>
                        </w:tcBorders>
                      </w:tcPr>
                      <w:p>
                        <w:pPr>
                          <w:pStyle w:val="TableParagraph"/>
                          <w:spacing w:before="47"/>
                          <w:ind w:left="83"/>
                          <w:jc w:val="center"/>
                          <w:rPr>
                            <w:sz w:val="18"/>
                          </w:rPr>
                        </w:pPr>
                        <w:r>
                          <w:rPr>
                            <w:color w:val="231F20"/>
                            <w:w w:val="109"/>
                            <w:sz w:val="18"/>
                          </w:rPr>
                          <w:t>5</w:t>
                        </w:r>
                      </w:p>
                    </w:tc>
                    <w:tc>
                      <w:tcPr>
                        <w:tcW w:w="992" w:type="dxa"/>
                        <w:tcBorders>
                          <w:top w:val="single" w:sz="8" w:space="0" w:color="A0C2C9"/>
                          <w:left w:val="single" w:sz="12" w:space="0" w:color="A0C2C9"/>
                          <w:bottom w:val="single" w:sz="8" w:space="0" w:color="A0C2C9"/>
                          <w:right w:val="single" w:sz="12" w:space="0" w:color="A0C2C9"/>
                        </w:tcBorders>
                      </w:tcPr>
                      <w:p>
                        <w:pPr>
                          <w:pStyle w:val="TableParagraph"/>
                          <w:spacing w:before="47"/>
                          <w:ind w:left="369"/>
                          <w:rPr>
                            <w:sz w:val="18"/>
                          </w:rPr>
                        </w:pPr>
                        <w:r>
                          <w:rPr>
                            <w:color w:val="231F20"/>
                            <w:w w:val="110"/>
                            <w:sz w:val="18"/>
                          </w:rPr>
                          <w:t>15</w:t>
                        </w:r>
                      </w:p>
                    </w:tc>
                    <w:tc>
                      <w:tcPr>
                        <w:tcW w:w="978" w:type="dxa"/>
                        <w:tcBorders>
                          <w:top w:val="single" w:sz="8" w:space="0" w:color="A0C2C9"/>
                          <w:left w:val="single" w:sz="12" w:space="0" w:color="A0C2C9"/>
                          <w:bottom w:val="single" w:sz="8" w:space="0" w:color="A0C2C9"/>
                          <w:right w:val="single" w:sz="12" w:space="0" w:color="A0C2C9"/>
                        </w:tcBorders>
                      </w:tcPr>
                      <w:p>
                        <w:pPr>
                          <w:pStyle w:val="TableParagraph"/>
                          <w:spacing w:before="47"/>
                          <w:ind w:right="54"/>
                          <w:jc w:val="center"/>
                          <w:rPr>
                            <w:sz w:val="18"/>
                          </w:rPr>
                        </w:pPr>
                        <w:r>
                          <w:rPr>
                            <w:color w:val="231F20"/>
                            <w:w w:val="109"/>
                            <w:sz w:val="18"/>
                          </w:rPr>
                          <w:t>2</w:t>
                        </w:r>
                      </w:p>
                    </w:tc>
                    <w:tc>
                      <w:tcPr>
                        <w:tcW w:w="978" w:type="dxa"/>
                        <w:tcBorders>
                          <w:top w:val="single" w:sz="8" w:space="0" w:color="A0C2C9"/>
                          <w:left w:val="single" w:sz="12" w:space="0" w:color="A0C2C9"/>
                          <w:bottom w:val="single" w:sz="8" w:space="0" w:color="A0C2C9"/>
                          <w:right w:val="single" w:sz="12" w:space="0" w:color="A0C2C9"/>
                        </w:tcBorders>
                      </w:tcPr>
                      <w:p>
                        <w:pPr>
                          <w:pStyle w:val="TableParagraph"/>
                          <w:spacing w:before="47"/>
                          <w:ind w:left="89" w:right="159"/>
                          <w:jc w:val="center"/>
                          <w:rPr>
                            <w:sz w:val="18"/>
                          </w:rPr>
                        </w:pPr>
                        <w:r>
                          <w:rPr>
                            <w:color w:val="231F20"/>
                            <w:w w:val="110"/>
                            <w:sz w:val="18"/>
                          </w:rPr>
                          <w:t>12</w:t>
                        </w:r>
                      </w:p>
                    </w:tc>
                    <w:tc>
                      <w:tcPr>
                        <w:tcW w:w="934" w:type="dxa"/>
                        <w:tcBorders>
                          <w:top w:val="single" w:sz="8" w:space="0" w:color="A0C2C9"/>
                          <w:left w:val="single" w:sz="12" w:space="0" w:color="A0C2C9"/>
                          <w:bottom w:val="single" w:sz="8" w:space="0" w:color="A0C2C9"/>
                          <w:right w:val="single" w:sz="12" w:space="0" w:color="A0C2C9"/>
                        </w:tcBorders>
                      </w:tcPr>
                      <w:p>
                        <w:pPr>
                          <w:pStyle w:val="TableParagraph"/>
                          <w:spacing w:before="47"/>
                          <w:ind w:left="286" w:right="352"/>
                          <w:jc w:val="center"/>
                          <w:rPr>
                            <w:sz w:val="18"/>
                          </w:rPr>
                        </w:pPr>
                        <w:r>
                          <w:rPr>
                            <w:color w:val="231F20"/>
                            <w:w w:val="110"/>
                            <w:sz w:val="18"/>
                          </w:rPr>
                          <w:t>14</w:t>
                        </w:r>
                      </w:p>
                    </w:tc>
                    <w:tc>
                      <w:tcPr>
                        <w:tcW w:w="696" w:type="dxa"/>
                        <w:vMerge/>
                        <w:tcBorders>
                          <w:top w:val="nil"/>
                          <w:left w:val="single" w:sz="12" w:space="0" w:color="A0C2C9"/>
                          <w:bottom w:val="nil"/>
                          <w:right w:val="nil"/>
                        </w:tcBorders>
                      </w:tcPr>
                      <w:p>
                        <w:pPr>
                          <w:rPr>
                            <w:sz w:val="2"/>
                            <w:szCs w:val="2"/>
                          </w:rPr>
                        </w:pPr>
                      </w:p>
                    </w:tc>
                  </w:tr>
                  <w:tr>
                    <w:trPr>
                      <w:trHeight w:val="320" w:hRule="atLeast"/>
                    </w:trPr>
                    <w:tc>
                      <w:tcPr>
                        <w:tcW w:w="2705" w:type="dxa"/>
                        <w:gridSpan w:val="2"/>
                        <w:tcBorders>
                          <w:top w:val="single" w:sz="8" w:space="0" w:color="A0C2C9"/>
                          <w:left w:val="nil"/>
                          <w:bottom w:val="single" w:sz="8" w:space="0" w:color="A0C2C9"/>
                          <w:right w:val="single" w:sz="12" w:space="0" w:color="A0C2C9"/>
                        </w:tcBorders>
                      </w:tcPr>
                      <w:p>
                        <w:pPr>
                          <w:pStyle w:val="TableParagraph"/>
                          <w:spacing w:before="34"/>
                          <w:ind w:left="66"/>
                          <w:rPr>
                            <w:b/>
                            <w:sz w:val="18"/>
                          </w:rPr>
                        </w:pPr>
                        <w:r>
                          <w:rPr>
                            <w:b/>
                            <w:color w:val="231F20"/>
                            <w:w w:val="105"/>
                            <w:sz w:val="18"/>
                          </w:rPr>
                          <w:t>2014 Trend Report</w:t>
                        </w:r>
                      </w:p>
                    </w:tc>
                    <w:tc>
                      <w:tcPr>
                        <w:tcW w:w="961" w:type="dxa"/>
                        <w:tcBorders>
                          <w:top w:val="single" w:sz="8" w:space="0" w:color="A0C2C9"/>
                          <w:left w:val="single" w:sz="12" w:space="0" w:color="A0C2C9"/>
                          <w:bottom w:val="single" w:sz="8" w:space="0" w:color="A0C2C9"/>
                          <w:right w:val="single" w:sz="12" w:space="0" w:color="A0C2C9"/>
                        </w:tcBorders>
                      </w:tcPr>
                      <w:p>
                        <w:pPr>
                          <w:pStyle w:val="TableParagraph"/>
                          <w:spacing w:before="34"/>
                          <w:ind w:left="332" w:right="357"/>
                          <w:jc w:val="center"/>
                          <w:rPr>
                            <w:sz w:val="18"/>
                          </w:rPr>
                        </w:pPr>
                        <w:r>
                          <w:rPr>
                            <w:color w:val="231F20"/>
                            <w:w w:val="110"/>
                            <w:sz w:val="18"/>
                          </w:rPr>
                          <w:t>12</w:t>
                        </w:r>
                      </w:p>
                    </w:tc>
                    <w:tc>
                      <w:tcPr>
                        <w:tcW w:w="985" w:type="dxa"/>
                        <w:tcBorders>
                          <w:top w:val="single" w:sz="8" w:space="0" w:color="A0C2C9"/>
                          <w:left w:val="single" w:sz="12" w:space="0" w:color="A0C2C9"/>
                          <w:bottom w:val="single" w:sz="8" w:space="0" w:color="A0C2C9"/>
                          <w:right w:val="single" w:sz="12" w:space="0" w:color="A0C2C9"/>
                        </w:tcBorders>
                      </w:tcPr>
                      <w:p>
                        <w:pPr>
                          <w:pStyle w:val="TableParagraph"/>
                          <w:spacing w:before="34"/>
                          <w:ind w:left="312"/>
                          <w:rPr>
                            <w:sz w:val="18"/>
                          </w:rPr>
                        </w:pPr>
                        <w:r>
                          <w:rPr>
                            <w:color w:val="231F20"/>
                            <w:w w:val="110"/>
                            <w:sz w:val="18"/>
                          </w:rPr>
                          <w:t>12</w:t>
                        </w:r>
                      </w:p>
                    </w:tc>
                    <w:tc>
                      <w:tcPr>
                        <w:tcW w:w="978" w:type="dxa"/>
                        <w:tcBorders>
                          <w:top w:val="single" w:sz="8" w:space="0" w:color="A0C2C9"/>
                          <w:left w:val="single" w:sz="12" w:space="0" w:color="A0C2C9"/>
                          <w:bottom w:val="single" w:sz="8" w:space="0" w:color="A0C2C9"/>
                          <w:right w:val="single" w:sz="12" w:space="0" w:color="A0C2C9"/>
                        </w:tcBorders>
                      </w:tcPr>
                      <w:p>
                        <w:pPr>
                          <w:pStyle w:val="TableParagraph"/>
                          <w:spacing w:before="34"/>
                          <w:ind w:left="145" w:right="159"/>
                          <w:jc w:val="center"/>
                          <w:rPr>
                            <w:sz w:val="18"/>
                          </w:rPr>
                        </w:pPr>
                        <w:r>
                          <w:rPr>
                            <w:color w:val="231F20"/>
                            <w:w w:val="110"/>
                            <w:sz w:val="18"/>
                          </w:rPr>
                          <w:t>15</w:t>
                        </w:r>
                      </w:p>
                    </w:tc>
                    <w:tc>
                      <w:tcPr>
                        <w:tcW w:w="992" w:type="dxa"/>
                        <w:tcBorders>
                          <w:top w:val="single" w:sz="8" w:space="0" w:color="A0C2C9"/>
                          <w:left w:val="single" w:sz="12" w:space="0" w:color="A0C2C9"/>
                          <w:bottom w:val="single" w:sz="8" w:space="0" w:color="A0C2C9"/>
                          <w:right w:val="single" w:sz="12" w:space="0" w:color="A0C2C9"/>
                        </w:tcBorders>
                      </w:tcPr>
                      <w:p>
                        <w:pPr>
                          <w:pStyle w:val="TableParagraph"/>
                          <w:spacing w:before="34"/>
                          <w:ind w:left="369"/>
                          <w:rPr>
                            <w:sz w:val="18"/>
                          </w:rPr>
                        </w:pPr>
                        <w:r>
                          <w:rPr>
                            <w:color w:val="231F20"/>
                            <w:w w:val="110"/>
                            <w:sz w:val="18"/>
                          </w:rPr>
                          <w:t>15</w:t>
                        </w:r>
                      </w:p>
                    </w:tc>
                    <w:tc>
                      <w:tcPr>
                        <w:tcW w:w="978" w:type="dxa"/>
                        <w:tcBorders>
                          <w:top w:val="single" w:sz="8" w:space="0" w:color="A0C2C9"/>
                          <w:left w:val="single" w:sz="12" w:space="0" w:color="A0C2C9"/>
                          <w:bottom w:val="single" w:sz="8" w:space="0" w:color="A0C2C9"/>
                          <w:right w:val="single" w:sz="12" w:space="0" w:color="A0C2C9"/>
                        </w:tcBorders>
                      </w:tcPr>
                      <w:p>
                        <w:pPr>
                          <w:pStyle w:val="TableParagraph"/>
                          <w:spacing w:before="34"/>
                          <w:ind w:right="54"/>
                          <w:jc w:val="center"/>
                          <w:rPr>
                            <w:sz w:val="18"/>
                          </w:rPr>
                        </w:pPr>
                        <w:r>
                          <w:rPr>
                            <w:color w:val="231F20"/>
                            <w:w w:val="109"/>
                            <w:sz w:val="18"/>
                          </w:rPr>
                          <w:t>2</w:t>
                        </w:r>
                      </w:p>
                    </w:tc>
                    <w:tc>
                      <w:tcPr>
                        <w:tcW w:w="978" w:type="dxa"/>
                        <w:tcBorders>
                          <w:top w:val="single" w:sz="8" w:space="0" w:color="A0C2C9"/>
                          <w:left w:val="single" w:sz="12" w:space="0" w:color="A0C2C9"/>
                          <w:bottom w:val="single" w:sz="8" w:space="0" w:color="A0C2C9"/>
                          <w:right w:val="single" w:sz="12" w:space="0" w:color="A0C2C9"/>
                        </w:tcBorders>
                      </w:tcPr>
                      <w:p>
                        <w:pPr>
                          <w:pStyle w:val="TableParagraph"/>
                          <w:spacing w:before="34"/>
                          <w:ind w:left="89" w:right="159"/>
                          <w:jc w:val="center"/>
                          <w:rPr>
                            <w:sz w:val="18"/>
                          </w:rPr>
                        </w:pPr>
                        <w:r>
                          <w:rPr>
                            <w:color w:val="231F20"/>
                            <w:w w:val="110"/>
                            <w:sz w:val="18"/>
                          </w:rPr>
                          <w:t>13</w:t>
                        </w:r>
                      </w:p>
                    </w:tc>
                    <w:tc>
                      <w:tcPr>
                        <w:tcW w:w="934" w:type="dxa"/>
                        <w:tcBorders>
                          <w:top w:val="single" w:sz="8" w:space="0" w:color="A0C2C9"/>
                          <w:left w:val="single" w:sz="12" w:space="0" w:color="A0C2C9"/>
                          <w:bottom w:val="single" w:sz="8" w:space="0" w:color="A0C2C9"/>
                          <w:right w:val="single" w:sz="12" w:space="0" w:color="A0C2C9"/>
                        </w:tcBorders>
                      </w:tcPr>
                      <w:p>
                        <w:pPr>
                          <w:pStyle w:val="TableParagraph"/>
                          <w:spacing w:before="34"/>
                          <w:ind w:left="286" w:right="352"/>
                          <w:jc w:val="center"/>
                          <w:rPr>
                            <w:sz w:val="18"/>
                          </w:rPr>
                        </w:pPr>
                        <w:r>
                          <w:rPr>
                            <w:color w:val="231F20"/>
                            <w:w w:val="110"/>
                            <w:sz w:val="18"/>
                          </w:rPr>
                          <w:t>15</w:t>
                        </w:r>
                      </w:p>
                    </w:tc>
                    <w:tc>
                      <w:tcPr>
                        <w:tcW w:w="696" w:type="dxa"/>
                        <w:vMerge/>
                        <w:tcBorders>
                          <w:top w:val="nil"/>
                          <w:left w:val="single" w:sz="12" w:space="0" w:color="A0C2C9"/>
                          <w:bottom w:val="nil"/>
                          <w:right w:val="nil"/>
                        </w:tcBorders>
                      </w:tcPr>
                      <w:p>
                        <w:pPr>
                          <w:rPr>
                            <w:sz w:val="2"/>
                            <w:szCs w:val="2"/>
                          </w:rPr>
                        </w:pPr>
                      </w:p>
                    </w:tc>
                  </w:tr>
                  <w:tr>
                    <w:trPr>
                      <w:trHeight w:val="334" w:hRule="atLeast"/>
                    </w:trPr>
                    <w:tc>
                      <w:tcPr>
                        <w:tcW w:w="2705" w:type="dxa"/>
                        <w:gridSpan w:val="2"/>
                        <w:tcBorders>
                          <w:top w:val="single" w:sz="8" w:space="0" w:color="A0C2C9"/>
                          <w:left w:val="nil"/>
                          <w:bottom w:val="nil"/>
                          <w:right w:val="single" w:sz="12" w:space="0" w:color="A0C2C9"/>
                        </w:tcBorders>
                      </w:tcPr>
                      <w:p>
                        <w:pPr>
                          <w:pStyle w:val="TableParagraph"/>
                          <w:spacing w:before="64"/>
                          <w:ind w:left="66"/>
                          <w:rPr>
                            <w:b/>
                            <w:sz w:val="18"/>
                          </w:rPr>
                        </w:pPr>
                        <w:r>
                          <w:rPr>
                            <w:b/>
                            <w:color w:val="231F20"/>
                            <w:w w:val="105"/>
                            <w:sz w:val="18"/>
                          </w:rPr>
                          <w:t>2018 Trend Report</w:t>
                        </w:r>
                      </w:p>
                    </w:tc>
                    <w:tc>
                      <w:tcPr>
                        <w:tcW w:w="961" w:type="dxa"/>
                        <w:tcBorders>
                          <w:top w:val="single" w:sz="8" w:space="0" w:color="A0C2C9"/>
                          <w:left w:val="single" w:sz="12" w:space="0" w:color="A0C2C9"/>
                          <w:bottom w:val="nil"/>
                          <w:right w:val="single" w:sz="12" w:space="0" w:color="A0C2C9"/>
                        </w:tcBorders>
                      </w:tcPr>
                      <w:p>
                        <w:pPr>
                          <w:pStyle w:val="TableParagraph"/>
                          <w:spacing w:before="64"/>
                          <w:ind w:left="72"/>
                          <w:jc w:val="center"/>
                          <w:rPr>
                            <w:sz w:val="18"/>
                          </w:rPr>
                        </w:pPr>
                        <w:r>
                          <w:rPr>
                            <w:color w:val="231F20"/>
                            <w:w w:val="109"/>
                            <w:sz w:val="18"/>
                          </w:rPr>
                          <w:t>6</w:t>
                        </w:r>
                      </w:p>
                    </w:tc>
                    <w:tc>
                      <w:tcPr>
                        <w:tcW w:w="985" w:type="dxa"/>
                        <w:tcBorders>
                          <w:top w:val="single" w:sz="8" w:space="0" w:color="A0C2C9"/>
                          <w:left w:val="single" w:sz="12" w:space="0" w:color="A0C2C9"/>
                          <w:bottom w:val="nil"/>
                          <w:right w:val="single" w:sz="12" w:space="0" w:color="A0C2C9"/>
                        </w:tcBorders>
                      </w:tcPr>
                      <w:p>
                        <w:pPr>
                          <w:pStyle w:val="TableParagraph"/>
                          <w:spacing w:before="64"/>
                          <w:ind w:left="330"/>
                          <w:rPr>
                            <w:sz w:val="18"/>
                          </w:rPr>
                        </w:pPr>
                        <w:r>
                          <w:rPr>
                            <w:color w:val="231F20"/>
                            <w:w w:val="110"/>
                            <w:sz w:val="18"/>
                          </w:rPr>
                          <w:t>13</w:t>
                        </w:r>
                      </w:p>
                    </w:tc>
                    <w:tc>
                      <w:tcPr>
                        <w:tcW w:w="978" w:type="dxa"/>
                        <w:tcBorders>
                          <w:top w:val="single" w:sz="8" w:space="0" w:color="A0C2C9"/>
                          <w:left w:val="single" w:sz="12" w:space="0" w:color="A0C2C9"/>
                          <w:bottom w:val="nil"/>
                          <w:right w:val="single" w:sz="12" w:space="0" w:color="A0C2C9"/>
                        </w:tcBorders>
                      </w:tcPr>
                      <w:p>
                        <w:pPr>
                          <w:pStyle w:val="TableParagraph"/>
                          <w:spacing w:before="64"/>
                          <w:ind w:left="145" w:right="159"/>
                          <w:jc w:val="center"/>
                          <w:rPr>
                            <w:sz w:val="18"/>
                          </w:rPr>
                        </w:pPr>
                        <w:r>
                          <w:rPr>
                            <w:color w:val="231F20"/>
                            <w:w w:val="110"/>
                            <w:sz w:val="18"/>
                          </w:rPr>
                          <w:t>14</w:t>
                        </w:r>
                      </w:p>
                    </w:tc>
                    <w:tc>
                      <w:tcPr>
                        <w:tcW w:w="992" w:type="dxa"/>
                        <w:tcBorders>
                          <w:top w:val="single" w:sz="8" w:space="0" w:color="A0C2C9"/>
                          <w:left w:val="single" w:sz="12" w:space="0" w:color="A0C2C9"/>
                          <w:bottom w:val="nil"/>
                          <w:right w:val="single" w:sz="12" w:space="0" w:color="A0C2C9"/>
                        </w:tcBorders>
                      </w:tcPr>
                      <w:p>
                        <w:pPr>
                          <w:pStyle w:val="TableParagraph"/>
                          <w:spacing w:before="64"/>
                          <w:ind w:left="369"/>
                          <w:rPr>
                            <w:sz w:val="18"/>
                          </w:rPr>
                        </w:pPr>
                        <w:r>
                          <w:rPr>
                            <w:color w:val="231F20"/>
                            <w:w w:val="110"/>
                            <w:sz w:val="18"/>
                          </w:rPr>
                          <w:t>15</w:t>
                        </w:r>
                      </w:p>
                    </w:tc>
                    <w:tc>
                      <w:tcPr>
                        <w:tcW w:w="978" w:type="dxa"/>
                        <w:tcBorders>
                          <w:top w:val="single" w:sz="8" w:space="0" w:color="A0C2C9"/>
                          <w:left w:val="single" w:sz="12" w:space="0" w:color="A0C2C9"/>
                          <w:bottom w:val="nil"/>
                          <w:right w:val="single" w:sz="12" w:space="0" w:color="A0C2C9"/>
                        </w:tcBorders>
                      </w:tcPr>
                      <w:p>
                        <w:pPr>
                          <w:pStyle w:val="TableParagraph"/>
                          <w:spacing w:before="64"/>
                          <w:ind w:right="54"/>
                          <w:jc w:val="center"/>
                          <w:rPr>
                            <w:sz w:val="18"/>
                          </w:rPr>
                        </w:pPr>
                        <w:r>
                          <w:rPr>
                            <w:color w:val="231F20"/>
                            <w:w w:val="109"/>
                            <w:sz w:val="18"/>
                          </w:rPr>
                          <w:t>4</w:t>
                        </w:r>
                      </w:p>
                    </w:tc>
                    <w:tc>
                      <w:tcPr>
                        <w:tcW w:w="978" w:type="dxa"/>
                        <w:tcBorders>
                          <w:top w:val="single" w:sz="8" w:space="0" w:color="A0C2C9"/>
                          <w:left w:val="single" w:sz="12" w:space="0" w:color="A0C2C9"/>
                          <w:bottom w:val="nil"/>
                          <w:right w:val="single" w:sz="12" w:space="0" w:color="A0C2C9"/>
                        </w:tcBorders>
                      </w:tcPr>
                      <w:p>
                        <w:pPr>
                          <w:pStyle w:val="TableParagraph"/>
                          <w:spacing w:before="64"/>
                          <w:ind w:left="89" w:right="159"/>
                          <w:jc w:val="center"/>
                          <w:rPr>
                            <w:sz w:val="18"/>
                          </w:rPr>
                        </w:pPr>
                        <w:r>
                          <w:rPr>
                            <w:color w:val="231F20"/>
                            <w:w w:val="110"/>
                            <w:sz w:val="18"/>
                          </w:rPr>
                          <w:t>10</w:t>
                        </w:r>
                      </w:p>
                    </w:tc>
                    <w:tc>
                      <w:tcPr>
                        <w:tcW w:w="934" w:type="dxa"/>
                        <w:tcBorders>
                          <w:top w:val="single" w:sz="8" w:space="0" w:color="A0C2C9"/>
                          <w:left w:val="single" w:sz="12" w:space="0" w:color="A0C2C9"/>
                          <w:bottom w:val="nil"/>
                          <w:right w:val="single" w:sz="12" w:space="0" w:color="A0C2C9"/>
                        </w:tcBorders>
                      </w:tcPr>
                      <w:p>
                        <w:pPr>
                          <w:pStyle w:val="TableParagraph"/>
                          <w:spacing w:before="64"/>
                          <w:ind w:left="298" w:right="339"/>
                          <w:jc w:val="center"/>
                          <w:rPr>
                            <w:sz w:val="18"/>
                          </w:rPr>
                        </w:pPr>
                        <w:r>
                          <w:rPr>
                            <w:color w:val="231F20"/>
                            <w:w w:val="110"/>
                            <w:sz w:val="18"/>
                          </w:rPr>
                          <w:t>15</w:t>
                        </w:r>
                      </w:p>
                    </w:tc>
                    <w:tc>
                      <w:tcPr>
                        <w:tcW w:w="696" w:type="dxa"/>
                        <w:vMerge/>
                        <w:tcBorders>
                          <w:top w:val="nil"/>
                          <w:left w:val="single" w:sz="12" w:space="0" w:color="A0C2C9"/>
                          <w:bottom w:val="nil"/>
                          <w:right w:val="nil"/>
                        </w:tcBorders>
                      </w:tcPr>
                      <w:p>
                        <w:pPr>
                          <w:rPr>
                            <w:sz w:val="2"/>
                            <w:szCs w:val="2"/>
                          </w:rPr>
                        </w:pPr>
                      </w:p>
                    </w:tc>
                  </w:tr>
                  <w:tr>
                    <w:trPr>
                      <w:trHeight w:val="340" w:hRule="atLeast"/>
                    </w:trPr>
                    <w:tc>
                      <w:tcPr>
                        <w:tcW w:w="1135" w:type="dxa"/>
                        <w:tcBorders>
                          <w:top w:val="nil"/>
                          <w:left w:val="nil"/>
                          <w:bottom w:val="nil"/>
                          <w:right w:val="nil"/>
                        </w:tcBorders>
                        <w:shd w:val="clear" w:color="auto" w:fill="65A5AE"/>
                      </w:tcPr>
                      <w:p>
                        <w:pPr>
                          <w:pStyle w:val="TableParagraph"/>
                          <w:spacing w:line="212" w:lineRule="exact" w:before="107"/>
                          <w:ind w:left="66"/>
                          <w:rPr>
                            <w:b/>
                            <w:sz w:val="18"/>
                          </w:rPr>
                        </w:pPr>
                        <w:r>
                          <w:rPr>
                            <w:b/>
                            <w:color w:val="231F20"/>
                            <w:w w:val="105"/>
                            <w:sz w:val="18"/>
                          </w:rPr>
                          <w:t>Type</w:t>
                        </w:r>
                      </w:p>
                    </w:tc>
                    <w:tc>
                      <w:tcPr>
                        <w:tcW w:w="1570" w:type="dxa"/>
                        <w:tcBorders>
                          <w:top w:val="nil"/>
                          <w:left w:val="nil"/>
                          <w:bottom w:val="nil"/>
                          <w:right w:val="nil"/>
                        </w:tcBorders>
                        <w:shd w:val="clear" w:color="auto" w:fill="65A5AE"/>
                      </w:tcPr>
                      <w:p>
                        <w:pPr>
                          <w:pStyle w:val="TableParagraph"/>
                          <w:spacing w:line="212" w:lineRule="exact" w:before="107"/>
                          <w:ind w:left="108"/>
                          <w:rPr>
                            <w:b/>
                            <w:sz w:val="18"/>
                          </w:rPr>
                        </w:pPr>
                        <w:r>
                          <w:rPr>
                            <w:b/>
                            <w:color w:val="231F20"/>
                            <w:w w:val="105"/>
                            <w:sz w:val="18"/>
                          </w:rPr>
                          <w:t>Indicator</w:t>
                        </w:r>
                      </w:p>
                    </w:tc>
                    <w:tc>
                      <w:tcPr>
                        <w:tcW w:w="961" w:type="dxa"/>
                        <w:tcBorders>
                          <w:top w:val="nil"/>
                          <w:left w:val="nil"/>
                          <w:bottom w:val="nil"/>
                          <w:right w:val="nil"/>
                        </w:tcBorders>
                        <w:shd w:val="clear" w:color="auto" w:fill="65A5AE"/>
                      </w:tcPr>
                      <w:p>
                        <w:pPr>
                          <w:pStyle w:val="TableParagraph"/>
                          <w:rPr>
                            <w:rFonts w:ascii="Times New Roman"/>
                            <w:sz w:val="18"/>
                          </w:rPr>
                        </w:pPr>
                      </w:p>
                    </w:tc>
                    <w:tc>
                      <w:tcPr>
                        <w:tcW w:w="985" w:type="dxa"/>
                        <w:tcBorders>
                          <w:top w:val="nil"/>
                          <w:left w:val="nil"/>
                          <w:bottom w:val="nil"/>
                          <w:right w:val="nil"/>
                        </w:tcBorders>
                        <w:shd w:val="clear" w:color="auto" w:fill="65A5AE"/>
                      </w:tcPr>
                      <w:p>
                        <w:pPr>
                          <w:pStyle w:val="TableParagraph"/>
                          <w:rPr>
                            <w:rFonts w:ascii="Times New Roman"/>
                            <w:sz w:val="18"/>
                          </w:rPr>
                        </w:pPr>
                      </w:p>
                    </w:tc>
                    <w:tc>
                      <w:tcPr>
                        <w:tcW w:w="978" w:type="dxa"/>
                        <w:tcBorders>
                          <w:top w:val="nil"/>
                          <w:left w:val="nil"/>
                          <w:bottom w:val="nil"/>
                          <w:right w:val="nil"/>
                        </w:tcBorders>
                        <w:shd w:val="clear" w:color="auto" w:fill="65A5AE"/>
                      </w:tcPr>
                      <w:p>
                        <w:pPr>
                          <w:pStyle w:val="TableParagraph"/>
                          <w:rPr>
                            <w:rFonts w:ascii="Times New Roman"/>
                            <w:sz w:val="18"/>
                          </w:rPr>
                        </w:pPr>
                      </w:p>
                    </w:tc>
                    <w:tc>
                      <w:tcPr>
                        <w:tcW w:w="992" w:type="dxa"/>
                        <w:tcBorders>
                          <w:top w:val="nil"/>
                          <w:left w:val="nil"/>
                          <w:bottom w:val="nil"/>
                          <w:right w:val="nil"/>
                        </w:tcBorders>
                        <w:shd w:val="clear" w:color="auto" w:fill="65A5AE"/>
                      </w:tcPr>
                      <w:p>
                        <w:pPr>
                          <w:pStyle w:val="TableParagraph"/>
                          <w:rPr>
                            <w:rFonts w:ascii="Times New Roman"/>
                            <w:sz w:val="18"/>
                          </w:rPr>
                        </w:pPr>
                      </w:p>
                    </w:tc>
                    <w:tc>
                      <w:tcPr>
                        <w:tcW w:w="978" w:type="dxa"/>
                        <w:tcBorders>
                          <w:top w:val="nil"/>
                          <w:left w:val="nil"/>
                          <w:bottom w:val="nil"/>
                          <w:right w:val="nil"/>
                        </w:tcBorders>
                        <w:shd w:val="clear" w:color="auto" w:fill="65A5AE"/>
                      </w:tcPr>
                      <w:p>
                        <w:pPr>
                          <w:pStyle w:val="TableParagraph"/>
                          <w:rPr>
                            <w:rFonts w:ascii="Times New Roman"/>
                            <w:sz w:val="18"/>
                          </w:rPr>
                        </w:pPr>
                      </w:p>
                    </w:tc>
                    <w:tc>
                      <w:tcPr>
                        <w:tcW w:w="978" w:type="dxa"/>
                        <w:tcBorders>
                          <w:top w:val="nil"/>
                          <w:left w:val="nil"/>
                          <w:bottom w:val="nil"/>
                          <w:right w:val="nil"/>
                        </w:tcBorders>
                        <w:shd w:val="clear" w:color="auto" w:fill="65A5AE"/>
                      </w:tcPr>
                      <w:p>
                        <w:pPr>
                          <w:pStyle w:val="TableParagraph"/>
                          <w:rPr>
                            <w:rFonts w:ascii="Times New Roman"/>
                            <w:sz w:val="18"/>
                          </w:rPr>
                        </w:pPr>
                      </w:p>
                    </w:tc>
                    <w:tc>
                      <w:tcPr>
                        <w:tcW w:w="934" w:type="dxa"/>
                        <w:tcBorders>
                          <w:top w:val="nil"/>
                          <w:left w:val="nil"/>
                          <w:bottom w:val="nil"/>
                          <w:right w:val="single" w:sz="12" w:space="0" w:color="A0C2C9"/>
                        </w:tcBorders>
                        <w:shd w:val="clear" w:color="auto" w:fill="65A5AE"/>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816" w:hRule="atLeast"/>
                    </w:trPr>
                    <w:tc>
                      <w:tcPr>
                        <w:tcW w:w="1135" w:type="dxa"/>
                        <w:tcBorders>
                          <w:top w:val="nil"/>
                          <w:left w:val="nil"/>
                          <w:bottom w:val="single" w:sz="8" w:space="0" w:color="92BAC2"/>
                          <w:right w:val="single" w:sz="12" w:space="0" w:color="A0C2C9"/>
                        </w:tcBorders>
                        <w:shd w:val="clear" w:color="auto" w:fill="A0C2C9"/>
                      </w:tcPr>
                      <w:p>
                        <w:pPr>
                          <w:pStyle w:val="TableParagraph"/>
                          <w:spacing w:line="230" w:lineRule="auto" w:before="119"/>
                          <w:ind w:left="66"/>
                          <w:rPr>
                            <w:sz w:val="17"/>
                          </w:rPr>
                        </w:pPr>
                        <w:r>
                          <w:rPr>
                            <w:color w:val="231F20"/>
                            <w:w w:val="110"/>
                            <w:sz w:val="17"/>
                          </w:rPr>
                          <w:t>Case </w:t>
                        </w:r>
                        <w:r>
                          <w:rPr>
                            <w:color w:val="231F20"/>
                            <w:w w:val="105"/>
                            <w:sz w:val="17"/>
                          </w:rPr>
                          <w:t>Management </w:t>
                        </w:r>
                        <w:r>
                          <w:rPr>
                            <w:color w:val="231F20"/>
                            <w:w w:val="110"/>
                            <w:sz w:val="17"/>
                          </w:rPr>
                          <w:t>Information</w:t>
                        </w:r>
                      </w:p>
                    </w:tc>
                    <w:tc>
                      <w:tcPr>
                        <w:tcW w:w="1570" w:type="dxa"/>
                        <w:tcBorders>
                          <w:top w:val="nil"/>
                          <w:left w:val="single" w:sz="12" w:space="0" w:color="A0C2C9"/>
                          <w:bottom w:val="single" w:sz="8" w:space="0" w:color="92BAC2"/>
                          <w:right w:val="single" w:sz="12" w:space="0" w:color="A0C2C9"/>
                        </w:tcBorders>
                        <w:shd w:val="clear" w:color="auto" w:fill="A0C2C9"/>
                      </w:tcPr>
                      <w:p>
                        <w:pPr>
                          <w:pStyle w:val="TableParagraph"/>
                          <w:spacing w:line="230" w:lineRule="auto" w:before="119"/>
                          <w:ind w:left="50" w:right="436"/>
                          <w:rPr>
                            <w:sz w:val="17"/>
                          </w:rPr>
                        </w:pPr>
                        <w:r>
                          <w:rPr>
                            <w:color w:val="231F20"/>
                            <w:w w:val="105"/>
                            <w:sz w:val="17"/>
                          </w:rPr>
                          <w:t>Case finalisation/ clearance rate</w:t>
                        </w:r>
                      </w:p>
                    </w:tc>
                    <w:tc>
                      <w:tcPr>
                        <w:tcW w:w="961" w:type="dxa"/>
                        <w:tcBorders>
                          <w:top w:val="nil"/>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nil"/>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nil"/>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nil"/>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nil"/>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nil"/>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nil"/>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7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66"/>
                          <w:rPr>
                            <w:sz w:val="17"/>
                          </w:rPr>
                        </w:pPr>
                        <w:r>
                          <w:rPr>
                            <w:color w:val="231F20"/>
                            <w:w w:val="110"/>
                            <w:sz w:val="17"/>
                          </w:rPr>
                          <w:t>Case </w:t>
                        </w:r>
                        <w:r>
                          <w:rPr>
                            <w:color w:val="231F20"/>
                            <w:w w:val="105"/>
                            <w:sz w:val="17"/>
                          </w:rPr>
                          <w:t>Management </w:t>
                        </w:r>
                        <w:r>
                          <w:rPr>
                            <w:color w:val="231F20"/>
                            <w:w w:val="110"/>
                            <w:sz w:val="17"/>
                          </w:rPr>
                          <w:t>Information</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ight="212"/>
                          <w:rPr>
                            <w:sz w:val="17"/>
                          </w:rPr>
                        </w:pPr>
                        <w:r>
                          <w:rPr>
                            <w:color w:val="231F20"/>
                            <w:w w:val="105"/>
                            <w:sz w:val="17"/>
                          </w:rPr>
                          <w:t>Average duration of a case</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5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before="46"/>
                          <w:ind w:left="66"/>
                          <w:rPr>
                            <w:sz w:val="17"/>
                          </w:rPr>
                        </w:pPr>
                        <w:r>
                          <w:rPr>
                            <w:color w:val="231F20"/>
                            <w:w w:val="110"/>
                            <w:sz w:val="17"/>
                          </w:rPr>
                          <w:t>Appeals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ight="339"/>
                          <w:rPr>
                            <w:sz w:val="17"/>
                          </w:rPr>
                        </w:pPr>
                        <w:r>
                          <w:rPr>
                            <w:color w:val="231F20"/>
                            <w:w w:val="105"/>
                            <w:sz w:val="17"/>
                          </w:rPr>
                          <w:t>The percentage of appeals</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5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before="46"/>
                          <w:ind w:left="66"/>
                          <w:rPr>
                            <w:sz w:val="17"/>
                          </w:rPr>
                        </w:pPr>
                        <w:r>
                          <w:rPr>
                            <w:color w:val="231F20"/>
                            <w:w w:val="110"/>
                            <w:sz w:val="17"/>
                          </w:rPr>
                          <w:t>Appeals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ight="436"/>
                          <w:rPr>
                            <w:sz w:val="17"/>
                          </w:rPr>
                        </w:pPr>
                        <w:r>
                          <w:rPr>
                            <w:color w:val="231F20"/>
                            <w:w w:val="105"/>
                            <w:sz w:val="17"/>
                          </w:rPr>
                          <w:t>Overturn rate on appeal</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7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before="46"/>
                          <w:ind w:left="66"/>
                          <w:rPr>
                            <w:sz w:val="17"/>
                          </w:rPr>
                        </w:pPr>
                        <w:r>
                          <w:rPr>
                            <w:color w:val="231F20"/>
                            <w:w w:val="115"/>
                            <w:sz w:val="17"/>
                          </w:rPr>
                          <w:t>Access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Pr>
                            <w:sz w:val="17"/>
                          </w:rPr>
                        </w:pPr>
                        <w:r>
                          <w:rPr>
                            <w:color w:val="231F20"/>
                            <w:w w:val="105"/>
                            <w:sz w:val="17"/>
                          </w:rPr>
                          <w:t>Percentage of cases that are granted</w:t>
                        </w:r>
                      </w:p>
                      <w:p>
                        <w:pPr>
                          <w:pStyle w:val="TableParagraph"/>
                          <w:spacing w:line="203" w:lineRule="exact"/>
                          <w:ind w:left="50"/>
                          <w:rPr>
                            <w:sz w:val="17"/>
                          </w:rPr>
                        </w:pPr>
                        <w:r>
                          <w:rPr>
                            <w:color w:val="231F20"/>
                            <w:w w:val="110"/>
                            <w:sz w:val="17"/>
                          </w:rPr>
                          <w:t>a court fee waiver</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7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before="46"/>
                          <w:ind w:left="66"/>
                          <w:rPr>
                            <w:sz w:val="17"/>
                          </w:rPr>
                        </w:pPr>
                        <w:r>
                          <w:rPr>
                            <w:color w:val="231F20"/>
                            <w:w w:val="115"/>
                            <w:sz w:val="17"/>
                          </w:rPr>
                          <w:t>Access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Pr>
                            <w:sz w:val="17"/>
                          </w:rPr>
                        </w:pPr>
                        <w:r>
                          <w:rPr>
                            <w:color w:val="231F20"/>
                            <w:w w:val="105"/>
                            <w:sz w:val="17"/>
                          </w:rPr>
                          <w:t>Percentage of cases disposed through</w:t>
                        </w:r>
                      </w:p>
                      <w:p>
                        <w:pPr>
                          <w:pStyle w:val="TableParagraph"/>
                          <w:spacing w:line="203" w:lineRule="exact"/>
                          <w:ind w:left="50"/>
                          <w:rPr>
                            <w:sz w:val="17"/>
                          </w:rPr>
                        </w:pPr>
                        <w:r>
                          <w:rPr>
                            <w:color w:val="231F20"/>
                            <w:w w:val="110"/>
                            <w:sz w:val="17"/>
                          </w:rPr>
                          <w:t>a court circuit</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7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before="46"/>
                          <w:ind w:left="66"/>
                          <w:rPr>
                            <w:sz w:val="17"/>
                          </w:rPr>
                        </w:pPr>
                        <w:r>
                          <w:rPr>
                            <w:color w:val="231F20"/>
                            <w:w w:val="115"/>
                            <w:sz w:val="17"/>
                          </w:rPr>
                          <w:t>Access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ight="54"/>
                          <w:rPr>
                            <w:sz w:val="17"/>
                          </w:rPr>
                        </w:pPr>
                        <w:r>
                          <w:rPr>
                            <w:color w:val="231F20"/>
                            <w:spacing w:val="-3"/>
                            <w:w w:val="105"/>
                            <w:sz w:val="17"/>
                          </w:rPr>
                          <w:t>Percentage </w:t>
                        </w:r>
                        <w:r>
                          <w:rPr>
                            <w:color w:val="231F20"/>
                            <w:w w:val="105"/>
                            <w:sz w:val="17"/>
                          </w:rPr>
                          <w:t>of cases </w:t>
                        </w:r>
                        <w:r>
                          <w:rPr>
                            <w:color w:val="231F20"/>
                            <w:spacing w:val="-3"/>
                            <w:w w:val="105"/>
                            <w:sz w:val="17"/>
                          </w:rPr>
                          <w:t>where </w:t>
                        </w:r>
                        <w:r>
                          <w:rPr>
                            <w:color w:val="231F20"/>
                            <w:w w:val="105"/>
                            <w:sz w:val="17"/>
                          </w:rPr>
                          <w:t>party </w:t>
                        </w:r>
                        <w:r>
                          <w:rPr>
                            <w:color w:val="231F20"/>
                            <w:spacing w:val="-3"/>
                            <w:w w:val="105"/>
                            <w:sz w:val="17"/>
                          </w:rPr>
                          <w:t>receives </w:t>
                        </w:r>
                        <w:r>
                          <w:rPr>
                            <w:color w:val="231F20"/>
                            <w:w w:val="105"/>
                            <w:sz w:val="17"/>
                          </w:rPr>
                          <w:t>legal </w:t>
                        </w:r>
                        <w:r>
                          <w:rPr>
                            <w:color w:val="231F20"/>
                            <w:spacing w:val="-2"/>
                            <w:w w:val="105"/>
                            <w:sz w:val="17"/>
                          </w:rPr>
                          <w:t>aid</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11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before="46"/>
                          <w:ind w:left="66"/>
                          <w:rPr>
                            <w:sz w:val="17"/>
                          </w:rPr>
                        </w:pPr>
                        <w:r>
                          <w:rPr>
                            <w:color w:val="231F20"/>
                            <w:w w:val="110"/>
                            <w:sz w:val="17"/>
                          </w:rPr>
                          <w:t>Complaints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ight="24"/>
                          <w:rPr>
                            <w:sz w:val="17"/>
                          </w:rPr>
                        </w:pPr>
                        <w:r>
                          <w:rPr>
                            <w:color w:val="231F20"/>
                            <w:w w:val="110"/>
                            <w:sz w:val="17"/>
                          </w:rPr>
                          <w:t>Documented </w:t>
                        </w:r>
                        <w:r>
                          <w:rPr>
                            <w:color w:val="231F20"/>
                            <w:spacing w:val="-6"/>
                            <w:w w:val="110"/>
                            <w:sz w:val="17"/>
                          </w:rPr>
                          <w:t>process </w:t>
                        </w:r>
                        <w:r>
                          <w:rPr>
                            <w:color w:val="231F20"/>
                            <w:spacing w:val="-4"/>
                            <w:w w:val="110"/>
                            <w:sz w:val="17"/>
                          </w:rPr>
                          <w:t>for </w:t>
                        </w:r>
                        <w:r>
                          <w:rPr>
                            <w:color w:val="231F20"/>
                            <w:spacing w:val="-7"/>
                            <w:w w:val="110"/>
                            <w:sz w:val="17"/>
                          </w:rPr>
                          <w:t>receiving </w:t>
                        </w:r>
                        <w:r>
                          <w:rPr>
                            <w:color w:val="231F20"/>
                            <w:w w:val="110"/>
                            <w:sz w:val="17"/>
                          </w:rPr>
                          <w:t>and processing a complaint that is publicly </w:t>
                        </w:r>
                        <w:r>
                          <w:rPr>
                            <w:color w:val="231F20"/>
                            <w:spacing w:val="-4"/>
                            <w:w w:val="110"/>
                            <w:sz w:val="17"/>
                          </w:rPr>
                          <w:t>available</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9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before="46"/>
                          <w:ind w:left="66"/>
                          <w:rPr>
                            <w:sz w:val="17"/>
                          </w:rPr>
                        </w:pPr>
                        <w:r>
                          <w:rPr>
                            <w:color w:val="231F20"/>
                            <w:w w:val="110"/>
                            <w:sz w:val="17"/>
                          </w:rPr>
                          <w:t>Complaints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ight="27"/>
                          <w:rPr>
                            <w:sz w:val="17"/>
                          </w:rPr>
                        </w:pPr>
                        <w:r>
                          <w:rPr>
                            <w:color w:val="231F20"/>
                            <w:spacing w:val="-3"/>
                            <w:w w:val="110"/>
                            <w:sz w:val="17"/>
                          </w:rPr>
                          <w:t>Percentage </w:t>
                        </w:r>
                        <w:r>
                          <w:rPr>
                            <w:color w:val="231F20"/>
                            <w:w w:val="110"/>
                            <w:sz w:val="17"/>
                          </w:rPr>
                          <w:t>of </w:t>
                        </w:r>
                        <w:r>
                          <w:rPr>
                            <w:color w:val="231F20"/>
                            <w:spacing w:val="-4"/>
                            <w:w w:val="110"/>
                            <w:sz w:val="17"/>
                          </w:rPr>
                          <w:t>complaints </w:t>
                        </w:r>
                        <w:r>
                          <w:rPr>
                            <w:color w:val="231F20"/>
                            <w:spacing w:val="-5"/>
                            <w:w w:val="110"/>
                            <w:sz w:val="17"/>
                          </w:rPr>
                          <w:t>received </w:t>
                        </w:r>
                        <w:r>
                          <w:rPr>
                            <w:color w:val="231F20"/>
                            <w:w w:val="110"/>
                            <w:sz w:val="17"/>
                          </w:rPr>
                          <w:t>concerning a judicial officer</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9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before="46"/>
                          <w:ind w:left="66"/>
                          <w:rPr>
                            <w:sz w:val="17"/>
                          </w:rPr>
                        </w:pPr>
                        <w:r>
                          <w:rPr>
                            <w:color w:val="231F20"/>
                            <w:w w:val="110"/>
                            <w:sz w:val="17"/>
                          </w:rPr>
                          <w:t>Complaints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Pr>
                            <w:sz w:val="17"/>
                          </w:rPr>
                        </w:pPr>
                        <w:r>
                          <w:rPr>
                            <w:color w:val="231F20"/>
                            <w:w w:val="105"/>
                            <w:sz w:val="17"/>
                          </w:rPr>
                          <w:t>Percentage of complaints received concerning a court staff member</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7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66" w:right="294"/>
                          <w:rPr>
                            <w:sz w:val="17"/>
                          </w:rPr>
                        </w:pPr>
                        <w:r>
                          <w:rPr>
                            <w:color w:val="231F20"/>
                            <w:w w:val="110"/>
                            <w:sz w:val="17"/>
                          </w:rPr>
                          <w:t>Human </w:t>
                        </w:r>
                        <w:r>
                          <w:rPr>
                            <w:color w:val="231F20"/>
                            <w:w w:val="105"/>
                            <w:sz w:val="17"/>
                          </w:rPr>
                          <w:t>Resources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ight="5"/>
                          <w:rPr>
                            <w:sz w:val="17"/>
                          </w:rPr>
                        </w:pPr>
                        <w:r>
                          <w:rPr>
                            <w:color w:val="231F20"/>
                            <w:w w:val="110"/>
                            <w:sz w:val="17"/>
                          </w:rPr>
                          <w:t>Average number of cases per judicial officer</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5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66" w:right="294"/>
                          <w:rPr>
                            <w:sz w:val="17"/>
                          </w:rPr>
                        </w:pPr>
                        <w:r>
                          <w:rPr>
                            <w:color w:val="231F20"/>
                            <w:w w:val="110"/>
                            <w:sz w:val="17"/>
                          </w:rPr>
                          <w:t>Human </w:t>
                        </w:r>
                        <w:r>
                          <w:rPr>
                            <w:color w:val="231F20"/>
                            <w:w w:val="105"/>
                            <w:sz w:val="17"/>
                          </w:rPr>
                          <w:t>Resources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ight="5"/>
                          <w:rPr>
                            <w:sz w:val="17"/>
                          </w:rPr>
                        </w:pPr>
                        <w:r>
                          <w:rPr>
                            <w:color w:val="231F20"/>
                            <w:w w:val="105"/>
                            <w:sz w:val="17"/>
                          </w:rPr>
                          <w:t>Average number of cases per court staff</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9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66" w:right="8"/>
                          <w:rPr>
                            <w:sz w:val="17"/>
                          </w:rPr>
                        </w:pPr>
                        <w:r>
                          <w:rPr>
                            <w:color w:val="231F20"/>
                            <w:w w:val="110"/>
                            <w:sz w:val="17"/>
                          </w:rPr>
                          <w:t>Judicial Transparency</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ight="4"/>
                          <w:rPr>
                            <w:sz w:val="17"/>
                          </w:rPr>
                        </w:pPr>
                        <w:r>
                          <w:rPr>
                            <w:color w:val="231F20"/>
                            <w:w w:val="105"/>
                            <w:sz w:val="17"/>
                          </w:rPr>
                          <w:t>Court procedures or contributes to an Annual Report that is publicly available</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7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66" w:right="8"/>
                          <w:rPr>
                            <w:sz w:val="17"/>
                          </w:rPr>
                        </w:pPr>
                        <w:r>
                          <w:rPr>
                            <w:color w:val="231F20"/>
                            <w:w w:val="110"/>
                            <w:sz w:val="17"/>
                          </w:rPr>
                          <w:t>Judicial Transparency</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0" w:right="167"/>
                          <w:rPr>
                            <w:sz w:val="17"/>
                          </w:rPr>
                        </w:pPr>
                        <w:r>
                          <w:rPr>
                            <w:color w:val="231F20"/>
                            <w:w w:val="110"/>
                            <w:sz w:val="17"/>
                          </w:rPr>
                          <w:t>Information on court services is publicly available</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r>
                    <w:trPr>
                      <w:trHeight w:val="550" w:hRule="atLeast"/>
                    </w:trPr>
                    <w:tc>
                      <w:tcPr>
                        <w:tcW w:w="1135"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66" w:right="8"/>
                          <w:rPr>
                            <w:sz w:val="17"/>
                          </w:rPr>
                        </w:pPr>
                        <w:r>
                          <w:rPr>
                            <w:color w:val="231F20"/>
                            <w:w w:val="110"/>
                            <w:sz w:val="17"/>
                          </w:rPr>
                          <w:t>Judicial Transparency</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before="46"/>
                          <w:ind w:left="50"/>
                          <w:rPr>
                            <w:sz w:val="17"/>
                          </w:rPr>
                        </w:pPr>
                        <w:r>
                          <w:rPr>
                            <w:color w:val="231F20"/>
                            <w:w w:val="105"/>
                            <w:sz w:val="17"/>
                          </w:rPr>
                          <w:t>Judgments on PacLII</w:t>
                        </w:r>
                      </w:p>
                    </w:tc>
                    <w:tc>
                      <w:tcPr>
                        <w:tcW w:w="96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8"/>
                          </w:rPr>
                        </w:pPr>
                      </w:p>
                    </w:tc>
                    <w:tc>
                      <w:tcPr>
                        <w:tcW w:w="696" w:type="dxa"/>
                        <w:vMerge/>
                        <w:tcBorders>
                          <w:top w:val="nil"/>
                          <w:left w:val="single" w:sz="12" w:space="0" w:color="A0C2C9"/>
                          <w:bottom w:val="nil"/>
                          <w:right w:val="nil"/>
                        </w:tcBorders>
                      </w:tcPr>
                      <w:p>
                        <w:pPr>
                          <w:rPr>
                            <w:sz w:val="2"/>
                            <w:szCs w:val="2"/>
                          </w:rPr>
                        </w:pPr>
                      </w:p>
                    </w:tc>
                  </w:tr>
                </w:tbl>
                <w:p>
                  <w:pPr>
                    <w:pStyle w:val="BodyText"/>
                  </w:pPr>
                </w:p>
              </w:txbxContent>
            </v:textbox>
            <w10:wrap type="none"/>
          </v:shape>
        </w:pict>
      </w:r>
      <w:r>
        <w:rPr>
          <w:b/>
          <w:color w:val="231F20"/>
          <w:w w:val="105"/>
        </w:rPr>
        <w:t>Table B </w:t>
      </w:r>
      <w:r>
        <w:rPr>
          <w:color w:val="231F20"/>
          <w:w w:val="105"/>
        </w:rPr>
        <w:t>14 PJSI countries that currently report on the 15 indicators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r>
        <w:rPr/>
        <w:pict>
          <v:shape style="position:absolute;margin-left:65.196999pt;margin-top:9.494781pt;width:19.850pt;height:19.850pt;mso-position-horizontal-relative:page;mso-position-vertical-relative:paragraph;z-index:2080;mso-wrap-distance-left:0;mso-wrap-distance-right:0" type="#_x0000_t202" filled="true" fillcolor="#0f6161" stroked="false">
            <v:textbox inset="0,0,0,0">
              <w:txbxContent>
                <w:p>
                  <w:pPr>
                    <w:spacing w:before="100"/>
                    <w:ind w:left="0" w:right="0" w:firstLine="0"/>
                    <w:jc w:val="center"/>
                    <w:rPr>
                      <w:b/>
                      <w:sz w:val="20"/>
                    </w:rPr>
                  </w:pPr>
                  <w:r>
                    <w:rPr>
                      <w:b/>
                      <w:color w:val="FFFFFF"/>
                      <w:w w:val="109"/>
                      <w:sz w:val="20"/>
                    </w:rPr>
                    <w:t>1</w:t>
                  </w:r>
                </w:p>
              </w:txbxContent>
            </v:textbox>
            <v:fill type="solid"/>
            <w10:wrap type="topAndBottom"/>
          </v:shape>
        </w:pict>
      </w:r>
      <w:r>
        <w:rPr/>
        <w:pict>
          <v:shape style="position:absolute;margin-left:233.857803pt;margin-top:17.289581pt;width:22.7pt;height:22.7pt;mso-position-horizontal-relative:page;mso-position-vertical-relative:paragraph;z-index:2104;mso-wrap-distance-left:0;mso-wrap-distance-right:0" coordorigin="4677,346" coordsize="454,454" path="m4904,346l4832,357,4770,390,4721,439,4689,501,4677,573,4689,644,4721,706,4770,756,4832,788,4904,799,4976,788,5038,756,5087,706,5119,644,5131,573,5119,501,5087,439,5038,390,4976,357,4904,346xe" filled="true" fillcolor="#5b9f42" stroked="false">
            <v:path arrowok="t"/>
            <v:fill type="solid"/>
            <w10:wrap type="topAndBottom"/>
          </v:shape>
        </w:pict>
      </w:r>
      <w:r>
        <w:rPr/>
        <w:pict>
          <v:shape style="position:absolute;margin-left:280.786987pt;margin-top:17.289581pt;width:22.7pt;height:22.7pt;mso-position-horizontal-relative:page;mso-position-vertical-relative:paragraph;z-index:2128;mso-wrap-distance-left:0;mso-wrap-distance-right:0" coordorigin="5616,346" coordsize="454,454" path="m5843,346l5771,357,5709,390,5659,439,5627,501,5616,573,5627,644,5659,706,5709,756,5771,788,5843,799,5914,788,5976,756,6026,706,6058,644,6069,573,6058,501,6026,439,5976,390,5914,357,5843,346xe" filled="true" fillcolor="#5b9f42" stroked="false">
            <v:path arrowok="t"/>
            <v:fill type="solid"/>
            <w10:wrap type="topAndBottom"/>
          </v:shape>
        </w:pict>
      </w:r>
      <w:r>
        <w:rPr/>
        <w:pict>
          <v:shape style="position:absolute;margin-left:330.944397pt;margin-top:17.289581pt;width:22.7pt;height:22.7pt;mso-position-horizontal-relative:page;mso-position-vertical-relative:paragraph;z-index:2152;mso-wrap-distance-left:0;mso-wrap-distance-right:0" coordorigin="6619,346" coordsize="454,454" path="m6846,346l6774,357,6712,390,6663,439,6630,501,6619,573,6630,644,6663,706,6712,756,6774,788,6846,799,6917,788,6980,756,7029,706,7061,644,7072,573,7061,501,7029,439,6980,390,6917,357,6846,346xe" filled="true" fillcolor="#5b9f42" stroked="false">
            <v:path arrowok="t"/>
            <v:fill type="solid"/>
            <w10:wrap type="topAndBottom"/>
          </v:shape>
        </w:pict>
      </w:r>
      <w:r>
        <w:rPr/>
        <w:pict>
          <v:shape style="position:absolute;margin-left:379.684601pt;margin-top:17.289581pt;width:22.7pt;height:22.7pt;mso-position-horizontal-relative:page;mso-position-vertical-relative:paragraph;z-index:2176;mso-wrap-distance-left:0;mso-wrap-distance-right:0" coordorigin="7594,346" coordsize="454,454" path="m7820,346l7749,357,7687,390,7637,439,7605,501,7594,573,7605,644,7637,706,7687,756,7749,788,7820,799,7892,788,7954,756,8003,706,8036,644,8047,573,8036,501,8003,439,7954,390,7892,357,7820,346xe" filled="true" fillcolor="#5b9f42" stroked="false">
            <v:path arrowok="t"/>
            <v:fill type="solid"/>
            <w10:wrap type="topAndBottom"/>
          </v:shape>
        </w:pict>
      </w:r>
      <w:r>
        <w:rPr/>
        <w:pict>
          <v:shape style="position:absolute;margin-left:429.133514pt;margin-top:17.289581pt;width:22.7pt;height:22.7pt;mso-position-horizontal-relative:page;mso-position-vertical-relative:paragraph;z-index:2200;mso-wrap-distance-left:0;mso-wrap-distance-right:0" coordorigin="8583,346" coordsize="454,454" path="m8809,346l8738,357,8676,390,8626,439,8594,501,8583,573,8594,644,8626,706,8676,756,8738,788,8809,799,8881,788,8943,756,8992,706,9025,644,9036,573,9025,501,8992,439,8943,390,8881,357,8809,346xe" filled="true" fillcolor="#d01c26" stroked="false">
            <v:path arrowok="t"/>
            <v:fill type="solid"/>
            <w10:wrap type="topAndBottom"/>
          </v:shape>
        </w:pict>
      </w:r>
      <w:r>
        <w:rPr/>
        <w:pict>
          <v:shape style="position:absolute;margin-left:478.582306pt;margin-top:17.289581pt;width:22.7pt;height:22.7pt;mso-position-horizontal-relative:page;mso-position-vertical-relative:paragraph;z-index:2224;mso-wrap-distance-left:0;mso-wrap-distance-right:0" coordorigin="9572,346" coordsize="454,454" path="m9798,346l9727,357,9664,390,9615,439,9583,501,9572,573,9583,644,9615,706,9664,756,9727,788,9798,799,9870,788,9932,756,9981,706,10014,644,10025,573,10014,501,9981,439,9932,390,9870,357,9798,346xe" filled="true" fillcolor="#5b9f42" stroked="false">
            <v:path arrowok="t"/>
            <v:fill type="solid"/>
            <w10:wrap type="topAndBottom"/>
          </v:shape>
        </w:pict>
      </w:r>
      <w:r>
        <w:rPr/>
        <w:pict>
          <v:shape style="position:absolute;margin-left:526.591675pt;margin-top:17.289581pt;width:22.7pt;height:22.7pt;mso-position-horizontal-relative:page;mso-position-vertical-relative:paragraph;z-index:2248;mso-wrap-distance-left:0;mso-wrap-distance-right:0" coordorigin="10532,346" coordsize="454,454" path="m10759,346l10687,357,10625,390,10576,439,10543,501,10532,573,10543,644,10576,706,10625,756,10687,788,10759,799,10830,788,10893,756,10942,706,10974,644,10985,573,10974,501,10942,439,10893,390,10830,357,10759,346xe" filled="true" fillcolor="#5b9f42" stroked="false">
            <v:path arrowok="t"/>
            <v:fill type="solid"/>
            <w10:wrap type="topAndBottom"/>
          </v:shape>
        </w:pict>
      </w:r>
      <w:r>
        <w:rPr/>
        <w:pict>
          <v:shape style="position:absolute;margin-left:65.196999pt;margin-top:49.887783pt;width:19.850pt;height:19.850pt;mso-position-horizontal-relative:page;mso-position-vertical-relative:paragraph;z-index:2272;mso-wrap-distance-left:0;mso-wrap-distance-right:0" type="#_x0000_t202" filled="true" fillcolor="#0f6161" stroked="false">
            <v:textbox inset="0,0,0,0">
              <w:txbxContent>
                <w:p>
                  <w:pPr>
                    <w:spacing w:before="100"/>
                    <w:ind w:left="0" w:right="0" w:firstLine="0"/>
                    <w:jc w:val="center"/>
                    <w:rPr>
                      <w:b/>
                      <w:sz w:val="20"/>
                    </w:rPr>
                  </w:pPr>
                  <w:r>
                    <w:rPr>
                      <w:b/>
                      <w:color w:val="FFFFFF"/>
                      <w:w w:val="109"/>
                      <w:sz w:val="20"/>
                    </w:rPr>
                    <w:t>2</w:t>
                  </w:r>
                </w:p>
              </w:txbxContent>
            </v:textbox>
            <v:fill type="solid"/>
            <w10:wrap type="topAndBottom"/>
          </v:shape>
        </w:pict>
      </w:r>
      <w:r>
        <w:rPr/>
        <w:pict>
          <v:shape style="position:absolute;margin-left:233.857803pt;margin-top:56.265682pt;width:22.7pt;height:22.7pt;mso-position-horizontal-relative:page;mso-position-vertical-relative:paragraph;z-index:2296;mso-wrap-distance-left:0;mso-wrap-distance-right:0" coordorigin="4677,1125" coordsize="454,454" path="m4904,1125l4832,1137,4770,1169,4721,1218,4689,1280,4677,1352,4689,1424,4721,1486,4770,1535,4832,1567,4904,1579,4976,1567,5038,1535,5087,1486,5119,1424,5131,1352,5119,1280,5087,1218,5038,1169,4976,1137,4904,1125xe" filled="true" fillcolor="#d01c26" stroked="false">
            <v:path arrowok="t"/>
            <v:fill type="solid"/>
            <w10:wrap type="topAndBottom"/>
          </v:shape>
        </w:pict>
      </w:r>
      <w:r>
        <w:rPr/>
        <w:pict>
          <v:shape style="position:absolute;margin-left:280.786987pt;margin-top:56.265682pt;width:22.7pt;height:22.7pt;mso-position-horizontal-relative:page;mso-position-vertical-relative:paragraph;z-index:2320;mso-wrap-distance-left:0;mso-wrap-distance-right:0" coordorigin="5616,1125" coordsize="454,454" path="m5843,1125l5771,1137,5709,1169,5659,1218,5627,1280,5616,1352,5627,1424,5659,1486,5709,1535,5771,1567,5843,1579,5914,1567,5976,1535,6026,1486,6058,1424,6069,1352,6058,1280,6026,1218,5976,1169,5914,1137,5843,1125xe" filled="true" fillcolor="#5b9f42" stroked="false">
            <v:path arrowok="t"/>
            <v:fill type="solid"/>
            <w10:wrap type="topAndBottom"/>
          </v:shape>
        </w:pict>
      </w:r>
      <w:r>
        <w:rPr/>
        <w:pict>
          <v:shape style="position:absolute;margin-left:330.944397pt;margin-top:55.557182pt;width:22.7pt;height:22.7pt;mso-position-horizontal-relative:page;mso-position-vertical-relative:paragraph;z-index:2344;mso-wrap-distance-left:0;mso-wrap-distance-right:0" coordorigin="6619,1111" coordsize="454,454" path="m6846,1111l6774,1123,6712,1155,6663,1204,6630,1266,6619,1338,6630,1410,6663,1472,6712,1521,6774,1553,6846,1565,6917,1553,6980,1521,7029,1472,7061,1410,7072,1338,7061,1266,7029,1204,6980,1155,6917,1123,6846,1111xe" filled="true" fillcolor="#5b9f42" stroked="false">
            <v:path arrowok="t"/>
            <v:fill type="solid"/>
            <w10:wrap type="topAndBottom"/>
          </v:shape>
        </w:pict>
      </w:r>
      <w:r>
        <w:rPr/>
        <w:pict>
          <v:shape style="position:absolute;margin-left:379.684601pt;margin-top:56.265682pt;width:22.7pt;height:22.7pt;mso-position-horizontal-relative:page;mso-position-vertical-relative:paragraph;z-index:2368;mso-wrap-distance-left:0;mso-wrap-distance-right:0" coordorigin="7594,1125" coordsize="454,454" path="m7820,1125l7749,1137,7687,1169,7637,1218,7605,1280,7594,1352,7605,1424,7637,1486,7687,1535,7749,1567,7820,1579,7892,1567,7954,1535,8003,1486,8036,1424,8047,1352,8036,1280,8003,1218,7954,1169,7892,1137,7820,1125xe" filled="true" fillcolor="#5b9f42" stroked="false">
            <v:path arrowok="t"/>
            <v:fill type="solid"/>
            <w10:wrap type="topAndBottom"/>
          </v:shape>
        </w:pict>
      </w:r>
      <w:r>
        <w:rPr/>
        <w:pict>
          <v:shape style="position:absolute;margin-left:429.133514pt;margin-top:56.265682pt;width:22.7pt;height:22.7pt;mso-position-horizontal-relative:page;mso-position-vertical-relative:paragraph;z-index:2392;mso-wrap-distance-left:0;mso-wrap-distance-right:0" coordorigin="8583,1125" coordsize="454,454" path="m8809,1125l8738,1137,8676,1169,8626,1218,8594,1280,8583,1352,8594,1424,8626,1486,8676,1535,8738,1567,8809,1579,8881,1567,8943,1535,8992,1486,9025,1424,9036,1352,9025,1280,8992,1218,8943,1169,8881,1137,8809,1125xe" filled="true" fillcolor="#d01c26" stroked="false">
            <v:path arrowok="t"/>
            <v:fill type="solid"/>
            <w10:wrap type="topAndBottom"/>
          </v:shape>
        </w:pict>
      </w:r>
      <w:r>
        <w:rPr/>
        <w:pict>
          <v:shape style="position:absolute;margin-left:478.582306pt;margin-top:56.265682pt;width:22.7pt;height:22.7pt;mso-position-horizontal-relative:page;mso-position-vertical-relative:paragraph;z-index:2416;mso-wrap-distance-left:0;mso-wrap-distance-right:0" coordorigin="9572,1125" coordsize="454,454" path="m9798,1125l9727,1137,9664,1169,9615,1218,9583,1280,9572,1352,9583,1424,9615,1486,9664,1535,9727,1567,9798,1579,9870,1567,9932,1535,9981,1486,10014,1424,10025,1352,10014,1280,9981,1218,9932,1169,9870,1137,9798,1125xe" filled="true" fillcolor="#5b9f42" stroked="false">
            <v:path arrowok="t"/>
            <v:fill type="solid"/>
            <w10:wrap type="topAndBottom"/>
          </v:shape>
        </w:pict>
      </w:r>
      <w:r>
        <w:rPr/>
        <w:pict>
          <v:shape style="position:absolute;margin-left:526.591675pt;margin-top:56.265682pt;width:22.7pt;height:22.7pt;mso-position-horizontal-relative:page;mso-position-vertical-relative:paragraph;z-index:2440;mso-wrap-distance-left:0;mso-wrap-distance-right:0" coordorigin="10532,1125" coordsize="454,454" path="m10759,1125l10687,1137,10625,1169,10576,1218,10543,1280,10532,1352,10543,1424,10576,1486,10625,1535,10687,1567,10759,1579,10830,1567,10893,1535,10942,1486,10974,1424,10985,1352,10974,1280,10942,1218,10893,1169,10830,1137,10759,1125xe" filled="true" fillcolor="#5b9f42" stroked="false">
            <v:path arrowok="t"/>
            <v:fill type="solid"/>
            <w10:wrap type="topAndBottom"/>
          </v:shape>
        </w:pict>
      </w:r>
      <w:r>
        <w:rPr/>
        <w:pict>
          <v:shape style="position:absolute;margin-left:65.196999pt;margin-top:88.013779pt;width:19.850pt;height:19.850pt;mso-position-horizontal-relative:page;mso-position-vertical-relative:paragraph;z-index:2464;mso-wrap-distance-left:0;mso-wrap-distance-right:0" type="#_x0000_t202" filled="true" fillcolor="#0f6161" stroked="false">
            <v:textbox inset="0,0,0,0">
              <w:txbxContent>
                <w:p>
                  <w:pPr>
                    <w:spacing w:before="100"/>
                    <w:ind w:left="0" w:right="0" w:firstLine="0"/>
                    <w:jc w:val="center"/>
                    <w:rPr>
                      <w:b/>
                      <w:sz w:val="20"/>
                    </w:rPr>
                  </w:pPr>
                  <w:r>
                    <w:rPr>
                      <w:b/>
                      <w:color w:val="FFFFFF"/>
                      <w:w w:val="109"/>
                      <w:sz w:val="20"/>
                    </w:rPr>
                    <w:t>3</w:t>
                  </w:r>
                </w:p>
              </w:txbxContent>
            </v:textbox>
            <v:fill type="solid"/>
            <w10:wrap type="topAndBottom"/>
          </v:shape>
        </w:pict>
      </w:r>
      <w:r>
        <w:rPr/>
        <w:pict>
          <v:shape style="position:absolute;margin-left:233.857803pt;margin-top:91.557182pt;width:22.7pt;height:22.7pt;mso-position-horizontal-relative:page;mso-position-vertical-relative:paragraph;z-index:2488;mso-wrap-distance-left:0;mso-wrap-distance-right:0" coordorigin="4677,1831" coordsize="454,454" path="m4904,1831l4832,1843,4770,1875,4721,1924,4689,1986,4677,2058,4689,2130,4721,2192,4770,2241,4832,2273,4904,2285,4976,2273,5038,2241,5087,2192,5119,2130,5131,2058,5119,1986,5087,1924,5038,1875,4976,1843,4904,1831xe" filled="true" fillcolor="#d01c26" stroked="false">
            <v:path arrowok="t"/>
            <v:fill type="solid"/>
            <w10:wrap type="topAndBottom"/>
          </v:shape>
        </w:pict>
      </w:r>
      <w:r>
        <w:rPr/>
        <w:pict>
          <v:shape style="position:absolute;margin-left:280.786987pt;margin-top:91.557182pt;width:22.7pt;height:22.7pt;mso-position-horizontal-relative:page;mso-position-vertical-relative:paragraph;z-index:2512;mso-wrap-distance-left:0;mso-wrap-distance-right:0" coordorigin="5616,1831" coordsize="454,454" path="m5843,1831l5771,1843,5709,1875,5659,1924,5627,1986,5616,2058,5627,2130,5659,2192,5709,2241,5771,2273,5843,2285,5914,2273,5976,2241,6026,2192,6058,2130,6069,2058,6058,1986,6026,1924,5976,1875,5914,1843,5843,1831xe" filled="true" fillcolor="#5b9f42" stroked="false">
            <v:path arrowok="t"/>
            <v:fill type="solid"/>
            <w10:wrap type="topAndBottom"/>
          </v:shape>
        </w:pict>
      </w:r>
      <w:r>
        <w:rPr/>
        <w:pict>
          <v:shape style="position:absolute;margin-left:330.944397pt;margin-top:91.557182pt;width:22.7pt;height:22.7pt;mso-position-horizontal-relative:page;mso-position-vertical-relative:paragraph;z-index:2536;mso-wrap-distance-left:0;mso-wrap-distance-right:0" coordorigin="6619,1831" coordsize="454,454" path="m6846,1831l6774,1843,6712,1875,6663,1924,6630,1986,6619,2058,6630,2130,6663,2192,6712,2241,6774,2273,6846,2285,6917,2273,6980,2241,7029,2192,7061,2130,7072,2058,7061,1986,7029,1924,6980,1875,6917,1843,6846,1831xe" filled="true" fillcolor="#5b9f42" stroked="false">
            <v:path arrowok="t"/>
            <v:fill type="solid"/>
            <w10:wrap type="topAndBottom"/>
          </v:shape>
        </w:pict>
      </w:r>
      <w:r>
        <w:rPr/>
        <w:pict>
          <v:shape style="position:absolute;margin-left:379.684601pt;margin-top:91.557182pt;width:22.7pt;height:22.7pt;mso-position-horizontal-relative:page;mso-position-vertical-relative:paragraph;z-index:2560;mso-wrap-distance-left:0;mso-wrap-distance-right:0" coordorigin="7594,1831" coordsize="454,454" path="m7820,1831l7749,1843,7687,1875,7637,1924,7605,1986,7594,2058,7605,2130,7637,2192,7687,2241,7749,2273,7820,2285,7892,2273,7954,2241,8003,2192,8036,2130,8047,2058,8036,1986,8003,1924,7954,1875,7892,1843,7820,1831xe" filled="true" fillcolor="#5b9f42" stroked="false">
            <v:path arrowok="t"/>
            <v:fill type="solid"/>
            <w10:wrap type="topAndBottom"/>
          </v:shape>
        </w:pict>
      </w:r>
      <w:r>
        <w:rPr/>
        <w:pict>
          <v:shape style="position:absolute;margin-left:429.133514pt;margin-top:91.557182pt;width:22.7pt;height:22.7pt;mso-position-horizontal-relative:page;mso-position-vertical-relative:paragraph;z-index:2584;mso-wrap-distance-left:0;mso-wrap-distance-right:0" coordorigin="8583,1831" coordsize="454,454" path="m8809,1831l8738,1843,8676,1875,8626,1924,8594,1986,8583,2058,8594,2130,8626,2192,8676,2241,8738,2273,8809,2285,8881,2273,8943,2241,8992,2192,9025,2130,9036,2058,9025,1986,8992,1924,8943,1875,8881,1843,8809,1831xe" filled="true" fillcolor="#d01c26" stroked="false">
            <v:path arrowok="t"/>
            <v:fill type="solid"/>
            <w10:wrap type="topAndBottom"/>
          </v:shape>
        </w:pict>
      </w:r>
      <w:r>
        <w:rPr/>
        <w:pict>
          <v:shape style="position:absolute;margin-left:478.582306pt;margin-top:91.557182pt;width:22.7pt;height:22.7pt;mso-position-horizontal-relative:page;mso-position-vertical-relative:paragraph;z-index:2608;mso-wrap-distance-left:0;mso-wrap-distance-right:0" coordorigin="9572,1831" coordsize="454,454" path="m9798,1831l9727,1843,9664,1875,9615,1924,9583,1986,9572,2058,9583,2130,9615,2192,9664,2241,9727,2273,9798,2285,9870,2273,9932,2241,9981,2192,10014,2130,10025,2058,10014,1986,9981,1924,9932,1875,9870,1843,9798,1831xe" filled="true" fillcolor="#5b9f42" stroked="false">
            <v:path arrowok="t"/>
            <v:fill type="solid"/>
            <w10:wrap type="topAndBottom"/>
          </v:shape>
        </w:pict>
      </w:r>
      <w:r>
        <w:rPr/>
        <w:pict>
          <v:shape style="position:absolute;margin-left:526.591675pt;margin-top:91.557182pt;width:22.7pt;height:22.7pt;mso-position-horizontal-relative:page;mso-position-vertical-relative:paragraph;z-index:2632;mso-wrap-distance-left:0;mso-wrap-distance-right:0" coordorigin="10532,1831" coordsize="454,454" path="m10759,1831l10687,1843,10625,1875,10576,1924,10543,1986,10532,2058,10543,2130,10576,2192,10625,2241,10687,2273,10759,2285,10830,2273,10893,2241,10942,2192,10974,2130,10985,2058,10974,1986,10942,1924,10893,1875,10830,1843,10759,1831xe" filled="true" fillcolor="#5b9f42" stroked="false">
            <v:path arrowok="t"/>
            <v:fill type="solid"/>
            <w10:wrap type="topAndBottom"/>
          </v:shape>
        </w:pict>
      </w:r>
    </w:p>
    <w:p>
      <w:pPr>
        <w:pStyle w:val="BodyText"/>
        <w:spacing w:before="8"/>
        <w:rPr>
          <w:sz w:val="10"/>
        </w:rPr>
      </w:pPr>
    </w:p>
    <w:p>
      <w:pPr>
        <w:pStyle w:val="BodyText"/>
        <w:spacing w:before="3"/>
        <w:rPr>
          <w:sz w:val="9"/>
        </w:rPr>
      </w:pPr>
    </w:p>
    <w:p>
      <w:pPr>
        <w:pStyle w:val="BodyText"/>
        <w:spacing w:before="3"/>
        <w:rPr>
          <w:sz w:val="2"/>
        </w:rPr>
      </w:pPr>
    </w:p>
    <w:p>
      <w:pPr>
        <w:tabs>
          <w:tab w:pos="4677" w:val="left" w:leader="none"/>
          <w:tab w:pos="5615" w:val="left" w:leader="none"/>
          <w:tab w:pos="6618" w:val="left" w:leader="none"/>
          <w:tab w:pos="7593" w:val="left" w:leader="none"/>
          <w:tab w:pos="8582" w:val="left" w:leader="none"/>
          <w:tab w:pos="9571" w:val="left" w:leader="none"/>
          <w:tab w:pos="10531" w:val="left" w:leader="none"/>
        </w:tabs>
        <w:spacing w:line="240" w:lineRule="auto"/>
        <w:ind w:left="1303" w:right="0" w:firstLine="0"/>
        <w:rPr>
          <w:sz w:val="20"/>
        </w:rPr>
      </w:pPr>
      <w:r>
        <w:rPr>
          <w:position w:val="13"/>
          <w:sz w:val="20"/>
        </w:rPr>
        <w:pict>
          <v:shape style="width:19.850pt;height:19.850pt;mso-position-horizontal-relative:char;mso-position-vertical-relative:line" type="#_x0000_t202" filled="true" fillcolor="#0f6161" stroked="false">
            <w10:anchorlock/>
            <v:textbox inset="0,0,0,0">
              <w:txbxContent>
                <w:p>
                  <w:pPr>
                    <w:spacing w:before="100"/>
                    <w:ind w:left="0" w:right="0" w:firstLine="0"/>
                    <w:jc w:val="center"/>
                    <w:rPr>
                      <w:b/>
                      <w:sz w:val="20"/>
                    </w:rPr>
                  </w:pPr>
                  <w:r>
                    <w:rPr>
                      <w:b/>
                      <w:color w:val="FFFFFF"/>
                      <w:w w:val="109"/>
                      <w:sz w:val="20"/>
                    </w:rPr>
                    <w:t>4</w:t>
                  </w:r>
                </w:p>
              </w:txbxContent>
            </v:textbox>
            <v:fill type="solid"/>
          </v:shape>
        </w:pict>
      </w:r>
      <w:r>
        <w:rPr>
          <w:position w:val="13"/>
          <w:sz w:val="20"/>
        </w:rPr>
      </w:r>
      <w:r>
        <w:rPr>
          <w:position w:val="13"/>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d01c26"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d01c26"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p>
    <w:p>
      <w:pPr>
        <w:tabs>
          <w:tab w:pos="4677" w:val="left" w:leader="none"/>
          <w:tab w:pos="5615" w:val="left" w:leader="none"/>
          <w:tab w:pos="6618" w:val="left" w:leader="none"/>
          <w:tab w:pos="7593" w:val="left" w:leader="none"/>
          <w:tab w:pos="8582" w:val="left" w:leader="none"/>
          <w:tab w:pos="9571" w:val="left" w:leader="none"/>
          <w:tab w:pos="10531" w:val="left" w:leader="none"/>
        </w:tabs>
        <w:spacing w:line="240" w:lineRule="auto"/>
        <w:ind w:left="1303" w:right="0" w:firstLine="0"/>
        <w:rPr>
          <w:sz w:val="20"/>
        </w:rPr>
      </w:pPr>
      <w:r>
        <w:rPr>
          <w:position w:val="24"/>
          <w:sz w:val="20"/>
        </w:rPr>
        <w:pict>
          <v:shape style="width:19.850pt;height:19.850pt;mso-position-horizontal-relative:char;mso-position-vertical-relative:line" type="#_x0000_t202" filled="true" fillcolor="#0f6161" stroked="false">
            <w10:anchorlock/>
            <v:textbox inset="0,0,0,0">
              <w:txbxContent>
                <w:p>
                  <w:pPr>
                    <w:spacing w:before="100"/>
                    <w:ind w:left="0" w:right="0" w:firstLine="0"/>
                    <w:jc w:val="center"/>
                    <w:rPr>
                      <w:b/>
                      <w:sz w:val="20"/>
                    </w:rPr>
                  </w:pPr>
                  <w:r>
                    <w:rPr>
                      <w:b/>
                      <w:color w:val="FFFFFF"/>
                      <w:w w:val="109"/>
                      <w:sz w:val="20"/>
                    </w:rPr>
                    <w:t>5</w:t>
                  </w:r>
                </w:p>
              </w:txbxContent>
            </v:textbox>
            <v:fill type="solid"/>
          </v:shape>
        </w:pict>
      </w:r>
      <w:r>
        <w:rPr>
          <w:position w:val="24"/>
          <w:sz w:val="20"/>
        </w:rPr>
      </w:r>
      <w:r>
        <w:rPr>
          <w:position w:val="24"/>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position w:val="4"/>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position w:val="4"/>
          <w:sz w:val="20"/>
        </w:rPr>
      </w:r>
      <w:r>
        <w:rPr>
          <w:position w:val="4"/>
          <w:sz w:val="20"/>
        </w:rPr>
        <w:tab/>
      </w:r>
      <w:r>
        <w:rPr>
          <w:position w:val="1"/>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position w:val="1"/>
          <w:sz w:val="20"/>
        </w:rPr>
      </w:r>
      <w:r>
        <w:rPr>
          <w:position w:val="1"/>
          <w:sz w:val="20"/>
        </w:rPr>
        <w:tab/>
      </w:r>
      <w:r>
        <w:rPr>
          <w:position w:val="4"/>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position w:val="4"/>
          <w:sz w:val="20"/>
        </w:rPr>
      </w:r>
      <w:r>
        <w:rPr>
          <w:position w:val="4"/>
          <w:sz w:val="20"/>
        </w:rPr>
        <w:tab/>
      </w:r>
      <w:r>
        <w:rPr>
          <w:position w:val="4"/>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d01c26" stroked="false">
              <v:path arrowok="t"/>
              <v:fill type="solid"/>
            </v:shape>
          </v:group>
        </w:pict>
      </w:r>
      <w:r>
        <w:rPr>
          <w:position w:val="4"/>
          <w:sz w:val="20"/>
        </w:rPr>
      </w:r>
      <w:r>
        <w:rPr>
          <w:position w:val="4"/>
          <w:sz w:val="20"/>
        </w:rPr>
        <w:tab/>
      </w:r>
      <w:r>
        <w:rPr>
          <w:position w:val="4"/>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position w:val="4"/>
          <w:sz w:val="20"/>
        </w:rPr>
      </w:r>
      <w:r>
        <w:rPr>
          <w:position w:val="4"/>
          <w:sz w:val="20"/>
        </w:rPr>
        <w:tab/>
      </w:r>
      <w:r>
        <w:rPr>
          <w:position w:val="4"/>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position w:val="4"/>
          <w:sz w:val="20"/>
        </w:rPr>
      </w:r>
    </w:p>
    <w:p>
      <w:pPr>
        <w:pStyle w:val="BodyText"/>
        <w:spacing w:before="9"/>
        <w:rPr>
          <w:sz w:val="7"/>
        </w:rPr>
      </w:pPr>
    </w:p>
    <w:p>
      <w:pPr>
        <w:tabs>
          <w:tab w:pos="4677" w:val="left" w:leader="none"/>
          <w:tab w:pos="5615" w:val="left" w:leader="none"/>
          <w:tab w:pos="6618" w:val="left" w:leader="none"/>
          <w:tab w:pos="7593" w:val="left" w:leader="none"/>
          <w:tab w:pos="8582" w:val="left" w:leader="none"/>
          <w:tab w:pos="9571" w:val="left" w:leader="none"/>
          <w:tab w:pos="10531" w:val="left" w:leader="none"/>
        </w:tabs>
        <w:spacing w:line="240" w:lineRule="auto"/>
        <w:ind w:left="1303" w:right="0" w:firstLine="0"/>
        <w:rPr>
          <w:sz w:val="20"/>
        </w:rPr>
      </w:pPr>
      <w:r>
        <w:rPr>
          <w:position w:val="23"/>
          <w:sz w:val="20"/>
        </w:rPr>
        <w:pict>
          <v:shape style="width:19.850pt;height:19.850pt;mso-position-horizontal-relative:char;mso-position-vertical-relative:line" type="#_x0000_t202" filled="true" fillcolor="#0f6161" stroked="false">
            <w10:anchorlock/>
            <v:textbox inset="0,0,0,0">
              <w:txbxContent>
                <w:p>
                  <w:pPr>
                    <w:spacing w:before="100"/>
                    <w:ind w:left="0" w:right="0" w:firstLine="0"/>
                    <w:jc w:val="center"/>
                    <w:rPr>
                      <w:b/>
                      <w:sz w:val="20"/>
                    </w:rPr>
                  </w:pPr>
                  <w:r>
                    <w:rPr>
                      <w:b/>
                      <w:color w:val="FFFFFF"/>
                      <w:w w:val="109"/>
                      <w:sz w:val="20"/>
                    </w:rPr>
                    <w:t>6</w:t>
                  </w:r>
                </w:p>
              </w:txbxContent>
            </v:textbox>
            <v:fill type="solid"/>
          </v:shape>
        </w:pict>
      </w:r>
      <w:r>
        <w:rPr>
          <w:position w:val="23"/>
          <w:sz w:val="20"/>
        </w:rPr>
      </w:r>
      <w:r>
        <w:rPr>
          <w:position w:val="23"/>
          <w:sz w:val="20"/>
        </w:rPr>
        <w:tab/>
      </w:r>
      <w:r>
        <w:rPr>
          <w:position w:val="2"/>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d01c26" stroked="false">
              <v:path arrowok="t"/>
              <v:fill type="solid"/>
            </v:shape>
          </v:group>
        </w:pict>
      </w:r>
      <w:r>
        <w:rPr>
          <w:position w:val="2"/>
          <w:sz w:val="20"/>
        </w:rPr>
      </w:r>
      <w:r>
        <w:rPr>
          <w:position w:val="2"/>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position w:val="2"/>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position w:val="2"/>
          <w:sz w:val="20"/>
        </w:rPr>
      </w:r>
      <w:r>
        <w:rPr>
          <w:position w:val="2"/>
          <w:sz w:val="20"/>
        </w:rPr>
        <w:tab/>
      </w:r>
      <w:r>
        <w:rPr>
          <w:position w:val="2"/>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position w:val="2"/>
          <w:sz w:val="20"/>
        </w:rPr>
      </w:r>
      <w:r>
        <w:rPr>
          <w:position w:val="2"/>
          <w:sz w:val="20"/>
        </w:rPr>
        <w:tab/>
      </w:r>
      <w:r>
        <w:rPr>
          <w:position w:val="2"/>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position w:val="2"/>
          <w:sz w:val="20"/>
        </w:rPr>
      </w:r>
      <w:r>
        <w:rPr>
          <w:position w:val="2"/>
          <w:sz w:val="20"/>
        </w:rPr>
        <w:tab/>
      </w:r>
      <w:r>
        <w:rPr>
          <w:position w:val="2"/>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position w:val="2"/>
          <w:sz w:val="20"/>
        </w:rPr>
      </w:r>
      <w:r>
        <w:rPr>
          <w:position w:val="2"/>
          <w:sz w:val="20"/>
        </w:rPr>
        <w:tab/>
      </w:r>
      <w:r>
        <w:rPr>
          <w:position w:val="2"/>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position w:val="2"/>
          <w:sz w:val="20"/>
        </w:rPr>
      </w:r>
    </w:p>
    <w:p>
      <w:pPr>
        <w:pStyle w:val="BodyText"/>
        <w:spacing w:before="9"/>
        <w:rPr>
          <w:sz w:val="6"/>
        </w:rPr>
      </w:pPr>
      <w:r>
        <w:rPr/>
        <w:pict>
          <v:shape style="position:absolute;margin-left:65.196999pt;margin-top:6.098436pt;width:19.850pt;height:19.850pt;mso-position-horizontal-relative:page;mso-position-vertical-relative:paragraph;z-index:3232;mso-wrap-distance-left:0;mso-wrap-distance-right:0" type="#_x0000_t202" filled="true" fillcolor="#0f6161" stroked="false">
            <v:textbox inset="0,0,0,0">
              <w:txbxContent>
                <w:p>
                  <w:pPr>
                    <w:spacing w:before="100"/>
                    <w:ind w:left="0" w:right="0" w:firstLine="0"/>
                    <w:jc w:val="center"/>
                    <w:rPr>
                      <w:b/>
                      <w:sz w:val="20"/>
                    </w:rPr>
                  </w:pPr>
                  <w:r>
                    <w:rPr>
                      <w:b/>
                      <w:color w:val="FFFFFF"/>
                      <w:w w:val="109"/>
                      <w:sz w:val="20"/>
                    </w:rPr>
                    <w:t>7</w:t>
                  </w:r>
                </w:p>
              </w:txbxContent>
            </v:textbox>
            <v:fill type="solid"/>
            <w10:wrap type="topAndBottom"/>
          </v:shape>
        </w:pict>
      </w:r>
      <w:r>
        <w:rPr/>
        <w:pict>
          <v:shape style="position:absolute;margin-left:233.857803pt;margin-top:12.901936pt;width:22.7pt;height:22.7pt;mso-position-horizontal-relative:page;mso-position-vertical-relative:paragraph;z-index:3256;mso-wrap-distance-left:0;mso-wrap-distance-right:0" coordorigin="4677,258" coordsize="454,454" path="m4904,258l4832,270,4770,302,4721,351,4689,413,4677,485,4689,556,4721,619,4770,668,4832,700,4904,712,4976,700,5038,668,5087,619,5119,556,5131,485,5119,413,5087,351,5038,302,4976,270,4904,258xe" filled="true" fillcolor="#d01c26" stroked="false">
            <v:path arrowok="t"/>
            <v:fill type="solid"/>
            <w10:wrap type="topAndBottom"/>
          </v:shape>
        </w:pict>
      </w:r>
      <w:r>
        <w:rPr/>
        <w:pict>
          <v:shape style="position:absolute;margin-left:280.786987pt;margin-top:12.901936pt;width:22.7pt;height:22.7pt;mso-position-horizontal-relative:page;mso-position-vertical-relative:paragraph;z-index:3280;mso-wrap-distance-left:0;mso-wrap-distance-right:0" coordorigin="5616,258" coordsize="454,454" path="m5843,258l5771,270,5709,302,5659,351,5627,413,5616,485,5627,556,5659,619,5709,668,5771,700,5843,712,5914,700,5976,668,6026,619,6058,556,6069,485,6058,413,6026,351,5976,302,5914,270,5843,258xe" filled="true" fillcolor="#5b9f42" stroked="false">
            <v:path arrowok="t"/>
            <v:fill type="solid"/>
            <w10:wrap type="topAndBottom"/>
          </v:shape>
        </w:pict>
      </w:r>
      <w:r>
        <w:rPr/>
        <w:pict>
          <v:shape style="position:absolute;margin-left:330.944397pt;margin-top:12.901936pt;width:22.7pt;height:22.7pt;mso-position-horizontal-relative:page;mso-position-vertical-relative:paragraph;z-index:3304;mso-wrap-distance-left:0;mso-wrap-distance-right:0" coordorigin="6619,258" coordsize="454,454" path="m6846,258l6774,270,6712,302,6663,351,6630,413,6619,485,6630,556,6663,619,6712,668,6774,700,6846,712,6917,700,6980,668,7029,619,7061,556,7072,485,7061,413,7029,351,6980,302,6917,270,6846,258xe" filled="true" fillcolor="#5b9f42" stroked="false">
            <v:path arrowok="t"/>
            <v:fill type="solid"/>
            <w10:wrap type="topAndBottom"/>
          </v:shape>
        </w:pict>
      </w:r>
      <w:r>
        <w:rPr/>
        <w:pict>
          <v:shape style="position:absolute;margin-left:379.684601pt;margin-top:12.901936pt;width:22.7pt;height:22.7pt;mso-position-horizontal-relative:page;mso-position-vertical-relative:paragraph;z-index:3328;mso-wrap-distance-left:0;mso-wrap-distance-right:0" coordorigin="7594,258" coordsize="454,454" path="m7820,258l7749,270,7687,302,7637,351,7605,413,7594,485,7605,556,7637,619,7687,668,7749,700,7820,712,7892,700,7954,668,8003,619,8036,556,8047,485,8036,413,8003,351,7954,302,7892,270,7820,258xe" filled="true" fillcolor="#5b9f42" stroked="false">
            <v:path arrowok="t"/>
            <v:fill type="solid"/>
            <w10:wrap type="topAndBottom"/>
          </v:shape>
        </w:pict>
      </w:r>
      <w:r>
        <w:rPr/>
        <w:pict>
          <v:shape style="position:absolute;margin-left:429.133514pt;margin-top:12.901936pt;width:22.7pt;height:22.7pt;mso-position-horizontal-relative:page;mso-position-vertical-relative:paragraph;z-index:3352;mso-wrap-distance-left:0;mso-wrap-distance-right:0" coordorigin="8583,258" coordsize="454,454" path="m8809,258l8738,270,8676,302,8626,351,8594,413,8583,485,8594,556,8626,619,8676,668,8738,700,8809,712,8881,700,8943,668,8992,619,9025,556,9036,485,9025,413,8992,351,8943,302,8881,270,8809,258xe" filled="true" fillcolor="#d01c26" stroked="false">
            <v:path arrowok="t"/>
            <v:fill type="solid"/>
            <w10:wrap type="topAndBottom"/>
          </v:shape>
        </w:pict>
      </w:r>
      <w:r>
        <w:rPr/>
        <w:pict>
          <v:shape style="position:absolute;margin-left:478.582306pt;margin-top:12.901936pt;width:22.7pt;height:22.7pt;mso-position-horizontal-relative:page;mso-position-vertical-relative:paragraph;z-index:3376;mso-wrap-distance-left:0;mso-wrap-distance-right:0" coordorigin="9572,258" coordsize="454,454" path="m9798,258l9727,270,9664,302,9615,351,9583,413,9572,485,9583,556,9615,619,9664,668,9727,700,9798,712,9870,700,9932,668,9981,619,10014,556,10025,485,10014,413,9981,351,9932,302,9870,270,9798,258xe" filled="true" fillcolor="#5b9f42" stroked="false">
            <v:path arrowok="t"/>
            <v:fill type="solid"/>
            <w10:wrap type="topAndBottom"/>
          </v:shape>
        </w:pict>
      </w:r>
      <w:r>
        <w:rPr/>
        <w:pict>
          <v:shape style="position:absolute;margin-left:526.591675pt;margin-top:12.901936pt;width:22.7pt;height:22.7pt;mso-position-horizontal-relative:page;mso-position-vertical-relative:paragraph;z-index:3400;mso-wrap-distance-left:0;mso-wrap-distance-right:0" coordorigin="10532,258" coordsize="454,454" path="m10759,258l10687,270,10625,302,10576,351,10543,413,10532,485,10543,556,10576,619,10625,668,10687,700,10759,712,10830,700,10893,668,10942,619,10974,556,10985,485,10974,413,10942,351,10893,302,10830,270,10759,258xe" filled="true" fillcolor="#5b9f42" stroked="false">
            <v:path arrowok="t"/>
            <v:fill type="solid"/>
            <w10:wrap type="topAndBottom"/>
          </v:shape>
        </w:pict>
      </w:r>
      <w:r>
        <w:rPr/>
        <w:pict>
          <v:shape style="position:absolute;margin-left:65.196999pt;margin-top:44.224438pt;width:19.850pt;height:19.850pt;mso-position-horizontal-relative:page;mso-position-vertical-relative:paragraph;z-index:3424;mso-wrap-distance-left:0;mso-wrap-distance-right:0" type="#_x0000_t202" filled="true" fillcolor="#0f6161" stroked="false">
            <v:textbox inset="0,0,0,0">
              <w:txbxContent>
                <w:p>
                  <w:pPr>
                    <w:spacing w:before="100"/>
                    <w:ind w:left="0" w:right="0" w:firstLine="0"/>
                    <w:jc w:val="center"/>
                    <w:rPr>
                      <w:b/>
                      <w:sz w:val="20"/>
                    </w:rPr>
                  </w:pPr>
                  <w:r>
                    <w:rPr>
                      <w:b/>
                      <w:color w:val="FFFFFF"/>
                      <w:w w:val="109"/>
                      <w:sz w:val="20"/>
                    </w:rPr>
                    <w:t>8</w:t>
                  </w:r>
                </w:p>
              </w:txbxContent>
            </v:textbox>
            <v:fill type="solid"/>
            <w10:wrap type="topAndBottom"/>
          </v:shape>
        </w:pict>
      </w:r>
      <w:r>
        <w:rPr/>
        <w:pict>
          <v:shape style="position:absolute;margin-left:233.857803pt;margin-top:61.090836pt;width:22.7pt;height:22.7pt;mso-position-horizontal-relative:page;mso-position-vertical-relative:paragraph;z-index:3448;mso-wrap-distance-left:0;mso-wrap-distance-right:0" coordorigin="4677,1222" coordsize="454,454" path="m4904,1222l4832,1233,4770,1266,4721,1315,4689,1377,4677,1449,4689,1520,4721,1583,4770,1632,4832,1664,4904,1675,4976,1664,5038,1632,5087,1583,5119,1520,5131,1449,5119,1377,5087,1315,5038,1266,4976,1233,4904,1222xe" filled="true" fillcolor="#5b9f42" stroked="false">
            <v:path arrowok="t"/>
            <v:fill type="solid"/>
            <w10:wrap type="topAndBottom"/>
          </v:shape>
        </w:pict>
      </w:r>
      <w:r>
        <w:rPr/>
        <w:pict>
          <v:shape style="position:absolute;margin-left:280.786987pt;margin-top:61.090836pt;width:22.7pt;height:22.7pt;mso-position-horizontal-relative:page;mso-position-vertical-relative:paragraph;z-index:3472;mso-wrap-distance-left:0;mso-wrap-distance-right:0" coordorigin="5616,1222" coordsize="454,454" path="m5843,1222l5771,1233,5709,1266,5659,1315,5627,1377,5616,1449,5627,1520,5659,1583,5709,1632,5771,1664,5843,1675,5914,1664,5976,1632,6026,1583,6058,1520,6069,1449,6058,1377,6026,1315,5976,1266,5914,1233,5843,1222xe" filled="true" fillcolor="#5b9f42" stroked="false">
            <v:path arrowok="t"/>
            <v:fill type="solid"/>
            <w10:wrap type="topAndBottom"/>
          </v:shape>
        </w:pict>
      </w:r>
      <w:r>
        <w:rPr/>
        <w:pict>
          <v:shape style="position:absolute;margin-left:330.944397pt;margin-top:61.090836pt;width:22.7pt;height:22.7pt;mso-position-horizontal-relative:page;mso-position-vertical-relative:paragraph;z-index:3496;mso-wrap-distance-left:0;mso-wrap-distance-right:0" coordorigin="6619,1222" coordsize="454,454" path="m6846,1222l6774,1233,6712,1266,6663,1315,6630,1377,6619,1449,6630,1520,6663,1583,6712,1632,6774,1664,6846,1675,6917,1664,6980,1632,7029,1583,7061,1520,7072,1449,7061,1377,7029,1315,6980,1266,6917,1233,6846,1222xe" filled="true" fillcolor="#5b9f42" stroked="false">
            <v:path arrowok="t"/>
            <v:fill type="solid"/>
            <w10:wrap type="topAndBottom"/>
          </v:shape>
        </w:pict>
      </w:r>
      <w:r>
        <w:rPr/>
        <w:pict>
          <v:shape style="position:absolute;margin-left:379.684601pt;margin-top:61.090836pt;width:22.7pt;height:22.7pt;mso-position-horizontal-relative:page;mso-position-vertical-relative:paragraph;z-index:3520;mso-wrap-distance-left:0;mso-wrap-distance-right:0" coordorigin="7594,1222" coordsize="454,454" path="m7820,1222l7749,1233,7687,1266,7637,1315,7605,1377,7594,1449,7605,1520,7637,1583,7687,1632,7749,1664,7820,1675,7892,1664,7954,1632,8003,1583,8036,1520,8047,1449,8036,1377,8003,1315,7954,1266,7892,1233,7820,1222xe" filled="true" fillcolor="#5b9f42" stroked="false">
            <v:path arrowok="t"/>
            <v:fill type="solid"/>
            <w10:wrap type="topAndBottom"/>
          </v:shape>
        </w:pict>
      </w:r>
      <w:r>
        <w:rPr/>
        <w:pict>
          <v:shape style="position:absolute;margin-left:429.133514pt;margin-top:61.090836pt;width:22.7pt;height:22.7pt;mso-position-horizontal-relative:page;mso-position-vertical-relative:paragraph;z-index:3544;mso-wrap-distance-left:0;mso-wrap-distance-right:0" coordorigin="8583,1222" coordsize="454,454" path="m8809,1222l8738,1233,8676,1266,8626,1315,8594,1377,8583,1449,8594,1520,8626,1583,8676,1632,8738,1664,8809,1675,8881,1664,8943,1632,8992,1583,9025,1520,9036,1449,9025,1377,8992,1315,8943,1266,8881,1233,8809,1222xe" filled="true" fillcolor="#d01c26" stroked="false">
            <v:path arrowok="t"/>
            <v:fill type="solid"/>
            <w10:wrap type="topAndBottom"/>
          </v:shape>
        </w:pict>
      </w:r>
      <w:r>
        <w:rPr/>
        <w:pict>
          <v:shape style="position:absolute;margin-left:478.582306pt;margin-top:61.090836pt;width:22.7pt;height:22.7pt;mso-position-horizontal-relative:page;mso-position-vertical-relative:paragraph;z-index:3568;mso-wrap-distance-left:0;mso-wrap-distance-right:0" coordorigin="9572,1222" coordsize="454,454" path="m9798,1222l9727,1233,9664,1266,9615,1315,9583,1377,9572,1449,9583,1520,9615,1583,9664,1632,9727,1664,9798,1675,9870,1664,9932,1632,9981,1583,10014,1520,10025,1449,10014,1377,9981,1315,9932,1266,9870,1233,9798,1222xe" filled="true" fillcolor="#d01c26" stroked="false">
            <v:path arrowok="t"/>
            <v:fill type="solid"/>
            <w10:wrap type="topAndBottom"/>
          </v:shape>
        </w:pict>
      </w:r>
      <w:r>
        <w:rPr/>
        <w:pict>
          <v:shape style="position:absolute;margin-left:526.591675pt;margin-top:61.090836pt;width:22.7pt;height:22.7pt;mso-position-horizontal-relative:page;mso-position-vertical-relative:paragraph;z-index:3592;mso-wrap-distance-left:0;mso-wrap-distance-right:0" coordorigin="10532,1222" coordsize="454,454" path="m10759,1222l10687,1233,10625,1266,10576,1315,10543,1377,10532,1449,10543,1520,10576,1583,10625,1632,10687,1664,10759,1675,10830,1664,10893,1632,10942,1583,10974,1520,10985,1449,10974,1377,10942,1315,10893,1266,10830,1233,10759,1222xe" filled="true" fillcolor="#5b9f42" stroked="false">
            <v:path arrowok="t"/>
            <v:fill type="solid"/>
            <w10:wrap type="topAndBottom"/>
          </v:shape>
        </w:pict>
      </w:r>
      <w:r>
        <w:rPr/>
        <w:pict>
          <v:shape style="position:absolute;margin-left:65.196999pt;margin-top:102.901436pt;width:19.850pt;height:19.850pt;mso-position-horizontal-relative:page;mso-position-vertical-relative:paragraph;z-index:3616;mso-wrap-distance-left:0;mso-wrap-distance-right:0" type="#_x0000_t202" filled="true" fillcolor="#0f6161" stroked="false">
            <v:textbox inset="0,0,0,0">
              <w:txbxContent>
                <w:p>
                  <w:pPr>
                    <w:spacing w:before="100"/>
                    <w:ind w:left="0" w:right="0" w:firstLine="0"/>
                    <w:jc w:val="center"/>
                    <w:rPr>
                      <w:b/>
                      <w:sz w:val="20"/>
                    </w:rPr>
                  </w:pPr>
                  <w:r>
                    <w:rPr>
                      <w:b/>
                      <w:color w:val="FFFFFF"/>
                      <w:w w:val="109"/>
                      <w:sz w:val="20"/>
                    </w:rPr>
                    <w:t>9</w:t>
                  </w:r>
                </w:p>
              </w:txbxContent>
            </v:textbox>
            <v:fill type="solid"/>
            <w10:wrap type="topAndBottom"/>
          </v:shape>
        </w:pict>
      </w:r>
      <w:r>
        <w:rPr/>
        <w:pict>
          <v:shape style="position:absolute;margin-left:233.857803pt;margin-top:115.657738pt;width:22.7pt;height:22.7pt;mso-position-horizontal-relative:page;mso-position-vertical-relative:paragraph;z-index:3640;mso-wrap-distance-left:0;mso-wrap-distance-right:0" coordorigin="4677,2313" coordsize="454,454" path="m4904,2313l4832,2325,4770,2357,4721,2406,4689,2468,4677,2540,4689,2612,4721,2674,4770,2723,4832,2755,4904,2767,4976,2755,5038,2723,5087,2674,5119,2612,5131,2540,5119,2468,5087,2406,5038,2357,4976,2325,4904,2313xe" filled="true" fillcolor="#d01c26" stroked="false">
            <v:path arrowok="t"/>
            <v:fill type="solid"/>
            <w10:wrap type="topAndBottom"/>
          </v:shape>
        </w:pict>
      </w:r>
      <w:r>
        <w:rPr/>
        <w:pict>
          <v:shape style="position:absolute;margin-left:280.786987pt;margin-top:115.657738pt;width:22.7pt;height:22.7pt;mso-position-horizontal-relative:page;mso-position-vertical-relative:paragraph;z-index:3664;mso-wrap-distance-left:0;mso-wrap-distance-right:0" coordorigin="5616,2313" coordsize="454,454" path="m5843,2313l5771,2325,5709,2357,5659,2406,5627,2468,5616,2540,5627,2612,5659,2674,5709,2723,5771,2755,5843,2767,5914,2755,5976,2723,6026,2674,6058,2612,6069,2540,6058,2468,6026,2406,5976,2357,5914,2325,5843,2313xe" filled="true" fillcolor="#5b9f42" stroked="false">
            <v:path arrowok="t"/>
            <v:fill type="solid"/>
            <w10:wrap type="topAndBottom"/>
          </v:shape>
        </w:pict>
      </w:r>
      <w:r>
        <w:rPr/>
        <w:pict>
          <v:shape style="position:absolute;margin-left:330.944397pt;margin-top:115.657738pt;width:22.7pt;height:22.7pt;mso-position-horizontal-relative:page;mso-position-vertical-relative:paragraph;z-index:3688;mso-wrap-distance-left:0;mso-wrap-distance-right:0" coordorigin="6619,2313" coordsize="454,454" path="m6846,2313l6774,2325,6712,2357,6663,2406,6630,2468,6619,2540,6630,2612,6663,2674,6712,2723,6774,2755,6846,2767,6917,2755,6980,2723,7029,2674,7061,2612,7072,2540,7061,2468,7029,2406,6980,2357,6917,2325,6846,2313xe" filled="true" fillcolor="#5b9f42" stroked="false">
            <v:path arrowok="t"/>
            <v:fill type="solid"/>
            <w10:wrap type="topAndBottom"/>
          </v:shape>
        </w:pict>
      </w:r>
      <w:r>
        <w:rPr/>
        <w:pict>
          <v:shape style="position:absolute;margin-left:379.684601pt;margin-top:115.657738pt;width:22.7pt;height:22.7pt;mso-position-horizontal-relative:page;mso-position-vertical-relative:paragraph;z-index:3712;mso-wrap-distance-left:0;mso-wrap-distance-right:0" coordorigin="7594,2313" coordsize="454,454" path="m7820,2313l7749,2325,7687,2357,7637,2406,7605,2468,7594,2540,7605,2612,7637,2674,7687,2723,7749,2755,7820,2767,7892,2755,7954,2723,8003,2674,8036,2612,8047,2540,8036,2468,8003,2406,7954,2357,7892,2325,7820,2313xe" filled="true" fillcolor="#5b9f42" stroked="false">
            <v:path arrowok="t"/>
            <v:fill type="solid"/>
            <w10:wrap type="topAndBottom"/>
          </v:shape>
        </w:pict>
      </w:r>
      <w:r>
        <w:rPr/>
        <w:pict>
          <v:shape style="position:absolute;margin-left:429.133514pt;margin-top:115.657738pt;width:22.7pt;height:22.7pt;mso-position-horizontal-relative:page;mso-position-vertical-relative:paragraph;z-index:3736;mso-wrap-distance-left:0;mso-wrap-distance-right:0" coordorigin="8583,2313" coordsize="454,454" path="m8809,2313l8738,2325,8676,2357,8626,2406,8594,2468,8583,2540,8594,2612,8626,2674,8676,2723,8738,2755,8809,2767,8881,2755,8943,2723,8992,2674,9025,2612,9036,2540,9025,2468,8992,2406,8943,2357,8881,2325,8809,2313xe" filled="true" fillcolor="#d01c26" stroked="false">
            <v:path arrowok="t"/>
            <v:fill type="solid"/>
            <w10:wrap type="topAndBottom"/>
          </v:shape>
        </w:pict>
      </w:r>
      <w:r>
        <w:rPr/>
        <w:pict>
          <v:shape style="position:absolute;margin-left:478.582306pt;margin-top:115.657738pt;width:22.7pt;height:22.7pt;mso-position-horizontal-relative:page;mso-position-vertical-relative:paragraph;z-index:3760;mso-wrap-distance-left:0;mso-wrap-distance-right:0" coordorigin="9572,2313" coordsize="454,454" path="m9798,2313l9727,2325,9664,2357,9615,2406,9583,2468,9572,2540,9583,2612,9615,2674,9664,2723,9727,2755,9798,2767,9870,2755,9932,2723,9981,2674,10014,2612,10025,2540,10014,2468,9981,2406,9932,2357,9870,2325,9798,2313xe" filled="true" fillcolor="#5b9f42" stroked="false">
            <v:path arrowok="t"/>
            <v:fill type="solid"/>
            <w10:wrap type="topAndBottom"/>
          </v:shape>
        </w:pict>
      </w:r>
      <w:r>
        <w:rPr/>
        <w:pict>
          <v:shape style="position:absolute;margin-left:526.591675pt;margin-top:115.657738pt;width:22.7pt;height:22.7pt;mso-position-horizontal-relative:page;mso-position-vertical-relative:paragraph;z-index:3784;mso-wrap-distance-left:0;mso-wrap-distance-right:0" coordorigin="10532,2313" coordsize="454,454" path="m10759,2313l10687,2325,10625,2357,10576,2406,10543,2468,10532,2540,10543,2612,10576,2674,10625,2723,10687,2755,10759,2767,10830,2755,10893,2723,10942,2674,10974,2612,10985,2540,10974,2468,10942,2406,10893,2357,10830,2325,10759,2313xe" filled="true" fillcolor="#5b9f42" stroked="false">
            <v:path arrowok="t"/>
            <v:fill type="solid"/>
            <w10:wrap type="topAndBottom"/>
          </v:shape>
        </w:pict>
      </w:r>
      <w:r>
        <w:rPr/>
        <w:pict>
          <v:shape style="position:absolute;margin-left:65.196999pt;margin-top:151.090439pt;width:19.850pt;height:19.850pt;mso-position-horizontal-relative:page;mso-position-vertical-relative:paragraph;z-index:3808;mso-wrap-distance-left:0;mso-wrap-distance-right:0" type="#_x0000_t202" filled="true" fillcolor="#0f6161" stroked="false">
            <v:textbox inset="0,0,0,0">
              <w:txbxContent>
                <w:p>
                  <w:pPr>
                    <w:spacing w:before="100"/>
                    <w:ind w:left="88" w:right="0" w:firstLine="0"/>
                    <w:jc w:val="left"/>
                    <w:rPr>
                      <w:b/>
                      <w:sz w:val="20"/>
                    </w:rPr>
                  </w:pPr>
                  <w:r>
                    <w:rPr>
                      <w:b/>
                      <w:color w:val="FFFFFF"/>
                      <w:w w:val="110"/>
                      <w:sz w:val="20"/>
                    </w:rPr>
                    <w:t>10</w:t>
                  </w:r>
                </w:p>
              </w:txbxContent>
            </v:textbox>
            <v:fill type="solid"/>
            <w10:wrap type="topAndBottom"/>
          </v:shape>
        </w:pict>
      </w:r>
      <w:r>
        <w:rPr/>
        <w:pict>
          <v:shape style="position:absolute;margin-left:233.857803pt;margin-top:164.555237pt;width:22.7pt;height:22.7pt;mso-position-horizontal-relative:page;mso-position-vertical-relative:paragraph;z-index:3832;mso-wrap-distance-left:0;mso-wrap-distance-right:0" coordorigin="4677,3291" coordsize="454,454" path="m4904,3291l4832,3303,4770,3335,4721,3384,4689,3446,4677,3518,4689,3590,4721,3652,4770,3701,4832,3733,4904,3745,4976,3733,5038,3701,5087,3652,5119,3590,5131,3518,5119,3446,5087,3384,5038,3335,4976,3303,4904,3291xe" filled="true" fillcolor="#d01c26" stroked="false">
            <v:path arrowok="t"/>
            <v:fill type="solid"/>
            <w10:wrap type="topAndBottom"/>
          </v:shape>
        </w:pict>
      </w:r>
      <w:r>
        <w:rPr/>
        <w:pict>
          <v:shape style="position:absolute;margin-left:280.786987pt;margin-top:164.555237pt;width:22.7pt;height:22.7pt;mso-position-horizontal-relative:page;mso-position-vertical-relative:paragraph;z-index:3856;mso-wrap-distance-left:0;mso-wrap-distance-right:0" coordorigin="5616,3291" coordsize="454,454" path="m5843,3291l5771,3303,5709,3335,5659,3384,5627,3446,5616,3518,5627,3590,5659,3652,5709,3701,5771,3733,5843,3745,5914,3733,5976,3701,6026,3652,6058,3590,6069,3518,6058,3446,6026,3384,5976,3335,5914,3303,5843,3291xe" filled="true" fillcolor="#5b9f42" stroked="false">
            <v:path arrowok="t"/>
            <v:fill type="solid"/>
            <w10:wrap type="topAndBottom"/>
          </v:shape>
        </w:pict>
      </w:r>
      <w:r>
        <w:rPr/>
        <w:pict>
          <v:shape style="position:absolute;margin-left:330.944397pt;margin-top:164.555237pt;width:22.7pt;height:22.7pt;mso-position-horizontal-relative:page;mso-position-vertical-relative:paragraph;z-index:3880;mso-wrap-distance-left:0;mso-wrap-distance-right:0" coordorigin="6619,3291" coordsize="454,454" path="m6846,3291l6774,3303,6712,3335,6663,3384,6630,3446,6619,3518,6630,3590,6663,3652,6712,3701,6774,3733,6846,3745,6917,3733,6980,3701,7029,3652,7061,3590,7072,3518,7061,3446,7029,3384,6980,3335,6917,3303,6846,3291xe" filled="true" fillcolor="#5b9f42" stroked="false">
            <v:path arrowok="t"/>
            <v:fill type="solid"/>
            <w10:wrap type="topAndBottom"/>
          </v:shape>
        </w:pict>
      </w:r>
      <w:r>
        <w:rPr/>
        <w:pict>
          <v:shape style="position:absolute;margin-left:379.684601pt;margin-top:164.555237pt;width:22.7pt;height:22.7pt;mso-position-horizontal-relative:page;mso-position-vertical-relative:paragraph;z-index:3904;mso-wrap-distance-left:0;mso-wrap-distance-right:0" coordorigin="7594,3291" coordsize="454,454" path="m7820,3291l7749,3303,7687,3335,7637,3384,7605,3446,7594,3518,7605,3590,7637,3652,7687,3701,7749,3733,7820,3745,7892,3733,7954,3701,8003,3652,8036,3590,8047,3518,8036,3446,8003,3384,7954,3335,7892,3303,7820,3291xe" filled="true" fillcolor="#5b9f42" stroked="false">
            <v:path arrowok="t"/>
            <v:fill type="solid"/>
            <w10:wrap type="topAndBottom"/>
          </v:shape>
        </w:pict>
      </w:r>
      <w:r>
        <w:rPr/>
        <w:pict>
          <v:shape style="position:absolute;margin-left:429.133514pt;margin-top:164.555237pt;width:22.7pt;height:22.7pt;mso-position-horizontal-relative:page;mso-position-vertical-relative:paragraph;z-index:3928;mso-wrap-distance-left:0;mso-wrap-distance-right:0" coordorigin="8583,3291" coordsize="454,454" path="m8809,3291l8738,3303,8676,3335,8626,3384,8594,3446,8583,3518,8594,3590,8626,3652,8676,3701,8738,3733,8809,3745,8881,3733,8943,3701,8992,3652,9025,3590,9036,3518,9025,3446,8992,3384,8943,3335,8881,3303,8809,3291xe" filled="true" fillcolor="#d01c26" stroked="false">
            <v:path arrowok="t"/>
            <v:fill type="solid"/>
            <w10:wrap type="topAndBottom"/>
          </v:shape>
        </w:pict>
      </w:r>
      <w:r>
        <w:rPr/>
        <w:pict>
          <v:shape style="position:absolute;margin-left:478.582306pt;margin-top:164.555237pt;width:22.7pt;height:22.7pt;mso-position-horizontal-relative:page;mso-position-vertical-relative:paragraph;z-index:3952;mso-wrap-distance-left:0;mso-wrap-distance-right:0" coordorigin="9572,3291" coordsize="454,454" path="m9798,3291l9727,3303,9664,3335,9615,3384,9583,3446,9572,3518,9583,3590,9615,3652,9664,3701,9727,3733,9798,3745,9870,3733,9932,3701,9981,3652,10014,3590,10025,3518,10014,3446,9981,3384,9932,3335,9870,3303,9798,3291xe" filled="true" fillcolor="#5b9f42" stroked="false">
            <v:path arrowok="t"/>
            <v:fill type="solid"/>
            <w10:wrap type="topAndBottom"/>
          </v:shape>
        </w:pict>
      </w:r>
      <w:r>
        <w:rPr/>
        <w:pict>
          <v:shape style="position:absolute;margin-left:526.591675pt;margin-top:164.555237pt;width:22.7pt;height:22.7pt;mso-position-horizontal-relative:page;mso-position-vertical-relative:paragraph;z-index:3976;mso-wrap-distance-left:0;mso-wrap-distance-right:0" coordorigin="10532,3291" coordsize="454,454" path="m10759,3291l10687,3303,10625,3335,10576,3384,10543,3446,10532,3518,10543,3590,10576,3652,10625,3701,10687,3733,10759,3745,10830,3733,10893,3701,10942,3652,10974,3590,10985,3518,10974,3446,10942,3384,10893,3335,10830,3303,10759,3291xe" filled="true" fillcolor="#5b9f42" stroked="false">
            <v:path arrowok="t"/>
            <v:fill type="solid"/>
            <w10:wrap type="topAndBottom"/>
          </v:shape>
        </w:pict>
      </w:r>
      <w:r>
        <w:rPr/>
        <w:pict>
          <v:shape style="position:absolute;margin-left:65.196999pt;margin-top:199.704437pt;width:19.850pt;height:19.850pt;mso-position-horizontal-relative:page;mso-position-vertical-relative:paragraph;z-index:4000;mso-wrap-distance-left:0;mso-wrap-distance-right:0" type="#_x0000_t202" filled="true" fillcolor="#0f6161" stroked="false">
            <v:textbox inset="0,0,0,0">
              <w:txbxContent>
                <w:p>
                  <w:pPr>
                    <w:spacing w:before="100"/>
                    <w:ind w:left="88" w:right="0" w:firstLine="0"/>
                    <w:jc w:val="left"/>
                    <w:rPr>
                      <w:b/>
                      <w:sz w:val="20"/>
                    </w:rPr>
                  </w:pPr>
                  <w:r>
                    <w:rPr>
                      <w:b/>
                      <w:color w:val="FFFFFF"/>
                      <w:w w:val="110"/>
                      <w:sz w:val="20"/>
                    </w:rPr>
                    <w:t>11</w:t>
                  </w:r>
                </w:p>
              </w:txbxContent>
            </v:textbox>
            <v:fill type="solid"/>
            <w10:wrap type="topAndBottom"/>
          </v:shape>
        </w:pict>
      </w:r>
      <w:r>
        <w:rPr/>
        <w:pict>
          <v:shape style="position:absolute;margin-left:233.857803pt;margin-top:208.20903pt;width:22.7pt;height:22.7pt;mso-position-horizontal-relative:page;mso-position-vertical-relative:paragraph;z-index:4024;mso-wrap-distance-left:0;mso-wrap-distance-right:0" coordorigin="4677,4164" coordsize="454,454" path="m4904,4164l4832,4176,4770,4208,4721,4257,4689,4319,4677,4391,4689,4463,4721,4525,4770,4574,4832,4606,4904,4618,4976,4606,5038,4574,5087,4525,5119,4463,5131,4391,5119,4319,5087,4257,5038,4208,4976,4176,4904,4164xe" filled="true" fillcolor="#d01c26" stroked="false">
            <v:path arrowok="t"/>
            <v:fill type="solid"/>
            <w10:wrap type="topAndBottom"/>
          </v:shape>
        </w:pict>
      </w:r>
      <w:r>
        <w:rPr/>
        <w:pict>
          <v:shape style="position:absolute;margin-left:280.786987pt;margin-top:206.366241pt;width:22.7pt;height:22.7pt;mso-position-horizontal-relative:page;mso-position-vertical-relative:paragraph;z-index:4048;mso-wrap-distance-left:0;mso-wrap-distance-right:0" coordorigin="5616,4127" coordsize="454,454" path="m5843,4127l5771,4139,5709,4171,5659,4220,5627,4282,5616,4354,5627,4426,5659,4488,5709,4537,5771,4569,5843,4581,5914,4569,5976,4537,6026,4488,6058,4426,6069,4354,6058,4282,6026,4220,5976,4171,5914,4139,5843,4127xe" filled="true" fillcolor="#5b9f42" stroked="false">
            <v:path arrowok="t"/>
            <v:fill type="solid"/>
            <w10:wrap type="topAndBottom"/>
          </v:shape>
        </w:pict>
      </w:r>
      <w:r>
        <w:rPr/>
        <w:pict>
          <v:shape style="position:absolute;margin-left:330.944397pt;margin-top:206.366241pt;width:22.7pt;height:22.7pt;mso-position-horizontal-relative:page;mso-position-vertical-relative:paragraph;z-index:4072;mso-wrap-distance-left:0;mso-wrap-distance-right:0" coordorigin="6619,4127" coordsize="454,454" path="m6846,4127l6774,4139,6712,4171,6663,4220,6630,4282,6619,4354,6630,4426,6663,4488,6712,4537,6774,4569,6846,4581,6917,4569,6980,4537,7029,4488,7061,4426,7072,4354,7061,4282,7029,4220,6980,4171,6917,4139,6846,4127xe" filled="true" fillcolor="#5b9f42" stroked="false">
            <v:path arrowok="t"/>
            <v:fill type="solid"/>
            <w10:wrap type="topAndBottom"/>
          </v:shape>
        </w:pict>
      </w:r>
      <w:r>
        <w:rPr/>
        <w:pict>
          <v:shape style="position:absolute;margin-left:379.684601pt;margin-top:206.366241pt;width:22.7pt;height:22.7pt;mso-position-horizontal-relative:page;mso-position-vertical-relative:paragraph;z-index:4096;mso-wrap-distance-left:0;mso-wrap-distance-right:0" coordorigin="7594,4127" coordsize="454,454" path="m7820,4127l7749,4139,7687,4171,7637,4220,7605,4282,7594,4354,7605,4426,7637,4488,7687,4537,7749,4569,7820,4581,7892,4569,7954,4537,8003,4488,8036,4426,8047,4354,8036,4282,8003,4220,7954,4171,7892,4139,7820,4127xe" filled="true" fillcolor="#5b9f42" stroked="false">
            <v:path arrowok="t"/>
            <v:fill type="solid"/>
            <w10:wrap type="topAndBottom"/>
          </v:shape>
        </w:pict>
      </w:r>
      <w:r>
        <w:rPr/>
        <w:pict>
          <v:shape style="position:absolute;margin-left:429.133514pt;margin-top:206.366241pt;width:22.7pt;height:22.7pt;mso-position-horizontal-relative:page;mso-position-vertical-relative:paragraph;z-index:4120;mso-wrap-distance-left:0;mso-wrap-distance-right:0" coordorigin="8583,4127" coordsize="454,454" path="m8809,4127l8738,4139,8676,4171,8626,4220,8594,4282,8583,4354,8594,4426,8626,4488,8676,4537,8738,4569,8809,4581,8881,4569,8943,4537,8992,4488,9025,4426,9036,4354,9025,4282,8992,4220,8943,4171,8881,4139,8809,4127xe" filled="true" fillcolor="#5b9f42" stroked="false">
            <v:path arrowok="t"/>
            <v:fill type="solid"/>
            <w10:wrap type="topAndBottom"/>
          </v:shape>
        </w:pict>
      </w:r>
      <w:r>
        <w:rPr/>
        <w:pict>
          <v:shape style="position:absolute;margin-left:478.582306pt;margin-top:206.366241pt;width:22.7pt;height:22.7pt;mso-position-horizontal-relative:page;mso-position-vertical-relative:paragraph;z-index:4144;mso-wrap-distance-left:0;mso-wrap-distance-right:0" coordorigin="9572,4127" coordsize="454,454" path="m9798,4127l9727,4139,9664,4171,9615,4220,9583,4282,9572,4354,9583,4426,9615,4488,9664,4537,9727,4569,9798,4581,9870,4569,9932,4537,9981,4488,10014,4426,10025,4354,10014,4282,9981,4220,9932,4171,9870,4139,9798,4127xe" filled="true" fillcolor="#5b9f42" stroked="false">
            <v:path arrowok="t"/>
            <v:fill type="solid"/>
            <w10:wrap type="topAndBottom"/>
          </v:shape>
        </w:pict>
      </w:r>
      <w:r>
        <w:rPr/>
        <w:pict>
          <v:shape style="position:absolute;margin-left:526.591675pt;margin-top:206.366241pt;width:22.7pt;height:22.7pt;mso-position-horizontal-relative:page;mso-position-vertical-relative:paragraph;z-index:4168;mso-wrap-distance-left:0;mso-wrap-distance-right:0" coordorigin="10532,4127" coordsize="454,454" path="m10759,4127l10687,4139,10625,4171,10576,4220,10543,4282,10532,4354,10543,4426,10576,4488,10625,4537,10687,4569,10759,4581,10830,4569,10893,4537,10942,4488,10974,4426,10985,4354,10974,4282,10942,4220,10893,4171,10830,4139,10759,4127xe" filled="true" fillcolor="#5b9f42" stroked="false">
            <v:path arrowok="t"/>
            <v:fill type="solid"/>
            <w10:wrap type="topAndBottom"/>
          </v:shape>
        </w:pict>
      </w:r>
      <w:r>
        <w:rPr/>
        <w:pict>
          <v:shape style="position:absolute;margin-left:65.196999pt;margin-top:238.113434pt;width:19.850pt;height:19.850pt;mso-position-horizontal-relative:page;mso-position-vertical-relative:paragraph;z-index:4192;mso-wrap-distance-left:0;mso-wrap-distance-right:0" type="#_x0000_t202" filled="true" fillcolor="#0f6161" stroked="false">
            <v:textbox inset="0,0,0,0">
              <w:txbxContent>
                <w:p>
                  <w:pPr>
                    <w:spacing w:before="100"/>
                    <w:ind w:left="88" w:right="0" w:firstLine="0"/>
                    <w:jc w:val="left"/>
                    <w:rPr>
                      <w:b/>
                      <w:sz w:val="20"/>
                    </w:rPr>
                  </w:pPr>
                  <w:r>
                    <w:rPr>
                      <w:b/>
                      <w:color w:val="FFFFFF"/>
                      <w:w w:val="110"/>
                      <w:sz w:val="20"/>
                    </w:rPr>
                    <w:t>12</w:t>
                  </w:r>
                </w:p>
              </w:txbxContent>
            </v:textbox>
            <v:fill type="solid"/>
            <w10:wrap type="topAndBottom"/>
          </v:shape>
        </w:pict>
      </w:r>
      <w:r>
        <w:rPr/>
        <w:pict>
          <v:shape style="position:absolute;margin-left:233.857803pt;margin-top:241.799332pt;width:22.7pt;height:22.7pt;mso-position-horizontal-relative:page;mso-position-vertical-relative:paragraph;z-index:4216;mso-wrap-distance-left:0;mso-wrap-distance-right:0" coordorigin="4677,4836" coordsize="454,454" path="m4904,4836l4832,4848,4770,4880,4721,4929,4689,4991,4677,5063,4689,5134,4721,5197,4770,5246,4832,5278,4904,5290,4976,5278,5038,5246,5087,5197,5119,5134,5131,5063,5119,4991,5087,4929,5038,4880,4976,4848,4904,4836xe" filled="true" fillcolor="#d01c26" stroked="false">
            <v:path arrowok="t"/>
            <v:fill type="solid"/>
            <w10:wrap type="topAndBottom"/>
          </v:shape>
        </w:pict>
      </w:r>
      <w:r>
        <w:rPr/>
        <w:pict>
          <v:shape style="position:absolute;margin-left:280.786987pt;margin-top:241.799332pt;width:22.7pt;height:22.7pt;mso-position-horizontal-relative:page;mso-position-vertical-relative:paragraph;z-index:4240;mso-wrap-distance-left:0;mso-wrap-distance-right:0" coordorigin="5616,4836" coordsize="454,454" path="m5843,4836l5771,4848,5709,4880,5659,4929,5627,4991,5616,5063,5627,5134,5659,5197,5709,5246,5771,5278,5843,5290,5914,5278,5976,5246,6026,5197,6058,5134,6069,5063,6058,4991,6026,4929,5976,4880,5914,4848,5843,4836xe" filled="true" fillcolor="#d01c26" stroked="false">
            <v:path arrowok="t"/>
            <v:fill type="solid"/>
            <w10:wrap type="topAndBottom"/>
          </v:shape>
        </w:pict>
      </w:r>
      <w:r>
        <w:rPr/>
        <w:pict>
          <v:shape style="position:absolute;margin-left:330.944397pt;margin-top:241.799332pt;width:22.7pt;height:22.7pt;mso-position-horizontal-relative:page;mso-position-vertical-relative:paragraph;z-index:4264;mso-wrap-distance-left:0;mso-wrap-distance-right:0" coordorigin="6619,4836" coordsize="454,454" path="m6846,4836l6774,4848,6712,4880,6663,4929,6630,4991,6619,5063,6630,5134,6663,5197,6712,5246,6774,5278,6846,5290,6917,5278,6980,5246,7029,5197,7061,5134,7072,5063,7061,4991,7029,4929,6980,4880,6917,4848,6846,4836xe" filled="true" fillcolor="#5b9f42" stroked="false">
            <v:path arrowok="t"/>
            <v:fill type="solid"/>
            <w10:wrap type="topAndBottom"/>
          </v:shape>
        </w:pict>
      </w:r>
      <w:r>
        <w:rPr/>
        <w:pict>
          <v:shape style="position:absolute;margin-left:379.684601pt;margin-top:241.799332pt;width:22.7pt;height:22.7pt;mso-position-horizontal-relative:page;mso-position-vertical-relative:paragraph;z-index:4288;mso-wrap-distance-left:0;mso-wrap-distance-right:0" coordorigin="7594,4836" coordsize="454,454" path="m7820,4836l7749,4848,7687,4880,7637,4929,7605,4991,7594,5063,7605,5134,7637,5197,7687,5246,7749,5278,7820,5290,7892,5278,7954,5246,8003,5197,8036,5134,8047,5063,8036,4991,8003,4929,7954,4880,7892,4848,7820,4836xe" filled="true" fillcolor="#5b9f42" stroked="false">
            <v:path arrowok="t"/>
            <v:fill type="solid"/>
            <w10:wrap type="topAndBottom"/>
          </v:shape>
        </w:pict>
      </w:r>
      <w:r>
        <w:rPr/>
        <w:pict>
          <v:shape style="position:absolute;margin-left:429.133514pt;margin-top:241.799332pt;width:22.7pt;height:22.7pt;mso-position-horizontal-relative:page;mso-position-vertical-relative:paragraph;z-index:4312;mso-wrap-distance-left:0;mso-wrap-distance-right:0" coordorigin="8583,4836" coordsize="454,454" path="m8809,4836l8738,4848,8676,4880,8626,4929,8594,4991,8583,5063,8594,5134,8626,5197,8676,5246,8738,5278,8809,5290,8881,5278,8943,5246,8992,5197,9025,5134,9036,5063,9025,4991,8992,4929,8943,4880,8881,4848,8809,4836xe" filled="true" fillcolor="#5b9f42" stroked="false">
            <v:path arrowok="t"/>
            <v:fill type="solid"/>
            <w10:wrap type="topAndBottom"/>
          </v:shape>
        </w:pict>
      </w:r>
      <w:r>
        <w:rPr/>
        <w:pict>
          <v:shape style="position:absolute;margin-left:478.582306pt;margin-top:241.799332pt;width:22.7pt;height:22.7pt;mso-position-horizontal-relative:page;mso-position-vertical-relative:paragraph;z-index:4336;mso-wrap-distance-left:0;mso-wrap-distance-right:0" coordorigin="9572,4836" coordsize="454,454" path="m9798,4836l9727,4848,9664,4880,9615,4929,9583,4991,9572,5063,9583,5134,9615,5197,9664,5246,9727,5278,9798,5290,9870,5278,9932,5246,9981,5197,10014,5134,10025,5063,10014,4991,9981,4929,9932,4880,9870,4848,9798,4836xe" filled="true" fillcolor="#5b9f42" stroked="false">
            <v:path arrowok="t"/>
            <v:fill type="solid"/>
            <w10:wrap type="topAndBottom"/>
          </v:shape>
        </w:pict>
      </w:r>
      <w:r>
        <w:rPr/>
        <w:pict>
          <v:shape style="position:absolute;margin-left:526.591675pt;margin-top:241.799332pt;width:22.7pt;height:22.7pt;mso-position-horizontal-relative:page;mso-position-vertical-relative:paragraph;z-index:4360;mso-wrap-distance-left:0;mso-wrap-distance-right:0" coordorigin="10532,4836" coordsize="454,454" path="m10759,4836l10687,4848,10625,4880,10576,4929,10543,4991,10532,5063,10543,5134,10576,5197,10625,5246,10687,5278,10759,5290,10830,5278,10893,5246,10942,5197,10974,5134,10985,5063,10974,4991,10942,4929,10893,4880,10830,4848,10759,4836xe" filled="true" fillcolor="#5b9f42" stroked="false">
            <v:path arrowok="t"/>
            <v:fill type="solid"/>
            <w10:wrap type="topAndBottom"/>
          </v:shape>
        </w:pict>
      </w:r>
    </w:p>
    <w:p>
      <w:pPr>
        <w:pStyle w:val="BodyText"/>
        <w:spacing w:before="7"/>
        <w:rPr>
          <w:sz w:val="8"/>
        </w:rPr>
      </w:pPr>
    </w:p>
    <w:p>
      <w:pPr>
        <w:pStyle w:val="BodyText"/>
        <w:spacing w:before="9"/>
        <w:rPr>
          <w:sz w:val="25"/>
        </w:rPr>
      </w:pPr>
    </w:p>
    <w:p>
      <w:pPr>
        <w:pStyle w:val="BodyText"/>
        <w:spacing w:before="4"/>
        <w:rPr>
          <w:sz w:val="15"/>
        </w:rPr>
      </w:pPr>
    </w:p>
    <w:p>
      <w:pPr>
        <w:pStyle w:val="BodyText"/>
        <w:spacing w:before="10"/>
        <w:rPr>
          <w:sz w:val="14"/>
        </w:rPr>
      </w:pPr>
    </w:p>
    <w:p>
      <w:pPr>
        <w:pStyle w:val="BodyText"/>
        <w:spacing w:before="3"/>
        <w:rPr>
          <w:sz w:val="6"/>
        </w:rPr>
      </w:pPr>
    </w:p>
    <w:p>
      <w:pPr>
        <w:tabs>
          <w:tab w:pos="4677" w:val="left" w:leader="none"/>
          <w:tab w:pos="5615" w:val="left" w:leader="none"/>
          <w:tab w:pos="6618" w:val="left" w:leader="none"/>
          <w:tab w:pos="7593" w:val="left" w:leader="none"/>
          <w:tab w:pos="8582" w:val="left" w:leader="none"/>
          <w:tab w:pos="9571" w:val="left" w:leader="none"/>
          <w:tab w:pos="10531" w:val="left" w:leader="none"/>
        </w:tabs>
        <w:spacing w:line="240" w:lineRule="auto"/>
        <w:ind w:left="1303" w:right="0" w:firstLine="0"/>
        <w:rPr>
          <w:sz w:val="20"/>
        </w:rPr>
      </w:pPr>
      <w:r>
        <w:rPr>
          <w:position w:val="33"/>
          <w:sz w:val="20"/>
        </w:rPr>
        <w:pict>
          <v:shape style="width:19.850pt;height:19.850pt;mso-position-horizontal-relative:char;mso-position-vertical-relative:line" type="#_x0000_t202" filled="true" fillcolor="#0f6161" stroked="false">
            <w10:anchorlock/>
            <v:textbox inset="0,0,0,0">
              <w:txbxContent>
                <w:p>
                  <w:pPr>
                    <w:spacing w:before="100"/>
                    <w:ind w:left="88" w:right="0" w:firstLine="0"/>
                    <w:jc w:val="left"/>
                    <w:rPr>
                      <w:b/>
                      <w:sz w:val="20"/>
                    </w:rPr>
                  </w:pPr>
                  <w:r>
                    <w:rPr>
                      <w:b/>
                      <w:color w:val="FFFFFF"/>
                      <w:w w:val="110"/>
                      <w:sz w:val="20"/>
                    </w:rPr>
                    <w:t>13</w:t>
                  </w:r>
                </w:p>
              </w:txbxContent>
            </v:textbox>
            <v:fill type="solid"/>
          </v:shape>
        </w:pict>
      </w:r>
      <w:r>
        <w:rPr>
          <w:position w:val="33"/>
          <w:sz w:val="20"/>
        </w:rPr>
      </w:r>
      <w:r>
        <w:rPr>
          <w:position w:val="33"/>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f7941d"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f7941d"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f7941d"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f7941d"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p>
    <w:p>
      <w:pPr>
        <w:pStyle w:val="BodyText"/>
        <w:rPr>
          <w:sz w:val="15"/>
        </w:rPr>
      </w:pPr>
      <w:r>
        <w:rPr/>
        <w:pict>
          <v:shape style="position:absolute;margin-left:65.196999pt;margin-top:11.1481pt;width:19.850pt;height:19.850pt;mso-position-horizontal-relative:page;mso-position-vertical-relative:paragraph;z-index:4576;mso-wrap-distance-left:0;mso-wrap-distance-right:0" type="#_x0000_t202" filled="true" fillcolor="#0f6161" stroked="false">
            <v:textbox inset="0,0,0,0">
              <w:txbxContent>
                <w:p>
                  <w:pPr>
                    <w:spacing w:before="100"/>
                    <w:ind w:left="88" w:right="0" w:firstLine="0"/>
                    <w:jc w:val="left"/>
                    <w:rPr>
                      <w:b/>
                      <w:sz w:val="20"/>
                    </w:rPr>
                  </w:pPr>
                  <w:r>
                    <w:rPr>
                      <w:b/>
                      <w:color w:val="FFFFFF"/>
                      <w:w w:val="110"/>
                      <w:sz w:val="20"/>
                    </w:rPr>
                    <w:t>14</w:t>
                  </w:r>
                </w:p>
              </w:txbxContent>
            </v:textbox>
            <v:fill type="solid"/>
            <w10:wrap type="topAndBottom"/>
          </v:shape>
        </w:pict>
      </w:r>
      <w:r>
        <w:rPr/>
        <w:pict>
          <v:shape style="position:absolute;margin-left:233.857803pt;margin-top:18.660601pt;width:22.7pt;height:22.7pt;mso-position-horizontal-relative:page;mso-position-vertical-relative:paragraph;z-index:4600;mso-wrap-distance-left:0;mso-wrap-distance-right:0" coordorigin="4677,373" coordsize="454,454" path="m4904,373l4832,385,4770,417,4721,466,4689,528,4677,600,4689,672,4721,734,4770,783,4832,815,4904,827,4976,815,5038,783,5087,734,5119,672,5131,600,5119,528,5087,466,5038,417,4976,385,4904,373xe" filled="true" fillcolor="#5b9f42" stroked="false">
            <v:path arrowok="t"/>
            <v:fill type="solid"/>
            <w10:wrap type="topAndBottom"/>
          </v:shape>
        </w:pict>
      </w:r>
      <w:r>
        <w:rPr/>
        <w:pict>
          <v:shape style="position:absolute;margin-left:280.786987pt;margin-top:17.243099pt;width:22.7pt;height:22.7pt;mso-position-horizontal-relative:page;mso-position-vertical-relative:paragraph;z-index:4624;mso-wrap-distance-left:0;mso-wrap-distance-right:0" coordorigin="5616,345" coordsize="454,454" path="m5843,345l5771,356,5709,389,5659,438,5627,500,5616,572,5627,643,5659,706,5709,755,5771,787,5843,798,5914,787,5976,755,6026,706,6058,643,6069,572,6058,500,6026,438,5976,389,5914,356,5843,345xe" filled="true" fillcolor="#5b9f42" stroked="false">
            <v:path arrowok="t"/>
            <v:fill type="solid"/>
            <w10:wrap type="topAndBottom"/>
          </v:shape>
        </w:pict>
      </w:r>
      <w:r>
        <w:rPr/>
        <w:pict>
          <v:shape style="position:absolute;margin-left:330.944397pt;margin-top:17.243099pt;width:22.7pt;height:22.7pt;mso-position-horizontal-relative:page;mso-position-vertical-relative:paragraph;z-index:4648;mso-wrap-distance-left:0;mso-wrap-distance-right:0" coordorigin="6619,345" coordsize="454,454" path="m6846,345l6774,356,6712,389,6663,438,6630,500,6619,572,6630,643,6663,706,6712,755,6774,787,6846,798,6917,787,6980,755,7029,706,7061,643,7072,572,7061,500,7029,438,6980,389,6917,356,6846,345xe" filled="true" fillcolor="#5b9f42" stroked="false">
            <v:path arrowok="t"/>
            <v:fill type="solid"/>
            <w10:wrap type="topAndBottom"/>
          </v:shape>
        </w:pict>
      </w:r>
      <w:r>
        <w:rPr/>
        <w:pict>
          <v:shape style="position:absolute;margin-left:379.684601pt;margin-top:17.243099pt;width:22.7pt;height:22.7pt;mso-position-horizontal-relative:page;mso-position-vertical-relative:paragraph;z-index:4672;mso-wrap-distance-left:0;mso-wrap-distance-right:0" coordorigin="7594,345" coordsize="454,454" path="m7820,345l7749,356,7687,389,7637,438,7605,500,7594,572,7605,643,7637,706,7687,755,7749,787,7820,798,7892,787,7954,755,8003,706,8036,643,8047,572,8036,500,8003,438,7954,389,7892,356,7820,345xe" filled="true" fillcolor="#5b9f42" stroked="false">
            <v:path arrowok="t"/>
            <v:fill type="solid"/>
            <w10:wrap type="topAndBottom"/>
          </v:shape>
        </w:pict>
      </w:r>
      <w:r>
        <w:rPr/>
        <w:pict>
          <v:shape style="position:absolute;margin-left:429.133514pt;margin-top:17.243099pt;width:22.7pt;height:22.7pt;mso-position-horizontal-relative:page;mso-position-vertical-relative:paragraph;z-index:4696;mso-wrap-distance-left:0;mso-wrap-distance-right:0" coordorigin="8583,345" coordsize="454,454" path="m8809,345l8738,356,8676,389,8626,438,8594,500,8583,572,8594,643,8626,706,8676,755,8738,787,8809,798,8881,787,8943,755,8992,706,9025,643,9036,572,9025,500,8992,438,8943,389,8881,356,8809,345xe" filled="true" fillcolor="#d01c26" stroked="false">
            <v:path arrowok="t"/>
            <v:fill type="solid"/>
            <w10:wrap type="topAndBottom"/>
          </v:shape>
        </w:pict>
      </w:r>
      <w:r>
        <w:rPr/>
        <w:pict>
          <v:shape style="position:absolute;margin-left:478.582306pt;margin-top:17.243099pt;width:22.7pt;height:22.7pt;mso-position-horizontal-relative:page;mso-position-vertical-relative:paragraph;z-index:4720;mso-wrap-distance-left:0;mso-wrap-distance-right:0" coordorigin="9572,345" coordsize="454,454" path="m9798,345l9727,356,9664,389,9615,438,9583,500,9572,572,9583,643,9615,706,9664,755,9727,787,9798,798,9870,787,9932,755,9981,706,10014,643,10025,572,10014,500,9981,438,9932,389,9870,356,9798,345xe" filled="true" fillcolor="#d01c26" stroked="false">
            <v:path arrowok="t"/>
            <v:fill type="solid"/>
            <w10:wrap type="topAndBottom"/>
          </v:shape>
        </w:pict>
      </w:r>
      <w:r>
        <w:rPr/>
        <w:pict>
          <v:shape style="position:absolute;margin-left:526.591675pt;margin-top:17.243099pt;width:22.7pt;height:22.7pt;mso-position-horizontal-relative:page;mso-position-vertical-relative:paragraph;z-index:4744;mso-wrap-distance-left:0;mso-wrap-distance-right:0" coordorigin="10532,345" coordsize="454,454" path="m10759,345l10687,356,10625,389,10576,438,10543,500,10532,572,10543,643,10576,706,10625,755,10687,787,10759,798,10830,787,10893,755,10942,706,10974,643,10985,572,10974,500,10942,438,10893,389,10830,356,10759,345xe" filled="true" fillcolor="#5b9f42" stroked="false">
            <v:path arrowok="t"/>
            <v:fill type="solid"/>
            <w10:wrap type="topAndBottom"/>
          </v:shape>
        </w:pict>
      </w:r>
      <w:r>
        <w:rPr/>
        <w:pict>
          <v:shape style="position:absolute;margin-left:65.196999pt;margin-top:49.841099pt;width:19.850pt;height:19.850pt;mso-position-horizontal-relative:page;mso-position-vertical-relative:paragraph;z-index:4768;mso-wrap-distance-left:0;mso-wrap-distance-right:0" type="#_x0000_t202" filled="true" fillcolor="#0f6161" stroked="false">
            <v:textbox inset="0,0,0,0">
              <w:txbxContent>
                <w:p>
                  <w:pPr>
                    <w:spacing w:before="100"/>
                    <w:ind w:left="88" w:right="0" w:firstLine="0"/>
                    <w:jc w:val="left"/>
                    <w:rPr>
                      <w:b/>
                      <w:sz w:val="20"/>
                    </w:rPr>
                  </w:pPr>
                  <w:r>
                    <w:rPr>
                      <w:b/>
                      <w:color w:val="FFFFFF"/>
                      <w:w w:val="110"/>
                      <w:sz w:val="20"/>
                    </w:rPr>
                    <w:t>15</w:t>
                  </w:r>
                </w:p>
              </w:txbxContent>
            </v:textbox>
            <v:fill type="solid"/>
            <w10:wrap type="topAndBottom"/>
          </v:shape>
        </w:pict>
      </w:r>
      <w:r>
        <w:rPr/>
        <w:pict>
          <v:shape style="position:absolute;margin-left:233.857803pt;margin-top:53.384701pt;width:22.7pt;height:22.7pt;mso-position-horizontal-relative:page;mso-position-vertical-relative:paragraph;z-index:4792;mso-wrap-distance-left:0;mso-wrap-distance-right:0" coordorigin="4677,1068" coordsize="454,454" path="m4904,1068l4832,1079,4770,1111,4721,1161,4689,1223,4677,1294,4689,1366,4721,1428,4770,1477,4832,1510,4904,1521,4976,1510,5038,1477,5087,1428,5119,1366,5131,1294,5119,1223,5087,1161,5038,1111,4976,1079,4904,1068xe" filled="true" fillcolor="#5b9f42" stroked="false">
            <v:path arrowok="t"/>
            <v:fill type="solid"/>
            <w10:wrap type="topAndBottom"/>
          </v:shape>
        </w:pict>
      </w:r>
      <w:r>
        <w:rPr/>
        <w:pict>
          <v:shape style="position:absolute;margin-left:280.786987pt;margin-top:53.384701pt;width:22.7pt;height:22.7pt;mso-position-horizontal-relative:page;mso-position-vertical-relative:paragraph;z-index:4816;mso-wrap-distance-left:0;mso-wrap-distance-right:0" coordorigin="5616,1068" coordsize="454,454" path="m5843,1068l5771,1079,5709,1111,5659,1161,5627,1223,5616,1294,5627,1366,5659,1428,5709,1477,5771,1510,5843,1521,5914,1510,5976,1477,6026,1428,6058,1366,6069,1294,6058,1223,6026,1161,5976,1111,5914,1079,5843,1068xe" filled="true" fillcolor="#f7941d" stroked="false">
            <v:path arrowok="t"/>
            <v:fill type="solid"/>
            <w10:wrap type="topAndBottom"/>
          </v:shape>
        </w:pict>
      </w:r>
      <w:r>
        <w:rPr/>
        <w:pict>
          <v:shape style="position:absolute;margin-left:330.944397pt;margin-top:53.384701pt;width:22.7pt;height:22.7pt;mso-position-horizontal-relative:page;mso-position-vertical-relative:paragraph;z-index:4840;mso-wrap-distance-left:0;mso-wrap-distance-right:0" coordorigin="6619,1068" coordsize="454,454" path="m6846,1068l6774,1079,6712,1111,6663,1161,6630,1223,6619,1294,6630,1366,6663,1428,6712,1477,6774,1510,6846,1521,6917,1510,6980,1477,7029,1428,7061,1366,7072,1294,7061,1223,7029,1161,6980,1111,6917,1079,6846,1068xe" filled="true" fillcolor="#5b9f42" stroked="false">
            <v:path arrowok="t"/>
            <v:fill type="solid"/>
            <w10:wrap type="topAndBottom"/>
          </v:shape>
        </w:pict>
      </w:r>
      <w:r>
        <w:rPr/>
        <w:pict>
          <v:shape style="position:absolute;margin-left:379.684601pt;margin-top:53.384701pt;width:22.7pt;height:22.7pt;mso-position-horizontal-relative:page;mso-position-vertical-relative:paragraph;z-index:4864;mso-wrap-distance-left:0;mso-wrap-distance-right:0" coordorigin="7594,1068" coordsize="454,454" path="m7820,1068l7749,1079,7687,1111,7637,1161,7605,1223,7594,1294,7605,1366,7637,1428,7687,1477,7749,1510,7820,1521,7892,1510,7954,1477,8003,1428,8036,1366,8047,1294,8036,1223,8003,1161,7954,1111,7892,1079,7820,1068xe" filled="true" fillcolor="#5b9f42" stroked="false">
            <v:path arrowok="t"/>
            <v:fill type="solid"/>
            <w10:wrap type="topAndBottom"/>
          </v:shape>
        </w:pict>
      </w:r>
      <w:r>
        <w:rPr/>
        <w:pict>
          <v:shape style="position:absolute;margin-left:429.133514pt;margin-top:53.384701pt;width:22.7pt;height:22.7pt;mso-position-horizontal-relative:page;mso-position-vertical-relative:paragraph;z-index:4888;mso-wrap-distance-left:0;mso-wrap-distance-right:0" coordorigin="8583,1068" coordsize="454,454" path="m8809,1068l8738,1079,8676,1111,8626,1161,8594,1223,8583,1294,8594,1366,8626,1428,8676,1477,8738,1510,8809,1521,8881,1510,8943,1477,8992,1428,9025,1366,9036,1294,9025,1223,8992,1161,8943,1111,8881,1079,8809,1068xe" filled="true" fillcolor="#5b9f42" stroked="false">
            <v:path arrowok="t"/>
            <v:fill type="solid"/>
            <w10:wrap type="topAndBottom"/>
          </v:shape>
        </w:pict>
      </w:r>
      <w:r>
        <w:rPr/>
        <w:pict>
          <v:shape style="position:absolute;margin-left:478.582306pt;margin-top:53.384701pt;width:22.7pt;height:22.7pt;mso-position-horizontal-relative:page;mso-position-vertical-relative:paragraph;z-index:4912;mso-wrap-distance-left:0;mso-wrap-distance-right:0" coordorigin="9572,1068" coordsize="454,454" path="m9798,1068l9727,1079,9664,1111,9615,1161,9583,1223,9572,1294,9583,1366,9615,1428,9664,1477,9727,1510,9798,1521,9870,1510,9932,1477,9981,1428,10014,1366,10025,1294,10014,1223,9981,1161,9932,1111,9870,1079,9798,1068xe" filled="true" fillcolor="#d01c26" stroked="false">
            <v:path arrowok="t"/>
            <v:fill type="solid"/>
            <w10:wrap type="topAndBottom"/>
          </v:shape>
        </w:pict>
      </w:r>
      <w:r>
        <w:rPr/>
        <w:pict>
          <v:shape style="position:absolute;margin-left:526.591675pt;margin-top:53.384701pt;width:22.7pt;height:22.7pt;mso-position-horizontal-relative:page;mso-position-vertical-relative:paragraph;z-index:4936;mso-wrap-distance-left:0;mso-wrap-distance-right:0" coordorigin="10532,1068" coordsize="454,454" path="m10759,1068l10687,1079,10625,1111,10576,1161,10543,1223,10532,1294,10543,1366,10576,1428,10625,1477,10687,1510,10759,1521,10830,1510,10893,1477,10942,1428,10974,1366,10985,1294,10974,1223,10942,1161,10893,1111,10830,1079,10759,1068xe" filled="true" fillcolor="#5b9f42" stroked="false">
            <v:path arrowok="t"/>
            <v:fill type="solid"/>
            <w10:wrap type="topAndBottom"/>
          </v:shape>
        </w:pict>
      </w:r>
    </w:p>
    <w:p>
      <w:pPr>
        <w:pStyle w:val="BodyText"/>
        <w:spacing w:before="4"/>
        <w:rPr>
          <w:sz w:val="8"/>
        </w:rPr>
      </w:pPr>
    </w:p>
    <w:p>
      <w:pPr>
        <w:pStyle w:val="BodyText"/>
        <w:spacing w:before="11"/>
        <w:rPr>
          <w:sz w:val="14"/>
        </w:rPr>
      </w:pPr>
    </w:p>
    <w:p>
      <w:pPr>
        <w:spacing w:after="0"/>
        <w:rPr>
          <w:sz w:val="14"/>
        </w:rPr>
        <w:sectPr>
          <w:pgSz w:w="11910" w:h="16840"/>
          <w:pgMar w:top="300" w:bottom="280" w:left="0" w:right="0"/>
        </w:sectPr>
      </w:pPr>
    </w:p>
    <w:p>
      <w:pPr>
        <w:spacing w:line="220" w:lineRule="auto" w:before="107"/>
        <w:ind w:left="2211" w:right="-13" w:firstLine="0"/>
        <w:jc w:val="left"/>
        <w:rPr>
          <w:sz w:val="16"/>
        </w:rPr>
      </w:pPr>
      <w:r>
        <w:rPr/>
        <w:pict>
          <v:shape style="position:absolute;margin-left:82.2043pt;margin-top:2.171413pt;width:22.7pt;height:22.7pt;mso-position-horizontal-relative:page;mso-position-vertical-relative:paragraph;z-index:4984" coordorigin="1644,43" coordsize="454,454" path="m1871,43l1799,55,1737,87,1688,136,1656,199,1644,270,1656,342,1688,404,1737,453,1799,485,1871,497,1943,485,2005,453,2054,404,2086,342,2098,270,2086,199,2054,136,2005,87,1943,55,1871,43xe" filled="true" fillcolor="#5b9f42" stroked="false">
            <v:path arrowok="t"/>
            <v:fill type="solid"/>
            <w10:wrap type="none"/>
          </v:shape>
        </w:pict>
      </w:r>
      <w:r>
        <w:rPr/>
        <w:pict>
          <v:shape style="position:absolute;margin-left:189.920807pt;margin-top:2.171413pt;width:22.7pt;height:22.7pt;mso-position-horizontal-relative:page;mso-position-vertical-relative:paragraph;z-index:5008" coordorigin="3798,43" coordsize="454,454" path="m4025,43l3954,55,3891,87,3842,136,3810,199,3798,270,3810,342,3842,404,3891,453,3954,485,4025,497,4097,485,4159,453,4208,404,4240,342,4252,270,4240,199,4208,136,4159,87,4097,55,4025,43xe" filled="true" fillcolor="#d01c26" stroked="false">
            <v:path arrowok="t"/>
            <v:fill type="solid"/>
            <w10:wrap type="none"/>
          </v:shape>
        </w:pict>
      </w:r>
      <w:r>
        <w:rPr>
          <w:color w:val="231F20"/>
          <w:w w:val="105"/>
          <w:sz w:val="16"/>
        </w:rPr>
        <w:t>Can report on</w:t>
      </w:r>
      <w:r>
        <w:rPr>
          <w:color w:val="231F20"/>
          <w:w w:val="105"/>
          <w:sz w:val="16"/>
        </w:rPr>
        <w:t> </w:t>
      </w:r>
      <w:r>
        <w:rPr>
          <w:color w:val="231F20"/>
          <w:w w:val="105"/>
          <w:sz w:val="16"/>
        </w:rPr>
        <w:t>the indicator</w:t>
      </w:r>
    </w:p>
    <w:p>
      <w:pPr>
        <w:spacing w:line="220" w:lineRule="auto" w:before="107"/>
        <w:ind w:left="1162" w:right="4344" w:firstLine="0"/>
        <w:jc w:val="left"/>
        <w:rPr>
          <w:sz w:val="16"/>
        </w:rPr>
      </w:pPr>
      <w:r>
        <w:rPr/>
        <w:br w:type="column"/>
      </w:r>
      <w:r>
        <w:rPr>
          <w:color w:val="231F20"/>
          <w:sz w:val="16"/>
        </w:rPr>
        <w:t>Cannot report on the indicator / judgments online but not for the previous 2 years</w:t>
      </w:r>
    </w:p>
    <w:p>
      <w:pPr>
        <w:spacing w:after="0" w:line="220" w:lineRule="auto"/>
        <w:jc w:val="left"/>
        <w:rPr>
          <w:sz w:val="16"/>
        </w:rPr>
        <w:sectPr>
          <w:type w:val="continuous"/>
          <w:pgSz w:w="11910" w:h="16840"/>
          <w:pgMar w:top="880" w:bottom="0" w:left="0" w:right="0"/>
          <w:cols w:num="2" w:equalWidth="0">
            <w:col w:w="3163" w:space="40"/>
            <w:col w:w="8707"/>
          </w:cols>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91680" filled="true" fillcolor="#00403f" stroked="false">
            <v:fill type="solid"/>
            <w10:wrap type="none"/>
          </v:rect>
        </w:pict>
      </w:r>
      <w:r>
        <w:rPr/>
        <w:pict>
          <v:shape style="position:absolute;margin-left:-.75pt;margin-top:80.536911pt;width:540.1pt;height:706.95pt;mso-position-horizontal-relative:page;mso-position-vertical-relative:page;z-index:7984" type="#_x0000_t202" filled="false" stroked="false">
            <v:textbox inset="0,0,0,0">
              <w:txbxContent>
                <w:tbl>
                  <w:tblPr>
                    <w:tblW w:w="0" w:type="auto"/>
                    <w:jc w:val="left"/>
                    <w:tblBorders>
                      <w:top w:val="single" w:sz="8" w:space="0" w:color="65A5AE"/>
                      <w:left w:val="single" w:sz="8" w:space="0" w:color="65A5AE"/>
                      <w:bottom w:val="single" w:sz="8" w:space="0" w:color="65A5AE"/>
                      <w:right w:val="single" w:sz="8" w:space="0" w:color="65A5AE"/>
                      <w:insideH w:val="single" w:sz="8" w:space="0" w:color="65A5AE"/>
                      <w:insideV w:val="single" w:sz="8" w:space="0" w:color="65A5AE"/>
                    </w:tblBorders>
                    <w:tblLayout w:type="fixed"/>
                    <w:tblCellMar>
                      <w:top w:w="0" w:type="dxa"/>
                      <w:left w:w="0" w:type="dxa"/>
                      <w:bottom w:w="0" w:type="dxa"/>
                      <w:right w:w="0" w:type="dxa"/>
                    </w:tblCellMar>
                    <w:tblLook w:val="01E0"/>
                  </w:tblPr>
                  <w:tblGrid>
                    <w:gridCol w:w="1247"/>
                    <w:gridCol w:w="1134"/>
                    <w:gridCol w:w="1569"/>
                    <w:gridCol w:w="960"/>
                    <w:gridCol w:w="984"/>
                    <w:gridCol w:w="977"/>
                    <w:gridCol w:w="991"/>
                    <w:gridCol w:w="977"/>
                    <w:gridCol w:w="977"/>
                    <w:gridCol w:w="932"/>
                  </w:tblGrid>
                  <w:tr>
                    <w:trPr>
                      <w:trHeight w:val="537" w:hRule="atLeast"/>
                    </w:trPr>
                    <w:tc>
                      <w:tcPr>
                        <w:tcW w:w="3950" w:type="dxa"/>
                        <w:gridSpan w:val="3"/>
                        <w:tcBorders>
                          <w:left w:val="nil"/>
                          <w:bottom w:val="nil"/>
                          <w:right w:val="single" w:sz="12" w:space="0" w:color="A0C2C9"/>
                        </w:tcBorders>
                        <w:shd w:val="clear" w:color="auto" w:fill="65A5AE"/>
                      </w:tcPr>
                      <w:p>
                        <w:pPr>
                          <w:pStyle w:val="TableParagraph"/>
                          <w:spacing w:before="78"/>
                          <w:ind w:left="1297" w:right="1497"/>
                          <w:jc w:val="center"/>
                          <w:rPr>
                            <w:b/>
                            <w:sz w:val="18"/>
                          </w:rPr>
                        </w:pPr>
                        <w:r>
                          <w:rPr>
                            <w:b/>
                            <w:color w:val="231F20"/>
                            <w:w w:val="105"/>
                            <w:sz w:val="18"/>
                          </w:rPr>
                          <w:t>PJSI Countries</w:t>
                        </w:r>
                      </w:p>
                    </w:tc>
                    <w:tc>
                      <w:tcPr>
                        <w:tcW w:w="960" w:type="dxa"/>
                        <w:tcBorders>
                          <w:left w:val="single" w:sz="12" w:space="0" w:color="A0C2C9"/>
                          <w:bottom w:val="nil"/>
                          <w:right w:val="single" w:sz="12" w:space="0" w:color="A0C2C9"/>
                        </w:tcBorders>
                        <w:shd w:val="clear" w:color="auto" w:fill="65A5AE"/>
                      </w:tcPr>
                      <w:p>
                        <w:pPr>
                          <w:pStyle w:val="TableParagraph"/>
                          <w:spacing w:before="78"/>
                          <w:ind w:left="297"/>
                          <w:rPr>
                            <w:b/>
                            <w:sz w:val="18"/>
                          </w:rPr>
                        </w:pPr>
                        <w:r>
                          <w:rPr>
                            <w:b/>
                            <w:color w:val="231F20"/>
                            <w:w w:val="115"/>
                            <w:sz w:val="18"/>
                          </w:rPr>
                          <w:t>PNG</w:t>
                        </w:r>
                      </w:p>
                    </w:tc>
                    <w:tc>
                      <w:tcPr>
                        <w:tcW w:w="984" w:type="dxa"/>
                        <w:tcBorders>
                          <w:left w:val="single" w:sz="12" w:space="0" w:color="A0C2C9"/>
                          <w:bottom w:val="nil"/>
                          <w:right w:val="single" w:sz="12" w:space="0" w:color="A0C2C9"/>
                        </w:tcBorders>
                        <w:shd w:val="clear" w:color="auto" w:fill="65A5AE"/>
                      </w:tcPr>
                      <w:p>
                        <w:pPr>
                          <w:pStyle w:val="TableParagraph"/>
                          <w:spacing w:before="78"/>
                          <w:ind w:left="215" w:right="166"/>
                          <w:jc w:val="center"/>
                          <w:rPr>
                            <w:b/>
                            <w:sz w:val="18"/>
                          </w:rPr>
                        </w:pPr>
                        <w:r>
                          <w:rPr>
                            <w:b/>
                            <w:color w:val="231F20"/>
                            <w:w w:val="105"/>
                            <w:sz w:val="18"/>
                          </w:rPr>
                          <w:t>Samoa</w:t>
                        </w:r>
                      </w:p>
                    </w:tc>
                    <w:tc>
                      <w:tcPr>
                        <w:tcW w:w="977" w:type="dxa"/>
                        <w:tcBorders>
                          <w:left w:val="single" w:sz="12" w:space="0" w:color="A0C2C9"/>
                          <w:bottom w:val="nil"/>
                          <w:right w:val="single" w:sz="12" w:space="0" w:color="A0C2C9"/>
                        </w:tcBorders>
                        <w:shd w:val="clear" w:color="auto" w:fill="65A5AE"/>
                      </w:tcPr>
                      <w:p>
                        <w:pPr>
                          <w:pStyle w:val="TableParagraph"/>
                          <w:spacing w:line="196" w:lineRule="auto" w:before="95"/>
                          <w:ind w:left="228" w:right="112" w:hanging="76"/>
                          <w:rPr>
                            <w:b/>
                            <w:sz w:val="18"/>
                          </w:rPr>
                        </w:pPr>
                        <w:r>
                          <w:rPr>
                            <w:b/>
                            <w:color w:val="231F20"/>
                            <w:sz w:val="18"/>
                          </w:rPr>
                          <w:t>Solomon </w:t>
                        </w:r>
                        <w:r>
                          <w:rPr>
                            <w:b/>
                            <w:color w:val="231F20"/>
                            <w:w w:val="105"/>
                            <w:sz w:val="18"/>
                          </w:rPr>
                          <w:t>Islands</w:t>
                        </w:r>
                      </w:p>
                    </w:tc>
                    <w:tc>
                      <w:tcPr>
                        <w:tcW w:w="991" w:type="dxa"/>
                        <w:tcBorders>
                          <w:left w:val="single" w:sz="12" w:space="0" w:color="A0C2C9"/>
                          <w:bottom w:val="nil"/>
                          <w:right w:val="single" w:sz="12" w:space="0" w:color="A0C2C9"/>
                        </w:tcBorders>
                        <w:shd w:val="clear" w:color="auto" w:fill="65A5AE"/>
                      </w:tcPr>
                      <w:p>
                        <w:pPr>
                          <w:pStyle w:val="TableParagraph"/>
                          <w:spacing w:before="78"/>
                          <w:ind w:left="163" w:right="135"/>
                          <w:jc w:val="center"/>
                          <w:rPr>
                            <w:b/>
                            <w:sz w:val="18"/>
                          </w:rPr>
                        </w:pPr>
                        <w:r>
                          <w:rPr>
                            <w:b/>
                            <w:color w:val="231F20"/>
                            <w:w w:val="105"/>
                            <w:sz w:val="18"/>
                          </w:rPr>
                          <w:t>Tokelau</w:t>
                        </w:r>
                      </w:p>
                    </w:tc>
                    <w:tc>
                      <w:tcPr>
                        <w:tcW w:w="977" w:type="dxa"/>
                        <w:tcBorders>
                          <w:left w:val="single" w:sz="12" w:space="0" w:color="A0C2C9"/>
                          <w:bottom w:val="nil"/>
                          <w:right w:val="single" w:sz="12" w:space="0" w:color="A0C2C9"/>
                        </w:tcBorders>
                        <w:shd w:val="clear" w:color="auto" w:fill="65A5AE"/>
                      </w:tcPr>
                      <w:p>
                        <w:pPr>
                          <w:pStyle w:val="TableParagraph"/>
                          <w:spacing w:before="78"/>
                          <w:ind w:left="257"/>
                          <w:rPr>
                            <w:b/>
                            <w:sz w:val="18"/>
                          </w:rPr>
                        </w:pPr>
                        <w:r>
                          <w:rPr>
                            <w:b/>
                            <w:color w:val="231F20"/>
                            <w:w w:val="105"/>
                            <w:sz w:val="18"/>
                          </w:rPr>
                          <w:t>Tonga</w:t>
                        </w:r>
                      </w:p>
                    </w:tc>
                    <w:tc>
                      <w:tcPr>
                        <w:tcW w:w="977" w:type="dxa"/>
                        <w:tcBorders>
                          <w:left w:val="single" w:sz="12" w:space="0" w:color="A0C2C9"/>
                          <w:bottom w:val="nil"/>
                          <w:right w:val="single" w:sz="12" w:space="0" w:color="A0C2C9"/>
                        </w:tcBorders>
                        <w:shd w:val="clear" w:color="auto" w:fill="65A5AE"/>
                      </w:tcPr>
                      <w:p>
                        <w:pPr>
                          <w:pStyle w:val="TableParagraph"/>
                          <w:spacing w:before="78"/>
                          <w:ind w:left="203" w:right="178"/>
                          <w:jc w:val="center"/>
                          <w:rPr>
                            <w:b/>
                            <w:sz w:val="18"/>
                          </w:rPr>
                        </w:pPr>
                        <w:r>
                          <w:rPr>
                            <w:b/>
                            <w:color w:val="231F20"/>
                            <w:w w:val="105"/>
                            <w:sz w:val="18"/>
                          </w:rPr>
                          <w:t>Tuvalu</w:t>
                        </w:r>
                      </w:p>
                    </w:tc>
                    <w:tc>
                      <w:tcPr>
                        <w:tcW w:w="932" w:type="dxa"/>
                        <w:tcBorders>
                          <w:left w:val="single" w:sz="12" w:space="0" w:color="A0C2C9"/>
                          <w:bottom w:val="nil"/>
                          <w:right w:val="single" w:sz="12" w:space="0" w:color="A0C2C9"/>
                        </w:tcBorders>
                        <w:shd w:val="clear" w:color="auto" w:fill="65A5AE"/>
                      </w:tcPr>
                      <w:p>
                        <w:pPr>
                          <w:pStyle w:val="TableParagraph"/>
                          <w:spacing w:before="78"/>
                          <w:ind w:left="138" w:right="55"/>
                          <w:jc w:val="center"/>
                          <w:rPr>
                            <w:b/>
                            <w:sz w:val="18"/>
                          </w:rPr>
                        </w:pPr>
                        <w:r>
                          <w:rPr>
                            <w:b/>
                            <w:color w:val="231F20"/>
                            <w:w w:val="105"/>
                            <w:sz w:val="18"/>
                          </w:rPr>
                          <w:t>Vanuatu</w:t>
                        </w:r>
                      </w:p>
                    </w:tc>
                  </w:tr>
                  <w:tr>
                    <w:trPr>
                      <w:trHeight w:val="340" w:hRule="atLeast"/>
                    </w:trPr>
                    <w:tc>
                      <w:tcPr>
                        <w:tcW w:w="1247" w:type="dxa"/>
                        <w:tcBorders>
                          <w:top w:val="nil"/>
                          <w:left w:val="nil"/>
                          <w:bottom w:val="nil"/>
                          <w:right w:val="nil"/>
                        </w:tcBorders>
                      </w:tcPr>
                      <w:p>
                        <w:pPr>
                          <w:pStyle w:val="TableParagraph"/>
                          <w:rPr>
                            <w:rFonts w:ascii="Times New Roman"/>
                            <w:sz w:val="16"/>
                          </w:rPr>
                        </w:pPr>
                      </w:p>
                    </w:tc>
                    <w:tc>
                      <w:tcPr>
                        <w:tcW w:w="2703" w:type="dxa"/>
                        <w:gridSpan w:val="2"/>
                        <w:tcBorders>
                          <w:top w:val="nil"/>
                          <w:left w:val="nil"/>
                          <w:bottom w:val="single" w:sz="8" w:space="0" w:color="A0C2C9"/>
                          <w:right w:val="single" w:sz="12" w:space="0" w:color="A0C2C9"/>
                        </w:tcBorders>
                      </w:tcPr>
                      <w:p>
                        <w:pPr>
                          <w:pStyle w:val="TableParagraph"/>
                          <w:spacing w:before="37"/>
                          <w:ind w:left="71"/>
                          <w:rPr>
                            <w:b/>
                            <w:sz w:val="18"/>
                          </w:rPr>
                        </w:pPr>
                        <w:r>
                          <w:rPr>
                            <w:b/>
                            <w:color w:val="231F20"/>
                            <w:w w:val="105"/>
                            <w:sz w:val="18"/>
                          </w:rPr>
                          <w:t>2011 Baseline Report</w:t>
                        </w:r>
                      </w:p>
                    </w:tc>
                    <w:tc>
                      <w:tcPr>
                        <w:tcW w:w="960" w:type="dxa"/>
                        <w:tcBorders>
                          <w:top w:val="nil"/>
                          <w:left w:val="single" w:sz="12" w:space="0" w:color="A0C2C9"/>
                          <w:bottom w:val="single" w:sz="8" w:space="0" w:color="A0C2C9"/>
                          <w:right w:val="single" w:sz="12" w:space="0" w:color="A0C2C9"/>
                        </w:tcBorders>
                      </w:tcPr>
                      <w:p>
                        <w:pPr>
                          <w:pStyle w:val="TableParagraph"/>
                          <w:spacing w:before="37"/>
                          <w:ind w:left="87"/>
                          <w:jc w:val="center"/>
                          <w:rPr>
                            <w:sz w:val="18"/>
                          </w:rPr>
                        </w:pPr>
                        <w:r>
                          <w:rPr>
                            <w:color w:val="231F20"/>
                            <w:w w:val="109"/>
                            <w:sz w:val="18"/>
                          </w:rPr>
                          <w:t>6</w:t>
                        </w:r>
                      </w:p>
                    </w:tc>
                    <w:tc>
                      <w:tcPr>
                        <w:tcW w:w="984" w:type="dxa"/>
                        <w:tcBorders>
                          <w:top w:val="nil"/>
                          <w:left w:val="single" w:sz="12" w:space="0" w:color="A0C2C9"/>
                          <w:bottom w:val="single" w:sz="8" w:space="0" w:color="A0C2C9"/>
                          <w:right w:val="single" w:sz="12" w:space="0" w:color="A0C2C9"/>
                        </w:tcBorders>
                      </w:tcPr>
                      <w:p>
                        <w:pPr>
                          <w:pStyle w:val="TableParagraph"/>
                          <w:spacing w:before="37"/>
                          <w:ind w:right="14"/>
                          <w:jc w:val="center"/>
                          <w:rPr>
                            <w:sz w:val="18"/>
                          </w:rPr>
                        </w:pPr>
                        <w:r>
                          <w:rPr>
                            <w:color w:val="231F20"/>
                            <w:w w:val="109"/>
                            <w:sz w:val="18"/>
                          </w:rPr>
                          <w:t>1</w:t>
                        </w:r>
                      </w:p>
                    </w:tc>
                    <w:tc>
                      <w:tcPr>
                        <w:tcW w:w="977" w:type="dxa"/>
                        <w:tcBorders>
                          <w:top w:val="nil"/>
                          <w:left w:val="single" w:sz="12" w:space="0" w:color="A0C2C9"/>
                          <w:bottom w:val="single" w:sz="8" w:space="0" w:color="A0C2C9"/>
                          <w:right w:val="single" w:sz="12" w:space="0" w:color="A0C2C9"/>
                        </w:tcBorders>
                      </w:tcPr>
                      <w:p>
                        <w:pPr>
                          <w:pStyle w:val="TableParagraph"/>
                          <w:spacing w:before="37"/>
                          <w:ind w:right="369"/>
                          <w:jc w:val="right"/>
                          <w:rPr>
                            <w:sz w:val="18"/>
                          </w:rPr>
                        </w:pPr>
                        <w:r>
                          <w:rPr>
                            <w:color w:val="231F20"/>
                            <w:w w:val="109"/>
                            <w:sz w:val="18"/>
                          </w:rPr>
                          <w:t>3</w:t>
                        </w:r>
                      </w:p>
                    </w:tc>
                    <w:tc>
                      <w:tcPr>
                        <w:tcW w:w="991" w:type="dxa"/>
                        <w:tcBorders>
                          <w:top w:val="nil"/>
                          <w:left w:val="single" w:sz="12" w:space="0" w:color="A0C2C9"/>
                          <w:bottom w:val="single" w:sz="8" w:space="0" w:color="A0C2C9"/>
                          <w:right w:val="single" w:sz="12" w:space="0" w:color="A0C2C9"/>
                        </w:tcBorders>
                      </w:tcPr>
                      <w:p>
                        <w:pPr>
                          <w:pStyle w:val="TableParagraph"/>
                          <w:spacing w:before="37"/>
                          <w:ind w:left="94"/>
                          <w:jc w:val="center"/>
                          <w:rPr>
                            <w:sz w:val="18"/>
                          </w:rPr>
                        </w:pPr>
                        <w:r>
                          <w:rPr>
                            <w:color w:val="231F20"/>
                            <w:w w:val="109"/>
                            <w:sz w:val="18"/>
                          </w:rPr>
                          <w:t>5</w:t>
                        </w:r>
                      </w:p>
                    </w:tc>
                    <w:tc>
                      <w:tcPr>
                        <w:tcW w:w="977" w:type="dxa"/>
                        <w:tcBorders>
                          <w:top w:val="nil"/>
                          <w:left w:val="single" w:sz="12" w:space="0" w:color="A0C2C9"/>
                          <w:bottom w:val="single" w:sz="8" w:space="0" w:color="A0C2C9"/>
                          <w:right w:val="single" w:sz="12" w:space="0" w:color="A0C2C9"/>
                        </w:tcBorders>
                      </w:tcPr>
                      <w:p>
                        <w:pPr>
                          <w:pStyle w:val="TableParagraph"/>
                          <w:spacing w:before="37"/>
                          <w:ind w:right="31"/>
                          <w:jc w:val="center"/>
                          <w:rPr>
                            <w:sz w:val="18"/>
                          </w:rPr>
                        </w:pPr>
                        <w:r>
                          <w:rPr>
                            <w:color w:val="231F20"/>
                            <w:w w:val="109"/>
                            <w:sz w:val="18"/>
                          </w:rPr>
                          <w:t>5</w:t>
                        </w:r>
                      </w:p>
                    </w:tc>
                    <w:tc>
                      <w:tcPr>
                        <w:tcW w:w="977" w:type="dxa"/>
                        <w:tcBorders>
                          <w:top w:val="nil"/>
                          <w:left w:val="single" w:sz="12" w:space="0" w:color="A0C2C9"/>
                          <w:bottom w:val="single" w:sz="8" w:space="0" w:color="A0C2C9"/>
                          <w:right w:val="single" w:sz="12" w:space="0" w:color="A0C2C9"/>
                        </w:tcBorders>
                      </w:tcPr>
                      <w:p>
                        <w:pPr>
                          <w:pStyle w:val="TableParagraph"/>
                          <w:spacing w:before="37"/>
                          <w:ind w:left="52"/>
                          <w:jc w:val="center"/>
                          <w:rPr>
                            <w:sz w:val="18"/>
                          </w:rPr>
                        </w:pPr>
                        <w:r>
                          <w:rPr>
                            <w:color w:val="231F20"/>
                            <w:w w:val="109"/>
                            <w:sz w:val="18"/>
                          </w:rPr>
                          <w:t>9</w:t>
                        </w:r>
                      </w:p>
                    </w:tc>
                    <w:tc>
                      <w:tcPr>
                        <w:tcW w:w="932" w:type="dxa"/>
                        <w:tcBorders>
                          <w:top w:val="nil"/>
                          <w:left w:val="single" w:sz="12" w:space="0" w:color="A0C2C9"/>
                          <w:bottom w:val="single" w:sz="8" w:space="0" w:color="A0C2C9"/>
                          <w:right w:val="single" w:sz="12" w:space="0" w:color="A0C2C9"/>
                        </w:tcBorders>
                      </w:tcPr>
                      <w:p>
                        <w:pPr>
                          <w:pStyle w:val="TableParagraph"/>
                          <w:spacing w:before="37"/>
                          <w:ind w:left="60"/>
                          <w:jc w:val="center"/>
                          <w:rPr>
                            <w:sz w:val="18"/>
                          </w:rPr>
                        </w:pPr>
                        <w:r>
                          <w:rPr>
                            <w:color w:val="231F20"/>
                            <w:w w:val="109"/>
                            <w:sz w:val="18"/>
                          </w:rPr>
                          <w:t>6</w:t>
                        </w:r>
                      </w:p>
                    </w:tc>
                  </w:tr>
                  <w:tr>
                    <w:trPr>
                      <w:trHeight w:val="362" w:hRule="atLeast"/>
                    </w:trPr>
                    <w:tc>
                      <w:tcPr>
                        <w:tcW w:w="1247" w:type="dxa"/>
                        <w:tcBorders>
                          <w:top w:val="nil"/>
                          <w:left w:val="nil"/>
                          <w:bottom w:val="nil"/>
                          <w:right w:val="nil"/>
                        </w:tcBorders>
                      </w:tcPr>
                      <w:p>
                        <w:pPr>
                          <w:pStyle w:val="TableParagraph"/>
                          <w:rPr>
                            <w:rFonts w:ascii="Times New Roman"/>
                            <w:sz w:val="16"/>
                          </w:rPr>
                        </w:pPr>
                      </w:p>
                    </w:tc>
                    <w:tc>
                      <w:tcPr>
                        <w:tcW w:w="2703" w:type="dxa"/>
                        <w:gridSpan w:val="2"/>
                        <w:tcBorders>
                          <w:top w:val="single" w:sz="8" w:space="0" w:color="A0C2C9"/>
                          <w:left w:val="nil"/>
                          <w:bottom w:val="single" w:sz="8" w:space="0" w:color="A0C2C9"/>
                          <w:right w:val="single" w:sz="12" w:space="0" w:color="A0C2C9"/>
                        </w:tcBorders>
                      </w:tcPr>
                      <w:p>
                        <w:pPr>
                          <w:pStyle w:val="TableParagraph"/>
                          <w:spacing w:before="47"/>
                          <w:ind w:left="71"/>
                          <w:rPr>
                            <w:b/>
                            <w:sz w:val="18"/>
                          </w:rPr>
                        </w:pPr>
                        <w:r>
                          <w:rPr>
                            <w:b/>
                            <w:color w:val="231F20"/>
                            <w:w w:val="105"/>
                            <w:sz w:val="18"/>
                          </w:rPr>
                          <w:t>2012 Trend Report</w:t>
                        </w:r>
                      </w:p>
                    </w:tc>
                    <w:tc>
                      <w:tcPr>
                        <w:tcW w:w="960" w:type="dxa"/>
                        <w:tcBorders>
                          <w:top w:val="single" w:sz="8" w:space="0" w:color="A0C2C9"/>
                          <w:left w:val="single" w:sz="12" w:space="0" w:color="A0C2C9"/>
                          <w:bottom w:val="single" w:sz="8" w:space="0" w:color="A0C2C9"/>
                          <w:right w:val="single" w:sz="12" w:space="0" w:color="A0C2C9"/>
                        </w:tcBorders>
                      </w:tcPr>
                      <w:p>
                        <w:pPr>
                          <w:pStyle w:val="TableParagraph"/>
                          <w:spacing w:before="47"/>
                          <w:ind w:left="87"/>
                          <w:jc w:val="center"/>
                          <w:rPr>
                            <w:sz w:val="18"/>
                          </w:rPr>
                        </w:pPr>
                        <w:r>
                          <w:rPr>
                            <w:color w:val="231F20"/>
                            <w:w w:val="109"/>
                            <w:sz w:val="18"/>
                          </w:rPr>
                          <w:t>3</w:t>
                        </w:r>
                      </w:p>
                    </w:tc>
                    <w:tc>
                      <w:tcPr>
                        <w:tcW w:w="984" w:type="dxa"/>
                        <w:tcBorders>
                          <w:top w:val="single" w:sz="8" w:space="0" w:color="A0C2C9"/>
                          <w:left w:val="single" w:sz="12" w:space="0" w:color="A0C2C9"/>
                          <w:bottom w:val="single" w:sz="8" w:space="0" w:color="A0C2C9"/>
                          <w:right w:val="single" w:sz="12" w:space="0" w:color="A0C2C9"/>
                        </w:tcBorders>
                      </w:tcPr>
                      <w:p>
                        <w:pPr>
                          <w:pStyle w:val="TableParagraph"/>
                          <w:spacing w:before="47"/>
                          <w:ind w:right="14"/>
                          <w:jc w:val="center"/>
                          <w:rPr>
                            <w:sz w:val="18"/>
                          </w:rPr>
                        </w:pPr>
                        <w:r>
                          <w:rPr>
                            <w:color w:val="231F20"/>
                            <w:w w:val="109"/>
                            <w:sz w:val="18"/>
                          </w:rPr>
                          <w:t>5</w:t>
                        </w:r>
                      </w:p>
                    </w:tc>
                    <w:tc>
                      <w:tcPr>
                        <w:tcW w:w="977" w:type="dxa"/>
                        <w:tcBorders>
                          <w:top w:val="single" w:sz="8" w:space="0" w:color="A0C2C9"/>
                          <w:left w:val="single" w:sz="12" w:space="0" w:color="A0C2C9"/>
                          <w:bottom w:val="single" w:sz="8" w:space="0" w:color="A0C2C9"/>
                          <w:right w:val="single" w:sz="12" w:space="0" w:color="A0C2C9"/>
                        </w:tcBorders>
                      </w:tcPr>
                      <w:p>
                        <w:pPr>
                          <w:pStyle w:val="TableParagraph"/>
                          <w:spacing w:before="47"/>
                          <w:ind w:right="369"/>
                          <w:jc w:val="right"/>
                          <w:rPr>
                            <w:sz w:val="18"/>
                          </w:rPr>
                        </w:pPr>
                        <w:r>
                          <w:rPr>
                            <w:color w:val="231F20"/>
                            <w:w w:val="109"/>
                            <w:sz w:val="18"/>
                          </w:rPr>
                          <w:t>3</w:t>
                        </w:r>
                      </w:p>
                    </w:tc>
                    <w:tc>
                      <w:tcPr>
                        <w:tcW w:w="991" w:type="dxa"/>
                        <w:tcBorders>
                          <w:top w:val="single" w:sz="8" w:space="0" w:color="A0C2C9"/>
                          <w:left w:val="single" w:sz="12" w:space="0" w:color="A0C2C9"/>
                          <w:bottom w:val="single" w:sz="8" w:space="0" w:color="A0C2C9"/>
                          <w:right w:val="single" w:sz="12" w:space="0" w:color="A0C2C9"/>
                        </w:tcBorders>
                      </w:tcPr>
                      <w:p>
                        <w:pPr>
                          <w:pStyle w:val="TableParagraph"/>
                          <w:spacing w:before="47"/>
                          <w:ind w:left="132" w:right="135"/>
                          <w:jc w:val="center"/>
                          <w:rPr>
                            <w:sz w:val="18"/>
                          </w:rPr>
                        </w:pPr>
                        <w:r>
                          <w:rPr>
                            <w:color w:val="231F20"/>
                            <w:w w:val="110"/>
                            <w:sz w:val="18"/>
                          </w:rPr>
                          <w:t>10</w:t>
                        </w:r>
                      </w:p>
                    </w:tc>
                    <w:tc>
                      <w:tcPr>
                        <w:tcW w:w="977" w:type="dxa"/>
                        <w:tcBorders>
                          <w:top w:val="single" w:sz="8" w:space="0" w:color="A0C2C9"/>
                          <w:left w:val="single" w:sz="12" w:space="0" w:color="A0C2C9"/>
                          <w:bottom w:val="single" w:sz="8" w:space="0" w:color="A0C2C9"/>
                          <w:right w:val="single" w:sz="12" w:space="0" w:color="A0C2C9"/>
                        </w:tcBorders>
                      </w:tcPr>
                      <w:p>
                        <w:pPr>
                          <w:pStyle w:val="TableParagraph"/>
                          <w:spacing w:before="47"/>
                          <w:ind w:left="308"/>
                          <w:rPr>
                            <w:sz w:val="18"/>
                          </w:rPr>
                        </w:pPr>
                        <w:r>
                          <w:rPr>
                            <w:color w:val="231F20"/>
                            <w:w w:val="110"/>
                            <w:sz w:val="18"/>
                          </w:rPr>
                          <w:t>12</w:t>
                        </w:r>
                      </w:p>
                    </w:tc>
                    <w:tc>
                      <w:tcPr>
                        <w:tcW w:w="977" w:type="dxa"/>
                        <w:tcBorders>
                          <w:top w:val="single" w:sz="8" w:space="0" w:color="A0C2C9"/>
                          <w:left w:val="single" w:sz="12" w:space="0" w:color="A0C2C9"/>
                          <w:bottom w:val="single" w:sz="8" w:space="0" w:color="A0C2C9"/>
                          <w:right w:val="single" w:sz="12" w:space="0" w:color="A0C2C9"/>
                        </w:tcBorders>
                      </w:tcPr>
                      <w:p>
                        <w:pPr>
                          <w:pStyle w:val="TableParagraph"/>
                          <w:spacing w:before="47"/>
                          <w:ind w:left="52"/>
                          <w:jc w:val="center"/>
                          <w:rPr>
                            <w:sz w:val="18"/>
                          </w:rPr>
                        </w:pPr>
                        <w:r>
                          <w:rPr>
                            <w:color w:val="231F20"/>
                            <w:w w:val="109"/>
                            <w:sz w:val="18"/>
                          </w:rPr>
                          <w:t>1</w:t>
                        </w:r>
                      </w:p>
                    </w:tc>
                    <w:tc>
                      <w:tcPr>
                        <w:tcW w:w="932" w:type="dxa"/>
                        <w:tcBorders>
                          <w:top w:val="single" w:sz="8" w:space="0" w:color="A0C2C9"/>
                          <w:left w:val="single" w:sz="12" w:space="0" w:color="A0C2C9"/>
                          <w:bottom w:val="single" w:sz="8" w:space="0" w:color="A0C2C9"/>
                          <w:right w:val="single" w:sz="12" w:space="0" w:color="A0C2C9"/>
                        </w:tcBorders>
                      </w:tcPr>
                      <w:p>
                        <w:pPr>
                          <w:pStyle w:val="TableParagraph"/>
                          <w:spacing w:before="47"/>
                          <w:ind w:left="60"/>
                          <w:jc w:val="center"/>
                          <w:rPr>
                            <w:sz w:val="18"/>
                          </w:rPr>
                        </w:pPr>
                        <w:r>
                          <w:rPr>
                            <w:color w:val="231F20"/>
                            <w:w w:val="109"/>
                            <w:sz w:val="18"/>
                          </w:rPr>
                          <w:t>6</w:t>
                        </w:r>
                      </w:p>
                    </w:tc>
                  </w:tr>
                  <w:tr>
                    <w:trPr>
                      <w:trHeight w:val="320" w:hRule="atLeast"/>
                    </w:trPr>
                    <w:tc>
                      <w:tcPr>
                        <w:tcW w:w="1247" w:type="dxa"/>
                        <w:tcBorders>
                          <w:top w:val="nil"/>
                          <w:left w:val="nil"/>
                          <w:bottom w:val="nil"/>
                          <w:right w:val="nil"/>
                        </w:tcBorders>
                      </w:tcPr>
                      <w:p>
                        <w:pPr>
                          <w:pStyle w:val="TableParagraph"/>
                          <w:rPr>
                            <w:rFonts w:ascii="Times New Roman"/>
                            <w:sz w:val="16"/>
                          </w:rPr>
                        </w:pPr>
                      </w:p>
                    </w:tc>
                    <w:tc>
                      <w:tcPr>
                        <w:tcW w:w="2703" w:type="dxa"/>
                        <w:gridSpan w:val="2"/>
                        <w:tcBorders>
                          <w:top w:val="single" w:sz="8" w:space="0" w:color="A0C2C9"/>
                          <w:left w:val="nil"/>
                          <w:bottom w:val="single" w:sz="8" w:space="0" w:color="A0C2C9"/>
                          <w:right w:val="single" w:sz="12" w:space="0" w:color="A0C2C9"/>
                        </w:tcBorders>
                      </w:tcPr>
                      <w:p>
                        <w:pPr>
                          <w:pStyle w:val="TableParagraph"/>
                          <w:spacing w:before="34"/>
                          <w:ind w:left="71"/>
                          <w:rPr>
                            <w:b/>
                            <w:sz w:val="18"/>
                          </w:rPr>
                        </w:pPr>
                        <w:r>
                          <w:rPr>
                            <w:b/>
                            <w:color w:val="231F20"/>
                            <w:w w:val="105"/>
                            <w:sz w:val="18"/>
                          </w:rPr>
                          <w:t>2014 Trend Report</w:t>
                        </w:r>
                      </w:p>
                    </w:tc>
                    <w:tc>
                      <w:tcPr>
                        <w:tcW w:w="960" w:type="dxa"/>
                        <w:tcBorders>
                          <w:top w:val="single" w:sz="8" w:space="0" w:color="A0C2C9"/>
                          <w:left w:val="single" w:sz="12" w:space="0" w:color="A0C2C9"/>
                          <w:bottom w:val="single" w:sz="8" w:space="0" w:color="A0C2C9"/>
                          <w:right w:val="single" w:sz="12" w:space="0" w:color="A0C2C9"/>
                        </w:tcBorders>
                      </w:tcPr>
                      <w:p>
                        <w:pPr>
                          <w:pStyle w:val="TableParagraph"/>
                          <w:spacing w:before="34"/>
                          <w:ind w:left="360"/>
                          <w:rPr>
                            <w:sz w:val="18"/>
                          </w:rPr>
                        </w:pPr>
                        <w:r>
                          <w:rPr>
                            <w:color w:val="231F20"/>
                            <w:w w:val="110"/>
                            <w:sz w:val="18"/>
                          </w:rPr>
                          <w:t>11</w:t>
                        </w:r>
                      </w:p>
                    </w:tc>
                    <w:tc>
                      <w:tcPr>
                        <w:tcW w:w="984" w:type="dxa"/>
                        <w:tcBorders>
                          <w:top w:val="single" w:sz="8" w:space="0" w:color="A0C2C9"/>
                          <w:left w:val="single" w:sz="12" w:space="0" w:color="A0C2C9"/>
                          <w:bottom w:val="single" w:sz="8" w:space="0" w:color="A0C2C9"/>
                          <w:right w:val="single" w:sz="12" w:space="0" w:color="A0C2C9"/>
                        </w:tcBorders>
                      </w:tcPr>
                      <w:p>
                        <w:pPr>
                          <w:pStyle w:val="TableParagraph"/>
                          <w:spacing w:before="34"/>
                          <w:ind w:left="52" w:right="166"/>
                          <w:jc w:val="center"/>
                          <w:rPr>
                            <w:sz w:val="18"/>
                          </w:rPr>
                        </w:pPr>
                        <w:r>
                          <w:rPr>
                            <w:color w:val="231F20"/>
                            <w:w w:val="110"/>
                            <w:sz w:val="18"/>
                          </w:rPr>
                          <w:t>12</w:t>
                        </w:r>
                      </w:p>
                    </w:tc>
                    <w:tc>
                      <w:tcPr>
                        <w:tcW w:w="977" w:type="dxa"/>
                        <w:tcBorders>
                          <w:top w:val="single" w:sz="8" w:space="0" w:color="A0C2C9"/>
                          <w:left w:val="single" w:sz="12" w:space="0" w:color="A0C2C9"/>
                          <w:bottom w:val="single" w:sz="8" w:space="0" w:color="A0C2C9"/>
                          <w:right w:val="single" w:sz="12" w:space="0" w:color="A0C2C9"/>
                        </w:tcBorders>
                      </w:tcPr>
                      <w:p>
                        <w:pPr>
                          <w:pStyle w:val="TableParagraph"/>
                          <w:spacing w:before="34"/>
                          <w:ind w:right="371"/>
                          <w:jc w:val="right"/>
                          <w:rPr>
                            <w:sz w:val="18"/>
                          </w:rPr>
                        </w:pPr>
                        <w:r>
                          <w:rPr>
                            <w:color w:val="231F20"/>
                            <w:w w:val="105"/>
                            <w:sz w:val="18"/>
                          </w:rPr>
                          <w:t>11</w:t>
                        </w:r>
                      </w:p>
                    </w:tc>
                    <w:tc>
                      <w:tcPr>
                        <w:tcW w:w="991" w:type="dxa"/>
                        <w:tcBorders>
                          <w:top w:val="single" w:sz="8" w:space="0" w:color="A0C2C9"/>
                          <w:left w:val="single" w:sz="12" w:space="0" w:color="A0C2C9"/>
                          <w:bottom w:val="single" w:sz="8" w:space="0" w:color="A0C2C9"/>
                          <w:right w:val="single" w:sz="12" w:space="0" w:color="A0C2C9"/>
                        </w:tcBorders>
                      </w:tcPr>
                      <w:p>
                        <w:pPr>
                          <w:pStyle w:val="TableParagraph"/>
                          <w:spacing w:before="34"/>
                          <w:ind w:left="132" w:right="135"/>
                          <w:jc w:val="center"/>
                          <w:rPr>
                            <w:sz w:val="18"/>
                          </w:rPr>
                        </w:pPr>
                        <w:r>
                          <w:rPr>
                            <w:color w:val="231F20"/>
                            <w:w w:val="110"/>
                            <w:sz w:val="18"/>
                          </w:rPr>
                          <w:t>10</w:t>
                        </w:r>
                      </w:p>
                    </w:tc>
                    <w:tc>
                      <w:tcPr>
                        <w:tcW w:w="977" w:type="dxa"/>
                        <w:tcBorders>
                          <w:top w:val="single" w:sz="8" w:space="0" w:color="A0C2C9"/>
                          <w:left w:val="single" w:sz="12" w:space="0" w:color="A0C2C9"/>
                          <w:bottom w:val="single" w:sz="8" w:space="0" w:color="A0C2C9"/>
                          <w:right w:val="single" w:sz="12" w:space="0" w:color="A0C2C9"/>
                        </w:tcBorders>
                      </w:tcPr>
                      <w:p>
                        <w:pPr>
                          <w:pStyle w:val="TableParagraph"/>
                          <w:spacing w:before="34"/>
                          <w:ind w:left="308"/>
                          <w:rPr>
                            <w:sz w:val="18"/>
                          </w:rPr>
                        </w:pPr>
                        <w:r>
                          <w:rPr>
                            <w:color w:val="231F20"/>
                            <w:w w:val="110"/>
                            <w:sz w:val="18"/>
                          </w:rPr>
                          <w:t>15</w:t>
                        </w:r>
                      </w:p>
                    </w:tc>
                    <w:tc>
                      <w:tcPr>
                        <w:tcW w:w="977" w:type="dxa"/>
                        <w:tcBorders>
                          <w:top w:val="single" w:sz="8" w:space="0" w:color="A0C2C9"/>
                          <w:left w:val="single" w:sz="12" w:space="0" w:color="A0C2C9"/>
                          <w:bottom w:val="single" w:sz="8" w:space="0" w:color="A0C2C9"/>
                          <w:right w:val="single" w:sz="12" w:space="0" w:color="A0C2C9"/>
                        </w:tcBorders>
                      </w:tcPr>
                      <w:p>
                        <w:pPr>
                          <w:pStyle w:val="TableParagraph"/>
                          <w:spacing w:before="34"/>
                          <w:ind w:left="52"/>
                          <w:jc w:val="center"/>
                          <w:rPr>
                            <w:sz w:val="18"/>
                          </w:rPr>
                        </w:pPr>
                        <w:r>
                          <w:rPr>
                            <w:color w:val="231F20"/>
                            <w:w w:val="109"/>
                            <w:sz w:val="18"/>
                          </w:rPr>
                          <w:t>2</w:t>
                        </w:r>
                      </w:p>
                    </w:tc>
                    <w:tc>
                      <w:tcPr>
                        <w:tcW w:w="932" w:type="dxa"/>
                        <w:tcBorders>
                          <w:top w:val="single" w:sz="8" w:space="0" w:color="A0C2C9"/>
                          <w:left w:val="single" w:sz="12" w:space="0" w:color="A0C2C9"/>
                          <w:bottom w:val="single" w:sz="8" w:space="0" w:color="A0C2C9"/>
                          <w:right w:val="single" w:sz="12" w:space="0" w:color="A0C2C9"/>
                        </w:tcBorders>
                      </w:tcPr>
                      <w:p>
                        <w:pPr>
                          <w:pStyle w:val="TableParagraph"/>
                          <w:spacing w:before="34"/>
                          <w:ind w:left="18" w:right="55"/>
                          <w:jc w:val="center"/>
                          <w:rPr>
                            <w:sz w:val="18"/>
                          </w:rPr>
                        </w:pPr>
                        <w:r>
                          <w:rPr>
                            <w:color w:val="231F20"/>
                            <w:w w:val="110"/>
                            <w:sz w:val="18"/>
                          </w:rPr>
                          <w:t>13</w:t>
                        </w:r>
                      </w:p>
                    </w:tc>
                  </w:tr>
                  <w:tr>
                    <w:trPr>
                      <w:trHeight w:val="334" w:hRule="atLeast"/>
                    </w:trPr>
                    <w:tc>
                      <w:tcPr>
                        <w:tcW w:w="1247" w:type="dxa"/>
                        <w:tcBorders>
                          <w:top w:val="nil"/>
                          <w:left w:val="nil"/>
                          <w:bottom w:val="nil"/>
                          <w:right w:val="nil"/>
                        </w:tcBorders>
                      </w:tcPr>
                      <w:p>
                        <w:pPr>
                          <w:pStyle w:val="TableParagraph"/>
                          <w:rPr>
                            <w:rFonts w:ascii="Times New Roman"/>
                            <w:sz w:val="16"/>
                          </w:rPr>
                        </w:pPr>
                      </w:p>
                    </w:tc>
                    <w:tc>
                      <w:tcPr>
                        <w:tcW w:w="2703" w:type="dxa"/>
                        <w:gridSpan w:val="2"/>
                        <w:tcBorders>
                          <w:top w:val="single" w:sz="8" w:space="0" w:color="A0C2C9"/>
                          <w:left w:val="nil"/>
                          <w:bottom w:val="nil"/>
                          <w:right w:val="single" w:sz="12" w:space="0" w:color="A0C2C9"/>
                        </w:tcBorders>
                      </w:tcPr>
                      <w:p>
                        <w:pPr>
                          <w:pStyle w:val="TableParagraph"/>
                          <w:spacing w:before="64"/>
                          <w:ind w:left="71"/>
                          <w:rPr>
                            <w:b/>
                            <w:sz w:val="18"/>
                          </w:rPr>
                        </w:pPr>
                        <w:r>
                          <w:rPr>
                            <w:b/>
                            <w:color w:val="231F20"/>
                            <w:w w:val="105"/>
                            <w:sz w:val="18"/>
                          </w:rPr>
                          <w:t>2018 Trend Report</w:t>
                        </w:r>
                      </w:p>
                    </w:tc>
                    <w:tc>
                      <w:tcPr>
                        <w:tcW w:w="960" w:type="dxa"/>
                        <w:tcBorders>
                          <w:top w:val="single" w:sz="8" w:space="0" w:color="A0C2C9"/>
                          <w:left w:val="single" w:sz="12" w:space="0" w:color="A0C2C9"/>
                          <w:bottom w:val="nil"/>
                          <w:right w:val="single" w:sz="12" w:space="0" w:color="A0C2C9"/>
                        </w:tcBorders>
                      </w:tcPr>
                      <w:p>
                        <w:pPr>
                          <w:pStyle w:val="TableParagraph"/>
                          <w:spacing w:before="64"/>
                          <w:ind w:left="87"/>
                          <w:jc w:val="center"/>
                          <w:rPr>
                            <w:sz w:val="18"/>
                          </w:rPr>
                        </w:pPr>
                        <w:r>
                          <w:rPr>
                            <w:color w:val="231F20"/>
                            <w:w w:val="109"/>
                            <w:sz w:val="18"/>
                          </w:rPr>
                          <w:t>8</w:t>
                        </w:r>
                      </w:p>
                    </w:tc>
                    <w:tc>
                      <w:tcPr>
                        <w:tcW w:w="984" w:type="dxa"/>
                        <w:tcBorders>
                          <w:top w:val="single" w:sz="8" w:space="0" w:color="A0C2C9"/>
                          <w:left w:val="single" w:sz="12" w:space="0" w:color="A0C2C9"/>
                          <w:bottom w:val="nil"/>
                          <w:right w:val="single" w:sz="12" w:space="0" w:color="A0C2C9"/>
                        </w:tcBorders>
                      </w:tcPr>
                      <w:p>
                        <w:pPr>
                          <w:pStyle w:val="TableParagraph"/>
                          <w:spacing w:before="64"/>
                          <w:ind w:right="14"/>
                          <w:jc w:val="center"/>
                          <w:rPr>
                            <w:sz w:val="18"/>
                          </w:rPr>
                        </w:pPr>
                        <w:r>
                          <w:rPr>
                            <w:color w:val="231F20"/>
                            <w:w w:val="109"/>
                            <w:sz w:val="18"/>
                          </w:rPr>
                          <w:t>4</w:t>
                        </w:r>
                      </w:p>
                    </w:tc>
                    <w:tc>
                      <w:tcPr>
                        <w:tcW w:w="977" w:type="dxa"/>
                        <w:tcBorders>
                          <w:top w:val="single" w:sz="8" w:space="0" w:color="A0C2C9"/>
                          <w:left w:val="single" w:sz="12" w:space="0" w:color="A0C2C9"/>
                          <w:bottom w:val="nil"/>
                          <w:right w:val="single" w:sz="12" w:space="0" w:color="A0C2C9"/>
                        </w:tcBorders>
                      </w:tcPr>
                      <w:p>
                        <w:pPr>
                          <w:pStyle w:val="TableParagraph"/>
                          <w:spacing w:before="64"/>
                          <w:ind w:right="369"/>
                          <w:jc w:val="right"/>
                          <w:rPr>
                            <w:sz w:val="18"/>
                          </w:rPr>
                        </w:pPr>
                        <w:r>
                          <w:rPr>
                            <w:color w:val="231F20"/>
                            <w:w w:val="109"/>
                            <w:sz w:val="18"/>
                          </w:rPr>
                          <w:t>7</w:t>
                        </w:r>
                      </w:p>
                    </w:tc>
                    <w:tc>
                      <w:tcPr>
                        <w:tcW w:w="991" w:type="dxa"/>
                        <w:tcBorders>
                          <w:top w:val="single" w:sz="8" w:space="0" w:color="A0C2C9"/>
                          <w:left w:val="single" w:sz="12" w:space="0" w:color="A0C2C9"/>
                          <w:bottom w:val="nil"/>
                          <w:right w:val="single" w:sz="12" w:space="0" w:color="A0C2C9"/>
                        </w:tcBorders>
                      </w:tcPr>
                      <w:p>
                        <w:pPr>
                          <w:pStyle w:val="TableParagraph"/>
                          <w:spacing w:before="64"/>
                          <w:ind w:left="132" w:right="135"/>
                          <w:jc w:val="center"/>
                          <w:rPr>
                            <w:sz w:val="18"/>
                          </w:rPr>
                        </w:pPr>
                        <w:r>
                          <w:rPr>
                            <w:color w:val="231F20"/>
                            <w:w w:val="110"/>
                            <w:sz w:val="18"/>
                          </w:rPr>
                          <w:t>10</w:t>
                        </w:r>
                      </w:p>
                    </w:tc>
                    <w:tc>
                      <w:tcPr>
                        <w:tcW w:w="977" w:type="dxa"/>
                        <w:tcBorders>
                          <w:top w:val="single" w:sz="8" w:space="0" w:color="A0C2C9"/>
                          <w:left w:val="single" w:sz="12" w:space="0" w:color="A0C2C9"/>
                          <w:bottom w:val="nil"/>
                          <w:right w:val="single" w:sz="12" w:space="0" w:color="A0C2C9"/>
                        </w:tcBorders>
                      </w:tcPr>
                      <w:p>
                        <w:pPr>
                          <w:pStyle w:val="TableParagraph"/>
                          <w:spacing w:before="64"/>
                          <w:ind w:left="164" w:right="178"/>
                          <w:jc w:val="center"/>
                          <w:rPr>
                            <w:sz w:val="18"/>
                          </w:rPr>
                        </w:pPr>
                        <w:r>
                          <w:rPr>
                            <w:color w:val="231F20"/>
                            <w:w w:val="110"/>
                            <w:sz w:val="18"/>
                          </w:rPr>
                          <w:t>15</w:t>
                        </w:r>
                      </w:p>
                    </w:tc>
                    <w:tc>
                      <w:tcPr>
                        <w:tcW w:w="977" w:type="dxa"/>
                        <w:tcBorders>
                          <w:top w:val="single" w:sz="8" w:space="0" w:color="A0C2C9"/>
                          <w:left w:val="single" w:sz="12" w:space="0" w:color="A0C2C9"/>
                          <w:bottom w:val="nil"/>
                          <w:right w:val="single" w:sz="12" w:space="0" w:color="A0C2C9"/>
                        </w:tcBorders>
                      </w:tcPr>
                      <w:p>
                        <w:pPr>
                          <w:pStyle w:val="TableParagraph"/>
                          <w:spacing w:before="64"/>
                          <w:ind w:left="52"/>
                          <w:jc w:val="center"/>
                          <w:rPr>
                            <w:sz w:val="18"/>
                          </w:rPr>
                        </w:pPr>
                        <w:r>
                          <w:rPr>
                            <w:color w:val="231F20"/>
                            <w:w w:val="109"/>
                            <w:sz w:val="18"/>
                          </w:rPr>
                          <w:t>1</w:t>
                        </w:r>
                      </w:p>
                    </w:tc>
                    <w:tc>
                      <w:tcPr>
                        <w:tcW w:w="932" w:type="dxa"/>
                        <w:tcBorders>
                          <w:top w:val="single" w:sz="8" w:space="0" w:color="A0C2C9"/>
                          <w:left w:val="single" w:sz="12" w:space="0" w:color="A0C2C9"/>
                          <w:bottom w:val="nil"/>
                          <w:right w:val="single" w:sz="12" w:space="0" w:color="A0C2C9"/>
                        </w:tcBorders>
                      </w:tcPr>
                      <w:p>
                        <w:pPr>
                          <w:pStyle w:val="TableParagraph"/>
                          <w:spacing w:before="64"/>
                          <w:ind w:left="18" w:right="55"/>
                          <w:jc w:val="center"/>
                          <w:rPr>
                            <w:sz w:val="18"/>
                          </w:rPr>
                        </w:pPr>
                        <w:r>
                          <w:rPr>
                            <w:color w:val="231F20"/>
                            <w:w w:val="110"/>
                            <w:sz w:val="18"/>
                          </w:rPr>
                          <w:t>12</w:t>
                        </w:r>
                      </w:p>
                    </w:tc>
                  </w:tr>
                  <w:tr>
                    <w:trPr>
                      <w:trHeight w:val="340" w:hRule="atLeast"/>
                    </w:trPr>
                    <w:tc>
                      <w:tcPr>
                        <w:tcW w:w="1247" w:type="dxa"/>
                        <w:tcBorders>
                          <w:top w:val="nil"/>
                          <w:left w:val="nil"/>
                          <w:bottom w:val="nil"/>
                          <w:right w:val="nil"/>
                        </w:tcBorders>
                      </w:tcPr>
                      <w:p>
                        <w:pPr>
                          <w:pStyle w:val="TableParagraph"/>
                          <w:rPr>
                            <w:rFonts w:ascii="Times New Roman"/>
                            <w:sz w:val="16"/>
                          </w:rPr>
                        </w:pPr>
                      </w:p>
                    </w:tc>
                    <w:tc>
                      <w:tcPr>
                        <w:tcW w:w="1134" w:type="dxa"/>
                        <w:tcBorders>
                          <w:top w:val="nil"/>
                          <w:left w:val="nil"/>
                          <w:bottom w:val="nil"/>
                          <w:right w:val="nil"/>
                        </w:tcBorders>
                        <w:shd w:val="clear" w:color="auto" w:fill="65A5AE"/>
                      </w:tcPr>
                      <w:p>
                        <w:pPr>
                          <w:pStyle w:val="TableParagraph"/>
                          <w:spacing w:line="212" w:lineRule="exact" w:before="107"/>
                          <w:ind w:left="71"/>
                          <w:rPr>
                            <w:b/>
                            <w:sz w:val="18"/>
                          </w:rPr>
                        </w:pPr>
                        <w:r>
                          <w:rPr>
                            <w:b/>
                            <w:color w:val="231F20"/>
                            <w:w w:val="105"/>
                            <w:sz w:val="18"/>
                          </w:rPr>
                          <w:t>Type</w:t>
                        </w:r>
                      </w:p>
                    </w:tc>
                    <w:tc>
                      <w:tcPr>
                        <w:tcW w:w="1569" w:type="dxa"/>
                        <w:tcBorders>
                          <w:top w:val="nil"/>
                          <w:left w:val="nil"/>
                          <w:bottom w:val="nil"/>
                          <w:right w:val="nil"/>
                        </w:tcBorders>
                        <w:shd w:val="clear" w:color="auto" w:fill="65A5AE"/>
                      </w:tcPr>
                      <w:p>
                        <w:pPr>
                          <w:pStyle w:val="TableParagraph"/>
                          <w:spacing w:line="212" w:lineRule="exact" w:before="107"/>
                          <w:ind w:left="114"/>
                          <w:rPr>
                            <w:b/>
                            <w:sz w:val="18"/>
                          </w:rPr>
                        </w:pPr>
                        <w:r>
                          <w:rPr>
                            <w:b/>
                            <w:color w:val="231F20"/>
                            <w:w w:val="105"/>
                            <w:sz w:val="18"/>
                          </w:rPr>
                          <w:t>Indicator</w:t>
                        </w:r>
                      </w:p>
                    </w:tc>
                    <w:tc>
                      <w:tcPr>
                        <w:tcW w:w="960" w:type="dxa"/>
                        <w:tcBorders>
                          <w:top w:val="nil"/>
                          <w:left w:val="nil"/>
                          <w:bottom w:val="nil"/>
                          <w:right w:val="nil"/>
                        </w:tcBorders>
                        <w:shd w:val="clear" w:color="auto" w:fill="65A5AE"/>
                      </w:tcPr>
                      <w:p>
                        <w:pPr>
                          <w:pStyle w:val="TableParagraph"/>
                          <w:rPr>
                            <w:rFonts w:ascii="Times New Roman"/>
                            <w:sz w:val="16"/>
                          </w:rPr>
                        </w:pPr>
                      </w:p>
                    </w:tc>
                    <w:tc>
                      <w:tcPr>
                        <w:tcW w:w="984" w:type="dxa"/>
                        <w:tcBorders>
                          <w:top w:val="nil"/>
                          <w:left w:val="nil"/>
                          <w:bottom w:val="nil"/>
                          <w:right w:val="nil"/>
                        </w:tcBorders>
                        <w:shd w:val="clear" w:color="auto" w:fill="65A5AE"/>
                      </w:tcPr>
                      <w:p>
                        <w:pPr>
                          <w:pStyle w:val="TableParagraph"/>
                          <w:rPr>
                            <w:rFonts w:ascii="Times New Roman"/>
                            <w:sz w:val="16"/>
                          </w:rPr>
                        </w:pPr>
                      </w:p>
                    </w:tc>
                    <w:tc>
                      <w:tcPr>
                        <w:tcW w:w="977" w:type="dxa"/>
                        <w:tcBorders>
                          <w:top w:val="nil"/>
                          <w:left w:val="nil"/>
                          <w:bottom w:val="nil"/>
                          <w:right w:val="nil"/>
                        </w:tcBorders>
                        <w:shd w:val="clear" w:color="auto" w:fill="65A5AE"/>
                      </w:tcPr>
                      <w:p>
                        <w:pPr>
                          <w:pStyle w:val="TableParagraph"/>
                          <w:rPr>
                            <w:rFonts w:ascii="Times New Roman"/>
                            <w:sz w:val="16"/>
                          </w:rPr>
                        </w:pPr>
                      </w:p>
                    </w:tc>
                    <w:tc>
                      <w:tcPr>
                        <w:tcW w:w="991" w:type="dxa"/>
                        <w:tcBorders>
                          <w:top w:val="nil"/>
                          <w:left w:val="nil"/>
                          <w:bottom w:val="nil"/>
                          <w:right w:val="nil"/>
                        </w:tcBorders>
                        <w:shd w:val="clear" w:color="auto" w:fill="65A5AE"/>
                      </w:tcPr>
                      <w:p>
                        <w:pPr>
                          <w:pStyle w:val="TableParagraph"/>
                          <w:rPr>
                            <w:rFonts w:ascii="Times New Roman"/>
                            <w:sz w:val="16"/>
                          </w:rPr>
                        </w:pPr>
                      </w:p>
                    </w:tc>
                    <w:tc>
                      <w:tcPr>
                        <w:tcW w:w="977" w:type="dxa"/>
                        <w:tcBorders>
                          <w:top w:val="nil"/>
                          <w:left w:val="nil"/>
                          <w:bottom w:val="nil"/>
                          <w:right w:val="nil"/>
                        </w:tcBorders>
                        <w:shd w:val="clear" w:color="auto" w:fill="65A5AE"/>
                      </w:tcPr>
                      <w:p>
                        <w:pPr>
                          <w:pStyle w:val="TableParagraph"/>
                          <w:rPr>
                            <w:rFonts w:ascii="Times New Roman"/>
                            <w:sz w:val="16"/>
                          </w:rPr>
                        </w:pPr>
                      </w:p>
                    </w:tc>
                    <w:tc>
                      <w:tcPr>
                        <w:tcW w:w="977" w:type="dxa"/>
                        <w:tcBorders>
                          <w:top w:val="nil"/>
                          <w:left w:val="nil"/>
                          <w:bottom w:val="nil"/>
                          <w:right w:val="nil"/>
                        </w:tcBorders>
                        <w:shd w:val="clear" w:color="auto" w:fill="65A5AE"/>
                      </w:tcPr>
                      <w:p>
                        <w:pPr>
                          <w:pStyle w:val="TableParagraph"/>
                          <w:rPr>
                            <w:rFonts w:ascii="Times New Roman"/>
                            <w:sz w:val="16"/>
                          </w:rPr>
                        </w:pPr>
                      </w:p>
                    </w:tc>
                    <w:tc>
                      <w:tcPr>
                        <w:tcW w:w="932" w:type="dxa"/>
                        <w:tcBorders>
                          <w:top w:val="nil"/>
                          <w:left w:val="nil"/>
                          <w:bottom w:val="nil"/>
                          <w:right w:val="single" w:sz="12" w:space="0" w:color="A0C2C9"/>
                        </w:tcBorders>
                        <w:shd w:val="clear" w:color="auto" w:fill="65A5AE"/>
                      </w:tcPr>
                      <w:p>
                        <w:pPr>
                          <w:pStyle w:val="TableParagraph"/>
                          <w:rPr>
                            <w:rFonts w:ascii="Times New Roman"/>
                            <w:sz w:val="16"/>
                          </w:rPr>
                        </w:pPr>
                      </w:p>
                    </w:tc>
                  </w:tr>
                  <w:tr>
                    <w:trPr>
                      <w:trHeight w:val="507" w:hRule="atLeast"/>
                    </w:trPr>
                    <w:tc>
                      <w:tcPr>
                        <w:tcW w:w="1247" w:type="dxa"/>
                        <w:tcBorders>
                          <w:top w:val="nil"/>
                          <w:left w:val="nil"/>
                          <w:bottom w:val="nil"/>
                          <w:right w:val="nil"/>
                        </w:tcBorders>
                      </w:tcPr>
                      <w:p>
                        <w:pPr>
                          <w:pStyle w:val="TableParagraph"/>
                          <w:spacing w:before="128"/>
                          <w:ind w:right="125"/>
                          <w:jc w:val="right"/>
                          <w:rPr>
                            <w:b/>
                            <w:sz w:val="20"/>
                          </w:rPr>
                        </w:pPr>
                        <w:r>
                          <w:rPr>
                            <w:b/>
                            <w:color w:val="FFFFFF"/>
                            <w:w w:val="109"/>
                            <w:sz w:val="20"/>
                          </w:rPr>
                          <w:t>1</w:t>
                        </w:r>
                      </w:p>
                    </w:tc>
                    <w:tc>
                      <w:tcPr>
                        <w:tcW w:w="1134" w:type="dxa"/>
                        <w:tcBorders>
                          <w:top w:val="nil"/>
                          <w:left w:val="nil"/>
                          <w:bottom w:val="nil"/>
                          <w:right w:val="single" w:sz="12" w:space="0" w:color="A0C2C9"/>
                        </w:tcBorders>
                        <w:shd w:val="clear" w:color="auto" w:fill="A0C2C9"/>
                      </w:tcPr>
                      <w:p>
                        <w:pPr>
                          <w:pStyle w:val="TableParagraph"/>
                          <w:spacing w:line="200" w:lineRule="exact" w:before="115"/>
                          <w:ind w:left="71"/>
                          <w:rPr>
                            <w:sz w:val="17"/>
                          </w:rPr>
                        </w:pPr>
                        <w:r>
                          <w:rPr>
                            <w:color w:val="231F20"/>
                            <w:w w:val="110"/>
                            <w:sz w:val="17"/>
                          </w:rPr>
                          <w:t>Case </w:t>
                        </w:r>
                        <w:r>
                          <w:rPr>
                            <w:color w:val="231F20"/>
                            <w:w w:val="105"/>
                            <w:sz w:val="17"/>
                          </w:rPr>
                          <w:t>Management</w:t>
                        </w:r>
                      </w:p>
                    </w:tc>
                    <w:tc>
                      <w:tcPr>
                        <w:tcW w:w="1569" w:type="dxa"/>
                        <w:tcBorders>
                          <w:top w:val="nil"/>
                          <w:left w:val="single" w:sz="12" w:space="0" w:color="A0C2C9"/>
                          <w:bottom w:val="nil"/>
                          <w:right w:val="single" w:sz="12" w:space="0" w:color="A0C2C9"/>
                        </w:tcBorders>
                        <w:shd w:val="clear" w:color="auto" w:fill="A0C2C9"/>
                      </w:tcPr>
                      <w:p>
                        <w:pPr>
                          <w:pStyle w:val="TableParagraph"/>
                          <w:spacing w:line="200" w:lineRule="exact" w:before="115"/>
                          <w:ind w:left="56" w:right="332"/>
                          <w:rPr>
                            <w:sz w:val="17"/>
                          </w:rPr>
                        </w:pPr>
                        <w:r>
                          <w:rPr>
                            <w:color w:val="231F20"/>
                            <w:w w:val="110"/>
                            <w:sz w:val="17"/>
                          </w:rPr>
                          <w:t>Case </w:t>
                        </w:r>
                        <w:r>
                          <w:rPr>
                            <w:color w:val="231F20"/>
                            <w:w w:val="105"/>
                            <w:sz w:val="17"/>
                          </w:rPr>
                          <w:t>finalisation/</w:t>
                        </w:r>
                      </w:p>
                    </w:tc>
                    <w:tc>
                      <w:tcPr>
                        <w:tcW w:w="960" w:type="dxa"/>
                        <w:vMerge w:val="restart"/>
                        <w:tcBorders>
                          <w:top w:val="nil"/>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vMerge w:val="restart"/>
                        <w:tcBorders>
                          <w:top w:val="nil"/>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nil"/>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vMerge w:val="restart"/>
                        <w:tcBorders>
                          <w:top w:val="nil"/>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nil"/>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nil"/>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vMerge w:val="restart"/>
                        <w:tcBorders>
                          <w:top w:val="nil"/>
                          <w:left w:val="single" w:sz="12" w:space="0" w:color="A0C2C9"/>
                          <w:bottom w:val="single" w:sz="8" w:space="0" w:color="92BAC2"/>
                          <w:right w:val="single" w:sz="12" w:space="0" w:color="A0C2C9"/>
                        </w:tcBorders>
                      </w:tcPr>
                      <w:p>
                        <w:pPr>
                          <w:pStyle w:val="TableParagraph"/>
                          <w:rPr>
                            <w:rFonts w:ascii="Times New Roman"/>
                            <w:sz w:val="16"/>
                          </w:rPr>
                        </w:pPr>
                      </w:p>
                    </w:tc>
                  </w:tr>
                  <w:tr>
                    <w:trPr>
                      <w:trHeight w:val="282" w:hRule="atLeast"/>
                    </w:trPr>
                    <w:tc>
                      <w:tcPr>
                        <w:tcW w:w="1247" w:type="dxa"/>
                        <w:tcBorders>
                          <w:top w:val="nil"/>
                          <w:left w:val="nil"/>
                          <w:bottom w:val="nil"/>
                          <w:right w:val="nil"/>
                        </w:tcBorders>
                      </w:tcPr>
                      <w:p>
                        <w:pPr>
                          <w:pStyle w:val="TableParagraph"/>
                          <w:rPr>
                            <w:rFonts w:ascii="Times New Roman"/>
                            <w:sz w:val="16"/>
                          </w:rPr>
                        </w:pPr>
                      </w:p>
                    </w:tc>
                    <w:tc>
                      <w:tcPr>
                        <w:tcW w:w="1134" w:type="dxa"/>
                        <w:tcBorders>
                          <w:top w:val="nil"/>
                          <w:left w:val="nil"/>
                          <w:bottom w:val="single" w:sz="8" w:space="0" w:color="92BAC2"/>
                          <w:right w:val="single" w:sz="12" w:space="0" w:color="A0C2C9"/>
                        </w:tcBorders>
                        <w:shd w:val="clear" w:color="auto" w:fill="A0C2C9"/>
                      </w:tcPr>
                      <w:p>
                        <w:pPr>
                          <w:pStyle w:val="TableParagraph"/>
                          <w:spacing w:line="186" w:lineRule="exact"/>
                          <w:ind w:left="71"/>
                          <w:rPr>
                            <w:sz w:val="17"/>
                          </w:rPr>
                        </w:pPr>
                        <w:r>
                          <w:rPr>
                            <w:color w:val="231F20"/>
                            <w:w w:val="105"/>
                            <w:sz w:val="17"/>
                          </w:rPr>
                          <w:t>Information</w:t>
                        </w:r>
                      </w:p>
                    </w:tc>
                    <w:tc>
                      <w:tcPr>
                        <w:tcW w:w="1569" w:type="dxa"/>
                        <w:tcBorders>
                          <w:top w:val="nil"/>
                          <w:left w:val="single" w:sz="12" w:space="0" w:color="A0C2C9"/>
                          <w:bottom w:val="single" w:sz="8" w:space="0" w:color="92BAC2"/>
                          <w:right w:val="single" w:sz="12" w:space="0" w:color="A0C2C9"/>
                        </w:tcBorders>
                        <w:shd w:val="clear" w:color="auto" w:fill="A0C2C9"/>
                      </w:tcPr>
                      <w:p>
                        <w:pPr>
                          <w:pStyle w:val="TableParagraph"/>
                          <w:spacing w:line="186" w:lineRule="exact"/>
                          <w:ind w:left="56"/>
                          <w:rPr>
                            <w:sz w:val="17"/>
                          </w:rPr>
                        </w:pPr>
                        <w:r>
                          <w:rPr>
                            <w:color w:val="231F20"/>
                            <w:w w:val="105"/>
                            <w:sz w:val="17"/>
                          </w:rPr>
                          <w:t>clearance rate</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750" w:hRule="atLeast"/>
                    </w:trPr>
                    <w:tc>
                      <w:tcPr>
                        <w:tcW w:w="1247" w:type="dxa"/>
                        <w:tcBorders>
                          <w:top w:val="nil"/>
                          <w:left w:val="nil"/>
                          <w:bottom w:val="nil"/>
                          <w:right w:val="nil"/>
                        </w:tcBorders>
                      </w:tcPr>
                      <w:p>
                        <w:pPr>
                          <w:pStyle w:val="TableParagraph"/>
                          <w:spacing w:before="85"/>
                          <w:ind w:right="125"/>
                          <w:jc w:val="right"/>
                          <w:rPr>
                            <w:b/>
                            <w:sz w:val="20"/>
                          </w:rPr>
                        </w:pPr>
                        <w:r>
                          <w:rPr>
                            <w:b/>
                            <w:color w:val="FFFFFF"/>
                            <w:w w:val="109"/>
                            <w:sz w:val="20"/>
                          </w:rPr>
                          <w:t>2</w:t>
                        </w:r>
                      </w:p>
                    </w:tc>
                    <w:tc>
                      <w:tcPr>
                        <w:tcW w:w="1134"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71"/>
                          <w:rPr>
                            <w:sz w:val="17"/>
                          </w:rPr>
                        </w:pPr>
                        <w:r>
                          <w:rPr>
                            <w:color w:val="231F20"/>
                            <w:w w:val="110"/>
                            <w:sz w:val="17"/>
                          </w:rPr>
                          <w:t>Case </w:t>
                        </w:r>
                        <w:r>
                          <w:rPr>
                            <w:color w:val="231F20"/>
                            <w:w w:val="105"/>
                            <w:sz w:val="17"/>
                          </w:rPr>
                          <w:t>Management </w:t>
                        </w:r>
                        <w:r>
                          <w:rPr>
                            <w:color w:val="231F20"/>
                            <w:w w:val="110"/>
                            <w:sz w:val="17"/>
                          </w:rPr>
                          <w:t>Information</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6" w:right="205"/>
                          <w:rPr>
                            <w:sz w:val="17"/>
                          </w:rPr>
                        </w:pPr>
                        <w:r>
                          <w:rPr>
                            <w:color w:val="231F20"/>
                            <w:w w:val="105"/>
                            <w:sz w:val="17"/>
                          </w:rPr>
                          <w:t>Average duration of a case</w:t>
                        </w:r>
                      </w:p>
                    </w:tc>
                    <w:tc>
                      <w:tcPr>
                        <w:tcW w:w="960"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550" w:hRule="atLeast"/>
                    </w:trPr>
                    <w:tc>
                      <w:tcPr>
                        <w:tcW w:w="1247" w:type="dxa"/>
                        <w:tcBorders>
                          <w:top w:val="nil"/>
                          <w:left w:val="nil"/>
                          <w:bottom w:val="nil"/>
                          <w:right w:val="nil"/>
                        </w:tcBorders>
                      </w:tcPr>
                      <w:p>
                        <w:pPr>
                          <w:pStyle w:val="TableParagraph"/>
                          <w:spacing w:before="77"/>
                          <w:ind w:right="125"/>
                          <w:jc w:val="right"/>
                          <w:rPr>
                            <w:b/>
                            <w:sz w:val="20"/>
                          </w:rPr>
                        </w:pPr>
                        <w:r>
                          <w:rPr>
                            <w:b/>
                            <w:color w:val="FFFFFF"/>
                            <w:w w:val="109"/>
                            <w:sz w:val="20"/>
                          </w:rPr>
                          <w:t>3</w:t>
                        </w:r>
                      </w:p>
                    </w:tc>
                    <w:tc>
                      <w:tcPr>
                        <w:tcW w:w="1134" w:type="dxa"/>
                        <w:tcBorders>
                          <w:top w:val="single" w:sz="8" w:space="0" w:color="92BAC2"/>
                          <w:left w:val="nil"/>
                          <w:bottom w:val="single" w:sz="8" w:space="0" w:color="92BAC2"/>
                          <w:right w:val="single" w:sz="12" w:space="0" w:color="A0C2C9"/>
                        </w:tcBorders>
                        <w:shd w:val="clear" w:color="auto" w:fill="A0C2C9"/>
                      </w:tcPr>
                      <w:p>
                        <w:pPr>
                          <w:pStyle w:val="TableParagraph"/>
                          <w:spacing w:before="46"/>
                          <w:ind w:left="71"/>
                          <w:rPr>
                            <w:sz w:val="17"/>
                          </w:rPr>
                        </w:pPr>
                        <w:r>
                          <w:rPr>
                            <w:color w:val="231F20"/>
                            <w:w w:val="110"/>
                            <w:sz w:val="17"/>
                          </w:rPr>
                          <w:t>Appeals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6" w:right="332"/>
                          <w:rPr>
                            <w:sz w:val="17"/>
                          </w:rPr>
                        </w:pPr>
                        <w:r>
                          <w:rPr>
                            <w:color w:val="231F20"/>
                            <w:w w:val="105"/>
                            <w:sz w:val="17"/>
                          </w:rPr>
                          <w:t>The percentage of appeals</w:t>
                        </w:r>
                      </w:p>
                    </w:tc>
                    <w:tc>
                      <w:tcPr>
                        <w:tcW w:w="960"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550" w:hRule="atLeast"/>
                    </w:trPr>
                    <w:tc>
                      <w:tcPr>
                        <w:tcW w:w="1247" w:type="dxa"/>
                        <w:tcBorders>
                          <w:top w:val="nil"/>
                          <w:left w:val="nil"/>
                          <w:bottom w:val="nil"/>
                          <w:right w:val="nil"/>
                        </w:tcBorders>
                      </w:tcPr>
                      <w:p>
                        <w:pPr>
                          <w:pStyle w:val="TableParagraph"/>
                          <w:spacing w:before="74"/>
                          <w:ind w:right="125"/>
                          <w:jc w:val="right"/>
                          <w:rPr>
                            <w:b/>
                            <w:sz w:val="20"/>
                          </w:rPr>
                        </w:pPr>
                        <w:r>
                          <w:rPr>
                            <w:b/>
                            <w:color w:val="FFFFFF"/>
                            <w:w w:val="109"/>
                            <w:sz w:val="20"/>
                          </w:rPr>
                          <w:t>4</w:t>
                        </w:r>
                      </w:p>
                    </w:tc>
                    <w:tc>
                      <w:tcPr>
                        <w:tcW w:w="1134" w:type="dxa"/>
                        <w:tcBorders>
                          <w:top w:val="single" w:sz="8" w:space="0" w:color="92BAC2"/>
                          <w:left w:val="nil"/>
                          <w:bottom w:val="single" w:sz="8" w:space="0" w:color="92BAC2"/>
                          <w:right w:val="single" w:sz="12" w:space="0" w:color="A0C2C9"/>
                        </w:tcBorders>
                        <w:shd w:val="clear" w:color="auto" w:fill="A0C2C9"/>
                      </w:tcPr>
                      <w:p>
                        <w:pPr>
                          <w:pStyle w:val="TableParagraph"/>
                          <w:spacing w:before="46"/>
                          <w:ind w:left="71"/>
                          <w:rPr>
                            <w:sz w:val="17"/>
                          </w:rPr>
                        </w:pPr>
                        <w:r>
                          <w:rPr>
                            <w:color w:val="231F20"/>
                            <w:w w:val="110"/>
                            <w:sz w:val="17"/>
                          </w:rPr>
                          <w:t>Appeals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6" w:right="332"/>
                          <w:rPr>
                            <w:sz w:val="17"/>
                          </w:rPr>
                        </w:pPr>
                        <w:r>
                          <w:rPr>
                            <w:color w:val="231F20"/>
                            <w:w w:val="105"/>
                            <w:sz w:val="17"/>
                          </w:rPr>
                          <w:t>Overturn rate on appeal</w:t>
                        </w:r>
                      </w:p>
                    </w:tc>
                    <w:tc>
                      <w:tcPr>
                        <w:tcW w:w="960"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441" w:hRule="atLeast"/>
                    </w:trPr>
                    <w:tc>
                      <w:tcPr>
                        <w:tcW w:w="1247" w:type="dxa"/>
                        <w:tcBorders>
                          <w:top w:val="nil"/>
                          <w:left w:val="nil"/>
                          <w:bottom w:val="nil"/>
                          <w:right w:val="nil"/>
                        </w:tcBorders>
                      </w:tcPr>
                      <w:p>
                        <w:pPr>
                          <w:pStyle w:val="TableParagraph"/>
                          <w:spacing w:before="85"/>
                          <w:ind w:right="125"/>
                          <w:jc w:val="right"/>
                          <w:rPr>
                            <w:b/>
                            <w:sz w:val="20"/>
                          </w:rPr>
                        </w:pPr>
                        <w:r>
                          <w:rPr>
                            <w:b/>
                            <w:color w:val="FFFFFF"/>
                            <w:w w:val="109"/>
                            <w:sz w:val="20"/>
                          </w:rPr>
                          <w:t>5</w:t>
                        </w:r>
                      </w:p>
                    </w:tc>
                    <w:tc>
                      <w:tcPr>
                        <w:tcW w:w="1134" w:type="dxa"/>
                        <w:tcBorders>
                          <w:top w:val="single" w:sz="8" w:space="0" w:color="92BAC2"/>
                          <w:left w:val="nil"/>
                          <w:bottom w:val="nil"/>
                          <w:right w:val="single" w:sz="12" w:space="0" w:color="A0C2C9"/>
                        </w:tcBorders>
                        <w:shd w:val="clear" w:color="auto" w:fill="A0C2C9"/>
                      </w:tcPr>
                      <w:p>
                        <w:pPr>
                          <w:pStyle w:val="TableParagraph"/>
                          <w:spacing w:before="46"/>
                          <w:ind w:left="71"/>
                          <w:rPr>
                            <w:sz w:val="17"/>
                          </w:rPr>
                        </w:pPr>
                        <w:r>
                          <w:rPr>
                            <w:color w:val="231F20"/>
                            <w:w w:val="115"/>
                            <w:sz w:val="17"/>
                          </w:rPr>
                          <w:t>Access</w:t>
                        </w:r>
                      </w:p>
                    </w:tc>
                    <w:tc>
                      <w:tcPr>
                        <w:tcW w:w="1569" w:type="dxa"/>
                        <w:tcBorders>
                          <w:top w:val="single" w:sz="8" w:space="0" w:color="92BAC2"/>
                          <w:left w:val="single" w:sz="12" w:space="0" w:color="A0C2C9"/>
                          <w:bottom w:val="nil"/>
                          <w:right w:val="single" w:sz="12" w:space="0" w:color="A0C2C9"/>
                        </w:tcBorders>
                        <w:shd w:val="clear" w:color="auto" w:fill="A0C2C9"/>
                      </w:tcPr>
                      <w:p>
                        <w:pPr>
                          <w:pStyle w:val="TableParagraph"/>
                          <w:spacing w:line="200" w:lineRule="exact" w:before="48"/>
                          <w:ind w:left="56"/>
                          <w:rPr>
                            <w:sz w:val="17"/>
                          </w:rPr>
                        </w:pPr>
                        <w:r>
                          <w:rPr>
                            <w:color w:val="231F20"/>
                            <w:w w:val="105"/>
                            <w:sz w:val="17"/>
                          </w:rPr>
                          <w:t>Percentage of cases that are granted</w:t>
                        </w:r>
                      </w:p>
                    </w:tc>
                    <w:tc>
                      <w:tcPr>
                        <w:tcW w:w="960"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282" w:hRule="atLeast"/>
                    </w:trPr>
                    <w:tc>
                      <w:tcPr>
                        <w:tcW w:w="1247" w:type="dxa"/>
                        <w:tcBorders>
                          <w:top w:val="nil"/>
                          <w:left w:val="nil"/>
                          <w:bottom w:val="nil"/>
                          <w:right w:val="nil"/>
                        </w:tcBorders>
                      </w:tcPr>
                      <w:p>
                        <w:pPr>
                          <w:pStyle w:val="TableParagraph"/>
                          <w:rPr>
                            <w:rFonts w:ascii="Times New Roman"/>
                            <w:sz w:val="16"/>
                          </w:rPr>
                        </w:pPr>
                      </w:p>
                    </w:tc>
                    <w:tc>
                      <w:tcPr>
                        <w:tcW w:w="1134" w:type="dxa"/>
                        <w:tcBorders>
                          <w:top w:val="nil"/>
                          <w:left w:val="nil"/>
                          <w:bottom w:val="single" w:sz="8" w:space="0" w:color="92BAC2"/>
                          <w:right w:val="single" w:sz="12" w:space="0" w:color="A0C2C9"/>
                        </w:tcBorders>
                        <w:shd w:val="clear" w:color="auto" w:fill="A0C2C9"/>
                      </w:tcPr>
                      <w:p>
                        <w:pPr>
                          <w:pStyle w:val="TableParagraph"/>
                          <w:rPr>
                            <w:rFonts w:ascii="Times New Roman"/>
                            <w:sz w:val="16"/>
                          </w:rPr>
                        </w:pPr>
                      </w:p>
                    </w:tc>
                    <w:tc>
                      <w:tcPr>
                        <w:tcW w:w="1569" w:type="dxa"/>
                        <w:tcBorders>
                          <w:top w:val="nil"/>
                          <w:left w:val="single" w:sz="12" w:space="0" w:color="A0C2C9"/>
                          <w:bottom w:val="single" w:sz="8" w:space="0" w:color="92BAC2"/>
                          <w:right w:val="single" w:sz="12" w:space="0" w:color="A0C2C9"/>
                        </w:tcBorders>
                        <w:shd w:val="clear" w:color="auto" w:fill="A0C2C9"/>
                      </w:tcPr>
                      <w:p>
                        <w:pPr>
                          <w:pStyle w:val="TableParagraph"/>
                          <w:spacing w:line="186" w:lineRule="exact"/>
                          <w:ind w:left="56"/>
                          <w:rPr>
                            <w:sz w:val="17"/>
                          </w:rPr>
                        </w:pPr>
                        <w:r>
                          <w:rPr>
                            <w:color w:val="231F20"/>
                            <w:w w:val="110"/>
                            <w:sz w:val="17"/>
                          </w:rPr>
                          <w:t>a court fee waiver</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441" w:hRule="atLeast"/>
                    </w:trPr>
                    <w:tc>
                      <w:tcPr>
                        <w:tcW w:w="1247" w:type="dxa"/>
                        <w:tcBorders>
                          <w:top w:val="nil"/>
                          <w:left w:val="nil"/>
                          <w:bottom w:val="nil"/>
                          <w:right w:val="nil"/>
                        </w:tcBorders>
                      </w:tcPr>
                      <w:p>
                        <w:pPr>
                          <w:pStyle w:val="TableParagraph"/>
                          <w:spacing w:before="78"/>
                          <w:ind w:right="125"/>
                          <w:jc w:val="right"/>
                          <w:rPr>
                            <w:b/>
                            <w:sz w:val="20"/>
                          </w:rPr>
                        </w:pPr>
                        <w:r>
                          <w:rPr>
                            <w:b/>
                            <w:color w:val="FFFFFF"/>
                            <w:w w:val="109"/>
                            <w:sz w:val="20"/>
                          </w:rPr>
                          <w:t>6</w:t>
                        </w:r>
                      </w:p>
                    </w:tc>
                    <w:tc>
                      <w:tcPr>
                        <w:tcW w:w="1134" w:type="dxa"/>
                        <w:tcBorders>
                          <w:top w:val="single" w:sz="8" w:space="0" w:color="92BAC2"/>
                          <w:left w:val="nil"/>
                          <w:bottom w:val="nil"/>
                          <w:right w:val="single" w:sz="12" w:space="0" w:color="A0C2C9"/>
                        </w:tcBorders>
                        <w:shd w:val="clear" w:color="auto" w:fill="A0C2C9"/>
                      </w:tcPr>
                      <w:p>
                        <w:pPr>
                          <w:pStyle w:val="TableParagraph"/>
                          <w:spacing w:before="46"/>
                          <w:ind w:left="71"/>
                          <w:rPr>
                            <w:sz w:val="17"/>
                          </w:rPr>
                        </w:pPr>
                        <w:r>
                          <w:rPr>
                            <w:color w:val="231F20"/>
                            <w:w w:val="115"/>
                            <w:sz w:val="17"/>
                          </w:rPr>
                          <w:t>Access</w:t>
                        </w:r>
                      </w:p>
                    </w:tc>
                    <w:tc>
                      <w:tcPr>
                        <w:tcW w:w="1569" w:type="dxa"/>
                        <w:tcBorders>
                          <w:top w:val="single" w:sz="8" w:space="0" w:color="92BAC2"/>
                          <w:left w:val="single" w:sz="12" w:space="0" w:color="A0C2C9"/>
                          <w:bottom w:val="nil"/>
                          <w:right w:val="single" w:sz="12" w:space="0" w:color="A0C2C9"/>
                        </w:tcBorders>
                        <w:shd w:val="clear" w:color="auto" w:fill="A0C2C9"/>
                      </w:tcPr>
                      <w:p>
                        <w:pPr>
                          <w:pStyle w:val="TableParagraph"/>
                          <w:spacing w:line="200" w:lineRule="exact" w:before="48"/>
                          <w:ind w:left="56"/>
                          <w:rPr>
                            <w:sz w:val="17"/>
                          </w:rPr>
                        </w:pPr>
                        <w:r>
                          <w:rPr>
                            <w:color w:val="231F20"/>
                            <w:w w:val="105"/>
                            <w:sz w:val="17"/>
                          </w:rPr>
                          <w:t>Percentage of cases disposed through</w:t>
                        </w:r>
                      </w:p>
                    </w:tc>
                    <w:tc>
                      <w:tcPr>
                        <w:tcW w:w="960"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282" w:hRule="atLeast"/>
                    </w:trPr>
                    <w:tc>
                      <w:tcPr>
                        <w:tcW w:w="1247" w:type="dxa"/>
                        <w:tcBorders>
                          <w:top w:val="nil"/>
                          <w:left w:val="nil"/>
                          <w:bottom w:val="nil"/>
                          <w:right w:val="nil"/>
                        </w:tcBorders>
                      </w:tcPr>
                      <w:p>
                        <w:pPr>
                          <w:pStyle w:val="TableParagraph"/>
                          <w:rPr>
                            <w:rFonts w:ascii="Times New Roman"/>
                            <w:sz w:val="16"/>
                          </w:rPr>
                        </w:pPr>
                      </w:p>
                    </w:tc>
                    <w:tc>
                      <w:tcPr>
                        <w:tcW w:w="1134" w:type="dxa"/>
                        <w:tcBorders>
                          <w:top w:val="nil"/>
                          <w:left w:val="nil"/>
                          <w:bottom w:val="single" w:sz="8" w:space="0" w:color="92BAC2"/>
                          <w:right w:val="single" w:sz="12" w:space="0" w:color="A0C2C9"/>
                        </w:tcBorders>
                        <w:shd w:val="clear" w:color="auto" w:fill="A0C2C9"/>
                      </w:tcPr>
                      <w:p>
                        <w:pPr>
                          <w:pStyle w:val="TableParagraph"/>
                          <w:rPr>
                            <w:rFonts w:ascii="Times New Roman"/>
                            <w:sz w:val="16"/>
                          </w:rPr>
                        </w:pPr>
                      </w:p>
                    </w:tc>
                    <w:tc>
                      <w:tcPr>
                        <w:tcW w:w="1569" w:type="dxa"/>
                        <w:tcBorders>
                          <w:top w:val="nil"/>
                          <w:left w:val="single" w:sz="12" w:space="0" w:color="A0C2C9"/>
                          <w:bottom w:val="single" w:sz="8" w:space="0" w:color="92BAC2"/>
                          <w:right w:val="single" w:sz="12" w:space="0" w:color="A0C2C9"/>
                        </w:tcBorders>
                        <w:shd w:val="clear" w:color="auto" w:fill="A0C2C9"/>
                      </w:tcPr>
                      <w:p>
                        <w:pPr>
                          <w:pStyle w:val="TableParagraph"/>
                          <w:spacing w:line="186" w:lineRule="exact"/>
                          <w:ind w:left="56"/>
                          <w:rPr>
                            <w:sz w:val="17"/>
                          </w:rPr>
                        </w:pPr>
                        <w:r>
                          <w:rPr>
                            <w:color w:val="231F20"/>
                            <w:w w:val="110"/>
                            <w:sz w:val="17"/>
                          </w:rPr>
                          <w:t>a court circuit</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441" w:hRule="atLeast"/>
                    </w:trPr>
                    <w:tc>
                      <w:tcPr>
                        <w:tcW w:w="1247" w:type="dxa"/>
                        <w:tcBorders>
                          <w:top w:val="nil"/>
                          <w:left w:val="nil"/>
                          <w:bottom w:val="nil"/>
                          <w:right w:val="nil"/>
                        </w:tcBorders>
                      </w:tcPr>
                      <w:p>
                        <w:pPr>
                          <w:pStyle w:val="TableParagraph"/>
                          <w:spacing w:before="84"/>
                          <w:ind w:right="125"/>
                          <w:jc w:val="right"/>
                          <w:rPr>
                            <w:b/>
                            <w:sz w:val="20"/>
                          </w:rPr>
                        </w:pPr>
                        <w:r>
                          <w:rPr>
                            <w:b/>
                            <w:color w:val="FFFFFF"/>
                            <w:w w:val="109"/>
                            <w:sz w:val="20"/>
                          </w:rPr>
                          <w:t>7</w:t>
                        </w:r>
                      </w:p>
                    </w:tc>
                    <w:tc>
                      <w:tcPr>
                        <w:tcW w:w="1134" w:type="dxa"/>
                        <w:tcBorders>
                          <w:top w:val="single" w:sz="8" w:space="0" w:color="92BAC2"/>
                          <w:left w:val="nil"/>
                          <w:bottom w:val="nil"/>
                          <w:right w:val="single" w:sz="12" w:space="0" w:color="A0C2C9"/>
                        </w:tcBorders>
                        <w:shd w:val="clear" w:color="auto" w:fill="A0C2C9"/>
                      </w:tcPr>
                      <w:p>
                        <w:pPr>
                          <w:pStyle w:val="TableParagraph"/>
                          <w:spacing w:before="46"/>
                          <w:ind w:left="71"/>
                          <w:rPr>
                            <w:sz w:val="17"/>
                          </w:rPr>
                        </w:pPr>
                        <w:r>
                          <w:rPr>
                            <w:color w:val="231F20"/>
                            <w:w w:val="115"/>
                            <w:sz w:val="17"/>
                          </w:rPr>
                          <w:t>Access</w:t>
                        </w:r>
                      </w:p>
                    </w:tc>
                    <w:tc>
                      <w:tcPr>
                        <w:tcW w:w="1569" w:type="dxa"/>
                        <w:tcBorders>
                          <w:top w:val="single" w:sz="8" w:space="0" w:color="92BAC2"/>
                          <w:left w:val="single" w:sz="12" w:space="0" w:color="A0C2C9"/>
                          <w:bottom w:val="nil"/>
                          <w:right w:val="single" w:sz="12" w:space="0" w:color="A0C2C9"/>
                        </w:tcBorders>
                        <w:shd w:val="clear" w:color="auto" w:fill="A0C2C9"/>
                      </w:tcPr>
                      <w:p>
                        <w:pPr>
                          <w:pStyle w:val="TableParagraph"/>
                          <w:spacing w:line="200" w:lineRule="exact" w:before="48"/>
                          <w:ind w:left="56"/>
                          <w:rPr>
                            <w:sz w:val="17"/>
                          </w:rPr>
                        </w:pPr>
                        <w:r>
                          <w:rPr>
                            <w:color w:val="231F20"/>
                            <w:w w:val="105"/>
                            <w:sz w:val="17"/>
                          </w:rPr>
                          <w:t>Percentage of cases where party</w:t>
                        </w:r>
                      </w:p>
                    </w:tc>
                    <w:tc>
                      <w:tcPr>
                        <w:tcW w:w="960"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282" w:hRule="atLeast"/>
                    </w:trPr>
                    <w:tc>
                      <w:tcPr>
                        <w:tcW w:w="1247" w:type="dxa"/>
                        <w:tcBorders>
                          <w:top w:val="nil"/>
                          <w:left w:val="nil"/>
                          <w:bottom w:val="nil"/>
                          <w:right w:val="nil"/>
                        </w:tcBorders>
                      </w:tcPr>
                      <w:p>
                        <w:pPr>
                          <w:pStyle w:val="TableParagraph"/>
                          <w:rPr>
                            <w:rFonts w:ascii="Times New Roman"/>
                            <w:sz w:val="16"/>
                          </w:rPr>
                        </w:pPr>
                      </w:p>
                    </w:tc>
                    <w:tc>
                      <w:tcPr>
                        <w:tcW w:w="1134" w:type="dxa"/>
                        <w:tcBorders>
                          <w:top w:val="nil"/>
                          <w:left w:val="nil"/>
                          <w:bottom w:val="single" w:sz="8" w:space="0" w:color="92BAC2"/>
                          <w:right w:val="single" w:sz="12" w:space="0" w:color="A0C2C9"/>
                        </w:tcBorders>
                        <w:shd w:val="clear" w:color="auto" w:fill="A0C2C9"/>
                      </w:tcPr>
                      <w:p>
                        <w:pPr>
                          <w:pStyle w:val="TableParagraph"/>
                          <w:rPr>
                            <w:rFonts w:ascii="Times New Roman"/>
                            <w:sz w:val="16"/>
                          </w:rPr>
                        </w:pPr>
                      </w:p>
                    </w:tc>
                    <w:tc>
                      <w:tcPr>
                        <w:tcW w:w="1569" w:type="dxa"/>
                        <w:tcBorders>
                          <w:top w:val="nil"/>
                          <w:left w:val="single" w:sz="12" w:space="0" w:color="A0C2C9"/>
                          <w:bottom w:val="single" w:sz="8" w:space="0" w:color="92BAC2"/>
                          <w:right w:val="single" w:sz="12" w:space="0" w:color="A0C2C9"/>
                        </w:tcBorders>
                        <w:shd w:val="clear" w:color="auto" w:fill="A0C2C9"/>
                      </w:tcPr>
                      <w:p>
                        <w:pPr>
                          <w:pStyle w:val="TableParagraph"/>
                          <w:spacing w:line="186" w:lineRule="exact"/>
                          <w:ind w:left="56"/>
                          <w:rPr>
                            <w:sz w:val="17"/>
                          </w:rPr>
                        </w:pPr>
                        <w:r>
                          <w:rPr>
                            <w:color w:val="231F20"/>
                            <w:w w:val="110"/>
                            <w:sz w:val="17"/>
                          </w:rPr>
                          <w:t>receives legal aid</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441" w:hRule="atLeast"/>
                    </w:trPr>
                    <w:tc>
                      <w:tcPr>
                        <w:tcW w:w="1247" w:type="dxa"/>
                        <w:tcBorders>
                          <w:top w:val="nil"/>
                          <w:left w:val="nil"/>
                          <w:bottom w:val="nil"/>
                          <w:right w:val="nil"/>
                        </w:tcBorders>
                      </w:tcPr>
                      <w:p>
                        <w:pPr>
                          <w:pStyle w:val="TableParagraph"/>
                          <w:spacing w:before="77"/>
                          <w:ind w:right="125"/>
                          <w:jc w:val="right"/>
                          <w:rPr>
                            <w:b/>
                            <w:sz w:val="20"/>
                          </w:rPr>
                        </w:pPr>
                        <w:r>
                          <w:rPr>
                            <w:b/>
                            <w:color w:val="FFFFFF"/>
                            <w:w w:val="109"/>
                            <w:sz w:val="20"/>
                          </w:rPr>
                          <w:t>8</w:t>
                        </w:r>
                      </w:p>
                    </w:tc>
                    <w:tc>
                      <w:tcPr>
                        <w:tcW w:w="1134" w:type="dxa"/>
                        <w:tcBorders>
                          <w:top w:val="single" w:sz="8" w:space="0" w:color="92BAC2"/>
                          <w:left w:val="nil"/>
                          <w:bottom w:val="nil"/>
                          <w:right w:val="single" w:sz="12" w:space="0" w:color="A0C2C9"/>
                        </w:tcBorders>
                        <w:shd w:val="clear" w:color="auto" w:fill="A0C2C9"/>
                      </w:tcPr>
                      <w:p>
                        <w:pPr>
                          <w:pStyle w:val="TableParagraph"/>
                          <w:spacing w:before="46"/>
                          <w:ind w:left="71"/>
                          <w:rPr>
                            <w:sz w:val="17"/>
                          </w:rPr>
                        </w:pPr>
                        <w:r>
                          <w:rPr>
                            <w:color w:val="231F20"/>
                            <w:w w:val="110"/>
                            <w:sz w:val="17"/>
                          </w:rPr>
                          <w:t>Complaints</w:t>
                        </w:r>
                      </w:p>
                    </w:tc>
                    <w:tc>
                      <w:tcPr>
                        <w:tcW w:w="1569" w:type="dxa"/>
                        <w:tcBorders>
                          <w:top w:val="single" w:sz="8" w:space="0" w:color="92BAC2"/>
                          <w:left w:val="single" w:sz="12" w:space="0" w:color="A0C2C9"/>
                          <w:bottom w:val="nil"/>
                          <w:right w:val="single" w:sz="12" w:space="0" w:color="A0C2C9"/>
                        </w:tcBorders>
                        <w:shd w:val="clear" w:color="auto" w:fill="A0C2C9"/>
                      </w:tcPr>
                      <w:p>
                        <w:pPr>
                          <w:pStyle w:val="TableParagraph"/>
                          <w:spacing w:line="200" w:lineRule="exact" w:before="48"/>
                          <w:ind w:left="56" w:right="17"/>
                          <w:rPr>
                            <w:sz w:val="17"/>
                          </w:rPr>
                        </w:pPr>
                        <w:r>
                          <w:rPr>
                            <w:color w:val="231F20"/>
                            <w:w w:val="110"/>
                            <w:sz w:val="17"/>
                          </w:rPr>
                          <w:t>Documented </w:t>
                        </w:r>
                        <w:r>
                          <w:rPr>
                            <w:color w:val="231F20"/>
                            <w:spacing w:val="-6"/>
                            <w:w w:val="110"/>
                            <w:sz w:val="17"/>
                          </w:rPr>
                          <w:t>process </w:t>
                        </w:r>
                        <w:r>
                          <w:rPr>
                            <w:color w:val="231F20"/>
                            <w:spacing w:val="-4"/>
                            <w:w w:val="110"/>
                            <w:sz w:val="17"/>
                          </w:rPr>
                          <w:t>for </w:t>
                        </w:r>
                        <w:r>
                          <w:rPr>
                            <w:color w:val="231F20"/>
                            <w:spacing w:val="-7"/>
                            <w:w w:val="110"/>
                            <w:sz w:val="17"/>
                          </w:rPr>
                          <w:t>receiving</w:t>
                        </w:r>
                      </w:p>
                    </w:tc>
                    <w:tc>
                      <w:tcPr>
                        <w:tcW w:w="960"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173" w:hRule="atLeast"/>
                    </w:trPr>
                    <w:tc>
                      <w:tcPr>
                        <w:tcW w:w="1247" w:type="dxa"/>
                        <w:tcBorders>
                          <w:top w:val="nil"/>
                          <w:left w:val="nil"/>
                          <w:bottom w:val="nil"/>
                          <w:right w:val="nil"/>
                        </w:tcBorders>
                      </w:tcPr>
                      <w:p>
                        <w:pPr>
                          <w:pStyle w:val="TableParagraph"/>
                          <w:rPr>
                            <w:rFonts w:ascii="Times New Roman"/>
                            <w:sz w:val="10"/>
                          </w:rPr>
                        </w:pPr>
                      </w:p>
                    </w:tc>
                    <w:tc>
                      <w:tcPr>
                        <w:tcW w:w="1134" w:type="dxa"/>
                        <w:tcBorders>
                          <w:top w:val="nil"/>
                          <w:left w:val="nil"/>
                          <w:bottom w:val="nil"/>
                          <w:right w:val="single" w:sz="12" w:space="0" w:color="A0C2C9"/>
                        </w:tcBorders>
                        <w:shd w:val="clear" w:color="auto" w:fill="A0C2C9"/>
                      </w:tcPr>
                      <w:p>
                        <w:pPr>
                          <w:pStyle w:val="TableParagraph"/>
                          <w:rPr>
                            <w:rFonts w:ascii="Times New Roman"/>
                            <w:sz w:val="10"/>
                          </w:rPr>
                        </w:pPr>
                      </w:p>
                    </w:tc>
                    <w:tc>
                      <w:tcPr>
                        <w:tcW w:w="1569" w:type="dxa"/>
                        <w:tcBorders>
                          <w:top w:val="nil"/>
                          <w:left w:val="single" w:sz="12" w:space="0" w:color="A0C2C9"/>
                          <w:bottom w:val="nil"/>
                          <w:right w:val="single" w:sz="12" w:space="0" w:color="A0C2C9"/>
                        </w:tcBorders>
                        <w:shd w:val="clear" w:color="auto" w:fill="A0C2C9"/>
                      </w:tcPr>
                      <w:p>
                        <w:pPr>
                          <w:pStyle w:val="TableParagraph"/>
                          <w:spacing w:line="153" w:lineRule="exact"/>
                          <w:ind w:left="56"/>
                          <w:rPr>
                            <w:sz w:val="17"/>
                          </w:rPr>
                        </w:pPr>
                        <w:r>
                          <w:rPr>
                            <w:color w:val="231F20"/>
                            <w:w w:val="110"/>
                            <w:sz w:val="17"/>
                          </w:rPr>
                          <w:t>and processing a</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180" w:hRule="atLeast"/>
                    </w:trPr>
                    <w:tc>
                      <w:tcPr>
                        <w:tcW w:w="1247" w:type="dxa"/>
                        <w:tcBorders>
                          <w:top w:val="nil"/>
                          <w:left w:val="nil"/>
                          <w:bottom w:val="nil"/>
                          <w:right w:val="nil"/>
                        </w:tcBorders>
                      </w:tcPr>
                      <w:p>
                        <w:pPr>
                          <w:pStyle w:val="TableParagraph"/>
                          <w:rPr>
                            <w:rFonts w:ascii="Times New Roman"/>
                            <w:sz w:val="12"/>
                          </w:rPr>
                        </w:pPr>
                      </w:p>
                    </w:tc>
                    <w:tc>
                      <w:tcPr>
                        <w:tcW w:w="1134" w:type="dxa"/>
                        <w:tcBorders>
                          <w:top w:val="nil"/>
                          <w:left w:val="nil"/>
                          <w:bottom w:val="nil"/>
                          <w:right w:val="single" w:sz="12" w:space="0" w:color="A0C2C9"/>
                        </w:tcBorders>
                        <w:shd w:val="clear" w:color="auto" w:fill="A0C2C9"/>
                      </w:tcPr>
                      <w:p>
                        <w:pPr>
                          <w:pStyle w:val="TableParagraph"/>
                          <w:rPr>
                            <w:rFonts w:ascii="Times New Roman"/>
                            <w:sz w:val="12"/>
                          </w:rPr>
                        </w:pPr>
                      </w:p>
                    </w:tc>
                    <w:tc>
                      <w:tcPr>
                        <w:tcW w:w="1569" w:type="dxa"/>
                        <w:tcBorders>
                          <w:top w:val="nil"/>
                          <w:left w:val="single" w:sz="12" w:space="0" w:color="A0C2C9"/>
                          <w:bottom w:val="nil"/>
                          <w:right w:val="single" w:sz="12" w:space="0" w:color="A0C2C9"/>
                        </w:tcBorders>
                        <w:shd w:val="clear" w:color="auto" w:fill="A0C2C9"/>
                      </w:tcPr>
                      <w:p>
                        <w:pPr>
                          <w:pStyle w:val="TableParagraph"/>
                          <w:spacing w:line="160" w:lineRule="exact"/>
                          <w:ind w:left="56"/>
                          <w:rPr>
                            <w:sz w:val="17"/>
                          </w:rPr>
                        </w:pPr>
                        <w:r>
                          <w:rPr>
                            <w:color w:val="231F20"/>
                            <w:w w:val="110"/>
                            <w:sz w:val="17"/>
                          </w:rPr>
                          <w:t>complaint that is</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289" w:hRule="atLeast"/>
                    </w:trPr>
                    <w:tc>
                      <w:tcPr>
                        <w:tcW w:w="1247" w:type="dxa"/>
                        <w:tcBorders>
                          <w:top w:val="nil"/>
                          <w:left w:val="nil"/>
                          <w:bottom w:val="nil"/>
                          <w:right w:val="nil"/>
                        </w:tcBorders>
                      </w:tcPr>
                      <w:p>
                        <w:pPr>
                          <w:pStyle w:val="TableParagraph"/>
                          <w:rPr>
                            <w:rFonts w:ascii="Times New Roman"/>
                            <w:sz w:val="16"/>
                          </w:rPr>
                        </w:pPr>
                      </w:p>
                    </w:tc>
                    <w:tc>
                      <w:tcPr>
                        <w:tcW w:w="1134" w:type="dxa"/>
                        <w:tcBorders>
                          <w:top w:val="nil"/>
                          <w:left w:val="nil"/>
                          <w:bottom w:val="single" w:sz="8" w:space="0" w:color="92BAC2"/>
                          <w:right w:val="single" w:sz="12" w:space="0" w:color="A0C2C9"/>
                        </w:tcBorders>
                        <w:shd w:val="clear" w:color="auto" w:fill="A0C2C9"/>
                      </w:tcPr>
                      <w:p>
                        <w:pPr>
                          <w:pStyle w:val="TableParagraph"/>
                          <w:rPr>
                            <w:rFonts w:ascii="Times New Roman"/>
                            <w:sz w:val="16"/>
                          </w:rPr>
                        </w:pPr>
                      </w:p>
                    </w:tc>
                    <w:tc>
                      <w:tcPr>
                        <w:tcW w:w="1569" w:type="dxa"/>
                        <w:tcBorders>
                          <w:top w:val="nil"/>
                          <w:left w:val="single" w:sz="12" w:space="0" w:color="A0C2C9"/>
                          <w:bottom w:val="single" w:sz="8" w:space="0" w:color="92BAC2"/>
                          <w:right w:val="single" w:sz="12" w:space="0" w:color="A0C2C9"/>
                        </w:tcBorders>
                        <w:shd w:val="clear" w:color="auto" w:fill="A0C2C9"/>
                      </w:tcPr>
                      <w:p>
                        <w:pPr>
                          <w:pStyle w:val="TableParagraph"/>
                          <w:spacing w:line="193" w:lineRule="exact"/>
                          <w:ind w:left="56"/>
                          <w:rPr>
                            <w:sz w:val="17"/>
                          </w:rPr>
                        </w:pPr>
                        <w:r>
                          <w:rPr>
                            <w:color w:val="231F20"/>
                            <w:w w:val="115"/>
                            <w:sz w:val="17"/>
                          </w:rPr>
                          <w:t>publicly available</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441" w:hRule="atLeast"/>
                    </w:trPr>
                    <w:tc>
                      <w:tcPr>
                        <w:tcW w:w="1247" w:type="dxa"/>
                        <w:tcBorders>
                          <w:top w:val="nil"/>
                          <w:left w:val="nil"/>
                          <w:bottom w:val="nil"/>
                          <w:right w:val="nil"/>
                        </w:tcBorders>
                      </w:tcPr>
                      <w:p>
                        <w:pPr>
                          <w:pStyle w:val="TableParagraph"/>
                          <w:spacing w:before="80"/>
                          <w:ind w:right="125"/>
                          <w:jc w:val="right"/>
                          <w:rPr>
                            <w:b/>
                            <w:sz w:val="20"/>
                          </w:rPr>
                        </w:pPr>
                        <w:r>
                          <w:rPr>
                            <w:b/>
                            <w:color w:val="FFFFFF"/>
                            <w:w w:val="109"/>
                            <w:sz w:val="20"/>
                          </w:rPr>
                          <w:t>9</w:t>
                        </w:r>
                      </w:p>
                    </w:tc>
                    <w:tc>
                      <w:tcPr>
                        <w:tcW w:w="1134" w:type="dxa"/>
                        <w:tcBorders>
                          <w:top w:val="single" w:sz="8" w:space="0" w:color="92BAC2"/>
                          <w:left w:val="nil"/>
                          <w:bottom w:val="nil"/>
                          <w:right w:val="single" w:sz="12" w:space="0" w:color="A0C2C9"/>
                        </w:tcBorders>
                        <w:shd w:val="clear" w:color="auto" w:fill="A0C2C9"/>
                      </w:tcPr>
                      <w:p>
                        <w:pPr>
                          <w:pStyle w:val="TableParagraph"/>
                          <w:spacing w:before="46"/>
                          <w:ind w:left="71"/>
                          <w:rPr>
                            <w:sz w:val="17"/>
                          </w:rPr>
                        </w:pPr>
                        <w:r>
                          <w:rPr>
                            <w:color w:val="231F20"/>
                            <w:w w:val="110"/>
                            <w:sz w:val="17"/>
                          </w:rPr>
                          <w:t>Complaints</w:t>
                        </w:r>
                      </w:p>
                    </w:tc>
                    <w:tc>
                      <w:tcPr>
                        <w:tcW w:w="1569" w:type="dxa"/>
                        <w:tcBorders>
                          <w:top w:val="single" w:sz="8" w:space="0" w:color="92BAC2"/>
                          <w:left w:val="single" w:sz="12" w:space="0" w:color="A0C2C9"/>
                          <w:bottom w:val="nil"/>
                          <w:right w:val="single" w:sz="12" w:space="0" w:color="A0C2C9"/>
                        </w:tcBorders>
                        <w:shd w:val="clear" w:color="auto" w:fill="A0C2C9"/>
                      </w:tcPr>
                      <w:p>
                        <w:pPr>
                          <w:pStyle w:val="TableParagraph"/>
                          <w:spacing w:line="200" w:lineRule="exact" w:before="48"/>
                          <w:ind w:left="56" w:right="6"/>
                          <w:rPr>
                            <w:sz w:val="17"/>
                          </w:rPr>
                        </w:pPr>
                        <w:r>
                          <w:rPr>
                            <w:color w:val="231F20"/>
                            <w:w w:val="105"/>
                            <w:sz w:val="17"/>
                          </w:rPr>
                          <w:t>Percentage of complaints received</w:t>
                        </w:r>
                      </w:p>
                    </w:tc>
                    <w:tc>
                      <w:tcPr>
                        <w:tcW w:w="960"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173" w:hRule="atLeast"/>
                    </w:trPr>
                    <w:tc>
                      <w:tcPr>
                        <w:tcW w:w="1247" w:type="dxa"/>
                        <w:tcBorders>
                          <w:top w:val="nil"/>
                          <w:left w:val="nil"/>
                          <w:bottom w:val="nil"/>
                          <w:right w:val="nil"/>
                        </w:tcBorders>
                      </w:tcPr>
                      <w:p>
                        <w:pPr>
                          <w:pStyle w:val="TableParagraph"/>
                          <w:rPr>
                            <w:rFonts w:ascii="Times New Roman"/>
                            <w:sz w:val="10"/>
                          </w:rPr>
                        </w:pPr>
                      </w:p>
                    </w:tc>
                    <w:tc>
                      <w:tcPr>
                        <w:tcW w:w="1134" w:type="dxa"/>
                        <w:tcBorders>
                          <w:top w:val="nil"/>
                          <w:left w:val="nil"/>
                          <w:bottom w:val="nil"/>
                          <w:right w:val="single" w:sz="12" w:space="0" w:color="A0C2C9"/>
                        </w:tcBorders>
                        <w:shd w:val="clear" w:color="auto" w:fill="A0C2C9"/>
                      </w:tcPr>
                      <w:p>
                        <w:pPr>
                          <w:pStyle w:val="TableParagraph"/>
                          <w:rPr>
                            <w:rFonts w:ascii="Times New Roman"/>
                            <w:sz w:val="10"/>
                          </w:rPr>
                        </w:pPr>
                      </w:p>
                    </w:tc>
                    <w:tc>
                      <w:tcPr>
                        <w:tcW w:w="1569" w:type="dxa"/>
                        <w:tcBorders>
                          <w:top w:val="nil"/>
                          <w:left w:val="single" w:sz="12" w:space="0" w:color="A0C2C9"/>
                          <w:bottom w:val="nil"/>
                          <w:right w:val="single" w:sz="12" w:space="0" w:color="A0C2C9"/>
                        </w:tcBorders>
                        <w:shd w:val="clear" w:color="auto" w:fill="A0C2C9"/>
                      </w:tcPr>
                      <w:p>
                        <w:pPr>
                          <w:pStyle w:val="TableParagraph"/>
                          <w:spacing w:line="153" w:lineRule="exact"/>
                          <w:ind w:left="56"/>
                          <w:rPr>
                            <w:sz w:val="17"/>
                          </w:rPr>
                        </w:pPr>
                        <w:r>
                          <w:rPr>
                            <w:color w:val="231F20"/>
                            <w:w w:val="110"/>
                            <w:sz w:val="17"/>
                          </w:rPr>
                          <w:t>concerning a</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289" w:hRule="atLeast"/>
                    </w:trPr>
                    <w:tc>
                      <w:tcPr>
                        <w:tcW w:w="1247" w:type="dxa"/>
                        <w:tcBorders>
                          <w:top w:val="nil"/>
                          <w:left w:val="nil"/>
                          <w:bottom w:val="nil"/>
                          <w:right w:val="nil"/>
                        </w:tcBorders>
                      </w:tcPr>
                      <w:p>
                        <w:pPr>
                          <w:pStyle w:val="TableParagraph"/>
                          <w:rPr>
                            <w:rFonts w:ascii="Times New Roman"/>
                            <w:sz w:val="16"/>
                          </w:rPr>
                        </w:pPr>
                      </w:p>
                    </w:tc>
                    <w:tc>
                      <w:tcPr>
                        <w:tcW w:w="1134" w:type="dxa"/>
                        <w:tcBorders>
                          <w:top w:val="nil"/>
                          <w:left w:val="nil"/>
                          <w:bottom w:val="single" w:sz="8" w:space="0" w:color="92BAC2"/>
                          <w:right w:val="single" w:sz="12" w:space="0" w:color="A0C2C9"/>
                        </w:tcBorders>
                        <w:shd w:val="clear" w:color="auto" w:fill="A0C2C9"/>
                      </w:tcPr>
                      <w:p>
                        <w:pPr>
                          <w:pStyle w:val="TableParagraph"/>
                          <w:rPr>
                            <w:rFonts w:ascii="Times New Roman"/>
                            <w:sz w:val="16"/>
                          </w:rPr>
                        </w:pPr>
                      </w:p>
                    </w:tc>
                    <w:tc>
                      <w:tcPr>
                        <w:tcW w:w="1569" w:type="dxa"/>
                        <w:tcBorders>
                          <w:top w:val="nil"/>
                          <w:left w:val="single" w:sz="12" w:space="0" w:color="A0C2C9"/>
                          <w:bottom w:val="single" w:sz="8" w:space="0" w:color="92BAC2"/>
                          <w:right w:val="single" w:sz="12" w:space="0" w:color="A0C2C9"/>
                        </w:tcBorders>
                        <w:shd w:val="clear" w:color="auto" w:fill="A0C2C9"/>
                      </w:tcPr>
                      <w:p>
                        <w:pPr>
                          <w:pStyle w:val="TableParagraph"/>
                          <w:spacing w:line="193" w:lineRule="exact"/>
                          <w:ind w:left="56"/>
                          <w:rPr>
                            <w:sz w:val="17"/>
                          </w:rPr>
                        </w:pPr>
                        <w:r>
                          <w:rPr>
                            <w:color w:val="231F20"/>
                            <w:w w:val="115"/>
                            <w:sz w:val="17"/>
                          </w:rPr>
                          <w:t>judicial officer</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441" w:hRule="atLeast"/>
                    </w:trPr>
                    <w:tc>
                      <w:tcPr>
                        <w:tcW w:w="1247" w:type="dxa"/>
                        <w:tcBorders>
                          <w:top w:val="nil"/>
                          <w:left w:val="nil"/>
                          <w:bottom w:val="nil"/>
                          <w:right w:val="nil"/>
                        </w:tcBorders>
                      </w:tcPr>
                      <w:p>
                        <w:pPr>
                          <w:pStyle w:val="TableParagraph"/>
                          <w:spacing w:before="74"/>
                          <w:ind w:right="72"/>
                          <w:jc w:val="right"/>
                          <w:rPr>
                            <w:b/>
                            <w:sz w:val="20"/>
                          </w:rPr>
                        </w:pPr>
                        <w:r>
                          <w:rPr>
                            <w:b/>
                            <w:color w:val="FFFFFF"/>
                            <w:w w:val="105"/>
                            <w:sz w:val="20"/>
                          </w:rPr>
                          <w:t>10</w:t>
                        </w:r>
                      </w:p>
                    </w:tc>
                    <w:tc>
                      <w:tcPr>
                        <w:tcW w:w="1134" w:type="dxa"/>
                        <w:tcBorders>
                          <w:top w:val="single" w:sz="8" w:space="0" w:color="92BAC2"/>
                          <w:left w:val="nil"/>
                          <w:bottom w:val="nil"/>
                          <w:right w:val="single" w:sz="12" w:space="0" w:color="A0C2C9"/>
                        </w:tcBorders>
                        <w:shd w:val="clear" w:color="auto" w:fill="A0C2C9"/>
                      </w:tcPr>
                      <w:p>
                        <w:pPr>
                          <w:pStyle w:val="TableParagraph"/>
                          <w:spacing w:before="46"/>
                          <w:ind w:left="71"/>
                          <w:rPr>
                            <w:sz w:val="17"/>
                          </w:rPr>
                        </w:pPr>
                        <w:r>
                          <w:rPr>
                            <w:color w:val="231F20"/>
                            <w:w w:val="110"/>
                            <w:sz w:val="17"/>
                          </w:rPr>
                          <w:t>Complaints</w:t>
                        </w:r>
                      </w:p>
                    </w:tc>
                    <w:tc>
                      <w:tcPr>
                        <w:tcW w:w="1569" w:type="dxa"/>
                        <w:tcBorders>
                          <w:top w:val="single" w:sz="8" w:space="0" w:color="92BAC2"/>
                          <w:left w:val="single" w:sz="12" w:space="0" w:color="A0C2C9"/>
                          <w:bottom w:val="nil"/>
                          <w:right w:val="single" w:sz="12" w:space="0" w:color="A0C2C9"/>
                        </w:tcBorders>
                        <w:shd w:val="clear" w:color="auto" w:fill="A0C2C9"/>
                      </w:tcPr>
                      <w:p>
                        <w:pPr>
                          <w:pStyle w:val="TableParagraph"/>
                          <w:spacing w:line="200" w:lineRule="exact" w:before="48"/>
                          <w:ind w:left="56" w:right="-15"/>
                          <w:rPr>
                            <w:sz w:val="17"/>
                          </w:rPr>
                        </w:pPr>
                        <w:r>
                          <w:rPr>
                            <w:color w:val="231F20"/>
                            <w:spacing w:val="-3"/>
                            <w:w w:val="105"/>
                            <w:sz w:val="17"/>
                          </w:rPr>
                          <w:t>Percentage </w:t>
                        </w:r>
                        <w:r>
                          <w:rPr>
                            <w:color w:val="231F20"/>
                            <w:w w:val="105"/>
                            <w:sz w:val="17"/>
                          </w:rPr>
                          <w:t>of complaints</w:t>
                        </w:r>
                        <w:r>
                          <w:rPr>
                            <w:color w:val="231F20"/>
                            <w:spacing w:val="36"/>
                            <w:w w:val="105"/>
                            <w:sz w:val="17"/>
                          </w:rPr>
                          <w:t> </w:t>
                        </w:r>
                        <w:r>
                          <w:rPr>
                            <w:color w:val="231F20"/>
                            <w:spacing w:val="-3"/>
                            <w:w w:val="105"/>
                            <w:sz w:val="17"/>
                          </w:rPr>
                          <w:t>received</w:t>
                        </w:r>
                      </w:p>
                    </w:tc>
                    <w:tc>
                      <w:tcPr>
                        <w:tcW w:w="960"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173" w:hRule="atLeast"/>
                    </w:trPr>
                    <w:tc>
                      <w:tcPr>
                        <w:tcW w:w="1247" w:type="dxa"/>
                        <w:tcBorders>
                          <w:top w:val="nil"/>
                          <w:left w:val="nil"/>
                          <w:bottom w:val="nil"/>
                          <w:right w:val="nil"/>
                        </w:tcBorders>
                      </w:tcPr>
                      <w:p>
                        <w:pPr>
                          <w:pStyle w:val="TableParagraph"/>
                          <w:rPr>
                            <w:rFonts w:ascii="Times New Roman"/>
                            <w:sz w:val="10"/>
                          </w:rPr>
                        </w:pPr>
                      </w:p>
                    </w:tc>
                    <w:tc>
                      <w:tcPr>
                        <w:tcW w:w="1134" w:type="dxa"/>
                        <w:tcBorders>
                          <w:top w:val="nil"/>
                          <w:left w:val="nil"/>
                          <w:bottom w:val="nil"/>
                          <w:right w:val="single" w:sz="12" w:space="0" w:color="A0C2C9"/>
                        </w:tcBorders>
                        <w:shd w:val="clear" w:color="auto" w:fill="A0C2C9"/>
                      </w:tcPr>
                      <w:p>
                        <w:pPr>
                          <w:pStyle w:val="TableParagraph"/>
                          <w:rPr>
                            <w:rFonts w:ascii="Times New Roman"/>
                            <w:sz w:val="10"/>
                          </w:rPr>
                        </w:pPr>
                      </w:p>
                    </w:tc>
                    <w:tc>
                      <w:tcPr>
                        <w:tcW w:w="1569" w:type="dxa"/>
                        <w:tcBorders>
                          <w:top w:val="nil"/>
                          <w:left w:val="single" w:sz="12" w:space="0" w:color="A0C2C9"/>
                          <w:bottom w:val="nil"/>
                          <w:right w:val="single" w:sz="12" w:space="0" w:color="A0C2C9"/>
                        </w:tcBorders>
                        <w:shd w:val="clear" w:color="auto" w:fill="A0C2C9"/>
                      </w:tcPr>
                      <w:p>
                        <w:pPr>
                          <w:pStyle w:val="TableParagraph"/>
                          <w:spacing w:line="153" w:lineRule="exact"/>
                          <w:ind w:left="56"/>
                          <w:rPr>
                            <w:sz w:val="17"/>
                          </w:rPr>
                        </w:pPr>
                        <w:r>
                          <w:rPr>
                            <w:color w:val="231F20"/>
                            <w:w w:val="110"/>
                            <w:sz w:val="17"/>
                          </w:rPr>
                          <w:t>concerning a court</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289" w:hRule="atLeast"/>
                    </w:trPr>
                    <w:tc>
                      <w:tcPr>
                        <w:tcW w:w="1247" w:type="dxa"/>
                        <w:tcBorders>
                          <w:top w:val="nil"/>
                          <w:left w:val="nil"/>
                          <w:bottom w:val="nil"/>
                          <w:right w:val="nil"/>
                        </w:tcBorders>
                      </w:tcPr>
                      <w:p>
                        <w:pPr>
                          <w:pStyle w:val="TableParagraph"/>
                          <w:rPr>
                            <w:rFonts w:ascii="Times New Roman"/>
                            <w:sz w:val="16"/>
                          </w:rPr>
                        </w:pPr>
                      </w:p>
                    </w:tc>
                    <w:tc>
                      <w:tcPr>
                        <w:tcW w:w="1134" w:type="dxa"/>
                        <w:tcBorders>
                          <w:top w:val="nil"/>
                          <w:left w:val="nil"/>
                          <w:bottom w:val="single" w:sz="8" w:space="0" w:color="92BAC2"/>
                          <w:right w:val="single" w:sz="12" w:space="0" w:color="A0C2C9"/>
                        </w:tcBorders>
                        <w:shd w:val="clear" w:color="auto" w:fill="A0C2C9"/>
                      </w:tcPr>
                      <w:p>
                        <w:pPr>
                          <w:pStyle w:val="TableParagraph"/>
                          <w:rPr>
                            <w:rFonts w:ascii="Times New Roman"/>
                            <w:sz w:val="16"/>
                          </w:rPr>
                        </w:pPr>
                      </w:p>
                    </w:tc>
                    <w:tc>
                      <w:tcPr>
                        <w:tcW w:w="1569" w:type="dxa"/>
                        <w:tcBorders>
                          <w:top w:val="nil"/>
                          <w:left w:val="single" w:sz="12" w:space="0" w:color="A0C2C9"/>
                          <w:bottom w:val="single" w:sz="8" w:space="0" w:color="92BAC2"/>
                          <w:right w:val="single" w:sz="12" w:space="0" w:color="A0C2C9"/>
                        </w:tcBorders>
                        <w:shd w:val="clear" w:color="auto" w:fill="A0C2C9"/>
                      </w:tcPr>
                      <w:p>
                        <w:pPr>
                          <w:pStyle w:val="TableParagraph"/>
                          <w:spacing w:line="193" w:lineRule="exact"/>
                          <w:ind w:left="56"/>
                          <w:rPr>
                            <w:sz w:val="17"/>
                          </w:rPr>
                        </w:pPr>
                        <w:r>
                          <w:rPr>
                            <w:color w:val="231F20"/>
                            <w:w w:val="105"/>
                            <w:sz w:val="17"/>
                          </w:rPr>
                          <w:t>staff member</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750" w:hRule="atLeast"/>
                    </w:trPr>
                    <w:tc>
                      <w:tcPr>
                        <w:tcW w:w="1247" w:type="dxa"/>
                        <w:tcBorders>
                          <w:top w:val="nil"/>
                          <w:left w:val="nil"/>
                          <w:bottom w:val="nil"/>
                          <w:right w:val="nil"/>
                        </w:tcBorders>
                      </w:tcPr>
                      <w:p>
                        <w:pPr>
                          <w:pStyle w:val="TableParagraph"/>
                          <w:spacing w:before="76"/>
                          <w:ind w:right="72"/>
                          <w:jc w:val="right"/>
                          <w:rPr>
                            <w:b/>
                            <w:sz w:val="20"/>
                          </w:rPr>
                        </w:pPr>
                        <w:r>
                          <w:rPr>
                            <w:b/>
                            <w:color w:val="FFFFFF"/>
                            <w:w w:val="105"/>
                            <w:sz w:val="20"/>
                          </w:rPr>
                          <w:t>11</w:t>
                        </w:r>
                      </w:p>
                    </w:tc>
                    <w:tc>
                      <w:tcPr>
                        <w:tcW w:w="1134"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71" w:right="288"/>
                          <w:rPr>
                            <w:sz w:val="17"/>
                          </w:rPr>
                        </w:pPr>
                        <w:r>
                          <w:rPr>
                            <w:color w:val="231F20"/>
                            <w:w w:val="110"/>
                            <w:sz w:val="17"/>
                          </w:rPr>
                          <w:t>Human </w:t>
                        </w:r>
                        <w:r>
                          <w:rPr>
                            <w:color w:val="231F20"/>
                            <w:w w:val="105"/>
                            <w:sz w:val="17"/>
                          </w:rPr>
                          <w:t>Resources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6" w:right="-2"/>
                          <w:rPr>
                            <w:sz w:val="17"/>
                          </w:rPr>
                        </w:pPr>
                        <w:r>
                          <w:rPr>
                            <w:color w:val="231F20"/>
                            <w:w w:val="110"/>
                            <w:sz w:val="17"/>
                          </w:rPr>
                          <w:t>Average number of cases per judicial officer</w:t>
                        </w:r>
                      </w:p>
                    </w:tc>
                    <w:tc>
                      <w:tcPr>
                        <w:tcW w:w="960"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550" w:hRule="atLeast"/>
                    </w:trPr>
                    <w:tc>
                      <w:tcPr>
                        <w:tcW w:w="1247" w:type="dxa"/>
                        <w:tcBorders>
                          <w:top w:val="nil"/>
                          <w:left w:val="nil"/>
                          <w:bottom w:val="nil"/>
                          <w:right w:val="nil"/>
                        </w:tcBorders>
                      </w:tcPr>
                      <w:p>
                        <w:pPr>
                          <w:pStyle w:val="TableParagraph"/>
                          <w:spacing w:before="74"/>
                          <w:ind w:right="72"/>
                          <w:jc w:val="right"/>
                          <w:rPr>
                            <w:b/>
                            <w:sz w:val="20"/>
                          </w:rPr>
                        </w:pPr>
                        <w:r>
                          <w:rPr>
                            <w:b/>
                            <w:color w:val="FFFFFF"/>
                            <w:w w:val="105"/>
                            <w:sz w:val="20"/>
                          </w:rPr>
                          <w:t>12</w:t>
                        </w:r>
                      </w:p>
                    </w:tc>
                    <w:tc>
                      <w:tcPr>
                        <w:tcW w:w="1134"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71" w:right="288"/>
                          <w:rPr>
                            <w:sz w:val="17"/>
                          </w:rPr>
                        </w:pPr>
                        <w:r>
                          <w:rPr>
                            <w:color w:val="231F20"/>
                            <w:w w:val="110"/>
                            <w:sz w:val="17"/>
                          </w:rPr>
                          <w:t>Human </w:t>
                        </w:r>
                        <w:r>
                          <w:rPr>
                            <w:color w:val="231F20"/>
                            <w:w w:val="105"/>
                            <w:sz w:val="17"/>
                          </w:rPr>
                          <w:t>Resources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6" w:right="-2"/>
                          <w:rPr>
                            <w:sz w:val="17"/>
                          </w:rPr>
                        </w:pPr>
                        <w:r>
                          <w:rPr>
                            <w:color w:val="231F20"/>
                            <w:w w:val="105"/>
                            <w:sz w:val="17"/>
                          </w:rPr>
                          <w:t>Average number of cases per court staff</w:t>
                        </w:r>
                      </w:p>
                    </w:tc>
                    <w:tc>
                      <w:tcPr>
                        <w:tcW w:w="960"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641" w:hRule="atLeast"/>
                    </w:trPr>
                    <w:tc>
                      <w:tcPr>
                        <w:tcW w:w="1247" w:type="dxa"/>
                        <w:tcBorders>
                          <w:top w:val="nil"/>
                          <w:left w:val="nil"/>
                          <w:bottom w:val="nil"/>
                          <w:right w:val="nil"/>
                        </w:tcBorders>
                      </w:tcPr>
                      <w:p>
                        <w:pPr>
                          <w:pStyle w:val="TableParagraph"/>
                          <w:spacing w:before="74"/>
                          <w:ind w:right="72"/>
                          <w:jc w:val="right"/>
                          <w:rPr>
                            <w:b/>
                            <w:sz w:val="20"/>
                          </w:rPr>
                        </w:pPr>
                        <w:r>
                          <w:rPr>
                            <w:b/>
                            <w:color w:val="FFFFFF"/>
                            <w:w w:val="105"/>
                            <w:sz w:val="20"/>
                          </w:rPr>
                          <w:t>13</w:t>
                        </w:r>
                      </w:p>
                    </w:tc>
                    <w:tc>
                      <w:tcPr>
                        <w:tcW w:w="1134" w:type="dxa"/>
                        <w:tcBorders>
                          <w:top w:val="single" w:sz="8" w:space="0" w:color="92BAC2"/>
                          <w:left w:val="nil"/>
                          <w:bottom w:val="nil"/>
                          <w:right w:val="single" w:sz="12" w:space="0" w:color="A0C2C9"/>
                        </w:tcBorders>
                        <w:shd w:val="clear" w:color="auto" w:fill="A0C2C9"/>
                      </w:tcPr>
                      <w:p>
                        <w:pPr>
                          <w:pStyle w:val="TableParagraph"/>
                          <w:spacing w:line="230" w:lineRule="auto" w:before="53"/>
                          <w:ind w:left="71" w:right="2"/>
                          <w:rPr>
                            <w:sz w:val="17"/>
                          </w:rPr>
                        </w:pPr>
                        <w:r>
                          <w:rPr>
                            <w:color w:val="231F20"/>
                            <w:w w:val="110"/>
                            <w:sz w:val="17"/>
                          </w:rPr>
                          <w:t>Judicial Transparency</w:t>
                        </w:r>
                      </w:p>
                    </w:tc>
                    <w:tc>
                      <w:tcPr>
                        <w:tcW w:w="1569" w:type="dxa"/>
                        <w:tcBorders>
                          <w:top w:val="single" w:sz="8" w:space="0" w:color="92BAC2"/>
                          <w:left w:val="single" w:sz="12" w:space="0" w:color="A0C2C9"/>
                          <w:bottom w:val="nil"/>
                          <w:right w:val="single" w:sz="12" w:space="0" w:color="A0C2C9"/>
                        </w:tcBorders>
                        <w:shd w:val="clear" w:color="auto" w:fill="A0C2C9"/>
                      </w:tcPr>
                      <w:p>
                        <w:pPr>
                          <w:pStyle w:val="TableParagraph"/>
                          <w:spacing w:line="200" w:lineRule="exact" w:before="48"/>
                          <w:ind w:left="56" w:right="-15"/>
                          <w:rPr>
                            <w:sz w:val="17"/>
                          </w:rPr>
                        </w:pPr>
                        <w:r>
                          <w:rPr>
                            <w:color w:val="231F20"/>
                            <w:w w:val="105"/>
                            <w:sz w:val="17"/>
                          </w:rPr>
                          <w:t>Court procedures or contributes to an Annual Report</w:t>
                        </w:r>
                        <w:r>
                          <w:rPr>
                            <w:color w:val="231F20"/>
                            <w:spacing w:val="5"/>
                            <w:w w:val="105"/>
                            <w:sz w:val="17"/>
                          </w:rPr>
                          <w:t> </w:t>
                        </w:r>
                        <w:r>
                          <w:rPr>
                            <w:color w:val="231F20"/>
                            <w:w w:val="105"/>
                            <w:sz w:val="17"/>
                          </w:rPr>
                          <w:t>that</w:t>
                        </w:r>
                      </w:p>
                    </w:tc>
                    <w:tc>
                      <w:tcPr>
                        <w:tcW w:w="960"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vMerge w:val="restart"/>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282" w:hRule="atLeast"/>
                    </w:trPr>
                    <w:tc>
                      <w:tcPr>
                        <w:tcW w:w="1247" w:type="dxa"/>
                        <w:tcBorders>
                          <w:top w:val="nil"/>
                          <w:left w:val="nil"/>
                          <w:bottom w:val="nil"/>
                          <w:right w:val="nil"/>
                        </w:tcBorders>
                      </w:tcPr>
                      <w:p>
                        <w:pPr>
                          <w:pStyle w:val="TableParagraph"/>
                          <w:rPr>
                            <w:rFonts w:ascii="Times New Roman"/>
                            <w:sz w:val="16"/>
                          </w:rPr>
                        </w:pPr>
                      </w:p>
                    </w:tc>
                    <w:tc>
                      <w:tcPr>
                        <w:tcW w:w="1134" w:type="dxa"/>
                        <w:tcBorders>
                          <w:top w:val="nil"/>
                          <w:left w:val="nil"/>
                          <w:bottom w:val="single" w:sz="8" w:space="0" w:color="92BAC2"/>
                          <w:right w:val="single" w:sz="12" w:space="0" w:color="A0C2C9"/>
                        </w:tcBorders>
                        <w:shd w:val="clear" w:color="auto" w:fill="A0C2C9"/>
                      </w:tcPr>
                      <w:p>
                        <w:pPr>
                          <w:pStyle w:val="TableParagraph"/>
                          <w:rPr>
                            <w:rFonts w:ascii="Times New Roman"/>
                            <w:sz w:val="16"/>
                          </w:rPr>
                        </w:pPr>
                      </w:p>
                    </w:tc>
                    <w:tc>
                      <w:tcPr>
                        <w:tcW w:w="1569" w:type="dxa"/>
                        <w:tcBorders>
                          <w:top w:val="nil"/>
                          <w:left w:val="single" w:sz="12" w:space="0" w:color="A0C2C9"/>
                          <w:bottom w:val="single" w:sz="8" w:space="0" w:color="92BAC2"/>
                          <w:right w:val="single" w:sz="12" w:space="0" w:color="A0C2C9"/>
                        </w:tcBorders>
                        <w:shd w:val="clear" w:color="auto" w:fill="A0C2C9"/>
                      </w:tcPr>
                      <w:p>
                        <w:pPr>
                          <w:pStyle w:val="TableParagraph"/>
                          <w:spacing w:line="186" w:lineRule="exact"/>
                          <w:ind w:left="56"/>
                          <w:rPr>
                            <w:sz w:val="17"/>
                          </w:rPr>
                        </w:pPr>
                        <w:r>
                          <w:rPr>
                            <w:color w:val="231F20"/>
                            <w:w w:val="115"/>
                            <w:sz w:val="17"/>
                          </w:rPr>
                          <w:t>is publicly</w:t>
                        </w:r>
                        <w:r>
                          <w:rPr>
                            <w:color w:val="231F20"/>
                            <w:spacing w:val="-23"/>
                            <w:w w:val="115"/>
                            <w:sz w:val="17"/>
                          </w:rPr>
                          <w:t> </w:t>
                        </w:r>
                        <w:r>
                          <w:rPr>
                            <w:color w:val="231F20"/>
                            <w:spacing w:val="-4"/>
                            <w:w w:val="115"/>
                            <w:sz w:val="17"/>
                          </w:rPr>
                          <w:t>available</w:t>
                        </w:r>
                      </w:p>
                    </w:tc>
                    <w:tc>
                      <w:tcPr>
                        <w:tcW w:w="960" w:type="dxa"/>
                        <w:vMerge/>
                        <w:tcBorders>
                          <w:top w:val="nil"/>
                          <w:left w:val="single" w:sz="12" w:space="0" w:color="A0C2C9"/>
                          <w:bottom w:val="single" w:sz="8" w:space="0" w:color="92BAC2"/>
                          <w:right w:val="single" w:sz="12" w:space="0" w:color="A0C2C9"/>
                        </w:tcBorders>
                      </w:tcPr>
                      <w:p>
                        <w:pPr>
                          <w:rPr>
                            <w:sz w:val="2"/>
                            <w:szCs w:val="2"/>
                          </w:rPr>
                        </w:pPr>
                      </w:p>
                    </w:tc>
                    <w:tc>
                      <w:tcPr>
                        <w:tcW w:w="984"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91"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77" w:type="dxa"/>
                        <w:vMerge/>
                        <w:tcBorders>
                          <w:top w:val="nil"/>
                          <w:left w:val="single" w:sz="12" w:space="0" w:color="A0C2C9"/>
                          <w:bottom w:val="single" w:sz="8" w:space="0" w:color="92BAC2"/>
                          <w:right w:val="single" w:sz="12" w:space="0" w:color="A0C2C9"/>
                        </w:tcBorders>
                      </w:tcPr>
                      <w:p>
                        <w:pPr>
                          <w:rPr>
                            <w:sz w:val="2"/>
                            <w:szCs w:val="2"/>
                          </w:rPr>
                        </w:pPr>
                      </w:p>
                    </w:tc>
                    <w:tc>
                      <w:tcPr>
                        <w:tcW w:w="932" w:type="dxa"/>
                        <w:vMerge/>
                        <w:tcBorders>
                          <w:top w:val="nil"/>
                          <w:left w:val="single" w:sz="12" w:space="0" w:color="A0C2C9"/>
                          <w:bottom w:val="single" w:sz="8" w:space="0" w:color="92BAC2"/>
                          <w:right w:val="single" w:sz="12" w:space="0" w:color="A0C2C9"/>
                        </w:tcBorders>
                      </w:tcPr>
                      <w:p>
                        <w:pPr>
                          <w:rPr>
                            <w:sz w:val="2"/>
                            <w:szCs w:val="2"/>
                          </w:rPr>
                        </w:pPr>
                      </w:p>
                    </w:tc>
                  </w:tr>
                  <w:tr>
                    <w:trPr>
                      <w:trHeight w:val="750" w:hRule="atLeast"/>
                    </w:trPr>
                    <w:tc>
                      <w:tcPr>
                        <w:tcW w:w="1247" w:type="dxa"/>
                        <w:tcBorders>
                          <w:top w:val="nil"/>
                          <w:left w:val="nil"/>
                          <w:bottom w:val="nil"/>
                          <w:right w:val="nil"/>
                        </w:tcBorders>
                      </w:tcPr>
                      <w:p>
                        <w:pPr>
                          <w:pStyle w:val="TableParagraph"/>
                          <w:spacing w:before="73"/>
                          <w:ind w:right="72"/>
                          <w:jc w:val="right"/>
                          <w:rPr>
                            <w:b/>
                            <w:sz w:val="20"/>
                          </w:rPr>
                        </w:pPr>
                        <w:r>
                          <w:rPr>
                            <w:b/>
                            <w:color w:val="FFFFFF"/>
                            <w:w w:val="105"/>
                            <w:sz w:val="20"/>
                          </w:rPr>
                          <w:t>14</w:t>
                        </w:r>
                      </w:p>
                    </w:tc>
                    <w:tc>
                      <w:tcPr>
                        <w:tcW w:w="1134"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71" w:right="2"/>
                          <w:rPr>
                            <w:sz w:val="17"/>
                          </w:rPr>
                        </w:pPr>
                        <w:r>
                          <w:rPr>
                            <w:color w:val="231F20"/>
                            <w:w w:val="110"/>
                            <w:sz w:val="17"/>
                          </w:rPr>
                          <w:t>Judicial Transparency</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line="230" w:lineRule="auto" w:before="53"/>
                          <w:ind w:left="56" w:right="160"/>
                          <w:rPr>
                            <w:sz w:val="17"/>
                          </w:rPr>
                        </w:pPr>
                        <w:r>
                          <w:rPr>
                            <w:color w:val="231F20"/>
                            <w:w w:val="110"/>
                            <w:sz w:val="17"/>
                          </w:rPr>
                          <w:t>Information on court services is publicly available</w:t>
                        </w:r>
                      </w:p>
                    </w:tc>
                    <w:tc>
                      <w:tcPr>
                        <w:tcW w:w="960"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r>
                    <w:trPr>
                      <w:trHeight w:val="550" w:hRule="atLeast"/>
                    </w:trPr>
                    <w:tc>
                      <w:tcPr>
                        <w:tcW w:w="1247" w:type="dxa"/>
                        <w:tcBorders>
                          <w:top w:val="nil"/>
                          <w:left w:val="nil"/>
                          <w:bottom w:val="nil"/>
                          <w:right w:val="nil"/>
                        </w:tcBorders>
                      </w:tcPr>
                      <w:p>
                        <w:pPr>
                          <w:pStyle w:val="TableParagraph"/>
                          <w:spacing w:before="77"/>
                          <w:ind w:right="72"/>
                          <w:jc w:val="right"/>
                          <w:rPr>
                            <w:b/>
                            <w:sz w:val="20"/>
                          </w:rPr>
                        </w:pPr>
                        <w:r>
                          <w:rPr>
                            <w:b/>
                            <w:color w:val="FFFFFF"/>
                            <w:w w:val="105"/>
                            <w:sz w:val="20"/>
                          </w:rPr>
                          <w:t>15</w:t>
                        </w:r>
                      </w:p>
                    </w:tc>
                    <w:tc>
                      <w:tcPr>
                        <w:tcW w:w="1134" w:type="dxa"/>
                        <w:tcBorders>
                          <w:top w:val="single" w:sz="8" w:space="0" w:color="92BAC2"/>
                          <w:left w:val="nil"/>
                          <w:bottom w:val="single" w:sz="8" w:space="0" w:color="92BAC2"/>
                          <w:right w:val="single" w:sz="12" w:space="0" w:color="A0C2C9"/>
                        </w:tcBorders>
                        <w:shd w:val="clear" w:color="auto" w:fill="A0C2C9"/>
                      </w:tcPr>
                      <w:p>
                        <w:pPr>
                          <w:pStyle w:val="TableParagraph"/>
                          <w:spacing w:line="230" w:lineRule="auto" w:before="53"/>
                          <w:ind w:left="71" w:right="2"/>
                          <w:rPr>
                            <w:sz w:val="17"/>
                          </w:rPr>
                        </w:pPr>
                        <w:r>
                          <w:rPr>
                            <w:color w:val="231F20"/>
                            <w:w w:val="110"/>
                            <w:sz w:val="17"/>
                          </w:rPr>
                          <w:t>Judicial Transparency</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pPr>
                          <w:pStyle w:val="TableParagraph"/>
                          <w:spacing w:before="46"/>
                          <w:ind w:left="56"/>
                          <w:rPr>
                            <w:sz w:val="17"/>
                          </w:rPr>
                        </w:pPr>
                        <w:r>
                          <w:rPr>
                            <w:color w:val="231F20"/>
                            <w:w w:val="105"/>
                            <w:sz w:val="17"/>
                          </w:rPr>
                          <w:t>Judgments on PacLII</w:t>
                        </w:r>
                      </w:p>
                    </w:tc>
                    <w:tc>
                      <w:tcPr>
                        <w:tcW w:w="960"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pPr>
                          <w:pStyle w:val="TableParagraph"/>
                          <w:rPr>
                            <w:rFonts w:ascii="Times New Roman"/>
                            <w:sz w:val="16"/>
                          </w:rPr>
                        </w:pPr>
                      </w:p>
                    </w:tc>
                  </w:tr>
                </w:tbl>
                <w:p>
                  <w:pPr>
                    <w:pStyle w:val="BodyText"/>
                  </w:pPr>
                </w:p>
              </w:txbxContent>
            </v:textbox>
            <w10:wrap type="none"/>
          </v:shape>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rect style="position:absolute;margin-left:42.52pt;margin-top:15.002781pt;width:19.843pt;height:19.842pt;mso-position-horizontal-relative:page;mso-position-vertical-relative:paragraph;z-index:5056;mso-wrap-distance-left:0;mso-wrap-distance-right:0" filled="true" fillcolor="#0f6161" stroked="false">
            <v:fill type="solid"/>
            <w10:wrap type="topAndBottom"/>
          </v:rect>
        </w:pict>
      </w:r>
      <w:r>
        <w:rPr/>
        <w:pict>
          <v:shape style="position:absolute;margin-left:211.180695pt;margin-top:22.089581pt;width:22.7pt;height:22.7pt;mso-position-horizontal-relative:page;mso-position-vertical-relative:paragraph;z-index:5080;mso-wrap-distance-left:0;mso-wrap-distance-right:0" coordorigin="4224,442" coordsize="454,454" path="m4450,442l4379,453,4316,486,4267,535,4235,597,4224,669,4235,740,4267,802,4316,852,4379,884,4450,895,4522,884,4584,852,4633,802,4666,740,4677,669,4666,597,4633,535,4584,486,4522,453,4450,442xe" filled="true" fillcolor="#5b9f42" stroked="false">
            <v:path arrowok="t"/>
            <v:fill type="solid"/>
            <w10:wrap type="topAndBottom"/>
          </v:shape>
        </w:pict>
      </w:r>
      <w:r>
        <w:rPr/>
        <w:pict>
          <v:shape style="position:absolute;margin-left:258.109894pt;margin-top:22.089581pt;width:22.7pt;height:22.7pt;mso-position-horizontal-relative:page;mso-position-vertical-relative:paragraph;z-index:5104;mso-wrap-distance-left:0;mso-wrap-distance-right:0" coordorigin="5162,442" coordsize="454,454" path="m5389,442l5317,453,5255,486,5206,535,5174,597,5162,669,5174,740,5206,802,5255,852,5317,884,5389,895,5461,884,5523,852,5572,802,5604,740,5616,669,5604,597,5572,535,5523,486,5461,453,5389,442xe" filled="true" fillcolor="#d01c26" stroked="false">
            <v:path arrowok="t"/>
            <v:fill type="solid"/>
            <w10:wrap type="topAndBottom"/>
          </v:shape>
        </w:pict>
      </w:r>
      <w:r>
        <w:rPr/>
        <w:pict>
          <v:shape style="position:absolute;margin-left:308.267303pt;margin-top:22.089581pt;width:22.7pt;height:22.7pt;mso-position-horizontal-relative:page;mso-position-vertical-relative:paragraph;z-index:5128;mso-wrap-distance-left:0;mso-wrap-distance-right:0" coordorigin="6165,442" coordsize="454,454" path="m6392,442l6320,453,6258,486,6209,535,6177,597,6165,669,6177,740,6209,802,6258,852,6320,884,6392,895,6464,884,6526,852,6575,802,6607,740,6619,669,6607,597,6575,535,6526,486,6464,453,6392,442xe" filled="true" fillcolor="#5b9f42" stroked="false">
            <v:path arrowok="t"/>
            <v:fill type="solid"/>
            <w10:wrap type="topAndBottom"/>
          </v:shape>
        </w:pict>
      </w:r>
      <w:r>
        <w:rPr/>
        <w:pict>
          <v:shape style="position:absolute;margin-left:357.007507pt;margin-top:22.089581pt;width:22.7pt;height:22.7pt;mso-position-horizontal-relative:page;mso-position-vertical-relative:paragraph;z-index:5152;mso-wrap-distance-left:0;mso-wrap-distance-right:0" coordorigin="7140,442" coordsize="454,454" path="m7367,442l7295,453,7233,486,7184,535,7152,597,7140,669,7152,740,7184,802,7233,852,7295,884,7367,895,7439,884,7501,852,7550,802,7582,740,7594,669,7582,597,7550,535,7501,486,7439,453,7367,442xe" filled="true" fillcolor="#5b9f42" stroked="false">
            <v:path arrowok="t"/>
            <v:fill type="solid"/>
            <w10:wrap type="topAndBottom"/>
          </v:shape>
        </w:pict>
      </w:r>
      <w:r>
        <w:rPr/>
        <w:pict>
          <v:shape style="position:absolute;margin-left:406.456299pt;margin-top:22.089581pt;width:22.7pt;height:22.7pt;mso-position-horizontal-relative:page;mso-position-vertical-relative:paragraph;z-index:5176;mso-wrap-distance-left:0;mso-wrap-distance-right:0" coordorigin="8129,442" coordsize="454,454" path="m8356,442l8284,453,8222,486,8173,535,8141,597,8129,669,8141,740,8173,802,8222,852,8284,884,8356,895,8428,884,8490,852,8539,802,8571,740,8583,669,8571,597,8539,535,8490,486,8428,453,8356,442xe" filled="true" fillcolor="#5b9f42" stroked="false">
            <v:path arrowok="t"/>
            <v:fill type="solid"/>
            <w10:wrap type="topAndBottom"/>
          </v:shape>
        </w:pict>
      </w:r>
      <w:r>
        <w:rPr/>
        <w:pict>
          <v:shape style="position:absolute;margin-left:455.90509pt;margin-top:22.089581pt;width:22.7pt;height:22.7pt;mso-position-horizontal-relative:page;mso-position-vertical-relative:paragraph;z-index:5200;mso-wrap-distance-left:0;mso-wrap-distance-right:0" coordorigin="9118,442" coordsize="454,454" path="m9345,442l9273,453,9211,486,9162,535,9130,597,9118,669,9130,740,9162,802,9211,852,9273,884,9345,895,9417,884,9479,852,9528,802,9560,740,9572,669,9560,597,9528,535,9479,486,9417,453,9345,442xe" filled="true" fillcolor="#d01c26" stroked="false">
            <v:path arrowok="t"/>
            <v:fill type="solid"/>
            <w10:wrap type="topAndBottom"/>
          </v:shape>
        </w:pict>
      </w:r>
      <w:r>
        <w:rPr/>
        <w:pict>
          <v:shape style="position:absolute;margin-left:503.91449pt;margin-top:22.089581pt;width:22.7pt;height:22.7pt;mso-position-horizontal-relative:page;mso-position-vertical-relative:paragraph;z-index:5224;mso-wrap-distance-left:0;mso-wrap-distance-right:0" coordorigin="10078,442" coordsize="454,454" path="m10305,442l10233,453,10171,486,10122,535,10090,597,10078,669,10090,740,10122,802,10171,852,10233,884,10305,895,10377,884,10439,852,10488,802,10520,740,10532,669,10520,597,10488,535,10439,486,10377,453,10305,442xe" filled="true" fillcolor="#5b9f42" stroked="false">
            <v:path arrowok="t"/>
            <v:fill type="solid"/>
            <w10:wrap type="topAndBottom"/>
          </v:shape>
        </w:pict>
      </w:r>
      <w:r>
        <w:rPr/>
        <w:pict>
          <v:rect style="position:absolute;margin-left:42.52pt;margin-top:54.687782pt;width:19.843pt;height:19.842pt;mso-position-horizontal-relative:page;mso-position-vertical-relative:paragraph;z-index:5248;mso-wrap-distance-left:0;mso-wrap-distance-right:0" filled="true" fillcolor="#0f6161" stroked="false">
            <v:fill type="solid"/>
            <w10:wrap type="topAndBottom"/>
          </v:rect>
        </w:pict>
      </w:r>
      <w:r>
        <w:rPr/>
        <w:pict>
          <v:shape style="position:absolute;margin-left:211.180695pt;margin-top:61.065681pt;width:22.7pt;height:22.7pt;mso-position-horizontal-relative:page;mso-position-vertical-relative:paragraph;z-index:5272;mso-wrap-distance-left:0;mso-wrap-distance-right:0" coordorigin="4224,1221" coordsize="454,454" path="m4450,1221l4379,1233,4316,1265,4267,1314,4235,1376,4224,1448,4235,1520,4267,1582,4316,1631,4379,1663,4450,1675,4522,1663,4584,1631,4633,1582,4666,1520,4677,1448,4666,1376,4633,1314,4584,1265,4522,1233,4450,1221xe" filled="true" fillcolor="#d01c26" stroked="false">
            <v:path arrowok="t"/>
            <v:fill type="solid"/>
            <w10:wrap type="topAndBottom"/>
          </v:shape>
        </w:pict>
      </w:r>
      <w:r>
        <w:rPr/>
        <w:pict>
          <v:shape style="position:absolute;margin-left:258.109894pt;margin-top:61.065681pt;width:22.7pt;height:22.7pt;mso-position-horizontal-relative:page;mso-position-vertical-relative:paragraph;z-index:5296;mso-wrap-distance-left:0;mso-wrap-distance-right:0" coordorigin="5162,1221" coordsize="454,454" path="m5389,1221l5317,1233,5255,1265,5206,1314,5174,1376,5162,1448,5174,1520,5206,1582,5255,1631,5317,1663,5389,1675,5461,1663,5523,1631,5572,1582,5604,1520,5616,1448,5604,1376,5572,1314,5523,1265,5461,1233,5389,1221xe" filled="true" fillcolor="#d01c26" stroked="false">
            <v:path arrowok="t"/>
            <v:fill type="solid"/>
            <w10:wrap type="topAndBottom"/>
          </v:shape>
        </w:pict>
      </w:r>
      <w:r>
        <w:rPr/>
        <w:pict>
          <v:shape style="position:absolute;margin-left:308.267303pt;margin-top:61.065681pt;width:22.7pt;height:22.7pt;mso-position-horizontal-relative:page;mso-position-vertical-relative:paragraph;z-index:5320;mso-wrap-distance-left:0;mso-wrap-distance-right:0" coordorigin="6165,1221" coordsize="454,454" path="m6392,1221l6320,1233,6258,1265,6209,1314,6177,1376,6165,1448,6177,1520,6209,1582,6258,1631,6320,1663,6392,1675,6464,1663,6526,1631,6575,1582,6607,1520,6619,1448,6607,1376,6575,1314,6526,1265,6464,1233,6392,1221xe" filled="true" fillcolor="#5b9f42" stroked="false">
            <v:path arrowok="t"/>
            <v:fill type="solid"/>
            <w10:wrap type="topAndBottom"/>
          </v:shape>
        </w:pict>
      </w:r>
      <w:r>
        <w:rPr/>
        <w:pict>
          <v:shape style="position:absolute;margin-left:357.007507pt;margin-top:61.065681pt;width:22.7pt;height:22.7pt;mso-position-horizontal-relative:page;mso-position-vertical-relative:paragraph;z-index:5344;mso-wrap-distance-left:0;mso-wrap-distance-right:0" coordorigin="7140,1221" coordsize="454,454" path="m7367,1221l7295,1233,7233,1265,7184,1314,7152,1376,7140,1448,7152,1520,7184,1582,7233,1631,7295,1663,7367,1675,7439,1663,7501,1631,7550,1582,7582,1520,7594,1448,7582,1376,7550,1314,7501,1265,7439,1233,7367,1221xe" filled="true" fillcolor="#5b9f42" stroked="false">
            <v:path arrowok="t"/>
            <v:fill type="solid"/>
            <w10:wrap type="topAndBottom"/>
          </v:shape>
        </w:pict>
      </w:r>
      <w:r>
        <w:rPr/>
        <w:pict>
          <v:shape style="position:absolute;margin-left:406.456299pt;margin-top:61.065681pt;width:22.7pt;height:22.7pt;mso-position-horizontal-relative:page;mso-position-vertical-relative:paragraph;z-index:5368;mso-wrap-distance-left:0;mso-wrap-distance-right:0" coordorigin="8129,1221" coordsize="454,454" path="m8356,1221l8284,1233,8222,1265,8173,1314,8141,1376,8129,1448,8141,1520,8173,1582,8222,1631,8284,1663,8356,1675,8428,1663,8490,1631,8539,1582,8571,1520,8583,1448,8571,1376,8539,1314,8490,1265,8428,1233,8356,1221xe" filled="true" fillcolor="#5b9f42" stroked="false">
            <v:path arrowok="t"/>
            <v:fill type="solid"/>
            <w10:wrap type="topAndBottom"/>
          </v:shape>
        </w:pict>
      </w:r>
      <w:r>
        <w:rPr/>
        <w:pict>
          <v:shape style="position:absolute;margin-left:455.90509pt;margin-top:61.065681pt;width:22.7pt;height:22.7pt;mso-position-horizontal-relative:page;mso-position-vertical-relative:paragraph;z-index:5392;mso-wrap-distance-left:0;mso-wrap-distance-right:0" coordorigin="9118,1221" coordsize="454,454" path="m9345,1221l9273,1233,9211,1265,9162,1314,9130,1376,9118,1448,9130,1520,9162,1582,9211,1631,9273,1663,9345,1675,9417,1663,9479,1631,9528,1582,9560,1520,9572,1448,9560,1376,9528,1314,9479,1265,9417,1233,9345,1221xe" filled="true" fillcolor="#d01c26" stroked="false">
            <v:path arrowok="t"/>
            <v:fill type="solid"/>
            <w10:wrap type="topAndBottom"/>
          </v:shape>
        </w:pict>
      </w:r>
      <w:r>
        <w:rPr/>
        <w:pict>
          <v:shape style="position:absolute;margin-left:503.91449pt;margin-top:61.065681pt;width:22.7pt;height:22.7pt;mso-position-horizontal-relative:page;mso-position-vertical-relative:paragraph;z-index:5416;mso-wrap-distance-left:0;mso-wrap-distance-right:0" coordorigin="10078,1221" coordsize="454,454" path="m10305,1221l10233,1233,10171,1265,10122,1314,10090,1376,10078,1448,10090,1520,10122,1582,10171,1631,10233,1663,10305,1675,10377,1663,10439,1631,10488,1582,10520,1520,10532,1448,10520,1376,10488,1314,10439,1265,10377,1233,10305,1221xe" filled="true" fillcolor="#5b9f42" stroked="false">
            <v:path arrowok="t"/>
            <v:fill type="solid"/>
            <w10:wrap type="topAndBottom"/>
          </v:shape>
        </w:pict>
      </w:r>
      <w:r>
        <w:rPr/>
        <w:pict>
          <v:rect style="position:absolute;margin-left:42.52pt;margin-top:92.813782pt;width:19.843pt;height:19.842pt;mso-position-horizontal-relative:page;mso-position-vertical-relative:paragraph;z-index:5440;mso-wrap-distance-left:0;mso-wrap-distance-right:0" filled="true" fillcolor="#0f6161" stroked="false">
            <v:fill type="solid"/>
            <w10:wrap type="topAndBottom"/>
          </v:rect>
        </w:pict>
      </w:r>
      <w:r>
        <w:rPr/>
        <w:pict>
          <v:shape style="position:absolute;margin-left:211.180695pt;margin-top:94.939682pt;width:22.7pt;height:22.7pt;mso-position-horizontal-relative:page;mso-position-vertical-relative:paragraph;z-index:5464;mso-wrap-distance-left:0;mso-wrap-distance-right:0" coordorigin="4224,1899" coordsize="454,454" path="m4450,1899l4379,1910,4316,1943,4267,1992,4235,2054,4224,2126,4235,2197,4267,2259,4316,2309,4379,2341,4450,2352,4522,2341,4584,2309,4633,2259,4666,2197,4677,2126,4666,2054,4633,1992,4584,1943,4522,1910,4450,1899xe" filled="true" fillcolor="#d01c26" stroked="false">
            <v:path arrowok="t"/>
            <v:fill type="solid"/>
            <w10:wrap type="topAndBottom"/>
          </v:shape>
        </w:pict>
      </w:r>
      <w:r>
        <w:rPr/>
        <w:pict>
          <v:shape style="position:absolute;margin-left:258.109894pt;margin-top:94.939682pt;width:22.7pt;height:22.7pt;mso-position-horizontal-relative:page;mso-position-vertical-relative:paragraph;z-index:5488;mso-wrap-distance-left:0;mso-wrap-distance-right:0" coordorigin="5162,1899" coordsize="454,454" path="m5389,1899l5317,1910,5255,1943,5206,1992,5174,2054,5162,2126,5174,2197,5206,2259,5255,2309,5317,2341,5389,2352,5461,2341,5523,2309,5572,2259,5604,2197,5616,2126,5604,2054,5572,1992,5523,1943,5461,1910,5389,1899xe" filled="true" fillcolor="#d01c26" stroked="false">
            <v:path arrowok="t"/>
            <v:fill type="solid"/>
            <w10:wrap type="topAndBottom"/>
          </v:shape>
        </w:pict>
      </w:r>
      <w:r>
        <w:rPr/>
        <w:pict>
          <v:shape style="position:absolute;margin-left:308.267303pt;margin-top:94.939682pt;width:22.7pt;height:22.7pt;mso-position-horizontal-relative:page;mso-position-vertical-relative:paragraph;z-index:5512;mso-wrap-distance-left:0;mso-wrap-distance-right:0" coordorigin="6165,1899" coordsize="454,454" path="m6392,1899l6320,1910,6258,1943,6209,1992,6177,2054,6165,2126,6177,2197,6209,2259,6258,2309,6320,2341,6392,2352,6464,2341,6526,2309,6575,2259,6607,2197,6619,2126,6607,2054,6575,1992,6526,1943,6464,1910,6392,1899xe" filled="true" fillcolor="#5b9f42" stroked="false">
            <v:path arrowok="t"/>
            <v:fill type="solid"/>
            <w10:wrap type="topAndBottom"/>
          </v:shape>
        </w:pict>
      </w:r>
      <w:r>
        <w:rPr/>
        <w:pict>
          <v:shape style="position:absolute;margin-left:357.007507pt;margin-top:94.939682pt;width:22.7pt;height:22.7pt;mso-position-horizontal-relative:page;mso-position-vertical-relative:paragraph;z-index:5536;mso-wrap-distance-left:0;mso-wrap-distance-right:0" coordorigin="7140,1899" coordsize="454,454" path="m7367,1899l7295,1910,7233,1943,7184,1992,7152,2054,7140,2126,7152,2197,7184,2259,7233,2309,7295,2341,7367,2352,7439,2341,7501,2309,7550,2259,7582,2197,7594,2126,7582,2054,7550,1992,7501,1943,7439,1910,7367,1899xe" filled="true" fillcolor="#5b9f42" stroked="false">
            <v:path arrowok="t"/>
            <v:fill type="solid"/>
            <w10:wrap type="topAndBottom"/>
          </v:shape>
        </w:pict>
      </w:r>
      <w:r>
        <w:rPr/>
        <w:pict>
          <v:shape style="position:absolute;margin-left:406.456299pt;margin-top:94.939682pt;width:22.7pt;height:22.7pt;mso-position-horizontal-relative:page;mso-position-vertical-relative:paragraph;z-index:5560;mso-wrap-distance-left:0;mso-wrap-distance-right:0" coordorigin="8129,1899" coordsize="454,454" path="m8356,1899l8284,1910,8222,1943,8173,1992,8141,2054,8129,2126,8141,2197,8173,2259,8222,2309,8284,2341,8356,2352,8428,2341,8490,2309,8539,2259,8571,2197,8583,2126,8571,2054,8539,1992,8490,1943,8428,1910,8356,1899xe" filled="true" fillcolor="#5b9f42" stroked="false">
            <v:path arrowok="t"/>
            <v:fill type="solid"/>
            <w10:wrap type="topAndBottom"/>
          </v:shape>
        </w:pict>
      </w:r>
      <w:r>
        <w:rPr/>
        <w:pict>
          <v:shape style="position:absolute;margin-left:455.90509pt;margin-top:94.939682pt;width:22.7pt;height:22.7pt;mso-position-horizontal-relative:page;mso-position-vertical-relative:paragraph;z-index:5584;mso-wrap-distance-left:0;mso-wrap-distance-right:0" coordorigin="9118,1899" coordsize="454,454" path="m9345,1899l9273,1910,9211,1943,9162,1992,9130,2054,9118,2126,9130,2197,9162,2259,9211,2309,9273,2341,9345,2352,9417,2341,9479,2309,9528,2259,9560,2197,9572,2126,9560,2054,9528,1992,9479,1943,9417,1910,9345,1899xe" filled="true" fillcolor="#d01c26" stroked="false">
            <v:path arrowok="t"/>
            <v:fill type="solid"/>
            <w10:wrap type="topAndBottom"/>
          </v:shape>
        </w:pict>
      </w:r>
      <w:r>
        <w:rPr/>
        <w:pict>
          <v:shape style="position:absolute;margin-left:503.91449pt;margin-top:94.939682pt;width:22.7pt;height:22.7pt;mso-position-horizontal-relative:page;mso-position-vertical-relative:paragraph;z-index:5608;mso-wrap-distance-left:0;mso-wrap-distance-right:0" coordorigin="10078,1899" coordsize="454,454" path="m10305,1899l10233,1910,10171,1943,10122,1992,10090,2054,10078,2126,10090,2197,10122,2259,10171,2309,10233,2341,10305,2352,10377,2341,10439,2309,10488,2259,10520,2197,10532,2126,10520,2054,10488,1992,10439,1943,10377,1910,10305,1899xe" filled="true" fillcolor="#5b9f42" stroked="false">
            <v:path arrowok="t"/>
            <v:fill type="solid"/>
            <w10:wrap type="topAndBottom"/>
          </v:shape>
        </w:pict>
      </w:r>
    </w:p>
    <w:p>
      <w:pPr>
        <w:pStyle w:val="BodyText"/>
        <w:spacing w:before="8"/>
        <w:rPr>
          <w:sz w:val="10"/>
        </w:rPr>
      </w:pPr>
    </w:p>
    <w:p>
      <w:pPr>
        <w:pStyle w:val="BodyText"/>
        <w:spacing w:before="3"/>
        <w:rPr>
          <w:sz w:val="9"/>
        </w:rPr>
      </w:pPr>
    </w:p>
    <w:p>
      <w:pPr>
        <w:pStyle w:val="BodyText"/>
        <w:spacing w:before="5"/>
        <w:rPr>
          <w:sz w:val="3"/>
        </w:rPr>
      </w:pPr>
    </w:p>
    <w:p>
      <w:pPr>
        <w:tabs>
          <w:tab w:pos="4223" w:val="left" w:leader="none"/>
          <w:tab w:pos="5162" w:val="left" w:leader="none"/>
          <w:tab w:pos="6165" w:val="left" w:leader="none"/>
          <w:tab w:pos="7140" w:val="left" w:leader="none"/>
          <w:tab w:pos="8129" w:val="left" w:leader="none"/>
          <w:tab w:pos="9118" w:val="left" w:leader="none"/>
          <w:tab w:pos="10078" w:val="left" w:leader="none"/>
        </w:tabs>
        <w:spacing w:line="240" w:lineRule="auto"/>
        <w:ind w:left="850" w:right="0" w:firstLine="0"/>
        <w:rPr>
          <w:sz w:val="20"/>
        </w:rPr>
      </w:pPr>
      <w:r>
        <w:rPr>
          <w:position w:val="13"/>
          <w:sz w:val="20"/>
        </w:rPr>
        <w:pict>
          <v:group style="width:19.850pt;height:19.850pt;mso-position-horizontal-relative:char;mso-position-vertical-relative:line" coordorigin="0,0" coordsize="397,397">
            <v:rect style="position:absolute;left:0;top:0;width:397;height:397" filled="true" fillcolor="#0f6161" stroked="false">
              <v:fill type="solid"/>
            </v:rect>
          </v:group>
        </w:pict>
      </w:r>
      <w:r>
        <w:rPr>
          <w:position w:val="13"/>
          <w:sz w:val="20"/>
        </w:rPr>
      </w:r>
      <w:r>
        <w:rPr>
          <w:position w:val="13"/>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d01c26"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d01c26"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d01c26"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d01c26"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p>
    <w:p>
      <w:pPr>
        <w:pStyle w:val="BodyText"/>
        <w:spacing w:before="6"/>
        <w:rPr>
          <w:sz w:val="2"/>
        </w:rPr>
      </w:pPr>
    </w:p>
    <w:p>
      <w:pPr>
        <w:tabs>
          <w:tab w:pos="4208" w:val="left" w:leader="none"/>
          <w:tab w:pos="5162" w:val="left" w:leader="none"/>
          <w:tab w:pos="6165" w:val="left" w:leader="none"/>
          <w:tab w:pos="7140" w:val="left" w:leader="none"/>
          <w:tab w:pos="8129" w:val="left" w:leader="none"/>
          <w:tab w:pos="9118" w:val="left" w:leader="none"/>
          <w:tab w:pos="10078" w:val="left" w:leader="none"/>
        </w:tabs>
        <w:spacing w:line="240" w:lineRule="auto"/>
        <w:ind w:left="850" w:right="0" w:firstLine="0"/>
        <w:rPr>
          <w:sz w:val="20"/>
        </w:rPr>
      </w:pPr>
      <w:r>
        <w:rPr>
          <w:position w:val="19"/>
          <w:sz w:val="20"/>
        </w:rPr>
        <w:pict>
          <v:group style="width:19.850pt;height:19.850pt;mso-position-horizontal-relative:char;mso-position-vertical-relative:line" coordorigin="0,0" coordsize="397,397">
            <v:rect style="position:absolute;left:0;top:0;width:397;height:397" filled="true" fillcolor="#0f6161" stroked="false">
              <v:fill type="solid"/>
            </v:rect>
          </v:group>
        </w:pict>
      </w:r>
      <w:r>
        <w:rPr>
          <w:position w:val="19"/>
          <w:sz w:val="20"/>
        </w:rPr>
      </w:r>
      <w:r>
        <w:rPr>
          <w:position w:val="19"/>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d01c26"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p>
    <w:p>
      <w:pPr>
        <w:pStyle w:val="BodyText"/>
        <w:spacing w:before="4"/>
        <w:rPr>
          <w:sz w:val="9"/>
        </w:rPr>
      </w:pPr>
      <w:r>
        <w:rPr/>
        <w:pict>
          <v:rect style="position:absolute;margin-left:42.52pt;margin-top:7.672342pt;width:19.843pt;height:19.843pt;mso-position-horizontal-relative:page;mso-position-vertical-relative:paragraph;z-index:6016;mso-wrap-distance-left:0;mso-wrap-distance-right:0" filled="true" fillcolor="#0f6161" stroked="false">
            <v:fill type="solid"/>
            <w10:wrap type="topAndBottom"/>
          </v:rect>
        </w:pict>
      </w:r>
      <w:r>
        <w:rPr/>
        <w:pict>
          <v:shape style="position:absolute;margin-left:211.180695pt;margin-top:15.043242pt;width:22.7pt;height:22.7pt;mso-position-horizontal-relative:page;mso-position-vertical-relative:paragraph;z-index:6040;mso-wrap-distance-left:0;mso-wrap-distance-right:0" coordorigin="4224,301" coordsize="454,454" path="m4450,301l4379,312,4316,345,4267,394,4235,456,4224,528,4235,599,4267,662,4316,711,4379,743,4450,754,4522,743,4584,711,4633,662,4666,599,4677,528,4666,456,4633,394,4584,345,4522,312,4450,301xe" filled="true" fillcolor="#d01c26" stroked="false">
            <v:path arrowok="t"/>
            <v:fill type="solid"/>
            <w10:wrap type="topAndBottom"/>
          </v:shape>
        </w:pict>
      </w:r>
      <w:r>
        <w:rPr/>
        <w:pict>
          <v:shape style="position:absolute;margin-left:258.109894pt;margin-top:15.043242pt;width:22.7pt;height:22.7pt;mso-position-horizontal-relative:page;mso-position-vertical-relative:paragraph;z-index:6064;mso-wrap-distance-left:0;mso-wrap-distance-right:0" coordorigin="5162,301" coordsize="454,454" path="m5389,301l5317,312,5255,345,5206,394,5174,456,5162,528,5174,599,5206,662,5255,711,5317,743,5389,754,5461,743,5523,711,5572,662,5604,599,5616,528,5604,456,5572,394,5523,345,5461,312,5389,301xe" filled="true" fillcolor="#d01c26" stroked="false">
            <v:path arrowok="t"/>
            <v:fill type="solid"/>
            <w10:wrap type="topAndBottom"/>
          </v:shape>
        </w:pict>
      </w:r>
      <w:r>
        <w:rPr/>
        <w:pict>
          <v:shape style="position:absolute;margin-left:308.267303pt;margin-top:15.043242pt;width:22.7pt;height:22.7pt;mso-position-horizontal-relative:page;mso-position-vertical-relative:paragraph;z-index:6088;mso-wrap-distance-left:0;mso-wrap-distance-right:0" coordorigin="6165,301" coordsize="454,454" path="m6392,301l6320,312,6258,345,6209,394,6177,456,6165,528,6177,599,6209,662,6258,711,6320,743,6392,754,6464,743,6526,711,6575,662,6607,599,6619,528,6607,456,6575,394,6526,345,6464,312,6392,301xe" filled="true" fillcolor="#d01c26" stroked="false">
            <v:path arrowok="t"/>
            <v:fill type="solid"/>
            <w10:wrap type="topAndBottom"/>
          </v:shape>
        </w:pict>
      </w:r>
      <w:r>
        <w:rPr/>
        <w:pict>
          <v:shape style="position:absolute;margin-left:357.007507pt;margin-top:15.043242pt;width:22.7pt;height:22.7pt;mso-position-horizontal-relative:page;mso-position-vertical-relative:paragraph;z-index:6112;mso-wrap-distance-left:0;mso-wrap-distance-right:0" coordorigin="7140,301" coordsize="454,454" path="m7367,301l7295,312,7233,345,7184,394,7152,456,7140,528,7152,599,7184,662,7233,711,7295,743,7367,754,7439,743,7501,711,7550,662,7582,599,7594,528,7582,456,7550,394,7501,345,7439,312,7367,301xe" filled="true" fillcolor="#5b9f42" stroked="false">
            <v:path arrowok="t"/>
            <v:fill type="solid"/>
            <w10:wrap type="topAndBottom"/>
          </v:shape>
        </w:pict>
      </w:r>
      <w:r>
        <w:rPr/>
        <w:pict>
          <v:shape style="position:absolute;margin-left:406.456299pt;margin-top:15.043242pt;width:22.7pt;height:22.7pt;mso-position-horizontal-relative:page;mso-position-vertical-relative:paragraph;z-index:6136;mso-wrap-distance-left:0;mso-wrap-distance-right:0" coordorigin="8129,301" coordsize="454,454" path="m8356,301l8284,312,8222,345,8173,394,8141,456,8129,528,8141,599,8173,662,8222,711,8284,743,8356,754,8428,743,8490,711,8539,662,8571,599,8583,528,8571,456,8539,394,8490,345,8428,312,8356,301xe" filled="true" fillcolor="#5b9f42" stroked="false">
            <v:path arrowok="t"/>
            <v:fill type="solid"/>
            <w10:wrap type="topAndBottom"/>
          </v:shape>
        </w:pict>
      </w:r>
      <w:r>
        <w:rPr/>
        <w:pict>
          <v:shape style="position:absolute;margin-left:455.90509pt;margin-top:15.043242pt;width:22.7pt;height:22.7pt;mso-position-horizontal-relative:page;mso-position-vertical-relative:paragraph;z-index:6160;mso-wrap-distance-left:0;mso-wrap-distance-right:0" coordorigin="9118,301" coordsize="454,454" path="m9345,301l9273,312,9211,345,9162,394,9130,456,9118,528,9130,599,9162,662,9211,711,9273,743,9345,754,9417,743,9479,711,9528,662,9560,599,9572,528,9560,456,9528,394,9479,345,9417,312,9345,301xe" filled="true" fillcolor="#d01c26" stroked="false">
            <v:path arrowok="t"/>
            <v:fill type="solid"/>
            <w10:wrap type="topAndBottom"/>
          </v:shape>
        </w:pict>
      </w:r>
      <w:r>
        <w:rPr/>
        <w:pict>
          <v:shape style="position:absolute;margin-left:503.91449pt;margin-top:15.043242pt;width:22.7pt;height:22.7pt;mso-position-horizontal-relative:page;mso-position-vertical-relative:paragraph;z-index:6184;mso-wrap-distance-left:0;mso-wrap-distance-right:0" coordorigin="10078,301" coordsize="454,454" path="m10305,301l10233,312,10171,345,10122,394,10090,456,10078,528,10090,599,10122,662,10171,711,10233,743,10305,754,10377,743,10439,711,10488,662,10520,599,10532,528,10520,456,10488,394,10439,345,10377,312,10305,301xe" filled="true" fillcolor="#d01c26" stroked="false">
            <v:path arrowok="t"/>
            <v:fill type="solid"/>
            <w10:wrap type="topAndBottom"/>
          </v:shape>
        </w:pict>
      </w:r>
      <w:r>
        <w:rPr/>
        <w:pict>
          <v:rect style="position:absolute;margin-left:42.52pt;margin-top:46.507343pt;width:19.843pt;height:19.843pt;mso-position-horizontal-relative:page;mso-position-vertical-relative:paragraph;z-index:6208;mso-wrap-distance-left:0;mso-wrap-distance-right:0" filled="true" fillcolor="#0f6161" stroked="false">
            <v:fill type="solid"/>
            <w10:wrap type="topAndBottom"/>
          </v:rect>
        </w:pict>
      </w:r>
      <w:r>
        <w:rPr/>
        <w:pict>
          <v:shape style="position:absolute;margin-left:211.180695pt;margin-top:53.310841pt;width:22.7pt;height:22.7pt;mso-position-horizontal-relative:page;mso-position-vertical-relative:paragraph;z-index:6232;mso-wrap-distance-left:0;mso-wrap-distance-right:0" coordorigin="4224,1066" coordsize="454,454" path="m4450,1066l4379,1078,4316,1110,4267,1159,4235,1221,4224,1293,4235,1365,4267,1427,4316,1476,4379,1508,4450,1520,4522,1508,4584,1476,4633,1427,4666,1365,4677,1293,4666,1221,4633,1159,4584,1110,4522,1078,4450,1066xe" filled="true" fillcolor="#5b9f42" stroked="false">
            <v:path arrowok="t"/>
            <v:fill type="solid"/>
            <w10:wrap type="topAndBottom"/>
          </v:shape>
        </w:pict>
      </w:r>
      <w:r>
        <w:rPr/>
        <w:pict>
          <v:shape style="position:absolute;margin-left:258.109894pt;margin-top:53.310841pt;width:22.7pt;height:22.7pt;mso-position-horizontal-relative:page;mso-position-vertical-relative:paragraph;z-index:6256;mso-wrap-distance-left:0;mso-wrap-distance-right:0" coordorigin="5162,1066" coordsize="454,454" path="m5389,1066l5317,1078,5255,1110,5206,1159,5174,1221,5162,1293,5174,1365,5206,1427,5255,1476,5317,1508,5389,1520,5461,1508,5523,1476,5572,1427,5604,1365,5616,1293,5604,1221,5572,1159,5523,1110,5461,1078,5389,1066xe" filled="true" fillcolor="#d01c26" stroked="false">
            <v:path arrowok="t"/>
            <v:fill type="solid"/>
            <w10:wrap type="topAndBottom"/>
          </v:shape>
        </w:pict>
      </w:r>
      <w:r>
        <w:rPr/>
        <w:pict>
          <v:shape style="position:absolute;margin-left:308.267303pt;margin-top:53.310841pt;width:22.7pt;height:22.7pt;mso-position-horizontal-relative:page;mso-position-vertical-relative:paragraph;z-index:6280;mso-wrap-distance-left:0;mso-wrap-distance-right:0" coordorigin="6165,1066" coordsize="454,454" path="m6392,1066l6320,1078,6258,1110,6209,1159,6177,1221,6165,1293,6177,1365,6209,1427,6258,1476,6320,1508,6392,1520,6464,1508,6526,1476,6575,1427,6607,1365,6619,1293,6607,1221,6575,1159,6526,1110,6464,1078,6392,1066xe" filled="true" fillcolor="#d01c26" stroked="false">
            <v:path arrowok="t"/>
            <v:fill type="solid"/>
            <w10:wrap type="topAndBottom"/>
          </v:shape>
        </w:pict>
      </w:r>
      <w:r>
        <w:rPr/>
        <w:pict>
          <v:shape style="position:absolute;margin-left:357.007507pt;margin-top:53.310841pt;width:22.7pt;height:22.7pt;mso-position-horizontal-relative:page;mso-position-vertical-relative:paragraph;z-index:6304;mso-wrap-distance-left:0;mso-wrap-distance-right:0" coordorigin="7140,1066" coordsize="454,454" path="m7367,1066l7295,1078,7233,1110,7184,1159,7152,1221,7140,1293,7152,1365,7184,1427,7233,1476,7295,1508,7367,1520,7439,1508,7501,1476,7550,1427,7582,1365,7594,1293,7582,1221,7550,1159,7501,1110,7439,1078,7367,1066xe" filled="true" fillcolor="#5b9f42" stroked="false">
            <v:path arrowok="t"/>
            <v:fill type="solid"/>
            <w10:wrap type="topAndBottom"/>
          </v:shape>
        </w:pict>
      </w:r>
      <w:r>
        <w:rPr/>
        <w:pict>
          <v:shape style="position:absolute;margin-left:406.456299pt;margin-top:53.310841pt;width:22.7pt;height:22.7pt;mso-position-horizontal-relative:page;mso-position-vertical-relative:paragraph;z-index:6328;mso-wrap-distance-left:0;mso-wrap-distance-right:0" coordorigin="8129,1066" coordsize="454,454" path="m8356,1066l8284,1078,8222,1110,8173,1159,8141,1221,8129,1293,8141,1365,8173,1427,8222,1476,8284,1508,8356,1520,8428,1508,8490,1476,8539,1427,8571,1365,8583,1293,8571,1221,8539,1159,8490,1110,8428,1078,8356,1066xe" filled="true" fillcolor="#5b9f42" stroked="false">
            <v:path arrowok="t"/>
            <v:fill type="solid"/>
            <w10:wrap type="topAndBottom"/>
          </v:shape>
        </w:pict>
      </w:r>
      <w:r>
        <w:rPr/>
        <w:pict>
          <v:shape style="position:absolute;margin-left:455.90509pt;margin-top:53.310841pt;width:22.7pt;height:22.7pt;mso-position-horizontal-relative:page;mso-position-vertical-relative:paragraph;z-index:6352;mso-wrap-distance-left:0;mso-wrap-distance-right:0" coordorigin="9118,1066" coordsize="454,454" path="m9345,1066l9273,1078,9211,1110,9162,1159,9130,1221,9118,1293,9130,1365,9162,1427,9211,1476,9273,1508,9345,1520,9417,1508,9479,1476,9528,1427,9560,1365,9572,1293,9560,1221,9528,1159,9479,1110,9417,1078,9345,1066xe" filled="true" fillcolor="#d01c26" stroked="false">
            <v:path arrowok="t"/>
            <v:fill type="solid"/>
            <w10:wrap type="topAndBottom"/>
          </v:shape>
        </w:pict>
      </w:r>
      <w:r>
        <w:rPr/>
        <w:pict>
          <v:shape style="position:absolute;margin-left:503.91449pt;margin-top:53.310841pt;width:22.7pt;height:22.7pt;mso-position-horizontal-relative:page;mso-position-vertical-relative:paragraph;z-index:6376;mso-wrap-distance-left:0;mso-wrap-distance-right:0" coordorigin="10078,1066" coordsize="454,454" path="m10305,1066l10233,1078,10171,1110,10122,1159,10090,1221,10078,1293,10090,1365,10122,1427,10171,1476,10233,1508,10305,1520,10377,1508,10439,1476,10488,1427,10520,1365,10532,1293,10520,1221,10488,1159,10439,1110,10377,1078,10305,1066xe" filled="true" fillcolor="#d01c26" stroked="false">
            <v:path arrowok="t"/>
            <v:fill type="solid"/>
            <w10:wrap type="topAndBottom"/>
          </v:shape>
        </w:pict>
      </w:r>
      <w:r>
        <w:rPr/>
        <w:pict>
          <v:rect style="position:absolute;margin-left:42.52pt;margin-top:84.633339pt;width:19.843pt;height:19.843pt;mso-position-horizontal-relative:page;mso-position-vertical-relative:paragraph;z-index:6400;mso-wrap-distance-left:0;mso-wrap-distance-right:0" filled="true" fillcolor="#0f6161" stroked="false">
            <v:fill type="solid"/>
            <w10:wrap type="topAndBottom"/>
          </v:rect>
        </w:pict>
      </w:r>
      <w:r>
        <w:rPr/>
        <w:pict>
          <v:shape style="position:absolute;margin-left:211.180695pt;margin-top:101.499741pt;width:22.7pt;height:22.7pt;mso-position-horizontal-relative:page;mso-position-vertical-relative:paragraph;z-index:6424;mso-wrap-distance-left:0;mso-wrap-distance-right:0" coordorigin="4224,2030" coordsize="454,454" path="m4450,2030l4379,2042,4316,2074,4267,2123,4235,2185,4224,2257,4235,2328,4267,2391,4316,2440,4379,2472,4450,2484,4522,2472,4584,2440,4633,2391,4666,2328,4677,2257,4666,2185,4633,2123,4584,2074,4522,2042,4450,2030xe" filled="true" fillcolor="#d01c26" stroked="false">
            <v:path arrowok="t"/>
            <v:fill type="solid"/>
            <w10:wrap type="topAndBottom"/>
          </v:shape>
        </w:pict>
      </w:r>
      <w:r>
        <w:rPr/>
        <w:pict>
          <v:shape style="position:absolute;margin-left:258.109894pt;margin-top:101.499741pt;width:22.7pt;height:22.7pt;mso-position-horizontal-relative:page;mso-position-vertical-relative:paragraph;z-index:6448;mso-wrap-distance-left:0;mso-wrap-distance-right:0" coordorigin="5162,2030" coordsize="454,454" path="m5389,2030l5317,2042,5255,2074,5206,2123,5174,2185,5162,2257,5174,2328,5206,2391,5255,2440,5317,2472,5389,2484,5461,2472,5523,2440,5572,2391,5604,2328,5616,2257,5604,2185,5572,2123,5523,2074,5461,2042,5389,2030xe" filled="true" fillcolor="#d01c26" stroked="false">
            <v:path arrowok="t"/>
            <v:fill type="solid"/>
            <w10:wrap type="topAndBottom"/>
          </v:shape>
        </w:pict>
      </w:r>
      <w:r>
        <w:rPr/>
        <w:pict>
          <v:shape style="position:absolute;margin-left:308.267303pt;margin-top:101.499741pt;width:22.7pt;height:22.7pt;mso-position-horizontal-relative:page;mso-position-vertical-relative:paragraph;z-index:6472;mso-wrap-distance-left:0;mso-wrap-distance-right:0" coordorigin="6165,2030" coordsize="454,454" path="m6392,2030l6320,2042,6258,2074,6209,2123,6177,2185,6165,2257,6177,2328,6209,2391,6258,2440,6320,2472,6392,2484,6464,2472,6526,2440,6575,2391,6607,2328,6619,2257,6607,2185,6575,2123,6526,2074,6464,2042,6392,2030xe" filled="true" fillcolor="#d01c26" stroked="false">
            <v:path arrowok="t"/>
            <v:fill type="solid"/>
            <w10:wrap type="topAndBottom"/>
          </v:shape>
        </w:pict>
      </w:r>
      <w:r>
        <w:rPr/>
        <w:pict>
          <v:shape style="position:absolute;margin-left:357.007507pt;margin-top:101.499741pt;width:22.7pt;height:22.7pt;mso-position-horizontal-relative:page;mso-position-vertical-relative:paragraph;z-index:6496;mso-wrap-distance-left:0;mso-wrap-distance-right:0" coordorigin="7140,2030" coordsize="454,454" path="m7367,2030l7295,2042,7233,2074,7184,2123,7152,2185,7140,2257,7152,2328,7184,2391,7233,2440,7295,2472,7367,2484,7439,2472,7501,2440,7550,2391,7582,2328,7594,2257,7582,2185,7550,2123,7501,2074,7439,2042,7367,2030xe" filled="true" fillcolor="#d01c26" stroked="false">
            <v:path arrowok="t"/>
            <v:fill type="solid"/>
            <w10:wrap type="topAndBottom"/>
          </v:shape>
        </w:pict>
      </w:r>
      <w:r>
        <w:rPr/>
        <w:pict>
          <v:shape style="position:absolute;margin-left:406.456299pt;margin-top:101.499741pt;width:22.7pt;height:22.7pt;mso-position-horizontal-relative:page;mso-position-vertical-relative:paragraph;z-index:6520;mso-wrap-distance-left:0;mso-wrap-distance-right:0" coordorigin="8129,2030" coordsize="454,454" path="m8356,2030l8284,2042,8222,2074,8173,2123,8141,2185,8129,2257,8141,2328,8173,2391,8222,2440,8284,2472,8356,2484,8428,2472,8490,2440,8539,2391,8571,2328,8583,2257,8571,2185,8539,2123,8490,2074,8428,2042,8356,2030xe" filled="true" fillcolor="#5b9f42" stroked="false">
            <v:path arrowok="t"/>
            <v:fill type="solid"/>
            <w10:wrap type="topAndBottom"/>
          </v:shape>
        </w:pict>
      </w:r>
      <w:r>
        <w:rPr/>
        <w:pict>
          <v:shape style="position:absolute;margin-left:455.90509pt;margin-top:101.499741pt;width:22.7pt;height:22.7pt;mso-position-horizontal-relative:page;mso-position-vertical-relative:paragraph;z-index:6544;mso-wrap-distance-left:0;mso-wrap-distance-right:0" coordorigin="9118,2030" coordsize="454,454" path="m9345,2030l9273,2042,9211,2074,9162,2123,9130,2185,9118,2257,9130,2328,9162,2391,9211,2440,9273,2472,9345,2484,9417,2472,9479,2440,9528,2391,9560,2328,9572,2257,9560,2185,9528,2123,9479,2074,9417,2042,9345,2030xe" filled="true" fillcolor="#d01c26" stroked="false">
            <v:path arrowok="t"/>
            <v:fill type="solid"/>
            <w10:wrap type="topAndBottom"/>
          </v:shape>
        </w:pict>
      </w:r>
      <w:r>
        <w:rPr/>
        <w:pict>
          <v:shape style="position:absolute;margin-left:503.91449pt;margin-top:101.499741pt;width:22.7pt;height:22.7pt;mso-position-horizontal-relative:page;mso-position-vertical-relative:paragraph;z-index:6568;mso-wrap-distance-left:0;mso-wrap-distance-right:0" coordorigin="10078,2030" coordsize="454,454" path="m10305,2030l10233,2042,10171,2074,10122,2123,10090,2185,10078,2257,10090,2328,10122,2391,10171,2440,10233,2472,10305,2484,10377,2472,10439,2440,10488,2391,10520,2328,10532,2257,10520,2185,10488,2123,10439,2074,10377,2042,10305,2030xe" filled="true" fillcolor="#d01c26" stroked="false">
            <v:path arrowok="t"/>
            <v:fill type="solid"/>
            <w10:wrap type="topAndBottom"/>
          </v:shape>
        </w:pict>
      </w:r>
      <w:r>
        <w:rPr/>
        <w:pict>
          <v:rect style="position:absolute;margin-left:42.52pt;margin-top:143.310349pt;width:19.843pt;height:19.843pt;mso-position-horizontal-relative:page;mso-position-vertical-relative:paragraph;z-index:6592;mso-wrap-distance-left:0;mso-wrap-distance-right:0" filled="true" fillcolor="#0f6161" stroked="false">
            <v:fill type="solid"/>
            <w10:wrap type="topAndBottom"/>
          </v:rect>
        </w:pict>
      </w:r>
      <w:r>
        <w:rPr/>
        <w:pict>
          <v:shape style="position:absolute;margin-left:211.180695pt;margin-top:156.066635pt;width:22.7pt;height:22.7pt;mso-position-horizontal-relative:page;mso-position-vertical-relative:paragraph;z-index:6616;mso-wrap-distance-left:0;mso-wrap-distance-right:0" coordorigin="4224,3121" coordsize="454,454" path="m4450,3121l4379,3133,4316,3165,4267,3214,4235,3276,4224,3348,4235,3420,4267,3482,4316,3531,4379,3563,4450,3575,4522,3563,4584,3531,4633,3482,4666,3420,4677,3348,4666,3276,4633,3214,4584,3165,4522,3133,4450,3121xe" filled="true" fillcolor="#d01c26" stroked="false">
            <v:path arrowok="t"/>
            <v:fill type="solid"/>
            <w10:wrap type="topAndBottom"/>
          </v:shape>
        </w:pict>
      </w:r>
      <w:r>
        <w:rPr/>
        <w:pict>
          <v:shape style="position:absolute;margin-left:258.109894pt;margin-top:156.066635pt;width:22.7pt;height:22.7pt;mso-position-horizontal-relative:page;mso-position-vertical-relative:paragraph;z-index:6640;mso-wrap-distance-left:0;mso-wrap-distance-right:0" coordorigin="5162,3121" coordsize="454,454" path="m5389,3121l5317,3133,5255,3165,5206,3214,5174,3276,5162,3348,5174,3420,5206,3482,5255,3531,5317,3563,5389,3575,5461,3563,5523,3531,5572,3482,5604,3420,5616,3348,5604,3276,5572,3214,5523,3165,5461,3133,5389,3121xe" filled="true" fillcolor="#d01c26" stroked="false">
            <v:path arrowok="t"/>
            <v:fill type="solid"/>
            <w10:wrap type="topAndBottom"/>
          </v:shape>
        </w:pict>
      </w:r>
      <w:r>
        <w:rPr/>
        <w:pict>
          <v:shape style="position:absolute;margin-left:308.267303pt;margin-top:156.066635pt;width:22.7pt;height:22.7pt;mso-position-horizontal-relative:page;mso-position-vertical-relative:paragraph;z-index:6664;mso-wrap-distance-left:0;mso-wrap-distance-right:0" coordorigin="6165,3121" coordsize="454,454" path="m6392,3121l6320,3133,6258,3165,6209,3214,6177,3276,6165,3348,6177,3420,6209,3482,6258,3531,6320,3563,6392,3575,6464,3563,6526,3531,6575,3482,6607,3420,6619,3348,6607,3276,6575,3214,6526,3165,6464,3133,6392,3121xe" filled="true" fillcolor="#d01c26" stroked="false">
            <v:path arrowok="t"/>
            <v:fill type="solid"/>
            <w10:wrap type="topAndBottom"/>
          </v:shape>
        </w:pict>
      </w:r>
      <w:r>
        <w:rPr/>
        <w:pict>
          <v:shape style="position:absolute;margin-left:358.424805pt;margin-top:157.484146pt;width:22.7pt;height:22.7pt;mso-position-horizontal-relative:page;mso-position-vertical-relative:paragraph;z-index:6688;mso-wrap-distance-left:0;mso-wrap-distance-right:0" coordorigin="7168,3150" coordsize="454,454" path="m7395,3150l7324,3161,7261,3193,7212,3243,7180,3305,7168,3376,7180,3448,7212,3510,7261,3559,7324,3592,7395,3603,7467,3592,7529,3559,7578,3510,7610,3448,7622,3376,7610,3305,7578,3243,7529,3193,7467,3161,7395,3150xe" filled="true" fillcolor="#d01c26" stroked="false">
            <v:path arrowok="t"/>
            <v:fill type="solid"/>
            <w10:wrap type="topAndBottom"/>
          </v:shape>
        </w:pict>
      </w:r>
      <w:r>
        <w:rPr/>
        <w:pict>
          <v:shape style="position:absolute;margin-left:406.456299pt;margin-top:156.066635pt;width:22.7pt;height:22.7pt;mso-position-horizontal-relative:page;mso-position-vertical-relative:paragraph;z-index:6712;mso-wrap-distance-left:0;mso-wrap-distance-right:0" coordorigin="8129,3121" coordsize="454,454" path="m8356,3121l8284,3133,8222,3165,8173,3214,8141,3276,8129,3348,8141,3420,8173,3482,8222,3531,8284,3563,8356,3575,8428,3563,8490,3531,8539,3482,8571,3420,8583,3348,8571,3276,8539,3214,8490,3165,8428,3133,8356,3121xe" filled="true" fillcolor="#5b9f42" stroked="false">
            <v:path arrowok="t"/>
            <v:fill type="solid"/>
            <w10:wrap type="topAndBottom"/>
          </v:shape>
        </w:pict>
      </w:r>
      <w:r>
        <w:rPr/>
        <w:pict>
          <v:shape style="position:absolute;margin-left:455.90509pt;margin-top:156.066635pt;width:22.7pt;height:22.7pt;mso-position-horizontal-relative:page;mso-position-vertical-relative:paragraph;z-index:6736;mso-wrap-distance-left:0;mso-wrap-distance-right:0" coordorigin="9118,3121" coordsize="454,454" path="m9345,3121l9273,3133,9211,3165,9162,3214,9130,3276,9118,3348,9130,3420,9162,3482,9211,3531,9273,3563,9345,3575,9417,3563,9479,3531,9528,3482,9560,3420,9572,3348,9560,3276,9528,3214,9479,3165,9417,3133,9345,3121xe" filled="true" fillcolor="#d01c26" stroked="false">
            <v:path arrowok="t"/>
            <v:fill type="solid"/>
            <w10:wrap type="topAndBottom"/>
          </v:shape>
        </w:pict>
      </w:r>
      <w:r>
        <w:rPr/>
        <w:pict>
          <v:shape style="position:absolute;margin-left:503.91449pt;margin-top:156.066635pt;width:22.7pt;height:22.7pt;mso-position-horizontal-relative:page;mso-position-vertical-relative:paragraph;z-index:6760;mso-wrap-distance-left:0;mso-wrap-distance-right:0" coordorigin="10078,3121" coordsize="454,454" path="m10305,3121l10233,3133,10171,3165,10122,3214,10090,3276,10078,3348,10090,3420,10122,3482,10171,3531,10233,3563,10305,3575,10377,3563,10439,3531,10488,3482,10520,3420,10532,3348,10520,3276,10488,3214,10439,3165,10377,3133,10305,3121xe" filled="true" fillcolor="#5b9f42" stroked="false">
            <v:path arrowok="t"/>
            <v:fill type="solid"/>
            <w10:wrap type="topAndBottom"/>
          </v:shape>
        </w:pict>
      </w:r>
      <w:r>
        <w:rPr/>
        <w:pict>
          <v:rect style="position:absolute;margin-left:42.52pt;margin-top:191.499344pt;width:19.843pt;height:19.843pt;mso-position-horizontal-relative:page;mso-position-vertical-relative:paragraph;z-index:6784;mso-wrap-distance-left:0;mso-wrap-distance-right:0" filled="true" fillcolor="#0f6161" stroked="false">
            <v:fill type="solid"/>
            <w10:wrap type="topAndBottom"/>
          </v:rect>
        </w:pict>
      </w:r>
      <w:r>
        <w:rPr/>
        <w:pict>
          <v:shape style="position:absolute;margin-left:211.180695pt;margin-top:204.964142pt;width:22.7pt;height:22.7pt;mso-position-horizontal-relative:page;mso-position-vertical-relative:paragraph;z-index:6808;mso-wrap-distance-left:0;mso-wrap-distance-right:0" coordorigin="4224,4099" coordsize="454,454" path="m4450,4099l4379,4111,4316,4143,4267,4192,4235,4254,4224,4326,4235,4398,4267,4460,4316,4509,4379,4541,4450,4553,4522,4541,4584,4509,4633,4460,4666,4398,4677,4326,4666,4254,4633,4192,4584,4143,4522,4111,4450,4099xe" filled="true" fillcolor="#d01c26" stroked="false">
            <v:path arrowok="t"/>
            <v:fill type="solid"/>
            <w10:wrap type="topAndBottom"/>
          </v:shape>
        </w:pict>
      </w:r>
      <w:r>
        <w:rPr/>
        <w:pict>
          <v:shape style="position:absolute;margin-left:258.109894pt;margin-top:204.964142pt;width:22.7pt;height:22.7pt;mso-position-horizontal-relative:page;mso-position-vertical-relative:paragraph;z-index:6832;mso-wrap-distance-left:0;mso-wrap-distance-right:0" coordorigin="5162,4099" coordsize="454,454" path="m5389,4099l5317,4111,5255,4143,5206,4192,5174,4254,5162,4326,5174,4398,5206,4460,5255,4509,5317,4541,5389,4553,5461,4541,5523,4509,5572,4460,5604,4398,5616,4326,5604,4254,5572,4192,5523,4143,5461,4111,5389,4099xe" filled="true" fillcolor="#d01c26" stroked="false">
            <v:path arrowok="t"/>
            <v:fill type="solid"/>
            <w10:wrap type="topAndBottom"/>
          </v:shape>
        </w:pict>
      </w:r>
      <w:r>
        <w:rPr/>
        <w:pict>
          <v:shape style="position:absolute;margin-left:308.267303pt;margin-top:204.964142pt;width:22.7pt;height:22.7pt;mso-position-horizontal-relative:page;mso-position-vertical-relative:paragraph;z-index:6856;mso-wrap-distance-left:0;mso-wrap-distance-right:0" coordorigin="6165,4099" coordsize="454,454" path="m6392,4099l6320,4111,6258,4143,6209,4192,6177,4254,6165,4326,6177,4398,6209,4460,6258,4509,6320,4541,6392,4553,6464,4541,6526,4509,6575,4460,6607,4398,6619,4326,6607,4254,6575,4192,6526,4143,6464,4111,6392,4099xe" filled="true" fillcolor="#d01c26" stroked="false">
            <v:path arrowok="t"/>
            <v:fill type="solid"/>
            <w10:wrap type="topAndBottom"/>
          </v:shape>
        </w:pict>
      </w:r>
      <w:r>
        <w:rPr/>
        <w:pict>
          <v:shape style="position:absolute;margin-left:358.424805pt;margin-top:204.964142pt;width:22.7pt;height:22.7pt;mso-position-horizontal-relative:page;mso-position-vertical-relative:paragraph;z-index:6880;mso-wrap-distance-left:0;mso-wrap-distance-right:0" coordorigin="7168,4099" coordsize="454,454" path="m7395,4099l7324,4111,7261,4143,7212,4192,7180,4254,7168,4326,7180,4398,7212,4460,7261,4509,7324,4541,7395,4553,7467,4541,7529,4509,7578,4460,7610,4398,7622,4326,7610,4254,7578,4192,7529,4143,7467,4111,7395,4099xe" filled="true" fillcolor="#d01c26" stroked="false">
            <v:path arrowok="t"/>
            <v:fill type="solid"/>
            <w10:wrap type="topAndBottom"/>
          </v:shape>
        </w:pict>
      </w:r>
      <w:r>
        <w:rPr/>
        <w:pict>
          <v:shape style="position:absolute;margin-left:406.456299pt;margin-top:204.964142pt;width:22.7pt;height:22.7pt;mso-position-horizontal-relative:page;mso-position-vertical-relative:paragraph;z-index:6904;mso-wrap-distance-left:0;mso-wrap-distance-right:0" coordorigin="8129,4099" coordsize="454,454" path="m8356,4099l8284,4111,8222,4143,8173,4192,8141,4254,8129,4326,8141,4398,8173,4460,8222,4509,8284,4541,8356,4553,8428,4541,8490,4509,8539,4460,8571,4398,8583,4326,8571,4254,8539,4192,8490,4143,8428,4111,8356,4099xe" filled="true" fillcolor="#5b9f42" stroked="false">
            <v:path arrowok="t"/>
            <v:fill type="solid"/>
            <w10:wrap type="topAndBottom"/>
          </v:shape>
        </w:pict>
      </w:r>
      <w:r>
        <w:rPr/>
        <w:pict>
          <v:shape style="position:absolute;margin-left:455.90509pt;margin-top:204.964142pt;width:22.7pt;height:22.7pt;mso-position-horizontal-relative:page;mso-position-vertical-relative:paragraph;z-index:6928;mso-wrap-distance-left:0;mso-wrap-distance-right:0" coordorigin="9118,4099" coordsize="454,454" path="m9345,4099l9273,4111,9211,4143,9162,4192,9130,4254,9118,4326,9130,4398,9162,4460,9211,4509,9273,4541,9345,4553,9417,4541,9479,4509,9528,4460,9560,4398,9572,4326,9560,4254,9528,4192,9479,4143,9417,4111,9345,4099xe" filled="true" fillcolor="#d01c26" stroked="false">
            <v:path arrowok="t"/>
            <v:fill type="solid"/>
            <w10:wrap type="topAndBottom"/>
          </v:shape>
        </w:pict>
      </w:r>
      <w:r>
        <w:rPr/>
        <w:pict>
          <v:shape style="position:absolute;margin-left:503.91449pt;margin-top:204.964142pt;width:22.7pt;height:22.7pt;mso-position-horizontal-relative:page;mso-position-vertical-relative:paragraph;z-index:6952;mso-wrap-distance-left:0;mso-wrap-distance-right:0" coordorigin="10078,4099" coordsize="454,454" path="m10305,4099l10233,4111,10171,4143,10122,4192,10090,4254,10078,4326,10090,4398,10122,4460,10171,4509,10233,4541,10305,4553,10377,4541,10439,4509,10488,4460,10520,4398,10532,4326,10520,4254,10488,4192,10439,4143,10377,4111,10305,4099xe" filled="true" fillcolor="#5b9f42" stroked="false">
            <v:path arrowok="t"/>
            <v:fill type="solid"/>
            <w10:wrap type="topAndBottom"/>
          </v:shape>
        </w:pict>
      </w:r>
      <w:r>
        <w:rPr/>
        <w:pict>
          <v:rect style="position:absolute;margin-left:42.52pt;margin-top:240.113342pt;width:19.843pt;height:19.843pt;mso-position-horizontal-relative:page;mso-position-vertical-relative:paragraph;z-index:6976;mso-wrap-distance-left:0;mso-wrap-distance-right:0" filled="true" fillcolor="#0f6161" stroked="false">
            <v:fill type="solid"/>
            <w10:wrap type="topAndBottom"/>
          </v:rect>
        </w:pict>
      </w:r>
      <w:r>
        <w:rPr/>
        <w:pict>
          <v:shape style="position:absolute;margin-left:211.180695pt;margin-top:246.775146pt;width:22.7pt;height:22.7pt;mso-position-horizontal-relative:page;mso-position-vertical-relative:paragraph;z-index:7000;mso-wrap-distance-left:0;mso-wrap-distance-right:0" coordorigin="4224,4936" coordsize="454,454" path="m4450,4936l4379,4947,4316,4979,4267,5028,4235,5091,4224,5162,4235,5234,4267,5296,4316,5345,4379,5377,4450,5389,4522,5377,4584,5345,4633,5296,4666,5234,4677,5162,4666,5091,4633,5028,4584,4979,4522,4947,4450,4936xe" filled="true" fillcolor="#d01c26" stroked="false">
            <v:path arrowok="t"/>
            <v:fill type="solid"/>
            <w10:wrap type="topAndBottom"/>
          </v:shape>
        </w:pict>
      </w:r>
      <w:r>
        <w:rPr/>
        <w:pict>
          <v:shape style="position:absolute;margin-left:259.723999pt;margin-top:248.617935pt;width:22.7pt;height:22.7pt;mso-position-horizontal-relative:page;mso-position-vertical-relative:paragraph;z-index:7024;mso-wrap-distance-left:0;mso-wrap-distance-right:0" coordorigin="5194,4972" coordsize="454,454" path="m5421,4972l5350,4984,5287,5016,5238,5065,5206,5127,5194,5199,5206,5271,5238,5333,5287,5382,5350,5414,5421,5426,5493,5414,5555,5382,5604,5333,5636,5271,5648,5199,5636,5127,5604,5065,5555,5016,5493,4984,5421,4972xe" filled="true" fillcolor="#5b9f42" stroked="false">
            <v:path arrowok="t"/>
            <v:fill type="solid"/>
            <w10:wrap type="topAndBottom"/>
          </v:shape>
        </w:pict>
      </w:r>
      <w:r>
        <w:rPr/>
        <w:pict>
          <v:shape style="position:absolute;margin-left:308.267303pt;margin-top:246.775146pt;width:22.7pt;height:22.7pt;mso-position-horizontal-relative:page;mso-position-vertical-relative:paragraph;z-index:7048;mso-wrap-distance-left:0;mso-wrap-distance-right:0" coordorigin="6165,4936" coordsize="454,454" path="m6392,4936l6320,4947,6258,4979,6209,5028,6177,5091,6165,5162,6177,5234,6209,5296,6258,5345,6320,5377,6392,5389,6464,5377,6526,5345,6575,5296,6607,5234,6619,5162,6607,5091,6575,5028,6526,4979,6464,4947,6392,4936xe" filled="true" fillcolor="#5b9f42" stroked="false">
            <v:path arrowok="t"/>
            <v:fill type="solid"/>
            <w10:wrap type="topAndBottom"/>
          </v:shape>
        </w:pict>
      </w:r>
      <w:r>
        <w:rPr/>
        <w:pict>
          <v:shape style="position:absolute;margin-left:357.007507pt;margin-top:246.775146pt;width:22.7pt;height:22.7pt;mso-position-horizontal-relative:page;mso-position-vertical-relative:paragraph;z-index:7072;mso-wrap-distance-left:0;mso-wrap-distance-right:0" coordorigin="7140,4936" coordsize="454,454" path="m7367,4936l7295,4947,7233,4979,7184,5028,7152,5091,7140,5162,7152,5234,7184,5296,7233,5345,7295,5377,7367,5389,7439,5377,7501,5345,7550,5296,7582,5234,7594,5162,7582,5091,7550,5028,7501,4979,7439,4947,7367,4936xe" filled="true" fillcolor="#5b9f42" stroked="false">
            <v:path arrowok="t"/>
            <v:fill type="solid"/>
            <w10:wrap type="topAndBottom"/>
          </v:shape>
        </w:pict>
      </w:r>
      <w:r>
        <w:rPr/>
        <w:pict>
          <v:shape style="position:absolute;margin-left:406.456299pt;margin-top:246.775146pt;width:22.7pt;height:22.7pt;mso-position-horizontal-relative:page;mso-position-vertical-relative:paragraph;z-index:7096;mso-wrap-distance-left:0;mso-wrap-distance-right:0" coordorigin="8129,4936" coordsize="454,454" path="m8356,4936l8284,4947,8222,4979,8173,5028,8141,5091,8129,5162,8141,5234,8173,5296,8222,5345,8284,5377,8356,5389,8428,5377,8490,5345,8539,5296,8571,5234,8583,5162,8571,5091,8539,5028,8490,4979,8428,4947,8356,4936xe" filled="true" fillcolor="#5b9f42" stroked="false">
            <v:path arrowok="t"/>
            <v:fill type="solid"/>
            <w10:wrap type="topAndBottom"/>
          </v:shape>
        </w:pict>
      </w:r>
      <w:r>
        <w:rPr/>
        <w:pict>
          <v:shape style="position:absolute;margin-left:455.90509pt;margin-top:246.775146pt;width:22.7pt;height:22.7pt;mso-position-horizontal-relative:page;mso-position-vertical-relative:paragraph;z-index:7120;mso-wrap-distance-left:0;mso-wrap-distance-right:0" coordorigin="9118,4936" coordsize="454,454" path="m9345,4936l9273,4947,9211,4979,9162,5028,9130,5091,9118,5162,9130,5234,9162,5296,9211,5345,9273,5377,9345,5389,9417,5377,9479,5345,9528,5296,9560,5234,9572,5162,9560,5091,9528,5028,9479,4979,9417,4947,9345,4936xe" filled="true" fillcolor="#d01c26" stroked="false">
            <v:path arrowok="t"/>
            <v:fill type="solid"/>
            <w10:wrap type="topAndBottom"/>
          </v:shape>
        </w:pict>
      </w:r>
      <w:r>
        <w:rPr/>
        <w:pict>
          <v:shape style="position:absolute;margin-left:503.91449pt;margin-top:246.775146pt;width:22.7pt;height:22.7pt;mso-position-horizontal-relative:page;mso-position-vertical-relative:paragraph;z-index:7144;mso-wrap-distance-left:0;mso-wrap-distance-right:0" coordorigin="10078,4936" coordsize="454,454" path="m10305,4936l10233,4947,10171,4979,10122,5028,10090,5091,10078,5162,10090,5234,10122,5296,10171,5345,10233,5377,10305,5389,10377,5377,10439,5345,10488,5296,10520,5234,10532,5162,10520,5091,10488,5028,10439,4979,10377,4947,10305,4936xe" filled="true" fillcolor="#5b9f42" stroked="false">
            <v:path arrowok="t"/>
            <v:fill type="solid"/>
            <w10:wrap type="topAndBottom"/>
          </v:shape>
        </w:pict>
      </w:r>
      <w:r>
        <w:rPr/>
        <w:pict>
          <v:rect style="position:absolute;margin-left:42.52pt;margin-top:278.522339pt;width:19.843pt;height:19.843pt;mso-position-horizontal-relative:page;mso-position-vertical-relative:paragraph;z-index:7168;mso-wrap-distance-left:0;mso-wrap-distance-right:0" filled="true" fillcolor="#0f6161" stroked="false">
            <v:fill type="solid"/>
            <w10:wrap type="topAndBottom"/>
          </v:rect>
        </w:pict>
      </w:r>
      <w:r>
        <w:rPr/>
        <w:pict>
          <v:shape style="position:absolute;margin-left:211.180695pt;margin-top:280.791229pt;width:22.7pt;height:22.7pt;mso-position-horizontal-relative:page;mso-position-vertical-relative:paragraph;z-index:7192;mso-wrap-distance-left:0;mso-wrap-distance-right:0" coordorigin="4224,5616" coordsize="454,454" path="m4450,5616l4379,5627,4316,5660,4267,5709,4235,5771,4224,5843,4235,5914,4267,5977,4316,6026,4379,6058,4450,6069,4522,6058,4584,6026,4633,5977,4666,5914,4677,5843,4666,5771,4633,5709,4584,5660,4522,5627,4450,5616xe" filled="true" fillcolor="#d01c26" stroked="false">
            <v:path arrowok="t"/>
            <v:fill type="solid"/>
            <w10:wrap type="topAndBottom"/>
          </v:shape>
        </w:pict>
      </w:r>
      <w:r>
        <w:rPr/>
        <w:pict>
          <v:shape style="position:absolute;margin-left:259.723999pt;margin-top:282.208252pt;width:22.7pt;height:22.7pt;mso-position-horizontal-relative:page;mso-position-vertical-relative:paragraph;z-index:7216;mso-wrap-distance-left:0;mso-wrap-distance-right:0" coordorigin="5194,5644" coordsize="454,454" path="m5421,5644l5350,5656,5287,5688,5238,5737,5206,5799,5194,5871,5206,5943,5238,6005,5287,6054,5350,6086,5421,6098,5493,6086,5555,6054,5604,6005,5636,5943,5648,5871,5636,5799,5604,5737,5555,5688,5493,5656,5421,5644xe" filled="true" fillcolor="#5b9f42" stroked="false">
            <v:path arrowok="t"/>
            <v:fill type="solid"/>
            <w10:wrap type="topAndBottom"/>
          </v:shape>
        </w:pict>
      </w:r>
      <w:r>
        <w:rPr/>
        <w:pict>
          <v:shape style="position:absolute;margin-left:308.267303pt;margin-top:280.791229pt;width:22.7pt;height:22.7pt;mso-position-horizontal-relative:page;mso-position-vertical-relative:paragraph;z-index:7240;mso-wrap-distance-left:0;mso-wrap-distance-right:0" coordorigin="6165,5616" coordsize="454,454" path="m6392,5616l6320,5627,6258,5660,6209,5709,6177,5771,6165,5843,6177,5914,6209,5977,6258,6026,6320,6058,6392,6069,6464,6058,6526,6026,6575,5977,6607,5914,6619,5843,6607,5771,6575,5709,6526,5660,6464,5627,6392,5616xe" filled="true" fillcolor="#5b9f42" stroked="false">
            <v:path arrowok="t"/>
            <v:fill type="solid"/>
            <w10:wrap type="topAndBottom"/>
          </v:shape>
        </w:pict>
      </w:r>
      <w:r>
        <w:rPr/>
        <w:pict>
          <v:shape style="position:absolute;margin-left:357.007507pt;margin-top:280.791229pt;width:22.7pt;height:22.7pt;mso-position-horizontal-relative:page;mso-position-vertical-relative:paragraph;z-index:7264;mso-wrap-distance-left:0;mso-wrap-distance-right:0" coordorigin="7140,5616" coordsize="454,454" path="m7367,5616l7295,5627,7233,5660,7184,5709,7152,5771,7140,5843,7152,5914,7184,5977,7233,6026,7295,6058,7367,6069,7439,6058,7501,6026,7550,5977,7582,5914,7594,5843,7582,5771,7550,5709,7501,5660,7439,5627,7367,5616xe" filled="true" fillcolor="#5b9f42" stroked="false">
            <v:path arrowok="t"/>
            <v:fill type="solid"/>
            <w10:wrap type="topAndBottom"/>
          </v:shape>
        </w:pict>
      </w:r>
      <w:r>
        <w:rPr/>
        <w:pict>
          <v:shape style="position:absolute;margin-left:406.456299pt;margin-top:280.791229pt;width:22.7pt;height:22.7pt;mso-position-horizontal-relative:page;mso-position-vertical-relative:paragraph;z-index:7288;mso-wrap-distance-left:0;mso-wrap-distance-right:0" coordorigin="8129,5616" coordsize="454,454" path="m8356,5616l8284,5627,8222,5660,8173,5709,8141,5771,8129,5843,8141,5914,8173,5977,8222,6026,8284,6058,8356,6069,8428,6058,8490,6026,8539,5977,8571,5914,8583,5843,8571,5771,8539,5709,8490,5660,8428,5627,8356,5616xe" filled="true" fillcolor="#5b9f42" stroked="false">
            <v:path arrowok="t"/>
            <v:fill type="solid"/>
            <w10:wrap type="topAndBottom"/>
          </v:shape>
        </w:pict>
      </w:r>
      <w:r>
        <w:rPr/>
        <w:pict>
          <v:shape style="position:absolute;margin-left:455.90509pt;margin-top:280.791229pt;width:22.7pt;height:22.7pt;mso-position-horizontal-relative:page;mso-position-vertical-relative:paragraph;z-index:7312;mso-wrap-distance-left:0;mso-wrap-distance-right:0" coordorigin="9118,5616" coordsize="454,454" path="m9345,5616l9273,5627,9211,5660,9162,5709,9130,5771,9118,5843,9130,5914,9162,5977,9211,6026,9273,6058,9345,6069,9417,6058,9479,6026,9528,5977,9560,5914,9572,5843,9560,5771,9528,5709,9479,5660,9417,5627,9345,5616xe" filled="true" fillcolor="#d01c26" stroked="false">
            <v:path arrowok="t"/>
            <v:fill type="solid"/>
            <w10:wrap type="topAndBottom"/>
          </v:shape>
        </w:pict>
      </w:r>
      <w:r>
        <w:rPr/>
        <w:pict>
          <v:shape style="position:absolute;margin-left:503.91449pt;margin-top:280.791229pt;width:22.7pt;height:22.7pt;mso-position-horizontal-relative:page;mso-position-vertical-relative:paragraph;z-index:7336;mso-wrap-distance-left:0;mso-wrap-distance-right:0" coordorigin="10078,5616" coordsize="454,454" path="m10305,5616l10233,5627,10171,5660,10122,5709,10090,5771,10078,5843,10090,5914,10122,5977,10171,6026,10233,6058,10305,6069,10377,6058,10439,6026,10488,5977,10520,5914,10532,5843,10520,5771,10488,5709,10439,5660,10377,5627,10305,5616xe" filled="true" fillcolor="#5b9f42" stroked="false">
            <v:path arrowok="t"/>
            <v:fill type="solid"/>
            <w10:wrap type="topAndBottom"/>
          </v:shape>
        </w:pict>
      </w:r>
    </w:p>
    <w:p>
      <w:pPr>
        <w:pStyle w:val="BodyText"/>
        <w:spacing w:before="10"/>
        <w:rPr>
          <w:sz w:val="8"/>
        </w:rPr>
      </w:pPr>
    </w:p>
    <w:p>
      <w:pPr>
        <w:pStyle w:val="BodyText"/>
        <w:spacing w:before="7"/>
        <w:rPr>
          <w:sz w:val="8"/>
        </w:rPr>
      </w:pPr>
    </w:p>
    <w:p>
      <w:pPr>
        <w:pStyle w:val="BodyText"/>
        <w:spacing w:before="9"/>
        <w:rPr>
          <w:sz w:val="25"/>
        </w:rPr>
      </w:pPr>
    </w:p>
    <w:p>
      <w:pPr>
        <w:pStyle w:val="BodyText"/>
        <w:rPr>
          <w:sz w:val="13"/>
        </w:rPr>
      </w:pPr>
    </w:p>
    <w:p>
      <w:pPr>
        <w:pStyle w:val="BodyText"/>
        <w:spacing w:before="10"/>
        <w:rPr>
          <w:sz w:val="14"/>
        </w:rPr>
      </w:pPr>
    </w:p>
    <w:p>
      <w:pPr>
        <w:pStyle w:val="BodyText"/>
        <w:spacing w:before="3"/>
        <w:rPr>
          <w:sz w:val="6"/>
        </w:rPr>
      </w:pPr>
    </w:p>
    <w:p>
      <w:pPr>
        <w:tabs>
          <w:tab w:pos="4223" w:val="left" w:leader="none"/>
          <w:tab w:pos="5185" w:val="left" w:leader="none"/>
          <w:tab w:pos="6165" w:val="left" w:leader="none"/>
          <w:tab w:pos="7140" w:val="left" w:leader="none"/>
          <w:tab w:pos="8129" w:val="left" w:leader="none"/>
          <w:tab w:pos="9118" w:val="left" w:leader="none"/>
          <w:tab w:pos="10078" w:val="left" w:leader="none"/>
        </w:tabs>
        <w:spacing w:line="240" w:lineRule="auto"/>
        <w:ind w:left="850" w:right="0" w:firstLine="0"/>
        <w:rPr>
          <w:sz w:val="20"/>
        </w:rPr>
      </w:pPr>
      <w:r>
        <w:rPr>
          <w:position w:val="33"/>
          <w:sz w:val="20"/>
        </w:rPr>
        <w:pict>
          <v:group style="width:19.850pt;height:19.850pt;mso-position-horizontal-relative:char;mso-position-vertical-relative:line" coordorigin="0,0" coordsize="397,397">
            <v:rect style="position:absolute;left:0;top:0;width:397;height:397" filled="true" fillcolor="#0f6161" stroked="false">
              <v:fill type="solid"/>
            </v:rect>
          </v:group>
        </w:pict>
      </w:r>
      <w:r>
        <w:rPr>
          <w:position w:val="33"/>
          <w:sz w:val="20"/>
        </w:rPr>
      </w:r>
      <w:r>
        <w:rPr>
          <w:position w:val="33"/>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f7941d"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f7941d"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f7941d"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d01c26" stroked="false">
              <v:path arrowok="t"/>
              <v:fill type="solid"/>
            </v:shape>
          </v:group>
        </w:pict>
      </w:r>
      <w:r>
        <w:rPr>
          <w:sz w:val="20"/>
        </w:rPr>
      </w:r>
      <w:r>
        <w:rPr>
          <w:sz w:val="20"/>
        </w:rPr>
        <w:tab/>
      </w:r>
      <w:r>
        <w:rPr>
          <w:sz w:val="20"/>
        </w:rPr>
        <w:pict>
          <v:group style="width:22.7pt;height:22.7pt;mso-position-horizontal-relative:char;mso-position-vertical-relative:line" coordorigin="0,0" coordsize="454,454">
            <v:shape style="position:absolute;left:0;top:0;width:454;height:454" coordorigin="0,0" coordsize="454,454" path="m227,0l155,12,93,44,44,93,12,155,0,227,12,298,44,361,93,410,155,442,227,454,298,442,361,410,410,361,442,298,454,227,442,155,410,93,361,44,298,12,227,0xe" filled="true" fillcolor="#5b9f42" stroked="false">
              <v:path arrowok="t"/>
              <v:fill type="solid"/>
            </v:shape>
          </v:group>
        </w:pict>
      </w:r>
      <w:r>
        <w:rPr>
          <w:sz w:val="20"/>
        </w:rPr>
      </w:r>
    </w:p>
    <w:p>
      <w:pPr>
        <w:pStyle w:val="BodyText"/>
        <w:rPr>
          <w:sz w:val="15"/>
        </w:rPr>
      </w:pPr>
      <w:r>
        <w:rPr/>
        <w:pict>
          <v:rect style="position:absolute;margin-left:42.52pt;margin-top:11.1481pt;width:19.843pt;height:19.843pt;mso-position-horizontal-relative:page;mso-position-vertical-relative:paragraph;z-index:7552;mso-wrap-distance-left:0;mso-wrap-distance-right:0" filled="true" fillcolor="#0f6161" stroked="false">
            <v:fill type="solid"/>
            <w10:wrap type="topAndBottom"/>
          </v:rect>
        </w:pict>
      </w:r>
      <w:r>
        <w:rPr/>
        <w:pict>
          <v:shape style="position:absolute;margin-left:211.180695pt;margin-top:17.243099pt;width:22.7pt;height:22.7pt;mso-position-horizontal-relative:page;mso-position-vertical-relative:paragraph;z-index:7576;mso-wrap-distance-left:0;mso-wrap-distance-right:0" coordorigin="4224,345" coordsize="454,454" path="m4450,345l4379,356,4316,389,4267,438,4235,500,4224,572,4235,643,4267,706,4316,755,4379,787,4450,798,4522,787,4584,755,4633,706,4666,643,4677,572,4666,500,4633,438,4584,389,4522,356,4450,345xe" filled="true" fillcolor="#5b9f42" stroked="false">
            <v:path arrowok="t"/>
            <v:fill type="solid"/>
            <w10:wrap type="topAndBottom"/>
          </v:shape>
        </w:pict>
      </w:r>
      <w:r>
        <w:rPr/>
        <w:pict>
          <v:shape style="position:absolute;margin-left:259.298798pt;margin-top:18.660601pt;width:22.7pt;height:22.7pt;mso-position-horizontal-relative:page;mso-position-vertical-relative:paragraph;z-index:7600;mso-wrap-distance-left:0;mso-wrap-distance-right:0" coordorigin="5186,373" coordsize="454,454" path="m5413,373l5341,385,5279,417,5230,466,5198,528,5186,600,5198,672,5230,734,5279,783,5341,815,5413,827,5484,815,5547,783,5596,734,5628,672,5640,600,5628,528,5596,466,5547,417,5484,385,5413,373xe" filled="true" fillcolor="#d01c26" stroked="false">
            <v:path arrowok="t"/>
            <v:fill type="solid"/>
            <w10:wrap type="topAndBottom"/>
          </v:shape>
        </w:pict>
      </w:r>
      <w:r>
        <w:rPr/>
        <w:pict>
          <v:shape style="position:absolute;margin-left:308.267303pt;margin-top:17.243099pt;width:22.7pt;height:22.7pt;mso-position-horizontal-relative:page;mso-position-vertical-relative:paragraph;z-index:7624;mso-wrap-distance-left:0;mso-wrap-distance-right:0" coordorigin="6165,345" coordsize="454,454" path="m6392,345l6320,356,6258,389,6209,438,6177,500,6165,572,6177,643,6209,706,6258,755,6320,787,6392,798,6464,787,6526,755,6575,706,6607,643,6619,572,6607,500,6575,438,6526,389,6464,356,6392,345xe" filled="true" fillcolor="#d01c26" stroked="false">
            <v:path arrowok="t"/>
            <v:fill type="solid"/>
            <w10:wrap type="topAndBottom"/>
          </v:shape>
        </w:pict>
      </w:r>
      <w:r>
        <w:rPr/>
        <w:pict>
          <v:shape style="position:absolute;margin-left:357.006195pt;margin-top:17.243099pt;width:22.7pt;height:22.7pt;mso-position-horizontal-relative:page;mso-position-vertical-relative:paragraph;z-index:7648;mso-wrap-distance-left:0;mso-wrap-distance-right:0" coordorigin="7140,345" coordsize="454,454" path="m7367,345l7295,356,7233,389,7184,438,7152,500,7140,572,7152,643,7184,706,7233,755,7295,787,7367,798,7439,787,7501,755,7550,706,7582,643,7594,572,7582,500,7550,438,7501,389,7439,356,7367,345xe" filled="true" fillcolor="#d01c26" stroked="false">
            <v:path arrowok="t"/>
            <v:fill type="solid"/>
            <w10:wrap type="topAndBottom"/>
          </v:shape>
        </w:pict>
      </w:r>
      <w:r>
        <w:rPr/>
        <w:pict>
          <v:shape style="position:absolute;margin-left:406.456299pt;margin-top:17.243099pt;width:22.7pt;height:22.7pt;mso-position-horizontal-relative:page;mso-position-vertical-relative:paragraph;z-index:7672;mso-wrap-distance-left:0;mso-wrap-distance-right:0" coordorigin="8129,345" coordsize="454,454" path="m8356,345l8284,356,8222,389,8173,438,8141,500,8129,572,8141,643,8173,706,8222,755,8284,787,8356,798,8428,787,8490,755,8539,706,8571,643,8583,572,8571,500,8539,438,8490,389,8428,356,8356,345xe" filled="true" fillcolor="#5b9f42" stroked="false">
            <v:path arrowok="t"/>
            <v:fill type="solid"/>
            <w10:wrap type="topAndBottom"/>
          </v:shape>
        </w:pict>
      </w:r>
      <w:r>
        <w:rPr/>
        <w:pict>
          <v:shape style="position:absolute;margin-left:455.90509pt;margin-top:17.243099pt;width:22.7pt;height:22.7pt;mso-position-horizontal-relative:page;mso-position-vertical-relative:paragraph;z-index:7696;mso-wrap-distance-left:0;mso-wrap-distance-right:0" coordorigin="9118,345" coordsize="454,454" path="m9345,345l9273,356,9211,389,9162,438,9130,500,9118,572,9130,643,9162,706,9211,755,9273,787,9345,798,9417,787,9479,755,9528,706,9560,643,9572,572,9560,500,9528,438,9479,389,9417,356,9345,345xe" filled="true" fillcolor="#5b9f42" stroked="false">
            <v:path arrowok="t"/>
            <v:fill type="solid"/>
            <w10:wrap type="topAndBottom"/>
          </v:shape>
        </w:pict>
      </w:r>
      <w:r>
        <w:rPr/>
        <w:pict>
          <v:shape style="position:absolute;margin-left:503.91449pt;margin-top:17.243099pt;width:22.7pt;height:22.7pt;mso-position-horizontal-relative:page;mso-position-vertical-relative:paragraph;z-index:7720;mso-wrap-distance-left:0;mso-wrap-distance-right:0" coordorigin="10078,345" coordsize="454,454" path="m10305,345l10233,356,10171,389,10122,438,10090,500,10078,572,10090,643,10122,706,10171,755,10233,787,10305,798,10377,787,10439,755,10488,706,10520,643,10532,572,10520,500,10488,438,10439,389,10377,356,10305,345xe" filled="true" fillcolor="#5b9f42" stroked="false">
            <v:path arrowok="t"/>
            <v:fill type="solid"/>
            <w10:wrap type="topAndBottom"/>
          </v:shape>
        </w:pict>
      </w:r>
      <w:r>
        <w:rPr/>
        <w:pict>
          <v:rect style="position:absolute;margin-left:42.52pt;margin-top:49.841099pt;width:19.843pt;height:19.843pt;mso-position-horizontal-relative:page;mso-position-vertical-relative:paragraph;z-index:7744;mso-wrap-distance-left:0;mso-wrap-distance-right:0" filled="true" fillcolor="#0f6161" stroked="false">
            <v:fill type="solid"/>
            <w10:wrap type="topAndBottom"/>
          </v:rect>
        </w:pict>
      </w:r>
      <w:r>
        <w:rPr/>
        <w:pict>
          <v:shape style="position:absolute;margin-left:211.180695pt;margin-top:53.384701pt;width:22.7pt;height:22.7pt;mso-position-horizontal-relative:page;mso-position-vertical-relative:paragraph;z-index:7768;mso-wrap-distance-left:0;mso-wrap-distance-right:0" coordorigin="4224,1068" coordsize="454,454" path="m4450,1068l4379,1079,4316,1111,4267,1161,4235,1223,4224,1294,4235,1366,4267,1428,4316,1477,4379,1510,4450,1521,4522,1510,4584,1477,4633,1428,4666,1366,4677,1294,4666,1223,4633,1161,4584,1111,4522,1079,4450,1068xe" filled="true" fillcolor="#5b9f42" stroked="false">
            <v:path arrowok="t"/>
            <v:fill type="solid"/>
            <w10:wrap type="topAndBottom"/>
          </v:shape>
        </w:pict>
      </w:r>
      <w:r>
        <w:rPr/>
        <w:pict>
          <v:shape style="position:absolute;margin-left:258.109894pt;margin-top:53.384701pt;width:22.7pt;height:22.7pt;mso-position-horizontal-relative:page;mso-position-vertical-relative:paragraph;z-index:7792;mso-wrap-distance-left:0;mso-wrap-distance-right:0" coordorigin="5162,1068" coordsize="454,454" path="m5389,1068l5317,1079,5255,1111,5206,1161,5174,1223,5162,1294,5174,1366,5206,1428,5255,1477,5317,1510,5389,1521,5461,1510,5523,1477,5572,1428,5604,1366,5616,1294,5604,1223,5572,1161,5523,1111,5461,1079,5389,1068xe" filled="true" fillcolor="#5b9f42" stroked="false">
            <v:path arrowok="t"/>
            <v:fill type="solid"/>
            <w10:wrap type="topAndBottom"/>
          </v:shape>
        </w:pict>
      </w:r>
      <w:r>
        <w:rPr/>
        <w:pict>
          <v:shape style="position:absolute;margin-left:308.267303pt;margin-top:53.384701pt;width:22.7pt;height:22.7pt;mso-position-horizontal-relative:page;mso-position-vertical-relative:paragraph;z-index:7816;mso-wrap-distance-left:0;mso-wrap-distance-right:0" coordorigin="6165,1068" coordsize="454,454" path="m6392,1068l6320,1079,6258,1111,6209,1161,6177,1223,6165,1294,6177,1366,6209,1428,6258,1477,6320,1510,6392,1521,6464,1510,6526,1477,6575,1428,6607,1366,6619,1294,6607,1223,6575,1161,6526,1111,6464,1079,6392,1068xe" filled="true" fillcolor="#5b9f42" stroked="false">
            <v:path arrowok="t"/>
            <v:fill type="solid"/>
            <w10:wrap type="topAndBottom"/>
          </v:shape>
        </w:pict>
      </w:r>
      <w:r>
        <w:rPr/>
        <w:pict>
          <v:shape style="position:absolute;margin-left:357.007507pt;margin-top:53.384701pt;width:22.7pt;height:22.7pt;mso-position-horizontal-relative:page;mso-position-vertical-relative:paragraph;z-index:7840;mso-wrap-distance-left:0;mso-wrap-distance-right:0" coordorigin="7140,1068" coordsize="454,454" path="m7367,1068l7295,1079,7233,1111,7184,1161,7152,1223,7140,1294,7152,1366,7184,1428,7233,1477,7295,1510,7367,1521,7439,1510,7501,1477,7550,1428,7582,1366,7594,1294,7582,1223,7550,1161,7501,1111,7439,1079,7367,1068xe" filled="true" fillcolor="#d01c26" stroked="false">
            <v:path arrowok="t"/>
            <v:fill type="solid"/>
            <w10:wrap type="topAndBottom"/>
          </v:shape>
        </w:pict>
      </w:r>
      <w:r>
        <w:rPr/>
        <w:pict>
          <v:shape style="position:absolute;margin-left:406.456299pt;margin-top:53.384701pt;width:22.7pt;height:22.7pt;mso-position-horizontal-relative:page;mso-position-vertical-relative:paragraph;z-index:7864;mso-wrap-distance-left:0;mso-wrap-distance-right:0" coordorigin="8129,1068" coordsize="454,454" path="m8356,1068l8284,1079,8222,1111,8173,1161,8141,1223,8129,1294,8141,1366,8173,1428,8222,1477,8284,1510,8356,1521,8428,1510,8490,1477,8539,1428,8571,1366,8583,1294,8571,1223,8539,1161,8490,1111,8428,1079,8356,1068xe" filled="true" fillcolor="#5b9f42" stroked="false">
            <v:path arrowok="t"/>
            <v:fill type="solid"/>
            <w10:wrap type="topAndBottom"/>
          </v:shape>
        </w:pict>
      </w:r>
      <w:r>
        <w:rPr/>
        <w:pict>
          <v:shape style="position:absolute;margin-left:455.90509pt;margin-top:53.384701pt;width:22.7pt;height:22.7pt;mso-position-horizontal-relative:page;mso-position-vertical-relative:paragraph;z-index:7888;mso-wrap-distance-left:0;mso-wrap-distance-right:0" coordorigin="9118,1068" coordsize="454,454" path="m9345,1068l9273,1079,9211,1111,9162,1161,9130,1223,9118,1294,9130,1366,9162,1428,9211,1477,9273,1510,9345,1521,9417,1510,9479,1477,9528,1428,9560,1366,9572,1294,9560,1223,9528,1161,9479,1111,9417,1079,9345,1068xe" filled="true" fillcolor="#f7941d" stroked="false">
            <v:path arrowok="t"/>
            <v:fill type="solid"/>
            <w10:wrap type="topAndBottom"/>
          </v:shape>
        </w:pict>
      </w:r>
      <w:r>
        <w:rPr/>
        <w:pict>
          <v:shape style="position:absolute;margin-left:503.91449pt;margin-top:53.384701pt;width:22.7pt;height:22.7pt;mso-position-horizontal-relative:page;mso-position-vertical-relative:paragraph;z-index:7912;mso-wrap-distance-left:0;mso-wrap-distance-right:0" coordorigin="10078,1068" coordsize="454,454" path="m10305,1068l10233,1079,10171,1111,10122,1161,10090,1223,10078,1294,10090,1366,10122,1428,10171,1477,10233,1510,10305,1521,10377,1510,10439,1477,10488,1428,10520,1366,10532,1294,10520,1223,10488,1161,10439,1111,10377,1079,10305,1068xe" filled="true" fillcolor="#5b9f42" stroked="false">
            <v:path arrowok="t"/>
            <v:fill type="solid"/>
            <w10:wrap type="topAndBottom"/>
          </v:shape>
        </w:pict>
      </w:r>
    </w:p>
    <w:p>
      <w:pPr>
        <w:pStyle w:val="BodyText"/>
        <w:spacing w:before="4"/>
        <w:rPr>
          <w:sz w:val="8"/>
        </w:rPr>
      </w:pPr>
    </w:p>
    <w:p>
      <w:pPr>
        <w:pStyle w:val="BodyText"/>
        <w:spacing w:before="8"/>
        <w:rPr>
          <w:sz w:val="23"/>
        </w:rPr>
      </w:pPr>
    </w:p>
    <w:p>
      <w:pPr>
        <w:spacing w:line="220" w:lineRule="auto" w:before="1"/>
        <w:ind w:left="1757" w:right="3063" w:firstLine="0"/>
        <w:jc w:val="left"/>
        <w:rPr>
          <w:sz w:val="16"/>
        </w:rPr>
      </w:pPr>
      <w:r>
        <w:rPr/>
        <w:pict>
          <v:shape style="position:absolute;margin-left:59.5271pt;margin-top:-3.128587pt;width:22.7pt;height:22.7pt;mso-position-horizontal-relative:page;mso-position-vertical-relative:paragraph;z-index:7960" coordorigin="1191,-63" coordsize="454,454" path="m1417,-63l1346,-51,1283,-19,1234,30,1202,93,1191,164,1202,236,1234,298,1283,347,1346,379,1417,391,1489,379,1551,347,1600,298,1633,236,1644,164,1633,93,1600,30,1551,-19,1489,-51,1417,-63xe" filled="true" fillcolor="#f7941d" stroked="false">
            <v:path arrowok="t"/>
            <v:fill type="solid"/>
            <w10:wrap type="none"/>
          </v:shape>
        </w:pict>
      </w:r>
      <w:r>
        <w:rPr>
          <w:color w:val="231F20"/>
          <w:sz w:val="16"/>
        </w:rPr>
        <w:t>Judgments online but not available for the previous year/ Court produces an Annual Report but not clear  how</w:t>
      </w:r>
      <w:r>
        <w:rPr>
          <w:color w:val="231F20"/>
          <w:spacing w:val="13"/>
          <w:sz w:val="16"/>
        </w:rPr>
        <w:t> </w:t>
      </w:r>
      <w:r>
        <w:rPr>
          <w:color w:val="231F20"/>
          <w:sz w:val="16"/>
        </w:rPr>
        <w:t>the</w:t>
      </w:r>
      <w:r>
        <w:rPr>
          <w:color w:val="231F20"/>
          <w:spacing w:val="13"/>
          <w:sz w:val="16"/>
        </w:rPr>
        <w:t> </w:t>
      </w:r>
      <w:r>
        <w:rPr>
          <w:color w:val="231F20"/>
          <w:sz w:val="16"/>
        </w:rPr>
        <w:t>public</w:t>
      </w:r>
      <w:r>
        <w:rPr>
          <w:color w:val="231F20"/>
          <w:spacing w:val="13"/>
          <w:sz w:val="16"/>
        </w:rPr>
        <w:t> </w:t>
      </w:r>
      <w:r>
        <w:rPr>
          <w:color w:val="231F20"/>
          <w:sz w:val="16"/>
        </w:rPr>
        <w:t>can</w:t>
      </w:r>
      <w:r>
        <w:rPr>
          <w:color w:val="231F20"/>
          <w:spacing w:val="13"/>
          <w:sz w:val="16"/>
        </w:rPr>
        <w:t> </w:t>
      </w:r>
      <w:r>
        <w:rPr>
          <w:color w:val="231F20"/>
          <w:sz w:val="16"/>
        </w:rPr>
        <w:t>access</w:t>
      </w:r>
      <w:r>
        <w:rPr>
          <w:color w:val="231F20"/>
          <w:spacing w:val="13"/>
          <w:sz w:val="16"/>
        </w:rPr>
        <w:t> </w:t>
      </w:r>
      <w:r>
        <w:rPr>
          <w:color w:val="231F20"/>
          <w:sz w:val="16"/>
        </w:rPr>
        <w:t>it/</w:t>
      </w:r>
      <w:r>
        <w:rPr>
          <w:color w:val="231F20"/>
          <w:spacing w:val="13"/>
          <w:sz w:val="16"/>
        </w:rPr>
        <w:t> </w:t>
      </w:r>
      <w:r>
        <w:rPr>
          <w:color w:val="231F20"/>
          <w:sz w:val="16"/>
        </w:rPr>
        <w:t>or</w:t>
      </w:r>
      <w:r>
        <w:rPr>
          <w:color w:val="231F20"/>
          <w:spacing w:val="13"/>
          <w:sz w:val="16"/>
        </w:rPr>
        <w:t> </w:t>
      </w:r>
      <w:r>
        <w:rPr>
          <w:color w:val="231F20"/>
          <w:sz w:val="16"/>
        </w:rPr>
        <w:t>there</w:t>
      </w:r>
      <w:r>
        <w:rPr>
          <w:color w:val="231F20"/>
          <w:spacing w:val="13"/>
          <w:sz w:val="16"/>
        </w:rPr>
        <w:t> </w:t>
      </w:r>
      <w:r>
        <w:rPr>
          <w:color w:val="231F20"/>
          <w:sz w:val="16"/>
        </w:rPr>
        <w:t>is</w:t>
      </w:r>
      <w:r>
        <w:rPr>
          <w:color w:val="231F20"/>
          <w:spacing w:val="13"/>
          <w:sz w:val="16"/>
        </w:rPr>
        <w:t> </w:t>
      </w:r>
      <w:r>
        <w:rPr>
          <w:color w:val="231F20"/>
          <w:sz w:val="16"/>
        </w:rPr>
        <w:t>not</w:t>
      </w:r>
      <w:r>
        <w:rPr>
          <w:color w:val="231F20"/>
          <w:spacing w:val="13"/>
          <w:sz w:val="16"/>
        </w:rPr>
        <w:t> </w:t>
      </w:r>
      <w:r>
        <w:rPr>
          <w:color w:val="231F20"/>
          <w:sz w:val="16"/>
        </w:rPr>
        <w:t>an</w:t>
      </w:r>
      <w:r>
        <w:rPr>
          <w:color w:val="231F20"/>
          <w:spacing w:val="6"/>
          <w:sz w:val="16"/>
        </w:rPr>
        <w:t> </w:t>
      </w:r>
      <w:r>
        <w:rPr>
          <w:color w:val="231F20"/>
          <w:sz w:val="16"/>
        </w:rPr>
        <w:t>Annual</w:t>
      </w:r>
      <w:r>
        <w:rPr>
          <w:color w:val="231F20"/>
          <w:spacing w:val="13"/>
          <w:sz w:val="16"/>
        </w:rPr>
        <w:t> </w:t>
      </w:r>
      <w:r>
        <w:rPr>
          <w:color w:val="231F20"/>
          <w:sz w:val="16"/>
        </w:rPr>
        <w:t>Report</w:t>
      </w:r>
      <w:r>
        <w:rPr>
          <w:color w:val="231F20"/>
          <w:spacing w:val="13"/>
          <w:sz w:val="16"/>
        </w:rPr>
        <w:t> </w:t>
      </w:r>
      <w:r>
        <w:rPr>
          <w:color w:val="231F20"/>
          <w:sz w:val="16"/>
        </w:rPr>
        <w:t>for</w:t>
      </w:r>
      <w:r>
        <w:rPr>
          <w:color w:val="231F20"/>
          <w:spacing w:val="13"/>
          <w:sz w:val="16"/>
        </w:rPr>
        <w:t> </w:t>
      </w:r>
      <w:r>
        <w:rPr>
          <w:color w:val="231F20"/>
          <w:sz w:val="16"/>
        </w:rPr>
        <w:t>the</w:t>
      </w:r>
      <w:r>
        <w:rPr>
          <w:color w:val="231F20"/>
          <w:spacing w:val="13"/>
          <w:sz w:val="16"/>
        </w:rPr>
        <w:t> </w:t>
      </w:r>
      <w:r>
        <w:rPr>
          <w:color w:val="231F20"/>
          <w:sz w:val="16"/>
        </w:rPr>
        <w:t>previous</w:t>
      </w:r>
      <w:r>
        <w:rPr>
          <w:color w:val="231F20"/>
          <w:spacing w:val="13"/>
          <w:sz w:val="16"/>
        </w:rPr>
        <w:t> </w:t>
      </w:r>
      <w:r>
        <w:rPr>
          <w:color w:val="231F20"/>
          <w:sz w:val="16"/>
        </w:rPr>
        <w:t>reporting</w:t>
      </w:r>
      <w:r>
        <w:rPr>
          <w:color w:val="231F20"/>
          <w:spacing w:val="13"/>
          <w:sz w:val="16"/>
        </w:rPr>
        <w:t> </w:t>
      </w:r>
      <w:r>
        <w:rPr>
          <w:color w:val="231F20"/>
          <w:sz w:val="16"/>
        </w:rPr>
        <w:t>period.</w:t>
      </w:r>
    </w:p>
    <w:p>
      <w:pPr>
        <w:spacing w:after="0" w:line="220" w:lineRule="auto"/>
        <w:jc w:val="left"/>
        <w:rPr>
          <w:sz w:val="16"/>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3847">
            <wp:simplePos x="0" y="0"/>
            <wp:positionH relativeFrom="page">
              <wp:posOffset>0</wp:posOffset>
            </wp:positionH>
            <wp:positionV relativeFrom="paragraph">
              <wp:posOffset>373881</wp:posOffset>
            </wp:positionV>
            <wp:extent cx="7559992" cy="143992"/>
            <wp:effectExtent l="0" t="0" r="0" b="0"/>
            <wp:wrapNone/>
            <wp:docPr id="25" name="image39.png" descr=""/>
            <wp:cNvGraphicFramePr>
              <a:graphicFrameLocks noChangeAspect="1"/>
            </wp:cNvGraphicFramePr>
            <a:graphic>
              <a:graphicData uri="http://schemas.openxmlformats.org/drawingml/2006/picture">
                <pic:pic>
                  <pic:nvPicPr>
                    <pic:cNvPr id="26"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12</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spacing w:before="8"/>
        <w:rPr>
          <w:b/>
          <w:sz w:val="25"/>
        </w:rPr>
      </w:pPr>
    </w:p>
    <w:p>
      <w:pPr>
        <w:pStyle w:val="Heading2"/>
        <w:spacing w:line="204" w:lineRule="auto" w:before="166"/>
        <w:ind w:right="1501"/>
      </w:pPr>
      <w:r>
        <w:rPr/>
        <w:pict>
          <v:group style="position:absolute;margin-left:.0pt;margin-top:5.009758pt;width:113.4pt;height:36.9pt;mso-position-horizontal-relative:page;mso-position-vertical-relative:paragraph;z-index:8056" coordorigin="0,100" coordsize="2268,738">
            <v:shape style="position:absolute;left:0;top:100;width:2268;height:737" coordorigin="0,100" coordsize="2268,737" path="m2268,100l0,100,0,837,1928,837,2124,832,2225,795,2262,694,2268,497,2268,100xe" filled="true" fillcolor="#5d0a0b" stroked="false">
              <v:path arrowok="t"/>
              <v:fill type="solid"/>
            </v:shape>
            <v:shape style="position:absolute;left:0;top:100;width:2268;height:738" type="#_x0000_t202" filled="false" stroked="false">
              <v:textbox inset="0,0,0,0">
                <w:txbxContent>
                  <w:p>
                    <w:pPr>
                      <w:spacing w:line="713" w:lineRule="exact" w:before="0"/>
                      <w:ind w:left="0" w:right="231" w:firstLine="0"/>
                      <w:jc w:val="right"/>
                      <w:rPr>
                        <w:sz w:val="60"/>
                      </w:rPr>
                    </w:pPr>
                    <w:r>
                      <w:rPr>
                        <w:color w:val="FFFFFF"/>
                        <w:w w:val="109"/>
                        <w:sz w:val="60"/>
                      </w:rPr>
                      <w:t>1</w:t>
                    </w:r>
                  </w:p>
                </w:txbxContent>
              </v:textbox>
              <w10:wrap type="none"/>
            </v:shape>
            <w10:wrap type="none"/>
          </v:group>
        </w:pict>
      </w:r>
      <w:bookmarkStart w:name="_TOC_250005" w:id="1"/>
      <w:r>
        <w:rPr>
          <w:color w:val="0F6161"/>
          <w:w w:val="105"/>
        </w:rPr>
        <w:t>Overview of Annual Reports 2011</w:t>
      </w:r>
      <w:r>
        <w:rPr>
          <w:color w:val="0F6161"/>
          <w:spacing w:val="-67"/>
          <w:w w:val="105"/>
        </w:rPr>
        <w:t> </w:t>
      </w:r>
      <w:r>
        <w:rPr>
          <w:color w:val="0F6161"/>
          <w:w w:val="105"/>
        </w:rPr>
        <w:t>–</w:t>
      </w:r>
      <w:r>
        <w:rPr>
          <w:color w:val="0F6161"/>
          <w:spacing w:val="-67"/>
          <w:w w:val="105"/>
        </w:rPr>
        <w:t> </w:t>
      </w:r>
      <w:bookmarkEnd w:id="1"/>
      <w:r>
        <w:rPr>
          <w:color w:val="0F6161"/>
          <w:w w:val="105"/>
        </w:rPr>
        <w:t>2017</w:t>
      </w:r>
    </w:p>
    <w:p>
      <w:pPr>
        <w:pStyle w:val="BodyText"/>
        <w:spacing w:line="252" w:lineRule="auto" w:before="214"/>
        <w:ind w:left="1700" w:right="1698"/>
        <w:jc w:val="both"/>
      </w:pPr>
      <w:r>
        <w:rPr>
          <w:color w:val="231F20"/>
          <w:spacing w:val="-4"/>
          <w:w w:val="105"/>
        </w:rPr>
        <w:t>The </w:t>
      </w:r>
      <w:r>
        <w:rPr>
          <w:color w:val="231F20"/>
          <w:w w:val="105"/>
        </w:rPr>
        <w:t>table below documents the increasing commitment to the publication of Annual Reports by PJSI judiciaries. In the baseline year of 2011, only the judiciaries of the Marshall Islands and Vanuatu</w:t>
      </w:r>
      <w:r>
        <w:rPr>
          <w:color w:val="231F20"/>
          <w:spacing w:val="-3"/>
          <w:w w:val="105"/>
        </w:rPr>
        <w:t> </w:t>
      </w:r>
      <w:r>
        <w:rPr>
          <w:color w:val="231F20"/>
          <w:w w:val="105"/>
        </w:rPr>
        <w:t>published</w:t>
      </w:r>
      <w:r>
        <w:rPr>
          <w:color w:val="231F20"/>
          <w:spacing w:val="-3"/>
          <w:w w:val="105"/>
        </w:rPr>
        <w:t> </w:t>
      </w:r>
      <w:r>
        <w:rPr>
          <w:color w:val="231F20"/>
          <w:w w:val="105"/>
        </w:rPr>
        <w:t>an</w:t>
      </w:r>
      <w:r>
        <w:rPr>
          <w:color w:val="231F20"/>
          <w:spacing w:val="-3"/>
          <w:w w:val="105"/>
        </w:rPr>
        <w:t> </w:t>
      </w:r>
      <w:r>
        <w:rPr>
          <w:color w:val="231F20"/>
          <w:w w:val="105"/>
        </w:rPr>
        <w:t>annual</w:t>
      </w:r>
      <w:r>
        <w:rPr>
          <w:color w:val="231F20"/>
          <w:spacing w:val="-3"/>
          <w:w w:val="105"/>
        </w:rPr>
        <w:t> </w:t>
      </w:r>
      <w:r>
        <w:rPr>
          <w:color w:val="231F20"/>
          <w:w w:val="105"/>
        </w:rPr>
        <w:t>report</w:t>
      </w:r>
      <w:r>
        <w:rPr>
          <w:color w:val="231F20"/>
          <w:spacing w:val="-3"/>
          <w:w w:val="105"/>
        </w:rPr>
        <w:t> </w:t>
      </w:r>
      <w:r>
        <w:rPr>
          <w:color w:val="231F20"/>
          <w:w w:val="105"/>
        </w:rPr>
        <w:t>each</w:t>
      </w:r>
      <w:r>
        <w:rPr>
          <w:color w:val="231F20"/>
          <w:spacing w:val="-3"/>
          <w:w w:val="105"/>
        </w:rPr>
        <w:t> </w:t>
      </w:r>
      <w:r>
        <w:rPr>
          <w:color w:val="231F20"/>
          <w:w w:val="105"/>
        </w:rPr>
        <w:t>year</w:t>
      </w:r>
      <w:r>
        <w:rPr>
          <w:color w:val="231F20"/>
          <w:spacing w:val="-3"/>
          <w:w w:val="105"/>
        </w:rPr>
        <w:t> </w:t>
      </w:r>
      <w:r>
        <w:rPr>
          <w:color w:val="231F20"/>
          <w:w w:val="105"/>
        </w:rPr>
        <w:t>and</w:t>
      </w:r>
      <w:r>
        <w:rPr>
          <w:color w:val="231F20"/>
          <w:spacing w:val="-3"/>
          <w:w w:val="105"/>
        </w:rPr>
        <w:t> </w:t>
      </w:r>
      <w:r>
        <w:rPr>
          <w:color w:val="231F20"/>
          <w:w w:val="105"/>
        </w:rPr>
        <w:t>only</w:t>
      </w:r>
      <w:r>
        <w:rPr>
          <w:color w:val="231F20"/>
          <w:spacing w:val="-3"/>
          <w:w w:val="105"/>
        </w:rPr>
        <w:t> </w:t>
      </w:r>
      <w:r>
        <w:rPr>
          <w:color w:val="231F20"/>
          <w:w w:val="105"/>
        </w:rPr>
        <w:t>the</w:t>
      </w:r>
      <w:r>
        <w:rPr>
          <w:color w:val="231F20"/>
          <w:spacing w:val="-3"/>
          <w:w w:val="105"/>
        </w:rPr>
        <w:t> </w:t>
      </w:r>
      <w:r>
        <w:rPr>
          <w:color w:val="231F20"/>
          <w:w w:val="105"/>
        </w:rPr>
        <w:t>Marshall</w:t>
      </w:r>
      <w:r>
        <w:rPr>
          <w:color w:val="231F20"/>
          <w:spacing w:val="-3"/>
          <w:w w:val="105"/>
        </w:rPr>
        <w:t> </w:t>
      </w:r>
      <w:r>
        <w:rPr>
          <w:color w:val="231F20"/>
          <w:w w:val="105"/>
        </w:rPr>
        <w:t>Islands</w:t>
      </w:r>
      <w:r>
        <w:rPr>
          <w:color w:val="231F20"/>
          <w:spacing w:val="-3"/>
          <w:w w:val="105"/>
        </w:rPr>
        <w:t> </w:t>
      </w:r>
      <w:r>
        <w:rPr>
          <w:color w:val="231F20"/>
          <w:w w:val="105"/>
        </w:rPr>
        <w:t>judiciary</w:t>
      </w:r>
      <w:r>
        <w:rPr>
          <w:color w:val="231F20"/>
          <w:spacing w:val="-3"/>
          <w:w w:val="105"/>
        </w:rPr>
        <w:t> </w:t>
      </w:r>
      <w:r>
        <w:rPr>
          <w:color w:val="231F20"/>
          <w:w w:val="105"/>
        </w:rPr>
        <w:t>produced an Annual</w:t>
      </w:r>
      <w:r>
        <w:rPr>
          <w:color w:val="231F20"/>
          <w:spacing w:val="6"/>
          <w:w w:val="105"/>
        </w:rPr>
        <w:t> </w:t>
      </w:r>
      <w:r>
        <w:rPr>
          <w:color w:val="231F20"/>
          <w:w w:val="105"/>
        </w:rPr>
        <w:t>Report</w:t>
      </w:r>
      <w:r>
        <w:rPr>
          <w:color w:val="231F20"/>
          <w:spacing w:val="6"/>
          <w:w w:val="105"/>
        </w:rPr>
        <w:t> </w:t>
      </w:r>
      <w:r>
        <w:rPr>
          <w:color w:val="231F20"/>
          <w:w w:val="105"/>
        </w:rPr>
        <w:t>that</w:t>
      </w:r>
      <w:r>
        <w:rPr>
          <w:color w:val="231F20"/>
          <w:spacing w:val="6"/>
          <w:w w:val="105"/>
        </w:rPr>
        <w:t> </w:t>
      </w:r>
      <w:r>
        <w:rPr>
          <w:color w:val="231F20"/>
          <w:w w:val="105"/>
        </w:rPr>
        <w:t>was</w:t>
      </w:r>
      <w:r>
        <w:rPr>
          <w:color w:val="231F20"/>
          <w:spacing w:val="6"/>
          <w:w w:val="105"/>
        </w:rPr>
        <w:t> </w:t>
      </w:r>
      <w:r>
        <w:rPr>
          <w:color w:val="231F20"/>
          <w:w w:val="105"/>
        </w:rPr>
        <w:t>publicly</w:t>
      </w:r>
      <w:r>
        <w:rPr>
          <w:color w:val="231F20"/>
          <w:spacing w:val="6"/>
          <w:w w:val="105"/>
        </w:rPr>
        <w:t> </w:t>
      </w:r>
      <w:r>
        <w:rPr>
          <w:color w:val="231F20"/>
          <w:w w:val="105"/>
        </w:rPr>
        <w:t>available</w:t>
      </w:r>
      <w:r>
        <w:rPr>
          <w:color w:val="231F20"/>
          <w:spacing w:val="6"/>
          <w:w w:val="105"/>
        </w:rPr>
        <w:t> </w:t>
      </w:r>
      <w:r>
        <w:rPr>
          <w:color w:val="231F20"/>
          <w:w w:val="105"/>
        </w:rPr>
        <w:t>through</w:t>
      </w:r>
      <w:r>
        <w:rPr>
          <w:color w:val="231F20"/>
          <w:spacing w:val="6"/>
          <w:w w:val="105"/>
        </w:rPr>
        <w:t> </w:t>
      </w:r>
      <w:r>
        <w:rPr>
          <w:color w:val="231F20"/>
          <w:w w:val="105"/>
        </w:rPr>
        <w:t>the</w:t>
      </w:r>
      <w:r>
        <w:rPr>
          <w:color w:val="231F20"/>
          <w:spacing w:val="6"/>
          <w:w w:val="105"/>
        </w:rPr>
        <w:t> </w:t>
      </w:r>
      <w:r>
        <w:rPr>
          <w:color w:val="231F20"/>
          <w:spacing w:val="-3"/>
          <w:w w:val="105"/>
        </w:rPr>
        <w:t>court’s</w:t>
      </w:r>
      <w:r>
        <w:rPr>
          <w:color w:val="231F20"/>
          <w:spacing w:val="6"/>
          <w:w w:val="105"/>
        </w:rPr>
        <w:t> </w:t>
      </w:r>
      <w:r>
        <w:rPr>
          <w:color w:val="231F20"/>
          <w:w w:val="105"/>
        </w:rPr>
        <w:t>website</w:t>
      </w:r>
      <w:r>
        <w:rPr>
          <w:color w:val="231F20"/>
          <w:spacing w:val="6"/>
          <w:w w:val="105"/>
        </w:rPr>
        <w:t> </w:t>
      </w:r>
      <w:r>
        <w:rPr>
          <w:color w:val="231F20"/>
          <w:w w:val="105"/>
        </w:rPr>
        <w:t>or</w:t>
      </w:r>
      <w:r>
        <w:rPr>
          <w:color w:val="231F20"/>
          <w:spacing w:val="6"/>
          <w:w w:val="105"/>
        </w:rPr>
        <w:t> </w:t>
      </w:r>
      <w:r>
        <w:rPr>
          <w:color w:val="231F20"/>
          <w:spacing w:val="-3"/>
          <w:w w:val="105"/>
        </w:rPr>
        <w:t>PacLII.</w:t>
      </w:r>
    </w:p>
    <w:p>
      <w:pPr>
        <w:pStyle w:val="BodyText"/>
        <w:spacing w:before="10"/>
        <w:rPr>
          <w:sz w:val="32"/>
        </w:rPr>
      </w:pPr>
    </w:p>
    <w:p>
      <w:pPr>
        <w:pStyle w:val="BodyText"/>
        <w:ind w:left="1700"/>
        <w:jc w:val="both"/>
      </w:pPr>
      <w:r>
        <w:rPr>
          <w:b/>
          <w:color w:val="231F20"/>
          <w:w w:val="110"/>
        </w:rPr>
        <w:t>Table C </w:t>
      </w:r>
      <w:r>
        <w:rPr>
          <w:color w:val="231F20"/>
          <w:w w:val="110"/>
        </w:rPr>
        <w:t>Overview of Annual Reports Published by PJSI judiciaries 2011–2017</w:t>
      </w:r>
    </w:p>
    <w:p>
      <w:pPr>
        <w:pStyle w:val="BodyText"/>
        <w:spacing w:before="10"/>
        <w:rPr>
          <w:sz w:val="15"/>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10"/>
        <w:gridCol w:w="1172"/>
        <w:gridCol w:w="1191"/>
        <w:gridCol w:w="1224"/>
        <w:gridCol w:w="1229"/>
        <w:gridCol w:w="1167"/>
        <w:gridCol w:w="1167"/>
        <w:gridCol w:w="1167"/>
      </w:tblGrid>
      <w:tr>
        <w:trPr>
          <w:trHeight w:val="292" w:hRule="atLeast"/>
        </w:trPr>
        <w:tc>
          <w:tcPr>
            <w:tcW w:w="1110" w:type="dxa"/>
            <w:shd w:val="clear" w:color="auto" w:fill="92BAC2"/>
          </w:tcPr>
          <w:p>
            <w:pPr>
              <w:pStyle w:val="TableParagraph"/>
              <w:rPr>
                <w:rFonts w:ascii="Times New Roman"/>
                <w:sz w:val="16"/>
              </w:rPr>
            </w:pPr>
          </w:p>
        </w:tc>
        <w:tc>
          <w:tcPr>
            <w:tcW w:w="1172" w:type="dxa"/>
            <w:shd w:val="clear" w:color="auto" w:fill="92BAC2"/>
          </w:tcPr>
          <w:p>
            <w:pPr>
              <w:pStyle w:val="TableParagraph"/>
              <w:spacing w:before="75"/>
              <w:ind w:left="79"/>
              <w:rPr>
                <w:b/>
                <w:sz w:val="15"/>
              </w:rPr>
            </w:pPr>
            <w:r>
              <w:rPr>
                <w:b/>
                <w:color w:val="231F20"/>
                <w:w w:val="115"/>
                <w:sz w:val="15"/>
              </w:rPr>
              <w:t>2011</w:t>
            </w:r>
          </w:p>
        </w:tc>
        <w:tc>
          <w:tcPr>
            <w:tcW w:w="1191" w:type="dxa"/>
            <w:shd w:val="clear" w:color="auto" w:fill="92BAC2"/>
          </w:tcPr>
          <w:p>
            <w:pPr>
              <w:pStyle w:val="TableParagraph"/>
              <w:spacing w:before="75"/>
              <w:ind w:left="79"/>
              <w:rPr>
                <w:b/>
                <w:sz w:val="15"/>
              </w:rPr>
            </w:pPr>
            <w:r>
              <w:rPr>
                <w:b/>
                <w:color w:val="231F20"/>
                <w:w w:val="115"/>
                <w:sz w:val="15"/>
              </w:rPr>
              <w:t>2012</w:t>
            </w:r>
          </w:p>
        </w:tc>
        <w:tc>
          <w:tcPr>
            <w:tcW w:w="1224" w:type="dxa"/>
            <w:shd w:val="clear" w:color="auto" w:fill="92BAC2"/>
          </w:tcPr>
          <w:p>
            <w:pPr>
              <w:pStyle w:val="TableParagraph"/>
              <w:spacing w:before="75"/>
              <w:ind w:left="79"/>
              <w:rPr>
                <w:b/>
                <w:sz w:val="15"/>
              </w:rPr>
            </w:pPr>
            <w:r>
              <w:rPr>
                <w:b/>
                <w:color w:val="231F20"/>
                <w:w w:val="115"/>
                <w:sz w:val="15"/>
              </w:rPr>
              <w:t>2013</w:t>
            </w:r>
          </w:p>
        </w:tc>
        <w:tc>
          <w:tcPr>
            <w:tcW w:w="1229" w:type="dxa"/>
            <w:shd w:val="clear" w:color="auto" w:fill="92BAC2"/>
          </w:tcPr>
          <w:p>
            <w:pPr>
              <w:pStyle w:val="TableParagraph"/>
              <w:spacing w:before="75"/>
              <w:ind w:left="78"/>
              <w:rPr>
                <w:b/>
                <w:sz w:val="15"/>
              </w:rPr>
            </w:pPr>
            <w:r>
              <w:rPr>
                <w:b/>
                <w:color w:val="231F20"/>
                <w:w w:val="115"/>
                <w:sz w:val="15"/>
              </w:rPr>
              <w:t>2014</w:t>
            </w:r>
          </w:p>
        </w:tc>
        <w:tc>
          <w:tcPr>
            <w:tcW w:w="1167" w:type="dxa"/>
            <w:shd w:val="clear" w:color="auto" w:fill="92BAC2"/>
          </w:tcPr>
          <w:p>
            <w:pPr>
              <w:pStyle w:val="TableParagraph"/>
              <w:spacing w:before="75"/>
              <w:ind w:left="77"/>
              <w:rPr>
                <w:b/>
                <w:sz w:val="15"/>
              </w:rPr>
            </w:pPr>
            <w:r>
              <w:rPr>
                <w:b/>
                <w:color w:val="231F20"/>
                <w:w w:val="115"/>
                <w:sz w:val="15"/>
              </w:rPr>
              <w:t>2015</w:t>
            </w:r>
          </w:p>
        </w:tc>
        <w:tc>
          <w:tcPr>
            <w:tcW w:w="1167" w:type="dxa"/>
            <w:shd w:val="clear" w:color="auto" w:fill="92BAC2"/>
          </w:tcPr>
          <w:p>
            <w:pPr>
              <w:pStyle w:val="TableParagraph"/>
              <w:spacing w:before="75"/>
              <w:ind w:left="77"/>
              <w:rPr>
                <w:b/>
                <w:sz w:val="15"/>
              </w:rPr>
            </w:pPr>
            <w:r>
              <w:rPr>
                <w:b/>
                <w:color w:val="231F20"/>
                <w:w w:val="115"/>
                <w:sz w:val="15"/>
              </w:rPr>
              <w:t>2016</w:t>
            </w:r>
          </w:p>
        </w:tc>
        <w:tc>
          <w:tcPr>
            <w:tcW w:w="1167" w:type="dxa"/>
            <w:shd w:val="clear" w:color="auto" w:fill="92BAC2"/>
          </w:tcPr>
          <w:p>
            <w:pPr>
              <w:pStyle w:val="TableParagraph"/>
              <w:spacing w:before="75"/>
              <w:ind w:left="76"/>
              <w:rPr>
                <w:b/>
                <w:sz w:val="15"/>
              </w:rPr>
            </w:pPr>
            <w:r>
              <w:rPr>
                <w:b/>
                <w:color w:val="231F20"/>
                <w:w w:val="115"/>
                <w:sz w:val="15"/>
              </w:rPr>
              <w:t>2017</w:t>
            </w:r>
          </w:p>
        </w:tc>
      </w:tr>
      <w:tr>
        <w:trPr>
          <w:trHeight w:val="262" w:hRule="atLeast"/>
        </w:trPr>
        <w:tc>
          <w:tcPr>
            <w:tcW w:w="1110" w:type="dxa"/>
            <w:tcBorders>
              <w:bottom w:val="nil"/>
            </w:tcBorders>
            <w:shd w:val="clear" w:color="auto" w:fill="D5E0E3"/>
          </w:tcPr>
          <w:p>
            <w:pPr>
              <w:pStyle w:val="TableParagraph"/>
              <w:spacing w:line="167" w:lineRule="exact" w:before="75"/>
              <w:ind w:left="80"/>
              <w:rPr>
                <w:b/>
                <w:sz w:val="15"/>
              </w:rPr>
            </w:pPr>
            <w:r>
              <w:rPr>
                <w:b/>
                <w:color w:val="231F20"/>
                <w:w w:val="110"/>
                <w:sz w:val="15"/>
              </w:rPr>
              <w:t>Cook Islands</w:t>
            </w:r>
          </w:p>
        </w:tc>
        <w:tc>
          <w:tcPr>
            <w:tcW w:w="1172" w:type="dxa"/>
            <w:tcBorders>
              <w:bottom w:val="nil"/>
            </w:tcBorders>
            <w:shd w:val="clear" w:color="auto" w:fill="EAAC98"/>
          </w:tcPr>
          <w:p>
            <w:pPr>
              <w:pStyle w:val="TableParagraph"/>
              <w:spacing w:line="168" w:lineRule="exact" w:before="74"/>
              <w:ind w:left="79"/>
              <w:rPr>
                <w:sz w:val="15"/>
              </w:rPr>
            </w:pPr>
            <w:r>
              <w:rPr>
                <w:color w:val="231F20"/>
                <w:w w:val="115"/>
                <w:sz w:val="15"/>
              </w:rPr>
              <w:t>No Annual</w:t>
            </w:r>
          </w:p>
        </w:tc>
        <w:tc>
          <w:tcPr>
            <w:tcW w:w="1191" w:type="dxa"/>
            <w:tcBorders>
              <w:bottom w:val="nil"/>
            </w:tcBorders>
            <w:shd w:val="clear" w:color="auto" w:fill="D8E3CE"/>
          </w:tcPr>
          <w:p>
            <w:pPr>
              <w:pStyle w:val="TableParagraph"/>
              <w:spacing w:line="168" w:lineRule="exact" w:before="74"/>
              <w:ind w:left="79"/>
              <w:rPr>
                <w:sz w:val="15"/>
              </w:rPr>
            </w:pPr>
            <w:r>
              <w:rPr>
                <w:color w:val="231F20"/>
                <w:w w:val="110"/>
                <w:sz w:val="15"/>
              </w:rPr>
              <w:t>Annual Report</w:t>
            </w:r>
          </w:p>
        </w:tc>
        <w:tc>
          <w:tcPr>
            <w:tcW w:w="1224" w:type="dxa"/>
            <w:tcBorders>
              <w:bottom w:val="nil"/>
            </w:tcBorders>
            <w:shd w:val="clear" w:color="auto" w:fill="D8E3CE"/>
          </w:tcPr>
          <w:p>
            <w:pPr>
              <w:pStyle w:val="TableParagraph"/>
              <w:spacing w:line="168" w:lineRule="exact" w:before="74"/>
              <w:ind w:left="79"/>
              <w:rPr>
                <w:sz w:val="15"/>
              </w:rPr>
            </w:pPr>
            <w:r>
              <w:rPr>
                <w:color w:val="231F20"/>
                <w:w w:val="110"/>
                <w:sz w:val="15"/>
              </w:rPr>
              <w:t>Annual Report</w:t>
            </w:r>
          </w:p>
        </w:tc>
        <w:tc>
          <w:tcPr>
            <w:tcW w:w="1229" w:type="dxa"/>
            <w:tcBorders>
              <w:bottom w:val="nil"/>
            </w:tcBorders>
            <w:shd w:val="clear" w:color="auto" w:fill="D8E3CE"/>
          </w:tcPr>
          <w:p>
            <w:pPr>
              <w:pStyle w:val="TableParagraph"/>
              <w:spacing w:line="168" w:lineRule="exact" w:before="74"/>
              <w:ind w:left="78"/>
              <w:rPr>
                <w:sz w:val="15"/>
              </w:rPr>
            </w:pPr>
            <w:r>
              <w:rPr>
                <w:color w:val="231F20"/>
                <w:w w:val="110"/>
                <w:sz w:val="15"/>
              </w:rPr>
              <w:t>Annual Report</w:t>
            </w:r>
          </w:p>
        </w:tc>
        <w:tc>
          <w:tcPr>
            <w:tcW w:w="1167" w:type="dxa"/>
            <w:tcBorders>
              <w:bottom w:val="nil"/>
            </w:tcBorders>
            <w:shd w:val="clear" w:color="auto" w:fill="D8E3CE"/>
          </w:tcPr>
          <w:p>
            <w:pPr>
              <w:pStyle w:val="TableParagraph"/>
              <w:spacing w:line="168" w:lineRule="exact" w:before="74"/>
              <w:ind w:left="77"/>
              <w:rPr>
                <w:sz w:val="15"/>
              </w:rPr>
            </w:pPr>
            <w:r>
              <w:rPr>
                <w:color w:val="231F20"/>
                <w:w w:val="110"/>
                <w:sz w:val="15"/>
              </w:rPr>
              <w:t>Annual Report</w:t>
            </w:r>
          </w:p>
        </w:tc>
        <w:tc>
          <w:tcPr>
            <w:tcW w:w="1167" w:type="dxa"/>
            <w:tcBorders>
              <w:bottom w:val="nil"/>
            </w:tcBorders>
            <w:shd w:val="clear" w:color="auto" w:fill="D8E3CE"/>
          </w:tcPr>
          <w:p>
            <w:pPr>
              <w:pStyle w:val="TableParagraph"/>
              <w:spacing w:line="168" w:lineRule="exact" w:before="74"/>
              <w:ind w:left="77"/>
              <w:rPr>
                <w:sz w:val="15"/>
              </w:rPr>
            </w:pPr>
            <w:r>
              <w:rPr>
                <w:color w:val="231F20"/>
                <w:w w:val="110"/>
                <w:sz w:val="15"/>
              </w:rPr>
              <w:t>Annual Report</w:t>
            </w:r>
          </w:p>
        </w:tc>
        <w:tc>
          <w:tcPr>
            <w:tcW w:w="1167" w:type="dxa"/>
            <w:tcBorders>
              <w:bottom w:val="nil"/>
            </w:tcBorders>
            <w:shd w:val="clear" w:color="auto" w:fill="F3D4AA"/>
          </w:tcPr>
          <w:p>
            <w:pPr>
              <w:pStyle w:val="TableParagraph"/>
              <w:spacing w:line="168" w:lineRule="exact" w:before="74"/>
              <w:ind w:left="76"/>
              <w:rPr>
                <w:sz w:val="15"/>
              </w:rPr>
            </w:pPr>
            <w:r>
              <w:rPr>
                <w:color w:val="231F20"/>
                <w:w w:val="110"/>
                <w:sz w:val="15"/>
              </w:rPr>
              <w:t>Annual Report</w:t>
            </w:r>
          </w:p>
        </w:tc>
      </w:tr>
      <w:tr>
        <w:trPr>
          <w:trHeight w:val="189"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spacing w:line="167" w:lineRule="exact" w:before="2"/>
              <w:ind w:left="79"/>
              <w:rPr>
                <w:sz w:val="15"/>
              </w:rPr>
            </w:pPr>
            <w:r>
              <w:rPr>
                <w:color w:val="231F20"/>
                <w:w w:val="105"/>
                <w:sz w:val="15"/>
              </w:rPr>
              <w:t>Report.</w:t>
            </w:r>
          </w:p>
        </w:tc>
        <w:tc>
          <w:tcPr>
            <w:tcW w:w="1191" w:type="dxa"/>
            <w:tcBorders>
              <w:top w:val="nil"/>
              <w:bottom w:val="nil"/>
            </w:tcBorders>
            <w:shd w:val="clear" w:color="auto" w:fill="D8E3CE"/>
          </w:tcPr>
          <w:p>
            <w:pPr>
              <w:pStyle w:val="TableParagraph"/>
              <w:spacing w:line="167" w:lineRule="exact" w:before="2"/>
              <w:ind w:left="79"/>
              <w:rPr>
                <w:sz w:val="15"/>
              </w:rPr>
            </w:pPr>
            <w:r>
              <w:rPr>
                <w:color w:val="231F20"/>
                <w:w w:val="115"/>
                <w:sz w:val="15"/>
              </w:rPr>
              <w:t>2011-2012 can</w:t>
            </w:r>
          </w:p>
        </w:tc>
        <w:tc>
          <w:tcPr>
            <w:tcW w:w="1224" w:type="dxa"/>
            <w:tcBorders>
              <w:top w:val="nil"/>
              <w:bottom w:val="nil"/>
            </w:tcBorders>
            <w:shd w:val="clear" w:color="auto" w:fill="D8E3CE"/>
          </w:tcPr>
          <w:p>
            <w:pPr>
              <w:pStyle w:val="TableParagraph"/>
              <w:spacing w:line="167" w:lineRule="exact" w:before="2"/>
              <w:ind w:left="79"/>
              <w:rPr>
                <w:sz w:val="15"/>
              </w:rPr>
            </w:pPr>
            <w:r>
              <w:rPr>
                <w:color w:val="231F20"/>
                <w:w w:val="115"/>
                <w:sz w:val="15"/>
              </w:rPr>
              <w:t>2012-2013 can</w:t>
            </w:r>
          </w:p>
        </w:tc>
        <w:tc>
          <w:tcPr>
            <w:tcW w:w="1229" w:type="dxa"/>
            <w:tcBorders>
              <w:top w:val="nil"/>
              <w:bottom w:val="nil"/>
            </w:tcBorders>
            <w:shd w:val="clear" w:color="auto" w:fill="D8E3CE"/>
          </w:tcPr>
          <w:p>
            <w:pPr>
              <w:pStyle w:val="TableParagraph"/>
              <w:spacing w:line="167" w:lineRule="exact" w:before="2"/>
              <w:ind w:left="78"/>
              <w:rPr>
                <w:sz w:val="15"/>
              </w:rPr>
            </w:pPr>
            <w:r>
              <w:rPr>
                <w:color w:val="231F20"/>
                <w:w w:val="115"/>
                <w:sz w:val="15"/>
              </w:rPr>
              <w:t>2013-2014 can</w:t>
            </w:r>
          </w:p>
        </w:tc>
        <w:tc>
          <w:tcPr>
            <w:tcW w:w="1167" w:type="dxa"/>
            <w:tcBorders>
              <w:top w:val="nil"/>
              <w:bottom w:val="nil"/>
            </w:tcBorders>
            <w:shd w:val="clear" w:color="auto" w:fill="D8E3CE"/>
          </w:tcPr>
          <w:p>
            <w:pPr>
              <w:pStyle w:val="TableParagraph"/>
              <w:spacing w:line="167" w:lineRule="exact" w:before="2"/>
              <w:ind w:left="77"/>
              <w:rPr>
                <w:sz w:val="15"/>
              </w:rPr>
            </w:pPr>
            <w:r>
              <w:rPr>
                <w:color w:val="231F20"/>
                <w:w w:val="115"/>
                <w:sz w:val="15"/>
              </w:rPr>
              <w:t>2014-2015 can</w:t>
            </w:r>
          </w:p>
        </w:tc>
        <w:tc>
          <w:tcPr>
            <w:tcW w:w="1167" w:type="dxa"/>
            <w:tcBorders>
              <w:top w:val="nil"/>
              <w:bottom w:val="nil"/>
            </w:tcBorders>
            <w:shd w:val="clear" w:color="auto" w:fill="D8E3CE"/>
          </w:tcPr>
          <w:p>
            <w:pPr>
              <w:pStyle w:val="TableParagraph"/>
              <w:spacing w:line="167" w:lineRule="exact" w:before="2"/>
              <w:ind w:left="77"/>
              <w:rPr>
                <w:sz w:val="15"/>
              </w:rPr>
            </w:pPr>
            <w:r>
              <w:rPr>
                <w:color w:val="231F20"/>
                <w:w w:val="115"/>
                <w:sz w:val="15"/>
              </w:rPr>
              <w:t>2015-2016 can</w:t>
            </w:r>
          </w:p>
        </w:tc>
        <w:tc>
          <w:tcPr>
            <w:tcW w:w="1167" w:type="dxa"/>
            <w:tcBorders>
              <w:top w:val="nil"/>
              <w:bottom w:val="nil"/>
            </w:tcBorders>
            <w:shd w:val="clear" w:color="auto" w:fill="F3D4AA"/>
          </w:tcPr>
          <w:p>
            <w:pPr>
              <w:pStyle w:val="TableParagraph"/>
              <w:spacing w:line="167" w:lineRule="exact" w:before="2"/>
              <w:ind w:left="76"/>
              <w:rPr>
                <w:sz w:val="15"/>
              </w:rPr>
            </w:pPr>
            <w:r>
              <w:rPr>
                <w:color w:val="231F20"/>
                <w:w w:val="110"/>
                <w:sz w:val="15"/>
              </w:rPr>
              <w:t>2016/2017</w:t>
            </w:r>
          </w:p>
        </w:tc>
      </w:tr>
      <w:tr>
        <w:trPr>
          <w:trHeight w:val="189"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D8E3CE"/>
          </w:tcPr>
          <w:p>
            <w:pPr>
              <w:pStyle w:val="TableParagraph"/>
              <w:spacing w:line="167" w:lineRule="exact" w:before="2"/>
              <w:ind w:left="79"/>
              <w:rPr>
                <w:sz w:val="15"/>
              </w:rPr>
            </w:pPr>
            <w:r>
              <w:rPr>
                <w:color w:val="231F20"/>
                <w:w w:val="105"/>
                <w:sz w:val="15"/>
              </w:rPr>
              <w:t>be accessed at:</w:t>
            </w:r>
          </w:p>
        </w:tc>
        <w:tc>
          <w:tcPr>
            <w:tcW w:w="1224" w:type="dxa"/>
            <w:tcBorders>
              <w:top w:val="nil"/>
              <w:bottom w:val="nil"/>
            </w:tcBorders>
            <w:shd w:val="clear" w:color="auto" w:fill="D8E3CE"/>
          </w:tcPr>
          <w:p>
            <w:pPr>
              <w:pStyle w:val="TableParagraph"/>
              <w:spacing w:line="167" w:lineRule="exact" w:before="2"/>
              <w:ind w:left="79"/>
              <w:rPr>
                <w:sz w:val="15"/>
              </w:rPr>
            </w:pPr>
            <w:r>
              <w:rPr>
                <w:color w:val="231F20"/>
                <w:w w:val="105"/>
                <w:sz w:val="15"/>
              </w:rPr>
              <w:t>be accessed at:</w:t>
            </w:r>
          </w:p>
        </w:tc>
        <w:tc>
          <w:tcPr>
            <w:tcW w:w="1229" w:type="dxa"/>
            <w:tcBorders>
              <w:top w:val="nil"/>
              <w:bottom w:val="nil"/>
            </w:tcBorders>
            <w:shd w:val="clear" w:color="auto" w:fill="D8E3CE"/>
          </w:tcPr>
          <w:p>
            <w:pPr>
              <w:pStyle w:val="TableParagraph"/>
              <w:spacing w:line="167" w:lineRule="exact" w:before="2"/>
              <w:ind w:left="78"/>
              <w:rPr>
                <w:sz w:val="15"/>
              </w:rPr>
            </w:pPr>
            <w:r>
              <w:rPr>
                <w:color w:val="231F20"/>
                <w:w w:val="105"/>
                <w:sz w:val="15"/>
              </w:rPr>
              <w:t>be accessed at:</w:t>
            </w:r>
          </w:p>
        </w:tc>
        <w:tc>
          <w:tcPr>
            <w:tcW w:w="1167" w:type="dxa"/>
            <w:tcBorders>
              <w:top w:val="nil"/>
              <w:bottom w:val="nil"/>
            </w:tcBorders>
            <w:shd w:val="clear" w:color="auto" w:fill="D8E3CE"/>
          </w:tcPr>
          <w:p>
            <w:pPr>
              <w:pStyle w:val="TableParagraph"/>
              <w:spacing w:line="167" w:lineRule="exact" w:before="2"/>
              <w:ind w:left="77"/>
              <w:rPr>
                <w:sz w:val="15"/>
              </w:rPr>
            </w:pPr>
            <w:r>
              <w:rPr>
                <w:color w:val="231F20"/>
                <w:w w:val="105"/>
                <w:sz w:val="15"/>
              </w:rPr>
              <w:t>be accessed at:</w:t>
            </w:r>
          </w:p>
        </w:tc>
        <w:tc>
          <w:tcPr>
            <w:tcW w:w="1167" w:type="dxa"/>
            <w:tcBorders>
              <w:top w:val="nil"/>
              <w:bottom w:val="nil"/>
            </w:tcBorders>
            <w:shd w:val="clear" w:color="auto" w:fill="D8E3CE"/>
          </w:tcPr>
          <w:p>
            <w:pPr>
              <w:pStyle w:val="TableParagraph"/>
              <w:spacing w:line="167" w:lineRule="exact" w:before="2"/>
              <w:ind w:left="77"/>
              <w:rPr>
                <w:sz w:val="15"/>
              </w:rPr>
            </w:pPr>
            <w:r>
              <w:rPr>
                <w:color w:val="231F20"/>
                <w:w w:val="105"/>
                <w:sz w:val="15"/>
              </w:rPr>
              <w:t>be accessed at:</w:t>
            </w:r>
          </w:p>
        </w:tc>
        <w:tc>
          <w:tcPr>
            <w:tcW w:w="1167" w:type="dxa"/>
            <w:tcBorders>
              <w:top w:val="nil"/>
              <w:bottom w:val="nil"/>
            </w:tcBorders>
            <w:shd w:val="clear" w:color="auto" w:fill="F3D4AA"/>
          </w:tcPr>
          <w:p>
            <w:pPr>
              <w:pStyle w:val="TableParagraph"/>
              <w:spacing w:line="167" w:lineRule="exact" w:before="2"/>
              <w:ind w:left="76"/>
              <w:rPr>
                <w:sz w:val="15"/>
              </w:rPr>
            </w:pPr>
            <w:r>
              <w:rPr>
                <w:color w:val="231F20"/>
                <w:w w:val="105"/>
                <w:sz w:val="15"/>
              </w:rPr>
              <w:t>finalised but</w:t>
            </w:r>
          </w:p>
        </w:tc>
      </w:tr>
      <w:tr>
        <w:trPr>
          <w:trHeight w:val="190"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D8E3CE"/>
          </w:tcPr>
          <w:p>
            <w:pPr>
              <w:pStyle w:val="TableParagraph"/>
              <w:spacing w:line="167" w:lineRule="exact" w:before="2"/>
              <w:ind w:left="79"/>
              <w:rPr>
                <w:b/>
                <w:sz w:val="15"/>
              </w:rPr>
            </w:pPr>
            <w:hyperlink r:id="rId82">
              <w:r>
                <w:rPr>
                  <w:b/>
                  <w:color w:val="00403F"/>
                  <w:w w:val="110"/>
                  <w:sz w:val="15"/>
                </w:rPr>
                <w:t>www.paclii.org</w:t>
              </w:r>
            </w:hyperlink>
          </w:p>
        </w:tc>
        <w:tc>
          <w:tcPr>
            <w:tcW w:w="1224" w:type="dxa"/>
            <w:tcBorders>
              <w:top w:val="nil"/>
              <w:bottom w:val="nil"/>
            </w:tcBorders>
            <w:shd w:val="clear" w:color="auto" w:fill="D8E3CE"/>
          </w:tcPr>
          <w:p>
            <w:pPr>
              <w:pStyle w:val="TableParagraph"/>
              <w:spacing w:line="167" w:lineRule="exact" w:before="2"/>
              <w:ind w:left="79"/>
              <w:rPr>
                <w:b/>
                <w:sz w:val="15"/>
              </w:rPr>
            </w:pPr>
            <w:hyperlink r:id="rId82">
              <w:r>
                <w:rPr>
                  <w:b/>
                  <w:color w:val="00403F"/>
                  <w:w w:val="110"/>
                  <w:sz w:val="15"/>
                </w:rPr>
                <w:t>www.paclii.org</w:t>
              </w:r>
            </w:hyperlink>
          </w:p>
        </w:tc>
        <w:tc>
          <w:tcPr>
            <w:tcW w:w="1229" w:type="dxa"/>
            <w:tcBorders>
              <w:top w:val="nil"/>
              <w:bottom w:val="nil"/>
            </w:tcBorders>
            <w:shd w:val="clear" w:color="auto" w:fill="D8E3CE"/>
          </w:tcPr>
          <w:p>
            <w:pPr>
              <w:pStyle w:val="TableParagraph"/>
              <w:spacing w:line="167" w:lineRule="exact" w:before="2"/>
              <w:ind w:left="78"/>
              <w:rPr>
                <w:b/>
                <w:sz w:val="15"/>
              </w:rPr>
            </w:pPr>
            <w:hyperlink r:id="rId82">
              <w:r>
                <w:rPr>
                  <w:b/>
                  <w:color w:val="00403F"/>
                  <w:w w:val="110"/>
                  <w:sz w:val="15"/>
                </w:rPr>
                <w:t>www.paclii.org</w:t>
              </w:r>
            </w:hyperlink>
          </w:p>
        </w:tc>
        <w:tc>
          <w:tcPr>
            <w:tcW w:w="1167" w:type="dxa"/>
            <w:tcBorders>
              <w:top w:val="nil"/>
              <w:bottom w:val="nil"/>
            </w:tcBorders>
            <w:shd w:val="clear" w:color="auto" w:fill="D8E3CE"/>
          </w:tcPr>
          <w:p>
            <w:pPr>
              <w:pStyle w:val="TableParagraph"/>
              <w:spacing w:line="167" w:lineRule="exact" w:before="2"/>
              <w:ind w:left="77"/>
              <w:rPr>
                <w:b/>
                <w:sz w:val="15"/>
              </w:rPr>
            </w:pPr>
            <w:hyperlink r:id="rId82">
              <w:r>
                <w:rPr>
                  <w:b/>
                  <w:color w:val="00403F"/>
                  <w:w w:val="110"/>
                  <w:sz w:val="15"/>
                </w:rPr>
                <w:t>www.paclii.org</w:t>
              </w:r>
            </w:hyperlink>
          </w:p>
        </w:tc>
        <w:tc>
          <w:tcPr>
            <w:tcW w:w="1167" w:type="dxa"/>
            <w:tcBorders>
              <w:top w:val="nil"/>
              <w:bottom w:val="nil"/>
            </w:tcBorders>
            <w:shd w:val="clear" w:color="auto" w:fill="D8E3CE"/>
          </w:tcPr>
          <w:p>
            <w:pPr>
              <w:pStyle w:val="TableParagraph"/>
              <w:spacing w:line="167" w:lineRule="exact" w:before="2"/>
              <w:ind w:left="77"/>
              <w:rPr>
                <w:b/>
                <w:sz w:val="15"/>
              </w:rPr>
            </w:pPr>
            <w:hyperlink r:id="rId83">
              <w:r>
                <w:rPr>
                  <w:b/>
                  <w:color w:val="00403F"/>
                  <w:sz w:val="15"/>
                </w:rPr>
                <w:t>http://www.</w:t>
              </w:r>
            </w:hyperlink>
          </w:p>
        </w:tc>
        <w:tc>
          <w:tcPr>
            <w:tcW w:w="1167" w:type="dxa"/>
            <w:tcBorders>
              <w:top w:val="nil"/>
              <w:bottom w:val="nil"/>
            </w:tcBorders>
            <w:shd w:val="clear" w:color="auto" w:fill="F3D4AA"/>
          </w:tcPr>
          <w:p>
            <w:pPr>
              <w:pStyle w:val="TableParagraph"/>
              <w:spacing w:line="167" w:lineRule="exact" w:before="2"/>
              <w:ind w:left="76"/>
              <w:rPr>
                <w:sz w:val="15"/>
              </w:rPr>
            </w:pPr>
            <w:r>
              <w:rPr>
                <w:color w:val="231F20"/>
                <w:w w:val="105"/>
                <w:sz w:val="15"/>
              </w:rPr>
              <w:t>cannot be</w:t>
            </w:r>
          </w:p>
        </w:tc>
      </w:tr>
      <w:tr>
        <w:trPr>
          <w:trHeight w:val="190"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D8E3CE"/>
          </w:tcPr>
          <w:p>
            <w:pPr>
              <w:pStyle w:val="TableParagraph"/>
              <w:rPr>
                <w:rFonts w:ascii="Times New Roman"/>
                <w:sz w:val="12"/>
              </w:rPr>
            </w:pPr>
          </w:p>
        </w:tc>
        <w:tc>
          <w:tcPr>
            <w:tcW w:w="1224" w:type="dxa"/>
            <w:tcBorders>
              <w:top w:val="nil"/>
              <w:bottom w:val="nil"/>
            </w:tcBorders>
            <w:shd w:val="clear" w:color="auto" w:fill="D8E3CE"/>
          </w:tcPr>
          <w:p>
            <w:pPr>
              <w:pStyle w:val="TableParagraph"/>
              <w:rPr>
                <w:rFonts w:ascii="Times New Roman"/>
                <w:sz w:val="12"/>
              </w:rPr>
            </w:pPr>
          </w:p>
        </w:tc>
        <w:tc>
          <w:tcPr>
            <w:tcW w:w="1229" w:type="dxa"/>
            <w:tcBorders>
              <w:top w:val="nil"/>
              <w:bottom w:val="nil"/>
            </w:tcBorders>
            <w:shd w:val="clear" w:color="auto" w:fill="D8E3CE"/>
          </w:tcPr>
          <w:p>
            <w:pPr>
              <w:pStyle w:val="TableParagraph"/>
              <w:rPr>
                <w:rFonts w:ascii="Times New Roman"/>
                <w:sz w:val="12"/>
              </w:rPr>
            </w:pPr>
          </w:p>
        </w:tc>
        <w:tc>
          <w:tcPr>
            <w:tcW w:w="1167" w:type="dxa"/>
            <w:tcBorders>
              <w:top w:val="nil"/>
              <w:bottom w:val="nil"/>
            </w:tcBorders>
            <w:shd w:val="clear" w:color="auto" w:fill="D8E3CE"/>
          </w:tcPr>
          <w:p>
            <w:pPr>
              <w:pStyle w:val="TableParagraph"/>
              <w:rPr>
                <w:rFonts w:ascii="Times New Roman"/>
                <w:sz w:val="12"/>
              </w:rPr>
            </w:pPr>
          </w:p>
        </w:tc>
        <w:tc>
          <w:tcPr>
            <w:tcW w:w="1167" w:type="dxa"/>
            <w:tcBorders>
              <w:top w:val="nil"/>
              <w:bottom w:val="nil"/>
            </w:tcBorders>
            <w:shd w:val="clear" w:color="auto" w:fill="D8E3CE"/>
          </w:tcPr>
          <w:p>
            <w:pPr>
              <w:pStyle w:val="TableParagraph"/>
              <w:spacing w:line="167" w:lineRule="exact" w:before="2"/>
              <w:ind w:left="77"/>
              <w:rPr>
                <w:b/>
                <w:sz w:val="15"/>
              </w:rPr>
            </w:pPr>
            <w:r>
              <w:rPr>
                <w:b/>
                <w:color w:val="00403F"/>
                <w:w w:val="105"/>
                <w:sz w:val="15"/>
              </w:rPr>
              <w:t>justice.gov.ck/</w:t>
            </w:r>
          </w:p>
        </w:tc>
        <w:tc>
          <w:tcPr>
            <w:tcW w:w="1167" w:type="dxa"/>
            <w:tcBorders>
              <w:top w:val="nil"/>
              <w:bottom w:val="nil"/>
            </w:tcBorders>
            <w:shd w:val="clear" w:color="auto" w:fill="F3D4AA"/>
          </w:tcPr>
          <w:p>
            <w:pPr>
              <w:pStyle w:val="TableParagraph"/>
              <w:spacing w:line="167" w:lineRule="exact" w:before="2"/>
              <w:ind w:left="76"/>
              <w:rPr>
                <w:sz w:val="15"/>
              </w:rPr>
            </w:pPr>
            <w:r>
              <w:rPr>
                <w:color w:val="231F20"/>
                <w:w w:val="110"/>
                <w:sz w:val="15"/>
              </w:rPr>
              <w:t>accessed by</w:t>
            </w:r>
          </w:p>
        </w:tc>
      </w:tr>
      <w:tr>
        <w:trPr>
          <w:trHeight w:val="220" w:hRule="atLeast"/>
        </w:trPr>
        <w:tc>
          <w:tcPr>
            <w:tcW w:w="1110" w:type="dxa"/>
            <w:tcBorders>
              <w:top w:val="nil"/>
            </w:tcBorders>
            <w:shd w:val="clear" w:color="auto" w:fill="D5E0E3"/>
          </w:tcPr>
          <w:p>
            <w:pPr>
              <w:pStyle w:val="TableParagraph"/>
              <w:rPr>
                <w:rFonts w:ascii="Times New Roman"/>
                <w:sz w:val="14"/>
              </w:rPr>
            </w:pPr>
          </w:p>
        </w:tc>
        <w:tc>
          <w:tcPr>
            <w:tcW w:w="1172" w:type="dxa"/>
            <w:tcBorders>
              <w:top w:val="nil"/>
            </w:tcBorders>
            <w:shd w:val="clear" w:color="auto" w:fill="EAAC98"/>
          </w:tcPr>
          <w:p>
            <w:pPr>
              <w:pStyle w:val="TableParagraph"/>
              <w:rPr>
                <w:rFonts w:ascii="Times New Roman"/>
                <w:sz w:val="14"/>
              </w:rPr>
            </w:pPr>
          </w:p>
        </w:tc>
        <w:tc>
          <w:tcPr>
            <w:tcW w:w="1191" w:type="dxa"/>
            <w:tcBorders>
              <w:top w:val="nil"/>
            </w:tcBorders>
            <w:shd w:val="clear" w:color="auto" w:fill="D8E3CE"/>
          </w:tcPr>
          <w:p>
            <w:pPr>
              <w:pStyle w:val="TableParagraph"/>
              <w:rPr>
                <w:rFonts w:ascii="Times New Roman"/>
                <w:sz w:val="14"/>
              </w:rPr>
            </w:pPr>
          </w:p>
        </w:tc>
        <w:tc>
          <w:tcPr>
            <w:tcW w:w="1224" w:type="dxa"/>
            <w:tcBorders>
              <w:top w:val="nil"/>
            </w:tcBorders>
            <w:shd w:val="clear" w:color="auto" w:fill="D8E3CE"/>
          </w:tcPr>
          <w:p>
            <w:pPr>
              <w:pStyle w:val="TableParagraph"/>
              <w:rPr>
                <w:rFonts w:ascii="Times New Roman"/>
                <w:sz w:val="14"/>
              </w:rPr>
            </w:pPr>
          </w:p>
        </w:tc>
        <w:tc>
          <w:tcPr>
            <w:tcW w:w="1229" w:type="dxa"/>
            <w:tcBorders>
              <w:top w:val="nil"/>
            </w:tcBorders>
            <w:shd w:val="clear" w:color="auto" w:fill="D8E3CE"/>
          </w:tcPr>
          <w:p>
            <w:pPr>
              <w:pStyle w:val="TableParagraph"/>
              <w:rPr>
                <w:rFonts w:ascii="Times New Roman"/>
                <w:sz w:val="14"/>
              </w:rPr>
            </w:pPr>
          </w:p>
        </w:tc>
        <w:tc>
          <w:tcPr>
            <w:tcW w:w="1167" w:type="dxa"/>
            <w:tcBorders>
              <w:top w:val="nil"/>
            </w:tcBorders>
            <w:shd w:val="clear" w:color="auto" w:fill="D8E3CE"/>
          </w:tcPr>
          <w:p>
            <w:pPr>
              <w:pStyle w:val="TableParagraph"/>
              <w:rPr>
                <w:rFonts w:ascii="Times New Roman"/>
                <w:sz w:val="14"/>
              </w:rPr>
            </w:pPr>
          </w:p>
        </w:tc>
        <w:tc>
          <w:tcPr>
            <w:tcW w:w="1167" w:type="dxa"/>
            <w:tcBorders>
              <w:top w:val="nil"/>
            </w:tcBorders>
            <w:shd w:val="clear" w:color="auto" w:fill="D8E3CE"/>
          </w:tcPr>
          <w:p>
            <w:pPr>
              <w:pStyle w:val="TableParagraph"/>
              <w:rPr>
                <w:rFonts w:ascii="Times New Roman"/>
                <w:sz w:val="14"/>
              </w:rPr>
            </w:pPr>
          </w:p>
        </w:tc>
        <w:tc>
          <w:tcPr>
            <w:tcW w:w="1167" w:type="dxa"/>
            <w:tcBorders>
              <w:top w:val="nil"/>
            </w:tcBorders>
            <w:shd w:val="clear" w:color="auto" w:fill="F3D4AA"/>
          </w:tcPr>
          <w:p>
            <w:pPr>
              <w:pStyle w:val="TableParagraph"/>
              <w:spacing w:before="2"/>
              <w:ind w:left="76"/>
              <w:rPr>
                <w:sz w:val="15"/>
              </w:rPr>
            </w:pPr>
            <w:r>
              <w:rPr>
                <w:color w:val="231F20"/>
                <w:w w:val="110"/>
                <w:sz w:val="15"/>
              </w:rPr>
              <w:t>the public.</w:t>
            </w:r>
          </w:p>
        </w:tc>
      </w:tr>
      <w:tr>
        <w:trPr>
          <w:trHeight w:val="262" w:hRule="atLeast"/>
        </w:trPr>
        <w:tc>
          <w:tcPr>
            <w:tcW w:w="1110" w:type="dxa"/>
            <w:tcBorders>
              <w:bottom w:val="nil"/>
            </w:tcBorders>
            <w:shd w:val="clear" w:color="auto" w:fill="D5E0E3"/>
          </w:tcPr>
          <w:p>
            <w:pPr>
              <w:pStyle w:val="TableParagraph"/>
              <w:spacing w:line="167" w:lineRule="exact" w:before="75"/>
              <w:ind w:left="80"/>
              <w:rPr>
                <w:b/>
                <w:sz w:val="15"/>
              </w:rPr>
            </w:pPr>
            <w:r>
              <w:rPr>
                <w:b/>
                <w:color w:val="231F20"/>
                <w:w w:val="105"/>
                <w:sz w:val="15"/>
              </w:rPr>
              <w:t>Federated</w:t>
            </w:r>
          </w:p>
        </w:tc>
        <w:tc>
          <w:tcPr>
            <w:tcW w:w="1172" w:type="dxa"/>
            <w:tcBorders>
              <w:bottom w:val="nil"/>
            </w:tcBorders>
            <w:shd w:val="clear" w:color="auto" w:fill="EAAC98"/>
          </w:tcPr>
          <w:p>
            <w:pPr>
              <w:pStyle w:val="TableParagraph"/>
              <w:spacing w:line="168" w:lineRule="exact" w:before="74"/>
              <w:ind w:left="79"/>
              <w:rPr>
                <w:sz w:val="15"/>
              </w:rPr>
            </w:pPr>
            <w:r>
              <w:rPr>
                <w:color w:val="231F20"/>
                <w:w w:val="115"/>
                <w:sz w:val="15"/>
              </w:rPr>
              <w:t>No Annual</w:t>
            </w:r>
          </w:p>
        </w:tc>
        <w:tc>
          <w:tcPr>
            <w:tcW w:w="1191" w:type="dxa"/>
            <w:tcBorders>
              <w:bottom w:val="nil"/>
            </w:tcBorders>
            <w:shd w:val="clear" w:color="auto" w:fill="D8E3CE"/>
          </w:tcPr>
          <w:p>
            <w:pPr>
              <w:pStyle w:val="TableParagraph"/>
              <w:spacing w:line="168" w:lineRule="exact" w:before="74"/>
              <w:ind w:left="79"/>
              <w:rPr>
                <w:sz w:val="15"/>
              </w:rPr>
            </w:pPr>
            <w:r>
              <w:rPr>
                <w:color w:val="231F20"/>
                <w:w w:val="110"/>
                <w:sz w:val="15"/>
              </w:rPr>
              <w:t>Annual</w:t>
            </w:r>
          </w:p>
        </w:tc>
        <w:tc>
          <w:tcPr>
            <w:tcW w:w="1224" w:type="dxa"/>
            <w:tcBorders>
              <w:bottom w:val="nil"/>
            </w:tcBorders>
            <w:shd w:val="clear" w:color="auto" w:fill="D8E3CE"/>
          </w:tcPr>
          <w:p>
            <w:pPr>
              <w:pStyle w:val="TableParagraph"/>
              <w:spacing w:line="168" w:lineRule="exact" w:before="74"/>
              <w:ind w:left="79"/>
              <w:rPr>
                <w:sz w:val="15"/>
              </w:rPr>
            </w:pPr>
            <w:r>
              <w:rPr>
                <w:color w:val="231F20"/>
                <w:w w:val="110"/>
                <w:sz w:val="15"/>
              </w:rPr>
              <w:t>Annual Report</w:t>
            </w:r>
          </w:p>
        </w:tc>
        <w:tc>
          <w:tcPr>
            <w:tcW w:w="1229" w:type="dxa"/>
            <w:tcBorders>
              <w:bottom w:val="nil"/>
            </w:tcBorders>
            <w:shd w:val="clear" w:color="auto" w:fill="D8E3CE"/>
          </w:tcPr>
          <w:p>
            <w:pPr>
              <w:pStyle w:val="TableParagraph"/>
              <w:spacing w:line="168" w:lineRule="exact" w:before="74"/>
              <w:ind w:left="78"/>
              <w:rPr>
                <w:sz w:val="15"/>
              </w:rPr>
            </w:pPr>
            <w:r>
              <w:rPr>
                <w:color w:val="231F20"/>
                <w:w w:val="110"/>
                <w:sz w:val="15"/>
              </w:rPr>
              <w:t>Annual Report</w:t>
            </w:r>
          </w:p>
        </w:tc>
        <w:tc>
          <w:tcPr>
            <w:tcW w:w="1167" w:type="dxa"/>
            <w:tcBorders>
              <w:bottom w:val="nil"/>
            </w:tcBorders>
            <w:shd w:val="clear" w:color="auto" w:fill="D8E3CE"/>
          </w:tcPr>
          <w:p>
            <w:pPr>
              <w:pStyle w:val="TableParagraph"/>
              <w:spacing w:line="168" w:lineRule="exact" w:before="74"/>
              <w:ind w:left="77"/>
              <w:rPr>
                <w:sz w:val="15"/>
              </w:rPr>
            </w:pPr>
            <w:r>
              <w:rPr>
                <w:color w:val="231F20"/>
                <w:w w:val="110"/>
                <w:sz w:val="15"/>
              </w:rPr>
              <w:t>Annual</w:t>
            </w:r>
          </w:p>
        </w:tc>
        <w:tc>
          <w:tcPr>
            <w:tcW w:w="1167" w:type="dxa"/>
            <w:tcBorders>
              <w:bottom w:val="nil"/>
            </w:tcBorders>
            <w:shd w:val="clear" w:color="auto" w:fill="D8E3CE"/>
          </w:tcPr>
          <w:p>
            <w:pPr>
              <w:pStyle w:val="TableParagraph"/>
              <w:spacing w:line="168" w:lineRule="exact" w:before="74"/>
              <w:ind w:left="77"/>
              <w:rPr>
                <w:sz w:val="15"/>
              </w:rPr>
            </w:pPr>
            <w:r>
              <w:rPr>
                <w:color w:val="231F20"/>
                <w:w w:val="110"/>
                <w:sz w:val="15"/>
              </w:rPr>
              <w:t>Annual</w:t>
            </w:r>
          </w:p>
        </w:tc>
        <w:tc>
          <w:tcPr>
            <w:tcW w:w="1167" w:type="dxa"/>
            <w:tcBorders>
              <w:bottom w:val="nil"/>
            </w:tcBorders>
            <w:shd w:val="clear" w:color="auto" w:fill="D8E3CE"/>
          </w:tcPr>
          <w:p>
            <w:pPr>
              <w:pStyle w:val="TableParagraph"/>
              <w:spacing w:line="168" w:lineRule="exact" w:before="74"/>
              <w:ind w:left="76"/>
              <w:rPr>
                <w:sz w:val="15"/>
              </w:rPr>
            </w:pPr>
            <w:r>
              <w:rPr>
                <w:color w:val="231F20"/>
                <w:w w:val="110"/>
                <w:sz w:val="15"/>
              </w:rPr>
              <w:t>Annual</w:t>
            </w:r>
          </w:p>
        </w:tc>
      </w:tr>
      <w:tr>
        <w:trPr>
          <w:trHeight w:val="190" w:hRule="atLeast"/>
        </w:trPr>
        <w:tc>
          <w:tcPr>
            <w:tcW w:w="1110" w:type="dxa"/>
            <w:tcBorders>
              <w:top w:val="nil"/>
              <w:bottom w:val="nil"/>
            </w:tcBorders>
            <w:shd w:val="clear" w:color="auto" w:fill="D5E0E3"/>
          </w:tcPr>
          <w:p>
            <w:pPr>
              <w:pStyle w:val="TableParagraph"/>
              <w:spacing w:line="167" w:lineRule="exact" w:before="2"/>
              <w:ind w:left="80"/>
              <w:rPr>
                <w:b/>
                <w:sz w:val="15"/>
              </w:rPr>
            </w:pPr>
            <w:r>
              <w:rPr>
                <w:b/>
                <w:color w:val="231F20"/>
                <w:w w:val="105"/>
                <w:sz w:val="15"/>
              </w:rPr>
              <w:t>States of</w:t>
            </w:r>
          </w:p>
        </w:tc>
        <w:tc>
          <w:tcPr>
            <w:tcW w:w="1172" w:type="dxa"/>
            <w:tcBorders>
              <w:top w:val="nil"/>
              <w:bottom w:val="nil"/>
            </w:tcBorders>
            <w:shd w:val="clear" w:color="auto" w:fill="EAAC98"/>
          </w:tcPr>
          <w:p>
            <w:pPr>
              <w:pStyle w:val="TableParagraph"/>
              <w:spacing w:line="168" w:lineRule="exact" w:before="2"/>
              <w:ind w:left="79"/>
              <w:rPr>
                <w:sz w:val="15"/>
              </w:rPr>
            </w:pPr>
            <w:r>
              <w:rPr>
                <w:color w:val="231F20"/>
                <w:w w:val="105"/>
                <w:sz w:val="15"/>
              </w:rPr>
              <w:t>Report for the</w:t>
            </w:r>
          </w:p>
        </w:tc>
        <w:tc>
          <w:tcPr>
            <w:tcW w:w="1191" w:type="dxa"/>
            <w:tcBorders>
              <w:top w:val="nil"/>
              <w:bottom w:val="nil"/>
            </w:tcBorders>
            <w:shd w:val="clear" w:color="auto" w:fill="D8E3CE"/>
          </w:tcPr>
          <w:p>
            <w:pPr>
              <w:pStyle w:val="TableParagraph"/>
              <w:spacing w:line="168" w:lineRule="exact" w:before="2"/>
              <w:ind w:left="79"/>
              <w:rPr>
                <w:sz w:val="15"/>
              </w:rPr>
            </w:pPr>
            <w:r>
              <w:rPr>
                <w:color w:val="231F20"/>
                <w:w w:val="110"/>
                <w:sz w:val="15"/>
              </w:rPr>
              <w:t>Report can be</w:t>
            </w:r>
          </w:p>
        </w:tc>
        <w:tc>
          <w:tcPr>
            <w:tcW w:w="1224" w:type="dxa"/>
            <w:tcBorders>
              <w:top w:val="nil"/>
              <w:bottom w:val="nil"/>
            </w:tcBorders>
            <w:shd w:val="clear" w:color="auto" w:fill="D8E3CE"/>
          </w:tcPr>
          <w:p>
            <w:pPr>
              <w:pStyle w:val="TableParagraph"/>
              <w:spacing w:line="168" w:lineRule="exact" w:before="2"/>
              <w:ind w:left="79"/>
              <w:rPr>
                <w:sz w:val="15"/>
              </w:rPr>
            </w:pPr>
            <w:r>
              <w:rPr>
                <w:color w:val="231F20"/>
                <w:w w:val="105"/>
                <w:sz w:val="15"/>
              </w:rPr>
              <w:t>produced but it</w:t>
            </w:r>
          </w:p>
        </w:tc>
        <w:tc>
          <w:tcPr>
            <w:tcW w:w="1229" w:type="dxa"/>
            <w:tcBorders>
              <w:top w:val="nil"/>
              <w:bottom w:val="nil"/>
            </w:tcBorders>
            <w:shd w:val="clear" w:color="auto" w:fill="D8E3CE"/>
          </w:tcPr>
          <w:p>
            <w:pPr>
              <w:pStyle w:val="TableParagraph"/>
              <w:spacing w:line="168" w:lineRule="exact" w:before="2"/>
              <w:ind w:left="78"/>
              <w:rPr>
                <w:sz w:val="15"/>
              </w:rPr>
            </w:pPr>
            <w:r>
              <w:rPr>
                <w:color w:val="231F20"/>
                <w:w w:val="110"/>
                <w:sz w:val="15"/>
              </w:rPr>
              <w:t>can be accessed</w:t>
            </w:r>
          </w:p>
        </w:tc>
        <w:tc>
          <w:tcPr>
            <w:tcW w:w="1167" w:type="dxa"/>
            <w:tcBorders>
              <w:top w:val="nil"/>
              <w:bottom w:val="nil"/>
            </w:tcBorders>
            <w:shd w:val="clear" w:color="auto" w:fill="D8E3CE"/>
          </w:tcPr>
          <w:p>
            <w:pPr>
              <w:pStyle w:val="TableParagraph"/>
              <w:spacing w:line="168" w:lineRule="exact" w:before="2"/>
              <w:ind w:left="77"/>
              <w:rPr>
                <w:sz w:val="15"/>
              </w:rPr>
            </w:pPr>
            <w:r>
              <w:rPr>
                <w:color w:val="231F20"/>
                <w:w w:val="110"/>
                <w:sz w:val="15"/>
              </w:rPr>
              <w:t>Report can be</w:t>
            </w:r>
          </w:p>
        </w:tc>
        <w:tc>
          <w:tcPr>
            <w:tcW w:w="1167" w:type="dxa"/>
            <w:tcBorders>
              <w:top w:val="nil"/>
              <w:bottom w:val="nil"/>
            </w:tcBorders>
            <w:shd w:val="clear" w:color="auto" w:fill="D8E3CE"/>
          </w:tcPr>
          <w:p>
            <w:pPr>
              <w:pStyle w:val="TableParagraph"/>
              <w:spacing w:line="168" w:lineRule="exact" w:before="2"/>
              <w:ind w:left="77"/>
              <w:rPr>
                <w:sz w:val="15"/>
              </w:rPr>
            </w:pPr>
            <w:r>
              <w:rPr>
                <w:color w:val="231F20"/>
                <w:w w:val="110"/>
                <w:sz w:val="15"/>
              </w:rPr>
              <w:t>Report can be</w:t>
            </w:r>
          </w:p>
        </w:tc>
        <w:tc>
          <w:tcPr>
            <w:tcW w:w="1167" w:type="dxa"/>
            <w:tcBorders>
              <w:top w:val="nil"/>
              <w:bottom w:val="nil"/>
            </w:tcBorders>
            <w:shd w:val="clear" w:color="auto" w:fill="D8E3CE"/>
          </w:tcPr>
          <w:p>
            <w:pPr>
              <w:pStyle w:val="TableParagraph"/>
              <w:spacing w:line="168" w:lineRule="exact" w:before="2"/>
              <w:ind w:left="76"/>
              <w:rPr>
                <w:sz w:val="15"/>
              </w:rPr>
            </w:pPr>
            <w:r>
              <w:rPr>
                <w:color w:val="231F20"/>
                <w:w w:val="110"/>
                <w:sz w:val="15"/>
              </w:rPr>
              <w:t>Report can be</w:t>
            </w:r>
          </w:p>
        </w:tc>
      </w:tr>
      <w:tr>
        <w:trPr>
          <w:trHeight w:val="189" w:hRule="atLeast"/>
        </w:trPr>
        <w:tc>
          <w:tcPr>
            <w:tcW w:w="1110" w:type="dxa"/>
            <w:tcBorders>
              <w:top w:val="nil"/>
              <w:bottom w:val="nil"/>
            </w:tcBorders>
            <w:shd w:val="clear" w:color="auto" w:fill="D5E0E3"/>
          </w:tcPr>
          <w:p>
            <w:pPr>
              <w:pStyle w:val="TableParagraph"/>
              <w:spacing w:line="167" w:lineRule="exact" w:before="2"/>
              <w:ind w:left="80"/>
              <w:rPr>
                <w:b/>
                <w:sz w:val="15"/>
              </w:rPr>
            </w:pPr>
            <w:r>
              <w:rPr>
                <w:b/>
                <w:color w:val="231F20"/>
                <w:w w:val="110"/>
                <w:sz w:val="15"/>
              </w:rPr>
              <w:t>Micronesia</w:t>
            </w:r>
          </w:p>
        </w:tc>
        <w:tc>
          <w:tcPr>
            <w:tcW w:w="1172" w:type="dxa"/>
            <w:tcBorders>
              <w:top w:val="nil"/>
              <w:bottom w:val="nil"/>
            </w:tcBorders>
            <w:shd w:val="clear" w:color="auto" w:fill="EAAC98"/>
          </w:tcPr>
          <w:p>
            <w:pPr>
              <w:pStyle w:val="TableParagraph"/>
              <w:spacing w:line="167" w:lineRule="exact" w:before="2"/>
              <w:ind w:left="79"/>
              <w:rPr>
                <w:sz w:val="15"/>
              </w:rPr>
            </w:pPr>
            <w:r>
              <w:rPr>
                <w:color w:val="231F20"/>
                <w:w w:val="110"/>
                <w:sz w:val="15"/>
              </w:rPr>
              <w:t>FSM judiciary.</w:t>
            </w:r>
          </w:p>
        </w:tc>
        <w:tc>
          <w:tcPr>
            <w:tcW w:w="1191" w:type="dxa"/>
            <w:tcBorders>
              <w:top w:val="nil"/>
              <w:bottom w:val="nil"/>
            </w:tcBorders>
            <w:shd w:val="clear" w:color="auto" w:fill="D8E3CE"/>
          </w:tcPr>
          <w:p>
            <w:pPr>
              <w:pStyle w:val="TableParagraph"/>
              <w:spacing w:line="167" w:lineRule="exact" w:before="2"/>
              <w:ind w:left="79"/>
              <w:rPr>
                <w:sz w:val="15"/>
              </w:rPr>
            </w:pPr>
            <w:r>
              <w:rPr>
                <w:color w:val="231F20"/>
                <w:w w:val="105"/>
                <w:sz w:val="15"/>
              </w:rPr>
              <w:t>accessed at:</w:t>
            </w:r>
          </w:p>
        </w:tc>
        <w:tc>
          <w:tcPr>
            <w:tcW w:w="1224" w:type="dxa"/>
            <w:tcBorders>
              <w:top w:val="nil"/>
              <w:bottom w:val="nil"/>
            </w:tcBorders>
            <w:shd w:val="clear" w:color="auto" w:fill="D8E3CE"/>
          </w:tcPr>
          <w:p>
            <w:pPr>
              <w:pStyle w:val="TableParagraph"/>
              <w:spacing w:line="167" w:lineRule="exact" w:before="2"/>
              <w:ind w:left="79"/>
              <w:rPr>
                <w:sz w:val="15"/>
              </w:rPr>
            </w:pPr>
            <w:r>
              <w:rPr>
                <w:color w:val="231F20"/>
                <w:w w:val="110"/>
                <w:sz w:val="15"/>
              </w:rPr>
              <w:t>is not published</w:t>
            </w:r>
          </w:p>
        </w:tc>
        <w:tc>
          <w:tcPr>
            <w:tcW w:w="1229" w:type="dxa"/>
            <w:tcBorders>
              <w:top w:val="nil"/>
              <w:bottom w:val="nil"/>
            </w:tcBorders>
            <w:shd w:val="clear" w:color="auto" w:fill="D8E3CE"/>
          </w:tcPr>
          <w:p>
            <w:pPr>
              <w:pStyle w:val="TableParagraph"/>
              <w:spacing w:line="167" w:lineRule="exact" w:before="2"/>
              <w:ind w:left="78"/>
              <w:rPr>
                <w:b/>
                <w:sz w:val="15"/>
              </w:rPr>
            </w:pPr>
            <w:r>
              <w:rPr>
                <w:color w:val="231F20"/>
                <w:sz w:val="15"/>
              </w:rPr>
              <w:t>at: </w:t>
            </w:r>
            <w:hyperlink r:id="rId84">
              <w:r>
                <w:rPr>
                  <w:b/>
                  <w:color w:val="00403F"/>
                  <w:sz w:val="15"/>
                </w:rPr>
                <w:t>http://fsm-</w:t>
              </w:r>
            </w:hyperlink>
          </w:p>
        </w:tc>
        <w:tc>
          <w:tcPr>
            <w:tcW w:w="1167" w:type="dxa"/>
            <w:tcBorders>
              <w:top w:val="nil"/>
              <w:bottom w:val="nil"/>
            </w:tcBorders>
            <w:shd w:val="clear" w:color="auto" w:fill="D8E3CE"/>
          </w:tcPr>
          <w:p>
            <w:pPr>
              <w:pStyle w:val="TableParagraph"/>
              <w:spacing w:line="167" w:lineRule="exact" w:before="2"/>
              <w:ind w:left="77"/>
              <w:rPr>
                <w:sz w:val="15"/>
              </w:rPr>
            </w:pPr>
            <w:r>
              <w:rPr>
                <w:color w:val="231F20"/>
                <w:w w:val="105"/>
                <w:sz w:val="15"/>
              </w:rPr>
              <w:t>accessed at:</w:t>
            </w:r>
          </w:p>
        </w:tc>
        <w:tc>
          <w:tcPr>
            <w:tcW w:w="1167" w:type="dxa"/>
            <w:tcBorders>
              <w:top w:val="nil"/>
              <w:bottom w:val="nil"/>
            </w:tcBorders>
            <w:shd w:val="clear" w:color="auto" w:fill="D8E3CE"/>
          </w:tcPr>
          <w:p>
            <w:pPr>
              <w:pStyle w:val="TableParagraph"/>
              <w:spacing w:line="167" w:lineRule="exact" w:before="2"/>
              <w:ind w:left="77"/>
              <w:rPr>
                <w:sz w:val="15"/>
              </w:rPr>
            </w:pPr>
            <w:r>
              <w:rPr>
                <w:color w:val="231F20"/>
                <w:w w:val="105"/>
                <w:sz w:val="15"/>
              </w:rPr>
              <w:t>accessed at:</w:t>
            </w:r>
          </w:p>
        </w:tc>
        <w:tc>
          <w:tcPr>
            <w:tcW w:w="1167" w:type="dxa"/>
            <w:tcBorders>
              <w:top w:val="nil"/>
              <w:bottom w:val="nil"/>
            </w:tcBorders>
            <w:shd w:val="clear" w:color="auto" w:fill="D8E3CE"/>
          </w:tcPr>
          <w:p>
            <w:pPr>
              <w:pStyle w:val="TableParagraph"/>
              <w:spacing w:line="167" w:lineRule="exact" w:before="2"/>
              <w:ind w:left="76"/>
              <w:rPr>
                <w:sz w:val="15"/>
              </w:rPr>
            </w:pPr>
            <w:r>
              <w:rPr>
                <w:color w:val="231F20"/>
                <w:w w:val="105"/>
                <w:sz w:val="15"/>
              </w:rPr>
              <w:t>accessed at:</w:t>
            </w:r>
          </w:p>
        </w:tc>
      </w:tr>
      <w:tr>
        <w:trPr>
          <w:trHeight w:val="190"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D8E3CE"/>
          </w:tcPr>
          <w:p>
            <w:pPr>
              <w:pStyle w:val="TableParagraph"/>
              <w:spacing w:line="167" w:lineRule="exact" w:before="2"/>
              <w:ind w:left="79"/>
              <w:rPr>
                <w:b/>
                <w:sz w:val="15"/>
              </w:rPr>
            </w:pPr>
            <w:hyperlink r:id="rId82">
              <w:r>
                <w:rPr>
                  <w:b/>
                  <w:color w:val="00403F"/>
                  <w:w w:val="110"/>
                  <w:sz w:val="15"/>
                </w:rPr>
                <w:t>www.paclii.org</w:t>
              </w:r>
            </w:hyperlink>
          </w:p>
        </w:tc>
        <w:tc>
          <w:tcPr>
            <w:tcW w:w="1224" w:type="dxa"/>
            <w:tcBorders>
              <w:top w:val="nil"/>
              <w:bottom w:val="nil"/>
            </w:tcBorders>
            <w:shd w:val="clear" w:color="auto" w:fill="D8E3CE"/>
          </w:tcPr>
          <w:p>
            <w:pPr>
              <w:pStyle w:val="TableParagraph"/>
              <w:spacing w:line="167" w:lineRule="exact" w:before="2"/>
              <w:ind w:left="79"/>
              <w:rPr>
                <w:sz w:val="15"/>
              </w:rPr>
            </w:pPr>
            <w:r>
              <w:rPr>
                <w:color w:val="231F20"/>
                <w:w w:val="110"/>
                <w:sz w:val="15"/>
              </w:rPr>
              <w:t>on the FSM</w:t>
            </w:r>
          </w:p>
        </w:tc>
        <w:tc>
          <w:tcPr>
            <w:tcW w:w="1229" w:type="dxa"/>
            <w:tcBorders>
              <w:top w:val="nil"/>
              <w:bottom w:val="nil"/>
            </w:tcBorders>
            <w:shd w:val="clear" w:color="auto" w:fill="D8E3CE"/>
          </w:tcPr>
          <w:p>
            <w:pPr>
              <w:pStyle w:val="TableParagraph"/>
              <w:spacing w:line="167" w:lineRule="exact" w:before="2"/>
              <w:ind w:left="78"/>
              <w:rPr>
                <w:b/>
                <w:sz w:val="15"/>
              </w:rPr>
            </w:pPr>
            <w:r>
              <w:rPr>
                <w:b/>
                <w:color w:val="00403F"/>
                <w:w w:val="105"/>
                <w:sz w:val="15"/>
              </w:rPr>
              <w:t>supremecourt.</w:t>
            </w:r>
          </w:p>
        </w:tc>
        <w:tc>
          <w:tcPr>
            <w:tcW w:w="1167" w:type="dxa"/>
            <w:tcBorders>
              <w:top w:val="nil"/>
              <w:bottom w:val="nil"/>
            </w:tcBorders>
            <w:shd w:val="clear" w:color="auto" w:fill="D8E3CE"/>
          </w:tcPr>
          <w:p>
            <w:pPr>
              <w:pStyle w:val="TableParagraph"/>
              <w:spacing w:line="167" w:lineRule="exact" w:before="2"/>
              <w:ind w:left="77"/>
              <w:rPr>
                <w:b/>
                <w:sz w:val="15"/>
              </w:rPr>
            </w:pPr>
            <w:hyperlink r:id="rId85">
              <w:r>
                <w:rPr>
                  <w:b/>
                  <w:color w:val="00403F"/>
                  <w:sz w:val="15"/>
                </w:rPr>
                <w:t>http://fsmsu-</w:t>
              </w:r>
            </w:hyperlink>
          </w:p>
        </w:tc>
        <w:tc>
          <w:tcPr>
            <w:tcW w:w="1167" w:type="dxa"/>
            <w:tcBorders>
              <w:top w:val="nil"/>
              <w:bottom w:val="nil"/>
            </w:tcBorders>
            <w:shd w:val="clear" w:color="auto" w:fill="D8E3CE"/>
          </w:tcPr>
          <w:p>
            <w:pPr>
              <w:pStyle w:val="TableParagraph"/>
              <w:spacing w:line="167" w:lineRule="exact" w:before="2"/>
              <w:ind w:left="77"/>
              <w:rPr>
                <w:b/>
                <w:sz w:val="15"/>
              </w:rPr>
            </w:pPr>
            <w:hyperlink r:id="rId85">
              <w:r>
                <w:rPr>
                  <w:b/>
                  <w:color w:val="00403F"/>
                  <w:sz w:val="15"/>
                </w:rPr>
                <w:t>http://fsmsu-</w:t>
              </w:r>
            </w:hyperlink>
          </w:p>
        </w:tc>
        <w:tc>
          <w:tcPr>
            <w:tcW w:w="1167" w:type="dxa"/>
            <w:tcBorders>
              <w:top w:val="nil"/>
              <w:bottom w:val="nil"/>
            </w:tcBorders>
            <w:shd w:val="clear" w:color="auto" w:fill="D8E3CE"/>
          </w:tcPr>
          <w:p>
            <w:pPr>
              <w:pStyle w:val="TableParagraph"/>
              <w:spacing w:line="167" w:lineRule="exact" w:before="2"/>
              <w:ind w:left="76"/>
              <w:rPr>
                <w:b/>
                <w:sz w:val="15"/>
              </w:rPr>
            </w:pPr>
            <w:hyperlink r:id="rId85">
              <w:r>
                <w:rPr>
                  <w:b/>
                  <w:color w:val="00403F"/>
                  <w:sz w:val="15"/>
                </w:rPr>
                <w:t>http://fsmsu-</w:t>
              </w:r>
            </w:hyperlink>
          </w:p>
        </w:tc>
      </w:tr>
      <w:tr>
        <w:trPr>
          <w:trHeight w:val="189"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D8E3CE"/>
          </w:tcPr>
          <w:p>
            <w:pPr>
              <w:pStyle w:val="TableParagraph"/>
              <w:rPr>
                <w:rFonts w:ascii="Times New Roman"/>
                <w:sz w:val="12"/>
              </w:rPr>
            </w:pPr>
          </w:p>
        </w:tc>
        <w:tc>
          <w:tcPr>
            <w:tcW w:w="1224" w:type="dxa"/>
            <w:tcBorders>
              <w:top w:val="nil"/>
              <w:bottom w:val="nil"/>
            </w:tcBorders>
            <w:shd w:val="clear" w:color="auto" w:fill="D8E3CE"/>
          </w:tcPr>
          <w:p>
            <w:pPr>
              <w:pStyle w:val="TableParagraph"/>
              <w:spacing w:line="167" w:lineRule="exact" w:before="2"/>
              <w:ind w:left="79"/>
              <w:rPr>
                <w:sz w:val="15"/>
              </w:rPr>
            </w:pPr>
            <w:r>
              <w:rPr>
                <w:color w:val="231F20"/>
                <w:w w:val="105"/>
                <w:sz w:val="15"/>
              </w:rPr>
              <w:t>Judiciary or</w:t>
            </w:r>
          </w:p>
        </w:tc>
        <w:tc>
          <w:tcPr>
            <w:tcW w:w="1229" w:type="dxa"/>
            <w:tcBorders>
              <w:top w:val="nil"/>
              <w:bottom w:val="nil"/>
            </w:tcBorders>
            <w:shd w:val="clear" w:color="auto" w:fill="D8E3CE"/>
          </w:tcPr>
          <w:p>
            <w:pPr>
              <w:pStyle w:val="TableParagraph"/>
              <w:spacing w:line="167" w:lineRule="exact" w:before="2"/>
              <w:ind w:left="78"/>
              <w:rPr>
                <w:sz w:val="15"/>
              </w:rPr>
            </w:pPr>
            <w:r>
              <w:rPr>
                <w:b/>
                <w:color w:val="00403F"/>
                <w:w w:val="105"/>
                <w:sz w:val="15"/>
              </w:rPr>
              <w:t>org/ </w:t>
            </w:r>
            <w:r>
              <w:rPr>
                <w:color w:val="231F20"/>
                <w:w w:val="105"/>
                <w:sz w:val="15"/>
              </w:rPr>
              <w:t>and</w:t>
            </w:r>
          </w:p>
        </w:tc>
        <w:tc>
          <w:tcPr>
            <w:tcW w:w="1167" w:type="dxa"/>
            <w:tcBorders>
              <w:top w:val="nil"/>
              <w:bottom w:val="nil"/>
            </w:tcBorders>
            <w:shd w:val="clear" w:color="auto" w:fill="D8E3CE"/>
          </w:tcPr>
          <w:p>
            <w:pPr>
              <w:pStyle w:val="TableParagraph"/>
              <w:spacing w:line="167" w:lineRule="exact" w:before="2"/>
              <w:ind w:left="77"/>
              <w:rPr>
                <w:b/>
                <w:sz w:val="15"/>
              </w:rPr>
            </w:pPr>
            <w:r>
              <w:rPr>
                <w:b/>
                <w:color w:val="00403F"/>
                <w:w w:val="105"/>
                <w:sz w:val="15"/>
              </w:rPr>
              <w:t>premecourt.</w:t>
            </w:r>
          </w:p>
        </w:tc>
        <w:tc>
          <w:tcPr>
            <w:tcW w:w="1167" w:type="dxa"/>
            <w:tcBorders>
              <w:top w:val="nil"/>
              <w:bottom w:val="nil"/>
            </w:tcBorders>
            <w:shd w:val="clear" w:color="auto" w:fill="D8E3CE"/>
          </w:tcPr>
          <w:p>
            <w:pPr>
              <w:pStyle w:val="TableParagraph"/>
              <w:spacing w:line="167" w:lineRule="exact" w:before="2"/>
              <w:ind w:left="77"/>
              <w:rPr>
                <w:b/>
                <w:sz w:val="15"/>
              </w:rPr>
            </w:pPr>
            <w:r>
              <w:rPr>
                <w:b/>
                <w:color w:val="00403F"/>
                <w:w w:val="105"/>
                <w:sz w:val="15"/>
              </w:rPr>
              <w:t>premecourt.</w:t>
            </w:r>
          </w:p>
        </w:tc>
        <w:tc>
          <w:tcPr>
            <w:tcW w:w="1167" w:type="dxa"/>
            <w:tcBorders>
              <w:top w:val="nil"/>
              <w:bottom w:val="nil"/>
            </w:tcBorders>
            <w:shd w:val="clear" w:color="auto" w:fill="D8E3CE"/>
          </w:tcPr>
          <w:p>
            <w:pPr>
              <w:pStyle w:val="TableParagraph"/>
              <w:spacing w:line="167" w:lineRule="exact" w:before="2"/>
              <w:ind w:left="76"/>
              <w:rPr>
                <w:b/>
                <w:sz w:val="15"/>
              </w:rPr>
            </w:pPr>
            <w:r>
              <w:rPr>
                <w:b/>
                <w:color w:val="00403F"/>
                <w:w w:val="105"/>
                <w:sz w:val="15"/>
              </w:rPr>
              <w:t>premecourt.</w:t>
            </w:r>
          </w:p>
        </w:tc>
      </w:tr>
      <w:tr>
        <w:trPr>
          <w:trHeight w:val="220" w:hRule="atLeast"/>
        </w:trPr>
        <w:tc>
          <w:tcPr>
            <w:tcW w:w="1110" w:type="dxa"/>
            <w:tcBorders>
              <w:top w:val="nil"/>
            </w:tcBorders>
            <w:shd w:val="clear" w:color="auto" w:fill="D5E0E3"/>
          </w:tcPr>
          <w:p>
            <w:pPr>
              <w:pStyle w:val="TableParagraph"/>
              <w:rPr>
                <w:rFonts w:ascii="Times New Roman"/>
                <w:sz w:val="14"/>
              </w:rPr>
            </w:pPr>
          </w:p>
        </w:tc>
        <w:tc>
          <w:tcPr>
            <w:tcW w:w="1172" w:type="dxa"/>
            <w:tcBorders>
              <w:top w:val="nil"/>
            </w:tcBorders>
            <w:shd w:val="clear" w:color="auto" w:fill="EAAC98"/>
          </w:tcPr>
          <w:p>
            <w:pPr>
              <w:pStyle w:val="TableParagraph"/>
              <w:rPr>
                <w:rFonts w:ascii="Times New Roman"/>
                <w:sz w:val="14"/>
              </w:rPr>
            </w:pPr>
          </w:p>
        </w:tc>
        <w:tc>
          <w:tcPr>
            <w:tcW w:w="1191" w:type="dxa"/>
            <w:tcBorders>
              <w:top w:val="nil"/>
            </w:tcBorders>
            <w:shd w:val="clear" w:color="auto" w:fill="D8E3CE"/>
          </w:tcPr>
          <w:p>
            <w:pPr>
              <w:pStyle w:val="TableParagraph"/>
              <w:rPr>
                <w:rFonts w:ascii="Times New Roman"/>
                <w:sz w:val="14"/>
              </w:rPr>
            </w:pPr>
          </w:p>
        </w:tc>
        <w:tc>
          <w:tcPr>
            <w:tcW w:w="1224" w:type="dxa"/>
            <w:tcBorders>
              <w:top w:val="nil"/>
            </w:tcBorders>
            <w:shd w:val="clear" w:color="auto" w:fill="D8E3CE"/>
          </w:tcPr>
          <w:p>
            <w:pPr>
              <w:pStyle w:val="TableParagraph"/>
              <w:spacing w:before="2"/>
              <w:ind w:left="79"/>
              <w:rPr>
                <w:sz w:val="15"/>
              </w:rPr>
            </w:pPr>
            <w:r>
              <w:rPr>
                <w:color w:val="231F20"/>
                <w:w w:val="110"/>
                <w:sz w:val="15"/>
              </w:rPr>
              <w:t>PacLII websites.</w:t>
            </w:r>
          </w:p>
        </w:tc>
        <w:tc>
          <w:tcPr>
            <w:tcW w:w="1229" w:type="dxa"/>
            <w:tcBorders>
              <w:top w:val="nil"/>
            </w:tcBorders>
            <w:shd w:val="clear" w:color="auto" w:fill="D8E3CE"/>
          </w:tcPr>
          <w:p>
            <w:pPr>
              <w:pStyle w:val="TableParagraph"/>
              <w:spacing w:before="2"/>
              <w:ind w:left="78"/>
              <w:rPr>
                <w:b/>
                <w:sz w:val="15"/>
              </w:rPr>
            </w:pPr>
            <w:hyperlink r:id="rId82">
              <w:r>
                <w:rPr>
                  <w:b/>
                  <w:color w:val="00403F"/>
                  <w:w w:val="110"/>
                  <w:sz w:val="15"/>
                </w:rPr>
                <w:t>www.paclii.org</w:t>
              </w:r>
            </w:hyperlink>
          </w:p>
        </w:tc>
        <w:tc>
          <w:tcPr>
            <w:tcW w:w="1167" w:type="dxa"/>
            <w:tcBorders>
              <w:top w:val="nil"/>
            </w:tcBorders>
            <w:shd w:val="clear" w:color="auto" w:fill="D8E3CE"/>
          </w:tcPr>
          <w:p>
            <w:pPr>
              <w:pStyle w:val="TableParagraph"/>
              <w:spacing w:before="2"/>
              <w:ind w:left="77"/>
              <w:rPr>
                <w:b/>
                <w:sz w:val="15"/>
              </w:rPr>
            </w:pPr>
            <w:r>
              <w:rPr>
                <w:b/>
                <w:color w:val="00403F"/>
                <w:sz w:val="15"/>
              </w:rPr>
              <w:t>org/</w:t>
            </w:r>
          </w:p>
        </w:tc>
        <w:tc>
          <w:tcPr>
            <w:tcW w:w="1167" w:type="dxa"/>
            <w:tcBorders>
              <w:top w:val="nil"/>
            </w:tcBorders>
            <w:shd w:val="clear" w:color="auto" w:fill="D8E3CE"/>
          </w:tcPr>
          <w:p>
            <w:pPr>
              <w:pStyle w:val="TableParagraph"/>
              <w:spacing w:before="2"/>
              <w:ind w:left="77"/>
              <w:rPr>
                <w:b/>
                <w:sz w:val="15"/>
              </w:rPr>
            </w:pPr>
            <w:r>
              <w:rPr>
                <w:b/>
                <w:color w:val="00403F"/>
                <w:sz w:val="15"/>
              </w:rPr>
              <w:t>org/</w:t>
            </w:r>
          </w:p>
        </w:tc>
        <w:tc>
          <w:tcPr>
            <w:tcW w:w="1167" w:type="dxa"/>
            <w:tcBorders>
              <w:top w:val="nil"/>
            </w:tcBorders>
            <w:shd w:val="clear" w:color="auto" w:fill="D8E3CE"/>
          </w:tcPr>
          <w:p>
            <w:pPr>
              <w:pStyle w:val="TableParagraph"/>
              <w:spacing w:before="2"/>
              <w:ind w:left="76"/>
              <w:rPr>
                <w:b/>
                <w:sz w:val="15"/>
              </w:rPr>
            </w:pPr>
            <w:r>
              <w:rPr>
                <w:b/>
                <w:color w:val="00403F"/>
                <w:sz w:val="15"/>
              </w:rPr>
              <w:t>org/</w:t>
            </w:r>
          </w:p>
        </w:tc>
      </w:tr>
      <w:tr>
        <w:trPr>
          <w:trHeight w:val="862" w:hRule="atLeast"/>
        </w:trPr>
        <w:tc>
          <w:tcPr>
            <w:tcW w:w="1110" w:type="dxa"/>
            <w:shd w:val="clear" w:color="auto" w:fill="D5E0E3"/>
          </w:tcPr>
          <w:p>
            <w:pPr>
              <w:pStyle w:val="TableParagraph"/>
              <w:spacing w:before="75"/>
              <w:ind w:left="80"/>
              <w:rPr>
                <w:b/>
                <w:sz w:val="15"/>
              </w:rPr>
            </w:pPr>
            <w:r>
              <w:rPr>
                <w:b/>
                <w:color w:val="231F20"/>
                <w:w w:val="110"/>
                <w:sz w:val="15"/>
              </w:rPr>
              <w:t>Kiribati</w:t>
            </w:r>
          </w:p>
        </w:tc>
        <w:tc>
          <w:tcPr>
            <w:tcW w:w="1172" w:type="dxa"/>
            <w:shd w:val="clear" w:color="auto" w:fill="EAAC98"/>
          </w:tcPr>
          <w:p>
            <w:pPr>
              <w:pStyle w:val="TableParagraph"/>
              <w:spacing w:line="249" w:lineRule="auto" w:before="74"/>
              <w:ind w:left="79" w:right="359"/>
              <w:rPr>
                <w:sz w:val="15"/>
              </w:rPr>
            </w:pPr>
            <w:r>
              <w:rPr>
                <w:color w:val="231F20"/>
                <w:w w:val="110"/>
                <w:sz w:val="15"/>
              </w:rPr>
              <w:t>No Annual Report.</w:t>
            </w:r>
          </w:p>
        </w:tc>
        <w:tc>
          <w:tcPr>
            <w:tcW w:w="1191" w:type="dxa"/>
            <w:shd w:val="clear" w:color="auto" w:fill="D8E3CE"/>
          </w:tcPr>
          <w:p>
            <w:pPr>
              <w:pStyle w:val="TableParagraph"/>
              <w:spacing w:line="249" w:lineRule="auto" w:before="74"/>
              <w:ind w:left="79" w:right="169"/>
              <w:rPr>
                <w:sz w:val="15"/>
              </w:rPr>
            </w:pPr>
            <w:r>
              <w:rPr>
                <w:color w:val="231F20"/>
                <w:w w:val="110"/>
                <w:sz w:val="15"/>
              </w:rPr>
              <w:t>Annual Report can</w:t>
            </w:r>
            <w:r>
              <w:rPr>
                <w:color w:val="231F20"/>
                <w:spacing w:val="-7"/>
                <w:w w:val="110"/>
                <w:sz w:val="15"/>
              </w:rPr>
              <w:t> </w:t>
            </w:r>
            <w:r>
              <w:rPr>
                <w:color w:val="231F20"/>
                <w:w w:val="110"/>
                <w:sz w:val="15"/>
              </w:rPr>
              <w:t>be accessed</w:t>
            </w:r>
            <w:r>
              <w:rPr>
                <w:color w:val="231F20"/>
                <w:spacing w:val="0"/>
                <w:w w:val="110"/>
                <w:sz w:val="15"/>
              </w:rPr>
              <w:t> </w:t>
            </w:r>
            <w:r>
              <w:rPr>
                <w:color w:val="231F20"/>
                <w:w w:val="110"/>
                <w:sz w:val="15"/>
              </w:rPr>
              <w:t>at:</w:t>
            </w:r>
          </w:p>
          <w:p>
            <w:pPr>
              <w:pStyle w:val="TableParagraph"/>
              <w:spacing w:line="182" w:lineRule="exact"/>
              <w:ind w:left="79"/>
              <w:rPr>
                <w:b/>
                <w:sz w:val="15"/>
              </w:rPr>
            </w:pPr>
            <w:hyperlink r:id="rId82">
              <w:r>
                <w:rPr>
                  <w:b/>
                  <w:color w:val="00403F"/>
                  <w:w w:val="110"/>
                  <w:sz w:val="15"/>
                </w:rPr>
                <w:t>www.paclii.org</w:t>
              </w:r>
            </w:hyperlink>
          </w:p>
        </w:tc>
        <w:tc>
          <w:tcPr>
            <w:tcW w:w="1224" w:type="dxa"/>
            <w:shd w:val="clear" w:color="auto" w:fill="D8E3CE"/>
          </w:tcPr>
          <w:p>
            <w:pPr>
              <w:pStyle w:val="TableParagraph"/>
              <w:spacing w:line="249" w:lineRule="auto" w:before="74"/>
              <w:ind w:left="79"/>
              <w:rPr>
                <w:b/>
                <w:sz w:val="15"/>
              </w:rPr>
            </w:pPr>
            <w:r>
              <w:rPr>
                <w:color w:val="231F20"/>
                <w:w w:val="110"/>
                <w:sz w:val="15"/>
              </w:rPr>
              <w:t>Annual Report can be accessed at: </w:t>
            </w:r>
            <w:r>
              <w:rPr>
                <w:b/>
                <w:color w:val="00403F"/>
                <w:w w:val="110"/>
                <w:sz w:val="15"/>
              </w:rPr>
              <w:t>www.paclii. org</w:t>
            </w:r>
          </w:p>
        </w:tc>
        <w:tc>
          <w:tcPr>
            <w:tcW w:w="1229" w:type="dxa"/>
            <w:shd w:val="clear" w:color="auto" w:fill="D8E3CE"/>
          </w:tcPr>
          <w:p>
            <w:pPr>
              <w:pStyle w:val="TableParagraph"/>
              <w:spacing w:line="249" w:lineRule="auto" w:before="74"/>
              <w:ind w:left="78"/>
              <w:rPr>
                <w:b/>
                <w:sz w:val="15"/>
              </w:rPr>
            </w:pPr>
            <w:r>
              <w:rPr>
                <w:color w:val="231F20"/>
                <w:w w:val="110"/>
                <w:sz w:val="15"/>
              </w:rPr>
              <w:t>Annual Report can be accessed at: </w:t>
            </w:r>
            <w:r>
              <w:rPr>
                <w:b/>
                <w:color w:val="00403F"/>
                <w:w w:val="110"/>
                <w:sz w:val="15"/>
              </w:rPr>
              <w:t>www.paclii. org</w:t>
            </w:r>
          </w:p>
        </w:tc>
        <w:tc>
          <w:tcPr>
            <w:tcW w:w="3501" w:type="dxa"/>
            <w:gridSpan w:val="3"/>
            <w:shd w:val="clear" w:color="auto" w:fill="EAAC98"/>
          </w:tcPr>
          <w:p>
            <w:pPr>
              <w:pStyle w:val="TableParagraph"/>
              <w:spacing w:before="74"/>
              <w:ind w:left="77"/>
              <w:rPr>
                <w:sz w:val="15"/>
              </w:rPr>
            </w:pPr>
            <w:r>
              <w:rPr>
                <w:color w:val="231F20"/>
                <w:w w:val="110"/>
                <w:sz w:val="15"/>
              </w:rPr>
              <w:t>No Annual report</w:t>
            </w:r>
          </w:p>
        </w:tc>
      </w:tr>
      <w:tr>
        <w:trPr>
          <w:trHeight w:val="262" w:hRule="atLeast"/>
        </w:trPr>
        <w:tc>
          <w:tcPr>
            <w:tcW w:w="1110" w:type="dxa"/>
            <w:tcBorders>
              <w:bottom w:val="nil"/>
            </w:tcBorders>
            <w:shd w:val="clear" w:color="auto" w:fill="D5E0E3"/>
          </w:tcPr>
          <w:p>
            <w:pPr>
              <w:pStyle w:val="TableParagraph"/>
              <w:spacing w:line="167" w:lineRule="exact" w:before="75"/>
              <w:ind w:left="80"/>
              <w:rPr>
                <w:b/>
                <w:sz w:val="15"/>
              </w:rPr>
            </w:pPr>
            <w:r>
              <w:rPr>
                <w:b/>
                <w:color w:val="231F20"/>
                <w:w w:val="110"/>
                <w:sz w:val="15"/>
              </w:rPr>
              <w:t>Nauru</w:t>
            </w:r>
          </w:p>
        </w:tc>
        <w:tc>
          <w:tcPr>
            <w:tcW w:w="1172" w:type="dxa"/>
            <w:tcBorders>
              <w:bottom w:val="nil"/>
            </w:tcBorders>
            <w:shd w:val="clear" w:color="auto" w:fill="EAAC98"/>
          </w:tcPr>
          <w:p>
            <w:pPr>
              <w:pStyle w:val="TableParagraph"/>
              <w:spacing w:line="168" w:lineRule="exact" w:before="74"/>
              <w:ind w:left="79"/>
              <w:rPr>
                <w:sz w:val="15"/>
              </w:rPr>
            </w:pPr>
            <w:r>
              <w:rPr>
                <w:color w:val="231F20"/>
                <w:w w:val="115"/>
                <w:sz w:val="15"/>
              </w:rPr>
              <w:t>No Annual</w:t>
            </w:r>
          </w:p>
        </w:tc>
        <w:tc>
          <w:tcPr>
            <w:tcW w:w="1191" w:type="dxa"/>
            <w:tcBorders>
              <w:bottom w:val="nil"/>
            </w:tcBorders>
            <w:shd w:val="clear" w:color="auto" w:fill="EAAC98"/>
          </w:tcPr>
          <w:p>
            <w:pPr>
              <w:pStyle w:val="TableParagraph"/>
              <w:spacing w:line="168" w:lineRule="exact" w:before="74"/>
              <w:ind w:left="79"/>
              <w:rPr>
                <w:sz w:val="15"/>
              </w:rPr>
            </w:pPr>
            <w:r>
              <w:rPr>
                <w:color w:val="231F20"/>
                <w:w w:val="115"/>
                <w:sz w:val="15"/>
              </w:rPr>
              <w:t>No Annual</w:t>
            </w:r>
          </w:p>
        </w:tc>
        <w:tc>
          <w:tcPr>
            <w:tcW w:w="1224" w:type="dxa"/>
            <w:tcBorders>
              <w:bottom w:val="nil"/>
            </w:tcBorders>
            <w:shd w:val="clear" w:color="auto" w:fill="EAAC98"/>
          </w:tcPr>
          <w:p>
            <w:pPr>
              <w:pStyle w:val="TableParagraph"/>
              <w:spacing w:line="168" w:lineRule="exact" w:before="74"/>
              <w:ind w:left="79"/>
              <w:rPr>
                <w:sz w:val="15"/>
              </w:rPr>
            </w:pPr>
            <w:r>
              <w:rPr>
                <w:color w:val="231F20"/>
                <w:w w:val="115"/>
                <w:sz w:val="15"/>
              </w:rPr>
              <w:t>No Annual</w:t>
            </w:r>
          </w:p>
        </w:tc>
        <w:tc>
          <w:tcPr>
            <w:tcW w:w="1229" w:type="dxa"/>
            <w:tcBorders>
              <w:bottom w:val="nil"/>
            </w:tcBorders>
            <w:shd w:val="clear" w:color="auto" w:fill="EAAC98"/>
          </w:tcPr>
          <w:p>
            <w:pPr>
              <w:pStyle w:val="TableParagraph"/>
              <w:spacing w:line="168" w:lineRule="exact" w:before="74"/>
              <w:ind w:left="78"/>
              <w:rPr>
                <w:sz w:val="15"/>
              </w:rPr>
            </w:pPr>
            <w:r>
              <w:rPr>
                <w:color w:val="231F20"/>
                <w:w w:val="115"/>
                <w:sz w:val="15"/>
              </w:rPr>
              <w:t>No Annual</w:t>
            </w:r>
          </w:p>
        </w:tc>
        <w:tc>
          <w:tcPr>
            <w:tcW w:w="1167" w:type="dxa"/>
            <w:tcBorders>
              <w:bottom w:val="nil"/>
            </w:tcBorders>
            <w:shd w:val="clear" w:color="auto" w:fill="EAAC98"/>
          </w:tcPr>
          <w:p>
            <w:pPr>
              <w:pStyle w:val="TableParagraph"/>
              <w:spacing w:line="168" w:lineRule="exact" w:before="74"/>
              <w:ind w:left="77"/>
              <w:rPr>
                <w:sz w:val="15"/>
              </w:rPr>
            </w:pPr>
            <w:r>
              <w:rPr>
                <w:color w:val="231F20"/>
                <w:w w:val="115"/>
                <w:sz w:val="15"/>
              </w:rPr>
              <w:t>No Annual</w:t>
            </w:r>
          </w:p>
        </w:tc>
        <w:tc>
          <w:tcPr>
            <w:tcW w:w="1167" w:type="dxa"/>
            <w:tcBorders>
              <w:bottom w:val="nil"/>
            </w:tcBorders>
            <w:shd w:val="clear" w:color="auto" w:fill="EAAC98"/>
          </w:tcPr>
          <w:p>
            <w:pPr>
              <w:pStyle w:val="TableParagraph"/>
              <w:spacing w:line="168" w:lineRule="exact" w:before="74"/>
              <w:ind w:left="77"/>
              <w:rPr>
                <w:sz w:val="15"/>
              </w:rPr>
            </w:pPr>
            <w:r>
              <w:rPr>
                <w:color w:val="231F20"/>
                <w:w w:val="115"/>
                <w:sz w:val="15"/>
              </w:rPr>
              <w:t>No Annual</w:t>
            </w:r>
          </w:p>
        </w:tc>
        <w:tc>
          <w:tcPr>
            <w:tcW w:w="1167" w:type="dxa"/>
            <w:tcBorders>
              <w:bottom w:val="nil"/>
            </w:tcBorders>
            <w:shd w:val="clear" w:color="auto" w:fill="F3D4AA"/>
          </w:tcPr>
          <w:p>
            <w:pPr>
              <w:pStyle w:val="TableParagraph"/>
              <w:spacing w:line="168" w:lineRule="exact" w:before="74"/>
              <w:ind w:left="76"/>
              <w:rPr>
                <w:sz w:val="15"/>
              </w:rPr>
            </w:pPr>
            <w:r>
              <w:rPr>
                <w:color w:val="231F20"/>
                <w:w w:val="110"/>
                <w:sz w:val="15"/>
              </w:rPr>
              <w:t>Annual Report</w:t>
            </w:r>
          </w:p>
        </w:tc>
      </w:tr>
      <w:tr>
        <w:trPr>
          <w:trHeight w:val="189"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spacing w:line="167" w:lineRule="exact" w:before="2"/>
              <w:ind w:left="79"/>
              <w:rPr>
                <w:sz w:val="15"/>
              </w:rPr>
            </w:pPr>
            <w:r>
              <w:rPr>
                <w:color w:val="231F20"/>
                <w:w w:val="105"/>
                <w:sz w:val="15"/>
              </w:rPr>
              <w:t>Report</w:t>
            </w:r>
          </w:p>
        </w:tc>
        <w:tc>
          <w:tcPr>
            <w:tcW w:w="1191" w:type="dxa"/>
            <w:tcBorders>
              <w:top w:val="nil"/>
              <w:bottom w:val="nil"/>
            </w:tcBorders>
            <w:shd w:val="clear" w:color="auto" w:fill="EAAC98"/>
          </w:tcPr>
          <w:p>
            <w:pPr>
              <w:pStyle w:val="TableParagraph"/>
              <w:spacing w:line="167" w:lineRule="exact" w:before="2"/>
              <w:ind w:left="79"/>
              <w:rPr>
                <w:sz w:val="15"/>
              </w:rPr>
            </w:pPr>
            <w:r>
              <w:rPr>
                <w:color w:val="231F20"/>
                <w:w w:val="105"/>
                <w:sz w:val="15"/>
              </w:rPr>
              <w:t>Report</w:t>
            </w:r>
          </w:p>
        </w:tc>
        <w:tc>
          <w:tcPr>
            <w:tcW w:w="1224" w:type="dxa"/>
            <w:tcBorders>
              <w:top w:val="nil"/>
              <w:bottom w:val="nil"/>
            </w:tcBorders>
            <w:shd w:val="clear" w:color="auto" w:fill="EAAC98"/>
          </w:tcPr>
          <w:p>
            <w:pPr>
              <w:pStyle w:val="TableParagraph"/>
              <w:spacing w:line="167" w:lineRule="exact" w:before="2"/>
              <w:ind w:left="79"/>
              <w:rPr>
                <w:sz w:val="15"/>
              </w:rPr>
            </w:pPr>
            <w:r>
              <w:rPr>
                <w:color w:val="231F20"/>
                <w:w w:val="105"/>
                <w:sz w:val="15"/>
              </w:rPr>
              <w:t>Report</w:t>
            </w:r>
          </w:p>
        </w:tc>
        <w:tc>
          <w:tcPr>
            <w:tcW w:w="1229" w:type="dxa"/>
            <w:tcBorders>
              <w:top w:val="nil"/>
              <w:bottom w:val="nil"/>
            </w:tcBorders>
            <w:shd w:val="clear" w:color="auto" w:fill="EAAC98"/>
          </w:tcPr>
          <w:p>
            <w:pPr>
              <w:pStyle w:val="TableParagraph"/>
              <w:spacing w:line="167" w:lineRule="exact" w:before="2"/>
              <w:ind w:left="78"/>
              <w:rPr>
                <w:sz w:val="15"/>
              </w:rPr>
            </w:pPr>
            <w:r>
              <w:rPr>
                <w:color w:val="231F20"/>
                <w:w w:val="105"/>
                <w:sz w:val="15"/>
              </w:rPr>
              <w:t>Report</w:t>
            </w:r>
          </w:p>
        </w:tc>
        <w:tc>
          <w:tcPr>
            <w:tcW w:w="1167" w:type="dxa"/>
            <w:tcBorders>
              <w:top w:val="nil"/>
              <w:bottom w:val="nil"/>
            </w:tcBorders>
            <w:shd w:val="clear" w:color="auto" w:fill="EAAC98"/>
          </w:tcPr>
          <w:p>
            <w:pPr>
              <w:pStyle w:val="TableParagraph"/>
              <w:spacing w:line="167" w:lineRule="exact" w:before="2"/>
              <w:ind w:left="77"/>
              <w:rPr>
                <w:sz w:val="15"/>
              </w:rPr>
            </w:pPr>
            <w:r>
              <w:rPr>
                <w:color w:val="231F20"/>
                <w:w w:val="105"/>
                <w:sz w:val="15"/>
              </w:rPr>
              <w:t>Report</w:t>
            </w:r>
          </w:p>
        </w:tc>
        <w:tc>
          <w:tcPr>
            <w:tcW w:w="1167" w:type="dxa"/>
            <w:tcBorders>
              <w:top w:val="nil"/>
              <w:bottom w:val="nil"/>
            </w:tcBorders>
            <w:shd w:val="clear" w:color="auto" w:fill="EAAC98"/>
          </w:tcPr>
          <w:p>
            <w:pPr>
              <w:pStyle w:val="TableParagraph"/>
              <w:spacing w:line="167" w:lineRule="exact" w:before="2"/>
              <w:ind w:left="77"/>
              <w:rPr>
                <w:sz w:val="15"/>
              </w:rPr>
            </w:pPr>
            <w:r>
              <w:rPr>
                <w:color w:val="231F20"/>
                <w:w w:val="105"/>
                <w:sz w:val="15"/>
              </w:rPr>
              <w:t>Report</w:t>
            </w:r>
          </w:p>
        </w:tc>
        <w:tc>
          <w:tcPr>
            <w:tcW w:w="1167" w:type="dxa"/>
            <w:tcBorders>
              <w:top w:val="nil"/>
              <w:bottom w:val="nil"/>
            </w:tcBorders>
            <w:shd w:val="clear" w:color="auto" w:fill="F3D4AA"/>
          </w:tcPr>
          <w:p>
            <w:pPr>
              <w:pStyle w:val="TableParagraph"/>
              <w:spacing w:line="167" w:lineRule="exact" w:before="2"/>
              <w:ind w:left="76"/>
              <w:rPr>
                <w:sz w:val="15"/>
              </w:rPr>
            </w:pPr>
            <w:r>
              <w:rPr>
                <w:color w:val="231F20"/>
                <w:w w:val="110"/>
                <w:sz w:val="15"/>
              </w:rPr>
              <w:t>2016/2017</w:t>
            </w:r>
          </w:p>
        </w:tc>
      </w:tr>
      <w:tr>
        <w:trPr>
          <w:trHeight w:val="190"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EAAC98"/>
          </w:tcPr>
          <w:p>
            <w:pPr>
              <w:pStyle w:val="TableParagraph"/>
              <w:rPr>
                <w:rFonts w:ascii="Times New Roman"/>
                <w:sz w:val="12"/>
              </w:rPr>
            </w:pPr>
          </w:p>
        </w:tc>
        <w:tc>
          <w:tcPr>
            <w:tcW w:w="1224" w:type="dxa"/>
            <w:tcBorders>
              <w:top w:val="nil"/>
              <w:bottom w:val="nil"/>
            </w:tcBorders>
            <w:shd w:val="clear" w:color="auto" w:fill="EAAC98"/>
          </w:tcPr>
          <w:p>
            <w:pPr>
              <w:pStyle w:val="TableParagraph"/>
              <w:rPr>
                <w:rFonts w:ascii="Times New Roman"/>
                <w:sz w:val="12"/>
              </w:rPr>
            </w:pPr>
          </w:p>
        </w:tc>
        <w:tc>
          <w:tcPr>
            <w:tcW w:w="1229"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F3D4AA"/>
          </w:tcPr>
          <w:p>
            <w:pPr>
              <w:pStyle w:val="TableParagraph"/>
              <w:spacing w:line="167" w:lineRule="exact" w:before="2"/>
              <w:ind w:left="76"/>
              <w:rPr>
                <w:sz w:val="15"/>
              </w:rPr>
            </w:pPr>
            <w:r>
              <w:rPr>
                <w:color w:val="231F20"/>
                <w:w w:val="105"/>
                <w:sz w:val="15"/>
              </w:rPr>
              <w:t>finalised but</w:t>
            </w:r>
          </w:p>
        </w:tc>
      </w:tr>
      <w:tr>
        <w:trPr>
          <w:trHeight w:val="190"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EAAC98"/>
          </w:tcPr>
          <w:p>
            <w:pPr>
              <w:pStyle w:val="TableParagraph"/>
              <w:rPr>
                <w:rFonts w:ascii="Times New Roman"/>
                <w:sz w:val="12"/>
              </w:rPr>
            </w:pPr>
          </w:p>
        </w:tc>
        <w:tc>
          <w:tcPr>
            <w:tcW w:w="1224" w:type="dxa"/>
            <w:tcBorders>
              <w:top w:val="nil"/>
              <w:bottom w:val="nil"/>
            </w:tcBorders>
            <w:shd w:val="clear" w:color="auto" w:fill="EAAC98"/>
          </w:tcPr>
          <w:p>
            <w:pPr>
              <w:pStyle w:val="TableParagraph"/>
              <w:rPr>
                <w:rFonts w:ascii="Times New Roman"/>
                <w:sz w:val="12"/>
              </w:rPr>
            </w:pPr>
          </w:p>
        </w:tc>
        <w:tc>
          <w:tcPr>
            <w:tcW w:w="1229"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F3D4AA"/>
          </w:tcPr>
          <w:p>
            <w:pPr>
              <w:pStyle w:val="TableParagraph"/>
              <w:spacing w:line="167" w:lineRule="exact" w:before="2"/>
              <w:ind w:left="76"/>
              <w:rPr>
                <w:sz w:val="15"/>
              </w:rPr>
            </w:pPr>
            <w:r>
              <w:rPr>
                <w:color w:val="231F20"/>
                <w:w w:val="105"/>
                <w:sz w:val="15"/>
              </w:rPr>
              <w:t>cannot be</w:t>
            </w:r>
          </w:p>
        </w:tc>
      </w:tr>
      <w:tr>
        <w:trPr>
          <w:trHeight w:val="190"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EAAC98"/>
          </w:tcPr>
          <w:p>
            <w:pPr>
              <w:pStyle w:val="TableParagraph"/>
              <w:rPr>
                <w:rFonts w:ascii="Times New Roman"/>
                <w:sz w:val="12"/>
              </w:rPr>
            </w:pPr>
          </w:p>
        </w:tc>
        <w:tc>
          <w:tcPr>
            <w:tcW w:w="1224" w:type="dxa"/>
            <w:tcBorders>
              <w:top w:val="nil"/>
              <w:bottom w:val="nil"/>
            </w:tcBorders>
            <w:shd w:val="clear" w:color="auto" w:fill="EAAC98"/>
          </w:tcPr>
          <w:p>
            <w:pPr>
              <w:pStyle w:val="TableParagraph"/>
              <w:rPr>
                <w:rFonts w:ascii="Times New Roman"/>
                <w:sz w:val="12"/>
              </w:rPr>
            </w:pPr>
          </w:p>
        </w:tc>
        <w:tc>
          <w:tcPr>
            <w:tcW w:w="1229"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F3D4AA"/>
          </w:tcPr>
          <w:p>
            <w:pPr>
              <w:pStyle w:val="TableParagraph"/>
              <w:spacing w:line="167" w:lineRule="exact" w:before="2"/>
              <w:ind w:left="76"/>
              <w:rPr>
                <w:sz w:val="15"/>
              </w:rPr>
            </w:pPr>
            <w:r>
              <w:rPr>
                <w:color w:val="231F20"/>
                <w:w w:val="110"/>
                <w:sz w:val="15"/>
              </w:rPr>
              <w:t>accessed by</w:t>
            </w:r>
          </w:p>
        </w:tc>
      </w:tr>
      <w:tr>
        <w:trPr>
          <w:trHeight w:val="220" w:hRule="atLeast"/>
        </w:trPr>
        <w:tc>
          <w:tcPr>
            <w:tcW w:w="1110" w:type="dxa"/>
            <w:tcBorders>
              <w:top w:val="nil"/>
            </w:tcBorders>
            <w:shd w:val="clear" w:color="auto" w:fill="D5E0E3"/>
          </w:tcPr>
          <w:p>
            <w:pPr>
              <w:pStyle w:val="TableParagraph"/>
              <w:rPr>
                <w:rFonts w:ascii="Times New Roman"/>
                <w:sz w:val="14"/>
              </w:rPr>
            </w:pPr>
          </w:p>
        </w:tc>
        <w:tc>
          <w:tcPr>
            <w:tcW w:w="1172" w:type="dxa"/>
            <w:tcBorders>
              <w:top w:val="nil"/>
            </w:tcBorders>
            <w:shd w:val="clear" w:color="auto" w:fill="EAAC98"/>
          </w:tcPr>
          <w:p>
            <w:pPr>
              <w:pStyle w:val="TableParagraph"/>
              <w:rPr>
                <w:rFonts w:ascii="Times New Roman"/>
                <w:sz w:val="14"/>
              </w:rPr>
            </w:pPr>
          </w:p>
        </w:tc>
        <w:tc>
          <w:tcPr>
            <w:tcW w:w="1191" w:type="dxa"/>
            <w:tcBorders>
              <w:top w:val="nil"/>
            </w:tcBorders>
            <w:shd w:val="clear" w:color="auto" w:fill="EAAC98"/>
          </w:tcPr>
          <w:p>
            <w:pPr>
              <w:pStyle w:val="TableParagraph"/>
              <w:rPr>
                <w:rFonts w:ascii="Times New Roman"/>
                <w:sz w:val="14"/>
              </w:rPr>
            </w:pPr>
          </w:p>
        </w:tc>
        <w:tc>
          <w:tcPr>
            <w:tcW w:w="1224" w:type="dxa"/>
            <w:tcBorders>
              <w:top w:val="nil"/>
            </w:tcBorders>
            <w:shd w:val="clear" w:color="auto" w:fill="EAAC98"/>
          </w:tcPr>
          <w:p>
            <w:pPr>
              <w:pStyle w:val="TableParagraph"/>
              <w:rPr>
                <w:rFonts w:ascii="Times New Roman"/>
                <w:sz w:val="14"/>
              </w:rPr>
            </w:pPr>
          </w:p>
        </w:tc>
        <w:tc>
          <w:tcPr>
            <w:tcW w:w="1229" w:type="dxa"/>
            <w:tcBorders>
              <w:top w:val="nil"/>
            </w:tcBorders>
            <w:shd w:val="clear" w:color="auto" w:fill="EAAC98"/>
          </w:tcPr>
          <w:p>
            <w:pPr>
              <w:pStyle w:val="TableParagraph"/>
              <w:rPr>
                <w:rFonts w:ascii="Times New Roman"/>
                <w:sz w:val="14"/>
              </w:rPr>
            </w:pPr>
          </w:p>
        </w:tc>
        <w:tc>
          <w:tcPr>
            <w:tcW w:w="1167" w:type="dxa"/>
            <w:tcBorders>
              <w:top w:val="nil"/>
            </w:tcBorders>
            <w:shd w:val="clear" w:color="auto" w:fill="EAAC98"/>
          </w:tcPr>
          <w:p>
            <w:pPr>
              <w:pStyle w:val="TableParagraph"/>
              <w:rPr>
                <w:rFonts w:ascii="Times New Roman"/>
                <w:sz w:val="14"/>
              </w:rPr>
            </w:pPr>
          </w:p>
        </w:tc>
        <w:tc>
          <w:tcPr>
            <w:tcW w:w="1167" w:type="dxa"/>
            <w:tcBorders>
              <w:top w:val="nil"/>
            </w:tcBorders>
            <w:shd w:val="clear" w:color="auto" w:fill="EAAC98"/>
          </w:tcPr>
          <w:p>
            <w:pPr>
              <w:pStyle w:val="TableParagraph"/>
              <w:rPr>
                <w:rFonts w:ascii="Times New Roman"/>
                <w:sz w:val="14"/>
              </w:rPr>
            </w:pPr>
          </w:p>
        </w:tc>
        <w:tc>
          <w:tcPr>
            <w:tcW w:w="1167" w:type="dxa"/>
            <w:tcBorders>
              <w:top w:val="nil"/>
            </w:tcBorders>
            <w:shd w:val="clear" w:color="auto" w:fill="F3D4AA"/>
          </w:tcPr>
          <w:p>
            <w:pPr>
              <w:pStyle w:val="TableParagraph"/>
              <w:spacing w:before="2"/>
              <w:ind w:left="76"/>
              <w:rPr>
                <w:sz w:val="15"/>
              </w:rPr>
            </w:pPr>
            <w:r>
              <w:rPr>
                <w:color w:val="231F20"/>
                <w:w w:val="110"/>
                <w:sz w:val="15"/>
              </w:rPr>
              <w:t>the public.</w:t>
            </w:r>
          </w:p>
        </w:tc>
      </w:tr>
      <w:tr>
        <w:trPr>
          <w:trHeight w:val="262" w:hRule="atLeast"/>
        </w:trPr>
        <w:tc>
          <w:tcPr>
            <w:tcW w:w="1110" w:type="dxa"/>
            <w:tcBorders>
              <w:bottom w:val="nil"/>
            </w:tcBorders>
            <w:shd w:val="clear" w:color="auto" w:fill="D5E0E3"/>
          </w:tcPr>
          <w:p>
            <w:pPr>
              <w:pStyle w:val="TableParagraph"/>
              <w:spacing w:line="167" w:lineRule="exact" w:before="75"/>
              <w:ind w:left="80"/>
              <w:rPr>
                <w:b/>
                <w:sz w:val="15"/>
              </w:rPr>
            </w:pPr>
            <w:r>
              <w:rPr>
                <w:b/>
                <w:color w:val="231F20"/>
                <w:w w:val="110"/>
                <w:sz w:val="15"/>
              </w:rPr>
              <w:t>Niue</w:t>
            </w:r>
          </w:p>
        </w:tc>
        <w:tc>
          <w:tcPr>
            <w:tcW w:w="1172" w:type="dxa"/>
            <w:tcBorders>
              <w:bottom w:val="nil"/>
            </w:tcBorders>
            <w:shd w:val="clear" w:color="auto" w:fill="EAAC98"/>
          </w:tcPr>
          <w:p>
            <w:pPr>
              <w:pStyle w:val="TableParagraph"/>
              <w:spacing w:line="168" w:lineRule="exact" w:before="74"/>
              <w:ind w:left="79"/>
              <w:rPr>
                <w:sz w:val="15"/>
              </w:rPr>
            </w:pPr>
            <w:r>
              <w:rPr>
                <w:color w:val="231F20"/>
                <w:w w:val="115"/>
                <w:sz w:val="15"/>
              </w:rPr>
              <w:t>No Annual</w:t>
            </w:r>
          </w:p>
        </w:tc>
        <w:tc>
          <w:tcPr>
            <w:tcW w:w="1191" w:type="dxa"/>
            <w:tcBorders>
              <w:bottom w:val="nil"/>
            </w:tcBorders>
            <w:shd w:val="clear" w:color="auto" w:fill="D8E3CE"/>
          </w:tcPr>
          <w:p>
            <w:pPr>
              <w:pStyle w:val="TableParagraph"/>
              <w:spacing w:line="168" w:lineRule="exact" w:before="74"/>
              <w:ind w:left="79"/>
              <w:rPr>
                <w:sz w:val="15"/>
              </w:rPr>
            </w:pPr>
            <w:r>
              <w:rPr>
                <w:color w:val="231F20"/>
                <w:w w:val="105"/>
                <w:sz w:val="15"/>
              </w:rPr>
              <w:t>Department</w:t>
            </w:r>
          </w:p>
        </w:tc>
        <w:tc>
          <w:tcPr>
            <w:tcW w:w="1224" w:type="dxa"/>
            <w:tcBorders>
              <w:bottom w:val="nil"/>
            </w:tcBorders>
            <w:shd w:val="clear" w:color="auto" w:fill="D8E3CE"/>
          </w:tcPr>
          <w:p>
            <w:pPr>
              <w:pStyle w:val="TableParagraph"/>
              <w:spacing w:line="168" w:lineRule="exact" w:before="74"/>
              <w:ind w:left="79"/>
              <w:rPr>
                <w:sz w:val="15"/>
              </w:rPr>
            </w:pPr>
            <w:r>
              <w:rPr>
                <w:color w:val="231F20"/>
                <w:w w:val="115"/>
                <w:sz w:val="15"/>
              </w:rPr>
              <w:t>High Court</w:t>
            </w:r>
          </w:p>
        </w:tc>
        <w:tc>
          <w:tcPr>
            <w:tcW w:w="1229" w:type="dxa"/>
            <w:tcBorders>
              <w:bottom w:val="nil"/>
            </w:tcBorders>
            <w:shd w:val="clear" w:color="auto" w:fill="D8E3CE"/>
          </w:tcPr>
          <w:p>
            <w:pPr>
              <w:pStyle w:val="TableParagraph"/>
              <w:spacing w:line="168" w:lineRule="exact" w:before="74"/>
              <w:ind w:left="78"/>
              <w:rPr>
                <w:sz w:val="15"/>
              </w:rPr>
            </w:pPr>
            <w:r>
              <w:rPr>
                <w:color w:val="231F20"/>
                <w:w w:val="115"/>
                <w:sz w:val="15"/>
              </w:rPr>
              <w:t>High Court</w:t>
            </w:r>
          </w:p>
        </w:tc>
        <w:tc>
          <w:tcPr>
            <w:tcW w:w="1167" w:type="dxa"/>
            <w:tcBorders>
              <w:bottom w:val="nil"/>
            </w:tcBorders>
            <w:shd w:val="clear" w:color="auto" w:fill="F3D4AA"/>
          </w:tcPr>
          <w:p>
            <w:pPr>
              <w:pStyle w:val="TableParagraph"/>
              <w:spacing w:line="168" w:lineRule="exact" w:before="74"/>
              <w:ind w:left="77"/>
              <w:rPr>
                <w:sz w:val="15"/>
              </w:rPr>
            </w:pPr>
            <w:r>
              <w:rPr>
                <w:color w:val="231F20"/>
                <w:w w:val="115"/>
                <w:sz w:val="15"/>
              </w:rPr>
              <w:t>High Court</w:t>
            </w:r>
          </w:p>
        </w:tc>
        <w:tc>
          <w:tcPr>
            <w:tcW w:w="1167" w:type="dxa"/>
            <w:tcBorders>
              <w:bottom w:val="nil"/>
            </w:tcBorders>
            <w:shd w:val="clear" w:color="auto" w:fill="EAAC98"/>
          </w:tcPr>
          <w:p>
            <w:pPr>
              <w:pStyle w:val="TableParagraph"/>
              <w:spacing w:line="168" w:lineRule="exact" w:before="74"/>
              <w:ind w:left="77"/>
              <w:rPr>
                <w:sz w:val="15"/>
              </w:rPr>
            </w:pPr>
            <w:r>
              <w:rPr>
                <w:color w:val="231F20"/>
                <w:w w:val="115"/>
                <w:sz w:val="15"/>
              </w:rPr>
              <w:t>No Annual</w:t>
            </w:r>
          </w:p>
        </w:tc>
        <w:tc>
          <w:tcPr>
            <w:tcW w:w="1167" w:type="dxa"/>
            <w:tcBorders>
              <w:bottom w:val="nil"/>
            </w:tcBorders>
            <w:shd w:val="clear" w:color="auto" w:fill="EAAC98"/>
          </w:tcPr>
          <w:p>
            <w:pPr>
              <w:pStyle w:val="TableParagraph"/>
              <w:spacing w:line="168" w:lineRule="exact" w:before="74"/>
              <w:ind w:left="76"/>
              <w:rPr>
                <w:sz w:val="15"/>
              </w:rPr>
            </w:pPr>
            <w:r>
              <w:rPr>
                <w:color w:val="231F20"/>
                <w:w w:val="115"/>
                <w:sz w:val="15"/>
              </w:rPr>
              <w:t>No Annual</w:t>
            </w:r>
          </w:p>
        </w:tc>
      </w:tr>
      <w:tr>
        <w:trPr>
          <w:trHeight w:val="189"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spacing w:line="167" w:lineRule="exact" w:before="2"/>
              <w:ind w:left="79"/>
              <w:rPr>
                <w:sz w:val="15"/>
              </w:rPr>
            </w:pPr>
            <w:r>
              <w:rPr>
                <w:color w:val="231F20"/>
                <w:w w:val="105"/>
                <w:sz w:val="15"/>
              </w:rPr>
              <w:t>Report</w:t>
            </w:r>
          </w:p>
        </w:tc>
        <w:tc>
          <w:tcPr>
            <w:tcW w:w="1191" w:type="dxa"/>
            <w:tcBorders>
              <w:top w:val="nil"/>
              <w:bottom w:val="nil"/>
            </w:tcBorders>
            <w:shd w:val="clear" w:color="auto" w:fill="D8E3CE"/>
          </w:tcPr>
          <w:p>
            <w:pPr>
              <w:pStyle w:val="TableParagraph"/>
              <w:spacing w:line="167" w:lineRule="exact" w:before="2"/>
              <w:ind w:left="79"/>
              <w:rPr>
                <w:sz w:val="15"/>
              </w:rPr>
            </w:pPr>
            <w:r>
              <w:rPr>
                <w:color w:val="231F20"/>
                <w:w w:val="105"/>
                <w:sz w:val="15"/>
              </w:rPr>
              <w:t>of Justice</w:t>
            </w:r>
          </w:p>
        </w:tc>
        <w:tc>
          <w:tcPr>
            <w:tcW w:w="1224" w:type="dxa"/>
            <w:tcBorders>
              <w:top w:val="nil"/>
              <w:bottom w:val="nil"/>
            </w:tcBorders>
            <w:shd w:val="clear" w:color="auto" w:fill="D8E3CE"/>
          </w:tcPr>
          <w:p>
            <w:pPr>
              <w:pStyle w:val="TableParagraph"/>
              <w:spacing w:line="167" w:lineRule="exact" w:before="2"/>
              <w:ind w:left="79"/>
              <w:rPr>
                <w:sz w:val="15"/>
              </w:rPr>
            </w:pPr>
            <w:r>
              <w:rPr>
                <w:color w:val="231F20"/>
                <w:w w:val="115"/>
                <w:sz w:val="15"/>
              </w:rPr>
              <w:t>Land Division</w:t>
            </w:r>
          </w:p>
        </w:tc>
        <w:tc>
          <w:tcPr>
            <w:tcW w:w="1229" w:type="dxa"/>
            <w:tcBorders>
              <w:top w:val="nil"/>
              <w:bottom w:val="nil"/>
            </w:tcBorders>
            <w:shd w:val="clear" w:color="auto" w:fill="D8E3CE"/>
          </w:tcPr>
          <w:p>
            <w:pPr>
              <w:pStyle w:val="TableParagraph"/>
              <w:spacing w:line="167" w:lineRule="exact" w:before="2"/>
              <w:ind w:left="78"/>
              <w:rPr>
                <w:sz w:val="15"/>
              </w:rPr>
            </w:pPr>
            <w:r>
              <w:rPr>
                <w:color w:val="231F20"/>
                <w:w w:val="110"/>
                <w:sz w:val="15"/>
              </w:rPr>
              <w:t>Annual Report</w:t>
            </w:r>
          </w:p>
        </w:tc>
        <w:tc>
          <w:tcPr>
            <w:tcW w:w="1167" w:type="dxa"/>
            <w:tcBorders>
              <w:top w:val="nil"/>
              <w:bottom w:val="nil"/>
            </w:tcBorders>
            <w:shd w:val="clear" w:color="auto" w:fill="F3D4AA"/>
          </w:tcPr>
          <w:p>
            <w:pPr>
              <w:pStyle w:val="TableParagraph"/>
              <w:spacing w:line="167" w:lineRule="exact" w:before="2"/>
              <w:ind w:left="77"/>
              <w:rPr>
                <w:sz w:val="15"/>
              </w:rPr>
            </w:pPr>
            <w:r>
              <w:rPr>
                <w:color w:val="231F20"/>
                <w:w w:val="115"/>
                <w:sz w:val="15"/>
              </w:rPr>
              <w:t>Land Division</w:t>
            </w:r>
          </w:p>
        </w:tc>
        <w:tc>
          <w:tcPr>
            <w:tcW w:w="1167" w:type="dxa"/>
            <w:tcBorders>
              <w:top w:val="nil"/>
              <w:bottom w:val="nil"/>
            </w:tcBorders>
            <w:shd w:val="clear" w:color="auto" w:fill="EAAC98"/>
          </w:tcPr>
          <w:p>
            <w:pPr>
              <w:pStyle w:val="TableParagraph"/>
              <w:spacing w:line="167" w:lineRule="exact" w:before="2"/>
              <w:ind w:left="77"/>
              <w:rPr>
                <w:sz w:val="15"/>
              </w:rPr>
            </w:pPr>
            <w:r>
              <w:rPr>
                <w:color w:val="231F20"/>
                <w:w w:val="105"/>
                <w:sz w:val="15"/>
              </w:rPr>
              <w:t>Report</w:t>
            </w:r>
          </w:p>
        </w:tc>
        <w:tc>
          <w:tcPr>
            <w:tcW w:w="1167" w:type="dxa"/>
            <w:tcBorders>
              <w:top w:val="nil"/>
              <w:bottom w:val="nil"/>
            </w:tcBorders>
            <w:shd w:val="clear" w:color="auto" w:fill="EAAC98"/>
          </w:tcPr>
          <w:p>
            <w:pPr>
              <w:pStyle w:val="TableParagraph"/>
              <w:spacing w:line="167" w:lineRule="exact" w:before="2"/>
              <w:ind w:left="76"/>
              <w:rPr>
                <w:sz w:val="15"/>
              </w:rPr>
            </w:pPr>
            <w:r>
              <w:rPr>
                <w:color w:val="231F20"/>
                <w:w w:val="105"/>
                <w:sz w:val="15"/>
              </w:rPr>
              <w:t>Report</w:t>
            </w:r>
          </w:p>
        </w:tc>
      </w:tr>
      <w:tr>
        <w:trPr>
          <w:trHeight w:val="190"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D8E3CE"/>
          </w:tcPr>
          <w:p>
            <w:pPr>
              <w:pStyle w:val="TableParagraph"/>
              <w:spacing w:line="167" w:lineRule="exact" w:before="2"/>
              <w:ind w:left="79"/>
              <w:rPr>
                <w:sz w:val="15"/>
              </w:rPr>
            </w:pPr>
            <w:r>
              <w:rPr>
                <w:color w:val="231F20"/>
                <w:w w:val="110"/>
                <w:sz w:val="15"/>
              </w:rPr>
              <w:t>Annual Report</w:t>
            </w:r>
          </w:p>
        </w:tc>
        <w:tc>
          <w:tcPr>
            <w:tcW w:w="1224" w:type="dxa"/>
            <w:tcBorders>
              <w:top w:val="nil"/>
              <w:bottom w:val="nil"/>
            </w:tcBorders>
            <w:shd w:val="clear" w:color="auto" w:fill="D8E3CE"/>
          </w:tcPr>
          <w:p>
            <w:pPr>
              <w:pStyle w:val="TableParagraph"/>
              <w:spacing w:line="167" w:lineRule="exact" w:before="2"/>
              <w:ind w:left="79"/>
              <w:rPr>
                <w:sz w:val="15"/>
              </w:rPr>
            </w:pPr>
            <w:r>
              <w:rPr>
                <w:color w:val="231F20"/>
                <w:w w:val="110"/>
                <w:sz w:val="15"/>
              </w:rPr>
              <w:t>Annual Report</w:t>
            </w:r>
          </w:p>
        </w:tc>
        <w:tc>
          <w:tcPr>
            <w:tcW w:w="1229" w:type="dxa"/>
            <w:tcBorders>
              <w:top w:val="nil"/>
              <w:bottom w:val="nil"/>
            </w:tcBorders>
            <w:shd w:val="clear" w:color="auto" w:fill="D8E3CE"/>
          </w:tcPr>
          <w:p>
            <w:pPr>
              <w:pStyle w:val="TableParagraph"/>
              <w:spacing w:line="167" w:lineRule="exact" w:before="2"/>
              <w:ind w:left="78"/>
              <w:rPr>
                <w:sz w:val="15"/>
              </w:rPr>
            </w:pPr>
            <w:r>
              <w:rPr>
                <w:color w:val="231F20"/>
                <w:w w:val="110"/>
                <w:sz w:val="15"/>
              </w:rPr>
              <w:t>2013/2014 can</w:t>
            </w:r>
          </w:p>
        </w:tc>
        <w:tc>
          <w:tcPr>
            <w:tcW w:w="1167" w:type="dxa"/>
            <w:tcBorders>
              <w:top w:val="nil"/>
              <w:bottom w:val="nil"/>
            </w:tcBorders>
            <w:shd w:val="clear" w:color="auto" w:fill="F3D4AA"/>
          </w:tcPr>
          <w:p>
            <w:pPr>
              <w:pStyle w:val="TableParagraph"/>
              <w:spacing w:line="167" w:lineRule="exact" w:before="2"/>
              <w:ind w:left="77"/>
              <w:rPr>
                <w:sz w:val="15"/>
              </w:rPr>
            </w:pPr>
            <w:r>
              <w:rPr>
                <w:color w:val="231F20"/>
                <w:w w:val="110"/>
                <w:sz w:val="15"/>
              </w:rPr>
              <w:t>Annual Report</w:t>
            </w:r>
          </w:p>
        </w:tc>
        <w:tc>
          <w:tcPr>
            <w:tcW w:w="1167"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EAAC98"/>
          </w:tcPr>
          <w:p>
            <w:pPr>
              <w:pStyle w:val="TableParagraph"/>
              <w:rPr>
                <w:rFonts w:ascii="Times New Roman"/>
                <w:sz w:val="12"/>
              </w:rPr>
            </w:pPr>
          </w:p>
        </w:tc>
      </w:tr>
      <w:tr>
        <w:trPr>
          <w:trHeight w:val="189"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D8E3CE"/>
          </w:tcPr>
          <w:p>
            <w:pPr>
              <w:pStyle w:val="TableParagraph"/>
              <w:spacing w:line="167" w:lineRule="exact" w:before="2"/>
              <w:ind w:left="79"/>
              <w:rPr>
                <w:sz w:val="15"/>
              </w:rPr>
            </w:pPr>
            <w:r>
              <w:rPr>
                <w:color w:val="231F20"/>
                <w:w w:val="110"/>
                <w:sz w:val="15"/>
              </w:rPr>
              <w:t>2011/2012 can</w:t>
            </w:r>
          </w:p>
        </w:tc>
        <w:tc>
          <w:tcPr>
            <w:tcW w:w="1224" w:type="dxa"/>
            <w:tcBorders>
              <w:top w:val="nil"/>
              <w:bottom w:val="nil"/>
            </w:tcBorders>
            <w:shd w:val="clear" w:color="auto" w:fill="D8E3CE"/>
          </w:tcPr>
          <w:p>
            <w:pPr>
              <w:pStyle w:val="TableParagraph"/>
              <w:spacing w:line="167" w:lineRule="exact" w:before="2"/>
              <w:ind w:left="79"/>
              <w:rPr>
                <w:sz w:val="15"/>
              </w:rPr>
            </w:pPr>
            <w:r>
              <w:rPr>
                <w:color w:val="231F20"/>
                <w:w w:val="110"/>
                <w:sz w:val="15"/>
              </w:rPr>
              <w:t>2012/2013 can</w:t>
            </w:r>
          </w:p>
        </w:tc>
        <w:tc>
          <w:tcPr>
            <w:tcW w:w="1229" w:type="dxa"/>
            <w:tcBorders>
              <w:top w:val="nil"/>
              <w:bottom w:val="nil"/>
            </w:tcBorders>
            <w:shd w:val="clear" w:color="auto" w:fill="D8E3CE"/>
          </w:tcPr>
          <w:p>
            <w:pPr>
              <w:pStyle w:val="TableParagraph"/>
              <w:spacing w:line="167" w:lineRule="exact" w:before="2"/>
              <w:ind w:left="78"/>
              <w:rPr>
                <w:sz w:val="15"/>
              </w:rPr>
            </w:pPr>
            <w:r>
              <w:rPr>
                <w:color w:val="231F20"/>
                <w:w w:val="105"/>
                <w:sz w:val="15"/>
              </w:rPr>
              <w:t>be accessed at:</w:t>
            </w:r>
          </w:p>
        </w:tc>
        <w:tc>
          <w:tcPr>
            <w:tcW w:w="1167" w:type="dxa"/>
            <w:tcBorders>
              <w:top w:val="nil"/>
              <w:bottom w:val="nil"/>
            </w:tcBorders>
            <w:shd w:val="clear" w:color="auto" w:fill="F3D4AA"/>
          </w:tcPr>
          <w:p>
            <w:pPr>
              <w:pStyle w:val="TableParagraph"/>
              <w:spacing w:line="167" w:lineRule="exact" w:before="2"/>
              <w:ind w:left="77"/>
              <w:rPr>
                <w:sz w:val="15"/>
              </w:rPr>
            </w:pPr>
            <w:r>
              <w:rPr>
                <w:color w:val="231F20"/>
                <w:w w:val="110"/>
                <w:sz w:val="15"/>
              </w:rPr>
              <w:t>2014/2015 in</w:t>
            </w:r>
          </w:p>
        </w:tc>
        <w:tc>
          <w:tcPr>
            <w:tcW w:w="1167"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EAAC98"/>
          </w:tcPr>
          <w:p>
            <w:pPr>
              <w:pStyle w:val="TableParagraph"/>
              <w:rPr>
                <w:rFonts w:ascii="Times New Roman"/>
                <w:sz w:val="12"/>
              </w:rPr>
            </w:pPr>
          </w:p>
        </w:tc>
      </w:tr>
      <w:tr>
        <w:trPr>
          <w:trHeight w:val="190"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D8E3CE"/>
          </w:tcPr>
          <w:p>
            <w:pPr>
              <w:pStyle w:val="TableParagraph"/>
              <w:spacing w:line="167" w:lineRule="exact" w:before="2"/>
              <w:ind w:left="79"/>
              <w:rPr>
                <w:sz w:val="15"/>
              </w:rPr>
            </w:pPr>
            <w:r>
              <w:rPr>
                <w:color w:val="231F20"/>
                <w:w w:val="105"/>
                <w:sz w:val="15"/>
              </w:rPr>
              <w:t>be accessed at:</w:t>
            </w:r>
          </w:p>
        </w:tc>
        <w:tc>
          <w:tcPr>
            <w:tcW w:w="1224" w:type="dxa"/>
            <w:tcBorders>
              <w:top w:val="nil"/>
              <w:bottom w:val="nil"/>
            </w:tcBorders>
            <w:shd w:val="clear" w:color="auto" w:fill="D8E3CE"/>
          </w:tcPr>
          <w:p>
            <w:pPr>
              <w:pStyle w:val="TableParagraph"/>
              <w:spacing w:line="167" w:lineRule="exact" w:before="2"/>
              <w:ind w:left="79"/>
              <w:rPr>
                <w:sz w:val="15"/>
              </w:rPr>
            </w:pPr>
            <w:r>
              <w:rPr>
                <w:color w:val="231F20"/>
                <w:w w:val="105"/>
                <w:sz w:val="15"/>
              </w:rPr>
              <w:t>be accessed at:</w:t>
            </w:r>
          </w:p>
        </w:tc>
        <w:tc>
          <w:tcPr>
            <w:tcW w:w="1229" w:type="dxa"/>
            <w:tcBorders>
              <w:top w:val="nil"/>
              <w:bottom w:val="nil"/>
            </w:tcBorders>
            <w:shd w:val="clear" w:color="auto" w:fill="D8E3CE"/>
          </w:tcPr>
          <w:p>
            <w:pPr>
              <w:pStyle w:val="TableParagraph"/>
              <w:spacing w:line="167" w:lineRule="exact" w:before="2"/>
              <w:ind w:left="78"/>
              <w:rPr>
                <w:b/>
                <w:sz w:val="15"/>
              </w:rPr>
            </w:pPr>
            <w:hyperlink r:id="rId82">
              <w:r>
                <w:rPr>
                  <w:b/>
                  <w:color w:val="00403F"/>
                  <w:w w:val="110"/>
                  <w:sz w:val="15"/>
                </w:rPr>
                <w:t>www.paclii.org</w:t>
              </w:r>
            </w:hyperlink>
          </w:p>
        </w:tc>
        <w:tc>
          <w:tcPr>
            <w:tcW w:w="1167" w:type="dxa"/>
            <w:tcBorders>
              <w:top w:val="nil"/>
              <w:bottom w:val="nil"/>
            </w:tcBorders>
            <w:shd w:val="clear" w:color="auto" w:fill="F3D4AA"/>
          </w:tcPr>
          <w:p>
            <w:pPr>
              <w:pStyle w:val="TableParagraph"/>
              <w:spacing w:line="167" w:lineRule="exact" w:before="2"/>
              <w:ind w:left="77"/>
              <w:rPr>
                <w:sz w:val="15"/>
              </w:rPr>
            </w:pPr>
            <w:r>
              <w:rPr>
                <w:color w:val="231F20"/>
                <w:sz w:val="15"/>
              </w:rPr>
              <w:t>draft format but</w:t>
            </w:r>
          </w:p>
        </w:tc>
        <w:tc>
          <w:tcPr>
            <w:tcW w:w="1167" w:type="dxa"/>
            <w:tcBorders>
              <w:top w:val="nil"/>
              <w:bottom w:val="nil"/>
            </w:tcBorders>
            <w:shd w:val="clear" w:color="auto" w:fill="EAAC98"/>
          </w:tcPr>
          <w:p>
            <w:pPr>
              <w:pStyle w:val="TableParagraph"/>
              <w:rPr>
                <w:rFonts w:ascii="Times New Roman"/>
                <w:sz w:val="12"/>
              </w:rPr>
            </w:pPr>
          </w:p>
        </w:tc>
        <w:tc>
          <w:tcPr>
            <w:tcW w:w="1167" w:type="dxa"/>
            <w:tcBorders>
              <w:top w:val="nil"/>
              <w:bottom w:val="nil"/>
            </w:tcBorders>
            <w:shd w:val="clear" w:color="auto" w:fill="EAAC98"/>
          </w:tcPr>
          <w:p>
            <w:pPr>
              <w:pStyle w:val="TableParagraph"/>
              <w:rPr>
                <w:rFonts w:ascii="Times New Roman"/>
                <w:sz w:val="12"/>
              </w:rPr>
            </w:pPr>
          </w:p>
        </w:tc>
      </w:tr>
      <w:tr>
        <w:trPr>
          <w:trHeight w:val="220" w:hRule="atLeast"/>
        </w:trPr>
        <w:tc>
          <w:tcPr>
            <w:tcW w:w="1110" w:type="dxa"/>
            <w:tcBorders>
              <w:top w:val="nil"/>
            </w:tcBorders>
            <w:shd w:val="clear" w:color="auto" w:fill="D5E0E3"/>
          </w:tcPr>
          <w:p>
            <w:pPr>
              <w:pStyle w:val="TableParagraph"/>
              <w:rPr>
                <w:rFonts w:ascii="Times New Roman"/>
                <w:sz w:val="14"/>
              </w:rPr>
            </w:pPr>
          </w:p>
        </w:tc>
        <w:tc>
          <w:tcPr>
            <w:tcW w:w="1172" w:type="dxa"/>
            <w:tcBorders>
              <w:top w:val="nil"/>
            </w:tcBorders>
            <w:shd w:val="clear" w:color="auto" w:fill="EAAC98"/>
          </w:tcPr>
          <w:p>
            <w:pPr>
              <w:pStyle w:val="TableParagraph"/>
              <w:rPr>
                <w:rFonts w:ascii="Times New Roman"/>
                <w:sz w:val="14"/>
              </w:rPr>
            </w:pPr>
          </w:p>
        </w:tc>
        <w:tc>
          <w:tcPr>
            <w:tcW w:w="1191" w:type="dxa"/>
            <w:tcBorders>
              <w:top w:val="nil"/>
            </w:tcBorders>
            <w:shd w:val="clear" w:color="auto" w:fill="D8E3CE"/>
          </w:tcPr>
          <w:p>
            <w:pPr>
              <w:pStyle w:val="TableParagraph"/>
              <w:spacing w:before="2"/>
              <w:ind w:left="79"/>
              <w:rPr>
                <w:b/>
                <w:sz w:val="15"/>
              </w:rPr>
            </w:pPr>
            <w:hyperlink r:id="rId82">
              <w:r>
                <w:rPr>
                  <w:b/>
                  <w:color w:val="00403F"/>
                  <w:w w:val="110"/>
                  <w:sz w:val="15"/>
                </w:rPr>
                <w:t>www.paclii.org</w:t>
              </w:r>
            </w:hyperlink>
          </w:p>
        </w:tc>
        <w:tc>
          <w:tcPr>
            <w:tcW w:w="1224" w:type="dxa"/>
            <w:tcBorders>
              <w:top w:val="nil"/>
            </w:tcBorders>
            <w:shd w:val="clear" w:color="auto" w:fill="D8E3CE"/>
          </w:tcPr>
          <w:p>
            <w:pPr>
              <w:pStyle w:val="TableParagraph"/>
              <w:spacing w:before="2"/>
              <w:ind w:left="79"/>
              <w:rPr>
                <w:b/>
                <w:sz w:val="15"/>
              </w:rPr>
            </w:pPr>
            <w:hyperlink r:id="rId82">
              <w:r>
                <w:rPr>
                  <w:b/>
                  <w:color w:val="00403F"/>
                  <w:w w:val="110"/>
                  <w:sz w:val="15"/>
                </w:rPr>
                <w:t>www.paclii.org</w:t>
              </w:r>
            </w:hyperlink>
          </w:p>
        </w:tc>
        <w:tc>
          <w:tcPr>
            <w:tcW w:w="1229" w:type="dxa"/>
            <w:tcBorders>
              <w:top w:val="nil"/>
            </w:tcBorders>
            <w:shd w:val="clear" w:color="auto" w:fill="D8E3CE"/>
          </w:tcPr>
          <w:p>
            <w:pPr>
              <w:pStyle w:val="TableParagraph"/>
              <w:rPr>
                <w:rFonts w:ascii="Times New Roman"/>
                <w:sz w:val="14"/>
              </w:rPr>
            </w:pPr>
          </w:p>
        </w:tc>
        <w:tc>
          <w:tcPr>
            <w:tcW w:w="1167" w:type="dxa"/>
            <w:tcBorders>
              <w:top w:val="nil"/>
            </w:tcBorders>
            <w:shd w:val="clear" w:color="auto" w:fill="F3D4AA"/>
          </w:tcPr>
          <w:p>
            <w:pPr>
              <w:pStyle w:val="TableParagraph"/>
              <w:spacing w:before="2"/>
              <w:ind w:left="77"/>
              <w:rPr>
                <w:sz w:val="15"/>
              </w:rPr>
            </w:pPr>
            <w:r>
              <w:rPr>
                <w:color w:val="231F20"/>
                <w:w w:val="105"/>
                <w:sz w:val="15"/>
              </w:rPr>
              <w:t>not finalised.</w:t>
            </w:r>
          </w:p>
        </w:tc>
        <w:tc>
          <w:tcPr>
            <w:tcW w:w="1167" w:type="dxa"/>
            <w:tcBorders>
              <w:top w:val="nil"/>
            </w:tcBorders>
            <w:shd w:val="clear" w:color="auto" w:fill="EAAC98"/>
          </w:tcPr>
          <w:p>
            <w:pPr>
              <w:pStyle w:val="TableParagraph"/>
              <w:rPr>
                <w:rFonts w:ascii="Times New Roman"/>
                <w:sz w:val="14"/>
              </w:rPr>
            </w:pPr>
          </w:p>
        </w:tc>
        <w:tc>
          <w:tcPr>
            <w:tcW w:w="1167" w:type="dxa"/>
            <w:tcBorders>
              <w:top w:val="nil"/>
            </w:tcBorders>
            <w:shd w:val="clear" w:color="auto" w:fill="EAAC98"/>
          </w:tcPr>
          <w:p>
            <w:pPr>
              <w:pStyle w:val="TableParagraph"/>
              <w:rPr>
                <w:rFonts w:ascii="Times New Roman"/>
                <w:sz w:val="14"/>
              </w:rPr>
            </w:pPr>
          </w:p>
        </w:tc>
      </w:tr>
      <w:tr>
        <w:trPr>
          <w:trHeight w:val="262" w:hRule="atLeast"/>
        </w:trPr>
        <w:tc>
          <w:tcPr>
            <w:tcW w:w="1110" w:type="dxa"/>
            <w:tcBorders>
              <w:bottom w:val="nil"/>
            </w:tcBorders>
            <w:shd w:val="clear" w:color="auto" w:fill="D5E0E3"/>
          </w:tcPr>
          <w:p>
            <w:pPr>
              <w:pStyle w:val="TableParagraph"/>
              <w:spacing w:line="167" w:lineRule="exact" w:before="75"/>
              <w:ind w:left="80"/>
              <w:rPr>
                <w:b/>
                <w:sz w:val="15"/>
              </w:rPr>
            </w:pPr>
            <w:r>
              <w:rPr>
                <w:b/>
                <w:color w:val="231F20"/>
                <w:w w:val="105"/>
                <w:sz w:val="15"/>
              </w:rPr>
              <w:t>Palau</w:t>
            </w:r>
          </w:p>
        </w:tc>
        <w:tc>
          <w:tcPr>
            <w:tcW w:w="1172" w:type="dxa"/>
            <w:tcBorders>
              <w:bottom w:val="nil"/>
            </w:tcBorders>
            <w:shd w:val="clear" w:color="auto" w:fill="EAAC98"/>
          </w:tcPr>
          <w:p>
            <w:pPr>
              <w:pStyle w:val="TableParagraph"/>
              <w:spacing w:line="168" w:lineRule="exact" w:before="74"/>
              <w:ind w:left="79"/>
              <w:rPr>
                <w:sz w:val="15"/>
              </w:rPr>
            </w:pPr>
            <w:r>
              <w:rPr>
                <w:color w:val="231F20"/>
                <w:w w:val="115"/>
                <w:sz w:val="15"/>
              </w:rPr>
              <w:t>No Annual</w:t>
            </w:r>
          </w:p>
        </w:tc>
        <w:tc>
          <w:tcPr>
            <w:tcW w:w="1191" w:type="dxa"/>
            <w:tcBorders>
              <w:bottom w:val="nil"/>
            </w:tcBorders>
            <w:shd w:val="clear" w:color="auto" w:fill="EAAC98"/>
          </w:tcPr>
          <w:p>
            <w:pPr>
              <w:pStyle w:val="TableParagraph"/>
              <w:spacing w:line="168" w:lineRule="exact" w:before="74"/>
              <w:ind w:left="79"/>
              <w:rPr>
                <w:sz w:val="15"/>
              </w:rPr>
            </w:pPr>
            <w:r>
              <w:rPr>
                <w:color w:val="231F20"/>
                <w:w w:val="115"/>
                <w:sz w:val="15"/>
              </w:rPr>
              <w:t>No Annual</w:t>
            </w:r>
          </w:p>
        </w:tc>
        <w:tc>
          <w:tcPr>
            <w:tcW w:w="1224" w:type="dxa"/>
            <w:tcBorders>
              <w:bottom w:val="nil"/>
            </w:tcBorders>
            <w:shd w:val="clear" w:color="auto" w:fill="D8E3CE"/>
          </w:tcPr>
          <w:p>
            <w:pPr>
              <w:pStyle w:val="TableParagraph"/>
              <w:spacing w:line="168" w:lineRule="exact" w:before="74"/>
              <w:ind w:left="79"/>
              <w:rPr>
                <w:sz w:val="15"/>
              </w:rPr>
            </w:pPr>
            <w:r>
              <w:rPr>
                <w:color w:val="231F20"/>
                <w:w w:val="110"/>
                <w:sz w:val="15"/>
              </w:rPr>
              <w:t>Annual Report</w:t>
            </w:r>
          </w:p>
        </w:tc>
        <w:tc>
          <w:tcPr>
            <w:tcW w:w="1229" w:type="dxa"/>
            <w:tcBorders>
              <w:bottom w:val="nil"/>
            </w:tcBorders>
            <w:shd w:val="clear" w:color="auto" w:fill="D8E3CE"/>
          </w:tcPr>
          <w:p>
            <w:pPr>
              <w:pStyle w:val="TableParagraph"/>
              <w:spacing w:line="168" w:lineRule="exact" w:before="74"/>
              <w:ind w:left="78"/>
              <w:rPr>
                <w:sz w:val="15"/>
              </w:rPr>
            </w:pPr>
            <w:r>
              <w:rPr>
                <w:color w:val="231F20"/>
                <w:w w:val="110"/>
                <w:sz w:val="15"/>
              </w:rPr>
              <w:t>Annual Report</w:t>
            </w:r>
          </w:p>
        </w:tc>
        <w:tc>
          <w:tcPr>
            <w:tcW w:w="1167" w:type="dxa"/>
            <w:tcBorders>
              <w:bottom w:val="nil"/>
            </w:tcBorders>
            <w:shd w:val="clear" w:color="auto" w:fill="D8E3CE"/>
          </w:tcPr>
          <w:p>
            <w:pPr>
              <w:pStyle w:val="TableParagraph"/>
              <w:spacing w:line="168" w:lineRule="exact" w:before="74"/>
              <w:ind w:left="77"/>
              <w:rPr>
                <w:sz w:val="15"/>
              </w:rPr>
            </w:pPr>
            <w:r>
              <w:rPr>
                <w:color w:val="231F20"/>
                <w:w w:val="110"/>
                <w:sz w:val="15"/>
              </w:rPr>
              <w:t>Annual</w:t>
            </w:r>
          </w:p>
        </w:tc>
        <w:tc>
          <w:tcPr>
            <w:tcW w:w="1167" w:type="dxa"/>
            <w:tcBorders>
              <w:bottom w:val="nil"/>
            </w:tcBorders>
            <w:shd w:val="clear" w:color="auto" w:fill="D8E3CE"/>
          </w:tcPr>
          <w:p>
            <w:pPr>
              <w:pStyle w:val="TableParagraph"/>
              <w:spacing w:line="168" w:lineRule="exact" w:before="74"/>
              <w:ind w:left="77"/>
              <w:rPr>
                <w:sz w:val="15"/>
              </w:rPr>
            </w:pPr>
            <w:r>
              <w:rPr>
                <w:color w:val="231F20"/>
                <w:w w:val="110"/>
                <w:sz w:val="15"/>
              </w:rPr>
              <w:t>Annual</w:t>
            </w:r>
          </w:p>
        </w:tc>
        <w:tc>
          <w:tcPr>
            <w:tcW w:w="1167" w:type="dxa"/>
            <w:tcBorders>
              <w:bottom w:val="nil"/>
            </w:tcBorders>
            <w:shd w:val="clear" w:color="auto" w:fill="D8E3CE"/>
          </w:tcPr>
          <w:p>
            <w:pPr>
              <w:pStyle w:val="TableParagraph"/>
              <w:spacing w:line="168" w:lineRule="exact" w:before="74"/>
              <w:ind w:left="76"/>
              <w:rPr>
                <w:sz w:val="15"/>
              </w:rPr>
            </w:pPr>
            <w:r>
              <w:rPr>
                <w:color w:val="231F20"/>
                <w:w w:val="110"/>
                <w:sz w:val="15"/>
              </w:rPr>
              <w:t>Annual</w:t>
            </w:r>
          </w:p>
        </w:tc>
      </w:tr>
      <w:tr>
        <w:trPr>
          <w:trHeight w:val="189"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spacing w:line="167" w:lineRule="exact" w:before="2"/>
              <w:ind w:left="79"/>
              <w:rPr>
                <w:sz w:val="15"/>
              </w:rPr>
            </w:pPr>
            <w:r>
              <w:rPr>
                <w:color w:val="231F20"/>
                <w:w w:val="105"/>
                <w:sz w:val="15"/>
              </w:rPr>
              <w:t>Report for the</w:t>
            </w:r>
          </w:p>
        </w:tc>
        <w:tc>
          <w:tcPr>
            <w:tcW w:w="1191" w:type="dxa"/>
            <w:tcBorders>
              <w:top w:val="nil"/>
              <w:bottom w:val="nil"/>
            </w:tcBorders>
            <w:shd w:val="clear" w:color="auto" w:fill="EAAC98"/>
          </w:tcPr>
          <w:p>
            <w:pPr>
              <w:pStyle w:val="TableParagraph"/>
              <w:spacing w:line="167" w:lineRule="exact" w:before="2"/>
              <w:ind w:left="79"/>
              <w:rPr>
                <w:sz w:val="15"/>
              </w:rPr>
            </w:pPr>
            <w:r>
              <w:rPr>
                <w:color w:val="231F20"/>
                <w:w w:val="105"/>
                <w:sz w:val="15"/>
              </w:rPr>
              <w:t>Report for the</w:t>
            </w:r>
          </w:p>
        </w:tc>
        <w:tc>
          <w:tcPr>
            <w:tcW w:w="1224" w:type="dxa"/>
            <w:tcBorders>
              <w:top w:val="nil"/>
              <w:bottom w:val="nil"/>
            </w:tcBorders>
            <w:shd w:val="clear" w:color="auto" w:fill="D8E3CE"/>
          </w:tcPr>
          <w:p>
            <w:pPr>
              <w:pStyle w:val="TableParagraph"/>
              <w:spacing w:line="167" w:lineRule="exact" w:before="2"/>
              <w:ind w:left="79"/>
              <w:rPr>
                <w:sz w:val="15"/>
              </w:rPr>
            </w:pPr>
            <w:r>
              <w:rPr>
                <w:color w:val="231F20"/>
                <w:w w:val="110"/>
                <w:sz w:val="15"/>
              </w:rPr>
              <w:t>can be accessed</w:t>
            </w:r>
          </w:p>
        </w:tc>
        <w:tc>
          <w:tcPr>
            <w:tcW w:w="1229" w:type="dxa"/>
            <w:tcBorders>
              <w:top w:val="nil"/>
              <w:bottom w:val="nil"/>
            </w:tcBorders>
            <w:shd w:val="clear" w:color="auto" w:fill="D8E3CE"/>
          </w:tcPr>
          <w:p>
            <w:pPr>
              <w:pStyle w:val="TableParagraph"/>
              <w:spacing w:line="167" w:lineRule="exact" w:before="2"/>
              <w:ind w:left="78"/>
              <w:rPr>
                <w:sz w:val="15"/>
              </w:rPr>
            </w:pPr>
            <w:r>
              <w:rPr>
                <w:color w:val="231F20"/>
                <w:w w:val="110"/>
                <w:sz w:val="15"/>
              </w:rPr>
              <w:t>can be accessed</w:t>
            </w:r>
          </w:p>
        </w:tc>
        <w:tc>
          <w:tcPr>
            <w:tcW w:w="1167" w:type="dxa"/>
            <w:tcBorders>
              <w:top w:val="nil"/>
              <w:bottom w:val="nil"/>
            </w:tcBorders>
            <w:shd w:val="clear" w:color="auto" w:fill="D8E3CE"/>
          </w:tcPr>
          <w:p>
            <w:pPr>
              <w:pStyle w:val="TableParagraph"/>
              <w:spacing w:line="167" w:lineRule="exact" w:before="2"/>
              <w:ind w:left="77"/>
              <w:rPr>
                <w:sz w:val="15"/>
              </w:rPr>
            </w:pPr>
            <w:r>
              <w:rPr>
                <w:color w:val="231F20"/>
                <w:w w:val="110"/>
                <w:sz w:val="15"/>
              </w:rPr>
              <w:t>Report can be</w:t>
            </w:r>
          </w:p>
        </w:tc>
        <w:tc>
          <w:tcPr>
            <w:tcW w:w="1167" w:type="dxa"/>
            <w:tcBorders>
              <w:top w:val="nil"/>
              <w:bottom w:val="nil"/>
            </w:tcBorders>
            <w:shd w:val="clear" w:color="auto" w:fill="D8E3CE"/>
          </w:tcPr>
          <w:p>
            <w:pPr>
              <w:pStyle w:val="TableParagraph"/>
              <w:spacing w:line="167" w:lineRule="exact" w:before="2"/>
              <w:ind w:left="77"/>
              <w:rPr>
                <w:sz w:val="15"/>
              </w:rPr>
            </w:pPr>
            <w:r>
              <w:rPr>
                <w:color w:val="231F20"/>
                <w:w w:val="110"/>
                <w:sz w:val="15"/>
              </w:rPr>
              <w:t>Report can be</w:t>
            </w:r>
          </w:p>
        </w:tc>
        <w:tc>
          <w:tcPr>
            <w:tcW w:w="1167" w:type="dxa"/>
            <w:tcBorders>
              <w:top w:val="nil"/>
              <w:bottom w:val="nil"/>
            </w:tcBorders>
            <w:shd w:val="clear" w:color="auto" w:fill="D8E3CE"/>
          </w:tcPr>
          <w:p>
            <w:pPr>
              <w:pStyle w:val="TableParagraph"/>
              <w:spacing w:line="167" w:lineRule="exact" w:before="2"/>
              <w:ind w:left="76"/>
              <w:rPr>
                <w:sz w:val="15"/>
              </w:rPr>
            </w:pPr>
            <w:r>
              <w:rPr>
                <w:color w:val="231F20"/>
                <w:w w:val="110"/>
                <w:sz w:val="15"/>
              </w:rPr>
              <w:t>Report can be</w:t>
            </w:r>
          </w:p>
        </w:tc>
      </w:tr>
      <w:tr>
        <w:trPr>
          <w:trHeight w:val="192"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spacing w:line="170" w:lineRule="exact" w:before="2"/>
              <w:ind w:left="79"/>
              <w:rPr>
                <w:sz w:val="15"/>
              </w:rPr>
            </w:pPr>
            <w:r>
              <w:rPr>
                <w:color w:val="231F20"/>
                <w:w w:val="110"/>
                <w:sz w:val="15"/>
              </w:rPr>
              <w:t>Palau judiciary.</w:t>
            </w:r>
          </w:p>
        </w:tc>
        <w:tc>
          <w:tcPr>
            <w:tcW w:w="1191" w:type="dxa"/>
            <w:tcBorders>
              <w:top w:val="nil"/>
              <w:bottom w:val="nil"/>
            </w:tcBorders>
            <w:shd w:val="clear" w:color="auto" w:fill="EAAC98"/>
          </w:tcPr>
          <w:p>
            <w:pPr>
              <w:pStyle w:val="TableParagraph"/>
              <w:spacing w:line="170" w:lineRule="exact" w:before="2"/>
              <w:ind w:left="79"/>
              <w:rPr>
                <w:sz w:val="15"/>
              </w:rPr>
            </w:pPr>
            <w:r>
              <w:rPr>
                <w:color w:val="231F20"/>
                <w:w w:val="110"/>
                <w:sz w:val="15"/>
              </w:rPr>
              <w:t>Palau judiciary.</w:t>
            </w:r>
          </w:p>
        </w:tc>
        <w:tc>
          <w:tcPr>
            <w:tcW w:w="1224" w:type="dxa"/>
            <w:tcBorders>
              <w:top w:val="nil"/>
              <w:bottom w:val="nil"/>
            </w:tcBorders>
            <w:shd w:val="clear" w:color="auto" w:fill="D8E3CE"/>
          </w:tcPr>
          <w:p>
            <w:pPr>
              <w:pStyle w:val="TableParagraph"/>
              <w:spacing w:line="170" w:lineRule="exact" w:before="2"/>
              <w:ind w:left="79"/>
              <w:rPr>
                <w:b/>
                <w:sz w:val="15"/>
              </w:rPr>
            </w:pPr>
            <w:r>
              <w:rPr>
                <w:color w:val="231F20"/>
                <w:sz w:val="15"/>
              </w:rPr>
              <w:t>at: </w:t>
            </w:r>
            <w:hyperlink r:id="rId83">
              <w:r>
                <w:rPr>
                  <w:b/>
                  <w:color w:val="00403F"/>
                  <w:sz w:val="15"/>
                </w:rPr>
                <w:t>http://www.</w:t>
              </w:r>
            </w:hyperlink>
          </w:p>
        </w:tc>
        <w:tc>
          <w:tcPr>
            <w:tcW w:w="1229" w:type="dxa"/>
            <w:tcBorders>
              <w:top w:val="nil"/>
              <w:bottom w:val="nil"/>
            </w:tcBorders>
            <w:shd w:val="clear" w:color="auto" w:fill="D8E3CE"/>
          </w:tcPr>
          <w:p>
            <w:pPr>
              <w:pStyle w:val="TableParagraph"/>
              <w:spacing w:line="170" w:lineRule="exact" w:before="2"/>
              <w:ind w:left="78"/>
              <w:rPr>
                <w:b/>
                <w:sz w:val="15"/>
              </w:rPr>
            </w:pPr>
            <w:r>
              <w:rPr>
                <w:color w:val="231F20"/>
                <w:sz w:val="15"/>
              </w:rPr>
              <w:t>at: </w:t>
            </w:r>
            <w:hyperlink r:id="rId83">
              <w:r>
                <w:rPr>
                  <w:b/>
                  <w:color w:val="00403F"/>
                  <w:sz w:val="15"/>
                </w:rPr>
                <w:t>http://www.</w:t>
              </w:r>
            </w:hyperlink>
          </w:p>
        </w:tc>
        <w:tc>
          <w:tcPr>
            <w:tcW w:w="1167" w:type="dxa"/>
            <w:tcBorders>
              <w:top w:val="nil"/>
              <w:bottom w:val="nil"/>
            </w:tcBorders>
            <w:shd w:val="clear" w:color="auto" w:fill="D8E3CE"/>
          </w:tcPr>
          <w:p>
            <w:pPr>
              <w:pStyle w:val="TableParagraph"/>
              <w:spacing w:line="170" w:lineRule="exact" w:before="2"/>
              <w:ind w:left="77"/>
              <w:rPr>
                <w:sz w:val="15"/>
              </w:rPr>
            </w:pPr>
            <w:r>
              <w:rPr>
                <w:color w:val="231F20"/>
                <w:w w:val="105"/>
                <w:sz w:val="15"/>
              </w:rPr>
              <w:t>accessed at:</w:t>
            </w:r>
          </w:p>
        </w:tc>
        <w:tc>
          <w:tcPr>
            <w:tcW w:w="1167" w:type="dxa"/>
            <w:tcBorders>
              <w:top w:val="nil"/>
              <w:bottom w:val="nil"/>
            </w:tcBorders>
            <w:shd w:val="clear" w:color="auto" w:fill="D8E3CE"/>
          </w:tcPr>
          <w:p>
            <w:pPr>
              <w:pStyle w:val="TableParagraph"/>
              <w:spacing w:line="170" w:lineRule="exact" w:before="2"/>
              <w:ind w:left="77"/>
              <w:rPr>
                <w:sz w:val="15"/>
              </w:rPr>
            </w:pPr>
            <w:r>
              <w:rPr>
                <w:color w:val="231F20"/>
                <w:w w:val="105"/>
                <w:sz w:val="15"/>
              </w:rPr>
              <w:t>accessed at:</w:t>
            </w:r>
          </w:p>
        </w:tc>
        <w:tc>
          <w:tcPr>
            <w:tcW w:w="1167" w:type="dxa"/>
            <w:tcBorders>
              <w:top w:val="nil"/>
              <w:bottom w:val="nil"/>
            </w:tcBorders>
            <w:shd w:val="clear" w:color="auto" w:fill="D8E3CE"/>
          </w:tcPr>
          <w:p>
            <w:pPr>
              <w:pStyle w:val="TableParagraph"/>
              <w:spacing w:line="170" w:lineRule="exact" w:before="2"/>
              <w:ind w:left="76"/>
              <w:rPr>
                <w:sz w:val="15"/>
              </w:rPr>
            </w:pPr>
            <w:r>
              <w:rPr>
                <w:color w:val="231F20"/>
                <w:w w:val="105"/>
                <w:sz w:val="15"/>
              </w:rPr>
              <w:t>accessed at:</w:t>
            </w:r>
          </w:p>
        </w:tc>
      </w:tr>
      <w:tr>
        <w:trPr>
          <w:trHeight w:val="187"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EAAC98"/>
          </w:tcPr>
          <w:p>
            <w:pPr>
              <w:pStyle w:val="TableParagraph"/>
              <w:rPr>
                <w:rFonts w:ascii="Times New Roman"/>
                <w:sz w:val="12"/>
              </w:rPr>
            </w:pPr>
          </w:p>
        </w:tc>
        <w:tc>
          <w:tcPr>
            <w:tcW w:w="1224" w:type="dxa"/>
            <w:tcBorders>
              <w:top w:val="nil"/>
              <w:bottom w:val="nil"/>
            </w:tcBorders>
            <w:shd w:val="clear" w:color="auto" w:fill="D8E3CE"/>
          </w:tcPr>
          <w:p>
            <w:pPr>
              <w:pStyle w:val="TableParagraph"/>
              <w:spacing w:line="167" w:lineRule="exact"/>
              <w:ind w:left="79"/>
              <w:rPr>
                <w:b/>
                <w:sz w:val="15"/>
              </w:rPr>
            </w:pPr>
            <w:r>
              <w:rPr>
                <w:b/>
                <w:color w:val="00403F"/>
                <w:w w:val="105"/>
                <w:sz w:val="15"/>
              </w:rPr>
              <w:t>palausupreme-</w:t>
            </w:r>
          </w:p>
        </w:tc>
        <w:tc>
          <w:tcPr>
            <w:tcW w:w="1229" w:type="dxa"/>
            <w:tcBorders>
              <w:top w:val="nil"/>
              <w:bottom w:val="nil"/>
            </w:tcBorders>
            <w:shd w:val="clear" w:color="auto" w:fill="D8E3CE"/>
          </w:tcPr>
          <w:p>
            <w:pPr>
              <w:pStyle w:val="TableParagraph"/>
              <w:spacing w:line="167" w:lineRule="exact"/>
              <w:ind w:left="78"/>
              <w:rPr>
                <w:b/>
                <w:sz w:val="15"/>
              </w:rPr>
            </w:pPr>
            <w:r>
              <w:rPr>
                <w:b/>
                <w:color w:val="00403F"/>
                <w:w w:val="105"/>
                <w:sz w:val="15"/>
              </w:rPr>
              <w:t>palausupreme-</w:t>
            </w:r>
          </w:p>
        </w:tc>
        <w:tc>
          <w:tcPr>
            <w:tcW w:w="1167" w:type="dxa"/>
            <w:tcBorders>
              <w:top w:val="nil"/>
              <w:bottom w:val="nil"/>
            </w:tcBorders>
            <w:shd w:val="clear" w:color="auto" w:fill="D8E3CE"/>
          </w:tcPr>
          <w:p>
            <w:pPr>
              <w:pStyle w:val="TableParagraph"/>
              <w:spacing w:line="167" w:lineRule="exact"/>
              <w:ind w:left="77"/>
              <w:rPr>
                <w:b/>
                <w:sz w:val="15"/>
              </w:rPr>
            </w:pPr>
            <w:hyperlink r:id="rId83">
              <w:r>
                <w:rPr>
                  <w:b/>
                  <w:color w:val="00403F"/>
                  <w:sz w:val="15"/>
                </w:rPr>
                <w:t>http://www.</w:t>
              </w:r>
            </w:hyperlink>
          </w:p>
        </w:tc>
        <w:tc>
          <w:tcPr>
            <w:tcW w:w="1167" w:type="dxa"/>
            <w:tcBorders>
              <w:top w:val="nil"/>
              <w:bottom w:val="nil"/>
            </w:tcBorders>
            <w:shd w:val="clear" w:color="auto" w:fill="D8E3CE"/>
          </w:tcPr>
          <w:p>
            <w:pPr>
              <w:pStyle w:val="TableParagraph"/>
              <w:spacing w:line="167" w:lineRule="exact"/>
              <w:ind w:left="77"/>
              <w:rPr>
                <w:b/>
                <w:sz w:val="15"/>
              </w:rPr>
            </w:pPr>
            <w:hyperlink r:id="rId83">
              <w:r>
                <w:rPr>
                  <w:b/>
                  <w:color w:val="00403F"/>
                  <w:sz w:val="15"/>
                </w:rPr>
                <w:t>http://www.</w:t>
              </w:r>
            </w:hyperlink>
          </w:p>
        </w:tc>
        <w:tc>
          <w:tcPr>
            <w:tcW w:w="1167" w:type="dxa"/>
            <w:tcBorders>
              <w:top w:val="nil"/>
              <w:bottom w:val="nil"/>
            </w:tcBorders>
            <w:shd w:val="clear" w:color="auto" w:fill="D8E3CE"/>
          </w:tcPr>
          <w:p>
            <w:pPr>
              <w:pStyle w:val="TableParagraph"/>
              <w:spacing w:line="167" w:lineRule="exact"/>
              <w:ind w:left="76"/>
              <w:rPr>
                <w:b/>
                <w:sz w:val="15"/>
              </w:rPr>
            </w:pPr>
            <w:hyperlink r:id="rId83">
              <w:r>
                <w:rPr>
                  <w:b/>
                  <w:color w:val="00403F"/>
                  <w:sz w:val="15"/>
                </w:rPr>
                <w:t>http://www.</w:t>
              </w:r>
            </w:hyperlink>
          </w:p>
        </w:tc>
      </w:tr>
      <w:tr>
        <w:trPr>
          <w:trHeight w:val="190"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EAAC98"/>
          </w:tcPr>
          <w:p>
            <w:pPr>
              <w:pStyle w:val="TableParagraph"/>
              <w:rPr>
                <w:rFonts w:ascii="Times New Roman"/>
                <w:sz w:val="12"/>
              </w:rPr>
            </w:pPr>
          </w:p>
        </w:tc>
        <w:tc>
          <w:tcPr>
            <w:tcW w:w="1224" w:type="dxa"/>
            <w:tcBorders>
              <w:top w:val="nil"/>
              <w:bottom w:val="nil"/>
            </w:tcBorders>
            <w:shd w:val="clear" w:color="auto" w:fill="D8E3CE"/>
          </w:tcPr>
          <w:p>
            <w:pPr>
              <w:pStyle w:val="TableParagraph"/>
              <w:spacing w:line="167" w:lineRule="exact" w:before="3"/>
              <w:ind w:left="79"/>
              <w:rPr>
                <w:sz w:val="15"/>
              </w:rPr>
            </w:pPr>
            <w:r>
              <w:rPr>
                <w:b/>
                <w:color w:val="00403F"/>
                <w:w w:val="105"/>
                <w:sz w:val="15"/>
              </w:rPr>
              <w:t>court.net/ </w:t>
            </w:r>
            <w:r>
              <w:rPr>
                <w:color w:val="231F20"/>
                <w:w w:val="105"/>
                <w:sz w:val="15"/>
              </w:rPr>
              <w:t>and</w:t>
            </w:r>
          </w:p>
        </w:tc>
        <w:tc>
          <w:tcPr>
            <w:tcW w:w="1229" w:type="dxa"/>
            <w:tcBorders>
              <w:top w:val="nil"/>
              <w:bottom w:val="nil"/>
            </w:tcBorders>
            <w:shd w:val="clear" w:color="auto" w:fill="D8E3CE"/>
          </w:tcPr>
          <w:p>
            <w:pPr>
              <w:pStyle w:val="TableParagraph"/>
              <w:spacing w:line="167" w:lineRule="exact" w:before="3"/>
              <w:ind w:left="78"/>
              <w:rPr>
                <w:sz w:val="15"/>
              </w:rPr>
            </w:pPr>
            <w:r>
              <w:rPr>
                <w:b/>
                <w:color w:val="00403F"/>
                <w:w w:val="105"/>
                <w:sz w:val="15"/>
              </w:rPr>
              <w:t>court.net/ </w:t>
            </w:r>
            <w:r>
              <w:rPr>
                <w:color w:val="231F20"/>
                <w:w w:val="105"/>
                <w:sz w:val="15"/>
              </w:rPr>
              <w:t>and</w:t>
            </w:r>
          </w:p>
        </w:tc>
        <w:tc>
          <w:tcPr>
            <w:tcW w:w="1167" w:type="dxa"/>
            <w:tcBorders>
              <w:top w:val="nil"/>
              <w:bottom w:val="nil"/>
            </w:tcBorders>
            <w:shd w:val="clear" w:color="auto" w:fill="D8E3CE"/>
          </w:tcPr>
          <w:p>
            <w:pPr>
              <w:pStyle w:val="TableParagraph"/>
              <w:spacing w:line="167" w:lineRule="exact" w:before="3"/>
              <w:ind w:left="77"/>
              <w:rPr>
                <w:b/>
                <w:sz w:val="15"/>
              </w:rPr>
            </w:pPr>
            <w:r>
              <w:rPr>
                <w:b/>
                <w:color w:val="00403F"/>
                <w:w w:val="105"/>
                <w:sz w:val="15"/>
              </w:rPr>
              <w:t>palausupreme-</w:t>
            </w:r>
          </w:p>
        </w:tc>
        <w:tc>
          <w:tcPr>
            <w:tcW w:w="1167" w:type="dxa"/>
            <w:tcBorders>
              <w:top w:val="nil"/>
              <w:bottom w:val="nil"/>
            </w:tcBorders>
            <w:shd w:val="clear" w:color="auto" w:fill="D8E3CE"/>
          </w:tcPr>
          <w:p>
            <w:pPr>
              <w:pStyle w:val="TableParagraph"/>
              <w:spacing w:line="167" w:lineRule="exact" w:before="3"/>
              <w:ind w:left="77"/>
              <w:rPr>
                <w:b/>
                <w:sz w:val="15"/>
              </w:rPr>
            </w:pPr>
            <w:r>
              <w:rPr>
                <w:b/>
                <w:color w:val="00403F"/>
                <w:w w:val="105"/>
                <w:sz w:val="15"/>
              </w:rPr>
              <w:t>palausupreme-</w:t>
            </w:r>
          </w:p>
        </w:tc>
        <w:tc>
          <w:tcPr>
            <w:tcW w:w="1167" w:type="dxa"/>
            <w:tcBorders>
              <w:top w:val="nil"/>
              <w:bottom w:val="nil"/>
            </w:tcBorders>
            <w:shd w:val="clear" w:color="auto" w:fill="D8E3CE"/>
          </w:tcPr>
          <w:p>
            <w:pPr>
              <w:pStyle w:val="TableParagraph"/>
              <w:spacing w:line="167" w:lineRule="exact" w:before="3"/>
              <w:ind w:left="76"/>
              <w:rPr>
                <w:b/>
                <w:sz w:val="15"/>
              </w:rPr>
            </w:pPr>
            <w:r>
              <w:rPr>
                <w:b/>
                <w:color w:val="00403F"/>
                <w:w w:val="105"/>
                <w:sz w:val="15"/>
              </w:rPr>
              <w:t>palausupreme-</w:t>
            </w:r>
          </w:p>
        </w:tc>
      </w:tr>
      <w:tr>
        <w:trPr>
          <w:trHeight w:val="190"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EAAC98"/>
          </w:tcPr>
          <w:p>
            <w:pPr>
              <w:pStyle w:val="TableParagraph"/>
              <w:rPr>
                <w:rFonts w:ascii="Times New Roman"/>
                <w:sz w:val="12"/>
              </w:rPr>
            </w:pPr>
          </w:p>
        </w:tc>
        <w:tc>
          <w:tcPr>
            <w:tcW w:w="1191" w:type="dxa"/>
            <w:tcBorders>
              <w:top w:val="nil"/>
              <w:bottom w:val="nil"/>
            </w:tcBorders>
            <w:shd w:val="clear" w:color="auto" w:fill="EAAC98"/>
          </w:tcPr>
          <w:p>
            <w:pPr>
              <w:pStyle w:val="TableParagraph"/>
              <w:rPr>
                <w:rFonts w:ascii="Times New Roman"/>
                <w:sz w:val="12"/>
              </w:rPr>
            </w:pPr>
          </w:p>
        </w:tc>
        <w:tc>
          <w:tcPr>
            <w:tcW w:w="1224" w:type="dxa"/>
            <w:tcBorders>
              <w:top w:val="nil"/>
              <w:bottom w:val="nil"/>
            </w:tcBorders>
            <w:shd w:val="clear" w:color="auto" w:fill="D8E3CE"/>
          </w:tcPr>
          <w:p>
            <w:pPr>
              <w:pStyle w:val="TableParagraph"/>
              <w:spacing w:line="167" w:lineRule="exact" w:before="2"/>
              <w:ind w:left="79"/>
              <w:rPr>
                <w:b/>
                <w:sz w:val="15"/>
              </w:rPr>
            </w:pPr>
            <w:hyperlink r:id="rId82">
              <w:r>
                <w:rPr>
                  <w:b/>
                  <w:color w:val="00403F"/>
                  <w:w w:val="110"/>
                  <w:sz w:val="15"/>
                </w:rPr>
                <w:t>www.paclii.org</w:t>
              </w:r>
            </w:hyperlink>
          </w:p>
        </w:tc>
        <w:tc>
          <w:tcPr>
            <w:tcW w:w="1229" w:type="dxa"/>
            <w:tcBorders>
              <w:top w:val="nil"/>
              <w:bottom w:val="nil"/>
            </w:tcBorders>
            <w:shd w:val="clear" w:color="auto" w:fill="D8E3CE"/>
          </w:tcPr>
          <w:p>
            <w:pPr>
              <w:pStyle w:val="TableParagraph"/>
              <w:spacing w:line="167" w:lineRule="exact" w:before="2"/>
              <w:ind w:left="78"/>
              <w:rPr>
                <w:b/>
                <w:sz w:val="15"/>
              </w:rPr>
            </w:pPr>
            <w:hyperlink r:id="rId82">
              <w:r>
                <w:rPr>
                  <w:b/>
                  <w:color w:val="00403F"/>
                  <w:w w:val="110"/>
                  <w:sz w:val="15"/>
                </w:rPr>
                <w:t>www.paclii.org</w:t>
              </w:r>
            </w:hyperlink>
          </w:p>
        </w:tc>
        <w:tc>
          <w:tcPr>
            <w:tcW w:w="1167" w:type="dxa"/>
            <w:tcBorders>
              <w:top w:val="nil"/>
              <w:bottom w:val="nil"/>
            </w:tcBorders>
            <w:shd w:val="clear" w:color="auto" w:fill="D8E3CE"/>
          </w:tcPr>
          <w:p>
            <w:pPr>
              <w:pStyle w:val="TableParagraph"/>
              <w:spacing w:line="167" w:lineRule="exact" w:before="2"/>
              <w:ind w:left="77"/>
              <w:rPr>
                <w:sz w:val="15"/>
              </w:rPr>
            </w:pPr>
            <w:r>
              <w:rPr>
                <w:b/>
                <w:color w:val="00403F"/>
                <w:w w:val="105"/>
                <w:sz w:val="15"/>
              </w:rPr>
              <w:t>court.net/ </w:t>
            </w:r>
            <w:r>
              <w:rPr>
                <w:color w:val="231F20"/>
                <w:w w:val="105"/>
                <w:sz w:val="15"/>
              </w:rPr>
              <w:t>and</w:t>
            </w:r>
          </w:p>
        </w:tc>
        <w:tc>
          <w:tcPr>
            <w:tcW w:w="1167" w:type="dxa"/>
            <w:tcBorders>
              <w:top w:val="nil"/>
              <w:bottom w:val="nil"/>
            </w:tcBorders>
            <w:shd w:val="clear" w:color="auto" w:fill="D8E3CE"/>
          </w:tcPr>
          <w:p>
            <w:pPr>
              <w:pStyle w:val="TableParagraph"/>
              <w:spacing w:line="167" w:lineRule="exact" w:before="2"/>
              <w:ind w:left="77"/>
              <w:rPr>
                <w:b/>
                <w:sz w:val="15"/>
              </w:rPr>
            </w:pPr>
            <w:r>
              <w:rPr>
                <w:b/>
                <w:color w:val="00403F"/>
                <w:sz w:val="15"/>
              </w:rPr>
              <w:t>court.net/</w:t>
            </w:r>
          </w:p>
        </w:tc>
        <w:tc>
          <w:tcPr>
            <w:tcW w:w="1167" w:type="dxa"/>
            <w:tcBorders>
              <w:top w:val="nil"/>
              <w:bottom w:val="nil"/>
            </w:tcBorders>
            <w:shd w:val="clear" w:color="auto" w:fill="D8E3CE"/>
          </w:tcPr>
          <w:p>
            <w:pPr>
              <w:pStyle w:val="TableParagraph"/>
              <w:spacing w:line="167" w:lineRule="exact" w:before="2"/>
              <w:ind w:left="76"/>
              <w:rPr>
                <w:b/>
                <w:sz w:val="15"/>
              </w:rPr>
            </w:pPr>
            <w:r>
              <w:rPr>
                <w:b/>
                <w:color w:val="00403F"/>
                <w:sz w:val="15"/>
              </w:rPr>
              <w:t>court.net/</w:t>
            </w:r>
          </w:p>
        </w:tc>
      </w:tr>
      <w:tr>
        <w:trPr>
          <w:trHeight w:val="220" w:hRule="atLeast"/>
        </w:trPr>
        <w:tc>
          <w:tcPr>
            <w:tcW w:w="1110" w:type="dxa"/>
            <w:tcBorders>
              <w:top w:val="nil"/>
            </w:tcBorders>
            <w:shd w:val="clear" w:color="auto" w:fill="D5E0E3"/>
          </w:tcPr>
          <w:p>
            <w:pPr>
              <w:pStyle w:val="TableParagraph"/>
              <w:rPr>
                <w:rFonts w:ascii="Times New Roman"/>
                <w:sz w:val="14"/>
              </w:rPr>
            </w:pPr>
          </w:p>
        </w:tc>
        <w:tc>
          <w:tcPr>
            <w:tcW w:w="1172" w:type="dxa"/>
            <w:tcBorders>
              <w:top w:val="nil"/>
            </w:tcBorders>
            <w:shd w:val="clear" w:color="auto" w:fill="EAAC98"/>
          </w:tcPr>
          <w:p>
            <w:pPr>
              <w:pStyle w:val="TableParagraph"/>
              <w:rPr>
                <w:rFonts w:ascii="Times New Roman"/>
                <w:sz w:val="14"/>
              </w:rPr>
            </w:pPr>
          </w:p>
        </w:tc>
        <w:tc>
          <w:tcPr>
            <w:tcW w:w="1191" w:type="dxa"/>
            <w:tcBorders>
              <w:top w:val="nil"/>
            </w:tcBorders>
            <w:shd w:val="clear" w:color="auto" w:fill="EAAC98"/>
          </w:tcPr>
          <w:p>
            <w:pPr>
              <w:pStyle w:val="TableParagraph"/>
              <w:rPr>
                <w:rFonts w:ascii="Times New Roman"/>
                <w:sz w:val="14"/>
              </w:rPr>
            </w:pPr>
          </w:p>
        </w:tc>
        <w:tc>
          <w:tcPr>
            <w:tcW w:w="1224" w:type="dxa"/>
            <w:tcBorders>
              <w:top w:val="nil"/>
            </w:tcBorders>
            <w:shd w:val="clear" w:color="auto" w:fill="D8E3CE"/>
          </w:tcPr>
          <w:p>
            <w:pPr>
              <w:pStyle w:val="TableParagraph"/>
              <w:rPr>
                <w:rFonts w:ascii="Times New Roman"/>
                <w:sz w:val="14"/>
              </w:rPr>
            </w:pPr>
          </w:p>
        </w:tc>
        <w:tc>
          <w:tcPr>
            <w:tcW w:w="1229" w:type="dxa"/>
            <w:tcBorders>
              <w:top w:val="nil"/>
            </w:tcBorders>
            <w:shd w:val="clear" w:color="auto" w:fill="D8E3CE"/>
          </w:tcPr>
          <w:p>
            <w:pPr>
              <w:pStyle w:val="TableParagraph"/>
              <w:rPr>
                <w:rFonts w:ascii="Times New Roman"/>
                <w:sz w:val="14"/>
              </w:rPr>
            </w:pPr>
          </w:p>
        </w:tc>
        <w:tc>
          <w:tcPr>
            <w:tcW w:w="1167" w:type="dxa"/>
            <w:tcBorders>
              <w:top w:val="nil"/>
            </w:tcBorders>
            <w:shd w:val="clear" w:color="auto" w:fill="D8E3CE"/>
          </w:tcPr>
          <w:p>
            <w:pPr>
              <w:pStyle w:val="TableParagraph"/>
              <w:spacing w:before="2"/>
              <w:ind w:left="77"/>
              <w:rPr>
                <w:b/>
                <w:sz w:val="15"/>
              </w:rPr>
            </w:pPr>
            <w:hyperlink r:id="rId82">
              <w:r>
                <w:rPr>
                  <w:b/>
                  <w:color w:val="00403F"/>
                  <w:w w:val="110"/>
                  <w:sz w:val="15"/>
                </w:rPr>
                <w:t>www.paclii.org</w:t>
              </w:r>
            </w:hyperlink>
          </w:p>
        </w:tc>
        <w:tc>
          <w:tcPr>
            <w:tcW w:w="1167" w:type="dxa"/>
            <w:tcBorders>
              <w:top w:val="nil"/>
            </w:tcBorders>
            <w:shd w:val="clear" w:color="auto" w:fill="D8E3CE"/>
          </w:tcPr>
          <w:p>
            <w:pPr>
              <w:pStyle w:val="TableParagraph"/>
              <w:rPr>
                <w:rFonts w:ascii="Times New Roman"/>
                <w:sz w:val="14"/>
              </w:rPr>
            </w:pPr>
          </w:p>
        </w:tc>
        <w:tc>
          <w:tcPr>
            <w:tcW w:w="1167" w:type="dxa"/>
            <w:tcBorders>
              <w:top w:val="nil"/>
            </w:tcBorders>
            <w:shd w:val="clear" w:color="auto" w:fill="D8E3CE"/>
          </w:tcPr>
          <w:p>
            <w:pPr>
              <w:pStyle w:val="TableParagraph"/>
              <w:rPr>
                <w:rFonts w:ascii="Times New Roman"/>
                <w:sz w:val="14"/>
              </w:rPr>
            </w:pPr>
          </w:p>
        </w:tc>
      </w:tr>
      <w:tr>
        <w:trPr>
          <w:trHeight w:val="262" w:hRule="atLeast"/>
        </w:trPr>
        <w:tc>
          <w:tcPr>
            <w:tcW w:w="1110" w:type="dxa"/>
            <w:tcBorders>
              <w:bottom w:val="nil"/>
            </w:tcBorders>
            <w:shd w:val="clear" w:color="auto" w:fill="D5E0E3"/>
          </w:tcPr>
          <w:p>
            <w:pPr>
              <w:pStyle w:val="TableParagraph"/>
              <w:spacing w:line="167" w:lineRule="exact" w:before="75"/>
              <w:ind w:left="80"/>
              <w:rPr>
                <w:b/>
                <w:sz w:val="15"/>
              </w:rPr>
            </w:pPr>
            <w:r>
              <w:rPr>
                <w:b/>
                <w:color w:val="231F20"/>
                <w:w w:val="120"/>
                <w:sz w:val="15"/>
              </w:rPr>
              <w:t>PNG</w:t>
            </w:r>
          </w:p>
        </w:tc>
        <w:tc>
          <w:tcPr>
            <w:tcW w:w="1172" w:type="dxa"/>
            <w:tcBorders>
              <w:bottom w:val="nil"/>
            </w:tcBorders>
            <w:shd w:val="clear" w:color="auto" w:fill="F3D4AA"/>
          </w:tcPr>
          <w:p>
            <w:pPr>
              <w:pStyle w:val="TableParagraph"/>
              <w:spacing w:line="168" w:lineRule="exact" w:before="74"/>
              <w:ind w:left="79"/>
              <w:rPr>
                <w:sz w:val="15"/>
              </w:rPr>
            </w:pPr>
            <w:r>
              <w:rPr>
                <w:color w:val="231F20"/>
                <w:w w:val="110"/>
                <w:sz w:val="15"/>
              </w:rPr>
              <w:t>Annual Report</w:t>
            </w:r>
          </w:p>
        </w:tc>
        <w:tc>
          <w:tcPr>
            <w:tcW w:w="1191" w:type="dxa"/>
            <w:tcBorders>
              <w:bottom w:val="nil"/>
            </w:tcBorders>
            <w:shd w:val="clear" w:color="auto" w:fill="F3D4AA"/>
          </w:tcPr>
          <w:p>
            <w:pPr>
              <w:pStyle w:val="TableParagraph"/>
              <w:spacing w:line="168" w:lineRule="exact" w:before="74"/>
              <w:ind w:left="79"/>
              <w:rPr>
                <w:sz w:val="15"/>
              </w:rPr>
            </w:pPr>
            <w:r>
              <w:rPr>
                <w:color w:val="231F20"/>
                <w:w w:val="110"/>
                <w:sz w:val="15"/>
              </w:rPr>
              <w:t>Annual Report</w:t>
            </w:r>
          </w:p>
        </w:tc>
        <w:tc>
          <w:tcPr>
            <w:tcW w:w="1224" w:type="dxa"/>
            <w:tcBorders>
              <w:bottom w:val="nil"/>
            </w:tcBorders>
            <w:shd w:val="clear" w:color="auto" w:fill="F3D4AA"/>
          </w:tcPr>
          <w:p>
            <w:pPr>
              <w:pStyle w:val="TableParagraph"/>
              <w:spacing w:line="168" w:lineRule="exact" w:before="74"/>
              <w:ind w:left="79"/>
              <w:rPr>
                <w:sz w:val="15"/>
              </w:rPr>
            </w:pPr>
            <w:r>
              <w:rPr>
                <w:color w:val="231F20"/>
                <w:w w:val="110"/>
                <w:sz w:val="15"/>
              </w:rPr>
              <w:t>Annual Report</w:t>
            </w:r>
          </w:p>
        </w:tc>
        <w:tc>
          <w:tcPr>
            <w:tcW w:w="1229" w:type="dxa"/>
            <w:tcBorders>
              <w:bottom w:val="nil"/>
            </w:tcBorders>
            <w:shd w:val="clear" w:color="auto" w:fill="F3D4AA"/>
          </w:tcPr>
          <w:p>
            <w:pPr>
              <w:pStyle w:val="TableParagraph"/>
              <w:spacing w:line="168" w:lineRule="exact" w:before="74"/>
              <w:ind w:left="78"/>
              <w:rPr>
                <w:sz w:val="15"/>
              </w:rPr>
            </w:pPr>
            <w:r>
              <w:rPr>
                <w:color w:val="231F20"/>
                <w:w w:val="110"/>
                <w:sz w:val="15"/>
              </w:rPr>
              <w:t>Annual Report</w:t>
            </w:r>
          </w:p>
        </w:tc>
        <w:tc>
          <w:tcPr>
            <w:tcW w:w="1167" w:type="dxa"/>
            <w:tcBorders>
              <w:bottom w:val="nil"/>
            </w:tcBorders>
            <w:shd w:val="clear" w:color="auto" w:fill="F3D4AA"/>
          </w:tcPr>
          <w:p>
            <w:pPr>
              <w:pStyle w:val="TableParagraph"/>
              <w:spacing w:line="168" w:lineRule="exact" w:before="74"/>
              <w:ind w:left="77"/>
              <w:rPr>
                <w:sz w:val="15"/>
              </w:rPr>
            </w:pPr>
            <w:r>
              <w:rPr>
                <w:color w:val="231F20"/>
                <w:w w:val="110"/>
                <w:sz w:val="15"/>
              </w:rPr>
              <w:t>Annual Report</w:t>
            </w:r>
          </w:p>
        </w:tc>
        <w:tc>
          <w:tcPr>
            <w:tcW w:w="1167" w:type="dxa"/>
            <w:tcBorders>
              <w:bottom w:val="nil"/>
            </w:tcBorders>
            <w:shd w:val="clear" w:color="auto" w:fill="F3D4AA"/>
          </w:tcPr>
          <w:p>
            <w:pPr>
              <w:pStyle w:val="TableParagraph"/>
              <w:spacing w:line="168" w:lineRule="exact" w:before="74"/>
              <w:ind w:left="77"/>
              <w:rPr>
                <w:sz w:val="15"/>
              </w:rPr>
            </w:pPr>
            <w:r>
              <w:rPr>
                <w:color w:val="231F20"/>
                <w:w w:val="110"/>
                <w:sz w:val="15"/>
              </w:rPr>
              <w:t>Annual Report</w:t>
            </w:r>
          </w:p>
        </w:tc>
        <w:tc>
          <w:tcPr>
            <w:tcW w:w="1167" w:type="dxa"/>
            <w:tcBorders>
              <w:bottom w:val="nil"/>
            </w:tcBorders>
            <w:shd w:val="clear" w:color="auto" w:fill="F3D4AA"/>
          </w:tcPr>
          <w:p>
            <w:pPr>
              <w:pStyle w:val="TableParagraph"/>
              <w:spacing w:line="168" w:lineRule="exact" w:before="74"/>
              <w:ind w:left="76"/>
              <w:rPr>
                <w:sz w:val="15"/>
              </w:rPr>
            </w:pPr>
            <w:r>
              <w:rPr>
                <w:color w:val="231F20"/>
                <w:w w:val="110"/>
                <w:sz w:val="15"/>
              </w:rPr>
              <w:t>Annual Report</w:t>
            </w:r>
          </w:p>
        </w:tc>
      </w:tr>
      <w:tr>
        <w:trPr>
          <w:trHeight w:val="190" w:hRule="atLeast"/>
        </w:trPr>
        <w:tc>
          <w:tcPr>
            <w:tcW w:w="1110" w:type="dxa"/>
            <w:tcBorders>
              <w:top w:val="nil"/>
              <w:bottom w:val="nil"/>
            </w:tcBorders>
            <w:shd w:val="clear" w:color="auto" w:fill="D5E0E3"/>
          </w:tcPr>
          <w:p>
            <w:pPr>
              <w:pStyle w:val="TableParagraph"/>
              <w:spacing w:line="167" w:lineRule="exact" w:before="2"/>
              <w:ind w:left="80"/>
              <w:rPr>
                <w:b/>
                <w:sz w:val="15"/>
              </w:rPr>
            </w:pPr>
            <w:r>
              <w:rPr>
                <w:b/>
                <w:color w:val="231F20"/>
                <w:w w:val="110"/>
                <w:sz w:val="15"/>
              </w:rPr>
              <w:t>(National</w:t>
            </w:r>
          </w:p>
        </w:tc>
        <w:tc>
          <w:tcPr>
            <w:tcW w:w="1172" w:type="dxa"/>
            <w:tcBorders>
              <w:top w:val="nil"/>
              <w:bottom w:val="nil"/>
            </w:tcBorders>
            <w:shd w:val="clear" w:color="auto" w:fill="F3D4AA"/>
          </w:tcPr>
          <w:p>
            <w:pPr>
              <w:pStyle w:val="TableParagraph"/>
              <w:spacing w:line="168" w:lineRule="exact" w:before="2"/>
              <w:ind w:left="79"/>
              <w:rPr>
                <w:sz w:val="15"/>
              </w:rPr>
            </w:pPr>
            <w:r>
              <w:rPr>
                <w:color w:val="231F20"/>
                <w:w w:val="105"/>
                <w:sz w:val="15"/>
              </w:rPr>
              <w:t>drafted but</w:t>
            </w:r>
          </w:p>
        </w:tc>
        <w:tc>
          <w:tcPr>
            <w:tcW w:w="1191" w:type="dxa"/>
            <w:tcBorders>
              <w:top w:val="nil"/>
              <w:bottom w:val="nil"/>
            </w:tcBorders>
            <w:shd w:val="clear" w:color="auto" w:fill="F3D4AA"/>
          </w:tcPr>
          <w:p>
            <w:pPr>
              <w:pStyle w:val="TableParagraph"/>
              <w:spacing w:line="168" w:lineRule="exact" w:before="2"/>
              <w:ind w:left="79"/>
              <w:rPr>
                <w:sz w:val="15"/>
              </w:rPr>
            </w:pPr>
            <w:r>
              <w:rPr>
                <w:color w:val="231F20"/>
                <w:w w:val="105"/>
                <w:sz w:val="15"/>
              </w:rPr>
              <w:t>drafted but</w:t>
            </w:r>
          </w:p>
        </w:tc>
        <w:tc>
          <w:tcPr>
            <w:tcW w:w="1224" w:type="dxa"/>
            <w:tcBorders>
              <w:top w:val="nil"/>
              <w:bottom w:val="nil"/>
            </w:tcBorders>
            <w:shd w:val="clear" w:color="auto" w:fill="F3D4AA"/>
          </w:tcPr>
          <w:p>
            <w:pPr>
              <w:pStyle w:val="TableParagraph"/>
              <w:spacing w:line="168" w:lineRule="exact" w:before="2"/>
              <w:ind w:left="79"/>
              <w:rPr>
                <w:sz w:val="15"/>
              </w:rPr>
            </w:pPr>
            <w:r>
              <w:rPr>
                <w:color w:val="231F20"/>
                <w:w w:val="105"/>
                <w:sz w:val="15"/>
              </w:rPr>
              <w:t>drafted but</w:t>
            </w:r>
          </w:p>
        </w:tc>
        <w:tc>
          <w:tcPr>
            <w:tcW w:w="1229" w:type="dxa"/>
            <w:tcBorders>
              <w:top w:val="nil"/>
              <w:bottom w:val="nil"/>
            </w:tcBorders>
            <w:shd w:val="clear" w:color="auto" w:fill="F3D4AA"/>
          </w:tcPr>
          <w:p>
            <w:pPr>
              <w:pStyle w:val="TableParagraph"/>
              <w:spacing w:line="168" w:lineRule="exact" w:before="2"/>
              <w:ind w:left="78"/>
              <w:rPr>
                <w:sz w:val="15"/>
              </w:rPr>
            </w:pPr>
            <w:r>
              <w:rPr>
                <w:color w:val="231F20"/>
                <w:w w:val="105"/>
                <w:sz w:val="15"/>
              </w:rPr>
              <w:t>drafted but</w:t>
            </w:r>
          </w:p>
        </w:tc>
        <w:tc>
          <w:tcPr>
            <w:tcW w:w="1167" w:type="dxa"/>
            <w:tcBorders>
              <w:top w:val="nil"/>
              <w:bottom w:val="nil"/>
            </w:tcBorders>
            <w:shd w:val="clear" w:color="auto" w:fill="F3D4AA"/>
          </w:tcPr>
          <w:p>
            <w:pPr>
              <w:pStyle w:val="TableParagraph"/>
              <w:spacing w:line="168" w:lineRule="exact" w:before="2"/>
              <w:ind w:left="77"/>
              <w:rPr>
                <w:sz w:val="15"/>
              </w:rPr>
            </w:pPr>
            <w:r>
              <w:rPr>
                <w:color w:val="231F20"/>
                <w:w w:val="105"/>
                <w:sz w:val="15"/>
              </w:rPr>
              <w:t>drafted but</w:t>
            </w:r>
          </w:p>
        </w:tc>
        <w:tc>
          <w:tcPr>
            <w:tcW w:w="1167" w:type="dxa"/>
            <w:tcBorders>
              <w:top w:val="nil"/>
              <w:bottom w:val="nil"/>
            </w:tcBorders>
            <w:shd w:val="clear" w:color="auto" w:fill="F3D4AA"/>
          </w:tcPr>
          <w:p>
            <w:pPr>
              <w:pStyle w:val="TableParagraph"/>
              <w:spacing w:line="168" w:lineRule="exact" w:before="2"/>
              <w:ind w:left="77"/>
              <w:rPr>
                <w:sz w:val="15"/>
              </w:rPr>
            </w:pPr>
            <w:r>
              <w:rPr>
                <w:color w:val="231F20"/>
                <w:w w:val="105"/>
                <w:sz w:val="15"/>
              </w:rPr>
              <w:t>drafted but</w:t>
            </w:r>
          </w:p>
        </w:tc>
        <w:tc>
          <w:tcPr>
            <w:tcW w:w="1167" w:type="dxa"/>
            <w:tcBorders>
              <w:top w:val="nil"/>
              <w:bottom w:val="nil"/>
            </w:tcBorders>
            <w:shd w:val="clear" w:color="auto" w:fill="F3D4AA"/>
          </w:tcPr>
          <w:p>
            <w:pPr>
              <w:pStyle w:val="TableParagraph"/>
              <w:spacing w:line="168" w:lineRule="exact" w:before="2"/>
              <w:ind w:left="76"/>
              <w:rPr>
                <w:sz w:val="15"/>
              </w:rPr>
            </w:pPr>
            <w:r>
              <w:rPr>
                <w:color w:val="231F20"/>
                <w:w w:val="105"/>
                <w:sz w:val="15"/>
              </w:rPr>
              <w:t>drafted but</w:t>
            </w:r>
          </w:p>
        </w:tc>
      </w:tr>
      <w:tr>
        <w:trPr>
          <w:trHeight w:val="190" w:hRule="atLeast"/>
        </w:trPr>
        <w:tc>
          <w:tcPr>
            <w:tcW w:w="1110" w:type="dxa"/>
            <w:tcBorders>
              <w:top w:val="nil"/>
              <w:bottom w:val="nil"/>
            </w:tcBorders>
            <w:shd w:val="clear" w:color="auto" w:fill="D5E0E3"/>
          </w:tcPr>
          <w:p>
            <w:pPr>
              <w:pStyle w:val="TableParagraph"/>
              <w:spacing w:line="167" w:lineRule="exact" w:before="2"/>
              <w:ind w:left="80"/>
              <w:rPr>
                <w:b/>
                <w:sz w:val="15"/>
              </w:rPr>
            </w:pPr>
            <w:r>
              <w:rPr>
                <w:b/>
                <w:color w:val="231F20"/>
                <w:w w:val="105"/>
                <w:sz w:val="15"/>
              </w:rPr>
              <w:t>and Supreme</w:t>
            </w:r>
          </w:p>
        </w:tc>
        <w:tc>
          <w:tcPr>
            <w:tcW w:w="1172" w:type="dxa"/>
            <w:tcBorders>
              <w:top w:val="nil"/>
              <w:bottom w:val="nil"/>
            </w:tcBorders>
            <w:shd w:val="clear" w:color="auto" w:fill="F3D4AA"/>
          </w:tcPr>
          <w:p>
            <w:pPr>
              <w:pStyle w:val="TableParagraph"/>
              <w:spacing w:line="168" w:lineRule="exact" w:before="2"/>
              <w:ind w:left="79"/>
              <w:rPr>
                <w:sz w:val="15"/>
              </w:rPr>
            </w:pPr>
            <w:r>
              <w:rPr>
                <w:color w:val="231F20"/>
                <w:w w:val="105"/>
                <w:sz w:val="15"/>
              </w:rPr>
              <w:t>cannot be</w:t>
            </w:r>
          </w:p>
        </w:tc>
        <w:tc>
          <w:tcPr>
            <w:tcW w:w="1191" w:type="dxa"/>
            <w:tcBorders>
              <w:top w:val="nil"/>
              <w:bottom w:val="nil"/>
            </w:tcBorders>
            <w:shd w:val="clear" w:color="auto" w:fill="F3D4AA"/>
          </w:tcPr>
          <w:p>
            <w:pPr>
              <w:pStyle w:val="TableParagraph"/>
              <w:spacing w:line="168" w:lineRule="exact" w:before="2"/>
              <w:ind w:left="79"/>
              <w:rPr>
                <w:sz w:val="15"/>
              </w:rPr>
            </w:pPr>
            <w:r>
              <w:rPr>
                <w:color w:val="231F20"/>
                <w:w w:val="105"/>
                <w:sz w:val="15"/>
              </w:rPr>
              <w:t>cannot be</w:t>
            </w:r>
          </w:p>
        </w:tc>
        <w:tc>
          <w:tcPr>
            <w:tcW w:w="1224" w:type="dxa"/>
            <w:tcBorders>
              <w:top w:val="nil"/>
              <w:bottom w:val="nil"/>
            </w:tcBorders>
            <w:shd w:val="clear" w:color="auto" w:fill="F3D4AA"/>
          </w:tcPr>
          <w:p>
            <w:pPr>
              <w:pStyle w:val="TableParagraph"/>
              <w:spacing w:line="168" w:lineRule="exact" w:before="2"/>
              <w:ind w:left="79"/>
              <w:rPr>
                <w:sz w:val="15"/>
              </w:rPr>
            </w:pPr>
            <w:r>
              <w:rPr>
                <w:color w:val="231F20"/>
                <w:w w:val="105"/>
                <w:sz w:val="15"/>
              </w:rPr>
              <w:t>cannot be</w:t>
            </w:r>
          </w:p>
        </w:tc>
        <w:tc>
          <w:tcPr>
            <w:tcW w:w="1229" w:type="dxa"/>
            <w:tcBorders>
              <w:top w:val="nil"/>
              <w:bottom w:val="nil"/>
            </w:tcBorders>
            <w:shd w:val="clear" w:color="auto" w:fill="F3D4AA"/>
          </w:tcPr>
          <w:p>
            <w:pPr>
              <w:pStyle w:val="TableParagraph"/>
              <w:spacing w:line="168" w:lineRule="exact" w:before="2"/>
              <w:ind w:left="78"/>
              <w:rPr>
                <w:sz w:val="15"/>
              </w:rPr>
            </w:pPr>
            <w:r>
              <w:rPr>
                <w:color w:val="231F20"/>
                <w:w w:val="105"/>
                <w:sz w:val="15"/>
              </w:rPr>
              <w:t>cannot be</w:t>
            </w:r>
          </w:p>
        </w:tc>
        <w:tc>
          <w:tcPr>
            <w:tcW w:w="1167" w:type="dxa"/>
            <w:tcBorders>
              <w:top w:val="nil"/>
              <w:bottom w:val="nil"/>
            </w:tcBorders>
            <w:shd w:val="clear" w:color="auto" w:fill="F3D4AA"/>
          </w:tcPr>
          <w:p>
            <w:pPr>
              <w:pStyle w:val="TableParagraph"/>
              <w:spacing w:line="168" w:lineRule="exact" w:before="2"/>
              <w:ind w:left="77"/>
              <w:rPr>
                <w:sz w:val="15"/>
              </w:rPr>
            </w:pPr>
            <w:r>
              <w:rPr>
                <w:color w:val="231F20"/>
                <w:w w:val="105"/>
                <w:sz w:val="15"/>
              </w:rPr>
              <w:t>cannot be</w:t>
            </w:r>
          </w:p>
        </w:tc>
        <w:tc>
          <w:tcPr>
            <w:tcW w:w="1167" w:type="dxa"/>
            <w:tcBorders>
              <w:top w:val="nil"/>
              <w:bottom w:val="nil"/>
            </w:tcBorders>
            <w:shd w:val="clear" w:color="auto" w:fill="F3D4AA"/>
          </w:tcPr>
          <w:p>
            <w:pPr>
              <w:pStyle w:val="TableParagraph"/>
              <w:spacing w:line="168" w:lineRule="exact" w:before="2"/>
              <w:ind w:left="77"/>
              <w:rPr>
                <w:sz w:val="15"/>
              </w:rPr>
            </w:pPr>
            <w:r>
              <w:rPr>
                <w:color w:val="231F20"/>
                <w:w w:val="105"/>
                <w:sz w:val="15"/>
              </w:rPr>
              <w:t>cannot be</w:t>
            </w:r>
          </w:p>
        </w:tc>
        <w:tc>
          <w:tcPr>
            <w:tcW w:w="1167" w:type="dxa"/>
            <w:tcBorders>
              <w:top w:val="nil"/>
              <w:bottom w:val="nil"/>
            </w:tcBorders>
            <w:shd w:val="clear" w:color="auto" w:fill="F3D4AA"/>
          </w:tcPr>
          <w:p>
            <w:pPr>
              <w:pStyle w:val="TableParagraph"/>
              <w:spacing w:line="168" w:lineRule="exact" w:before="2"/>
              <w:ind w:left="76"/>
              <w:rPr>
                <w:sz w:val="15"/>
              </w:rPr>
            </w:pPr>
            <w:r>
              <w:rPr>
                <w:color w:val="231F20"/>
                <w:w w:val="105"/>
                <w:sz w:val="15"/>
              </w:rPr>
              <w:t>cannot be</w:t>
            </w:r>
          </w:p>
        </w:tc>
      </w:tr>
      <w:tr>
        <w:trPr>
          <w:trHeight w:val="190" w:hRule="atLeast"/>
        </w:trPr>
        <w:tc>
          <w:tcPr>
            <w:tcW w:w="1110" w:type="dxa"/>
            <w:tcBorders>
              <w:top w:val="nil"/>
              <w:bottom w:val="nil"/>
            </w:tcBorders>
            <w:shd w:val="clear" w:color="auto" w:fill="D5E0E3"/>
          </w:tcPr>
          <w:p>
            <w:pPr>
              <w:pStyle w:val="TableParagraph"/>
              <w:spacing w:line="167" w:lineRule="exact" w:before="2"/>
              <w:ind w:left="80"/>
              <w:rPr>
                <w:b/>
                <w:sz w:val="15"/>
              </w:rPr>
            </w:pPr>
            <w:r>
              <w:rPr>
                <w:b/>
                <w:color w:val="231F20"/>
                <w:w w:val="110"/>
                <w:sz w:val="15"/>
              </w:rPr>
              <w:t>Courts)</w:t>
            </w:r>
          </w:p>
        </w:tc>
        <w:tc>
          <w:tcPr>
            <w:tcW w:w="1172" w:type="dxa"/>
            <w:tcBorders>
              <w:top w:val="nil"/>
              <w:bottom w:val="nil"/>
            </w:tcBorders>
            <w:shd w:val="clear" w:color="auto" w:fill="F3D4AA"/>
          </w:tcPr>
          <w:p>
            <w:pPr>
              <w:pStyle w:val="TableParagraph"/>
              <w:spacing w:line="168" w:lineRule="exact" w:before="2"/>
              <w:ind w:left="79"/>
              <w:rPr>
                <w:sz w:val="15"/>
              </w:rPr>
            </w:pPr>
            <w:r>
              <w:rPr>
                <w:color w:val="231F20"/>
                <w:w w:val="110"/>
                <w:sz w:val="15"/>
              </w:rPr>
              <w:t>accessed by</w:t>
            </w:r>
          </w:p>
        </w:tc>
        <w:tc>
          <w:tcPr>
            <w:tcW w:w="1191" w:type="dxa"/>
            <w:tcBorders>
              <w:top w:val="nil"/>
              <w:bottom w:val="nil"/>
            </w:tcBorders>
            <w:shd w:val="clear" w:color="auto" w:fill="F3D4AA"/>
          </w:tcPr>
          <w:p>
            <w:pPr>
              <w:pStyle w:val="TableParagraph"/>
              <w:spacing w:line="168" w:lineRule="exact" w:before="2"/>
              <w:ind w:left="79"/>
              <w:rPr>
                <w:sz w:val="15"/>
              </w:rPr>
            </w:pPr>
            <w:r>
              <w:rPr>
                <w:color w:val="231F20"/>
                <w:w w:val="110"/>
                <w:sz w:val="15"/>
              </w:rPr>
              <w:t>accessed by the</w:t>
            </w:r>
          </w:p>
        </w:tc>
        <w:tc>
          <w:tcPr>
            <w:tcW w:w="1224" w:type="dxa"/>
            <w:tcBorders>
              <w:top w:val="nil"/>
              <w:bottom w:val="nil"/>
            </w:tcBorders>
            <w:shd w:val="clear" w:color="auto" w:fill="F3D4AA"/>
          </w:tcPr>
          <w:p>
            <w:pPr>
              <w:pStyle w:val="TableParagraph"/>
              <w:spacing w:line="168" w:lineRule="exact" w:before="2"/>
              <w:ind w:left="79"/>
              <w:rPr>
                <w:sz w:val="15"/>
              </w:rPr>
            </w:pPr>
            <w:r>
              <w:rPr>
                <w:color w:val="231F20"/>
                <w:w w:val="110"/>
                <w:sz w:val="15"/>
              </w:rPr>
              <w:t>accessed by the</w:t>
            </w:r>
          </w:p>
        </w:tc>
        <w:tc>
          <w:tcPr>
            <w:tcW w:w="1229" w:type="dxa"/>
            <w:tcBorders>
              <w:top w:val="nil"/>
              <w:bottom w:val="nil"/>
            </w:tcBorders>
            <w:shd w:val="clear" w:color="auto" w:fill="F3D4AA"/>
          </w:tcPr>
          <w:p>
            <w:pPr>
              <w:pStyle w:val="TableParagraph"/>
              <w:spacing w:line="168" w:lineRule="exact" w:before="2"/>
              <w:ind w:left="78"/>
              <w:rPr>
                <w:sz w:val="15"/>
              </w:rPr>
            </w:pPr>
            <w:r>
              <w:rPr>
                <w:color w:val="231F20"/>
                <w:w w:val="110"/>
                <w:sz w:val="15"/>
              </w:rPr>
              <w:t>accessed by the</w:t>
            </w:r>
          </w:p>
        </w:tc>
        <w:tc>
          <w:tcPr>
            <w:tcW w:w="1167" w:type="dxa"/>
            <w:tcBorders>
              <w:top w:val="nil"/>
              <w:bottom w:val="nil"/>
            </w:tcBorders>
            <w:shd w:val="clear" w:color="auto" w:fill="F3D4AA"/>
          </w:tcPr>
          <w:p>
            <w:pPr>
              <w:pStyle w:val="TableParagraph"/>
              <w:spacing w:line="168" w:lineRule="exact" w:before="2"/>
              <w:ind w:left="77"/>
              <w:rPr>
                <w:sz w:val="15"/>
              </w:rPr>
            </w:pPr>
            <w:r>
              <w:rPr>
                <w:color w:val="231F20"/>
                <w:w w:val="110"/>
                <w:sz w:val="15"/>
              </w:rPr>
              <w:t>accessed by</w:t>
            </w:r>
          </w:p>
        </w:tc>
        <w:tc>
          <w:tcPr>
            <w:tcW w:w="1167" w:type="dxa"/>
            <w:tcBorders>
              <w:top w:val="nil"/>
              <w:bottom w:val="nil"/>
            </w:tcBorders>
            <w:shd w:val="clear" w:color="auto" w:fill="F3D4AA"/>
          </w:tcPr>
          <w:p>
            <w:pPr>
              <w:pStyle w:val="TableParagraph"/>
              <w:spacing w:line="168" w:lineRule="exact" w:before="2"/>
              <w:ind w:left="77"/>
              <w:rPr>
                <w:sz w:val="15"/>
              </w:rPr>
            </w:pPr>
            <w:r>
              <w:rPr>
                <w:color w:val="231F20"/>
                <w:w w:val="110"/>
                <w:sz w:val="15"/>
              </w:rPr>
              <w:t>accessed by</w:t>
            </w:r>
          </w:p>
        </w:tc>
        <w:tc>
          <w:tcPr>
            <w:tcW w:w="1167" w:type="dxa"/>
            <w:tcBorders>
              <w:top w:val="nil"/>
              <w:bottom w:val="nil"/>
            </w:tcBorders>
            <w:shd w:val="clear" w:color="auto" w:fill="F3D4AA"/>
          </w:tcPr>
          <w:p>
            <w:pPr>
              <w:pStyle w:val="TableParagraph"/>
              <w:spacing w:line="168" w:lineRule="exact" w:before="2"/>
              <w:ind w:left="76"/>
              <w:rPr>
                <w:sz w:val="15"/>
              </w:rPr>
            </w:pPr>
            <w:r>
              <w:rPr>
                <w:color w:val="231F20"/>
                <w:w w:val="110"/>
                <w:sz w:val="15"/>
              </w:rPr>
              <w:t>accessed by</w:t>
            </w:r>
          </w:p>
        </w:tc>
      </w:tr>
      <w:tr>
        <w:trPr>
          <w:trHeight w:val="220" w:hRule="atLeast"/>
        </w:trPr>
        <w:tc>
          <w:tcPr>
            <w:tcW w:w="1110" w:type="dxa"/>
            <w:tcBorders>
              <w:top w:val="nil"/>
            </w:tcBorders>
            <w:shd w:val="clear" w:color="auto" w:fill="D5E0E3"/>
          </w:tcPr>
          <w:p>
            <w:pPr>
              <w:pStyle w:val="TableParagraph"/>
              <w:rPr>
                <w:rFonts w:ascii="Times New Roman"/>
                <w:sz w:val="14"/>
              </w:rPr>
            </w:pPr>
          </w:p>
        </w:tc>
        <w:tc>
          <w:tcPr>
            <w:tcW w:w="1172" w:type="dxa"/>
            <w:tcBorders>
              <w:top w:val="nil"/>
            </w:tcBorders>
            <w:shd w:val="clear" w:color="auto" w:fill="F3D4AA"/>
          </w:tcPr>
          <w:p>
            <w:pPr>
              <w:pStyle w:val="TableParagraph"/>
              <w:spacing w:before="2"/>
              <w:ind w:left="79"/>
              <w:rPr>
                <w:sz w:val="15"/>
              </w:rPr>
            </w:pPr>
            <w:r>
              <w:rPr>
                <w:color w:val="231F20"/>
                <w:w w:val="110"/>
                <w:sz w:val="15"/>
              </w:rPr>
              <w:t>the public.</w:t>
            </w:r>
          </w:p>
        </w:tc>
        <w:tc>
          <w:tcPr>
            <w:tcW w:w="1191" w:type="dxa"/>
            <w:tcBorders>
              <w:top w:val="nil"/>
            </w:tcBorders>
            <w:shd w:val="clear" w:color="auto" w:fill="F3D4AA"/>
          </w:tcPr>
          <w:p>
            <w:pPr>
              <w:pStyle w:val="TableParagraph"/>
              <w:spacing w:before="2"/>
              <w:ind w:left="79"/>
              <w:rPr>
                <w:sz w:val="15"/>
              </w:rPr>
            </w:pPr>
            <w:r>
              <w:rPr>
                <w:color w:val="231F20"/>
                <w:w w:val="115"/>
                <w:sz w:val="15"/>
              </w:rPr>
              <w:t>public.</w:t>
            </w:r>
          </w:p>
        </w:tc>
        <w:tc>
          <w:tcPr>
            <w:tcW w:w="1224" w:type="dxa"/>
            <w:tcBorders>
              <w:top w:val="nil"/>
            </w:tcBorders>
            <w:shd w:val="clear" w:color="auto" w:fill="F3D4AA"/>
          </w:tcPr>
          <w:p>
            <w:pPr>
              <w:pStyle w:val="TableParagraph"/>
              <w:spacing w:before="2"/>
              <w:ind w:left="79"/>
              <w:rPr>
                <w:sz w:val="15"/>
              </w:rPr>
            </w:pPr>
            <w:r>
              <w:rPr>
                <w:color w:val="231F20"/>
                <w:w w:val="115"/>
                <w:sz w:val="15"/>
              </w:rPr>
              <w:t>public.</w:t>
            </w:r>
          </w:p>
        </w:tc>
        <w:tc>
          <w:tcPr>
            <w:tcW w:w="1229" w:type="dxa"/>
            <w:tcBorders>
              <w:top w:val="nil"/>
            </w:tcBorders>
            <w:shd w:val="clear" w:color="auto" w:fill="F3D4AA"/>
          </w:tcPr>
          <w:p>
            <w:pPr>
              <w:pStyle w:val="TableParagraph"/>
              <w:spacing w:before="2"/>
              <w:ind w:left="78"/>
              <w:rPr>
                <w:sz w:val="15"/>
              </w:rPr>
            </w:pPr>
            <w:r>
              <w:rPr>
                <w:color w:val="231F20"/>
                <w:w w:val="115"/>
                <w:sz w:val="15"/>
              </w:rPr>
              <w:t>public.</w:t>
            </w:r>
          </w:p>
        </w:tc>
        <w:tc>
          <w:tcPr>
            <w:tcW w:w="1167" w:type="dxa"/>
            <w:tcBorders>
              <w:top w:val="nil"/>
            </w:tcBorders>
            <w:shd w:val="clear" w:color="auto" w:fill="F3D4AA"/>
          </w:tcPr>
          <w:p>
            <w:pPr>
              <w:pStyle w:val="TableParagraph"/>
              <w:spacing w:before="2"/>
              <w:ind w:left="77"/>
              <w:rPr>
                <w:sz w:val="15"/>
              </w:rPr>
            </w:pPr>
            <w:r>
              <w:rPr>
                <w:color w:val="231F20"/>
                <w:w w:val="110"/>
                <w:sz w:val="15"/>
              </w:rPr>
              <w:t>the public.</w:t>
            </w:r>
          </w:p>
        </w:tc>
        <w:tc>
          <w:tcPr>
            <w:tcW w:w="1167" w:type="dxa"/>
            <w:tcBorders>
              <w:top w:val="nil"/>
            </w:tcBorders>
            <w:shd w:val="clear" w:color="auto" w:fill="F3D4AA"/>
          </w:tcPr>
          <w:p>
            <w:pPr>
              <w:pStyle w:val="TableParagraph"/>
              <w:spacing w:before="2"/>
              <w:ind w:left="77"/>
              <w:rPr>
                <w:sz w:val="15"/>
              </w:rPr>
            </w:pPr>
            <w:r>
              <w:rPr>
                <w:color w:val="231F20"/>
                <w:w w:val="110"/>
                <w:sz w:val="15"/>
              </w:rPr>
              <w:t>the public.</w:t>
            </w:r>
          </w:p>
        </w:tc>
        <w:tc>
          <w:tcPr>
            <w:tcW w:w="1167" w:type="dxa"/>
            <w:tcBorders>
              <w:top w:val="nil"/>
            </w:tcBorders>
            <w:shd w:val="clear" w:color="auto" w:fill="F3D4AA"/>
          </w:tcPr>
          <w:p>
            <w:pPr>
              <w:pStyle w:val="TableParagraph"/>
              <w:spacing w:before="2"/>
              <w:ind w:left="76"/>
              <w:rPr>
                <w:sz w:val="15"/>
              </w:rPr>
            </w:pPr>
            <w:r>
              <w:rPr>
                <w:color w:val="231F20"/>
                <w:w w:val="110"/>
                <w:sz w:val="15"/>
              </w:rPr>
              <w:t>the public.</w:t>
            </w:r>
          </w:p>
        </w:tc>
      </w:tr>
      <w:tr>
        <w:trPr>
          <w:trHeight w:val="262" w:hRule="atLeast"/>
        </w:trPr>
        <w:tc>
          <w:tcPr>
            <w:tcW w:w="1110" w:type="dxa"/>
            <w:tcBorders>
              <w:bottom w:val="nil"/>
            </w:tcBorders>
            <w:shd w:val="clear" w:color="auto" w:fill="D5E0E3"/>
          </w:tcPr>
          <w:p>
            <w:pPr>
              <w:pStyle w:val="TableParagraph"/>
              <w:spacing w:line="167" w:lineRule="exact" w:before="75"/>
              <w:ind w:left="80"/>
              <w:rPr>
                <w:b/>
                <w:sz w:val="15"/>
              </w:rPr>
            </w:pPr>
            <w:r>
              <w:rPr>
                <w:b/>
                <w:color w:val="231F20"/>
                <w:w w:val="110"/>
                <w:sz w:val="15"/>
              </w:rPr>
              <w:t>Republic of</w:t>
            </w:r>
          </w:p>
        </w:tc>
        <w:tc>
          <w:tcPr>
            <w:tcW w:w="1172" w:type="dxa"/>
            <w:tcBorders>
              <w:bottom w:val="nil"/>
            </w:tcBorders>
            <w:shd w:val="clear" w:color="auto" w:fill="D8E3CE"/>
          </w:tcPr>
          <w:p>
            <w:pPr>
              <w:pStyle w:val="TableParagraph"/>
              <w:spacing w:line="168" w:lineRule="exact" w:before="74"/>
              <w:ind w:left="79"/>
              <w:rPr>
                <w:sz w:val="15"/>
              </w:rPr>
            </w:pPr>
            <w:r>
              <w:rPr>
                <w:color w:val="231F20"/>
                <w:w w:val="110"/>
                <w:sz w:val="15"/>
              </w:rPr>
              <w:t>Annual</w:t>
            </w:r>
          </w:p>
        </w:tc>
        <w:tc>
          <w:tcPr>
            <w:tcW w:w="1191" w:type="dxa"/>
            <w:tcBorders>
              <w:bottom w:val="nil"/>
            </w:tcBorders>
            <w:shd w:val="clear" w:color="auto" w:fill="D8E3CE"/>
          </w:tcPr>
          <w:p>
            <w:pPr>
              <w:pStyle w:val="TableParagraph"/>
              <w:spacing w:line="168" w:lineRule="exact" w:before="74"/>
              <w:ind w:left="79"/>
              <w:rPr>
                <w:sz w:val="15"/>
              </w:rPr>
            </w:pPr>
            <w:r>
              <w:rPr>
                <w:color w:val="231F20"/>
                <w:w w:val="110"/>
                <w:sz w:val="15"/>
              </w:rPr>
              <w:t>Annual</w:t>
            </w:r>
          </w:p>
        </w:tc>
        <w:tc>
          <w:tcPr>
            <w:tcW w:w="1224" w:type="dxa"/>
            <w:tcBorders>
              <w:bottom w:val="nil"/>
            </w:tcBorders>
            <w:shd w:val="clear" w:color="auto" w:fill="D8E3CE"/>
          </w:tcPr>
          <w:p>
            <w:pPr>
              <w:pStyle w:val="TableParagraph"/>
              <w:spacing w:line="168" w:lineRule="exact" w:before="74"/>
              <w:ind w:left="79"/>
              <w:rPr>
                <w:sz w:val="15"/>
              </w:rPr>
            </w:pPr>
            <w:r>
              <w:rPr>
                <w:color w:val="231F20"/>
                <w:w w:val="110"/>
                <w:sz w:val="15"/>
              </w:rPr>
              <w:t>Annual Report</w:t>
            </w:r>
          </w:p>
        </w:tc>
        <w:tc>
          <w:tcPr>
            <w:tcW w:w="1229" w:type="dxa"/>
            <w:tcBorders>
              <w:bottom w:val="nil"/>
            </w:tcBorders>
            <w:shd w:val="clear" w:color="auto" w:fill="D8E3CE"/>
          </w:tcPr>
          <w:p>
            <w:pPr>
              <w:pStyle w:val="TableParagraph"/>
              <w:spacing w:line="168" w:lineRule="exact" w:before="74"/>
              <w:ind w:left="78"/>
              <w:rPr>
                <w:sz w:val="15"/>
              </w:rPr>
            </w:pPr>
            <w:r>
              <w:rPr>
                <w:color w:val="231F20"/>
                <w:w w:val="110"/>
                <w:sz w:val="15"/>
              </w:rPr>
              <w:t>Annual Report</w:t>
            </w:r>
          </w:p>
        </w:tc>
        <w:tc>
          <w:tcPr>
            <w:tcW w:w="1167" w:type="dxa"/>
            <w:tcBorders>
              <w:bottom w:val="nil"/>
            </w:tcBorders>
            <w:shd w:val="clear" w:color="auto" w:fill="D8E3CE"/>
          </w:tcPr>
          <w:p>
            <w:pPr>
              <w:pStyle w:val="TableParagraph"/>
              <w:spacing w:line="168" w:lineRule="exact" w:before="74"/>
              <w:ind w:left="77"/>
              <w:rPr>
                <w:sz w:val="15"/>
              </w:rPr>
            </w:pPr>
            <w:r>
              <w:rPr>
                <w:color w:val="231F20"/>
                <w:w w:val="110"/>
                <w:sz w:val="15"/>
              </w:rPr>
              <w:t>Annual</w:t>
            </w:r>
          </w:p>
        </w:tc>
        <w:tc>
          <w:tcPr>
            <w:tcW w:w="1167" w:type="dxa"/>
            <w:tcBorders>
              <w:bottom w:val="nil"/>
            </w:tcBorders>
            <w:shd w:val="clear" w:color="auto" w:fill="D8E3CE"/>
          </w:tcPr>
          <w:p>
            <w:pPr>
              <w:pStyle w:val="TableParagraph"/>
              <w:spacing w:line="168" w:lineRule="exact" w:before="74"/>
              <w:ind w:left="77"/>
              <w:rPr>
                <w:sz w:val="15"/>
              </w:rPr>
            </w:pPr>
            <w:r>
              <w:rPr>
                <w:color w:val="231F20"/>
                <w:w w:val="110"/>
                <w:sz w:val="15"/>
              </w:rPr>
              <w:t>Annual</w:t>
            </w:r>
          </w:p>
        </w:tc>
        <w:tc>
          <w:tcPr>
            <w:tcW w:w="1167" w:type="dxa"/>
            <w:tcBorders>
              <w:bottom w:val="nil"/>
            </w:tcBorders>
            <w:shd w:val="clear" w:color="auto" w:fill="D8E3CE"/>
          </w:tcPr>
          <w:p>
            <w:pPr>
              <w:pStyle w:val="TableParagraph"/>
              <w:spacing w:line="168" w:lineRule="exact" w:before="74"/>
              <w:ind w:left="76"/>
              <w:rPr>
                <w:sz w:val="15"/>
              </w:rPr>
            </w:pPr>
            <w:r>
              <w:rPr>
                <w:color w:val="231F20"/>
                <w:w w:val="110"/>
                <w:sz w:val="15"/>
              </w:rPr>
              <w:t>Annual</w:t>
            </w:r>
          </w:p>
        </w:tc>
      </w:tr>
      <w:tr>
        <w:trPr>
          <w:trHeight w:val="189" w:hRule="atLeast"/>
        </w:trPr>
        <w:tc>
          <w:tcPr>
            <w:tcW w:w="1110" w:type="dxa"/>
            <w:tcBorders>
              <w:top w:val="nil"/>
              <w:bottom w:val="nil"/>
            </w:tcBorders>
            <w:shd w:val="clear" w:color="auto" w:fill="D5E0E3"/>
          </w:tcPr>
          <w:p>
            <w:pPr>
              <w:pStyle w:val="TableParagraph"/>
              <w:spacing w:line="167" w:lineRule="exact" w:before="2"/>
              <w:ind w:left="80"/>
              <w:rPr>
                <w:b/>
                <w:sz w:val="15"/>
              </w:rPr>
            </w:pPr>
            <w:r>
              <w:rPr>
                <w:b/>
                <w:color w:val="231F20"/>
                <w:w w:val="105"/>
                <w:sz w:val="15"/>
              </w:rPr>
              <w:t>the Marshall</w:t>
            </w:r>
          </w:p>
        </w:tc>
        <w:tc>
          <w:tcPr>
            <w:tcW w:w="1172" w:type="dxa"/>
            <w:tcBorders>
              <w:top w:val="nil"/>
              <w:bottom w:val="nil"/>
            </w:tcBorders>
            <w:shd w:val="clear" w:color="auto" w:fill="D8E3CE"/>
          </w:tcPr>
          <w:p>
            <w:pPr>
              <w:pStyle w:val="TableParagraph"/>
              <w:spacing w:line="168" w:lineRule="exact" w:before="2"/>
              <w:ind w:left="79"/>
              <w:rPr>
                <w:sz w:val="15"/>
              </w:rPr>
            </w:pPr>
            <w:r>
              <w:rPr>
                <w:color w:val="231F20"/>
                <w:w w:val="110"/>
                <w:sz w:val="15"/>
              </w:rPr>
              <w:t>Report can</w:t>
            </w:r>
          </w:p>
        </w:tc>
        <w:tc>
          <w:tcPr>
            <w:tcW w:w="1191" w:type="dxa"/>
            <w:tcBorders>
              <w:top w:val="nil"/>
              <w:bottom w:val="nil"/>
            </w:tcBorders>
            <w:shd w:val="clear" w:color="auto" w:fill="D8E3CE"/>
          </w:tcPr>
          <w:p>
            <w:pPr>
              <w:pStyle w:val="TableParagraph"/>
              <w:spacing w:line="168" w:lineRule="exact" w:before="2"/>
              <w:ind w:left="79"/>
              <w:rPr>
                <w:sz w:val="15"/>
              </w:rPr>
            </w:pPr>
            <w:r>
              <w:rPr>
                <w:color w:val="231F20"/>
                <w:w w:val="110"/>
                <w:sz w:val="15"/>
              </w:rPr>
              <w:t>Report can</w:t>
            </w:r>
          </w:p>
        </w:tc>
        <w:tc>
          <w:tcPr>
            <w:tcW w:w="1224" w:type="dxa"/>
            <w:tcBorders>
              <w:top w:val="nil"/>
              <w:bottom w:val="nil"/>
            </w:tcBorders>
            <w:shd w:val="clear" w:color="auto" w:fill="D8E3CE"/>
          </w:tcPr>
          <w:p>
            <w:pPr>
              <w:pStyle w:val="TableParagraph"/>
              <w:spacing w:line="168" w:lineRule="exact" w:before="2"/>
              <w:ind w:left="79"/>
              <w:rPr>
                <w:sz w:val="15"/>
              </w:rPr>
            </w:pPr>
            <w:r>
              <w:rPr>
                <w:color w:val="231F20"/>
                <w:w w:val="110"/>
                <w:sz w:val="15"/>
              </w:rPr>
              <w:t>can be accessed</w:t>
            </w:r>
          </w:p>
        </w:tc>
        <w:tc>
          <w:tcPr>
            <w:tcW w:w="1229" w:type="dxa"/>
            <w:tcBorders>
              <w:top w:val="nil"/>
              <w:bottom w:val="nil"/>
            </w:tcBorders>
            <w:shd w:val="clear" w:color="auto" w:fill="D8E3CE"/>
          </w:tcPr>
          <w:p>
            <w:pPr>
              <w:pStyle w:val="TableParagraph"/>
              <w:spacing w:line="168" w:lineRule="exact" w:before="2"/>
              <w:ind w:left="78"/>
              <w:rPr>
                <w:sz w:val="15"/>
              </w:rPr>
            </w:pPr>
            <w:r>
              <w:rPr>
                <w:color w:val="231F20"/>
                <w:w w:val="110"/>
                <w:sz w:val="15"/>
              </w:rPr>
              <w:t>can be accessed</w:t>
            </w:r>
          </w:p>
        </w:tc>
        <w:tc>
          <w:tcPr>
            <w:tcW w:w="1167" w:type="dxa"/>
            <w:tcBorders>
              <w:top w:val="nil"/>
              <w:bottom w:val="nil"/>
            </w:tcBorders>
            <w:shd w:val="clear" w:color="auto" w:fill="D8E3CE"/>
          </w:tcPr>
          <w:p>
            <w:pPr>
              <w:pStyle w:val="TableParagraph"/>
              <w:spacing w:line="168" w:lineRule="exact" w:before="2"/>
              <w:ind w:left="77"/>
              <w:rPr>
                <w:sz w:val="15"/>
              </w:rPr>
            </w:pPr>
            <w:r>
              <w:rPr>
                <w:color w:val="231F20"/>
                <w:w w:val="110"/>
                <w:sz w:val="15"/>
              </w:rPr>
              <w:t>Report can</w:t>
            </w:r>
          </w:p>
        </w:tc>
        <w:tc>
          <w:tcPr>
            <w:tcW w:w="1167" w:type="dxa"/>
            <w:tcBorders>
              <w:top w:val="nil"/>
              <w:bottom w:val="nil"/>
            </w:tcBorders>
            <w:shd w:val="clear" w:color="auto" w:fill="D8E3CE"/>
          </w:tcPr>
          <w:p>
            <w:pPr>
              <w:pStyle w:val="TableParagraph"/>
              <w:spacing w:line="168" w:lineRule="exact" w:before="2"/>
              <w:ind w:left="77"/>
              <w:rPr>
                <w:sz w:val="15"/>
              </w:rPr>
            </w:pPr>
            <w:r>
              <w:rPr>
                <w:color w:val="231F20"/>
                <w:w w:val="110"/>
                <w:sz w:val="15"/>
              </w:rPr>
              <w:t>Report can</w:t>
            </w:r>
          </w:p>
        </w:tc>
        <w:tc>
          <w:tcPr>
            <w:tcW w:w="1167" w:type="dxa"/>
            <w:tcBorders>
              <w:top w:val="nil"/>
              <w:bottom w:val="nil"/>
            </w:tcBorders>
            <w:shd w:val="clear" w:color="auto" w:fill="D8E3CE"/>
          </w:tcPr>
          <w:p>
            <w:pPr>
              <w:pStyle w:val="TableParagraph"/>
              <w:spacing w:line="168" w:lineRule="exact" w:before="2"/>
              <w:ind w:left="76"/>
              <w:rPr>
                <w:sz w:val="15"/>
              </w:rPr>
            </w:pPr>
            <w:r>
              <w:rPr>
                <w:color w:val="231F20"/>
                <w:w w:val="110"/>
                <w:sz w:val="15"/>
              </w:rPr>
              <w:t>Report can</w:t>
            </w:r>
          </w:p>
        </w:tc>
      </w:tr>
      <w:tr>
        <w:trPr>
          <w:trHeight w:val="190" w:hRule="atLeast"/>
        </w:trPr>
        <w:tc>
          <w:tcPr>
            <w:tcW w:w="1110" w:type="dxa"/>
            <w:tcBorders>
              <w:top w:val="nil"/>
              <w:bottom w:val="nil"/>
            </w:tcBorders>
            <w:shd w:val="clear" w:color="auto" w:fill="D5E0E3"/>
          </w:tcPr>
          <w:p>
            <w:pPr>
              <w:pStyle w:val="TableParagraph"/>
              <w:spacing w:line="167" w:lineRule="exact" w:before="2"/>
              <w:ind w:left="80"/>
              <w:rPr>
                <w:b/>
                <w:sz w:val="15"/>
              </w:rPr>
            </w:pPr>
            <w:r>
              <w:rPr>
                <w:b/>
                <w:color w:val="231F20"/>
                <w:w w:val="110"/>
                <w:sz w:val="15"/>
              </w:rPr>
              <w:t>Islands</w:t>
            </w:r>
          </w:p>
        </w:tc>
        <w:tc>
          <w:tcPr>
            <w:tcW w:w="1172" w:type="dxa"/>
            <w:tcBorders>
              <w:top w:val="nil"/>
              <w:bottom w:val="nil"/>
            </w:tcBorders>
            <w:shd w:val="clear" w:color="auto" w:fill="D8E3CE"/>
          </w:tcPr>
          <w:p>
            <w:pPr>
              <w:pStyle w:val="TableParagraph"/>
              <w:spacing w:line="168" w:lineRule="exact" w:before="2"/>
              <w:ind w:left="79"/>
              <w:rPr>
                <w:sz w:val="15"/>
              </w:rPr>
            </w:pPr>
            <w:r>
              <w:rPr>
                <w:color w:val="231F20"/>
                <w:w w:val="110"/>
                <w:sz w:val="15"/>
              </w:rPr>
              <w:t>be accessed</w:t>
            </w:r>
          </w:p>
        </w:tc>
        <w:tc>
          <w:tcPr>
            <w:tcW w:w="1191" w:type="dxa"/>
            <w:tcBorders>
              <w:top w:val="nil"/>
              <w:bottom w:val="nil"/>
            </w:tcBorders>
            <w:shd w:val="clear" w:color="auto" w:fill="D8E3CE"/>
          </w:tcPr>
          <w:p>
            <w:pPr>
              <w:pStyle w:val="TableParagraph"/>
              <w:spacing w:line="168" w:lineRule="exact" w:before="2"/>
              <w:ind w:left="79"/>
              <w:rPr>
                <w:sz w:val="15"/>
              </w:rPr>
            </w:pPr>
            <w:r>
              <w:rPr>
                <w:color w:val="231F20"/>
                <w:w w:val="110"/>
                <w:sz w:val="15"/>
              </w:rPr>
              <w:t>be accessed</w:t>
            </w:r>
          </w:p>
        </w:tc>
        <w:tc>
          <w:tcPr>
            <w:tcW w:w="1224" w:type="dxa"/>
            <w:tcBorders>
              <w:top w:val="nil"/>
              <w:bottom w:val="nil"/>
            </w:tcBorders>
            <w:shd w:val="clear" w:color="auto" w:fill="D8E3CE"/>
          </w:tcPr>
          <w:p>
            <w:pPr>
              <w:pStyle w:val="TableParagraph"/>
              <w:spacing w:line="168" w:lineRule="exact" w:before="2"/>
              <w:ind w:left="79"/>
              <w:rPr>
                <w:b/>
                <w:sz w:val="15"/>
              </w:rPr>
            </w:pPr>
            <w:r>
              <w:rPr>
                <w:color w:val="231F20"/>
                <w:sz w:val="15"/>
              </w:rPr>
              <w:t>at: </w:t>
            </w:r>
            <w:r>
              <w:rPr>
                <w:b/>
                <w:color w:val="00403F"/>
                <w:sz w:val="15"/>
              </w:rPr>
              <w:t>http://</w:t>
            </w:r>
          </w:p>
        </w:tc>
        <w:tc>
          <w:tcPr>
            <w:tcW w:w="1229" w:type="dxa"/>
            <w:tcBorders>
              <w:top w:val="nil"/>
              <w:bottom w:val="nil"/>
            </w:tcBorders>
            <w:shd w:val="clear" w:color="auto" w:fill="D8E3CE"/>
          </w:tcPr>
          <w:p>
            <w:pPr>
              <w:pStyle w:val="TableParagraph"/>
              <w:spacing w:line="168" w:lineRule="exact" w:before="2"/>
              <w:ind w:left="78"/>
              <w:rPr>
                <w:b/>
                <w:sz w:val="15"/>
              </w:rPr>
            </w:pPr>
            <w:r>
              <w:rPr>
                <w:color w:val="231F20"/>
                <w:sz w:val="15"/>
              </w:rPr>
              <w:t>at: </w:t>
            </w:r>
            <w:r>
              <w:rPr>
                <w:b/>
                <w:color w:val="00403F"/>
                <w:sz w:val="15"/>
              </w:rPr>
              <w:t>http://</w:t>
            </w:r>
          </w:p>
        </w:tc>
        <w:tc>
          <w:tcPr>
            <w:tcW w:w="1167" w:type="dxa"/>
            <w:tcBorders>
              <w:top w:val="nil"/>
              <w:bottom w:val="nil"/>
            </w:tcBorders>
            <w:shd w:val="clear" w:color="auto" w:fill="D8E3CE"/>
          </w:tcPr>
          <w:p>
            <w:pPr>
              <w:pStyle w:val="TableParagraph"/>
              <w:spacing w:line="168" w:lineRule="exact" w:before="2"/>
              <w:ind w:left="77"/>
              <w:rPr>
                <w:sz w:val="15"/>
              </w:rPr>
            </w:pPr>
            <w:r>
              <w:rPr>
                <w:color w:val="231F20"/>
                <w:w w:val="110"/>
                <w:sz w:val="15"/>
              </w:rPr>
              <w:t>be accessed</w:t>
            </w:r>
          </w:p>
        </w:tc>
        <w:tc>
          <w:tcPr>
            <w:tcW w:w="1167" w:type="dxa"/>
            <w:tcBorders>
              <w:top w:val="nil"/>
              <w:bottom w:val="nil"/>
            </w:tcBorders>
            <w:shd w:val="clear" w:color="auto" w:fill="D8E3CE"/>
          </w:tcPr>
          <w:p>
            <w:pPr>
              <w:pStyle w:val="TableParagraph"/>
              <w:spacing w:line="168" w:lineRule="exact" w:before="2"/>
              <w:ind w:left="77"/>
              <w:rPr>
                <w:sz w:val="15"/>
              </w:rPr>
            </w:pPr>
            <w:r>
              <w:rPr>
                <w:color w:val="231F20"/>
                <w:w w:val="110"/>
                <w:sz w:val="15"/>
              </w:rPr>
              <w:t>be accessed</w:t>
            </w:r>
          </w:p>
        </w:tc>
        <w:tc>
          <w:tcPr>
            <w:tcW w:w="1167" w:type="dxa"/>
            <w:tcBorders>
              <w:top w:val="nil"/>
              <w:bottom w:val="nil"/>
            </w:tcBorders>
            <w:shd w:val="clear" w:color="auto" w:fill="D8E3CE"/>
          </w:tcPr>
          <w:p>
            <w:pPr>
              <w:pStyle w:val="TableParagraph"/>
              <w:spacing w:line="168" w:lineRule="exact" w:before="2"/>
              <w:ind w:left="76"/>
              <w:rPr>
                <w:sz w:val="15"/>
              </w:rPr>
            </w:pPr>
            <w:r>
              <w:rPr>
                <w:color w:val="231F20"/>
                <w:w w:val="110"/>
                <w:sz w:val="15"/>
              </w:rPr>
              <w:t>be accessed</w:t>
            </w:r>
          </w:p>
        </w:tc>
      </w:tr>
      <w:tr>
        <w:trPr>
          <w:trHeight w:val="191" w:hRule="atLeast"/>
        </w:trPr>
        <w:tc>
          <w:tcPr>
            <w:tcW w:w="1110" w:type="dxa"/>
            <w:tcBorders>
              <w:top w:val="nil"/>
              <w:bottom w:val="nil"/>
            </w:tcBorders>
            <w:shd w:val="clear" w:color="auto" w:fill="D5E0E3"/>
          </w:tcPr>
          <w:p>
            <w:pPr>
              <w:pStyle w:val="TableParagraph"/>
              <w:rPr>
                <w:rFonts w:ascii="Times New Roman"/>
                <w:sz w:val="12"/>
              </w:rPr>
            </w:pPr>
          </w:p>
        </w:tc>
        <w:tc>
          <w:tcPr>
            <w:tcW w:w="1172" w:type="dxa"/>
            <w:tcBorders>
              <w:top w:val="nil"/>
              <w:bottom w:val="nil"/>
            </w:tcBorders>
            <w:shd w:val="clear" w:color="auto" w:fill="D8E3CE"/>
          </w:tcPr>
          <w:p>
            <w:pPr>
              <w:pStyle w:val="TableParagraph"/>
              <w:spacing w:line="170" w:lineRule="exact" w:before="2"/>
              <w:ind w:left="79"/>
              <w:rPr>
                <w:b/>
                <w:sz w:val="15"/>
              </w:rPr>
            </w:pPr>
            <w:r>
              <w:rPr>
                <w:color w:val="231F20"/>
                <w:sz w:val="15"/>
              </w:rPr>
              <w:t>at: </w:t>
            </w:r>
            <w:r>
              <w:rPr>
                <w:b/>
                <w:color w:val="00403F"/>
                <w:sz w:val="15"/>
              </w:rPr>
              <w:t>http://</w:t>
            </w:r>
          </w:p>
        </w:tc>
        <w:tc>
          <w:tcPr>
            <w:tcW w:w="1191" w:type="dxa"/>
            <w:tcBorders>
              <w:top w:val="nil"/>
              <w:bottom w:val="nil"/>
            </w:tcBorders>
            <w:shd w:val="clear" w:color="auto" w:fill="D8E3CE"/>
          </w:tcPr>
          <w:p>
            <w:pPr>
              <w:pStyle w:val="TableParagraph"/>
              <w:spacing w:line="170" w:lineRule="exact" w:before="2"/>
              <w:ind w:left="79"/>
              <w:rPr>
                <w:b/>
                <w:sz w:val="15"/>
              </w:rPr>
            </w:pPr>
            <w:r>
              <w:rPr>
                <w:color w:val="231F20"/>
                <w:sz w:val="15"/>
              </w:rPr>
              <w:t>at: </w:t>
            </w:r>
            <w:r>
              <w:rPr>
                <w:b/>
                <w:color w:val="00403F"/>
                <w:sz w:val="15"/>
              </w:rPr>
              <w:t>http://</w:t>
            </w:r>
          </w:p>
        </w:tc>
        <w:tc>
          <w:tcPr>
            <w:tcW w:w="1224" w:type="dxa"/>
            <w:tcBorders>
              <w:top w:val="nil"/>
              <w:bottom w:val="nil"/>
            </w:tcBorders>
            <w:shd w:val="clear" w:color="auto" w:fill="D8E3CE"/>
          </w:tcPr>
          <w:p>
            <w:pPr>
              <w:pStyle w:val="TableParagraph"/>
              <w:spacing w:line="170" w:lineRule="exact" w:before="2"/>
              <w:ind w:left="79"/>
              <w:rPr>
                <w:b/>
                <w:sz w:val="15"/>
              </w:rPr>
            </w:pPr>
            <w:r>
              <w:rPr>
                <w:b/>
                <w:color w:val="00403F"/>
                <w:w w:val="105"/>
                <w:sz w:val="15"/>
              </w:rPr>
              <w:t>rmicourts.org/</w:t>
            </w:r>
          </w:p>
        </w:tc>
        <w:tc>
          <w:tcPr>
            <w:tcW w:w="1229" w:type="dxa"/>
            <w:tcBorders>
              <w:top w:val="nil"/>
              <w:bottom w:val="nil"/>
            </w:tcBorders>
            <w:shd w:val="clear" w:color="auto" w:fill="D8E3CE"/>
          </w:tcPr>
          <w:p>
            <w:pPr>
              <w:pStyle w:val="TableParagraph"/>
              <w:spacing w:line="170" w:lineRule="exact" w:before="2"/>
              <w:ind w:left="78"/>
              <w:rPr>
                <w:b/>
                <w:sz w:val="15"/>
              </w:rPr>
            </w:pPr>
            <w:r>
              <w:rPr>
                <w:b/>
                <w:color w:val="00403F"/>
                <w:w w:val="105"/>
                <w:sz w:val="15"/>
              </w:rPr>
              <w:t>rmicourts.org/</w:t>
            </w:r>
          </w:p>
        </w:tc>
        <w:tc>
          <w:tcPr>
            <w:tcW w:w="1167" w:type="dxa"/>
            <w:tcBorders>
              <w:top w:val="nil"/>
              <w:bottom w:val="nil"/>
            </w:tcBorders>
            <w:shd w:val="clear" w:color="auto" w:fill="D8E3CE"/>
          </w:tcPr>
          <w:p>
            <w:pPr>
              <w:pStyle w:val="TableParagraph"/>
              <w:spacing w:line="170" w:lineRule="exact" w:before="2"/>
              <w:ind w:left="77"/>
              <w:rPr>
                <w:b/>
                <w:sz w:val="15"/>
              </w:rPr>
            </w:pPr>
            <w:r>
              <w:rPr>
                <w:color w:val="231F20"/>
                <w:sz w:val="15"/>
              </w:rPr>
              <w:t>at: </w:t>
            </w:r>
            <w:r>
              <w:rPr>
                <w:b/>
                <w:color w:val="00403F"/>
                <w:sz w:val="15"/>
              </w:rPr>
              <w:t>http://</w:t>
            </w:r>
          </w:p>
        </w:tc>
        <w:tc>
          <w:tcPr>
            <w:tcW w:w="1167" w:type="dxa"/>
            <w:tcBorders>
              <w:top w:val="nil"/>
              <w:bottom w:val="nil"/>
            </w:tcBorders>
            <w:shd w:val="clear" w:color="auto" w:fill="D8E3CE"/>
          </w:tcPr>
          <w:p>
            <w:pPr>
              <w:pStyle w:val="TableParagraph"/>
              <w:spacing w:line="170" w:lineRule="exact" w:before="2"/>
              <w:ind w:left="77"/>
              <w:rPr>
                <w:b/>
                <w:sz w:val="15"/>
              </w:rPr>
            </w:pPr>
            <w:r>
              <w:rPr>
                <w:color w:val="231F20"/>
                <w:sz w:val="15"/>
              </w:rPr>
              <w:t>at: </w:t>
            </w:r>
            <w:r>
              <w:rPr>
                <w:b/>
                <w:color w:val="00403F"/>
                <w:sz w:val="15"/>
              </w:rPr>
              <w:t>http://</w:t>
            </w:r>
          </w:p>
        </w:tc>
        <w:tc>
          <w:tcPr>
            <w:tcW w:w="1167" w:type="dxa"/>
            <w:tcBorders>
              <w:top w:val="nil"/>
              <w:bottom w:val="nil"/>
            </w:tcBorders>
            <w:shd w:val="clear" w:color="auto" w:fill="D8E3CE"/>
          </w:tcPr>
          <w:p>
            <w:pPr>
              <w:pStyle w:val="TableParagraph"/>
              <w:spacing w:line="170" w:lineRule="exact" w:before="2"/>
              <w:ind w:left="76"/>
              <w:rPr>
                <w:b/>
                <w:sz w:val="15"/>
              </w:rPr>
            </w:pPr>
            <w:r>
              <w:rPr>
                <w:color w:val="231F20"/>
                <w:sz w:val="15"/>
              </w:rPr>
              <w:t>at: </w:t>
            </w:r>
            <w:r>
              <w:rPr>
                <w:b/>
                <w:color w:val="00403F"/>
                <w:sz w:val="15"/>
              </w:rPr>
              <w:t>http://</w:t>
            </w:r>
          </w:p>
        </w:tc>
      </w:tr>
      <w:tr>
        <w:trPr>
          <w:trHeight w:val="218" w:hRule="atLeast"/>
        </w:trPr>
        <w:tc>
          <w:tcPr>
            <w:tcW w:w="1110" w:type="dxa"/>
            <w:tcBorders>
              <w:top w:val="nil"/>
            </w:tcBorders>
            <w:shd w:val="clear" w:color="auto" w:fill="D5E0E3"/>
          </w:tcPr>
          <w:p>
            <w:pPr>
              <w:pStyle w:val="TableParagraph"/>
              <w:rPr>
                <w:rFonts w:ascii="Times New Roman"/>
                <w:sz w:val="14"/>
              </w:rPr>
            </w:pPr>
          </w:p>
        </w:tc>
        <w:tc>
          <w:tcPr>
            <w:tcW w:w="1172" w:type="dxa"/>
            <w:tcBorders>
              <w:top w:val="nil"/>
            </w:tcBorders>
            <w:shd w:val="clear" w:color="auto" w:fill="D8E3CE"/>
          </w:tcPr>
          <w:p>
            <w:pPr>
              <w:pStyle w:val="TableParagraph"/>
              <w:ind w:left="79"/>
              <w:rPr>
                <w:b/>
                <w:sz w:val="15"/>
              </w:rPr>
            </w:pPr>
            <w:r>
              <w:rPr>
                <w:b/>
                <w:color w:val="00403F"/>
                <w:w w:val="105"/>
                <w:sz w:val="15"/>
              </w:rPr>
              <w:t>rmicourts.org/</w:t>
            </w:r>
          </w:p>
        </w:tc>
        <w:tc>
          <w:tcPr>
            <w:tcW w:w="1191" w:type="dxa"/>
            <w:tcBorders>
              <w:top w:val="nil"/>
            </w:tcBorders>
            <w:shd w:val="clear" w:color="auto" w:fill="D8E3CE"/>
          </w:tcPr>
          <w:p>
            <w:pPr>
              <w:pStyle w:val="TableParagraph"/>
              <w:ind w:left="79"/>
              <w:rPr>
                <w:b/>
                <w:sz w:val="15"/>
              </w:rPr>
            </w:pPr>
            <w:r>
              <w:rPr>
                <w:b/>
                <w:color w:val="00403F"/>
                <w:w w:val="105"/>
                <w:sz w:val="15"/>
              </w:rPr>
              <w:t>rmicourts.org/</w:t>
            </w:r>
          </w:p>
        </w:tc>
        <w:tc>
          <w:tcPr>
            <w:tcW w:w="1224" w:type="dxa"/>
            <w:tcBorders>
              <w:top w:val="nil"/>
            </w:tcBorders>
            <w:shd w:val="clear" w:color="auto" w:fill="D8E3CE"/>
          </w:tcPr>
          <w:p>
            <w:pPr>
              <w:pStyle w:val="TableParagraph"/>
              <w:rPr>
                <w:rFonts w:ascii="Times New Roman"/>
                <w:sz w:val="14"/>
              </w:rPr>
            </w:pPr>
          </w:p>
        </w:tc>
        <w:tc>
          <w:tcPr>
            <w:tcW w:w="1229" w:type="dxa"/>
            <w:tcBorders>
              <w:top w:val="nil"/>
            </w:tcBorders>
            <w:shd w:val="clear" w:color="auto" w:fill="D8E3CE"/>
          </w:tcPr>
          <w:p>
            <w:pPr>
              <w:pStyle w:val="TableParagraph"/>
              <w:rPr>
                <w:rFonts w:ascii="Times New Roman"/>
                <w:sz w:val="14"/>
              </w:rPr>
            </w:pPr>
          </w:p>
        </w:tc>
        <w:tc>
          <w:tcPr>
            <w:tcW w:w="1167" w:type="dxa"/>
            <w:tcBorders>
              <w:top w:val="nil"/>
            </w:tcBorders>
            <w:shd w:val="clear" w:color="auto" w:fill="D8E3CE"/>
          </w:tcPr>
          <w:p>
            <w:pPr>
              <w:pStyle w:val="TableParagraph"/>
              <w:ind w:left="77"/>
              <w:rPr>
                <w:b/>
                <w:sz w:val="15"/>
              </w:rPr>
            </w:pPr>
            <w:r>
              <w:rPr>
                <w:b/>
                <w:color w:val="00403F"/>
                <w:w w:val="105"/>
                <w:sz w:val="15"/>
              </w:rPr>
              <w:t>rmicourts.org/</w:t>
            </w:r>
          </w:p>
        </w:tc>
        <w:tc>
          <w:tcPr>
            <w:tcW w:w="1167" w:type="dxa"/>
            <w:tcBorders>
              <w:top w:val="nil"/>
            </w:tcBorders>
            <w:shd w:val="clear" w:color="auto" w:fill="D8E3CE"/>
          </w:tcPr>
          <w:p>
            <w:pPr>
              <w:pStyle w:val="TableParagraph"/>
              <w:ind w:left="77"/>
              <w:rPr>
                <w:b/>
                <w:sz w:val="15"/>
              </w:rPr>
            </w:pPr>
            <w:r>
              <w:rPr>
                <w:b/>
                <w:color w:val="00403F"/>
                <w:w w:val="105"/>
                <w:sz w:val="15"/>
              </w:rPr>
              <w:t>rmicourts.org/</w:t>
            </w:r>
          </w:p>
        </w:tc>
        <w:tc>
          <w:tcPr>
            <w:tcW w:w="1167" w:type="dxa"/>
            <w:tcBorders>
              <w:top w:val="nil"/>
            </w:tcBorders>
            <w:shd w:val="clear" w:color="auto" w:fill="D8E3CE"/>
          </w:tcPr>
          <w:p>
            <w:pPr>
              <w:pStyle w:val="TableParagraph"/>
              <w:ind w:left="76"/>
              <w:rPr>
                <w:b/>
                <w:sz w:val="15"/>
              </w:rPr>
            </w:pPr>
            <w:r>
              <w:rPr>
                <w:b/>
                <w:color w:val="00403F"/>
                <w:w w:val="105"/>
                <w:sz w:val="15"/>
              </w:rPr>
              <w:t>rmicourts.org/</w:t>
            </w:r>
          </w:p>
        </w:tc>
      </w:tr>
    </w:tbl>
    <w:p>
      <w:pPr>
        <w:spacing w:after="0"/>
        <w:rPr>
          <w:sz w:val="15"/>
        </w:rPr>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91536"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tbl>
      <w:tblPr>
        <w:tblW w:w="0" w:type="auto"/>
        <w:jc w:val="left"/>
        <w:tblInd w:w="798"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10"/>
        <w:gridCol w:w="1172"/>
        <w:gridCol w:w="1191"/>
        <w:gridCol w:w="1224"/>
        <w:gridCol w:w="1229"/>
        <w:gridCol w:w="1167"/>
        <w:gridCol w:w="1167"/>
        <w:gridCol w:w="1167"/>
      </w:tblGrid>
      <w:tr>
        <w:trPr>
          <w:trHeight w:val="292" w:hRule="atLeast"/>
        </w:trPr>
        <w:tc>
          <w:tcPr>
            <w:tcW w:w="1110" w:type="dxa"/>
            <w:shd w:val="clear" w:color="auto" w:fill="92BAC2"/>
          </w:tcPr>
          <w:p>
            <w:pPr>
              <w:pStyle w:val="TableParagraph"/>
              <w:rPr>
                <w:rFonts w:ascii="Times New Roman"/>
                <w:sz w:val="14"/>
              </w:rPr>
            </w:pPr>
          </w:p>
        </w:tc>
        <w:tc>
          <w:tcPr>
            <w:tcW w:w="1172" w:type="dxa"/>
            <w:shd w:val="clear" w:color="auto" w:fill="92BAC2"/>
          </w:tcPr>
          <w:p>
            <w:pPr>
              <w:pStyle w:val="TableParagraph"/>
              <w:spacing w:before="75"/>
              <w:ind w:left="79"/>
              <w:rPr>
                <w:b/>
                <w:sz w:val="15"/>
              </w:rPr>
            </w:pPr>
            <w:r>
              <w:rPr>
                <w:b/>
                <w:color w:val="231F20"/>
                <w:w w:val="115"/>
                <w:sz w:val="15"/>
              </w:rPr>
              <w:t>2011</w:t>
            </w:r>
          </w:p>
        </w:tc>
        <w:tc>
          <w:tcPr>
            <w:tcW w:w="1191" w:type="dxa"/>
            <w:shd w:val="clear" w:color="auto" w:fill="92BAC2"/>
          </w:tcPr>
          <w:p>
            <w:pPr>
              <w:pStyle w:val="TableParagraph"/>
              <w:spacing w:before="75"/>
              <w:ind w:left="79"/>
              <w:rPr>
                <w:b/>
                <w:sz w:val="15"/>
              </w:rPr>
            </w:pPr>
            <w:r>
              <w:rPr>
                <w:b/>
                <w:color w:val="231F20"/>
                <w:w w:val="115"/>
                <w:sz w:val="15"/>
              </w:rPr>
              <w:t>2012</w:t>
            </w:r>
          </w:p>
        </w:tc>
        <w:tc>
          <w:tcPr>
            <w:tcW w:w="1224" w:type="dxa"/>
            <w:shd w:val="clear" w:color="auto" w:fill="92BAC2"/>
          </w:tcPr>
          <w:p>
            <w:pPr>
              <w:pStyle w:val="TableParagraph"/>
              <w:spacing w:before="75"/>
              <w:ind w:left="79"/>
              <w:rPr>
                <w:b/>
                <w:sz w:val="15"/>
              </w:rPr>
            </w:pPr>
            <w:r>
              <w:rPr>
                <w:b/>
                <w:color w:val="231F20"/>
                <w:w w:val="115"/>
                <w:sz w:val="15"/>
              </w:rPr>
              <w:t>2013</w:t>
            </w:r>
          </w:p>
        </w:tc>
        <w:tc>
          <w:tcPr>
            <w:tcW w:w="1229" w:type="dxa"/>
            <w:shd w:val="clear" w:color="auto" w:fill="92BAC2"/>
          </w:tcPr>
          <w:p>
            <w:pPr>
              <w:pStyle w:val="TableParagraph"/>
              <w:spacing w:before="75"/>
              <w:ind w:left="78"/>
              <w:rPr>
                <w:b/>
                <w:sz w:val="15"/>
              </w:rPr>
            </w:pPr>
            <w:r>
              <w:rPr>
                <w:b/>
                <w:color w:val="231F20"/>
                <w:w w:val="115"/>
                <w:sz w:val="15"/>
              </w:rPr>
              <w:t>2014</w:t>
            </w:r>
          </w:p>
        </w:tc>
        <w:tc>
          <w:tcPr>
            <w:tcW w:w="1167" w:type="dxa"/>
            <w:shd w:val="clear" w:color="auto" w:fill="92BAC2"/>
          </w:tcPr>
          <w:p>
            <w:pPr>
              <w:pStyle w:val="TableParagraph"/>
              <w:spacing w:before="75"/>
              <w:ind w:left="77"/>
              <w:rPr>
                <w:b/>
                <w:sz w:val="15"/>
              </w:rPr>
            </w:pPr>
            <w:r>
              <w:rPr>
                <w:b/>
                <w:color w:val="231F20"/>
                <w:w w:val="115"/>
                <w:sz w:val="15"/>
              </w:rPr>
              <w:t>2015</w:t>
            </w:r>
          </w:p>
        </w:tc>
        <w:tc>
          <w:tcPr>
            <w:tcW w:w="1167" w:type="dxa"/>
            <w:shd w:val="clear" w:color="auto" w:fill="92BAC2"/>
          </w:tcPr>
          <w:p>
            <w:pPr>
              <w:pStyle w:val="TableParagraph"/>
              <w:spacing w:before="75"/>
              <w:ind w:left="77"/>
              <w:rPr>
                <w:b/>
                <w:sz w:val="15"/>
              </w:rPr>
            </w:pPr>
            <w:r>
              <w:rPr>
                <w:b/>
                <w:color w:val="231F20"/>
                <w:w w:val="115"/>
                <w:sz w:val="15"/>
              </w:rPr>
              <w:t>2016</w:t>
            </w:r>
          </w:p>
        </w:tc>
        <w:tc>
          <w:tcPr>
            <w:tcW w:w="1167" w:type="dxa"/>
            <w:shd w:val="clear" w:color="auto" w:fill="92BAC2"/>
          </w:tcPr>
          <w:p>
            <w:pPr>
              <w:pStyle w:val="TableParagraph"/>
              <w:spacing w:before="75"/>
              <w:ind w:left="76"/>
              <w:rPr>
                <w:b/>
                <w:sz w:val="15"/>
              </w:rPr>
            </w:pPr>
            <w:r>
              <w:rPr>
                <w:b/>
                <w:color w:val="231F20"/>
                <w:w w:val="115"/>
                <w:sz w:val="15"/>
              </w:rPr>
              <w:t>2017</w:t>
            </w:r>
          </w:p>
        </w:tc>
      </w:tr>
      <w:tr>
        <w:trPr>
          <w:trHeight w:val="1850" w:hRule="atLeast"/>
        </w:trPr>
        <w:tc>
          <w:tcPr>
            <w:tcW w:w="1110" w:type="dxa"/>
            <w:shd w:val="clear" w:color="auto" w:fill="D5E0E3"/>
          </w:tcPr>
          <w:p>
            <w:pPr>
              <w:pStyle w:val="TableParagraph"/>
              <w:spacing w:before="75"/>
              <w:ind w:left="80"/>
              <w:rPr>
                <w:b/>
                <w:sz w:val="15"/>
              </w:rPr>
            </w:pPr>
            <w:r>
              <w:rPr>
                <w:b/>
                <w:color w:val="231F20"/>
                <w:w w:val="105"/>
                <w:sz w:val="15"/>
              </w:rPr>
              <w:t>Samoa</w:t>
            </w:r>
          </w:p>
        </w:tc>
        <w:tc>
          <w:tcPr>
            <w:tcW w:w="1172" w:type="dxa"/>
            <w:shd w:val="clear" w:color="auto" w:fill="D8E3CE"/>
          </w:tcPr>
          <w:p>
            <w:pPr>
              <w:pStyle w:val="TableParagraph"/>
              <w:spacing w:line="249" w:lineRule="auto" w:before="74"/>
              <w:ind w:left="79" w:right="429"/>
              <w:rPr>
                <w:sz w:val="15"/>
              </w:rPr>
            </w:pPr>
            <w:r>
              <w:rPr>
                <w:color w:val="231F20"/>
                <w:w w:val="105"/>
                <w:sz w:val="15"/>
              </w:rPr>
              <w:t>Ministry of Justice and Court</w:t>
            </w:r>
          </w:p>
          <w:p>
            <w:pPr>
              <w:pStyle w:val="TableParagraph"/>
              <w:spacing w:line="249" w:lineRule="auto"/>
              <w:ind w:left="79" w:right="121"/>
              <w:jc w:val="both"/>
              <w:rPr>
                <w:sz w:val="15"/>
              </w:rPr>
            </w:pPr>
            <w:r>
              <w:rPr>
                <w:color w:val="231F20"/>
                <w:spacing w:val="-3"/>
                <w:w w:val="110"/>
                <w:sz w:val="15"/>
              </w:rPr>
              <w:t>Administration </w:t>
            </w:r>
            <w:r>
              <w:rPr>
                <w:color w:val="231F20"/>
                <w:w w:val="110"/>
                <w:sz w:val="15"/>
              </w:rPr>
              <w:t>Annual </w:t>
            </w:r>
            <w:r>
              <w:rPr>
                <w:color w:val="231F20"/>
                <w:spacing w:val="-2"/>
                <w:w w:val="110"/>
                <w:sz w:val="15"/>
              </w:rPr>
              <w:t>Report </w:t>
            </w:r>
            <w:r>
              <w:rPr>
                <w:color w:val="231F20"/>
                <w:w w:val="110"/>
                <w:sz w:val="15"/>
              </w:rPr>
              <w:t>2010/2011</w:t>
            </w:r>
          </w:p>
          <w:p>
            <w:pPr>
              <w:pStyle w:val="TableParagraph"/>
              <w:spacing w:line="249" w:lineRule="auto"/>
              <w:ind w:left="79" w:right="119"/>
              <w:rPr>
                <w:sz w:val="15"/>
              </w:rPr>
            </w:pPr>
            <w:r>
              <w:rPr>
                <w:color w:val="231F20"/>
                <w:w w:val="110"/>
                <w:sz w:val="15"/>
              </w:rPr>
              <w:t>on Parliament website</w:t>
            </w:r>
          </w:p>
        </w:tc>
        <w:tc>
          <w:tcPr>
            <w:tcW w:w="1191" w:type="dxa"/>
            <w:shd w:val="clear" w:color="auto" w:fill="D8E3CE"/>
          </w:tcPr>
          <w:p>
            <w:pPr>
              <w:pStyle w:val="TableParagraph"/>
              <w:spacing w:line="249" w:lineRule="auto" w:before="74"/>
              <w:ind w:left="79" w:right="448"/>
              <w:rPr>
                <w:sz w:val="15"/>
              </w:rPr>
            </w:pPr>
            <w:r>
              <w:rPr>
                <w:color w:val="231F20"/>
                <w:w w:val="105"/>
                <w:sz w:val="15"/>
              </w:rPr>
              <w:t>Ministry of Justice and Court</w:t>
            </w:r>
          </w:p>
          <w:p>
            <w:pPr>
              <w:pStyle w:val="TableParagraph"/>
              <w:spacing w:line="249" w:lineRule="auto"/>
              <w:ind w:left="79" w:right="140"/>
              <w:jc w:val="both"/>
              <w:rPr>
                <w:sz w:val="15"/>
              </w:rPr>
            </w:pPr>
            <w:r>
              <w:rPr>
                <w:color w:val="231F20"/>
                <w:spacing w:val="-3"/>
                <w:w w:val="110"/>
                <w:sz w:val="15"/>
              </w:rPr>
              <w:t>Administration </w:t>
            </w:r>
            <w:r>
              <w:rPr>
                <w:color w:val="231F20"/>
                <w:w w:val="110"/>
                <w:sz w:val="15"/>
              </w:rPr>
              <w:t>Annual </w:t>
            </w:r>
            <w:r>
              <w:rPr>
                <w:color w:val="231F20"/>
                <w:spacing w:val="-2"/>
                <w:w w:val="110"/>
                <w:sz w:val="15"/>
              </w:rPr>
              <w:t>Report </w:t>
            </w:r>
            <w:r>
              <w:rPr>
                <w:color w:val="231F20"/>
                <w:w w:val="110"/>
                <w:sz w:val="15"/>
              </w:rPr>
              <w:t>2011/2012</w:t>
            </w:r>
          </w:p>
          <w:p>
            <w:pPr>
              <w:pStyle w:val="TableParagraph"/>
              <w:spacing w:line="249" w:lineRule="auto"/>
              <w:ind w:left="79" w:right="138"/>
              <w:rPr>
                <w:sz w:val="15"/>
              </w:rPr>
            </w:pPr>
            <w:r>
              <w:rPr>
                <w:color w:val="231F20"/>
                <w:w w:val="110"/>
                <w:sz w:val="15"/>
              </w:rPr>
              <w:t>on Parliament website</w:t>
            </w:r>
          </w:p>
        </w:tc>
        <w:tc>
          <w:tcPr>
            <w:tcW w:w="1224" w:type="dxa"/>
            <w:shd w:val="clear" w:color="auto" w:fill="D8E3CE"/>
          </w:tcPr>
          <w:p>
            <w:pPr>
              <w:pStyle w:val="TableParagraph"/>
              <w:spacing w:line="249" w:lineRule="auto" w:before="74"/>
              <w:ind w:left="79" w:right="481"/>
              <w:rPr>
                <w:sz w:val="15"/>
              </w:rPr>
            </w:pPr>
            <w:r>
              <w:rPr>
                <w:color w:val="231F20"/>
                <w:w w:val="105"/>
                <w:sz w:val="15"/>
              </w:rPr>
              <w:t>Ministry of Justice and Court</w:t>
            </w:r>
          </w:p>
          <w:p>
            <w:pPr>
              <w:pStyle w:val="TableParagraph"/>
              <w:spacing w:line="249" w:lineRule="auto"/>
              <w:ind w:left="79" w:right="174"/>
              <w:jc w:val="both"/>
              <w:rPr>
                <w:sz w:val="15"/>
              </w:rPr>
            </w:pPr>
            <w:r>
              <w:rPr>
                <w:color w:val="231F20"/>
                <w:spacing w:val="-3"/>
                <w:w w:val="110"/>
                <w:sz w:val="15"/>
              </w:rPr>
              <w:t>Administration </w:t>
            </w:r>
            <w:r>
              <w:rPr>
                <w:color w:val="231F20"/>
                <w:w w:val="110"/>
                <w:sz w:val="15"/>
              </w:rPr>
              <w:t>Annual </w:t>
            </w:r>
            <w:r>
              <w:rPr>
                <w:color w:val="231F20"/>
                <w:spacing w:val="-2"/>
                <w:w w:val="110"/>
                <w:sz w:val="15"/>
              </w:rPr>
              <w:t>Report </w:t>
            </w:r>
            <w:r>
              <w:rPr>
                <w:color w:val="231F20"/>
                <w:w w:val="110"/>
                <w:sz w:val="15"/>
              </w:rPr>
              <w:t>2012/2013</w:t>
            </w:r>
          </w:p>
          <w:p>
            <w:pPr>
              <w:pStyle w:val="TableParagraph"/>
              <w:spacing w:line="249" w:lineRule="auto"/>
              <w:ind w:left="79" w:right="171"/>
              <w:rPr>
                <w:sz w:val="15"/>
              </w:rPr>
            </w:pPr>
            <w:r>
              <w:rPr>
                <w:color w:val="231F20"/>
                <w:w w:val="110"/>
                <w:sz w:val="15"/>
              </w:rPr>
              <w:t>on Parliament website</w:t>
            </w:r>
          </w:p>
        </w:tc>
        <w:tc>
          <w:tcPr>
            <w:tcW w:w="1229" w:type="dxa"/>
            <w:shd w:val="clear" w:color="auto" w:fill="F3D4AA"/>
          </w:tcPr>
          <w:p>
            <w:pPr>
              <w:pStyle w:val="TableParagraph"/>
              <w:spacing w:line="249" w:lineRule="auto" w:before="74"/>
              <w:ind w:left="78" w:right="487"/>
              <w:rPr>
                <w:sz w:val="15"/>
              </w:rPr>
            </w:pPr>
            <w:r>
              <w:rPr>
                <w:color w:val="231F20"/>
                <w:w w:val="105"/>
                <w:sz w:val="15"/>
              </w:rPr>
              <w:t>Ministry of Justice and Court</w:t>
            </w:r>
          </w:p>
          <w:p>
            <w:pPr>
              <w:pStyle w:val="TableParagraph"/>
              <w:spacing w:line="249" w:lineRule="auto"/>
              <w:ind w:left="78" w:right="179"/>
              <w:jc w:val="both"/>
              <w:rPr>
                <w:sz w:val="15"/>
              </w:rPr>
            </w:pPr>
            <w:r>
              <w:rPr>
                <w:color w:val="231F20"/>
                <w:spacing w:val="-3"/>
                <w:w w:val="110"/>
                <w:sz w:val="15"/>
              </w:rPr>
              <w:t>Administration </w:t>
            </w:r>
            <w:r>
              <w:rPr>
                <w:color w:val="231F20"/>
                <w:w w:val="110"/>
                <w:sz w:val="15"/>
              </w:rPr>
              <w:t>Annual </w:t>
            </w:r>
            <w:r>
              <w:rPr>
                <w:color w:val="231F20"/>
                <w:spacing w:val="-2"/>
                <w:w w:val="110"/>
                <w:sz w:val="15"/>
              </w:rPr>
              <w:t>Report </w:t>
            </w:r>
            <w:r>
              <w:rPr>
                <w:color w:val="231F20"/>
                <w:w w:val="110"/>
                <w:sz w:val="15"/>
              </w:rPr>
              <w:t>2013/2014</w:t>
            </w:r>
          </w:p>
          <w:p>
            <w:pPr>
              <w:pStyle w:val="TableParagraph"/>
              <w:spacing w:line="249" w:lineRule="auto"/>
              <w:ind w:left="78" w:right="117"/>
              <w:rPr>
                <w:sz w:val="15"/>
              </w:rPr>
            </w:pPr>
            <w:r>
              <w:rPr>
                <w:color w:val="231F20"/>
                <w:w w:val="110"/>
                <w:sz w:val="15"/>
              </w:rPr>
              <w:t>published but not available online.</w:t>
            </w:r>
          </w:p>
        </w:tc>
        <w:tc>
          <w:tcPr>
            <w:tcW w:w="1167" w:type="dxa"/>
            <w:shd w:val="clear" w:color="auto" w:fill="F3D4AA"/>
          </w:tcPr>
          <w:p>
            <w:pPr>
              <w:pStyle w:val="TableParagraph"/>
              <w:spacing w:line="249" w:lineRule="auto" w:before="74"/>
              <w:ind w:left="77" w:right="426"/>
              <w:rPr>
                <w:sz w:val="15"/>
              </w:rPr>
            </w:pPr>
            <w:r>
              <w:rPr>
                <w:color w:val="231F20"/>
                <w:w w:val="105"/>
                <w:sz w:val="15"/>
              </w:rPr>
              <w:t>Ministry of Justice and Court</w:t>
            </w:r>
          </w:p>
          <w:p>
            <w:pPr>
              <w:pStyle w:val="TableParagraph"/>
              <w:spacing w:line="249" w:lineRule="auto"/>
              <w:ind w:left="77" w:right="118"/>
              <w:jc w:val="both"/>
              <w:rPr>
                <w:sz w:val="15"/>
              </w:rPr>
            </w:pPr>
            <w:r>
              <w:rPr>
                <w:color w:val="231F20"/>
                <w:spacing w:val="-3"/>
                <w:w w:val="110"/>
                <w:sz w:val="15"/>
              </w:rPr>
              <w:t>Administration </w:t>
            </w:r>
            <w:r>
              <w:rPr>
                <w:color w:val="231F20"/>
                <w:w w:val="110"/>
                <w:sz w:val="15"/>
              </w:rPr>
              <w:t>Annual </w:t>
            </w:r>
            <w:r>
              <w:rPr>
                <w:color w:val="231F20"/>
                <w:spacing w:val="-2"/>
                <w:w w:val="110"/>
                <w:sz w:val="15"/>
              </w:rPr>
              <w:t>Report </w:t>
            </w:r>
            <w:r>
              <w:rPr>
                <w:color w:val="231F20"/>
                <w:w w:val="110"/>
                <w:sz w:val="15"/>
              </w:rPr>
              <w:t>2014/2015</w:t>
            </w:r>
          </w:p>
          <w:p>
            <w:pPr>
              <w:pStyle w:val="TableParagraph"/>
              <w:spacing w:line="249" w:lineRule="auto"/>
              <w:ind w:left="77"/>
              <w:rPr>
                <w:sz w:val="15"/>
              </w:rPr>
            </w:pPr>
            <w:r>
              <w:rPr>
                <w:color w:val="231F20"/>
                <w:w w:val="110"/>
                <w:sz w:val="15"/>
              </w:rPr>
              <w:t>published but not available online.</w:t>
            </w:r>
          </w:p>
        </w:tc>
        <w:tc>
          <w:tcPr>
            <w:tcW w:w="1167" w:type="dxa"/>
            <w:shd w:val="clear" w:color="auto" w:fill="F3D4AA"/>
          </w:tcPr>
          <w:p>
            <w:pPr>
              <w:pStyle w:val="TableParagraph"/>
              <w:spacing w:line="249" w:lineRule="auto" w:before="74"/>
              <w:ind w:left="77" w:right="426"/>
              <w:rPr>
                <w:sz w:val="15"/>
              </w:rPr>
            </w:pPr>
            <w:r>
              <w:rPr>
                <w:color w:val="231F20"/>
                <w:w w:val="105"/>
                <w:sz w:val="15"/>
              </w:rPr>
              <w:t>Ministry of Justice and Court</w:t>
            </w:r>
          </w:p>
          <w:p>
            <w:pPr>
              <w:pStyle w:val="TableParagraph"/>
              <w:spacing w:line="249" w:lineRule="auto"/>
              <w:ind w:left="77" w:right="119"/>
              <w:jc w:val="both"/>
              <w:rPr>
                <w:sz w:val="15"/>
              </w:rPr>
            </w:pPr>
            <w:r>
              <w:rPr>
                <w:color w:val="231F20"/>
                <w:spacing w:val="-3"/>
                <w:w w:val="110"/>
                <w:sz w:val="15"/>
              </w:rPr>
              <w:t>Administration </w:t>
            </w:r>
            <w:r>
              <w:rPr>
                <w:color w:val="231F20"/>
                <w:w w:val="110"/>
                <w:sz w:val="15"/>
              </w:rPr>
              <w:t>Annual </w:t>
            </w:r>
            <w:r>
              <w:rPr>
                <w:color w:val="231F20"/>
                <w:spacing w:val="-2"/>
                <w:w w:val="110"/>
                <w:sz w:val="15"/>
              </w:rPr>
              <w:t>Report </w:t>
            </w:r>
            <w:r>
              <w:rPr>
                <w:color w:val="231F20"/>
                <w:w w:val="110"/>
                <w:sz w:val="15"/>
              </w:rPr>
              <w:t>2015/2016</w:t>
            </w:r>
          </w:p>
          <w:p>
            <w:pPr>
              <w:pStyle w:val="TableParagraph"/>
              <w:spacing w:line="249" w:lineRule="auto"/>
              <w:ind w:left="77"/>
              <w:rPr>
                <w:sz w:val="15"/>
              </w:rPr>
            </w:pPr>
            <w:r>
              <w:rPr>
                <w:color w:val="231F20"/>
                <w:w w:val="110"/>
                <w:sz w:val="15"/>
              </w:rPr>
              <w:t>published but not available online.</w:t>
            </w:r>
          </w:p>
        </w:tc>
        <w:tc>
          <w:tcPr>
            <w:tcW w:w="1167" w:type="dxa"/>
            <w:shd w:val="clear" w:color="auto" w:fill="F3D4AA"/>
          </w:tcPr>
          <w:p>
            <w:pPr>
              <w:pStyle w:val="TableParagraph"/>
              <w:spacing w:line="249" w:lineRule="auto" w:before="74"/>
              <w:ind w:left="76" w:right="427"/>
              <w:rPr>
                <w:sz w:val="15"/>
              </w:rPr>
            </w:pPr>
            <w:r>
              <w:rPr>
                <w:color w:val="231F20"/>
                <w:w w:val="105"/>
                <w:sz w:val="15"/>
              </w:rPr>
              <w:t>Ministry of Justice and Court</w:t>
            </w:r>
          </w:p>
          <w:p>
            <w:pPr>
              <w:pStyle w:val="TableParagraph"/>
              <w:spacing w:line="249" w:lineRule="auto"/>
              <w:ind w:left="76" w:right="120"/>
              <w:jc w:val="both"/>
              <w:rPr>
                <w:sz w:val="15"/>
              </w:rPr>
            </w:pPr>
            <w:r>
              <w:rPr>
                <w:color w:val="231F20"/>
                <w:spacing w:val="-3"/>
                <w:w w:val="110"/>
                <w:sz w:val="15"/>
              </w:rPr>
              <w:t>Administration </w:t>
            </w:r>
            <w:r>
              <w:rPr>
                <w:color w:val="231F20"/>
                <w:w w:val="110"/>
                <w:sz w:val="15"/>
              </w:rPr>
              <w:t>Annual </w:t>
            </w:r>
            <w:r>
              <w:rPr>
                <w:color w:val="231F20"/>
                <w:spacing w:val="-2"/>
                <w:w w:val="110"/>
                <w:sz w:val="15"/>
              </w:rPr>
              <w:t>Report </w:t>
            </w:r>
            <w:r>
              <w:rPr>
                <w:color w:val="231F20"/>
                <w:w w:val="110"/>
                <w:sz w:val="15"/>
              </w:rPr>
              <w:t>2016/2017</w:t>
            </w:r>
          </w:p>
          <w:p>
            <w:pPr>
              <w:pStyle w:val="TableParagraph"/>
              <w:spacing w:line="249" w:lineRule="auto"/>
              <w:ind w:left="76"/>
              <w:rPr>
                <w:sz w:val="15"/>
              </w:rPr>
            </w:pPr>
            <w:r>
              <w:rPr>
                <w:color w:val="231F20"/>
                <w:w w:val="110"/>
                <w:sz w:val="15"/>
              </w:rPr>
              <w:t>published but not available online.</w:t>
            </w:r>
          </w:p>
        </w:tc>
      </w:tr>
      <w:tr>
        <w:trPr>
          <w:trHeight w:val="2867" w:hRule="atLeast"/>
        </w:trPr>
        <w:tc>
          <w:tcPr>
            <w:tcW w:w="1110" w:type="dxa"/>
            <w:shd w:val="clear" w:color="auto" w:fill="D5E0E3"/>
          </w:tcPr>
          <w:p>
            <w:pPr>
              <w:pStyle w:val="TableParagraph"/>
              <w:spacing w:line="249" w:lineRule="auto" w:before="75"/>
              <w:ind w:left="80" w:right="420"/>
              <w:rPr>
                <w:b/>
                <w:sz w:val="15"/>
              </w:rPr>
            </w:pPr>
            <w:r>
              <w:rPr>
                <w:b/>
                <w:color w:val="231F20"/>
                <w:w w:val="105"/>
                <w:sz w:val="15"/>
              </w:rPr>
              <w:t>Solomon </w:t>
            </w:r>
            <w:r>
              <w:rPr>
                <w:b/>
                <w:color w:val="231F20"/>
                <w:w w:val="110"/>
                <w:sz w:val="15"/>
              </w:rPr>
              <w:t>Islands</w:t>
            </w:r>
          </w:p>
        </w:tc>
        <w:tc>
          <w:tcPr>
            <w:tcW w:w="1172" w:type="dxa"/>
            <w:shd w:val="clear" w:color="auto" w:fill="EAAC98"/>
          </w:tcPr>
          <w:p>
            <w:pPr>
              <w:pStyle w:val="TableParagraph"/>
              <w:spacing w:line="249" w:lineRule="auto" w:before="74"/>
              <w:ind w:left="79" w:right="359"/>
              <w:rPr>
                <w:sz w:val="15"/>
              </w:rPr>
            </w:pPr>
            <w:r>
              <w:rPr>
                <w:color w:val="231F20"/>
                <w:w w:val="110"/>
                <w:sz w:val="15"/>
              </w:rPr>
              <w:t>No Annual Report.</w:t>
            </w:r>
          </w:p>
        </w:tc>
        <w:tc>
          <w:tcPr>
            <w:tcW w:w="1191" w:type="dxa"/>
            <w:shd w:val="clear" w:color="auto" w:fill="F3D4AA"/>
          </w:tcPr>
          <w:p>
            <w:pPr>
              <w:pStyle w:val="TableParagraph"/>
              <w:spacing w:line="249" w:lineRule="auto" w:before="74"/>
              <w:ind w:left="79" w:right="87"/>
              <w:rPr>
                <w:sz w:val="15"/>
              </w:rPr>
            </w:pPr>
            <w:r>
              <w:rPr>
                <w:color w:val="231F20"/>
                <w:w w:val="110"/>
                <w:sz w:val="15"/>
              </w:rPr>
              <w:t>Annual Report published for 2012-2014 but</w:t>
            </w:r>
          </w:p>
          <w:p>
            <w:pPr>
              <w:pStyle w:val="TableParagraph"/>
              <w:spacing w:line="182" w:lineRule="exact"/>
              <w:ind w:left="79"/>
              <w:rPr>
                <w:sz w:val="15"/>
              </w:rPr>
            </w:pPr>
            <w:r>
              <w:rPr>
                <w:color w:val="231F20"/>
                <w:w w:val="110"/>
                <w:sz w:val="15"/>
              </w:rPr>
              <w:t>not available at:</w:t>
            </w:r>
          </w:p>
          <w:p>
            <w:pPr>
              <w:pStyle w:val="TableParagraph"/>
              <w:spacing w:before="7"/>
              <w:ind w:left="79"/>
              <w:rPr>
                <w:b/>
                <w:sz w:val="15"/>
              </w:rPr>
            </w:pPr>
            <w:hyperlink r:id="rId82">
              <w:r>
                <w:rPr>
                  <w:b/>
                  <w:color w:val="00403F"/>
                  <w:w w:val="110"/>
                  <w:sz w:val="15"/>
                </w:rPr>
                <w:t>www.paclii.org</w:t>
              </w:r>
            </w:hyperlink>
          </w:p>
          <w:p>
            <w:pPr>
              <w:pStyle w:val="TableParagraph"/>
              <w:spacing w:line="249" w:lineRule="auto" w:before="64"/>
              <w:ind w:left="79" w:right="70"/>
              <w:jc w:val="both"/>
              <w:rPr>
                <w:sz w:val="15"/>
              </w:rPr>
            </w:pPr>
            <w:r>
              <w:rPr>
                <w:color w:val="231F20"/>
                <w:w w:val="105"/>
                <w:sz w:val="15"/>
              </w:rPr>
              <w:t>Opening of the Legal Year 2013 presentation</w:t>
            </w:r>
          </w:p>
          <w:p>
            <w:pPr>
              <w:pStyle w:val="TableParagraph"/>
              <w:spacing w:line="249" w:lineRule="auto"/>
              <w:ind w:left="79" w:right="40"/>
              <w:rPr>
                <w:b/>
                <w:sz w:val="15"/>
              </w:rPr>
            </w:pPr>
            <w:r>
              <w:rPr>
                <w:color w:val="231F20"/>
                <w:w w:val="110"/>
                <w:sz w:val="15"/>
              </w:rPr>
              <w:t>by the Chief Justice of developments in 2012 available at: </w:t>
            </w:r>
            <w:hyperlink r:id="rId82">
              <w:r>
                <w:rPr>
                  <w:b/>
                  <w:color w:val="00403F"/>
                  <w:w w:val="105"/>
                  <w:sz w:val="15"/>
                </w:rPr>
                <w:t>www.paclii.org</w:t>
              </w:r>
            </w:hyperlink>
          </w:p>
        </w:tc>
        <w:tc>
          <w:tcPr>
            <w:tcW w:w="1224" w:type="dxa"/>
            <w:shd w:val="clear" w:color="auto" w:fill="F3D4AA"/>
          </w:tcPr>
          <w:p>
            <w:pPr>
              <w:pStyle w:val="TableParagraph"/>
              <w:spacing w:line="249" w:lineRule="auto" w:before="74"/>
              <w:ind w:left="79" w:right="130"/>
              <w:rPr>
                <w:sz w:val="15"/>
              </w:rPr>
            </w:pPr>
            <w:r>
              <w:rPr>
                <w:color w:val="231F20"/>
                <w:w w:val="110"/>
                <w:sz w:val="15"/>
              </w:rPr>
              <w:t>Annual Report published for 2012-2014 but</w:t>
            </w:r>
          </w:p>
          <w:p>
            <w:pPr>
              <w:pStyle w:val="TableParagraph"/>
              <w:spacing w:line="182" w:lineRule="exact"/>
              <w:ind w:left="79"/>
              <w:rPr>
                <w:sz w:val="15"/>
              </w:rPr>
            </w:pPr>
            <w:r>
              <w:rPr>
                <w:color w:val="231F20"/>
                <w:w w:val="110"/>
                <w:sz w:val="15"/>
              </w:rPr>
              <w:t>not available at:</w:t>
            </w:r>
          </w:p>
          <w:p>
            <w:pPr>
              <w:pStyle w:val="TableParagraph"/>
              <w:spacing w:before="7"/>
              <w:ind w:left="79"/>
              <w:rPr>
                <w:b/>
                <w:sz w:val="15"/>
              </w:rPr>
            </w:pPr>
            <w:hyperlink r:id="rId82">
              <w:r>
                <w:rPr>
                  <w:b/>
                  <w:color w:val="00403F"/>
                  <w:w w:val="110"/>
                  <w:sz w:val="15"/>
                </w:rPr>
                <w:t>www.paclii.org</w:t>
              </w:r>
            </w:hyperlink>
          </w:p>
          <w:p>
            <w:pPr>
              <w:pStyle w:val="TableParagraph"/>
              <w:spacing w:line="249" w:lineRule="auto" w:before="64"/>
              <w:ind w:left="79" w:right="102"/>
              <w:jc w:val="both"/>
              <w:rPr>
                <w:sz w:val="15"/>
              </w:rPr>
            </w:pPr>
            <w:r>
              <w:rPr>
                <w:color w:val="231F20"/>
                <w:w w:val="105"/>
                <w:sz w:val="15"/>
              </w:rPr>
              <w:t>Opening of the Legal Year 2014 presentation</w:t>
            </w:r>
          </w:p>
          <w:p>
            <w:pPr>
              <w:pStyle w:val="TableParagraph"/>
              <w:spacing w:line="249" w:lineRule="auto"/>
              <w:ind w:left="79" w:right="73"/>
              <w:rPr>
                <w:b/>
                <w:sz w:val="15"/>
              </w:rPr>
            </w:pPr>
            <w:r>
              <w:rPr>
                <w:color w:val="231F20"/>
                <w:w w:val="110"/>
                <w:sz w:val="15"/>
              </w:rPr>
              <w:t>by the Chief Justice of developments in 2013: not available at: </w:t>
            </w:r>
            <w:hyperlink r:id="rId82">
              <w:r>
                <w:rPr>
                  <w:b/>
                  <w:color w:val="00403F"/>
                  <w:w w:val="105"/>
                  <w:sz w:val="15"/>
                </w:rPr>
                <w:t>www.paclii.org</w:t>
              </w:r>
            </w:hyperlink>
          </w:p>
        </w:tc>
        <w:tc>
          <w:tcPr>
            <w:tcW w:w="1229" w:type="dxa"/>
            <w:shd w:val="clear" w:color="auto" w:fill="F3D4AA"/>
          </w:tcPr>
          <w:p>
            <w:pPr>
              <w:pStyle w:val="TableParagraph"/>
              <w:spacing w:line="249" w:lineRule="auto" w:before="74"/>
              <w:ind w:left="78" w:right="117"/>
              <w:rPr>
                <w:sz w:val="15"/>
              </w:rPr>
            </w:pPr>
            <w:r>
              <w:rPr>
                <w:color w:val="231F20"/>
                <w:w w:val="110"/>
                <w:sz w:val="15"/>
              </w:rPr>
              <w:t>Annual Report published for 2012-2014 but</w:t>
            </w:r>
          </w:p>
          <w:p>
            <w:pPr>
              <w:pStyle w:val="TableParagraph"/>
              <w:spacing w:line="182" w:lineRule="exact"/>
              <w:ind w:left="78"/>
              <w:rPr>
                <w:sz w:val="15"/>
              </w:rPr>
            </w:pPr>
            <w:r>
              <w:rPr>
                <w:color w:val="231F20"/>
                <w:w w:val="110"/>
                <w:sz w:val="15"/>
              </w:rPr>
              <w:t>not available at:</w:t>
            </w:r>
          </w:p>
          <w:p>
            <w:pPr>
              <w:pStyle w:val="TableParagraph"/>
              <w:spacing w:before="7"/>
              <w:ind w:left="78"/>
              <w:rPr>
                <w:b/>
                <w:sz w:val="15"/>
              </w:rPr>
            </w:pPr>
            <w:hyperlink r:id="rId82">
              <w:r>
                <w:rPr>
                  <w:b/>
                  <w:color w:val="00403F"/>
                  <w:w w:val="105"/>
                  <w:sz w:val="15"/>
                </w:rPr>
                <w:t>www.paclii.org</w:t>
              </w:r>
            </w:hyperlink>
          </w:p>
          <w:p>
            <w:pPr>
              <w:pStyle w:val="TableParagraph"/>
              <w:spacing w:line="249" w:lineRule="auto" w:before="64"/>
              <w:ind w:left="78" w:right="107"/>
              <w:jc w:val="both"/>
              <w:rPr>
                <w:sz w:val="15"/>
              </w:rPr>
            </w:pPr>
            <w:r>
              <w:rPr>
                <w:color w:val="231F20"/>
                <w:w w:val="105"/>
                <w:sz w:val="15"/>
              </w:rPr>
              <w:t>Opening of the Legal Year 2015 presentation</w:t>
            </w:r>
          </w:p>
          <w:p>
            <w:pPr>
              <w:pStyle w:val="TableParagraph"/>
              <w:spacing w:line="249" w:lineRule="auto"/>
              <w:ind w:left="78" w:right="117"/>
              <w:rPr>
                <w:b/>
                <w:sz w:val="15"/>
              </w:rPr>
            </w:pPr>
            <w:r>
              <w:rPr>
                <w:color w:val="231F20"/>
                <w:w w:val="110"/>
                <w:sz w:val="15"/>
              </w:rPr>
              <w:t>by the Chief Justice of developments in 2014: not available at: </w:t>
            </w:r>
            <w:hyperlink r:id="rId82">
              <w:r>
                <w:rPr>
                  <w:b/>
                  <w:color w:val="00403F"/>
                  <w:w w:val="105"/>
                  <w:sz w:val="15"/>
                </w:rPr>
                <w:t>www.paclii.org</w:t>
              </w:r>
            </w:hyperlink>
          </w:p>
        </w:tc>
        <w:tc>
          <w:tcPr>
            <w:tcW w:w="1167" w:type="dxa"/>
            <w:shd w:val="clear" w:color="auto" w:fill="F3D4AA"/>
          </w:tcPr>
          <w:p>
            <w:pPr>
              <w:pStyle w:val="TableParagraph"/>
              <w:spacing w:line="249" w:lineRule="auto" w:before="74"/>
              <w:ind w:left="77" w:right="73"/>
              <w:jc w:val="both"/>
              <w:rPr>
                <w:sz w:val="15"/>
              </w:rPr>
            </w:pPr>
            <w:r>
              <w:rPr>
                <w:color w:val="231F20"/>
                <w:w w:val="105"/>
                <w:sz w:val="15"/>
              </w:rPr>
              <w:t>Opening of the Legal Year 2016 presentation</w:t>
            </w:r>
          </w:p>
          <w:p>
            <w:pPr>
              <w:pStyle w:val="TableParagraph"/>
              <w:spacing w:line="249" w:lineRule="auto"/>
              <w:ind w:left="77" w:right="64"/>
              <w:rPr>
                <w:b/>
                <w:sz w:val="15"/>
              </w:rPr>
            </w:pPr>
            <w:r>
              <w:rPr>
                <w:color w:val="231F20"/>
                <w:w w:val="110"/>
                <w:sz w:val="15"/>
              </w:rPr>
              <w:t>by the Chief Justice of developments in 2015: not available at: </w:t>
            </w:r>
            <w:hyperlink r:id="rId82">
              <w:r>
                <w:rPr>
                  <w:b/>
                  <w:color w:val="00403F"/>
                  <w:w w:val="105"/>
                  <w:sz w:val="15"/>
                </w:rPr>
                <w:t>www.paclii.org</w:t>
              </w:r>
            </w:hyperlink>
          </w:p>
        </w:tc>
        <w:tc>
          <w:tcPr>
            <w:tcW w:w="1167" w:type="dxa"/>
            <w:shd w:val="clear" w:color="auto" w:fill="EAAC98"/>
          </w:tcPr>
          <w:p>
            <w:pPr>
              <w:pStyle w:val="TableParagraph"/>
              <w:spacing w:line="249" w:lineRule="auto" w:before="74"/>
              <w:ind w:left="77" w:right="356"/>
              <w:rPr>
                <w:sz w:val="15"/>
              </w:rPr>
            </w:pPr>
            <w:r>
              <w:rPr>
                <w:color w:val="231F20"/>
                <w:w w:val="110"/>
                <w:sz w:val="15"/>
              </w:rPr>
              <w:t>No Annual Report.</w:t>
            </w:r>
          </w:p>
        </w:tc>
        <w:tc>
          <w:tcPr>
            <w:tcW w:w="1167" w:type="dxa"/>
            <w:shd w:val="clear" w:color="auto" w:fill="EAAC98"/>
          </w:tcPr>
          <w:p>
            <w:pPr>
              <w:pStyle w:val="TableParagraph"/>
              <w:spacing w:line="249" w:lineRule="auto" w:before="74"/>
              <w:ind w:left="76" w:right="357"/>
              <w:rPr>
                <w:sz w:val="15"/>
              </w:rPr>
            </w:pPr>
            <w:r>
              <w:rPr>
                <w:color w:val="231F20"/>
                <w:w w:val="110"/>
                <w:sz w:val="15"/>
              </w:rPr>
              <w:t>No Annual Report.</w:t>
            </w:r>
          </w:p>
        </w:tc>
      </w:tr>
      <w:tr>
        <w:trPr>
          <w:trHeight w:val="1288" w:hRule="atLeast"/>
        </w:trPr>
        <w:tc>
          <w:tcPr>
            <w:tcW w:w="1110" w:type="dxa"/>
            <w:shd w:val="clear" w:color="auto" w:fill="D5E0E3"/>
          </w:tcPr>
          <w:p>
            <w:pPr>
              <w:pStyle w:val="TableParagraph"/>
              <w:spacing w:before="75"/>
              <w:ind w:left="80"/>
              <w:rPr>
                <w:b/>
                <w:sz w:val="15"/>
              </w:rPr>
            </w:pPr>
            <w:r>
              <w:rPr>
                <w:b/>
                <w:color w:val="231F20"/>
                <w:w w:val="110"/>
                <w:sz w:val="15"/>
              </w:rPr>
              <w:t>Tokelau</w:t>
            </w:r>
          </w:p>
        </w:tc>
        <w:tc>
          <w:tcPr>
            <w:tcW w:w="1172" w:type="dxa"/>
            <w:shd w:val="clear" w:color="auto" w:fill="EAAC98"/>
          </w:tcPr>
          <w:p>
            <w:pPr>
              <w:pStyle w:val="TableParagraph"/>
              <w:spacing w:line="249" w:lineRule="auto" w:before="74"/>
              <w:ind w:left="79" w:right="359"/>
              <w:rPr>
                <w:sz w:val="15"/>
              </w:rPr>
            </w:pPr>
            <w:r>
              <w:rPr>
                <w:color w:val="231F20"/>
                <w:w w:val="110"/>
                <w:sz w:val="15"/>
              </w:rPr>
              <w:t>No Annual Report.</w:t>
            </w:r>
          </w:p>
        </w:tc>
        <w:tc>
          <w:tcPr>
            <w:tcW w:w="1191" w:type="dxa"/>
            <w:shd w:val="clear" w:color="auto" w:fill="D8E3CE"/>
          </w:tcPr>
          <w:p>
            <w:pPr>
              <w:pStyle w:val="TableParagraph"/>
              <w:spacing w:before="74"/>
              <w:ind w:left="79"/>
              <w:rPr>
                <w:sz w:val="15"/>
              </w:rPr>
            </w:pPr>
            <w:r>
              <w:rPr>
                <w:color w:val="231F20"/>
                <w:w w:val="115"/>
                <w:sz w:val="15"/>
              </w:rPr>
              <w:t>2011-2012</w:t>
            </w:r>
          </w:p>
          <w:p>
            <w:pPr>
              <w:pStyle w:val="TableParagraph"/>
              <w:spacing w:line="249" w:lineRule="auto" w:before="7"/>
              <w:ind w:left="79" w:right="183"/>
              <w:rPr>
                <w:sz w:val="15"/>
              </w:rPr>
            </w:pPr>
            <w:r>
              <w:rPr>
                <w:color w:val="231F20"/>
                <w:spacing w:val="-2"/>
                <w:w w:val="110"/>
                <w:sz w:val="15"/>
              </w:rPr>
              <w:t>Annual </w:t>
            </w:r>
            <w:r>
              <w:rPr>
                <w:color w:val="231F20"/>
                <w:w w:val="110"/>
                <w:sz w:val="15"/>
              </w:rPr>
              <w:t>Report can</w:t>
            </w:r>
            <w:r>
              <w:rPr>
                <w:color w:val="231F20"/>
                <w:spacing w:val="-29"/>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9"/>
              <w:rPr>
                <w:b/>
                <w:sz w:val="15"/>
              </w:rPr>
            </w:pPr>
            <w:hyperlink r:id="rId82">
              <w:r>
                <w:rPr>
                  <w:b/>
                  <w:color w:val="00403F"/>
                  <w:w w:val="110"/>
                  <w:sz w:val="15"/>
                </w:rPr>
                <w:t>www.paclii.org</w:t>
              </w:r>
            </w:hyperlink>
          </w:p>
        </w:tc>
        <w:tc>
          <w:tcPr>
            <w:tcW w:w="1224" w:type="dxa"/>
            <w:shd w:val="clear" w:color="auto" w:fill="D8E3CE"/>
          </w:tcPr>
          <w:p>
            <w:pPr>
              <w:pStyle w:val="TableParagraph"/>
              <w:spacing w:before="74"/>
              <w:ind w:left="79"/>
              <w:rPr>
                <w:sz w:val="15"/>
              </w:rPr>
            </w:pPr>
            <w:r>
              <w:rPr>
                <w:color w:val="231F20"/>
                <w:w w:val="115"/>
                <w:sz w:val="15"/>
              </w:rPr>
              <w:t>2012-2013</w:t>
            </w:r>
          </w:p>
          <w:p>
            <w:pPr>
              <w:pStyle w:val="TableParagraph"/>
              <w:spacing w:line="249" w:lineRule="auto" w:before="7"/>
              <w:ind w:left="79" w:right="202"/>
              <w:rPr>
                <w:sz w:val="15"/>
              </w:rPr>
            </w:pPr>
            <w:r>
              <w:rPr>
                <w:color w:val="231F20"/>
                <w:w w:val="110"/>
                <w:sz w:val="15"/>
              </w:rPr>
              <w:t>Annual Report can</w:t>
            </w:r>
            <w:r>
              <w:rPr>
                <w:color w:val="231F20"/>
                <w:spacing w:val="-7"/>
                <w:w w:val="110"/>
                <w:sz w:val="15"/>
              </w:rPr>
              <w:t> </w:t>
            </w:r>
            <w:r>
              <w:rPr>
                <w:color w:val="231F20"/>
                <w:w w:val="110"/>
                <w:sz w:val="15"/>
              </w:rPr>
              <w:t>be accessed at:</w:t>
            </w:r>
          </w:p>
          <w:p>
            <w:pPr>
              <w:pStyle w:val="TableParagraph"/>
              <w:spacing w:line="182" w:lineRule="exact"/>
              <w:ind w:left="79"/>
              <w:rPr>
                <w:b/>
                <w:sz w:val="15"/>
              </w:rPr>
            </w:pPr>
            <w:hyperlink r:id="rId82">
              <w:r>
                <w:rPr>
                  <w:b/>
                  <w:color w:val="00403F"/>
                  <w:w w:val="105"/>
                  <w:sz w:val="15"/>
                </w:rPr>
                <w:t>www.paclii.org</w:t>
              </w:r>
            </w:hyperlink>
          </w:p>
        </w:tc>
        <w:tc>
          <w:tcPr>
            <w:tcW w:w="1229" w:type="dxa"/>
            <w:shd w:val="clear" w:color="auto" w:fill="D8E3CE"/>
          </w:tcPr>
          <w:p>
            <w:pPr>
              <w:pStyle w:val="TableParagraph"/>
              <w:spacing w:before="74"/>
              <w:ind w:left="78"/>
              <w:rPr>
                <w:sz w:val="15"/>
              </w:rPr>
            </w:pPr>
            <w:r>
              <w:rPr>
                <w:color w:val="231F20"/>
                <w:w w:val="115"/>
                <w:sz w:val="15"/>
              </w:rPr>
              <w:t>2013-2014</w:t>
            </w:r>
          </w:p>
          <w:p>
            <w:pPr>
              <w:pStyle w:val="TableParagraph"/>
              <w:spacing w:line="249" w:lineRule="auto" w:before="7"/>
              <w:ind w:left="78" w:right="208"/>
              <w:rPr>
                <w:sz w:val="15"/>
              </w:rPr>
            </w:pPr>
            <w:r>
              <w:rPr>
                <w:color w:val="231F20"/>
                <w:w w:val="110"/>
                <w:sz w:val="15"/>
              </w:rPr>
              <w:t>Annual Report can</w:t>
            </w:r>
            <w:r>
              <w:rPr>
                <w:color w:val="231F20"/>
                <w:spacing w:val="-7"/>
                <w:w w:val="110"/>
                <w:sz w:val="15"/>
              </w:rPr>
              <w:t> </w:t>
            </w:r>
            <w:r>
              <w:rPr>
                <w:color w:val="231F20"/>
                <w:w w:val="110"/>
                <w:sz w:val="15"/>
              </w:rPr>
              <w:t>be accessed at:</w:t>
            </w:r>
          </w:p>
          <w:p>
            <w:pPr>
              <w:pStyle w:val="TableParagraph"/>
              <w:spacing w:line="182" w:lineRule="exact"/>
              <w:ind w:left="78"/>
              <w:rPr>
                <w:b/>
                <w:sz w:val="15"/>
              </w:rPr>
            </w:pPr>
            <w:hyperlink r:id="rId82">
              <w:r>
                <w:rPr>
                  <w:b/>
                  <w:color w:val="00403F"/>
                  <w:w w:val="105"/>
                  <w:sz w:val="15"/>
                </w:rPr>
                <w:t>www.paclii.org</w:t>
              </w:r>
            </w:hyperlink>
          </w:p>
        </w:tc>
        <w:tc>
          <w:tcPr>
            <w:tcW w:w="1167" w:type="dxa"/>
            <w:shd w:val="clear" w:color="auto" w:fill="D8E3CE"/>
          </w:tcPr>
          <w:p>
            <w:pPr>
              <w:pStyle w:val="TableParagraph"/>
              <w:spacing w:before="74"/>
              <w:ind w:left="77"/>
              <w:rPr>
                <w:sz w:val="15"/>
              </w:rPr>
            </w:pPr>
            <w:r>
              <w:rPr>
                <w:color w:val="231F20"/>
                <w:w w:val="115"/>
                <w:sz w:val="15"/>
              </w:rPr>
              <w:t>2014-2015</w:t>
            </w:r>
          </w:p>
          <w:p>
            <w:pPr>
              <w:pStyle w:val="TableParagraph"/>
              <w:spacing w:line="249" w:lineRule="auto" w:before="7"/>
              <w:ind w:left="77" w:right="161"/>
              <w:rPr>
                <w:sz w:val="15"/>
              </w:rPr>
            </w:pPr>
            <w:r>
              <w:rPr>
                <w:color w:val="231F20"/>
                <w:spacing w:val="-2"/>
                <w:w w:val="110"/>
                <w:sz w:val="15"/>
              </w:rPr>
              <w:t>Annual </w:t>
            </w:r>
            <w:r>
              <w:rPr>
                <w:color w:val="231F20"/>
                <w:w w:val="110"/>
                <w:sz w:val="15"/>
              </w:rPr>
              <w:t>Report can</w:t>
            </w:r>
            <w:r>
              <w:rPr>
                <w:color w:val="231F20"/>
                <w:spacing w:val="-28"/>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7"/>
              <w:rPr>
                <w:b/>
                <w:sz w:val="15"/>
              </w:rPr>
            </w:pPr>
            <w:hyperlink r:id="rId82">
              <w:r>
                <w:rPr>
                  <w:b/>
                  <w:color w:val="00403F"/>
                  <w:w w:val="105"/>
                  <w:sz w:val="15"/>
                </w:rPr>
                <w:t>www.paclii.org</w:t>
              </w:r>
            </w:hyperlink>
          </w:p>
        </w:tc>
        <w:tc>
          <w:tcPr>
            <w:tcW w:w="1167" w:type="dxa"/>
            <w:shd w:val="clear" w:color="auto" w:fill="D8E3CE"/>
          </w:tcPr>
          <w:p>
            <w:pPr>
              <w:pStyle w:val="TableParagraph"/>
              <w:spacing w:before="74"/>
              <w:ind w:left="77"/>
              <w:rPr>
                <w:sz w:val="15"/>
              </w:rPr>
            </w:pPr>
            <w:r>
              <w:rPr>
                <w:color w:val="231F20"/>
                <w:w w:val="115"/>
                <w:sz w:val="15"/>
              </w:rPr>
              <w:t>2015-2016</w:t>
            </w:r>
          </w:p>
          <w:p>
            <w:pPr>
              <w:pStyle w:val="TableParagraph"/>
              <w:spacing w:line="249" w:lineRule="auto" w:before="7"/>
              <w:ind w:left="77" w:right="161"/>
              <w:rPr>
                <w:sz w:val="15"/>
              </w:rPr>
            </w:pPr>
            <w:r>
              <w:rPr>
                <w:color w:val="231F20"/>
                <w:spacing w:val="-2"/>
                <w:w w:val="110"/>
                <w:sz w:val="15"/>
              </w:rPr>
              <w:t>Annual </w:t>
            </w:r>
            <w:r>
              <w:rPr>
                <w:color w:val="231F20"/>
                <w:w w:val="110"/>
                <w:sz w:val="15"/>
              </w:rPr>
              <w:t>Report can</w:t>
            </w:r>
            <w:r>
              <w:rPr>
                <w:color w:val="231F20"/>
                <w:spacing w:val="-29"/>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7"/>
              <w:rPr>
                <w:b/>
                <w:sz w:val="15"/>
              </w:rPr>
            </w:pPr>
            <w:hyperlink r:id="rId82">
              <w:r>
                <w:rPr>
                  <w:b/>
                  <w:color w:val="00403F"/>
                  <w:w w:val="105"/>
                  <w:sz w:val="15"/>
                </w:rPr>
                <w:t>www.paclii.org</w:t>
              </w:r>
            </w:hyperlink>
          </w:p>
        </w:tc>
        <w:tc>
          <w:tcPr>
            <w:tcW w:w="1167" w:type="dxa"/>
            <w:shd w:val="clear" w:color="auto" w:fill="D8E3CE"/>
          </w:tcPr>
          <w:p>
            <w:pPr>
              <w:pStyle w:val="TableParagraph"/>
              <w:spacing w:before="74"/>
              <w:ind w:left="76"/>
              <w:rPr>
                <w:sz w:val="15"/>
              </w:rPr>
            </w:pPr>
            <w:r>
              <w:rPr>
                <w:color w:val="231F20"/>
                <w:w w:val="115"/>
                <w:sz w:val="15"/>
              </w:rPr>
              <w:t>2016-2017</w:t>
            </w:r>
          </w:p>
          <w:p>
            <w:pPr>
              <w:pStyle w:val="TableParagraph"/>
              <w:spacing w:line="249" w:lineRule="auto" w:before="7"/>
              <w:ind w:left="76" w:right="79"/>
              <w:rPr>
                <w:sz w:val="15"/>
              </w:rPr>
            </w:pPr>
            <w:r>
              <w:rPr>
                <w:color w:val="231F20"/>
                <w:w w:val="110"/>
                <w:sz w:val="15"/>
              </w:rPr>
              <w:t>Annual Report finalised but cannot be accessed by the public.</w:t>
            </w:r>
          </w:p>
        </w:tc>
      </w:tr>
      <w:tr>
        <w:trPr>
          <w:trHeight w:val="917" w:hRule="atLeast"/>
        </w:trPr>
        <w:tc>
          <w:tcPr>
            <w:tcW w:w="1110" w:type="dxa"/>
            <w:shd w:val="clear" w:color="auto" w:fill="D5E0E3"/>
          </w:tcPr>
          <w:p>
            <w:pPr>
              <w:pStyle w:val="TableParagraph"/>
              <w:spacing w:line="249" w:lineRule="auto" w:before="75"/>
              <w:ind w:left="80" w:right="392"/>
              <w:rPr>
                <w:b/>
                <w:sz w:val="15"/>
              </w:rPr>
            </w:pPr>
            <w:r>
              <w:rPr>
                <w:b/>
                <w:color w:val="231F20"/>
                <w:w w:val="110"/>
                <w:sz w:val="15"/>
              </w:rPr>
              <w:t>Tonga </w:t>
            </w:r>
            <w:r>
              <w:rPr>
                <w:b/>
                <w:color w:val="231F20"/>
                <w:w w:val="105"/>
                <w:sz w:val="15"/>
              </w:rPr>
              <w:t>(Superior </w:t>
            </w:r>
            <w:r>
              <w:rPr>
                <w:b/>
                <w:color w:val="231F20"/>
                <w:w w:val="110"/>
                <w:sz w:val="15"/>
              </w:rPr>
              <w:t>Courts)</w:t>
            </w:r>
          </w:p>
        </w:tc>
        <w:tc>
          <w:tcPr>
            <w:tcW w:w="1172" w:type="dxa"/>
            <w:shd w:val="clear" w:color="auto" w:fill="D8E3CE"/>
          </w:tcPr>
          <w:p>
            <w:pPr>
              <w:pStyle w:val="TableParagraph"/>
              <w:spacing w:line="249" w:lineRule="auto" w:before="74"/>
              <w:ind w:left="79" w:right="164"/>
              <w:rPr>
                <w:sz w:val="15"/>
              </w:rPr>
            </w:pPr>
            <w:r>
              <w:rPr>
                <w:color w:val="231F20"/>
                <w:spacing w:val="-2"/>
                <w:w w:val="110"/>
                <w:sz w:val="15"/>
              </w:rPr>
              <w:t>Annual </w:t>
            </w:r>
            <w:r>
              <w:rPr>
                <w:color w:val="231F20"/>
                <w:w w:val="110"/>
                <w:sz w:val="15"/>
              </w:rPr>
              <w:t>Report can</w:t>
            </w:r>
            <w:r>
              <w:rPr>
                <w:color w:val="231F20"/>
                <w:spacing w:val="-28"/>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9"/>
              <w:rPr>
                <w:b/>
                <w:sz w:val="15"/>
              </w:rPr>
            </w:pPr>
            <w:hyperlink r:id="rId82">
              <w:r>
                <w:rPr>
                  <w:b/>
                  <w:color w:val="00403F"/>
                  <w:w w:val="110"/>
                  <w:sz w:val="15"/>
                </w:rPr>
                <w:t>www.paclii.org</w:t>
              </w:r>
            </w:hyperlink>
          </w:p>
        </w:tc>
        <w:tc>
          <w:tcPr>
            <w:tcW w:w="1191" w:type="dxa"/>
            <w:shd w:val="clear" w:color="auto" w:fill="D8E3CE"/>
          </w:tcPr>
          <w:p>
            <w:pPr>
              <w:pStyle w:val="TableParagraph"/>
              <w:spacing w:line="249" w:lineRule="auto" w:before="74"/>
              <w:ind w:left="79" w:right="183"/>
              <w:rPr>
                <w:sz w:val="15"/>
              </w:rPr>
            </w:pPr>
            <w:r>
              <w:rPr>
                <w:color w:val="231F20"/>
                <w:spacing w:val="-2"/>
                <w:w w:val="110"/>
                <w:sz w:val="15"/>
              </w:rPr>
              <w:t>Annual </w:t>
            </w:r>
            <w:r>
              <w:rPr>
                <w:color w:val="231F20"/>
                <w:w w:val="110"/>
                <w:sz w:val="15"/>
              </w:rPr>
              <w:t>Report can</w:t>
            </w:r>
            <w:r>
              <w:rPr>
                <w:color w:val="231F20"/>
                <w:spacing w:val="-29"/>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9"/>
              <w:rPr>
                <w:b/>
                <w:sz w:val="15"/>
              </w:rPr>
            </w:pPr>
            <w:hyperlink r:id="rId82">
              <w:r>
                <w:rPr>
                  <w:b/>
                  <w:color w:val="00403F"/>
                  <w:w w:val="110"/>
                  <w:sz w:val="15"/>
                </w:rPr>
                <w:t>www.paclii.org</w:t>
              </w:r>
            </w:hyperlink>
          </w:p>
        </w:tc>
        <w:tc>
          <w:tcPr>
            <w:tcW w:w="1224" w:type="dxa"/>
            <w:shd w:val="clear" w:color="auto" w:fill="D8E3CE"/>
          </w:tcPr>
          <w:p>
            <w:pPr>
              <w:pStyle w:val="TableParagraph"/>
              <w:spacing w:line="249" w:lineRule="auto" w:before="74"/>
              <w:ind w:left="79" w:right="216"/>
              <w:rPr>
                <w:sz w:val="15"/>
              </w:rPr>
            </w:pPr>
            <w:r>
              <w:rPr>
                <w:color w:val="231F20"/>
                <w:spacing w:val="-2"/>
                <w:w w:val="110"/>
                <w:sz w:val="15"/>
              </w:rPr>
              <w:t>Annual </w:t>
            </w:r>
            <w:r>
              <w:rPr>
                <w:color w:val="231F20"/>
                <w:w w:val="110"/>
                <w:sz w:val="15"/>
              </w:rPr>
              <w:t>Report can</w:t>
            </w:r>
            <w:r>
              <w:rPr>
                <w:color w:val="231F20"/>
                <w:spacing w:val="-29"/>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9"/>
              <w:rPr>
                <w:b/>
                <w:sz w:val="15"/>
              </w:rPr>
            </w:pPr>
            <w:hyperlink r:id="rId82">
              <w:r>
                <w:rPr>
                  <w:b/>
                  <w:color w:val="00403F"/>
                  <w:w w:val="110"/>
                  <w:sz w:val="15"/>
                </w:rPr>
                <w:t>www.paclii.org</w:t>
              </w:r>
            </w:hyperlink>
          </w:p>
        </w:tc>
        <w:tc>
          <w:tcPr>
            <w:tcW w:w="1229" w:type="dxa"/>
            <w:shd w:val="clear" w:color="auto" w:fill="D8E3CE"/>
          </w:tcPr>
          <w:p>
            <w:pPr>
              <w:pStyle w:val="TableParagraph"/>
              <w:spacing w:line="249" w:lineRule="auto" w:before="74"/>
              <w:ind w:left="78" w:right="222"/>
              <w:rPr>
                <w:sz w:val="15"/>
              </w:rPr>
            </w:pPr>
            <w:r>
              <w:rPr>
                <w:color w:val="231F20"/>
                <w:spacing w:val="-2"/>
                <w:w w:val="110"/>
                <w:sz w:val="15"/>
              </w:rPr>
              <w:t>Annual </w:t>
            </w:r>
            <w:r>
              <w:rPr>
                <w:color w:val="231F20"/>
                <w:w w:val="110"/>
                <w:sz w:val="15"/>
              </w:rPr>
              <w:t>Report can</w:t>
            </w:r>
            <w:r>
              <w:rPr>
                <w:color w:val="231F20"/>
                <w:spacing w:val="-29"/>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8"/>
              <w:rPr>
                <w:b/>
                <w:sz w:val="15"/>
              </w:rPr>
            </w:pPr>
            <w:hyperlink r:id="rId82">
              <w:r>
                <w:rPr>
                  <w:b/>
                  <w:color w:val="00403F"/>
                  <w:w w:val="105"/>
                  <w:sz w:val="15"/>
                </w:rPr>
                <w:t>www.paclii.org</w:t>
              </w:r>
            </w:hyperlink>
          </w:p>
        </w:tc>
        <w:tc>
          <w:tcPr>
            <w:tcW w:w="1167" w:type="dxa"/>
            <w:shd w:val="clear" w:color="auto" w:fill="D8E3CE"/>
          </w:tcPr>
          <w:p>
            <w:pPr>
              <w:pStyle w:val="TableParagraph"/>
              <w:spacing w:line="249" w:lineRule="auto" w:before="74"/>
              <w:ind w:left="77" w:right="161"/>
              <w:rPr>
                <w:sz w:val="15"/>
              </w:rPr>
            </w:pPr>
            <w:r>
              <w:rPr>
                <w:color w:val="231F20"/>
                <w:spacing w:val="-2"/>
                <w:w w:val="110"/>
                <w:sz w:val="15"/>
              </w:rPr>
              <w:t>Annual </w:t>
            </w:r>
            <w:r>
              <w:rPr>
                <w:color w:val="231F20"/>
                <w:w w:val="110"/>
                <w:sz w:val="15"/>
              </w:rPr>
              <w:t>Report can</w:t>
            </w:r>
            <w:r>
              <w:rPr>
                <w:color w:val="231F20"/>
                <w:spacing w:val="-28"/>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7"/>
              <w:rPr>
                <w:b/>
                <w:sz w:val="15"/>
              </w:rPr>
            </w:pPr>
            <w:hyperlink r:id="rId82">
              <w:r>
                <w:rPr>
                  <w:b/>
                  <w:color w:val="00403F"/>
                  <w:w w:val="105"/>
                  <w:sz w:val="15"/>
                </w:rPr>
                <w:t>www.paclii.org</w:t>
              </w:r>
            </w:hyperlink>
          </w:p>
        </w:tc>
        <w:tc>
          <w:tcPr>
            <w:tcW w:w="1167" w:type="dxa"/>
            <w:shd w:val="clear" w:color="auto" w:fill="D8E3CE"/>
          </w:tcPr>
          <w:p>
            <w:pPr>
              <w:pStyle w:val="TableParagraph"/>
              <w:spacing w:line="249" w:lineRule="auto" w:before="74"/>
              <w:ind w:left="77" w:right="161"/>
              <w:rPr>
                <w:sz w:val="15"/>
              </w:rPr>
            </w:pPr>
            <w:r>
              <w:rPr>
                <w:color w:val="231F20"/>
                <w:w w:val="105"/>
                <w:sz w:val="15"/>
              </w:rPr>
              <w:t>Magistrates Court data included for the first time</w:t>
            </w:r>
          </w:p>
        </w:tc>
        <w:tc>
          <w:tcPr>
            <w:tcW w:w="1167" w:type="dxa"/>
            <w:shd w:val="clear" w:color="auto" w:fill="D8E3CE"/>
          </w:tcPr>
          <w:p>
            <w:pPr>
              <w:pStyle w:val="TableParagraph"/>
              <w:spacing w:line="249" w:lineRule="auto" w:before="74"/>
              <w:ind w:left="76" w:right="162"/>
              <w:rPr>
                <w:sz w:val="15"/>
              </w:rPr>
            </w:pPr>
            <w:r>
              <w:rPr>
                <w:color w:val="231F20"/>
                <w:spacing w:val="-2"/>
                <w:w w:val="110"/>
                <w:sz w:val="15"/>
              </w:rPr>
              <w:t>Annual </w:t>
            </w:r>
            <w:r>
              <w:rPr>
                <w:color w:val="231F20"/>
                <w:w w:val="110"/>
                <w:sz w:val="15"/>
              </w:rPr>
              <w:t>Report can</w:t>
            </w:r>
            <w:r>
              <w:rPr>
                <w:color w:val="231F20"/>
                <w:spacing w:val="-29"/>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6"/>
              <w:rPr>
                <w:b/>
                <w:sz w:val="15"/>
              </w:rPr>
            </w:pPr>
            <w:hyperlink r:id="rId82">
              <w:r>
                <w:rPr>
                  <w:b/>
                  <w:color w:val="00403F"/>
                  <w:w w:val="105"/>
                  <w:sz w:val="15"/>
                </w:rPr>
                <w:t>www.paclii.org</w:t>
              </w:r>
            </w:hyperlink>
          </w:p>
        </w:tc>
      </w:tr>
      <w:tr>
        <w:trPr>
          <w:trHeight w:val="535" w:hRule="atLeast"/>
        </w:trPr>
        <w:tc>
          <w:tcPr>
            <w:tcW w:w="1110" w:type="dxa"/>
            <w:shd w:val="clear" w:color="auto" w:fill="D5E0E3"/>
          </w:tcPr>
          <w:p>
            <w:pPr>
              <w:pStyle w:val="TableParagraph"/>
              <w:spacing w:before="75"/>
              <w:ind w:left="80"/>
              <w:rPr>
                <w:b/>
                <w:sz w:val="15"/>
              </w:rPr>
            </w:pPr>
            <w:r>
              <w:rPr>
                <w:b/>
                <w:color w:val="231F20"/>
                <w:w w:val="110"/>
                <w:sz w:val="15"/>
              </w:rPr>
              <w:t>Tuvalu</w:t>
            </w:r>
          </w:p>
        </w:tc>
        <w:tc>
          <w:tcPr>
            <w:tcW w:w="1172" w:type="dxa"/>
            <w:shd w:val="clear" w:color="auto" w:fill="EAAC98"/>
          </w:tcPr>
          <w:p>
            <w:pPr>
              <w:pStyle w:val="TableParagraph"/>
              <w:spacing w:line="249" w:lineRule="auto" w:before="74"/>
              <w:ind w:left="79" w:right="359"/>
              <w:rPr>
                <w:sz w:val="15"/>
              </w:rPr>
            </w:pPr>
            <w:r>
              <w:rPr>
                <w:color w:val="231F20"/>
                <w:w w:val="110"/>
                <w:sz w:val="15"/>
              </w:rPr>
              <w:t>No Annual Report.</w:t>
            </w:r>
          </w:p>
        </w:tc>
        <w:tc>
          <w:tcPr>
            <w:tcW w:w="1191" w:type="dxa"/>
            <w:shd w:val="clear" w:color="auto" w:fill="EAAC98"/>
          </w:tcPr>
          <w:p>
            <w:pPr>
              <w:pStyle w:val="TableParagraph"/>
              <w:spacing w:line="249" w:lineRule="auto" w:before="74"/>
              <w:ind w:left="79" w:right="378"/>
              <w:rPr>
                <w:sz w:val="15"/>
              </w:rPr>
            </w:pPr>
            <w:r>
              <w:rPr>
                <w:color w:val="231F20"/>
                <w:w w:val="110"/>
                <w:sz w:val="15"/>
              </w:rPr>
              <w:t>No Annual Report.</w:t>
            </w:r>
          </w:p>
        </w:tc>
        <w:tc>
          <w:tcPr>
            <w:tcW w:w="1224" w:type="dxa"/>
            <w:shd w:val="clear" w:color="auto" w:fill="EAAC98"/>
          </w:tcPr>
          <w:p>
            <w:pPr>
              <w:pStyle w:val="TableParagraph"/>
              <w:spacing w:line="249" w:lineRule="auto" w:before="74"/>
              <w:ind w:left="79" w:right="411"/>
              <w:rPr>
                <w:sz w:val="15"/>
              </w:rPr>
            </w:pPr>
            <w:r>
              <w:rPr>
                <w:color w:val="231F20"/>
                <w:w w:val="110"/>
                <w:sz w:val="15"/>
              </w:rPr>
              <w:t>No Annual Report.</w:t>
            </w:r>
          </w:p>
        </w:tc>
        <w:tc>
          <w:tcPr>
            <w:tcW w:w="1229" w:type="dxa"/>
            <w:shd w:val="clear" w:color="auto" w:fill="EAAC98"/>
          </w:tcPr>
          <w:p>
            <w:pPr>
              <w:pStyle w:val="TableParagraph"/>
              <w:spacing w:line="249" w:lineRule="auto" w:before="74"/>
              <w:ind w:left="78" w:right="417"/>
              <w:rPr>
                <w:sz w:val="15"/>
              </w:rPr>
            </w:pPr>
            <w:r>
              <w:rPr>
                <w:color w:val="231F20"/>
                <w:w w:val="110"/>
                <w:sz w:val="15"/>
              </w:rPr>
              <w:t>No Annual Report.</w:t>
            </w:r>
          </w:p>
        </w:tc>
        <w:tc>
          <w:tcPr>
            <w:tcW w:w="1167" w:type="dxa"/>
            <w:shd w:val="clear" w:color="auto" w:fill="EAAC98"/>
          </w:tcPr>
          <w:p>
            <w:pPr>
              <w:pStyle w:val="TableParagraph"/>
              <w:spacing w:line="249" w:lineRule="auto" w:before="74"/>
              <w:ind w:left="77" w:right="356"/>
              <w:rPr>
                <w:sz w:val="15"/>
              </w:rPr>
            </w:pPr>
            <w:r>
              <w:rPr>
                <w:color w:val="231F20"/>
                <w:w w:val="110"/>
                <w:sz w:val="15"/>
              </w:rPr>
              <w:t>No Annual Report.</w:t>
            </w:r>
          </w:p>
        </w:tc>
        <w:tc>
          <w:tcPr>
            <w:tcW w:w="1167" w:type="dxa"/>
            <w:shd w:val="clear" w:color="auto" w:fill="EAAC98"/>
          </w:tcPr>
          <w:p>
            <w:pPr>
              <w:pStyle w:val="TableParagraph"/>
              <w:spacing w:line="249" w:lineRule="auto" w:before="74"/>
              <w:ind w:left="77" w:right="356"/>
              <w:rPr>
                <w:sz w:val="15"/>
              </w:rPr>
            </w:pPr>
            <w:r>
              <w:rPr>
                <w:color w:val="231F20"/>
                <w:w w:val="110"/>
                <w:sz w:val="15"/>
              </w:rPr>
              <w:t>No Annual Report.</w:t>
            </w:r>
          </w:p>
        </w:tc>
        <w:tc>
          <w:tcPr>
            <w:tcW w:w="1167" w:type="dxa"/>
            <w:shd w:val="clear" w:color="auto" w:fill="EAAC98"/>
          </w:tcPr>
          <w:p>
            <w:pPr>
              <w:pStyle w:val="TableParagraph"/>
              <w:spacing w:line="249" w:lineRule="auto" w:before="74"/>
              <w:ind w:left="76" w:right="357"/>
              <w:rPr>
                <w:sz w:val="15"/>
              </w:rPr>
            </w:pPr>
            <w:r>
              <w:rPr>
                <w:color w:val="231F20"/>
                <w:w w:val="110"/>
                <w:sz w:val="15"/>
              </w:rPr>
              <w:t>No Annual Report.</w:t>
            </w:r>
          </w:p>
        </w:tc>
      </w:tr>
      <w:tr>
        <w:trPr>
          <w:trHeight w:val="906" w:hRule="atLeast"/>
        </w:trPr>
        <w:tc>
          <w:tcPr>
            <w:tcW w:w="1110" w:type="dxa"/>
            <w:shd w:val="clear" w:color="auto" w:fill="D5E0E3"/>
          </w:tcPr>
          <w:p>
            <w:pPr>
              <w:pStyle w:val="TableParagraph"/>
              <w:spacing w:before="75"/>
              <w:ind w:left="80"/>
              <w:rPr>
                <w:b/>
                <w:sz w:val="15"/>
              </w:rPr>
            </w:pPr>
            <w:r>
              <w:rPr>
                <w:b/>
                <w:color w:val="231F20"/>
                <w:w w:val="105"/>
                <w:sz w:val="15"/>
              </w:rPr>
              <w:t>Vanuatu</w:t>
            </w:r>
          </w:p>
        </w:tc>
        <w:tc>
          <w:tcPr>
            <w:tcW w:w="1172" w:type="dxa"/>
            <w:shd w:val="clear" w:color="auto" w:fill="D8E3CE"/>
          </w:tcPr>
          <w:p>
            <w:pPr>
              <w:pStyle w:val="TableParagraph"/>
              <w:spacing w:line="249" w:lineRule="auto" w:before="74"/>
              <w:ind w:left="79" w:right="164"/>
              <w:rPr>
                <w:sz w:val="15"/>
              </w:rPr>
            </w:pPr>
            <w:r>
              <w:rPr>
                <w:color w:val="231F20"/>
                <w:spacing w:val="-2"/>
                <w:w w:val="110"/>
                <w:sz w:val="15"/>
              </w:rPr>
              <w:t>Annual </w:t>
            </w:r>
            <w:r>
              <w:rPr>
                <w:color w:val="231F20"/>
                <w:w w:val="110"/>
                <w:sz w:val="15"/>
              </w:rPr>
              <w:t>Report can</w:t>
            </w:r>
            <w:r>
              <w:rPr>
                <w:color w:val="231F20"/>
                <w:spacing w:val="-28"/>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9"/>
              <w:rPr>
                <w:b/>
                <w:sz w:val="15"/>
              </w:rPr>
            </w:pPr>
            <w:hyperlink r:id="rId82">
              <w:r>
                <w:rPr>
                  <w:b/>
                  <w:color w:val="00403F"/>
                  <w:w w:val="110"/>
                  <w:sz w:val="15"/>
                </w:rPr>
                <w:t>www.paclii.org</w:t>
              </w:r>
            </w:hyperlink>
          </w:p>
        </w:tc>
        <w:tc>
          <w:tcPr>
            <w:tcW w:w="1191" w:type="dxa"/>
            <w:shd w:val="clear" w:color="auto" w:fill="D8E3CE"/>
          </w:tcPr>
          <w:p>
            <w:pPr>
              <w:pStyle w:val="TableParagraph"/>
              <w:spacing w:line="249" w:lineRule="auto" w:before="74"/>
              <w:ind w:left="79" w:right="183"/>
              <w:rPr>
                <w:sz w:val="15"/>
              </w:rPr>
            </w:pPr>
            <w:r>
              <w:rPr>
                <w:color w:val="231F20"/>
                <w:spacing w:val="-2"/>
                <w:w w:val="110"/>
                <w:sz w:val="15"/>
              </w:rPr>
              <w:t>Annual </w:t>
            </w:r>
            <w:r>
              <w:rPr>
                <w:color w:val="231F20"/>
                <w:w w:val="110"/>
                <w:sz w:val="15"/>
              </w:rPr>
              <w:t>Report can</w:t>
            </w:r>
            <w:r>
              <w:rPr>
                <w:color w:val="231F20"/>
                <w:spacing w:val="-29"/>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9"/>
              <w:rPr>
                <w:b/>
                <w:sz w:val="15"/>
              </w:rPr>
            </w:pPr>
            <w:hyperlink r:id="rId82">
              <w:r>
                <w:rPr>
                  <w:b/>
                  <w:color w:val="00403F"/>
                  <w:w w:val="110"/>
                  <w:sz w:val="15"/>
                </w:rPr>
                <w:t>www.paclii.org</w:t>
              </w:r>
            </w:hyperlink>
          </w:p>
        </w:tc>
        <w:tc>
          <w:tcPr>
            <w:tcW w:w="1224" w:type="dxa"/>
            <w:shd w:val="clear" w:color="auto" w:fill="D8E3CE"/>
          </w:tcPr>
          <w:p>
            <w:pPr>
              <w:pStyle w:val="TableParagraph"/>
              <w:spacing w:line="249" w:lineRule="auto" w:before="74"/>
              <w:ind w:left="79"/>
              <w:rPr>
                <w:b/>
                <w:sz w:val="15"/>
              </w:rPr>
            </w:pPr>
            <w:r>
              <w:rPr>
                <w:color w:val="231F20"/>
                <w:w w:val="110"/>
                <w:sz w:val="15"/>
              </w:rPr>
              <w:t>Annual Report can be accessed at: </w:t>
            </w:r>
            <w:r>
              <w:rPr>
                <w:b/>
                <w:color w:val="00403F"/>
                <w:w w:val="110"/>
                <w:sz w:val="15"/>
              </w:rPr>
              <w:t>www.paclii. org</w:t>
            </w:r>
          </w:p>
        </w:tc>
        <w:tc>
          <w:tcPr>
            <w:tcW w:w="1229" w:type="dxa"/>
            <w:shd w:val="clear" w:color="auto" w:fill="D8E3CE"/>
          </w:tcPr>
          <w:p>
            <w:pPr>
              <w:pStyle w:val="TableParagraph"/>
              <w:spacing w:line="249" w:lineRule="auto" w:before="74"/>
              <w:ind w:left="78" w:right="222"/>
              <w:rPr>
                <w:sz w:val="15"/>
              </w:rPr>
            </w:pPr>
            <w:r>
              <w:rPr>
                <w:color w:val="231F20"/>
                <w:spacing w:val="-2"/>
                <w:w w:val="110"/>
                <w:sz w:val="15"/>
              </w:rPr>
              <w:t>Annual </w:t>
            </w:r>
            <w:r>
              <w:rPr>
                <w:color w:val="231F20"/>
                <w:w w:val="110"/>
                <w:sz w:val="15"/>
              </w:rPr>
              <w:t>Report can</w:t>
            </w:r>
            <w:r>
              <w:rPr>
                <w:color w:val="231F20"/>
                <w:spacing w:val="-29"/>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8"/>
              <w:rPr>
                <w:b/>
                <w:sz w:val="15"/>
              </w:rPr>
            </w:pPr>
            <w:hyperlink r:id="rId82">
              <w:r>
                <w:rPr>
                  <w:b/>
                  <w:color w:val="00403F"/>
                  <w:w w:val="105"/>
                  <w:sz w:val="15"/>
                </w:rPr>
                <w:t>www.paclii.org</w:t>
              </w:r>
            </w:hyperlink>
          </w:p>
        </w:tc>
        <w:tc>
          <w:tcPr>
            <w:tcW w:w="1167" w:type="dxa"/>
            <w:shd w:val="clear" w:color="auto" w:fill="D8E3CE"/>
          </w:tcPr>
          <w:p>
            <w:pPr>
              <w:pStyle w:val="TableParagraph"/>
              <w:spacing w:line="249" w:lineRule="auto" w:before="74"/>
              <w:ind w:left="77" w:right="161"/>
              <w:rPr>
                <w:sz w:val="15"/>
              </w:rPr>
            </w:pPr>
            <w:r>
              <w:rPr>
                <w:color w:val="231F20"/>
                <w:spacing w:val="-2"/>
                <w:w w:val="110"/>
                <w:sz w:val="15"/>
              </w:rPr>
              <w:t>Annual </w:t>
            </w:r>
            <w:r>
              <w:rPr>
                <w:color w:val="231F20"/>
                <w:w w:val="110"/>
                <w:sz w:val="15"/>
              </w:rPr>
              <w:t>Report can</w:t>
            </w:r>
            <w:r>
              <w:rPr>
                <w:color w:val="231F20"/>
                <w:spacing w:val="-28"/>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7"/>
              <w:rPr>
                <w:b/>
                <w:sz w:val="15"/>
              </w:rPr>
            </w:pPr>
            <w:hyperlink r:id="rId82">
              <w:r>
                <w:rPr>
                  <w:b/>
                  <w:color w:val="00403F"/>
                  <w:w w:val="105"/>
                  <w:sz w:val="15"/>
                </w:rPr>
                <w:t>www.paclii.org</w:t>
              </w:r>
            </w:hyperlink>
          </w:p>
        </w:tc>
        <w:tc>
          <w:tcPr>
            <w:tcW w:w="1167" w:type="dxa"/>
            <w:shd w:val="clear" w:color="auto" w:fill="D8E3CE"/>
          </w:tcPr>
          <w:p>
            <w:pPr>
              <w:pStyle w:val="TableParagraph"/>
              <w:spacing w:line="249" w:lineRule="auto" w:before="74"/>
              <w:ind w:left="77" w:right="161"/>
              <w:rPr>
                <w:sz w:val="15"/>
              </w:rPr>
            </w:pPr>
            <w:r>
              <w:rPr>
                <w:color w:val="231F20"/>
                <w:spacing w:val="-2"/>
                <w:w w:val="110"/>
                <w:sz w:val="15"/>
              </w:rPr>
              <w:t>Annual </w:t>
            </w:r>
            <w:r>
              <w:rPr>
                <w:color w:val="231F20"/>
                <w:w w:val="110"/>
                <w:sz w:val="15"/>
              </w:rPr>
              <w:t>Report can</w:t>
            </w:r>
            <w:r>
              <w:rPr>
                <w:color w:val="231F20"/>
                <w:spacing w:val="-29"/>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7"/>
              <w:rPr>
                <w:b/>
                <w:sz w:val="15"/>
              </w:rPr>
            </w:pPr>
            <w:hyperlink r:id="rId82">
              <w:r>
                <w:rPr>
                  <w:b/>
                  <w:color w:val="00403F"/>
                  <w:w w:val="105"/>
                  <w:sz w:val="15"/>
                </w:rPr>
                <w:t>www.paclii.org</w:t>
              </w:r>
            </w:hyperlink>
          </w:p>
        </w:tc>
        <w:tc>
          <w:tcPr>
            <w:tcW w:w="1167" w:type="dxa"/>
            <w:shd w:val="clear" w:color="auto" w:fill="D8E3CE"/>
          </w:tcPr>
          <w:p>
            <w:pPr>
              <w:pStyle w:val="TableParagraph"/>
              <w:spacing w:line="249" w:lineRule="auto" w:before="74"/>
              <w:ind w:left="76" w:right="162"/>
              <w:rPr>
                <w:sz w:val="15"/>
              </w:rPr>
            </w:pPr>
            <w:r>
              <w:rPr>
                <w:color w:val="231F20"/>
                <w:spacing w:val="-2"/>
                <w:w w:val="110"/>
                <w:sz w:val="15"/>
              </w:rPr>
              <w:t>Annual </w:t>
            </w:r>
            <w:r>
              <w:rPr>
                <w:color w:val="231F20"/>
                <w:w w:val="110"/>
                <w:sz w:val="15"/>
              </w:rPr>
              <w:t>Report can</w:t>
            </w:r>
            <w:r>
              <w:rPr>
                <w:color w:val="231F20"/>
                <w:spacing w:val="-29"/>
                <w:w w:val="110"/>
                <w:sz w:val="15"/>
              </w:rPr>
              <w:t> </w:t>
            </w:r>
            <w:r>
              <w:rPr>
                <w:color w:val="231F20"/>
                <w:w w:val="110"/>
                <w:sz w:val="15"/>
              </w:rPr>
              <w:t>be accessed</w:t>
            </w:r>
            <w:r>
              <w:rPr>
                <w:color w:val="231F20"/>
                <w:spacing w:val="-5"/>
                <w:w w:val="110"/>
                <w:sz w:val="15"/>
              </w:rPr>
              <w:t> </w:t>
            </w:r>
            <w:r>
              <w:rPr>
                <w:color w:val="231F20"/>
                <w:spacing w:val="-2"/>
                <w:w w:val="110"/>
                <w:sz w:val="15"/>
              </w:rPr>
              <w:t>at:</w:t>
            </w:r>
          </w:p>
          <w:p>
            <w:pPr>
              <w:pStyle w:val="TableParagraph"/>
              <w:spacing w:line="182" w:lineRule="exact"/>
              <w:ind w:left="76"/>
              <w:rPr>
                <w:b/>
                <w:sz w:val="15"/>
              </w:rPr>
            </w:pPr>
            <w:hyperlink r:id="rId82">
              <w:r>
                <w:rPr>
                  <w:b/>
                  <w:color w:val="00403F"/>
                  <w:w w:val="105"/>
                  <w:sz w:val="15"/>
                </w:rPr>
                <w:t>www.paclii.org</w:t>
              </w:r>
            </w:hyperlink>
          </w:p>
        </w:tc>
      </w:tr>
    </w:tbl>
    <w:p>
      <w:pPr>
        <w:spacing w:after="0" w:line="182" w:lineRule="exact"/>
        <w:rPr>
          <w:sz w:val="15"/>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3943">
            <wp:simplePos x="0" y="0"/>
            <wp:positionH relativeFrom="page">
              <wp:posOffset>0</wp:posOffset>
            </wp:positionH>
            <wp:positionV relativeFrom="paragraph">
              <wp:posOffset>373881</wp:posOffset>
            </wp:positionV>
            <wp:extent cx="7559992" cy="143992"/>
            <wp:effectExtent l="0" t="0" r="0" b="0"/>
            <wp:wrapNone/>
            <wp:docPr id="27" name="image39.png" descr=""/>
            <wp:cNvGraphicFramePr>
              <a:graphicFrameLocks noChangeAspect="1"/>
            </wp:cNvGraphicFramePr>
            <a:graphic>
              <a:graphicData uri="http://schemas.openxmlformats.org/drawingml/2006/picture">
                <pic:pic>
                  <pic:nvPicPr>
                    <pic:cNvPr id="28"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14</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spacing w:before="8"/>
        <w:rPr>
          <w:b/>
          <w:sz w:val="25"/>
        </w:rPr>
      </w:pPr>
    </w:p>
    <w:p>
      <w:pPr>
        <w:pStyle w:val="Heading2"/>
        <w:spacing w:line="204" w:lineRule="auto" w:before="166"/>
        <w:ind w:right="1501"/>
      </w:pPr>
      <w:r>
        <w:rPr/>
        <w:pict>
          <v:group style="position:absolute;margin-left:.0pt;margin-top:5.009758pt;width:113.4pt;height:36.9pt;mso-position-horizontal-relative:page;mso-position-vertical-relative:paragraph;z-index:8152" coordorigin="0,100" coordsize="2268,738">
            <v:shape style="position:absolute;left:0;top:100;width:2268;height:737" coordorigin="0,100" coordsize="2268,737" path="m2268,100l0,100,0,837,1928,837,2124,832,2225,795,2262,694,2268,497,2268,100xe" filled="true" fillcolor="#e19426" stroked="false">
              <v:path arrowok="t"/>
              <v:fill type="solid"/>
            </v:shape>
            <v:shape style="position:absolute;left:0;top:100;width:2268;height:738" type="#_x0000_t202" filled="false" stroked="false">
              <v:textbox inset="0,0,0,0">
                <w:txbxContent>
                  <w:p>
                    <w:pPr>
                      <w:spacing w:line="713" w:lineRule="exact" w:before="0"/>
                      <w:ind w:left="0" w:right="231" w:firstLine="0"/>
                      <w:jc w:val="right"/>
                      <w:rPr>
                        <w:sz w:val="60"/>
                      </w:rPr>
                    </w:pPr>
                    <w:r>
                      <w:rPr>
                        <w:color w:val="FFFFFF"/>
                        <w:w w:val="109"/>
                        <w:sz w:val="60"/>
                      </w:rPr>
                      <w:t>2</w:t>
                    </w:r>
                  </w:p>
                </w:txbxContent>
              </v:textbox>
              <w10:wrap type="none"/>
            </v:shape>
            <w10:wrap type="none"/>
          </v:group>
        </w:pict>
      </w:r>
      <w:r>
        <w:rPr>
          <w:color w:val="0F6161"/>
          <w:w w:val="105"/>
        </w:rPr>
        <w:t>Overview of Sex, Age and Disability Disaggregated Data in PJSI Partner Annual Reports</w:t>
      </w:r>
    </w:p>
    <w:p>
      <w:pPr>
        <w:pStyle w:val="Heading3"/>
        <w:spacing w:before="387"/>
      </w:pPr>
      <w:r>
        <w:rPr>
          <w:color w:val="0F6161"/>
          <w:spacing w:val="-6"/>
          <w:w w:val="105"/>
        </w:rPr>
        <w:t>Pacific </w:t>
      </w:r>
      <w:r>
        <w:rPr>
          <w:color w:val="0F6161"/>
          <w:w w:val="105"/>
        </w:rPr>
        <w:t>Leaders Gender Equality</w:t>
      </w:r>
      <w:r>
        <w:rPr>
          <w:color w:val="0F6161"/>
          <w:spacing w:val="85"/>
          <w:w w:val="105"/>
        </w:rPr>
        <w:t> </w:t>
      </w:r>
      <w:r>
        <w:rPr>
          <w:color w:val="0F6161"/>
          <w:w w:val="105"/>
        </w:rPr>
        <w:t>Declaration</w:t>
      </w:r>
    </w:p>
    <w:p>
      <w:pPr>
        <w:pStyle w:val="Heading7"/>
        <w:spacing w:before="190"/>
        <w:ind w:left="1700"/>
      </w:pPr>
      <w:r>
        <w:rPr>
          <w:color w:val="231F20"/>
          <w:w w:val="105"/>
        </w:rPr>
        <w:t>(Adopted in 2012 and reaffirmed in 2015)</w:t>
      </w:r>
    </w:p>
    <w:p>
      <w:pPr>
        <w:spacing w:line="256" w:lineRule="auto" w:before="189"/>
        <w:ind w:left="2040" w:right="2292" w:firstLine="0"/>
        <w:jc w:val="left"/>
        <w:rPr>
          <w:rFonts w:ascii="Book Antiqua"/>
          <w:i/>
          <w:sz w:val="21"/>
        </w:rPr>
      </w:pPr>
      <w:r>
        <w:rPr>
          <w:rFonts w:ascii="Book Antiqua"/>
          <w:i/>
          <w:color w:val="231F20"/>
          <w:spacing w:val="-4"/>
          <w:w w:val="105"/>
          <w:sz w:val="21"/>
        </w:rPr>
        <w:t>The </w:t>
      </w:r>
      <w:r>
        <w:rPr>
          <w:rFonts w:ascii="Book Antiqua"/>
          <w:i/>
          <w:color w:val="231F20"/>
          <w:w w:val="105"/>
          <w:sz w:val="21"/>
        </w:rPr>
        <w:t>Leaders of the </w:t>
      </w:r>
      <w:r>
        <w:rPr>
          <w:rFonts w:ascii="Book Antiqua"/>
          <w:i/>
          <w:color w:val="231F20"/>
          <w:spacing w:val="-3"/>
          <w:w w:val="105"/>
          <w:sz w:val="21"/>
        </w:rPr>
        <w:t>Pacific </w:t>
      </w:r>
      <w:r>
        <w:rPr>
          <w:rFonts w:ascii="Book Antiqua"/>
          <w:i/>
          <w:color w:val="231F20"/>
          <w:w w:val="105"/>
          <w:sz w:val="21"/>
        </w:rPr>
        <w:t>Islands Forum met from 27 to 30 August 2012 in </w:t>
      </w:r>
      <w:r>
        <w:rPr>
          <w:rFonts w:ascii="Book Antiqua"/>
          <w:i/>
          <w:color w:val="231F20"/>
          <w:w w:val="105"/>
          <w:sz w:val="21"/>
        </w:rPr>
        <w:t>Rarotonga and brought new determination and invigorated commitment to efforts to lift the status of women in the </w:t>
      </w:r>
      <w:r>
        <w:rPr>
          <w:rFonts w:ascii="Book Antiqua"/>
          <w:i/>
          <w:color w:val="231F20"/>
          <w:spacing w:val="-3"/>
          <w:w w:val="105"/>
          <w:sz w:val="21"/>
        </w:rPr>
        <w:t>Pacific </w:t>
      </w:r>
      <w:r>
        <w:rPr>
          <w:rFonts w:ascii="Book Antiqua"/>
          <w:i/>
          <w:color w:val="231F20"/>
          <w:w w:val="105"/>
          <w:sz w:val="21"/>
        </w:rPr>
        <w:t>and empower them to be active participants in economic, political and social</w:t>
      </w:r>
      <w:r>
        <w:rPr>
          <w:rFonts w:ascii="Book Antiqua"/>
          <w:i/>
          <w:color w:val="231F20"/>
          <w:spacing w:val="13"/>
          <w:w w:val="105"/>
          <w:sz w:val="21"/>
        </w:rPr>
        <w:t> </w:t>
      </w:r>
      <w:r>
        <w:rPr>
          <w:rFonts w:ascii="Book Antiqua"/>
          <w:i/>
          <w:color w:val="231F20"/>
          <w:w w:val="105"/>
          <w:sz w:val="21"/>
        </w:rPr>
        <w:t>life.</w:t>
      </w:r>
    </w:p>
    <w:p>
      <w:pPr>
        <w:spacing w:line="256" w:lineRule="auto" w:before="167"/>
        <w:ind w:left="2040" w:right="2331" w:firstLine="0"/>
        <w:jc w:val="left"/>
        <w:rPr>
          <w:rFonts w:ascii="Book Antiqua" w:hAnsi="Book Antiqua"/>
          <w:i/>
          <w:sz w:val="21"/>
        </w:rPr>
      </w:pPr>
      <w:r>
        <w:rPr>
          <w:rFonts w:ascii="Book Antiqua" w:hAnsi="Book Antiqua"/>
          <w:i/>
          <w:color w:val="231F20"/>
          <w:w w:val="105"/>
          <w:sz w:val="21"/>
        </w:rPr>
        <w:t>Leaders expressed their deep concern that despite gains in girls’ education and some </w:t>
      </w:r>
      <w:r>
        <w:rPr>
          <w:rFonts w:ascii="Book Antiqua" w:hAnsi="Book Antiqua"/>
          <w:i/>
          <w:color w:val="231F20"/>
          <w:w w:val="105"/>
          <w:sz w:val="21"/>
        </w:rPr>
        <w:t>positive initiatives to address violence against women, overall progress in the region towards gender equality is </w:t>
      </w:r>
      <w:r>
        <w:rPr>
          <w:rFonts w:ascii="Book Antiqua" w:hAnsi="Book Antiqua"/>
          <w:i/>
          <w:color w:val="231F20"/>
          <w:spacing w:val="-4"/>
          <w:w w:val="105"/>
          <w:sz w:val="21"/>
        </w:rPr>
        <w:t>slow. </w:t>
      </w:r>
      <w:r>
        <w:rPr>
          <w:rFonts w:ascii="Book Antiqua" w:hAnsi="Book Antiqua"/>
          <w:i/>
          <w:color w:val="231F20"/>
          <w:w w:val="105"/>
          <w:sz w:val="21"/>
        </w:rPr>
        <w:t>In particular Leaders are concerned that </w:t>
      </w:r>
      <w:r>
        <w:rPr>
          <w:rFonts w:ascii="Book Antiqua" w:hAnsi="Book Antiqua"/>
          <w:i/>
          <w:color w:val="231F20"/>
          <w:spacing w:val="-4"/>
          <w:w w:val="105"/>
          <w:sz w:val="21"/>
        </w:rPr>
        <w:t>women’s </w:t>
      </w:r>
      <w:r>
        <w:rPr>
          <w:rFonts w:ascii="Book Antiqua" w:hAnsi="Book Antiqua"/>
          <w:i/>
          <w:color w:val="231F20"/>
          <w:w w:val="105"/>
          <w:sz w:val="21"/>
        </w:rPr>
        <w:t>representation in </w:t>
      </w:r>
      <w:r>
        <w:rPr>
          <w:rFonts w:ascii="Book Antiqua" w:hAnsi="Book Antiqua"/>
          <w:i/>
          <w:color w:val="231F20"/>
          <w:spacing w:val="-3"/>
          <w:w w:val="105"/>
          <w:sz w:val="21"/>
        </w:rPr>
        <w:t>Pacific </w:t>
      </w:r>
      <w:r>
        <w:rPr>
          <w:rFonts w:ascii="Book Antiqua" w:hAnsi="Book Antiqua"/>
          <w:i/>
          <w:color w:val="231F20"/>
          <w:w w:val="105"/>
          <w:sz w:val="21"/>
        </w:rPr>
        <w:t>legislature remains the lowest in the world; violence against women is unacceptably high; and that </w:t>
      </w:r>
      <w:r>
        <w:rPr>
          <w:rFonts w:ascii="Book Antiqua" w:hAnsi="Book Antiqua"/>
          <w:i/>
          <w:color w:val="231F20"/>
          <w:spacing w:val="-4"/>
          <w:w w:val="105"/>
          <w:sz w:val="21"/>
        </w:rPr>
        <w:t>women’s </w:t>
      </w:r>
      <w:r>
        <w:rPr>
          <w:rFonts w:ascii="Book Antiqua" w:hAnsi="Book Antiqua"/>
          <w:i/>
          <w:color w:val="231F20"/>
          <w:w w:val="105"/>
          <w:sz w:val="21"/>
        </w:rPr>
        <w:t>economic opportunities remain limited. Leaders understand that gender inequality is imposing a high personal,  social and economic cost on </w:t>
      </w:r>
      <w:r>
        <w:rPr>
          <w:rFonts w:ascii="Book Antiqua" w:hAnsi="Book Antiqua"/>
          <w:i/>
          <w:color w:val="231F20"/>
          <w:spacing w:val="-3"/>
          <w:w w:val="105"/>
          <w:sz w:val="21"/>
        </w:rPr>
        <w:t>Pacific </w:t>
      </w:r>
      <w:r>
        <w:rPr>
          <w:rFonts w:ascii="Book Antiqua" w:hAnsi="Book Antiqua"/>
          <w:i/>
          <w:color w:val="231F20"/>
          <w:w w:val="105"/>
          <w:sz w:val="21"/>
        </w:rPr>
        <w:t>people and nations, and that improved gender equality will make a significant contribution to creating a prosperous, stable and secure </w:t>
      </w:r>
      <w:r>
        <w:rPr>
          <w:rFonts w:ascii="Book Antiqua" w:hAnsi="Book Antiqua"/>
          <w:i/>
          <w:color w:val="231F20"/>
          <w:spacing w:val="-3"/>
          <w:w w:val="105"/>
          <w:sz w:val="21"/>
        </w:rPr>
        <w:t>Pacific </w:t>
      </w:r>
      <w:r>
        <w:rPr>
          <w:rFonts w:ascii="Book Antiqua" w:hAnsi="Book Antiqua"/>
          <w:i/>
          <w:color w:val="231F20"/>
          <w:w w:val="105"/>
          <w:sz w:val="21"/>
        </w:rPr>
        <w:t>for all current and future</w:t>
      </w:r>
      <w:r>
        <w:rPr>
          <w:rFonts w:ascii="Book Antiqua" w:hAnsi="Book Antiqua"/>
          <w:i/>
          <w:color w:val="231F20"/>
          <w:spacing w:val="15"/>
          <w:w w:val="105"/>
          <w:sz w:val="21"/>
        </w:rPr>
        <w:t> </w:t>
      </w:r>
      <w:r>
        <w:rPr>
          <w:rFonts w:ascii="Book Antiqua" w:hAnsi="Book Antiqua"/>
          <w:i/>
          <w:color w:val="231F20"/>
          <w:w w:val="105"/>
          <w:sz w:val="21"/>
        </w:rPr>
        <w:t>generations…</w:t>
      </w:r>
    </w:p>
    <w:p>
      <w:pPr>
        <w:spacing w:line="256" w:lineRule="auto" w:before="162"/>
        <w:ind w:left="2040" w:right="2655" w:firstLine="0"/>
        <w:jc w:val="left"/>
        <w:rPr>
          <w:rFonts w:ascii="Book Antiqua"/>
          <w:i/>
          <w:sz w:val="21"/>
        </w:rPr>
      </w:pPr>
      <w:r>
        <w:rPr>
          <w:rFonts w:ascii="Book Antiqua"/>
          <w:i/>
          <w:color w:val="231F20"/>
          <w:w w:val="105"/>
          <w:sz w:val="21"/>
        </w:rPr>
        <w:t>To progress these commitments, Leaders commit to implement specific national </w:t>
      </w:r>
      <w:r>
        <w:rPr>
          <w:rFonts w:ascii="Book Antiqua"/>
          <w:i/>
          <w:color w:val="231F20"/>
          <w:w w:val="105"/>
          <w:sz w:val="21"/>
        </w:rPr>
        <w:t>policy actions to progress gender equality in the areas of gender responsive government programs and policies, decision making, economic empowerment, ending violence against women, and health and education.</w:t>
      </w:r>
    </w:p>
    <w:p>
      <w:pPr>
        <w:pStyle w:val="BodyText"/>
        <w:spacing w:before="11"/>
        <w:rPr>
          <w:rFonts w:ascii="Book Antiqua"/>
          <w:i/>
          <w:sz w:val="22"/>
        </w:rPr>
      </w:pPr>
    </w:p>
    <w:p>
      <w:pPr>
        <w:spacing w:before="0"/>
        <w:ind w:left="1700" w:right="0" w:firstLine="0"/>
        <w:jc w:val="left"/>
        <w:rPr>
          <w:sz w:val="32"/>
        </w:rPr>
      </w:pPr>
      <w:r>
        <w:rPr>
          <w:color w:val="0F6161"/>
          <w:w w:val="105"/>
          <w:sz w:val="32"/>
        </w:rPr>
        <w:t>Gender Responsive Government Programmes and</w:t>
      </w:r>
      <w:r>
        <w:rPr>
          <w:color w:val="0F6161"/>
          <w:spacing w:val="60"/>
          <w:w w:val="105"/>
          <w:sz w:val="32"/>
        </w:rPr>
        <w:t> </w:t>
      </w:r>
      <w:r>
        <w:rPr>
          <w:color w:val="0F6161"/>
          <w:w w:val="105"/>
          <w:sz w:val="32"/>
        </w:rPr>
        <w:t>Policies</w:t>
      </w:r>
    </w:p>
    <w:p>
      <w:pPr>
        <w:pStyle w:val="BodyText"/>
        <w:spacing w:line="252" w:lineRule="auto" w:before="97"/>
        <w:ind w:left="2040" w:right="1501" w:hanging="341"/>
      </w:pPr>
      <w:r>
        <w:rPr>
          <w:rFonts w:ascii="Verdana"/>
          <w:color w:val="0F6161"/>
          <w:w w:val="105"/>
          <w:sz w:val="12"/>
        </w:rPr>
        <w:t>n </w:t>
      </w:r>
      <w:r>
        <w:rPr>
          <w:color w:val="231F20"/>
          <w:w w:val="105"/>
        </w:rPr>
        <w:t>Support the production and use of sex disaggregated data and gender analysis to inform government policies and programmes.</w:t>
      </w:r>
    </w:p>
    <w:p>
      <w:pPr>
        <w:pStyle w:val="BodyText"/>
        <w:spacing w:before="2"/>
        <w:rPr>
          <w:sz w:val="28"/>
        </w:rPr>
      </w:pPr>
    </w:p>
    <w:p>
      <w:pPr>
        <w:pStyle w:val="Heading5"/>
        <w:ind w:left="1700"/>
      </w:pPr>
      <w:r>
        <w:rPr>
          <w:color w:val="0F6161"/>
          <w:w w:val="105"/>
        </w:rPr>
        <w:t>Ending Violence against Women</w:t>
      </w:r>
    </w:p>
    <w:p>
      <w:pPr>
        <w:pStyle w:val="BodyText"/>
        <w:spacing w:line="252" w:lineRule="auto" w:before="98"/>
        <w:ind w:left="2040" w:right="1917" w:hanging="341"/>
      </w:pPr>
      <w:r>
        <w:rPr>
          <w:rFonts w:ascii="Verdana"/>
          <w:color w:val="0F6161"/>
          <w:w w:val="105"/>
          <w:sz w:val="12"/>
        </w:rPr>
        <w:t>n </w:t>
      </w:r>
      <w:r>
        <w:rPr>
          <w:color w:val="231F20"/>
          <w:w w:val="105"/>
        </w:rPr>
        <w:t>Implement progressively a package of essential services (protection, health, counselling, legal)</w:t>
      </w:r>
      <w:r>
        <w:rPr>
          <w:color w:val="231F20"/>
          <w:spacing w:val="6"/>
          <w:w w:val="105"/>
        </w:rPr>
        <w:t> </w:t>
      </w:r>
      <w:r>
        <w:rPr>
          <w:color w:val="231F20"/>
          <w:w w:val="105"/>
        </w:rPr>
        <w:t>for</w:t>
      </w:r>
      <w:r>
        <w:rPr>
          <w:color w:val="231F20"/>
          <w:spacing w:val="6"/>
          <w:w w:val="105"/>
        </w:rPr>
        <w:t> </w:t>
      </w:r>
      <w:r>
        <w:rPr>
          <w:color w:val="231F20"/>
          <w:w w:val="105"/>
        </w:rPr>
        <w:t>women</w:t>
      </w:r>
      <w:r>
        <w:rPr>
          <w:color w:val="231F20"/>
          <w:spacing w:val="6"/>
          <w:w w:val="105"/>
        </w:rPr>
        <w:t> </w:t>
      </w:r>
      <w:r>
        <w:rPr>
          <w:color w:val="231F20"/>
          <w:w w:val="105"/>
        </w:rPr>
        <w:t>and</w:t>
      </w:r>
      <w:r>
        <w:rPr>
          <w:color w:val="231F20"/>
          <w:spacing w:val="6"/>
          <w:w w:val="105"/>
        </w:rPr>
        <w:t> </w:t>
      </w:r>
      <w:r>
        <w:rPr>
          <w:color w:val="231F20"/>
          <w:w w:val="105"/>
        </w:rPr>
        <w:t>girls</w:t>
      </w:r>
      <w:r>
        <w:rPr>
          <w:color w:val="231F20"/>
          <w:spacing w:val="6"/>
          <w:w w:val="105"/>
        </w:rPr>
        <w:t> </w:t>
      </w:r>
      <w:r>
        <w:rPr>
          <w:color w:val="231F20"/>
          <w:w w:val="105"/>
        </w:rPr>
        <w:t>who</w:t>
      </w:r>
      <w:r>
        <w:rPr>
          <w:color w:val="231F20"/>
          <w:spacing w:val="6"/>
          <w:w w:val="105"/>
        </w:rPr>
        <w:t> </w:t>
      </w:r>
      <w:r>
        <w:rPr>
          <w:color w:val="231F20"/>
          <w:w w:val="105"/>
        </w:rPr>
        <w:t>are</w:t>
      </w:r>
      <w:r>
        <w:rPr>
          <w:color w:val="231F20"/>
          <w:spacing w:val="6"/>
          <w:w w:val="105"/>
        </w:rPr>
        <w:t> </w:t>
      </w:r>
      <w:r>
        <w:rPr>
          <w:color w:val="231F20"/>
          <w:w w:val="105"/>
        </w:rPr>
        <w:t>survivors</w:t>
      </w:r>
      <w:r>
        <w:rPr>
          <w:color w:val="231F20"/>
          <w:spacing w:val="6"/>
          <w:w w:val="105"/>
        </w:rPr>
        <w:t> </w:t>
      </w:r>
      <w:r>
        <w:rPr>
          <w:color w:val="231F20"/>
          <w:w w:val="105"/>
        </w:rPr>
        <w:t>of</w:t>
      </w:r>
      <w:r>
        <w:rPr>
          <w:color w:val="231F20"/>
          <w:spacing w:val="6"/>
          <w:w w:val="105"/>
        </w:rPr>
        <w:t> </w:t>
      </w:r>
      <w:r>
        <w:rPr>
          <w:color w:val="231F20"/>
          <w:w w:val="105"/>
        </w:rPr>
        <w:t>violence.</w:t>
      </w:r>
    </w:p>
    <w:p>
      <w:pPr>
        <w:pStyle w:val="BodyText"/>
        <w:spacing w:line="252" w:lineRule="auto" w:before="115"/>
        <w:ind w:left="2040" w:right="1917" w:hanging="341"/>
      </w:pPr>
      <w:r>
        <w:rPr>
          <w:rFonts w:ascii="Verdana"/>
          <w:color w:val="0F6161"/>
          <w:w w:val="105"/>
          <w:sz w:val="12"/>
        </w:rPr>
        <w:t>n </w:t>
      </w:r>
      <w:r>
        <w:rPr>
          <w:color w:val="231F20"/>
          <w:w w:val="105"/>
        </w:rPr>
        <w:t>Enact and implement legislation regarding sexual and gender based violence to protect women from violence and impose appropriate penalties for perpetrators of violence.</w:t>
      </w:r>
    </w:p>
    <w:p>
      <w:pPr>
        <w:spacing w:after="0" w:line="252" w:lineRule="auto"/>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91440"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15</w:t>
      </w:r>
    </w:p>
    <w:p>
      <w:pPr>
        <w:pStyle w:val="BodyText"/>
        <w:rPr>
          <w:sz w:val="56"/>
        </w:rPr>
      </w:pPr>
    </w:p>
    <w:p>
      <w:pPr>
        <w:pStyle w:val="BodyText"/>
        <w:spacing w:line="252" w:lineRule="auto" w:before="381"/>
        <w:ind w:left="1700" w:right="1698"/>
        <w:jc w:val="both"/>
      </w:pPr>
      <w:r>
        <w:rPr>
          <w:color w:val="231F20"/>
          <w:spacing w:val="-4"/>
          <w:w w:val="105"/>
        </w:rPr>
        <w:t>The </w:t>
      </w:r>
      <w:r>
        <w:rPr>
          <w:color w:val="231F20"/>
          <w:spacing w:val="-3"/>
          <w:w w:val="105"/>
        </w:rPr>
        <w:t>Pacific </w:t>
      </w:r>
      <w:r>
        <w:rPr>
          <w:color w:val="231F20"/>
          <w:w w:val="105"/>
        </w:rPr>
        <w:t>Leaders Gender Equality Declaration is relevant for considering how the  Cook Island Indicators should enable </w:t>
      </w:r>
      <w:r>
        <w:rPr>
          <w:color w:val="231F20"/>
          <w:spacing w:val="-3"/>
          <w:w w:val="105"/>
        </w:rPr>
        <w:t>Pacific </w:t>
      </w:r>
      <w:r>
        <w:rPr>
          <w:color w:val="231F20"/>
          <w:w w:val="105"/>
        </w:rPr>
        <w:t>Island Countries to report on how their countries </w:t>
      </w:r>
      <w:r>
        <w:rPr>
          <w:color w:val="231F20"/>
          <w:spacing w:val="-3"/>
          <w:w w:val="105"/>
        </w:rPr>
        <w:t>have </w:t>
      </w:r>
      <w:r>
        <w:rPr>
          <w:color w:val="231F20"/>
          <w:w w:val="105"/>
        </w:rPr>
        <w:t>implemented</w:t>
      </w:r>
      <w:r>
        <w:rPr>
          <w:color w:val="231F20"/>
          <w:spacing w:val="6"/>
          <w:w w:val="105"/>
        </w:rPr>
        <w:t> </w:t>
      </w:r>
      <w:r>
        <w:rPr>
          <w:color w:val="231F20"/>
          <w:w w:val="105"/>
        </w:rPr>
        <w:t>specific</w:t>
      </w:r>
      <w:r>
        <w:rPr>
          <w:color w:val="231F20"/>
          <w:spacing w:val="6"/>
          <w:w w:val="105"/>
        </w:rPr>
        <w:t> </w:t>
      </w:r>
      <w:r>
        <w:rPr>
          <w:color w:val="231F20"/>
          <w:w w:val="105"/>
        </w:rPr>
        <w:t>national</w:t>
      </w:r>
      <w:r>
        <w:rPr>
          <w:color w:val="231F20"/>
          <w:spacing w:val="6"/>
          <w:w w:val="105"/>
        </w:rPr>
        <w:t> </w:t>
      </w:r>
      <w:r>
        <w:rPr>
          <w:color w:val="231F20"/>
          <w:w w:val="105"/>
        </w:rPr>
        <w:t>policy</w:t>
      </w:r>
      <w:r>
        <w:rPr>
          <w:color w:val="231F20"/>
          <w:spacing w:val="6"/>
          <w:w w:val="105"/>
        </w:rPr>
        <w:t> </w:t>
      </w:r>
      <w:r>
        <w:rPr>
          <w:color w:val="231F20"/>
          <w:w w:val="105"/>
        </w:rPr>
        <w:t>actions</w:t>
      </w:r>
      <w:r>
        <w:rPr>
          <w:color w:val="231F20"/>
          <w:spacing w:val="6"/>
          <w:w w:val="105"/>
        </w:rPr>
        <w:t> </w:t>
      </w:r>
      <w:r>
        <w:rPr>
          <w:color w:val="231F20"/>
          <w:w w:val="105"/>
        </w:rPr>
        <w:t>to</w:t>
      </w:r>
      <w:r>
        <w:rPr>
          <w:color w:val="231F20"/>
          <w:spacing w:val="6"/>
          <w:w w:val="105"/>
        </w:rPr>
        <w:t> </w:t>
      </w:r>
      <w:r>
        <w:rPr>
          <w:color w:val="231F20"/>
          <w:w w:val="105"/>
        </w:rPr>
        <w:t>progress</w:t>
      </w:r>
      <w:r>
        <w:rPr>
          <w:color w:val="231F20"/>
          <w:spacing w:val="6"/>
          <w:w w:val="105"/>
        </w:rPr>
        <w:t> </w:t>
      </w:r>
      <w:r>
        <w:rPr>
          <w:color w:val="231F20"/>
          <w:w w:val="105"/>
        </w:rPr>
        <w:t>gender</w:t>
      </w:r>
      <w:r>
        <w:rPr>
          <w:color w:val="231F20"/>
          <w:spacing w:val="6"/>
          <w:w w:val="105"/>
        </w:rPr>
        <w:t> </w:t>
      </w:r>
      <w:r>
        <w:rPr>
          <w:color w:val="231F20"/>
          <w:w w:val="105"/>
        </w:rPr>
        <w:t>equality</w:t>
      </w:r>
      <w:r>
        <w:rPr>
          <w:color w:val="231F20"/>
          <w:spacing w:val="6"/>
          <w:w w:val="105"/>
        </w:rPr>
        <w:t> </w:t>
      </w:r>
      <w:r>
        <w:rPr>
          <w:color w:val="231F20"/>
          <w:w w:val="105"/>
        </w:rPr>
        <w:t>and,</w:t>
      </w:r>
      <w:r>
        <w:rPr>
          <w:color w:val="231F20"/>
          <w:spacing w:val="6"/>
          <w:w w:val="105"/>
        </w:rPr>
        <w:t> </w:t>
      </w:r>
      <w:r>
        <w:rPr>
          <w:color w:val="231F20"/>
          <w:w w:val="105"/>
        </w:rPr>
        <w:t>in</w:t>
      </w:r>
      <w:r>
        <w:rPr>
          <w:color w:val="231F20"/>
          <w:spacing w:val="6"/>
          <w:w w:val="105"/>
        </w:rPr>
        <w:t> </w:t>
      </w:r>
      <w:r>
        <w:rPr>
          <w:color w:val="231F20"/>
          <w:w w:val="105"/>
        </w:rPr>
        <w:t>particular:</w:t>
      </w:r>
    </w:p>
    <w:p>
      <w:pPr>
        <w:pStyle w:val="BodyText"/>
        <w:spacing w:line="252" w:lineRule="auto" w:before="173"/>
        <w:ind w:left="2040" w:right="1698" w:hanging="341"/>
        <w:jc w:val="both"/>
      </w:pPr>
      <w:r>
        <w:rPr>
          <w:rFonts w:ascii="Verdana"/>
          <w:color w:val="0F6161"/>
          <w:w w:val="105"/>
          <w:sz w:val="12"/>
        </w:rPr>
        <w:t>n </w:t>
      </w:r>
      <w:r>
        <w:rPr>
          <w:color w:val="231F20"/>
          <w:w w:val="105"/>
        </w:rPr>
        <w:t>Whether courts provide sex, age and disability disaggregated data in Annual Reports, particularly in relation to family law and gender based violence cases</w:t>
      </w:r>
    </w:p>
    <w:p>
      <w:pPr>
        <w:pStyle w:val="BodyText"/>
        <w:spacing w:line="252" w:lineRule="auto" w:before="115"/>
        <w:ind w:left="2040" w:right="1698" w:hanging="341"/>
        <w:jc w:val="both"/>
      </w:pPr>
      <w:r>
        <w:rPr>
          <w:rFonts w:ascii="Verdana"/>
          <w:color w:val="0F6161"/>
          <w:w w:val="105"/>
          <w:sz w:val="12"/>
        </w:rPr>
        <w:t>n </w:t>
      </w:r>
      <w:r>
        <w:rPr>
          <w:color w:val="231F20"/>
          <w:w w:val="105"/>
        </w:rPr>
        <w:t>Specific services provided by courts for women and girls who are survivors of violence, including women and girls with a disability, as well as those services that are undertaken in collaboration with Government agencies and/or Civil Society Organisations</w:t>
      </w:r>
    </w:p>
    <w:p>
      <w:pPr>
        <w:pStyle w:val="BodyText"/>
        <w:spacing w:line="252" w:lineRule="auto" w:before="116"/>
        <w:ind w:left="2040" w:right="1699" w:hanging="341"/>
        <w:jc w:val="both"/>
      </w:pPr>
      <w:r>
        <w:rPr>
          <w:rFonts w:ascii="Verdana"/>
          <w:color w:val="0F6161"/>
          <w:w w:val="105"/>
          <w:sz w:val="12"/>
        </w:rPr>
        <w:t>n </w:t>
      </w:r>
      <w:r>
        <w:rPr>
          <w:color w:val="231F20"/>
          <w:w w:val="105"/>
        </w:rPr>
        <w:t>Penalties imposed on perpetrators of violence. Analysis of outcomes of gender and family violence cases brought to court.</w:t>
      </w:r>
    </w:p>
    <w:p>
      <w:pPr>
        <w:pStyle w:val="BodyText"/>
        <w:spacing w:before="8"/>
        <w:rPr>
          <w:sz w:val="18"/>
        </w:rPr>
      </w:pPr>
    </w:p>
    <w:p>
      <w:pPr>
        <w:pStyle w:val="BodyText"/>
        <w:spacing w:line="252" w:lineRule="auto" w:before="1"/>
        <w:ind w:left="1700" w:right="1697"/>
        <w:jc w:val="both"/>
      </w:pPr>
      <w:r>
        <w:rPr>
          <w:color w:val="231F20"/>
          <w:w w:val="105"/>
        </w:rPr>
        <w:t>The importance of courts participating in the collection, analysis and presentation of sex, age and disability disaggregated data on cases involving violence against women and children is underlined by the high rates of prevalence of violence against women, girls and boys.</w:t>
      </w:r>
    </w:p>
    <w:p>
      <w:pPr>
        <w:pStyle w:val="BodyText"/>
        <w:spacing w:line="252" w:lineRule="auto" w:before="172"/>
        <w:ind w:left="1700" w:right="1698"/>
        <w:jc w:val="both"/>
      </w:pPr>
      <w:r>
        <w:rPr>
          <w:color w:val="231F20"/>
          <w:w w:val="105"/>
        </w:rPr>
        <w:t>In 2018, both </w:t>
      </w:r>
      <w:r>
        <w:rPr>
          <w:color w:val="231F20"/>
          <w:spacing w:val="-4"/>
          <w:w w:val="105"/>
        </w:rPr>
        <w:t>Palau </w:t>
      </w:r>
      <w:r>
        <w:rPr>
          <w:color w:val="231F20"/>
          <w:w w:val="105"/>
        </w:rPr>
        <w:t>and </w:t>
      </w:r>
      <w:r>
        <w:rPr>
          <w:color w:val="231F20"/>
          <w:spacing w:val="-5"/>
          <w:w w:val="105"/>
        </w:rPr>
        <w:t>Tonga </w:t>
      </w:r>
      <w:r>
        <w:rPr>
          <w:color w:val="231F20"/>
          <w:w w:val="105"/>
        </w:rPr>
        <w:t>added new narrative sections containing sex and age disaggregated data to their Judicial Annual Reports. </w:t>
      </w:r>
      <w:r>
        <w:rPr>
          <w:color w:val="231F20"/>
          <w:spacing w:val="-4"/>
          <w:w w:val="105"/>
        </w:rPr>
        <w:t>For Palau, </w:t>
      </w:r>
      <w:r>
        <w:rPr>
          <w:color w:val="231F20"/>
          <w:w w:val="105"/>
        </w:rPr>
        <w:t>the 2018 Annual Report</w:t>
      </w:r>
      <w:r>
        <w:rPr>
          <w:color w:val="231F20"/>
          <w:spacing w:val="-27"/>
          <w:w w:val="105"/>
        </w:rPr>
        <w:t> </w:t>
      </w:r>
      <w:r>
        <w:rPr>
          <w:color w:val="231F20"/>
          <w:w w:val="105"/>
        </w:rPr>
        <w:t>included sex</w:t>
      </w:r>
      <w:r>
        <w:rPr>
          <w:color w:val="231F20"/>
          <w:spacing w:val="-4"/>
          <w:w w:val="105"/>
        </w:rPr>
        <w:t> </w:t>
      </w:r>
      <w:r>
        <w:rPr>
          <w:color w:val="231F20"/>
          <w:w w:val="105"/>
        </w:rPr>
        <w:t>segregated</w:t>
      </w:r>
      <w:r>
        <w:rPr>
          <w:color w:val="231F20"/>
          <w:spacing w:val="-4"/>
          <w:w w:val="105"/>
        </w:rPr>
        <w:t> </w:t>
      </w:r>
      <w:r>
        <w:rPr>
          <w:color w:val="231F20"/>
          <w:w w:val="105"/>
        </w:rPr>
        <w:t>data</w:t>
      </w:r>
      <w:r>
        <w:rPr>
          <w:color w:val="231F20"/>
          <w:spacing w:val="-4"/>
          <w:w w:val="105"/>
        </w:rPr>
        <w:t> </w:t>
      </w:r>
      <w:r>
        <w:rPr>
          <w:color w:val="231F20"/>
          <w:w w:val="105"/>
        </w:rPr>
        <w:t>for</w:t>
      </w:r>
      <w:r>
        <w:rPr>
          <w:color w:val="231F20"/>
          <w:spacing w:val="-4"/>
          <w:w w:val="105"/>
        </w:rPr>
        <w:t> </w:t>
      </w:r>
      <w:r>
        <w:rPr>
          <w:color w:val="231F20"/>
          <w:w w:val="105"/>
        </w:rPr>
        <w:t>juvenile</w:t>
      </w:r>
      <w:r>
        <w:rPr>
          <w:color w:val="231F20"/>
          <w:spacing w:val="-4"/>
          <w:w w:val="105"/>
        </w:rPr>
        <w:t> </w:t>
      </w:r>
      <w:r>
        <w:rPr>
          <w:color w:val="231F20"/>
          <w:w w:val="105"/>
        </w:rPr>
        <w:t>cases</w:t>
      </w:r>
      <w:r>
        <w:rPr>
          <w:color w:val="231F20"/>
          <w:spacing w:val="-4"/>
          <w:w w:val="105"/>
        </w:rPr>
        <w:t> </w:t>
      </w:r>
      <w:r>
        <w:rPr>
          <w:color w:val="231F20"/>
          <w:w w:val="105"/>
        </w:rPr>
        <w:t>filed</w:t>
      </w:r>
      <w:r>
        <w:rPr>
          <w:color w:val="231F20"/>
          <w:spacing w:val="-4"/>
          <w:w w:val="105"/>
        </w:rPr>
        <w:t> </w:t>
      </w: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Court</w:t>
      </w:r>
      <w:r>
        <w:rPr>
          <w:color w:val="231F20"/>
          <w:spacing w:val="-4"/>
          <w:w w:val="105"/>
        </w:rPr>
        <w:t> </w:t>
      </w:r>
      <w:r>
        <w:rPr>
          <w:color w:val="231F20"/>
          <w:w w:val="105"/>
        </w:rPr>
        <w:t>of</w:t>
      </w:r>
      <w:r>
        <w:rPr>
          <w:color w:val="231F20"/>
          <w:spacing w:val="-4"/>
          <w:w w:val="105"/>
        </w:rPr>
        <w:t> </w:t>
      </w:r>
      <w:r>
        <w:rPr>
          <w:color w:val="231F20"/>
          <w:w w:val="105"/>
        </w:rPr>
        <w:t>Common</w:t>
      </w:r>
      <w:r>
        <w:rPr>
          <w:color w:val="231F20"/>
          <w:spacing w:val="-4"/>
          <w:w w:val="105"/>
        </w:rPr>
        <w:t> </w:t>
      </w:r>
      <w:r>
        <w:rPr>
          <w:color w:val="231F20"/>
          <w:w w:val="105"/>
        </w:rPr>
        <w:t>Pleas,</w:t>
      </w:r>
      <w:r>
        <w:rPr>
          <w:color w:val="231F20"/>
          <w:spacing w:val="-4"/>
          <w:w w:val="105"/>
        </w:rPr>
        <w:t> </w:t>
      </w:r>
      <w:r>
        <w:rPr>
          <w:color w:val="231F20"/>
          <w:w w:val="105"/>
        </w:rPr>
        <w:t>family</w:t>
      </w:r>
      <w:r>
        <w:rPr>
          <w:color w:val="231F20"/>
          <w:spacing w:val="-4"/>
          <w:w w:val="105"/>
        </w:rPr>
        <w:t> </w:t>
      </w:r>
      <w:r>
        <w:rPr>
          <w:color w:val="231F20"/>
          <w:w w:val="105"/>
        </w:rPr>
        <w:t>law</w:t>
      </w:r>
      <w:r>
        <w:rPr>
          <w:color w:val="231F20"/>
          <w:spacing w:val="-4"/>
          <w:w w:val="105"/>
        </w:rPr>
        <w:t> </w:t>
      </w:r>
      <w:r>
        <w:rPr>
          <w:color w:val="231F20"/>
          <w:w w:val="105"/>
        </w:rPr>
        <w:t>cases,</w:t>
      </w:r>
      <w:r>
        <w:rPr>
          <w:color w:val="231F20"/>
          <w:spacing w:val="-4"/>
          <w:w w:val="105"/>
        </w:rPr>
        <w:t> </w:t>
      </w:r>
      <w:r>
        <w:rPr>
          <w:color w:val="231F20"/>
          <w:w w:val="105"/>
        </w:rPr>
        <w:t>and domestic violence cases as well as data on outcome in these cases. Senior Judge Rudimch in her opening message to the </w:t>
      </w:r>
      <w:r>
        <w:rPr>
          <w:color w:val="231F20"/>
          <w:spacing w:val="-4"/>
          <w:w w:val="105"/>
        </w:rPr>
        <w:t>Palau </w:t>
      </w:r>
      <w:r>
        <w:rPr>
          <w:color w:val="231F20"/>
          <w:w w:val="105"/>
        </w:rPr>
        <w:t>2018 Annual Report states</w:t>
      </w:r>
      <w:r>
        <w:rPr>
          <w:color w:val="231F20"/>
          <w:spacing w:val="5"/>
          <w:w w:val="105"/>
        </w:rPr>
        <w:t> </w:t>
      </w:r>
      <w:r>
        <w:rPr>
          <w:color w:val="231F20"/>
          <w:w w:val="105"/>
        </w:rPr>
        <w:t>that:</w:t>
      </w:r>
    </w:p>
    <w:p>
      <w:pPr>
        <w:spacing w:line="256" w:lineRule="auto" w:before="123"/>
        <w:ind w:left="2040" w:right="2352" w:firstLine="0"/>
        <w:jc w:val="left"/>
        <w:rPr>
          <w:rFonts w:ascii="Book Antiqua" w:hAnsi="Book Antiqua"/>
          <w:i/>
          <w:sz w:val="21"/>
        </w:rPr>
      </w:pPr>
      <w:r>
        <w:rPr>
          <w:rFonts w:ascii="Book Antiqua" w:hAnsi="Book Antiqua"/>
          <w:i/>
          <w:color w:val="231F20"/>
          <w:spacing w:val="-4"/>
          <w:w w:val="105"/>
          <w:sz w:val="21"/>
        </w:rPr>
        <w:t>The </w:t>
      </w:r>
      <w:r>
        <w:rPr>
          <w:rFonts w:ascii="Book Antiqua" w:hAnsi="Book Antiqua"/>
          <w:i/>
          <w:color w:val="231F20"/>
          <w:w w:val="105"/>
          <w:sz w:val="21"/>
        </w:rPr>
        <w:t>Judiciary continues to take its role in informing the public of what it does </w:t>
      </w:r>
      <w:r>
        <w:rPr>
          <w:rFonts w:ascii="Book Antiqua" w:hAnsi="Book Antiqua"/>
          <w:i/>
          <w:color w:val="231F20"/>
          <w:w w:val="105"/>
          <w:sz w:val="21"/>
        </w:rPr>
        <w:t>seriously and has added additional narratives to this </w:t>
      </w:r>
      <w:r>
        <w:rPr>
          <w:rFonts w:ascii="Book Antiqua" w:hAnsi="Book Antiqua"/>
          <w:i/>
          <w:color w:val="231F20"/>
          <w:spacing w:val="-4"/>
          <w:w w:val="105"/>
          <w:sz w:val="21"/>
        </w:rPr>
        <w:t>year’s </w:t>
      </w:r>
      <w:r>
        <w:rPr>
          <w:rFonts w:ascii="Book Antiqua" w:hAnsi="Book Antiqua"/>
          <w:i/>
          <w:color w:val="231F20"/>
          <w:w w:val="105"/>
          <w:sz w:val="21"/>
        </w:rPr>
        <w:t>Annual Report to explain some of the data. …Our work is not over though, and we continue to invite the public to tell us how we </w:t>
      </w:r>
      <w:r>
        <w:rPr>
          <w:rFonts w:ascii="Book Antiqua" w:hAnsi="Book Antiqua"/>
          <w:i/>
          <w:color w:val="231F20"/>
          <w:spacing w:val="-3"/>
          <w:w w:val="105"/>
          <w:sz w:val="21"/>
        </w:rPr>
        <w:t>may </w:t>
      </w:r>
      <w:r>
        <w:rPr>
          <w:rFonts w:ascii="Book Antiqua" w:hAnsi="Book Antiqua"/>
          <w:i/>
          <w:color w:val="231F20"/>
          <w:w w:val="105"/>
          <w:sz w:val="21"/>
        </w:rPr>
        <w:t>improve our services. </w:t>
      </w:r>
      <w:r>
        <w:rPr>
          <w:rFonts w:ascii="Book Antiqua" w:hAnsi="Book Antiqua"/>
          <w:i/>
          <w:color w:val="231F20"/>
          <w:spacing w:val="-7"/>
          <w:w w:val="105"/>
          <w:sz w:val="21"/>
        </w:rPr>
        <w:t>Your </w:t>
      </w:r>
      <w:r>
        <w:rPr>
          <w:rFonts w:ascii="Book Antiqua" w:hAnsi="Book Antiqua"/>
          <w:i/>
          <w:color w:val="231F20"/>
          <w:w w:val="105"/>
          <w:sz w:val="21"/>
        </w:rPr>
        <w:t>comments and concerns </w:t>
      </w:r>
      <w:r>
        <w:rPr>
          <w:rFonts w:ascii="Book Antiqua" w:hAnsi="Book Antiqua"/>
          <w:i/>
          <w:color w:val="231F20"/>
          <w:spacing w:val="-3"/>
          <w:w w:val="105"/>
          <w:sz w:val="21"/>
        </w:rPr>
        <w:t>may </w:t>
      </w:r>
      <w:r>
        <w:rPr>
          <w:rFonts w:ascii="Book Antiqua" w:hAnsi="Book Antiqua"/>
          <w:i/>
          <w:color w:val="231F20"/>
          <w:w w:val="105"/>
          <w:sz w:val="21"/>
        </w:rPr>
        <w:t>be addressed to our new special assistant to the Chief Justice, Ryobch Luii, at </w:t>
      </w:r>
      <w:hyperlink r:id="rId86">
        <w:r>
          <w:rPr>
            <w:rFonts w:ascii="Book Antiqua" w:hAnsi="Book Antiqua"/>
            <w:i/>
            <w:color w:val="231F20"/>
            <w:w w:val="105"/>
            <w:sz w:val="21"/>
          </w:rPr>
          <w:t>rluii@palausupremecourt.net.</w:t>
        </w:r>
      </w:hyperlink>
    </w:p>
    <w:p>
      <w:pPr>
        <w:pStyle w:val="BodyText"/>
        <w:spacing w:before="11"/>
        <w:rPr>
          <w:rFonts w:ascii="Book Antiqua"/>
          <w:i/>
          <w:sz w:val="17"/>
        </w:rPr>
      </w:pPr>
    </w:p>
    <w:p>
      <w:pPr>
        <w:pStyle w:val="BodyText"/>
        <w:spacing w:line="252" w:lineRule="auto"/>
        <w:ind w:left="1700" w:right="1698"/>
        <w:jc w:val="both"/>
      </w:pPr>
      <w:r>
        <w:rPr>
          <w:color w:val="231F20"/>
          <w:w w:val="105"/>
        </w:rPr>
        <w:t>In 2018, the Chief Justice of Tonga added a new section in the Annual Report with sex and age disaggregated data and in the introduction to this section states:</w:t>
      </w:r>
    </w:p>
    <w:p>
      <w:pPr>
        <w:spacing w:line="256" w:lineRule="auto" w:before="121"/>
        <w:ind w:left="2040" w:right="2292" w:firstLine="0"/>
        <w:jc w:val="left"/>
        <w:rPr>
          <w:rFonts w:ascii="Book Antiqua"/>
          <w:i/>
          <w:sz w:val="21"/>
        </w:rPr>
      </w:pPr>
      <w:r>
        <w:rPr>
          <w:rFonts w:ascii="Book Antiqua"/>
          <w:i/>
          <w:color w:val="231F20"/>
          <w:w w:val="105"/>
          <w:sz w:val="21"/>
        </w:rPr>
        <w:t>There has been an acceptance by Pacific Leaders (see Pacific Leaders Gender Equality </w:t>
      </w:r>
      <w:r>
        <w:rPr>
          <w:rFonts w:ascii="Book Antiqua"/>
          <w:i/>
          <w:color w:val="231F20"/>
          <w:w w:val="105"/>
          <w:sz w:val="21"/>
        </w:rPr>
        <w:t>Declaration 2012) that they should support the production of sex disaggregated data and gender analysis to inform Government policies and programmes.</w:t>
      </w:r>
    </w:p>
    <w:p>
      <w:pPr>
        <w:spacing w:line="256" w:lineRule="auto" w:before="167"/>
        <w:ind w:left="2040" w:right="2837" w:firstLine="0"/>
        <w:jc w:val="left"/>
        <w:rPr>
          <w:rFonts w:ascii="Book Antiqua"/>
          <w:i/>
          <w:sz w:val="21"/>
        </w:rPr>
      </w:pPr>
      <w:r>
        <w:rPr>
          <w:rFonts w:ascii="Book Antiqua"/>
          <w:i/>
          <w:color w:val="231F20"/>
          <w:spacing w:val="-4"/>
          <w:w w:val="105"/>
          <w:sz w:val="21"/>
        </w:rPr>
        <w:t>The </w:t>
      </w:r>
      <w:r>
        <w:rPr>
          <w:rFonts w:ascii="Book Antiqua"/>
          <w:i/>
          <w:color w:val="231F20"/>
          <w:w w:val="105"/>
          <w:sz w:val="21"/>
        </w:rPr>
        <w:t>Courts are one source of such data. </w:t>
      </w:r>
      <w:r>
        <w:rPr>
          <w:rFonts w:ascii="Book Antiqua"/>
          <w:i/>
          <w:color w:val="231F20"/>
          <w:spacing w:val="-3"/>
          <w:w w:val="105"/>
          <w:sz w:val="21"/>
        </w:rPr>
        <w:t>They have  </w:t>
      </w:r>
      <w:r>
        <w:rPr>
          <w:rFonts w:ascii="Book Antiqua"/>
          <w:i/>
          <w:color w:val="231F20"/>
          <w:w w:val="105"/>
          <w:sz w:val="21"/>
        </w:rPr>
        <w:t>the ability to collect data on  </w:t>
      </w:r>
      <w:r>
        <w:rPr>
          <w:rFonts w:ascii="Book Antiqua"/>
          <w:i/>
          <w:color w:val="231F20"/>
          <w:w w:val="105"/>
          <w:sz w:val="21"/>
        </w:rPr>
        <w:t>a range of matters which might broadly be described as sex, age and disability disaggregated data. Unfortunately data is either not collected or is not</w:t>
      </w:r>
      <w:r>
        <w:rPr>
          <w:rFonts w:ascii="Book Antiqua"/>
          <w:i/>
          <w:color w:val="231F20"/>
          <w:spacing w:val="6"/>
          <w:w w:val="105"/>
          <w:sz w:val="21"/>
        </w:rPr>
        <w:t> </w:t>
      </w:r>
      <w:r>
        <w:rPr>
          <w:rFonts w:ascii="Book Antiqua"/>
          <w:i/>
          <w:color w:val="231F20"/>
          <w:w w:val="105"/>
          <w:sz w:val="21"/>
        </w:rPr>
        <w:t>easily</w:t>
      </w:r>
    </w:p>
    <w:p>
      <w:pPr>
        <w:spacing w:line="256" w:lineRule="auto" w:before="0"/>
        <w:ind w:left="2040" w:right="2292" w:firstLine="0"/>
        <w:jc w:val="left"/>
        <w:rPr>
          <w:rFonts w:ascii="Book Antiqua"/>
          <w:i/>
          <w:sz w:val="21"/>
        </w:rPr>
      </w:pPr>
      <w:r>
        <w:rPr>
          <w:rFonts w:ascii="Book Antiqua"/>
          <w:i/>
          <w:color w:val="231F20"/>
          <w:w w:val="105"/>
          <w:sz w:val="21"/>
        </w:rPr>
        <w:t>retrievable from our Case Management System. Some disaggregated data has been </w:t>
      </w:r>
      <w:r>
        <w:rPr>
          <w:rFonts w:ascii="Book Antiqua"/>
          <w:i/>
          <w:color w:val="231F20"/>
          <w:w w:val="105"/>
          <w:sz w:val="21"/>
        </w:rPr>
        <w:t>manually collected and is presented below. This data relates to criminal and divorce cases in the Supreme Court.</w:t>
      </w:r>
    </w:p>
    <w:p>
      <w:pPr>
        <w:spacing w:line="256" w:lineRule="auto" w:before="165"/>
        <w:ind w:left="2040" w:right="2302" w:firstLine="0"/>
        <w:jc w:val="left"/>
        <w:rPr>
          <w:rFonts w:ascii="Book Antiqua"/>
          <w:i/>
          <w:sz w:val="21"/>
        </w:rPr>
      </w:pPr>
      <w:r>
        <w:rPr>
          <w:rFonts w:ascii="Book Antiqua"/>
          <w:i/>
          <w:color w:val="231F20"/>
          <w:w w:val="105"/>
          <w:sz w:val="21"/>
        </w:rPr>
        <w:t>It </w:t>
      </w:r>
      <w:r>
        <w:rPr>
          <w:rFonts w:ascii="Book Antiqua"/>
          <w:i/>
          <w:color w:val="231F20"/>
          <w:spacing w:val="-3"/>
          <w:w w:val="105"/>
          <w:sz w:val="21"/>
        </w:rPr>
        <w:t>should </w:t>
      </w:r>
      <w:r>
        <w:rPr>
          <w:rFonts w:ascii="Book Antiqua"/>
          <w:i/>
          <w:color w:val="231F20"/>
          <w:w w:val="105"/>
          <w:sz w:val="21"/>
        </w:rPr>
        <w:t>be a </w:t>
      </w:r>
      <w:r>
        <w:rPr>
          <w:rFonts w:ascii="Book Antiqua"/>
          <w:i/>
          <w:color w:val="231F20"/>
          <w:spacing w:val="-3"/>
          <w:w w:val="105"/>
          <w:sz w:val="21"/>
        </w:rPr>
        <w:t>priority </w:t>
      </w:r>
      <w:r>
        <w:rPr>
          <w:rFonts w:ascii="Book Antiqua"/>
          <w:i/>
          <w:color w:val="231F20"/>
          <w:w w:val="105"/>
          <w:sz w:val="21"/>
        </w:rPr>
        <w:t>of the </w:t>
      </w:r>
      <w:r>
        <w:rPr>
          <w:rFonts w:ascii="Book Antiqua"/>
          <w:i/>
          <w:color w:val="231F20"/>
          <w:spacing w:val="-3"/>
          <w:w w:val="105"/>
          <w:sz w:val="21"/>
        </w:rPr>
        <w:t>Ministry </w:t>
      </w:r>
      <w:r>
        <w:rPr>
          <w:rFonts w:ascii="Book Antiqua"/>
          <w:i/>
          <w:color w:val="231F20"/>
          <w:w w:val="105"/>
          <w:sz w:val="21"/>
        </w:rPr>
        <w:t>of </w:t>
      </w:r>
      <w:r>
        <w:rPr>
          <w:rFonts w:ascii="Book Antiqua"/>
          <w:i/>
          <w:color w:val="231F20"/>
          <w:spacing w:val="-3"/>
          <w:w w:val="105"/>
          <w:sz w:val="21"/>
        </w:rPr>
        <w:t>Justice </w:t>
      </w:r>
      <w:r>
        <w:rPr>
          <w:rFonts w:ascii="Book Antiqua"/>
          <w:i/>
          <w:color w:val="231F20"/>
          <w:w w:val="105"/>
          <w:sz w:val="21"/>
        </w:rPr>
        <w:t>to </w:t>
      </w:r>
      <w:r>
        <w:rPr>
          <w:rFonts w:ascii="Book Antiqua"/>
          <w:i/>
          <w:color w:val="231F20"/>
          <w:spacing w:val="-3"/>
          <w:w w:val="105"/>
          <w:sz w:val="21"/>
        </w:rPr>
        <w:t>update </w:t>
      </w:r>
      <w:r>
        <w:rPr>
          <w:rFonts w:ascii="Book Antiqua"/>
          <w:i/>
          <w:color w:val="231F20"/>
          <w:w w:val="105"/>
          <w:sz w:val="21"/>
        </w:rPr>
        <w:t>the </w:t>
      </w:r>
      <w:r>
        <w:rPr>
          <w:rFonts w:ascii="Book Antiqua"/>
          <w:i/>
          <w:color w:val="231F20"/>
          <w:spacing w:val="-3"/>
          <w:w w:val="105"/>
          <w:sz w:val="21"/>
        </w:rPr>
        <w:t>Case Management  </w:t>
      </w:r>
      <w:r>
        <w:rPr>
          <w:rFonts w:ascii="Book Antiqua"/>
          <w:i/>
          <w:color w:val="231F20"/>
          <w:spacing w:val="-3"/>
          <w:w w:val="105"/>
          <w:sz w:val="21"/>
        </w:rPr>
        <w:t>System</w:t>
      </w:r>
      <w:r>
        <w:rPr>
          <w:rFonts w:ascii="Book Antiqua"/>
          <w:i/>
          <w:color w:val="231F20"/>
          <w:spacing w:val="10"/>
          <w:w w:val="105"/>
          <w:sz w:val="21"/>
        </w:rPr>
        <w:t> </w:t>
      </w:r>
      <w:r>
        <w:rPr>
          <w:rFonts w:ascii="Book Antiqua"/>
          <w:i/>
          <w:color w:val="231F20"/>
          <w:w w:val="105"/>
          <w:sz w:val="21"/>
        </w:rPr>
        <w:t>so</w:t>
      </w:r>
      <w:r>
        <w:rPr>
          <w:rFonts w:ascii="Book Antiqua"/>
          <w:i/>
          <w:color w:val="231F20"/>
          <w:spacing w:val="10"/>
          <w:w w:val="105"/>
          <w:sz w:val="21"/>
        </w:rPr>
        <w:t> </w:t>
      </w:r>
      <w:r>
        <w:rPr>
          <w:rFonts w:ascii="Book Antiqua"/>
          <w:i/>
          <w:color w:val="231F20"/>
          <w:w w:val="105"/>
          <w:sz w:val="21"/>
        </w:rPr>
        <w:t>as</w:t>
      </w:r>
      <w:r>
        <w:rPr>
          <w:rFonts w:ascii="Book Antiqua"/>
          <w:i/>
          <w:color w:val="231F20"/>
          <w:spacing w:val="10"/>
          <w:w w:val="105"/>
          <w:sz w:val="21"/>
        </w:rPr>
        <w:t> </w:t>
      </w:r>
      <w:r>
        <w:rPr>
          <w:rFonts w:ascii="Book Antiqua"/>
          <w:i/>
          <w:color w:val="231F20"/>
          <w:w w:val="105"/>
          <w:sz w:val="21"/>
        </w:rPr>
        <w:t>to</w:t>
      </w:r>
      <w:r>
        <w:rPr>
          <w:rFonts w:ascii="Book Antiqua"/>
          <w:i/>
          <w:color w:val="231F20"/>
          <w:spacing w:val="10"/>
          <w:w w:val="105"/>
          <w:sz w:val="21"/>
        </w:rPr>
        <w:t> </w:t>
      </w:r>
      <w:r>
        <w:rPr>
          <w:rFonts w:ascii="Book Antiqua"/>
          <w:i/>
          <w:color w:val="231F20"/>
          <w:spacing w:val="-3"/>
          <w:w w:val="105"/>
          <w:sz w:val="21"/>
        </w:rPr>
        <w:t>make</w:t>
      </w:r>
      <w:r>
        <w:rPr>
          <w:rFonts w:ascii="Book Antiqua"/>
          <w:i/>
          <w:color w:val="231F20"/>
          <w:spacing w:val="10"/>
          <w:w w:val="105"/>
          <w:sz w:val="21"/>
        </w:rPr>
        <w:t> </w:t>
      </w:r>
      <w:r>
        <w:rPr>
          <w:rFonts w:ascii="Book Antiqua"/>
          <w:i/>
          <w:color w:val="231F20"/>
          <w:w w:val="105"/>
          <w:sz w:val="21"/>
        </w:rPr>
        <w:t>it</w:t>
      </w:r>
      <w:r>
        <w:rPr>
          <w:rFonts w:ascii="Book Antiqua"/>
          <w:i/>
          <w:color w:val="231F20"/>
          <w:spacing w:val="10"/>
          <w:w w:val="105"/>
          <w:sz w:val="21"/>
        </w:rPr>
        <w:t> </w:t>
      </w:r>
      <w:r>
        <w:rPr>
          <w:rFonts w:ascii="Book Antiqua"/>
          <w:i/>
          <w:color w:val="231F20"/>
          <w:spacing w:val="-3"/>
          <w:w w:val="105"/>
          <w:sz w:val="21"/>
        </w:rPr>
        <w:t>possible</w:t>
      </w:r>
      <w:r>
        <w:rPr>
          <w:rFonts w:ascii="Book Antiqua"/>
          <w:i/>
          <w:color w:val="231F20"/>
          <w:spacing w:val="10"/>
          <w:w w:val="105"/>
          <w:sz w:val="21"/>
        </w:rPr>
        <w:t> </w:t>
      </w:r>
      <w:r>
        <w:rPr>
          <w:rFonts w:ascii="Book Antiqua"/>
          <w:i/>
          <w:color w:val="231F20"/>
          <w:w w:val="105"/>
          <w:sz w:val="21"/>
        </w:rPr>
        <w:t>to</w:t>
      </w:r>
      <w:r>
        <w:rPr>
          <w:rFonts w:ascii="Book Antiqua"/>
          <w:i/>
          <w:color w:val="231F20"/>
          <w:spacing w:val="10"/>
          <w:w w:val="105"/>
          <w:sz w:val="21"/>
        </w:rPr>
        <w:t> </w:t>
      </w:r>
      <w:r>
        <w:rPr>
          <w:rFonts w:ascii="Book Antiqua"/>
          <w:i/>
          <w:color w:val="231F20"/>
          <w:spacing w:val="-3"/>
          <w:w w:val="105"/>
          <w:sz w:val="21"/>
        </w:rPr>
        <w:t>collect</w:t>
      </w:r>
      <w:r>
        <w:rPr>
          <w:rFonts w:ascii="Book Antiqua"/>
          <w:i/>
          <w:color w:val="231F20"/>
          <w:spacing w:val="10"/>
          <w:w w:val="105"/>
          <w:sz w:val="21"/>
        </w:rPr>
        <w:t> </w:t>
      </w:r>
      <w:r>
        <w:rPr>
          <w:rFonts w:ascii="Book Antiqua"/>
          <w:i/>
          <w:color w:val="231F20"/>
          <w:w w:val="105"/>
          <w:sz w:val="21"/>
        </w:rPr>
        <w:t>and</w:t>
      </w:r>
      <w:r>
        <w:rPr>
          <w:rFonts w:ascii="Book Antiqua"/>
          <w:i/>
          <w:color w:val="231F20"/>
          <w:spacing w:val="10"/>
          <w:w w:val="105"/>
          <w:sz w:val="21"/>
        </w:rPr>
        <w:t> </w:t>
      </w:r>
      <w:r>
        <w:rPr>
          <w:rFonts w:ascii="Book Antiqua"/>
          <w:i/>
          <w:color w:val="231F20"/>
          <w:spacing w:val="-3"/>
          <w:w w:val="105"/>
          <w:sz w:val="21"/>
        </w:rPr>
        <w:t>provide</w:t>
      </w:r>
      <w:r>
        <w:rPr>
          <w:rFonts w:ascii="Book Antiqua"/>
          <w:i/>
          <w:color w:val="231F20"/>
          <w:spacing w:val="10"/>
          <w:w w:val="105"/>
          <w:sz w:val="21"/>
        </w:rPr>
        <w:t> </w:t>
      </w:r>
      <w:r>
        <w:rPr>
          <w:rFonts w:ascii="Book Antiqua"/>
          <w:i/>
          <w:color w:val="231F20"/>
          <w:spacing w:val="-3"/>
          <w:w w:val="105"/>
          <w:sz w:val="21"/>
        </w:rPr>
        <w:t>disaggregated</w:t>
      </w:r>
      <w:r>
        <w:rPr>
          <w:rFonts w:ascii="Book Antiqua"/>
          <w:i/>
          <w:color w:val="231F20"/>
          <w:spacing w:val="10"/>
          <w:w w:val="105"/>
          <w:sz w:val="21"/>
        </w:rPr>
        <w:t> </w:t>
      </w:r>
      <w:r>
        <w:rPr>
          <w:rFonts w:ascii="Book Antiqua"/>
          <w:i/>
          <w:color w:val="231F20"/>
          <w:spacing w:val="-3"/>
          <w:w w:val="105"/>
          <w:sz w:val="21"/>
        </w:rPr>
        <w:t>data</w:t>
      </w:r>
      <w:r>
        <w:rPr>
          <w:rFonts w:ascii="Book Antiqua"/>
          <w:i/>
          <w:color w:val="231F20"/>
          <w:spacing w:val="10"/>
          <w:w w:val="105"/>
          <w:sz w:val="21"/>
        </w:rPr>
        <w:t> </w:t>
      </w:r>
      <w:r>
        <w:rPr>
          <w:rFonts w:ascii="Book Antiqua"/>
          <w:i/>
          <w:color w:val="231F20"/>
          <w:spacing w:val="-3"/>
          <w:w w:val="105"/>
          <w:sz w:val="21"/>
        </w:rPr>
        <w:t>more</w:t>
      </w:r>
      <w:r>
        <w:rPr>
          <w:rFonts w:ascii="Book Antiqua"/>
          <w:i/>
          <w:color w:val="231F20"/>
          <w:spacing w:val="10"/>
          <w:w w:val="105"/>
          <w:sz w:val="21"/>
        </w:rPr>
        <w:t> </w:t>
      </w:r>
      <w:r>
        <w:rPr>
          <w:rFonts w:ascii="Book Antiqua"/>
          <w:i/>
          <w:color w:val="231F20"/>
          <w:spacing w:val="-6"/>
          <w:w w:val="105"/>
          <w:sz w:val="21"/>
        </w:rPr>
        <w:t>easily.</w:t>
      </w:r>
    </w:p>
    <w:p>
      <w:pPr>
        <w:spacing w:after="0" w:line="256" w:lineRule="auto"/>
        <w:jc w:val="left"/>
        <w:rPr>
          <w:rFonts w:ascii="Book Antiqua"/>
          <w:sz w:val="21"/>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4039">
            <wp:simplePos x="0" y="0"/>
            <wp:positionH relativeFrom="page">
              <wp:posOffset>0</wp:posOffset>
            </wp:positionH>
            <wp:positionV relativeFrom="paragraph">
              <wp:posOffset>373881</wp:posOffset>
            </wp:positionV>
            <wp:extent cx="7559992" cy="143992"/>
            <wp:effectExtent l="0" t="0" r="0" b="0"/>
            <wp:wrapNone/>
            <wp:docPr id="29" name="image39.png" descr=""/>
            <wp:cNvGraphicFramePr>
              <a:graphicFrameLocks noChangeAspect="1"/>
            </wp:cNvGraphicFramePr>
            <a:graphic>
              <a:graphicData uri="http://schemas.openxmlformats.org/drawingml/2006/picture">
                <pic:pic>
                  <pic:nvPicPr>
                    <pic:cNvPr id="30"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16</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12"/>
        <w:rPr>
          <w:b/>
          <w:sz w:val="14"/>
        </w:rPr>
      </w:pPr>
    </w:p>
    <w:p>
      <w:pPr>
        <w:pStyle w:val="BodyText"/>
        <w:tabs>
          <w:tab w:pos="2777" w:val="left" w:leader="none"/>
        </w:tabs>
        <w:spacing w:before="93"/>
        <w:ind w:left="1700"/>
      </w:pPr>
      <w:r>
        <w:rPr>
          <w:b/>
          <w:color w:val="231F20"/>
          <w:spacing w:val="-5"/>
          <w:w w:val="105"/>
        </w:rPr>
        <w:t>Table</w:t>
      </w:r>
      <w:r>
        <w:rPr>
          <w:b/>
          <w:color w:val="231F20"/>
          <w:spacing w:val="15"/>
          <w:w w:val="105"/>
        </w:rPr>
        <w:t> </w:t>
      </w:r>
      <w:r>
        <w:rPr>
          <w:b/>
          <w:color w:val="231F20"/>
          <w:w w:val="105"/>
        </w:rPr>
        <w:t>D</w:t>
        <w:tab/>
      </w:r>
      <w:r>
        <w:rPr>
          <w:color w:val="231F20"/>
          <w:w w:val="105"/>
        </w:rPr>
        <w:t>Sex, Age and Disability Disaggregated Court Data in Annual</w:t>
      </w:r>
      <w:r>
        <w:rPr>
          <w:color w:val="231F20"/>
          <w:spacing w:val="16"/>
          <w:w w:val="105"/>
        </w:rPr>
        <w:t> </w:t>
      </w:r>
      <w:r>
        <w:rPr>
          <w:color w:val="231F20"/>
          <w:w w:val="105"/>
        </w:rPr>
        <w:t>Reports</w:t>
      </w:r>
    </w:p>
    <w:p>
      <w:pPr>
        <w:pStyle w:val="BodyText"/>
        <w:spacing w:before="3"/>
        <w:rPr>
          <w:sz w:val="11"/>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2301"/>
        <w:gridCol w:w="2466"/>
        <w:gridCol w:w="2603"/>
      </w:tblGrid>
      <w:tr>
        <w:trPr>
          <w:trHeight w:val="397" w:hRule="atLeast"/>
        </w:trPr>
        <w:tc>
          <w:tcPr>
            <w:tcW w:w="1124" w:type="dxa"/>
            <w:shd w:val="clear" w:color="auto" w:fill="92BAC2"/>
          </w:tcPr>
          <w:p>
            <w:pPr>
              <w:pStyle w:val="TableParagraph"/>
              <w:rPr>
                <w:rFonts w:ascii="Times New Roman"/>
                <w:sz w:val="18"/>
              </w:rPr>
            </w:pPr>
          </w:p>
        </w:tc>
        <w:tc>
          <w:tcPr>
            <w:tcW w:w="2301" w:type="dxa"/>
            <w:shd w:val="clear" w:color="auto" w:fill="92BAC2"/>
          </w:tcPr>
          <w:p>
            <w:pPr>
              <w:pStyle w:val="TableParagraph"/>
              <w:spacing w:before="69"/>
              <w:ind w:left="79"/>
              <w:rPr>
                <w:b/>
                <w:sz w:val="19"/>
              </w:rPr>
            </w:pPr>
            <w:r>
              <w:rPr>
                <w:b/>
                <w:color w:val="231F20"/>
                <w:w w:val="105"/>
                <w:sz w:val="19"/>
              </w:rPr>
              <w:t>Sex Disaggregated Data</w:t>
            </w:r>
          </w:p>
        </w:tc>
        <w:tc>
          <w:tcPr>
            <w:tcW w:w="2466" w:type="dxa"/>
            <w:shd w:val="clear" w:color="auto" w:fill="92BAC2"/>
          </w:tcPr>
          <w:p>
            <w:pPr>
              <w:pStyle w:val="TableParagraph"/>
              <w:spacing w:before="69"/>
              <w:ind w:left="79"/>
              <w:rPr>
                <w:b/>
                <w:sz w:val="19"/>
              </w:rPr>
            </w:pPr>
            <w:r>
              <w:rPr>
                <w:b/>
                <w:color w:val="231F20"/>
                <w:w w:val="105"/>
                <w:sz w:val="19"/>
              </w:rPr>
              <w:t>Juvenile Disaggregated Data</w:t>
            </w:r>
          </w:p>
        </w:tc>
        <w:tc>
          <w:tcPr>
            <w:tcW w:w="2603" w:type="dxa"/>
            <w:shd w:val="clear" w:color="auto" w:fill="92BAC2"/>
          </w:tcPr>
          <w:p>
            <w:pPr>
              <w:pStyle w:val="TableParagraph"/>
              <w:spacing w:before="69"/>
              <w:ind w:left="80"/>
              <w:rPr>
                <w:b/>
                <w:sz w:val="19"/>
              </w:rPr>
            </w:pPr>
            <w:r>
              <w:rPr>
                <w:b/>
                <w:color w:val="231F20"/>
                <w:w w:val="105"/>
                <w:sz w:val="19"/>
              </w:rPr>
              <w:t>Disability Disaggregated Data</w:t>
            </w:r>
          </w:p>
        </w:tc>
      </w:tr>
      <w:tr>
        <w:trPr>
          <w:trHeight w:val="967" w:hRule="atLeast"/>
        </w:trPr>
        <w:tc>
          <w:tcPr>
            <w:tcW w:w="1124" w:type="dxa"/>
            <w:shd w:val="clear" w:color="auto" w:fill="D5E0E3"/>
          </w:tcPr>
          <w:p>
            <w:pPr>
              <w:pStyle w:val="TableParagraph"/>
              <w:spacing w:before="69"/>
              <w:ind w:left="80" w:right="467"/>
              <w:rPr>
                <w:b/>
                <w:sz w:val="19"/>
              </w:rPr>
            </w:pPr>
            <w:r>
              <w:rPr>
                <w:b/>
                <w:color w:val="231F20"/>
                <w:w w:val="105"/>
                <w:sz w:val="19"/>
              </w:rPr>
              <w:t>Cook </w:t>
            </w:r>
            <w:r>
              <w:rPr>
                <w:b/>
                <w:color w:val="231F20"/>
                <w:sz w:val="19"/>
              </w:rPr>
              <w:t>Islands</w:t>
            </w:r>
          </w:p>
        </w:tc>
        <w:tc>
          <w:tcPr>
            <w:tcW w:w="2301" w:type="dxa"/>
            <w:shd w:val="clear" w:color="auto" w:fill="F3D4AA"/>
          </w:tcPr>
          <w:p>
            <w:pPr>
              <w:pStyle w:val="TableParagraph"/>
              <w:spacing w:before="68"/>
              <w:ind w:left="79" w:right="241"/>
              <w:rPr>
                <w:sz w:val="19"/>
              </w:rPr>
            </w:pPr>
            <w:r>
              <w:rPr>
                <w:color w:val="231F20"/>
                <w:w w:val="105"/>
                <w:sz w:val="19"/>
              </w:rPr>
              <w:t>Some sex disaggregated data.</w:t>
            </w:r>
          </w:p>
        </w:tc>
        <w:tc>
          <w:tcPr>
            <w:tcW w:w="2466" w:type="dxa"/>
            <w:shd w:val="clear" w:color="auto" w:fill="F3D4AA"/>
          </w:tcPr>
          <w:p>
            <w:pPr>
              <w:pStyle w:val="TableParagraph"/>
              <w:spacing w:before="68"/>
              <w:ind w:left="79" w:right="154"/>
              <w:jc w:val="both"/>
              <w:rPr>
                <w:sz w:val="19"/>
              </w:rPr>
            </w:pPr>
            <w:r>
              <w:rPr>
                <w:color w:val="231F20"/>
                <w:w w:val="105"/>
                <w:sz w:val="19"/>
              </w:rPr>
              <w:t>Data in Annual Report</w:t>
            </w:r>
            <w:r>
              <w:rPr>
                <w:color w:val="231F20"/>
                <w:spacing w:val="-11"/>
                <w:w w:val="105"/>
                <w:sz w:val="19"/>
              </w:rPr>
              <w:t> </w:t>
            </w:r>
            <w:r>
              <w:rPr>
                <w:color w:val="231F20"/>
                <w:w w:val="105"/>
                <w:sz w:val="19"/>
              </w:rPr>
              <w:t>does not </w:t>
            </w:r>
            <w:r>
              <w:rPr>
                <w:color w:val="231F20"/>
                <w:spacing w:val="-3"/>
                <w:w w:val="105"/>
                <w:sz w:val="19"/>
              </w:rPr>
              <w:t>cover </w:t>
            </w:r>
            <w:r>
              <w:rPr>
                <w:color w:val="231F20"/>
                <w:w w:val="105"/>
                <w:sz w:val="19"/>
              </w:rPr>
              <w:t>all </w:t>
            </w:r>
            <w:r>
              <w:rPr>
                <w:color w:val="231F20"/>
                <w:spacing w:val="-3"/>
                <w:w w:val="105"/>
                <w:sz w:val="19"/>
              </w:rPr>
              <w:t>children </w:t>
            </w:r>
            <w:r>
              <w:rPr>
                <w:color w:val="231F20"/>
                <w:w w:val="105"/>
                <w:sz w:val="19"/>
              </w:rPr>
              <w:t>under the age of 18</w:t>
            </w:r>
            <w:r>
              <w:rPr>
                <w:color w:val="231F20"/>
                <w:spacing w:val="5"/>
                <w:w w:val="105"/>
                <w:sz w:val="19"/>
              </w:rPr>
              <w:t> </w:t>
            </w:r>
            <w:r>
              <w:rPr>
                <w:color w:val="231F20"/>
                <w:spacing w:val="-3"/>
                <w:w w:val="105"/>
                <w:sz w:val="19"/>
              </w:rPr>
              <w:t>years.</w:t>
            </w:r>
          </w:p>
        </w:tc>
        <w:tc>
          <w:tcPr>
            <w:tcW w:w="2603" w:type="dxa"/>
            <w:shd w:val="clear" w:color="auto" w:fill="EAAC98"/>
          </w:tcPr>
          <w:p>
            <w:pPr>
              <w:pStyle w:val="TableParagraph"/>
              <w:spacing w:before="68"/>
              <w:ind w:left="80"/>
              <w:rPr>
                <w:sz w:val="19"/>
              </w:rPr>
            </w:pPr>
            <w:r>
              <w:rPr>
                <w:color w:val="231F20"/>
                <w:w w:val="105"/>
                <w:sz w:val="19"/>
              </w:rPr>
              <w:t>No disability disaggregated data in the Annual Report.</w:t>
            </w:r>
          </w:p>
        </w:tc>
      </w:tr>
      <w:tr>
        <w:trPr>
          <w:trHeight w:val="1104" w:hRule="atLeast"/>
        </w:trPr>
        <w:tc>
          <w:tcPr>
            <w:tcW w:w="1124" w:type="dxa"/>
            <w:shd w:val="clear" w:color="auto" w:fill="D5E0E3"/>
          </w:tcPr>
          <w:p>
            <w:pPr>
              <w:pStyle w:val="TableParagraph"/>
              <w:spacing w:before="69"/>
              <w:ind w:left="80"/>
              <w:rPr>
                <w:b/>
                <w:sz w:val="19"/>
              </w:rPr>
            </w:pPr>
            <w:r>
              <w:rPr>
                <w:b/>
                <w:color w:val="231F20"/>
                <w:sz w:val="19"/>
              </w:rPr>
              <w:t>Federated States of Micronesia</w:t>
            </w:r>
          </w:p>
        </w:tc>
        <w:tc>
          <w:tcPr>
            <w:tcW w:w="2301" w:type="dxa"/>
            <w:shd w:val="clear" w:color="auto" w:fill="D8E3CE"/>
          </w:tcPr>
          <w:p>
            <w:pPr>
              <w:pStyle w:val="TableParagraph"/>
              <w:spacing w:before="68"/>
              <w:ind w:left="79" w:right="183"/>
              <w:jc w:val="both"/>
              <w:rPr>
                <w:sz w:val="19"/>
              </w:rPr>
            </w:pPr>
            <w:r>
              <w:rPr>
                <w:color w:val="231F20"/>
                <w:w w:val="105"/>
                <w:sz w:val="19"/>
              </w:rPr>
              <w:t>Sex</w:t>
            </w:r>
            <w:r>
              <w:rPr>
                <w:color w:val="231F20"/>
                <w:spacing w:val="-15"/>
                <w:w w:val="105"/>
                <w:sz w:val="19"/>
              </w:rPr>
              <w:t> </w:t>
            </w:r>
            <w:r>
              <w:rPr>
                <w:color w:val="231F20"/>
                <w:w w:val="105"/>
                <w:sz w:val="19"/>
              </w:rPr>
              <w:t>disaggregated</w:t>
            </w:r>
            <w:r>
              <w:rPr>
                <w:color w:val="231F20"/>
                <w:spacing w:val="-15"/>
                <w:w w:val="105"/>
                <w:sz w:val="19"/>
              </w:rPr>
              <w:t> </w:t>
            </w:r>
            <w:r>
              <w:rPr>
                <w:color w:val="231F20"/>
                <w:w w:val="105"/>
                <w:sz w:val="19"/>
              </w:rPr>
              <w:t>data</w:t>
            </w:r>
            <w:r>
              <w:rPr>
                <w:color w:val="231F20"/>
                <w:spacing w:val="-15"/>
                <w:w w:val="105"/>
                <w:sz w:val="19"/>
              </w:rPr>
              <w:t> </w:t>
            </w:r>
            <w:r>
              <w:rPr>
                <w:color w:val="231F20"/>
                <w:w w:val="105"/>
                <w:sz w:val="19"/>
              </w:rPr>
              <w:t>in the Annual Report on </w:t>
            </w:r>
            <w:r>
              <w:rPr>
                <w:color w:val="231F20"/>
                <w:spacing w:val="-2"/>
                <w:w w:val="105"/>
                <w:sz w:val="19"/>
              </w:rPr>
              <w:t>for </w:t>
            </w:r>
            <w:r>
              <w:rPr>
                <w:color w:val="231F20"/>
                <w:spacing w:val="-3"/>
                <w:w w:val="105"/>
                <w:sz w:val="19"/>
              </w:rPr>
              <w:t>trafficking</w:t>
            </w:r>
            <w:r>
              <w:rPr>
                <w:color w:val="231F20"/>
                <w:spacing w:val="2"/>
                <w:w w:val="105"/>
                <w:sz w:val="19"/>
              </w:rPr>
              <w:t> </w:t>
            </w:r>
            <w:r>
              <w:rPr>
                <w:color w:val="231F20"/>
                <w:spacing w:val="-2"/>
                <w:w w:val="105"/>
                <w:sz w:val="19"/>
              </w:rPr>
              <w:t>cases.</w:t>
            </w:r>
          </w:p>
        </w:tc>
        <w:tc>
          <w:tcPr>
            <w:tcW w:w="2466" w:type="dxa"/>
            <w:shd w:val="clear" w:color="auto" w:fill="D8E3CE"/>
          </w:tcPr>
          <w:p>
            <w:pPr>
              <w:pStyle w:val="TableParagraph"/>
              <w:spacing w:before="68"/>
              <w:ind w:left="79" w:right="40"/>
              <w:rPr>
                <w:sz w:val="19"/>
              </w:rPr>
            </w:pPr>
            <w:r>
              <w:rPr>
                <w:color w:val="231F20"/>
                <w:w w:val="105"/>
                <w:sz w:val="19"/>
              </w:rPr>
              <w:t>The State Courts of Pohnpei, Chuuk and Yap presented case data disaggregated to show juvenile cases.</w:t>
            </w:r>
          </w:p>
        </w:tc>
        <w:tc>
          <w:tcPr>
            <w:tcW w:w="2603" w:type="dxa"/>
            <w:shd w:val="clear" w:color="auto" w:fill="EAAC98"/>
          </w:tcPr>
          <w:p>
            <w:pPr>
              <w:pStyle w:val="TableParagraph"/>
              <w:spacing w:before="68"/>
              <w:ind w:left="80"/>
              <w:rPr>
                <w:sz w:val="19"/>
              </w:rPr>
            </w:pPr>
            <w:r>
              <w:rPr>
                <w:color w:val="231F20"/>
                <w:w w:val="105"/>
                <w:sz w:val="19"/>
              </w:rPr>
              <w:t>No disability disaggregated data in the Annual Report.</w:t>
            </w:r>
          </w:p>
        </w:tc>
      </w:tr>
      <w:tr>
        <w:trPr>
          <w:trHeight w:val="1785" w:hRule="atLeast"/>
        </w:trPr>
        <w:tc>
          <w:tcPr>
            <w:tcW w:w="1124" w:type="dxa"/>
            <w:shd w:val="clear" w:color="auto" w:fill="D5E0E3"/>
          </w:tcPr>
          <w:p>
            <w:pPr>
              <w:pStyle w:val="TableParagraph"/>
              <w:spacing w:before="69"/>
              <w:ind w:left="80"/>
              <w:rPr>
                <w:b/>
                <w:sz w:val="19"/>
              </w:rPr>
            </w:pPr>
            <w:r>
              <w:rPr>
                <w:b/>
                <w:color w:val="231F20"/>
                <w:w w:val="105"/>
                <w:sz w:val="19"/>
              </w:rPr>
              <w:t>Kiribati</w:t>
            </w:r>
          </w:p>
        </w:tc>
        <w:tc>
          <w:tcPr>
            <w:tcW w:w="2301" w:type="dxa"/>
            <w:shd w:val="clear" w:color="auto" w:fill="D8E3CE"/>
          </w:tcPr>
          <w:p>
            <w:pPr>
              <w:pStyle w:val="TableParagraph"/>
              <w:spacing w:before="68"/>
              <w:ind w:left="79"/>
              <w:rPr>
                <w:sz w:val="19"/>
              </w:rPr>
            </w:pPr>
            <w:r>
              <w:rPr>
                <w:color w:val="231F20"/>
                <w:w w:val="105"/>
                <w:sz w:val="19"/>
              </w:rPr>
              <w:t>The 2012-2014 Annual Report contains details of the number of High Court and Magistrates Court criminal cases involving violence against women and girls.</w:t>
            </w:r>
          </w:p>
        </w:tc>
        <w:tc>
          <w:tcPr>
            <w:tcW w:w="2466" w:type="dxa"/>
            <w:shd w:val="clear" w:color="auto" w:fill="D8E3CE"/>
          </w:tcPr>
          <w:p>
            <w:pPr>
              <w:pStyle w:val="TableParagraph"/>
              <w:spacing w:before="68"/>
              <w:ind w:left="79" w:right="515"/>
              <w:jc w:val="both"/>
              <w:rPr>
                <w:sz w:val="19"/>
              </w:rPr>
            </w:pPr>
            <w:r>
              <w:rPr>
                <w:color w:val="231F20"/>
                <w:spacing w:val="-5"/>
                <w:w w:val="105"/>
                <w:sz w:val="19"/>
              </w:rPr>
              <w:t>The </w:t>
            </w:r>
            <w:r>
              <w:rPr>
                <w:color w:val="231F20"/>
                <w:w w:val="105"/>
                <w:sz w:val="19"/>
              </w:rPr>
              <w:t>2012-2014 </w:t>
            </w:r>
            <w:r>
              <w:rPr>
                <w:color w:val="231F20"/>
                <w:spacing w:val="-2"/>
                <w:w w:val="105"/>
                <w:sz w:val="19"/>
              </w:rPr>
              <w:t>Annual </w:t>
            </w:r>
            <w:r>
              <w:rPr>
                <w:color w:val="231F20"/>
                <w:w w:val="105"/>
                <w:sz w:val="19"/>
              </w:rPr>
              <w:t>Report contains</w:t>
            </w:r>
            <w:r>
              <w:rPr>
                <w:color w:val="231F20"/>
                <w:spacing w:val="-33"/>
                <w:w w:val="105"/>
                <w:sz w:val="19"/>
              </w:rPr>
              <w:t> </w:t>
            </w:r>
            <w:r>
              <w:rPr>
                <w:color w:val="231F20"/>
                <w:w w:val="105"/>
                <w:sz w:val="19"/>
              </w:rPr>
              <w:t>details of</w:t>
            </w:r>
            <w:r>
              <w:rPr>
                <w:color w:val="231F20"/>
                <w:spacing w:val="-11"/>
                <w:w w:val="105"/>
                <w:sz w:val="19"/>
              </w:rPr>
              <w:t> </w:t>
            </w:r>
            <w:r>
              <w:rPr>
                <w:color w:val="231F20"/>
                <w:w w:val="105"/>
                <w:sz w:val="19"/>
              </w:rPr>
              <w:t>the</w:t>
            </w:r>
            <w:r>
              <w:rPr>
                <w:color w:val="231F20"/>
                <w:spacing w:val="-11"/>
                <w:w w:val="105"/>
                <w:sz w:val="19"/>
              </w:rPr>
              <w:t> </w:t>
            </w:r>
            <w:r>
              <w:rPr>
                <w:color w:val="231F20"/>
                <w:w w:val="105"/>
                <w:sz w:val="19"/>
              </w:rPr>
              <w:t>number</w:t>
            </w:r>
            <w:r>
              <w:rPr>
                <w:color w:val="231F20"/>
                <w:spacing w:val="-11"/>
                <w:w w:val="105"/>
                <w:sz w:val="19"/>
              </w:rPr>
              <w:t> </w:t>
            </w:r>
            <w:r>
              <w:rPr>
                <w:color w:val="231F20"/>
                <w:w w:val="105"/>
                <w:sz w:val="19"/>
              </w:rPr>
              <w:t>of</w:t>
            </w:r>
            <w:r>
              <w:rPr>
                <w:color w:val="231F20"/>
                <w:spacing w:val="-11"/>
                <w:w w:val="105"/>
                <w:sz w:val="19"/>
              </w:rPr>
              <w:t> </w:t>
            </w:r>
            <w:r>
              <w:rPr>
                <w:color w:val="231F20"/>
                <w:w w:val="105"/>
                <w:sz w:val="19"/>
              </w:rPr>
              <w:t>cases </w:t>
            </w:r>
            <w:r>
              <w:rPr>
                <w:color w:val="231F20"/>
                <w:spacing w:val="-3"/>
                <w:w w:val="105"/>
                <w:sz w:val="19"/>
              </w:rPr>
              <w:t>involving</w:t>
            </w:r>
            <w:r>
              <w:rPr>
                <w:color w:val="231F20"/>
                <w:spacing w:val="10"/>
                <w:w w:val="105"/>
                <w:sz w:val="19"/>
              </w:rPr>
              <w:t> </w:t>
            </w:r>
            <w:r>
              <w:rPr>
                <w:color w:val="231F20"/>
                <w:spacing w:val="-3"/>
                <w:w w:val="105"/>
                <w:sz w:val="19"/>
              </w:rPr>
              <w:t>children.</w:t>
            </w:r>
          </w:p>
        </w:tc>
        <w:tc>
          <w:tcPr>
            <w:tcW w:w="2603" w:type="dxa"/>
            <w:shd w:val="clear" w:color="auto" w:fill="EAAC98"/>
          </w:tcPr>
          <w:p>
            <w:pPr>
              <w:pStyle w:val="TableParagraph"/>
              <w:spacing w:before="68"/>
              <w:ind w:left="80"/>
              <w:rPr>
                <w:sz w:val="19"/>
              </w:rPr>
            </w:pPr>
            <w:r>
              <w:rPr>
                <w:color w:val="231F20"/>
                <w:w w:val="105"/>
                <w:sz w:val="19"/>
              </w:rPr>
              <w:t>No disability disaggregated data in the Annual Report.</w:t>
            </w:r>
          </w:p>
        </w:tc>
      </w:tr>
      <w:tr>
        <w:trPr>
          <w:trHeight w:val="1123" w:hRule="atLeast"/>
        </w:trPr>
        <w:tc>
          <w:tcPr>
            <w:tcW w:w="1124" w:type="dxa"/>
            <w:shd w:val="clear" w:color="auto" w:fill="D5E0E3"/>
          </w:tcPr>
          <w:p>
            <w:pPr>
              <w:pStyle w:val="TableParagraph"/>
              <w:spacing w:before="69"/>
              <w:ind w:left="80"/>
              <w:rPr>
                <w:b/>
                <w:sz w:val="19"/>
              </w:rPr>
            </w:pPr>
            <w:r>
              <w:rPr>
                <w:b/>
                <w:color w:val="231F20"/>
                <w:w w:val="110"/>
                <w:sz w:val="19"/>
              </w:rPr>
              <w:t>Nauru</w:t>
            </w:r>
          </w:p>
        </w:tc>
        <w:tc>
          <w:tcPr>
            <w:tcW w:w="2301" w:type="dxa"/>
            <w:shd w:val="clear" w:color="auto" w:fill="EAAC98"/>
          </w:tcPr>
          <w:p>
            <w:pPr>
              <w:pStyle w:val="TableParagraph"/>
              <w:spacing w:before="68"/>
              <w:ind w:left="79"/>
              <w:rPr>
                <w:sz w:val="19"/>
              </w:rPr>
            </w:pPr>
            <w:r>
              <w:rPr>
                <w:color w:val="231F20"/>
                <w:w w:val="105"/>
                <w:sz w:val="19"/>
              </w:rPr>
              <w:t>No sex disaggregated data presented.</w:t>
            </w:r>
          </w:p>
        </w:tc>
        <w:tc>
          <w:tcPr>
            <w:tcW w:w="2466" w:type="dxa"/>
            <w:shd w:val="clear" w:color="auto" w:fill="EAAC98"/>
          </w:tcPr>
          <w:p>
            <w:pPr>
              <w:pStyle w:val="TableParagraph"/>
              <w:spacing w:before="68"/>
              <w:ind w:left="79" w:right="290"/>
              <w:rPr>
                <w:sz w:val="19"/>
              </w:rPr>
            </w:pPr>
            <w:r>
              <w:rPr>
                <w:color w:val="231F20"/>
                <w:w w:val="105"/>
                <w:sz w:val="19"/>
              </w:rPr>
              <w:t>There is no case data disaggregated to show all cases involving children under the age of 18.</w:t>
            </w:r>
          </w:p>
        </w:tc>
        <w:tc>
          <w:tcPr>
            <w:tcW w:w="2603" w:type="dxa"/>
            <w:shd w:val="clear" w:color="auto" w:fill="EAAC98"/>
          </w:tcPr>
          <w:p>
            <w:pPr>
              <w:pStyle w:val="TableParagraph"/>
              <w:spacing w:before="68"/>
              <w:ind w:left="80"/>
              <w:rPr>
                <w:sz w:val="19"/>
              </w:rPr>
            </w:pPr>
            <w:r>
              <w:rPr>
                <w:color w:val="231F20"/>
                <w:w w:val="105"/>
                <w:sz w:val="19"/>
              </w:rPr>
              <w:t>No disability disaggregated data in the Annual Report.</w:t>
            </w:r>
          </w:p>
        </w:tc>
      </w:tr>
      <w:tr>
        <w:trPr>
          <w:trHeight w:val="1728" w:hRule="atLeast"/>
        </w:trPr>
        <w:tc>
          <w:tcPr>
            <w:tcW w:w="1124" w:type="dxa"/>
            <w:shd w:val="clear" w:color="auto" w:fill="D5E0E3"/>
          </w:tcPr>
          <w:p>
            <w:pPr>
              <w:pStyle w:val="TableParagraph"/>
              <w:spacing w:before="69"/>
              <w:ind w:left="80"/>
              <w:rPr>
                <w:b/>
                <w:sz w:val="19"/>
              </w:rPr>
            </w:pPr>
            <w:r>
              <w:rPr>
                <w:b/>
                <w:color w:val="231F20"/>
                <w:w w:val="110"/>
                <w:sz w:val="19"/>
              </w:rPr>
              <w:t>Niue</w:t>
            </w:r>
          </w:p>
        </w:tc>
        <w:tc>
          <w:tcPr>
            <w:tcW w:w="2301" w:type="dxa"/>
            <w:shd w:val="clear" w:color="auto" w:fill="EAAC98"/>
          </w:tcPr>
          <w:p>
            <w:pPr>
              <w:pStyle w:val="TableParagraph"/>
              <w:spacing w:before="68"/>
              <w:ind w:left="79" w:right="600"/>
              <w:jc w:val="both"/>
              <w:rPr>
                <w:sz w:val="19"/>
              </w:rPr>
            </w:pPr>
            <w:r>
              <w:rPr>
                <w:color w:val="231F20"/>
                <w:w w:val="105"/>
                <w:sz w:val="19"/>
              </w:rPr>
              <w:t>There is no sex data </w:t>
            </w:r>
            <w:r>
              <w:rPr>
                <w:color w:val="231F20"/>
                <w:sz w:val="19"/>
              </w:rPr>
              <w:t>disaggregated as the </w:t>
            </w:r>
            <w:r>
              <w:rPr>
                <w:color w:val="231F20"/>
                <w:w w:val="105"/>
                <w:sz w:val="19"/>
              </w:rPr>
              <w:t>Annual Report.</w:t>
            </w:r>
          </w:p>
        </w:tc>
        <w:tc>
          <w:tcPr>
            <w:tcW w:w="2466" w:type="dxa"/>
            <w:shd w:val="clear" w:color="auto" w:fill="EAAC98"/>
          </w:tcPr>
          <w:p>
            <w:pPr>
              <w:pStyle w:val="TableParagraph"/>
              <w:spacing w:before="68"/>
              <w:ind w:left="79" w:right="56"/>
              <w:rPr>
                <w:sz w:val="19"/>
              </w:rPr>
            </w:pPr>
            <w:r>
              <w:rPr>
                <w:color w:val="231F20"/>
                <w:w w:val="105"/>
                <w:sz w:val="19"/>
              </w:rPr>
              <w:t>There is no data disaggregated to show all cases involving children under the age of 18 as the Annual Report only refers to Land cases and not criminal and civil matters.</w:t>
            </w:r>
          </w:p>
        </w:tc>
        <w:tc>
          <w:tcPr>
            <w:tcW w:w="2603" w:type="dxa"/>
            <w:shd w:val="clear" w:color="auto" w:fill="EAAC98"/>
          </w:tcPr>
          <w:p>
            <w:pPr>
              <w:pStyle w:val="TableParagraph"/>
              <w:spacing w:before="68"/>
              <w:ind w:left="80"/>
              <w:rPr>
                <w:sz w:val="19"/>
              </w:rPr>
            </w:pPr>
            <w:r>
              <w:rPr>
                <w:color w:val="231F20"/>
                <w:w w:val="105"/>
                <w:sz w:val="19"/>
              </w:rPr>
              <w:t>No disability disaggregated data in the Annual Report</w:t>
            </w:r>
          </w:p>
        </w:tc>
      </w:tr>
      <w:tr>
        <w:trPr>
          <w:trHeight w:val="1813" w:hRule="atLeast"/>
        </w:trPr>
        <w:tc>
          <w:tcPr>
            <w:tcW w:w="1124" w:type="dxa"/>
            <w:shd w:val="clear" w:color="auto" w:fill="D5E0E3"/>
          </w:tcPr>
          <w:p>
            <w:pPr>
              <w:pStyle w:val="TableParagraph"/>
              <w:spacing w:before="69"/>
              <w:ind w:left="80"/>
              <w:rPr>
                <w:b/>
                <w:sz w:val="19"/>
              </w:rPr>
            </w:pPr>
            <w:r>
              <w:rPr>
                <w:b/>
                <w:color w:val="231F20"/>
                <w:w w:val="105"/>
                <w:sz w:val="19"/>
              </w:rPr>
              <w:t>Palau</w:t>
            </w:r>
          </w:p>
        </w:tc>
        <w:tc>
          <w:tcPr>
            <w:tcW w:w="2301" w:type="dxa"/>
            <w:shd w:val="clear" w:color="auto" w:fill="D8E3CE"/>
          </w:tcPr>
          <w:p>
            <w:pPr>
              <w:pStyle w:val="TableParagraph"/>
              <w:spacing w:before="68"/>
              <w:ind w:left="79" w:right="151"/>
              <w:rPr>
                <w:sz w:val="19"/>
              </w:rPr>
            </w:pPr>
            <w:r>
              <w:rPr>
                <w:color w:val="231F20"/>
                <w:w w:val="105"/>
                <w:sz w:val="19"/>
              </w:rPr>
              <w:t>Sex disaggregated data is in the Annual Report.</w:t>
            </w:r>
          </w:p>
        </w:tc>
        <w:tc>
          <w:tcPr>
            <w:tcW w:w="2466" w:type="dxa"/>
            <w:shd w:val="clear" w:color="auto" w:fill="D8E3CE"/>
          </w:tcPr>
          <w:p>
            <w:pPr>
              <w:pStyle w:val="TableParagraph"/>
              <w:spacing w:before="68"/>
              <w:ind w:left="79" w:right="156"/>
              <w:rPr>
                <w:sz w:val="19"/>
              </w:rPr>
            </w:pPr>
            <w:r>
              <w:rPr>
                <w:color w:val="231F20"/>
                <w:w w:val="105"/>
                <w:sz w:val="19"/>
              </w:rPr>
              <w:t>The Palau judiciary presented case data disaggregated to show juvenile cases heard in the Supreme Court and Court of Common Pleas in the Annual Report.</w:t>
            </w:r>
          </w:p>
        </w:tc>
        <w:tc>
          <w:tcPr>
            <w:tcW w:w="2603" w:type="dxa"/>
            <w:shd w:val="clear" w:color="auto" w:fill="EAAC98"/>
          </w:tcPr>
          <w:p>
            <w:pPr>
              <w:pStyle w:val="TableParagraph"/>
              <w:spacing w:before="68"/>
              <w:ind w:left="80"/>
              <w:rPr>
                <w:sz w:val="19"/>
              </w:rPr>
            </w:pPr>
            <w:r>
              <w:rPr>
                <w:color w:val="231F20"/>
                <w:w w:val="105"/>
                <w:sz w:val="19"/>
              </w:rPr>
              <w:t>No disability disaggregated data in the Annual Report.</w:t>
            </w:r>
          </w:p>
        </w:tc>
      </w:tr>
      <w:tr>
        <w:trPr>
          <w:trHeight w:val="302" w:hRule="atLeast"/>
        </w:trPr>
        <w:tc>
          <w:tcPr>
            <w:tcW w:w="1124" w:type="dxa"/>
            <w:tcBorders>
              <w:bottom w:val="nil"/>
            </w:tcBorders>
            <w:shd w:val="clear" w:color="auto" w:fill="D5E0E3"/>
          </w:tcPr>
          <w:p>
            <w:pPr>
              <w:pStyle w:val="TableParagraph"/>
              <w:spacing w:line="214" w:lineRule="exact" w:before="69"/>
              <w:ind w:left="80"/>
              <w:rPr>
                <w:b/>
                <w:sz w:val="19"/>
              </w:rPr>
            </w:pPr>
            <w:r>
              <w:rPr>
                <w:b/>
                <w:color w:val="231F20"/>
                <w:w w:val="115"/>
                <w:sz w:val="19"/>
              </w:rPr>
              <w:t>PNG</w:t>
            </w:r>
          </w:p>
        </w:tc>
        <w:tc>
          <w:tcPr>
            <w:tcW w:w="2301" w:type="dxa"/>
            <w:tcBorders>
              <w:bottom w:val="nil"/>
            </w:tcBorders>
            <w:shd w:val="clear" w:color="auto" w:fill="EAAC98"/>
          </w:tcPr>
          <w:p>
            <w:pPr>
              <w:pStyle w:val="TableParagraph"/>
              <w:spacing w:line="214" w:lineRule="exact" w:before="68"/>
              <w:ind w:left="79"/>
              <w:rPr>
                <w:sz w:val="19"/>
              </w:rPr>
            </w:pPr>
            <w:r>
              <w:rPr>
                <w:color w:val="231F20"/>
                <w:w w:val="105"/>
                <w:sz w:val="19"/>
              </w:rPr>
              <w:t>No sex disaggregated data</w:t>
            </w:r>
          </w:p>
        </w:tc>
        <w:tc>
          <w:tcPr>
            <w:tcW w:w="2466" w:type="dxa"/>
            <w:tcBorders>
              <w:bottom w:val="nil"/>
            </w:tcBorders>
            <w:shd w:val="clear" w:color="auto" w:fill="EAAC98"/>
          </w:tcPr>
          <w:p>
            <w:pPr>
              <w:pStyle w:val="TableParagraph"/>
              <w:spacing w:line="214" w:lineRule="exact" w:before="68"/>
              <w:ind w:left="79"/>
              <w:rPr>
                <w:sz w:val="19"/>
              </w:rPr>
            </w:pPr>
            <w:r>
              <w:rPr>
                <w:color w:val="231F20"/>
                <w:w w:val="105"/>
                <w:sz w:val="19"/>
              </w:rPr>
              <w:t>There is no case data</w:t>
            </w:r>
          </w:p>
        </w:tc>
        <w:tc>
          <w:tcPr>
            <w:tcW w:w="2603" w:type="dxa"/>
            <w:tcBorders>
              <w:bottom w:val="nil"/>
            </w:tcBorders>
            <w:shd w:val="clear" w:color="auto" w:fill="EAAC98"/>
          </w:tcPr>
          <w:p>
            <w:pPr>
              <w:pStyle w:val="TableParagraph"/>
              <w:spacing w:line="214" w:lineRule="exact" w:before="68"/>
              <w:ind w:left="80"/>
              <w:rPr>
                <w:sz w:val="19"/>
              </w:rPr>
            </w:pPr>
            <w:r>
              <w:rPr>
                <w:color w:val="231F20"/>
                <w:w w:val="105"/>
                <w:sz w:val="19"/>
              </w:rPr>
              <w:t>No disability disaggregated</w:t>
            </w:r>
          </w:p>
        </w:tc>
      </w:tr>
      <w:tr>
        <w:trPr>
          <w:trHeight w:val="230" w:hRule="atLeast"/>
        </w:trPr>
        <w:tc>
          <w:tcPr>
            <w:tcW w:w="1124" w:type="dxa"/>
            <w:tcBorders>
              <w:top w:val="nil"/>
              <w:bottom w:val="nil"/>
            </w:tcBorders>
            <w:shd w:val="clear" w:color="auto" w:fill="D5E0E3"/>
          </w:tcPr>
          <w:p>
            <w:pPr>
              <w:pStyle w:val="TableParagraph"/>
              <w:spacing w:line="210" w:lineRule="exact"/>
              <w:ind w:left="80"/>
              <w:rPr>
                <w:b/>
                <w:sz w:val="19"/>
              </w:rPr>
            </w:pPr>
            <w:r>
              <w:rPr>
                <w:b/>
                <w:color w:val="231F20"/>
                <w:w w:val="105"/>
                <w:sz w:val="19"/>
              </w:rPr>
              <w:t>(National</w:t>
            </w:r>
          </w:p>
        </w:tc>
        <w:tc>
          <w:tcPr>
            <w:tcW w:w="2301" w:type="dxa"/>
            <w:tcBorders>
              <w:top w:val="nil"/>
              <w:bottom w:val="nil"/>
            </w:tcBorders>
            <w:shd w:val="clear" w:color="auto" w:fill="EAAC98"/>
          </w:tcPr>
          <w:p>
            <w:pPr>
              <w:pStyle w:val="TableParagraph"/>
              <w:spacing w:line="210" w:lineRule="exact"/>
              <w:ind w:left="79"/>
              <w:rPr>
                <w:sz w:val="19"/>
              </w:rPr>
            </w:pPr>
            <w:r>
              <w:rPr>
                <w:color w:val="231F20"/>
                <w:w w:val="105"/>
                <w:sz w:val="19"/>
              </w:rPr>
              <w:t>in the Annual Report.</w:t>
            </w:r>
          </w:p>
        </w:tc>
        <w:tc>
          <w:tcPr>
            <w:tcW w:w="2466" w:type="dxa"/>
            <w:tcBorders>
              <w:top w:val="nil"/>
              <w:bottom w:val="nil"/>
            </w:tcBorders>
            <w:shd w:val="clear" w:color="auto" w:fill="EAAC98"/>
          </w:tcPr>
          <w:p>
            <w:pPr>
              <w:pStyle w:val="TableParagraph"/>
              <w:spacing w:line="210" w:lineRule="exact"/>
              <w:ind w:left="79"/>
              <w:rPr>
                <w:sz w:val="19"/>
              </w:rPr>
            </w:pPr>
            <w:r>
              <w:rPr>
                <w:color w:val="231F20"/>
                <w:w w:val="105"/>
                <w:sz w:val="19"/>
              </w:rPr>
              <w:t>disaggregated to show all</w:t>
            </w:r>
          </w:p>
        </w:tc>
        <w:tc>
          <w:tcPr>
            <w:tcW w:w="2603" w:type="dxa"/>
            <w:tcBorders>
              <w:top w:val="nil"/>
              <w:bottom w:val="nil"/>
            </w:tcBorders>
            <w:shd w:val="clear" w:color="auto" w:fill="EAAC98"/>
          </w:tcPr>
          <w:p>
            <w:pPr>
              <w:pStyle w:val="TableParagraph"/>
              <w:spacing w:line="210" w:lineRule="exact"/>
              <w:ind w:left="80"/>
              <w:rPr>
                <w:sz w:val="19"/>
              </w:rPr>
            </w:pPr>
            <w:r>
              <w:rPr>
                <w:color w:val="231F20"/>
                <w:sz w:val="19"/>
              </w:rPr>
              <w:t>data.</w:t>
            </w:r>
          </w:p>
        </w:tc>
      </w:tr>
      <w:tr>
        <w:trPr>
          <w:trHeight w:val="230" w:hRule="atLeast"/>
        </w:trPr>
        <w:tc>
          <w:tcPr>
            <w:tcW w:w="1124" w:type="dxa"/>
            <w:tcBorders>
              <w:top w:val="nil"/>
              <w:bottom w:val="nil"/>
            </w:tcBorders>
            <w:shd w:val="clear" w:color="auto" w:fill="D5E0E3"/>
          </w:tcPr>
          <w:p>
            <w:pPr>
              <w:pStyle w:val="TableParagraph"/>
              <w:spacing w:line="210" w:lineRule="exact"/>
              <w:ind w:left="80"/>
              <w:rPr>
                <w:b/>
                <w:sz w:val="19"/>
              </w:rPr>
            </w:pPr>
            <w:r>
              <w:rPr>
                <w:b/>
                <w:color w:val="231F20"/>
                <w:w w:val="105"/>
                <w:sz w:val="19"/>
              </w:rPr>
              <w:t>and</w:t>
            </w:r>
          </w:p>
        </w:tc>
        <w:tc>
          <w:tcPr>
            <w:tcW w:w="2301" w:type="dxa"/>
            <w:tcBorders>
              <w:top w:val="nil"/>
              <w:bottom w:val="nil"/>
            </w:tcBorders>
            <w:shd w:val="clear" w:color="auto" w:fill="EAAC98"/>
          </w:tcPr>
          <w:p>
            <w:pPr>
              <w:pStyle w:val="TableParagraph"/>
              <w:rPr>
                <w:rFonts w:ascii="Times New Roman"/>
                <w:sz w:val="16"/>
              </w:rPr>
            </w:pPr>
          </w:p>
        </w:tc>
        <w:tc>
          <w:tcPr>
            <w:tcW w:w="2466" w:type="dxa"/>
            <w:tcBorders>
              <w:top w:val="nil"/>
              <w:bottom w:val="nil"/>
            </w:tcBorders>
            <w:shd w:val="clear" w:color="auto" w:fill="EAAC98"/>
          </w:tcPr>
          <w:p>
            <w:pPr>
              <w:pStyle w:val="TableParagraph"/>
              <w:spacing w:line="210" w:lineRule="exact"/>
              <w:ind w:left="79"/>
              <w:rPr>
                <w:sz w:val="19"/>
              </w:rPr>
            </w:pPr>
            <w:r>
              <w:rPr>
                <w:color w:val="231F20"/>
                <w:w w:val="105"/>
                <w:sz w:val="19"/>
              </w:rPr>
              <w:t>cases involving children</w:t>
            </w:r>
          </w:p>
        </w:tc>
        <w:tc>
          <w:tcPr>
            <w:tcW w:w="2603" w:type="dxa"/>
            <w:tcBorders>
              <w:top w:val="nil"/>
              <w:bottom w:val="nil"/>
            </w:tcBorders>
            <w:shd w:val="clear" w:color="auto" w:fill="EAAC98"/>
          </w:tcPr>
          <w:p>
            <w:pPr>
              <w:pStyle w:val="TableParagraph"/>
              <w:rPr>
                <w:rFonts w:ascii="Times New Roman"/>
                <w:sz w:val="16"/>
              </w:rPr>
            </w:pPr>
          </w:p>
        </w:tc>
      </w:tr>
      <w:tr>
        <w:trPr>
          <w:trHeight w:val="230" w:hRule="atLeast"/>
        </w:trPr>
        <w:tc>
          <w:tcPr>
            <w:tcW w:w="1124" w:type="dxa"/>
            <w:tcBorders>
              <w:top w:val="nil"/>
              <w:bottom w:val="nil"/>
            </w:tcBorders>
            <w:shd w:val="clear" w:color="auto" w:fill="D5E0E3"/>
          </w:tcPr>
          <w:p>
            <w:pPr>
              <w:pStyle w:val="TableParagraph"/>
              <w:spacing w:line="210" w:lineRule="exact"/>
              <w:ind w:left="80"/>
              <w:rPr>
                <w:b/>
                <w:sz w:val="19"/>
              </w:rPr>
            </w:pPr>
            <w:r>
              <w:rPr>
                <w:b/>
                <w:color w:val="231F20"/>
                <w:w w:val="105"/>
                <w:sz w:val="19"/>
              </w:rPr>
              <w:t>Supreme</w:t>
            </w:r>
          </w:p>
        </w:tc>
        <w:tc>
          <w:tcPr>
            <w:tcW w:w="2301" w:type="dxa"/>
            <w:tcBorders>
              <w:top w:val="nil"/>
              <w:bottom w:val="nil"/>
            </w:tcBorders>
            <w:shd w:val="clear" w:color="auto" w:fill="EAAC98"/>
          </w:tcPr>
          <w:p>
            <w:pPr>
              <w:pStyle w:val="TableParagraph"/>
              <w:rPr>
                <w:rFonts w:ascii="Times New Roman"/>
                <w:sz w:val="16"/>
              </w:rPr>
            </w:pPr>
          </w:p>
        </w:tc>
        <w:tc>
          <w:tcPr>
            <w:tcW w:w="2466" w:type="dxa"/>
            <w:tcBorders>
              <w:top w:val="nil"/>
              <w:bottom w:val="nil"/>
            </w:tcBorders>
            <w:shd w:val="clear" w:color="auto" w:fill="EAAC98"/>
          </w:tcPr>
          <w:p>
            <w:pPr>
              <w:pStyle w:val="TableParagraph"/>
              <w:spacing w:line="210" w:lineRule="exact"/>
              <w:ind w:left="79"/>
              <w:rPr>
                <w:sz w:val="19"/>
              </w:rPr>
            </w:pPr>
            <w:r>
              <w:rPr>
                <w:color w:val="231F20"/>
                <w:w w:val="105"/>
                <w:sz w:val="19"/>
              </w:rPr>
              <w:t>under the age of 18 years in</w:t>
            </w:r>
          </w:p>
        </w:tc>
        <w:tc>
          <w:tcPr>
            <w:tcW w:w="2603" w:type="dxa"/>
            <w:tcBorders>
              <w:top w:val="nil"/>
              <w:bottom w:val="nil"/>
            </w:tcBorders>
            <w:shd w:val="clear" w:color="auto" w:fill="EAAC98"/>
          </w:tcPr>
          <w:p>
            <w:pPr>
              <w:pStyle w:val="TableParagraph"/>
              <w:rPr>
                <w:rFonts w:ascii="Times New Roman"/>
                <w:sz w:val="16"/>
              </w:rPr>
            </w:pPr>
          </w:p>
        </w:tc>
      </w:tr>
      <w:tr>
        <w:trPr>
          <w:trHeight w:val="329" w:hRule="atLeast"/>
        </w:trPr>
        <w:tc>
          <w:tcPr>
            <w:tcW w:w="1124" w:type="dxa"/>
            <w:tcBorders>
              <w:top w:val="nil"/>
            </w:tcBorders>
            <w:shd w:val="clear" w:color="auto" w:fill="D5E0E3"/>
          </w:tcPr>
          <w:p>
            <w:pPr>
              <w:pStyle w:val="TableParagraph"/>
              <w:spacing w:line="228" w:lineRule="exact"/>
              <w:ind w:left="80"/>
              <w:rPr>
                <w:b/>
                <w:sz w:val="19"/>
              </w:rPr>
            </w:pPr>
            <w:r>
              <w:rPr>
                <w:b/>
                <w:color w:val="231F20"/>
                <w:w w:val="105"/>
                <w:sz w:val="19"/>
              </w:rPr>
              <w:t>Courts)</w:t>
            </w:r>
          </w:p>
        </w:tc>
        <w:tc>
          <w:tcPr>
            <w:tcW w:w="2301" w:type="dxa"/>
            <w:tcBorders>
              <w:top w:val="nil"/>
            </w:tcBorders>
            <w:shd w:val="clear" w:color="auto" w:fill="EAAC98"/>
          </w:tcPr>
          <w:p>
            <w:pPr>
              <w:pStyle w:val="TableParagraph"/>
              <w:rPr>
                <w:rFonts w:ascii="Times New Roman"/>
                <w:sz w:val="18"/>
              </w:rPr>
            </w:pPr>
          </w:p>
        </w:tc>
        <w:tc>
          <w:tcPr>
            <w:tcW w:w="2466" w:type="dxa"/>
            <w:tcBorders>
              <w:top w:val="nil"/>
            </w:tcBorders>
            <w:shd w:val="clear" w:color="auto" w:fill="EAAC98"/>
          </w:tcPr>
          <w:p>
            <w:pPr>
              <w:pStyle w:val="TableParagraph"/>
              <w:spacing w:line="228" w:lineRule="exact"/>
              <w:ind w:left="79"/>
              <w:rPr>
                <w:sz w:val="19"/>
              </w:rPr>
            </w:pPr>
            <w:r>
              <w:rPr>
                <w:color w:val="231F20"/>
                <w:w w:val="105"/>
                <w:sz w:val="19"/>
              </w:rPr>
              <w:t>the Annual Report.</w:t>
            </w:r>
          </w:p>
        </w:tc>
        <w:tc>
          <w:tcPr>
            <w:tcW w:w="2603" w:type="dxa"/>
            <w:tcBorders>
              <w:top w:val="nil"/>
            </w:tcBorders>
            <w:shd w:val="clear" w:color="auto" w:fill="EAAC98"/>
          </w:tcPr>
          <w:p>
            <w:pPr>
              <w:pStyle w:val="TableParagraph"/>
              <w:rPr>
                <w:rFonts w:ascii="Times New Roman"/>
                <w:sz w:val="18"/>
              </w:rPr>
            </w:pPr>
          </w:p>
        </w:tc>
      </w:tr>
      <w:tr>
        <w:trPr>
          <w:trHeight w:val="1081" w:hRule="atLeast"/>
        </w:trPr>
        <w:tc>
          <w:tcPr>
            <w:tcW w:w="1124" w:type="dxa"/>
            <w:shd w:val="clear" w:color="auto" w:fill="D5E0E3"/>
          </w:tcPr>
          <w:p>
            <w:pPr>
              <w:pStyle w:val="TableParagraph"/>
              <w:spacing w:before="69"/>
              <w:ind w:left="80" w:right="298"/>
              <w:rPr>
                <w:b/>
                <w:sz w:val="19"/>
              </w:rPr>
            </w:pPr>
            <w:r>
              <w:rPr>
                <w:b/>
                <w:color w:val="231F20"/>
                <w:w w:val="105"/>
                <w:sz w:val="19"/>
              </w:rPr>
              <w:t>Republic of the </w:t>
            </w:r>
            <w:r>
              <w:rPr>
                <w:b/>
                <w:color w:val="231F20"/>
                <w:sz w:val="19"/>
              </w:rPr>
              <w:t>Marshall </w:t>
            </w:r>
            <w:r>
              <w:rPr>
                <w:b/>
                <w:color w:val="231F20"/>
                <w:w w:val="105"/>
                <w:sz w:val="19"/>
              </w:rPr>
              <w:t>Islands</w:t>
            </w:r>
          </w:p>
        </w:tc>
        <w:tc>
          <w:tcPr>
            <w:tcW w:w="2301" w:type="dxa"/>
            <w:shd w:val="clear" w:color="auto" w:fill="D8E3CE"/>
          </w:tcPr>
          <w:p>
            <w:pPr>
              <w:pStyle w:val="TableParagraph"/>
              <w:spacing w:before="68"/>
              <w:ind w:left="79" w:right="241"/>
              <w:rPr>
                <w:sz w:val="19"/>
              </w:rPr>
            </w:pPr>
            <w:r>
              <w:rPr>
                <w:color w:val="231F20"/>
                <w:w w:val="105"/>
                <w:sz w:val="19"/>
              </w:rPr>
              <w:t>Sex disaggregated data presented for both criminal and civil cases.</w:t>
            </w:r>
          </w:p>
        </w:tc>
        <w:tc>
          <w:tcPr>
            <w:tcW w:w="2466" w:type="dxa"/>
            <w:shd w:val="clear" w:color="auto" w:fill="D8E3CE"/>
          </w:tcPr>
          <w:p>
            <w:pPr>
              <w:pStyle w:val="TableParagraph"/>
              <w:spacing w:before="68"/>
              <w:ind w:left="79" w:right="16"/>
              <w:rPr>
                <w:sz w:val="19"/>
              </w:rPr>
            </w:pPr>
            <w:r>
              <w:rPr>
                <w:color w:val="231F20"/>
                <w:w w:val="105"/>
                <w:sz w:val="19"/>
              </w:rPr>
              <w:t>Juvenile disaggregated data presented for children under 18 years of age.</w:t>
            </w:r>
          </w:p>
        </w:tc>
        <w:tc>
          <w:tcPr>
            <w:tcW w:w="2603" w:type="dxa"/>
            <w:shd w:val="clear" w:color="auto" w:fill="D8E3CE"/>
          </w:tcPr>
          <w:p>
            <w:pPr>
              <w:pStyle w:val="TableParagraph"/>
              <w:spacing w:before="68"/>
              <w:ind w:left="80"/>
              <w:rPr>
                <w:sz w:val="19"/>
              </w:rPr>
            </w:pPr>
            <w:r>
              <w:rPr>
                <w:color w:val="231F20"/>
                <w:w w:val="105"/>
                <w:sz w:val="19"/>
              </w:rPr>
              <w:t>Disability disaggregated data presented.</w:t>
            </w:r>
          </w:p>
        </w:tc>
      </w:tr>
      <w:tr>
        <w:trPr>
          <w:trHeight w:val="1104" w:hRule="atLeast"/>
        </w:trPr>
        <w:tc>
          <w:tcPr>
            <w:tcW w:w="1124" w:type="dxa"/>
            <w:shd w:val="clear" w:color="auto" w:fill="D5E0E3"/>
          </w:tcPr>
          <w:p>
            <w:pPr>
              <w:pStyle w:val="TableParagraph"/>
              <w:spacing w:before="69"/>
              <w:ind w:left="80"/>
              <w:rPr>
                <w:b/>
                <w:sz w:val="19"/>
              </w:rPr>
            </w:pPr>
            <w:r>
              <w:rPr>
                <w:b/>
                <w:color w:val="231F20"/>
                <w:w w:val="105"/>
                <w:sz w:val="19"/>
              </w:rPr>
              <w:t>Samoa</w:t>
            </w:r>
          </w:p>
        </w:tc>
        <w:tc>
          <w:tcPr>
            <w:tcW w:w="2301" w:type="dxa"/>
            <w:shd w:val="clear" w:color="auto" w:fill="EAAC98"/>
          </w:tcPr>
          <w:p>
            <w:pPr>
              <w:pStyle w:val="TableParagraph"/>
              <w:spacing w:before="68"/>
              <w:ind w:left="79"/>
              <w:rPr>
                <w:sz w:val="19"/>
              </w:rPr>
            </w:pPr>
            <w:r>
              <w:rPr>
                <w:color w:val="231F20"/>
                <w:w w:val="105"/>
                <w:sz w:val="19"/>
              </w:rPr>
              <w:t>No sex disaggregated data in the Annual Report.</w:t>
            </w:r>
          </w:p>
        </w:tc>
        <w:tc>
          <w:tcPr>
            <w:tcW w:w="2466" w:type="dxa"/>
            <w:shd w:val="clear" w:color="auto" w:fill="EAAC98"/>
          </w:tcPr>
          <w:p>
            <w:pPr>
              <w:pStyle w:val="TableParagraph"/>
              <w:spacing w:before="68"/>
              <w:ind w:left="79" w:right="290"/>
              <w:rPr>
                <w:sz w:val="19"/>
              </w:rPr>
            </w:pPr>
            <w:r>
              <w:rPr>
                <w:color w:val="231F20"/>
                <w:w w:val="105"/>
                <w:sz w:val="19"/>
              </w:rPr>
              <w:t>There is no data disaggregated to show all cases involving children under the age of 18.</w:t>
            </w:r>
          </w:p>
        </w:tc>
        <w:tc>
          <w:tcPr>
            <w:tcW w:w="2603" w:type="dxa"/>
            <w:shd w:val="clear" w:color="auto" w:fill="EAAC98"/>
          </w:tcPr>
          <w:p>
            <w:pPr>
              <w:pStyle w:val="TableParagraph"/>
              <w:spacing w:before="68"/>
              <w:ind w:left="80"/>
              <w:rPr>
                <w:sz w:val="19"/>
              </w:rPr>
            </w:pPr>
            <w:r>
              <w:rPr>
                <w:color w:val="231F20"/>
                <w:w w:val="105"/>
                <w:sz w:val="19"/>
              </w:rPr>
              <w:t>No disability disaggregated data.</w:t>
            </w:r>
          </w:p>
        </w:tc>
      </w:tr>
    </w:tbl>
    <w:p>
      <w:pPr>
        <w:spacing w:after="0"/>
        <w:rPr>
          <w:sz w:val="19"/>
        </w:rPr>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91392"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2301"/>
        <w:gridCol w:w="2466"/>
        <w:gridCol w:w="2603"/>
      </w:tblGrid>
      <w:tr>
        <w:trPr>
          <w:trHeight w:val="381" w:hRule="atLeast"/>
        </w:trPr>
        <w:tc>
          <w:tcPr>
            <w:tcW w:w="1124" w:type="dxa"/>
            <w:shd w:val="clear" w:color="auto" w:fill="92BAC2"/>
          </w:tcPr>
          <w:p>
            <w:pPr>
              <w:pStyle w:val="TableParagraph"/>
              <w:rPr>
                <w:rFonts w:ascii="Times New Roman"/>
                <w:sz w:val="18"/>
              </w:rPr>
            </w:pPr>
          </w:p>
        </w:tc>
        <w:tc>
          <w:tcPr>
            <w:tcW w:w="2301" w:type="dxa"/>
            <w:shd w:val="clear" w:color="auto" w:fill="92BAC2"/>
          </w:tcPr>
          <w:p>
            <w:pPr>
              <w:pStyle w:val="TableParagraph"/>
              <w:spacing w:before="69"/>
              <w:ind w:left="79"/>
              <w:rPr>
                <w:b/>
                <w:sz w:val="19"/>
              </w:rPr>
            </w:pPr>
            <w:r>
              <w:rPr>
                <w:b/>
                <w:color w:val="231F20"/>
                <w:w w:val="105"/>
                <w:sz w:val="19"/>
              </w:rPr>
              <w:t>Sex Disaggregated Data</w:t>
            </w:r>
          </w:p>
        </w:tc>
        <w:tc>
          <w:tcPr>
            <w:tcW w:w="2466" w:type="dxa"/>
            <w:shd w:val="clear" w:color="auto" w:fill="92BAC2"/>
          </w:tcPr>
          <w:p>
            <w:pPr>
              <w:pStyle w:val="TableParagraph"/>
              <w:spacing w:before="69"/>
              <w:ind w:left="79"/>
              <w:rPr>
                <w:b/>
                <w:sz w:val="19"/>
              </w:rPr>
            </w:pPr>
            <w:r>
              <w:rPr>
                <w:b/>
                <w:color w:val="231F20"/>
                <w:w w:val="105"/>
                <w:sz w:val="19"/>
              </w:rPr>
              <w:t>Juvenile Disaggregated Data</w:t>
            </w:r>
          </w:p>
        </w:tc>
        <w:tc>
          <w:tcPr>
            <w:tcW w:w="2603" w:type="dxa"/>
            <w:shd w:val="clear" w:color="auto" w:fill="92BAC2"/>
          </w:tcPr>
          <w:p>
            <w:pPr>
              <w:pStyle w:val="TableParagraph"/>
              <w:spacing w:before="69"/>
              <w:ind w:left="80"/>
              <w:rPr>
                <w:b/>
                <w:sz w:val="19"/>
              </w:rPr>
            </w:pPr>
            <w:r>
              <w:rPr>
                <w:b/>
                <w:color w:val="231F20"/>
                <w:w w:val="105"/>
                <w:sz w:val="19"/>
              </w:rPr>
              <w:t>Disability Disaggregated Data</w:t>
            </w:r>
          </w:p>
        </w:tc>
      </w:tr>
      <w:tr>
        <w:trPr>
          <w:trHeight w:val="859" w:hRule="atLeast"/>
        </w:trPr>
        <w:tc>
          <w:tcPr>
            <w:tcW w:w="1124" w:type="dxa"/>
            <w:shd w:val="clear" w:color="auto" w:fill="D5E0E3"/>
          </w:tcPr>
          <w:p>
            <w:pPr>
              <w:pStyle w:val="TableParagraph"/>
              <w:spacing w:before="69"/>
              <w:ind w:left="80" w:right="314"/>
              <w:rPr>
                <w:b/>
                <w:sz w:val="19"/>
              </w:rPr>
            </w:pPr>
            <w:r>
              <w:rPr>
                <w:b/>
                <w:color w:val="231F20"/>
                <w:sz w:val="19"/>
              </w:rPr>
              <w:t>Solomon </w:t>
            </w:r>
            <w:r>
              <w:rPr>
                <w:b/>
                <w:color w:val="231F20"/>
                <w:w w:val="105"/>
                <w:sz w:val="19"/>
              </w:rPr>
              <w:t>Islands</w:t>
            </w:r>
          </w:p>
        </w:tc>
        <w:tc>
          <w:tcPr>
            <w:tcW w:w="2301" w:type="dxa"/>
            <w:shd w:val="clear" w:color="auto" w:fill="EAAC98"/>
          </w:tcPr>
          <w:p>
            <w:pPr>
              <w:pStyle w:val="TableParagraph"/>
              <w:spacing w:before="68"/>
              <w:ind w:left="79" w:right="113"/>
              <w:jc w:val="both"/>
              <w:rPr>
                <w:sz w:val="19"/>
              </w:rPr>
            </w:pPr>
            <w:r>
              <w:rPr>
                <w:color w:val="231F20"/>
                <w:w w:val="105"/>
                <w:sz w:val="19"/>
              </w:rPr>
              <w:t>No</w:t>
            </w:r>
            <w:r>
              <w:rPr>
                <w:color w:val="231F20"/>
                <w:spacing w:val="-14"/>
                <w:w w:val="105"/>
                <w:sz w:val="19"/>
              </w:rPr>
              <w:t> </w:t>
            </w:r>
            <w:r>
              <w:rPr>
                <w:color w:val="231F20"/>
                <w:w w:val="105"/>
                <w:sz w:val="19"/>
              </w:rPr>
              <w:t>sex</w:t>
            </w:r>
            <w:r>
              <w:rPr>
                <w:color w:val="231F20"/>
                <w:spacing w:val="-14"/>
                <w:w w:val="105"/>
                <w:sz w:val="19"/>
              </w:rPr>
              <w:t> </w:t>
            </w:r>
            <w:r>
              <w:rPr>
                <w:color w:val="231F20"/>
                <w:w w:val="105"/>
                <w:sz w:val="19"/>
              </w:rPr>
              <w:t>disaggregated</w:t>
            </w:r>
            <w:r>
              <w:rPr>
                <w:color w:val="231F20"/>
                <w:spacing w:val="-14"/>
                <w:w w:val="105"/>
                <w:sz w:val="19"/>
              </w:rPr>
              <w:t> </w:t>
            </w:r>
            <w:r>
              <w:rPr>
                <w:color w:val="231F20"/>
                <w:w w:val="105"/>
                <w:sz w:val="19"/>
              </w:rPr>
              <w:t>data presented</w:t>
            </w:r>
            <w:r>
              <w:rPr>
                <w:color w:val="231F20"/>
                <w:spacing w:val="-12"/>
                <w:w w:val="105"/>
                <w:sz w:val="19"/>
              </w:rPr>
              <w:t> </w:t>
            </w:r>
            <w:r>
              <w:rPr>
                <w:color w:val="231F20"/>
                <w:w w:val="105"/>
                <w:sz w:val="19"/>
              </w:rPr>
              <w:t>to</w:t>
            </w:r>
            <w:r>
              <w:rPr>
                <w:color w:val="231F20"/>
                <w:spacing w:val="-12"/>
                <w:w w:val="105"/>
                <w:sz w:val="19"/>
              </w:rPr>
              <w:t> </w:t>
            </w:r>
            <w:r>
              <w:rPr>
                <w:color w:val="231F20"/>
                <w:w w:val="105"/>
                <w:sz w:val="19"/>
              </w:rPr>
              <w:t>the</w:t>
            </w:r>
            <w:r>
              <w:rPr>
                <w:color w:val="231F20"/>
                <w:spacing w:val="-12"/>
                <w:w w:val="105"/>
                <w:sz w:val="19"/>
              </w:rPr>
              <w:t> </w:t>
            </w:r>
            <w:r>
              <w:rPr>
                <w:color w:val="231F20"/>
                <w:w w:val="105"/>
                <w:sz w:val="19"/>
              </w:rPr>
              <w:t>public</w:t>
            </w:r>
            <w:r>
              <w:rPr>
                <w:color w:val="231F20"/>
                <w:spacing w:val="-12"/>
                <w:w w:val="105"/>
                <w:sz w:val="19"/>
              </w:rPr>
              <w:t> </w:t>
            </w:r>
            <w:r>
              <w:rPr>
                <w:color w:val="231F20"/>
                <w:w w:val="105"/>
                <w:sz w:val="19"/>
              </w:rPr>
              <w:t>as there</w:t>
            </w:r>
            <w:r>
              <w:rPr>
                <w:color w:val="231F20"/>
                <w:spacing w:val="-9"/>
                <w:w w:val="105"/>
                <w:sz w:val="19"/>
              </w:rPr>
              <w:t> </w:t>
            </w:r>
            <w:r>
              <w:rPr>
                <w:color w:val="231F20"/>
                <w:w w:val="105"/>
                <w:sz w:val="19"/>
              </w:rPr>
              <w:t>is</w:t>
            </w:r>
            <w:r>
              <w:rPr>
                <w:color w:val="231F20"/>
                <w:spacing w:val="-9"/>
                <w:w w:val="105"/>
                <w:sz w:val="19"/>
              </w:rPr>
              <w:t> </w:t>
            </w:r>
            <w:r>
              <w:rPr>
                <w:color w:val="231F20"/>
                <w:w w:val="105"/>
                <w:sz w:val="19"/>
              </w:rPr>
              <w:t>no</w:t>
            </w:r>
            <w:r>
              <w:rPr>
                <w:color w:val="231F20"/>
                <w:spacing w:val="-15"/>
                <w:w w:val="105"/>
                <w:sz w:val="19"/>
              </w:rPr>
              <w:t> </w:t>
            </w:r>
            <w:r>
              <w:rPr>
                <w:color w:val="231F20"/>
                <w:w w:val="105"/>
                <w:sz w:val="19"/>
              </w:rPr>
              <w:t>Annual</w:t>
            </w:r>
            <w:r>
              <w:rPr>
                <w:color w:val="231F20"/>
                <w:spacing w:val="-9"/>
                <w:w w:val="105"/>
                <w:sz w:val="19"/>
              </w:rPr>
              <w:t> </w:t>
            </w:r>
            <w:r>
              <w:rPr>
                <w:color w:val="231F20"/>
                <w:w w:val="105"/>
                <w:sz w:val="19"/>
              </w:rPr>
              <w:t>Report.</w:t>
            </w:r>
          </w:p>
        </w:tc>
        <w:tc>
          <w:tcPr>
            <w:tcW w:w="2466" w:type="dxa"/>
            <w:shd w:val="clear" w:color="auto" w:fill="EAAC98"/>
          </w:tcPr>
          <w:p>
            <w:pPr>
              <w:pStyle w:val="TableParagraph"/>
              <w:spacing w:before="68"/>
              <w:ind w:left="79" w:right="278"/>
              <w:jc w:val="both"/>
              <w:rPr>
                <w:sz w:val="19"/>
              </w:rPr>
            </w:pPr>
            <w:r>
              <w:rPr>
                <w:color w:val="231F20"/>
                <w:w w:val="105"/>
                <w:sz w:val="19"/>
              </w:rPr>
              <w:t>No</w:t>
            </w:r>
            <w:r>
              <w:rPr>
                <w:color w:val="231F20"/>
                <w:spacing w:val="-14"/>
                <w:w w:val="105"/>
                <w:sz w:val="19"/>
              </w:rPr>
              <w:t> </w:t>
            </w:r>
            <w:r>
              <w:rPr>
                <w:color w:val="231F20"/>
                <w:w w:val="105"/>
                <w:sz w:val="19"/>
              </w:rPr>
              <w:t>sex</w:t>
            </w:r>
            <w:r>
              <w:rPr>
                <w:color w:val="231F20"/>
                <w:spacing w:val="-14"/>
                <w:w w:val="105"/>
                <w:sz w:val="19"/>
              </w:rPr>
              <w:t> </w:t>
            </w:r>
            <w:r>
              <w:rPr>
                <w:color w:val="231F20"/>
                <w:w w:val="105"/>
                <w:sz w:val="19"/>
              </w:rPr>
              <w:t>disaggregated</w:t>
            </w:r>
            <w:r>
              <w:rPr>
                <w:color w:val="231F20"/>
                <w:spacing w:val="-14"/>
                <w:w w:val="105"/>
                <w:sz w:val="19"/>
              </w:rPr>
              <w:t> </w:t>
            </w:r>
            <w:r>
              <w:rPr>
                <w:color w:val="231F20"/>
                <w:w w:val="105"/>
                <w:sz w:val="19"/>
              </w:rPr>
              <w:t>data presented</w:t>
            </w:r>
            <w:r>
              <w:rPr>
                <w:color w:val="231F20"/>
                <w:spacing w:val="-12"/>
                <w:w w:val="105"/>
                <w:sz w:val="19"/>
              </w:rPr>
              <w:t> </w:t>
            </w:r>
            <w:r>
              <w:rPr>
                <w:color w:val="231F20"/>
                <w:w w:val="105"/>
                <w:sz w:val="19"/>
              </w:rPr>
              <w:t>to</w:t>
            </w:r>
            <w:r>
              <w:rPr>
                <w:color w:val="231F20"/>
                <w:spacing w:val="-12"/>
                <w:w w:val="105"/>
                <w:sz w:val="19"/>
              </w:rPr>
              <w:t> </w:t>
            </w:r>
            <w:r>
              <w:rPr>
                <w:color w:val="231F20"/>
                <w:w w:val="105"/>
                <w:sz w:val="19"/>
              </w:rPr>
              <w:t>the</w:t>
            </w:r>
            <w:r>
              <w:rPr>
                <w:color w:val="231F20"/>
                <w:spacing w:val="-12"/>
                <w:w w:val="105"/>
                <w:sz w:val="19"/>
              </w:rPr>
              <w:t> </w:t>
            </w:r>
            <w:r>
              <w:rPr>
                <w:color w:val="231F20"/>
                <w:w w:val="105"/>
                <w:sz w:val="19"/>
              </w:rPr>
              <w:t>public</w:t>
            </w:r>
            <w:r>
              <w:rPr>
                <w:color w:val="231F20"/>
                <w:spacing w:val="-12"/>
                <w:w w:val="105"/>
                <w:sz w:val="19"/>
              </w:rPr>
              <w:t> </w:t>
            </w:r>
            <w:r>
              <w:rPr>
                <w:color w:val="231F20"/>
                <w:w w:val="105"/>
                <w:sz w:val="19"/>
              </w:rPr>
              <w:t>as there</w:t>
            </w:r>
            <w:r>
              <w:rPr>
                <w:color w:val="231F20"/>
                <w:spacing w:val="-9"/>
                <w:w w:val="105"/>
                <w:sz w:val="19"/>
              </w:rPr>
              <w:t> </w:t>
            </w:r>
            <w:r>
              <w:rPr>
                <w:color w:val="231F20"/>
                <w:w w:val="105"/>
                <w:sz w:val="19"/>
              </w:rPr>
              <w:t>is</w:t>
            </w:r>
            <w:r>
              <w:rPr>
                <w:color w:val="231F20"/>
                <w:spacing w:val="-9"/>
                <w:w w:val="105"/>
                <w:sz w:val="19"/>
              </w:rPr>
              <w:t> </w:t>
            </w:r>
            <w:r>
              <w:rPr>
                <w:color w:val="231F20"/>
                <w:w w:val="105"/>
                <w:sz w:val="19"/>
              </w:rPr>
              <w:t>no</w:t>
            </w:r>
            <w:r>
              <w:rPr>
                <w:color w:val="231F20"/>
                <w:spacing w:val="-15"/>
                <w:w w:val="105"/>
                <w:sz w:val="19"/>
              </w:rPr>
              <w:t> </w:t>
            </w:r>
            <w:r>
              <w:rPr>
                <w:color w:val="231F20"/>
                <w:w w:val="105"/>
                <w:sz w:val="19"/>
              </w:rPr>
              <w:t>Annual</w:t>
            </w:r>
            <w:r>
              <w:rPr>
                <w:color w:val="231F20"/>
                <w:spacing w:val="-9"/>
                <w:w w:val="105"/>
                <w:sz w:val="19"/>
              </w:rPr>
              <w:t> </w:t>
            </w:r>
            <w:r>
              <w:rPr>
                <w:color w:val="231F20"/>
                <w:w w:val="105"/>
                <w:sz w:val="19"/>
              </w:rPr>
              <w:t>Report.</w:t>
            </w:r>
          </w:p>
        </w:tc>
        <w:tc>
          <w:tcPr>
            <w:tcW w:w="2603" w:type="dxa"/>
            <w:shd w:val="clear" w:color="auto" w:fill="EAAC98"/>
          </w:tcPr>
          <w:p>
            <w:pPr>
              <w:pStyle w:val="TableParagraph"/>
              <w:spacing w:before="68"/>
              <w:ind w:left="80" w:right="144"/>
              <w:rPr>
                <w:sz w:val="19"/>
              </w:rPr>
            </w:pPr>
            <w:r>
              <w:rPr>
                <w:color w:val="231F20"/>
                <w:w w:val="105"/>
                <w:sz w:val="19"/>
              </w:rPr>
              <w:t>No disability disaggregated data presented to the public as there is no Annual Report.</w:t>
            </w:r>
          </w:p>
        </w:tc>
      </w:tr>
      <w:tr>
        <w:trPr>
          <w:trHeight w:val="1086" w:hRule="atLeast"/>
        </w:trPr>
        <w:tc>
          <w:tcPr>
            <w:tcW w:w="1124" w:type="dxa"/>
            <w:shd w:val="clear" w:color="auto" w:fill="D5E0E3"/>
          </w:tcPr>
          <w:p>
            <w:pPr>
              <w:pStyle w:val="TableParagraph"/>
              <w:spacing w:before="69"/>
              <w:ind w:left="80"/>
              <w:rPr>
                <w:b/>
                <w:sz w:val="19"/>
              </w:rPr>
            </w:pPr>
            <w:r>
              <w:rPr>
                <w:b/>
                <w:color w:val="231F20"/>
                <w:w w:val="105"/>
                <w:sz w:val="19"/>
              </w:rPr>
              <w:t>Tokelau</w:t>
            </w:r>
          </w:p>
        </w:tc>
        <w:tc>
          <w:tcPr>
            <w:tcW w:w="2301" w:type="dxa"/>
            <w:shd w:val="clear" w:color="auto" w:fill="D8E3CE"/>
          </w:tcPr>
          <w:p>
            <w:pPr>
              <w:pStyle w:val="TableParagraph"/>
              <w:spacing w:before="68"/>
              <w:ind w:left="79" w:right="241"/>
              <w:rPr>
                <w:sz w:val="19"/>
              </w:rPr>
            </w:pPr>
            <w:r>
              <w:rPr>
                <w:color w:val="231F20"/>
                <w:w w:val="105"/>
                <w:sz w:val="19"/>
              </w:rPr>
              <w:t>Some sex disaggregated data presenting sex of offenders in criminal cases.</w:t>
            </w:r>
          </w:p>
        </w:tc>
        <w:tc>
          <w:tcPr>
            <w:tcW w:w="2466" w:type="dxa"/>
            <w:shd w:val="clear" w:color="auto" w:fill="D8E3CE"/>
          </w:tcPr>
          <w:p>
            <w:pPr>
              <w:pStyle w:val="TableParagraph"/>
              <w:spacing w:before="68"/>
              <w:ind w:left="79" w:right="109"/>
              <w:rPr>
                <w:sz w:val="19"/>
              </w:rPr>
            </w:pPr>
            <w:r>
              <w:rPr>
                <w:color w:val="231F20"/>
                <w:w w:val="105"/>
                <w:sz w:val="19"/>
              </w:rPr>
              <w:t>Juvenile disaggregated data in the 2016/2018 Annual Report refers to children under 18 years.</w:t>
            </w:r>
          </w:p>
        </w:tc>
        <w:tc>
          <w:tcPr>
            <w:tcW w:w="2603" w:type="dxa"/>
            <w:shd w:val="clear" w:color="auto" w:fill="EAAC98"/>
          </w:tcPr>
          <w:p>
            <w:pPr>
              <w:pStyle w:val="TableParagraph"/>
              <w:spacing w:before="68"/>
              <w:ind w:left="80"/>
              <w:rPr>
                <w:sz w:val="19"/>
              </w:rPr>
            </w:pPr>
            <w:r>
              <w:rPr>
                <w:color w:val="231F20"/>
                <w:w w:val="105"/>
                <w:sz w:val="19"/>
              </w:rPr>
              <w:t>No disability disaggregated data in the Annual Report.</w:t>
            </w:r>
          </w:p>
        </w:tc>
      </w:tr>
      <w:tr>
        <w:trPr>
          <w:trHeight w:val="1369" w:hRule="atLeast"/>
        </w:trPr>
        <w:tc>
          <w:tcPr>
            <w:tcW w:w="1124" w:type="dxa"/>
            <w:shd w:val="clear" w:color="auto" w:fill="D5E0E3"/>
          </w:tcPr>
          <w:p>
            <w:pPr>
              <w:pStyle w:val="TableParagraph"/>
              <w:spacing w:before="69"/>
              <w:ind w:left="80"/>
              <w:rPr>
                <w:b/>
                <w:sz w:val="19"/>
              </w:rPr>
            </w:pPr>
            <w:r>
              <w:rPr>
                <w:b/>
                <w:color w:val="231F20"/>
                <w:w w:val="105"/>
                <w:sz w:val="19"/>
              </w:rPr>
              <w:t>Tonga</w:t>
            </w:r>
          </w:p>
        </w:tc>
        <w:tc>
          <w:tcPr>
            <w:tcW w:w="2301" w:type="dxa"/>
            <w:shd w:val="clear" w:color="auto" w:fill="D8E3CE"/>
          </w:tcPr>
          <w:p>
            <w:pPr>
              <w:pStyle w:val="TableParagraph"/>
              <w:spacing w:before="68"/>
              <w:ind w:left="79" w:right="320"/>
              <w:rPr>
                <w:sz w:val="19"/>
              </w:rPr>
            </w:pPr>
            <w:r>
              <w:rPr>
                <w:color w:val="231F20"/>
                <w:w w:val="105"/>
                <w:sz w:val="19"/>
              </w:rPr>
              <w:t>Sex disaggregated data presented in the 2018 Annual Report.</w:t>
            </w:r>
          </w:p>
        </w:tc>
        <w:tc>
          <w:tcPr>
            <w:tcW w:w="2466" w:type="dxa"/>
            <w:shd w:val="clear" w:color="auto" w:fill="EAAC98"/>
          </w:tcPr>
          <w:p>
            <w:pPr>
              <w:pStyle w:val="TableParagraph"/>
              <w:spacing w:before="68"/>
              <w:ind w:left="79" w:right="119"/>
              <w:rPr>
                <w:sz w:val="19"/>
              </w:rPr>
            </w:pPr>
            <w:r>
              <w:rPr>
                <w:color w:val="231F20"/>
                <w:spacing w:val="-4"/>
                <w:w w:val="105"/>
                <w:sz w:val="19"/>
              </w:rPr>
              <w:t>There </w:t>
            </w:r>
            <w:r>
              <w:rPr>
                <w:color w:val="231F20"/>
                <w:w w:val="105"/>
                <w:sz w:val="19"/>
              </w:rPr>
              <w:t>is no case data disaggregated</w:t>
            </w:r>
            <w:r>
              <w:rPr>
                <w:color w:val="231F20"/>
                <w:spacing w:val="-19"/>
                <w:w w:val="105"/>
                <w:sz w:val="19"/>
              </w:rPr>
              <w:t> </w:t>
            </w:r>
            <w:r>
              <w:rPr>
                <w:color w:val="231F20"/>
                <w:w w:val="105"/>
                <w:sz w:val="19"/>
              </w:rPr>
              <w:t>to</w:t>
            </w:r>
            <w:r>
              <w:rPr>
                <w:color w:val="231F20"/>
                <w:spacing w:val="-19"/>
                <w:w w:val="105"/>
                <w:sz w:val="19"/>
              </w:rPr>
              <w:t> </w:t>
            </w:r>
            <w:r>
              <w:rPr>
                <w:color w:val="231F20"/>
                <w:spacing w:val="-3"/>
                <w:w w:val="105"/>
                <w:sz w:val="19"/>
              </w:rPr>
              <w:t>show</w:t>
            </w:r>
            <w:r>
              <w:rPr>
                <w:color w:val="231F20"/>
                <w:spacing w:val="-19"/>
                <w:w w:val="105"/>
                <w:sz w:val="19"/>
              </w:rPr>
              <w:t> </w:t>
            </w:r>
            <w:r>
              <w:rPr>
                <w:color w:val="231F20"/>
                <w:w w:val="105"/>
                <w:sz w:val="19"/>
              </w:rPr>
              <w:t>cases </w:t>
            </w:r>
            <w:r>
              <w:rPr>
                <w:color w:val="231F20"/>
                <w:spacing w:val="-3"/>
                <w:w w:val="105"/>
                <w:sz w:val="19"/>
              </w:rPr>
              <w:t>involving  children  </w:t>
            </w:r>
            <w:r>
              <w:rPr>
                <w:color w:val="231F20"/>
                <w:w w:val="105"/>
                <w:sz w:val="19"/>
              </w:rPr>
              <w:t>under the age of 18 </w:t>
            </w:r>
            <w:r>
              <w:rPr>
                <w:color w:val="231F20"/>
                <w:spacing w:val="-3"/>
                <w:w w:val="105"/>
                <w:sz w:val="19"/>
              </w:rPr>
              <w:t>years </w:t>
            </w:r>
            <w:r>
              <w:rPr>
                <w:color w:val="231F20"/>
                <w:w w:val="105"/>
                <w:sz w:val="19"/>
              </w:rPr>
              <w:t>in </w:t>
            </w:r>
            <w:r>
              <w:rPr>
                <w:color w:val="231F20"/>
                <w:spacing w:val="-2"/>
                <w:w w:val="105"/>
                <w:sz w:val="19"/>
              </w:rPr>
              <w:t>the </w:t>
            </w:r>
            <w:r>
              <w:rPr>
                <w:color w:val="231F20"/>
                <w:w w:val="105"/>
                <w:sz w:val="19"/>
              </w:rPr>
              <w:t>2018 Annual Report.</w:t>
            </w:r>
          </w:p>
        </w:tc>
        <w:tc>
          <w:tcPr>
            <w:tcW w:w="2603" w:type="dxa"/>
            <w:shd w:val="clear" w:color="auto" w:fill="EAAC98"/>
          </w:tcPr>
          <w:p>
            <w:pPr>
              <w:pStyle w:val="TableParagraph"/>
              <w:spacing w:before="68"/>
              <w:ind w:left="80"/>
              <w:rPr>
                <w:sz w:val="19"/>
              </w:rPr>
            </w:pPr>
            <w:r>
              <w:rPr>
                <w:color w:val="231F20"/>
                <w:w w:val="105"/>
                <w:sz w:val="19"/>
              </w:rPr>
              <w:t>No disability disaggregated data.</w:t>
            </w:r>
          </w:p>
        </w:tc>
      </w:tr>
      <w:tr>
        <w:trPr>
          <w:trHeight w:val="1615" w:hRule="atLeast"/>
        </w:trPr>
        <w:tc>
          <w:tcPr>
            <w:tcW w:w="1124" w:type="dxa"/>
            <w:shd w:val="clear" w:color="auto" w:fill="D5E0E3"/>
          </w:tcPr>
          <w:p>
            <w:pPr>
              <w:pStyle w:val="TableParagraph"/>
              <w:spacing w:before="69"/>
              <w:ind w:left="80"/>
              <w:rPr>
                <w:b/>
                <w:sz w:val="19"/>
              </w:rPr>
            </w:pPr>
            <w:r>
              <w:rPr>
                <w:b/>
                <w:color w:val="231F20"/>
                <w:w w:val="105"/>
                <w:sz w:val="19"/>
              </w:rPr>
              <w:t>Tuvalu</w:t>
            </w:r>
          </w:p>
        </w:tc>
        <w:tc>
          <w:tcPr>
            <w:tcW w:w="2301" w:type="dxa"/>
            <w:shd w:val="clear" w:color="auto" w:fill="EAAC98"/>
          </w:tcPr>
          <w:p>
            <w:pPr>
              <w:pStyle w:val="TableParagraph"/>
              <w:spacing w:before="68"/>
              <w:ind w:left="79" w:right="113"/>
              <w:jc w:val="both"/>
              <w:rPr>
                <w:sz w:val="19"/>
              </w:rPr>
            </w:pPr>
            <w:r>
              <w:rPr>
                <w:color w:val="231F20"/>
                <w:w w:val="105"/>
                <w:sz w:val="19"/>
              </w:rPr>
              <w:t>No</w:t>
            </w:r>
            <w:r>
              <w:rPr>
                <w:color w:val="231F20"/>
                <w:spacing w:val="-14"/>
                <w:w w:val="105"/>
                <w:sz w:val="19"/>
              </w:rPr>
              <w:t> </w:t>
            </w:r>
            <w:r>
              <w:rPr>
                <w:color w:val="231F20"/>
                <w:w w:val="105"/>
                <w:sz w:val="19"/>
              </w:rPr>
              <w:t>sex</w:t>
            </w:r>
            <w:r>
              <w:rPr>
                <w:color w:val="231F20"/>
                <w:spacing w:val="-14"/>
                <w:w w:val="105"/>
                <w:sz w:val="19"/>
              </w:rPr>
              <w:t> </w:t>
            </w:r>
            <w:r>
              <w:rPr>
                <w:color w:val="231F20"/>
                <w:w w:val="105"/>
                <w:sz w:val="19"/>
              </w:rPr>
              <w:t>disaggregated</w:t>
            </w:r>
            <w:r>
              <w:rPr>
                <w:color w:val="231F20"/>
                <w:spacing w:val="-14"/>
                <w:w w:val="105"/>
                <w:sz w:val="19"/>
              </w:rPr>
              <w:t> </w:t>
            </w:r>
            <w:r>
              <w:rPr>
                <w:color w:val="231F20"/>
                <w:w w:val="105"/>
                <w:sz w:val="19"/>
              </w:rPr>
              <w:t>data presented</w:t>
            </w:r>
            <w:r>
              <w:rPr>
                <w:color w:val="231F20"/>
                <w:spacing w:val="-12"/>
                <w:w w:val="105"/>
                <w:sz w:val="19"/>
              </w:rPr>
              <w:t> </w:t>
            </w:r>
            <w:r>
              <w:rPr>
                <w:color w:val="231F20"/>
                <w:w w:val="105"/>
                <w:sz w:val="19"/>
              </w:rPr>
              <w:t>to</w:t>
            </w:r>
            <w:r>
              <w:rPr>
                <w:color w:val="231F20"/>
                <w:spacing w:val="-12"/>
                <w:w w:val="105"/>
                <w:sz w:val="19"/>
              </w:rPr>
              <w:t> </w:t>
            </w:r>
            <w:r>
              <w:rPr>
                <w:color w:val="231F20"/>
                <w:w w:val="105"/>
                <w:sz w:val="19"/>
              </w:rPr>
              <w:t>the</w:t>
            </w:r>
            <w:r>
              <w:rPr>
                <w:color w:val="231F20"/>
                <w:spacing w:val="-12"/>
                <w:w w:val="105"/>
                <w:sz w:val="19"/>
              </w:rPr>
              <w:t> </w:t>
            </w:r>
            <w:r>
              <w:rPr>
                <w:color w:val="231F20"/>
                <w:w w:val="105"/>
                <w:sz w:val="19"/>
              </w:rPr>
              <w:t>public</w:t>
            </w:r>
            <w:r>
              <w:rPr>
                <w:color w:val="231F20"/>
                <w:spacing w:val="-12"/>
                <w:w w:val="105"/>
                <w:sz w:val="19"/>
              </w:rPr>
              <w:t> </w:t>
            </w:r>
            <w:r>
              <w:rPr>
                <w:color w:val="231F20"/>
                <w:w w:val="105"/>
                <w:sz w:val="19"/>
              </w:rPr>
              <w:t>as there</w:t>
            </w:r>
            <w:r>
              <w:rPr>
                <w:color w:val="231F20"/>
                <w:spacing w:val="-9"/>
                <w:w w:val="105"/>
                <w:sz w:val="19"/>
              </w:rPr>
              <w:t> </w:t>
            </w:r>
            <w:r>
              <w:rPr>
                <w:color w:val="231F20"/>
                <w:w w:val="105"/>
                <w:sz w:val="19"/>
              </w:rPr>
              <w:t>is</w:t>
            </w:r>
            <w:r>
              <w:rPr>
                <w:color w:val="231F20"/>
                <w:spacing w:val="-9"/>
                <w:w w:val="105"/>
                <w:sz w:val="19"/>
              </w:rPr>
              <w:t> </w:t>
            </w:r>
            <w:r>
              <w:rPr>
                <w:color w:val="231F20"/>
                <w:w w:val="105"/>
                <w:sz w:val="19"/>
              </w:rPr>
              <w:t>no</w:t>
            </w:r>
            <w:r>
              <w:rPr>
                <w:color w:val="231F20"/>
                <w:spacing w:val="-15"/>
                <w:w w:val="105"/>
                <w:sz w:val="19"/>
              </w:rPr>
              <w:t> </w:t>
            </w:r>
            <w:r>
              <w:rPr>
                <w:color w:val="231F20"/>
                <w:w w:val="105"/>
                <w:sz w:val="19"/>
              </w:rPr>
              <w:t>Annual</w:t>
            </w:r>
            <w:r>
              <w:rPr>
                <w:color w:val="231F20"/>
                <w:spacing w:val="-9"/>
                <w:w w:val="105"/>
                <w:sz w:val="19"/>
              </w:rPr>
              <w:t> </w:t>
            </w:r>
            <w:r>
              <w:rPr>
                <w:color w:val="231F20"/>
                <w:w w:val="105"/>
                <w:sz w:val="19"/>
              </w:rPr>
              <w:t>Report.</w:t>
            </w:r>
          </w:p>
        </w:tc>
        <w:tc>
          <w:tcPr>
            <w:tcW w:w="2466" w:type="dxa"/>
            <w:shd w:val="clear" w:color="auto" w:fill="EAAC98"/>
          </w:tcPr>
          <w:p>
            <w:pPr>
              <w:pStyle w:val="TableParagraph"/>
              <w:spacing w:before="68"/>
              <w:ind w:left="79" w:right="40"/>
              <w:rPr>
                <w:sz w:val="19"/>
              </w:rPr>
            </w:pPr>
            <w:r>
              <w:rPr>
                <w:color w:val="231F20"/>
                <w:w w:val="105"/>
                <w:sz w:val="19"/>
              </w:rPr>
              <w:t>There is no case data disaggregated to show all cases involving children under the age of 18 presented to the public as there is no Annual Report.</w:t>
            </w:r>
          </w:p>
        </w:tc>
        <w:tc>
          <w:tcPr>
            <w:tcW w:w="2603" w:type="dxa"/>
            <w:shd w:val="clear" w:color="auto" w:fill="EAAC98"/>
          </w:tcPr>
          <w:p>
            <w:pPr>
              <w:pStyle w:val="TableParagraph"/>
              <w:spacing w:before="68"/>
              <w:ind w:left="80" w:right="144"/>
              <w:rPr>
                <w:sz w:val="19"/>
              </w:rPr>
            </w:pPr>
            <w:r>
              <w:rPr>
                <w:color w:val="231F20"/>
                <w:w w:val="105"/>
                <w:sz w:val="19"/>
              </w:rPr>
              <w:t>No disability disaggregated data presented to the public as there is no Annual Report.</w:t>
            </w:r>
          </w:p>
        </w:tc>
      </w:tr>
      <w:tr>
        <w:trPr>
          <w:trHeight w:val="1137" w:hRule="atLeast"/>
        </w:trPr>
        <w:tc>
          <w:tcPr>
            <w:tcW w:w="1124" w:type="dxa"/>
            <w:shd w:val="clear" w:color="auto" w:fill="D5E0E3"/>
          </w:tcPr>
          <w:p>
            <w:pPr>
              <w:pStyle w:val="TableParagraph"/>
              <w:spacing w:before="69"/>
              <w:ind w:left="80"/>
              <w:rPr>
                <w:b/>
                <w:sz w:val="19"/>
              </w:rPr>
            </w:pPr>
            <w:r>
              <w:rPr>
                <w:b/>
                <w:color w:val="231F20"/>
                <w:w w:val="105"/>
                <w:sz w:val="19"/>
              </w:rPr>
              <w:t>Vanuatu</w:t>
            </w:r>
          </w:p>
        </w:tc>
        <w:tc>
          <w:tcPr>
            <w:tcW w:w="2301" w:type="dxa"/>
            <w:shd w:val="clear" w:color="auto" w:fill="F3D4AA"/>
          </w:tcPr>
          <w:p>
            <w:pPr>
              <w:pStyle w:val="TableParagraph"/>
              <w:spacing w:before="68"/>
              <w:ind w:left="79"/>
              <w:rPr>
                <w:sz w:val="19"/>
              </w:rPr>
            </w:pPr>
            <w:r>
              <w:rPr>
                <w:color w:val="231F20"/>
                <w:w w:val="105"/>
                <w:sz w:val="19"/>
              </w:rPr>
              <w:t>There is some sex disaggregated data presented in the 2018 Annual Report.</w:t>
            </w:r>
          </w:p>
        </w:tc>
        <w:tc>
          <w:tcPr>
            <w:tcW w:w="2466" w:type="dxa"/>
            <w:shd w:val="clear" w:color="auto" w:fill="F3D4AA"/>
          </w:tcPr>
          <w:p>
            <w:pPr>
              <w:pStyle w:val="TableParagraph"/>
              <w:spacing w:before="68"/>
              <w:ind w:left="79" w:right="277"/>
              <w:rPr>
                <w:sz w:val="19"/>
              </w:rPr>
            </w:pPr>
            <w:r>
              <w:rPr>
                <w:color w:val="231F20"/>
                <w:w w:val="105"/>
                <w:sz w:val="19"/>
              </w:rPr>
              <w:t>There is some case data disaggregated to show juvenile cases in the 2018 Annual Report.</w:t>
            </w:r>
          </w:p>
        </w:tc>
        <w:tc>
          <w:tcPr>
            <w:tcW w:w="2603" w:type="dxa"/>
            <w:shd w:val="clear" w:color="auto" w:fill="EAAC98"/>
          </w:tcPr>
          <w:p>
            <w:pPr>
              <w:pStyle w:val="TableParagraph"/>
              <w:spacing w:before="68"/>
              <w:ind w:left="80"/>
              <w:rPr>
                <w:sz w:val="19"/>
              </w:rPr>
            </w:pPr>
            <w:r>
              <w:rPr>
                <w:color w:val="231F20"/>
                <w:w w:val="105"/>
                <w:sz w:val="19"/>
              </w:rPr>
              <w:t>No disability disaggregated data.</w:t>
            </w:r>
          </w:p>
        </w:tc>
      </w:tr>
    </w:tbl>
    <w:p>
      <w:pPr>
        <w:spacing w:after="0"/>
        <w:rPr>
          <w:sz w:val="19"/>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4231">
            <wp:simplePos x="0" y="0"/>
            <wp:positionH relativeFrom="page">
              <wp:posOffset>0</wp:posOffset>
            </wp:positionH>
            <wp:positionV relativeFrom="paragraph">
              <wp:posOffset>373881</wp:posOffset>
            </wp:positionV>
            <wp:extent cx="7559992" cy="143992"/>
            <wp:effectExtent l="0" t="0" r="0" b="0"/>
            <wp:wrapNone/>
            <wp:docPr id="31" name="image39.png" descr=""/>
            <wp:cNvGraphicFramePr>
              <a:graphicFrameLocks noChangeAspect="1"/>
            </wp:cNvGraphicFramePr>
            <a:graphic>
              <a:graphicData uri="http://schemas.openxmlformats.org/drawingml/2006/picture">
                <pic:pic>
                  <pic:nvPicPr>
                    <pic:cNvPr id="32"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18</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spacing w:before="8"/>
        <w:rPr>
          <w:b/>
          <w:sz w:val="25"/>
        </w:rPr>
      </w:pPr>
    </w:p>
    <w:p>
      <w:pPr>
        <w:pStyle w:val="Heading2"/>
        <w:spacing w:line="204" w:lineRule="auto" w:before="166"/>
      </w:pPr>
      <w:r>
        <w:rPr/>
        <w:pict>
          <v:group style="position:absolute;margin-left:.0pt;margin-top:5.009758pt;width:113.4pt;height:36.9pt;mso-position-horizontal-relative:page;mso-position-vertical-relative:paragraph;z-index:8560" coordorigin="0,100" coordsize="2268,738">
            <v:shape style="position:absolute;left:0;top:100;width:2268;height:737" coordorigin="0,100" coordsize="2268,737" path="m2268,100l0,100,0,837,1928,837,2124,832,2225,795,2262,694,2268,497,2268,100xe" filled="true" fillcolor="#7d8440" stroked="false">
              <v:path arrowok="t"/>
              <v:fill type="solid"/>
            </v:shape>
            <v:shape style="position:absolute;left:0;top:100;width:2268;height:738" type="#_x0000_t202" filled="false" stroked="false">
              <v:textbox inset="0,0,0,0">
                <w:txbxContent>
                  <w:p>
                    <w:pPr>
                      <w:spacing w:line="713" w:lineRule="exact" w:before="0"/>
                      <w:ind w:left="0" w:right="231" w:firstLine="0"/>
                      <w:jc w:val="right"/>
                      <w:rPr>
                        <w:sz w:val="60"/>
                      </w:rPr>
                    </w:pPr>
                    <w:r>
                      <w:rPr>
                        <w:color w:val="FFFFFF"/>
                        <w:w w:val="109"/>
                        <w:sz w:val="60"/>
                      </w:rPr>
                      <w:t>3</w:t>
                    </w:r>
                  </w:p>
                </w:txbxContent>
              </v:textbox>
              <w10:wrap type="none"/>
            </v:shape>
            <w10:wrap type="none"/>
          </v:group>
        </w:pict>
      </w:r>
      <w:r>
        <w:rPr>
          <w:color w:val="0F6161"/>
          <w:w w:val="105"/>
        </w:rPr>
        <w:t>Review of Selected Court Performance Indicators</w:t>
      </w:r>
    </w:p>
    <w:p>
      <w:pPr>
        <w:pStyle w:val="BodyText"/>
        <w:rPr>
          <w:sz w:val="20"/>
        </w:rPr>
      </w:pPr>
    </w:p>
    <w:p>
      <w:pPr>
        <w:pStyle w:val="BodyText"/>
        <w:rPr>
          <w:sz w:val="20"/>
        </w:rPr>
      </w:pPr>
    </w:p>
    <w:p>
      <w:pPr>
        <w:pStyle w:val="Heading5"/>
        <w:spacing w:before="246"/>
      </w:pPr>
      <w:r>
        <w:rPr/>
        <w:pict>
          <v:shape style="position:absolute;margin-left:85.039001pt;margin-top:35.620949pt;width:425.2pt;height:30.35pt;mso-position-horizontal-relative:page;mso-position-vertical-relative:paragraph;z-index:8248;mso-wrap-distance-left:0;mso-wrap-distance-right:0" type="#_x0000_t202" filled="true" fillcolor="#dcdbca" stroked="false">
            <v:textbox inset="0,0,0,0">
              <w:txbxContent>
                <w:p>
                  <w:pPr>
                    <w:pStyle w:val="BodyText"/>
                    <w:spacing w:before="135"/>
                    <w:ind w:left="56"/>
                  </w:pPr>
                  <w:r>
                    <w:rPr>
                      <w:color w:val="231F20"/>
                      <w:spacing w:val="-4"/>
                      <w:w w:val="105"/>
                    </w:rPr>
                    <w:t>The</w:t>
                  </w:r>
                  <w:r>
                    <w:rPr>
                      <w:color w:val="231F20"/>
                      <w:spacing w:val="-11"/>
                      <w:w w:val="105"/>
                    </w:rPr>
                    <w:t> </w:t>
                  </w:r>
                  <w:r>
                    <w:rPr>
                      <w:color w:val="231F20"/>
                      <w:w w:val="105"/>
                    </w:rPr>
                    <w:t>result</w:t>
                  </w:r>
                  <w:r>
                    <w:rPr>
                      <w:color w:val="231F20"/>
                      <w:spacing w:val="-11"/>
                      <w:w w:val="105"/>
                    </w:rPr>
                    <w:t> </w:t>
                  </w:r>
                  <w:r>
                    <w:rPr>
                      <w:color w:val="231F20"/>
                      <w:w w:val="105"/>
                    </w:rPr>
                    <w:t>against</w:t>
                  </w:r>
                  <w:r>
                    <w:rPr>
                      <w:color w:val="231F20"/>
                      <w:spacing w:val="-11"/>
                      <w:w w:val="105"/>
                    </w:rPr>
                    <w:t> </w:t>
                  </w:r>
                  <w:r>
                    <w:rPr>
                      <w:color w:val="231F20"/>
                      <w:w w:val="105"/>
                    </w:rPr>
                    <w:t>this</w:t>
                  </w:r>
                  <w:r>
                    <w:rPr>
                      <w:color w:val="231F20"/>
                      <w:spacing w:val="-11"/>
                      <w:w w:val="105"/>
                    </w:rPr>
                    <w:t> </w:t>
                  </w:r>
                  <w:r>
                    <w:rPr>
                      <w:color w:val="231F20"/>
                      <w:w w:val="105"/>
                    </w:rPr>
                    <w:t>indicator</w:t>
                  </w:r>
                  <w:r>
                    <w:rPr>
                      <w:color w:val="231F20"/>
                      <w:spacing w:val="-11"/>
                      <w:w w:val="105"/>
                    </w:rPr>
                    <w:t> </w:t>
                  </w:r>
                  <w:r>
                    <w:rPr>
                      <w:color w:val="231F20"/>
                      <w:w w:val="105"/>
                    </w:rPr>
                    <w:t>is</w:t>
                  </w:r>
                  <w:r>
                    <w:rPr>
                      <w:color w:val="231F20"/>
                      <w:spacing w:val="-11"/>
                      <w:w w:val="105"/>
                    </w:rPr>
                    <w:t> </w:t>
                  </w:r>
                  <w:r>
                    <w:rPr>
                      <w:color w:val="231F20"/>
                      <w:w w:val="105"/>
                    </w:rPr>
                    <w:t>obtained</w:t>
                  </w:r>
                  <w:r>
                    <w:rPr>
                      <w:color w:val="231F20"/>
                      <w:spacing w:val="-11"/>
                      <w:w w:val="105"/>
                    </w:rPr>
                    <w:t> </w:t>
                  </w:r>
                  <w:r>
                    <w:rPr>
                      <w:color w:val="231F20"/>
                      <w:w w:val="105"/>
                    </w:rPr>
                    <w:t>by</w:t>
                  </w:r>
                  <w:r>
                    <w:rPr>
                      <w:color w:val="231F20"/>
                      <w:spacing w:val="-11"/>
                      <w:w w:val="105"/>
                    </w:rPr>
                    <w:t> </w:t>
                  </w:r>
                  <w:r>
                    <w:rPr>
                      <w:color w:val="231F20"/>
                      <w:w w:val="105"/>
                    </w:rPr>
                    <w:t>dividing</w:t>
                  </w:r>
                  <w:r>
                    <w:rPr>
                      <w:color w:val="231F20"/>
                      <w:spacing w:val="-11"/>
                      <w:w w:val="105"/>
                    </w:rPr>
                    <w:t> </w:t>
                  </w:r>
                  <w:r>
                    <w:rPr>
                      <w:color w:val="231F20"/>
                      <w:w w:val="105"/>
                    </w:rPr>
                    <w:t>all</w:t>
                  </w:r>
                  <w:r>
                    <w:rPr>
                      <w:color w:val="231F20"/>
                      <w:spacing w:val="-11"/>
                      <w:w w:val="105"/>
                    </w:rPr>
                    <w:t> </w:t>
                  </w:r>
                  <w:r>
                    <w:rPr>
                      <w:color w:val="231F20"/>
                      <w:w w:val="105"/>
                    </w:rPr>
                    <w:t>cases</w:t>
                  </w:r>
                  <w:r>
                    <w:rPr>
                      <w:color w:val="231F20"/>
                      <w:spacing w:val="-11"/>
                      <w:w w:val="105"/>
                    </w:rPr>
                    <w:t> </w:t>
                  </w:r>
                  <w:r>
                    <w:rPr>
                      <w:color w:val="231F20"/>
                      <w:w w:val="105"/>
                    </w:rPr>
                    <w:t>finalised</w:t>
                  </w:r>
                  <w:r>
                    <w:rPr>
                      <w:color w:val="231F20"/>
                      <w:spacing w:val="-11"/>
                      <w:w w:val="105"/>
                    </w:rPr>
                    <w:t> </w:t>
                  </w:r>
                  <w:r>
                    <w:rPr>
                      <w:color w:val="231F20"/>
                      <w:w w:val="105"/>
                    </w:rPr>
                    <w:t>in</w:t>
                  </w:r>
                  <w:r>
                    <w:rPr>
                      <w:color w:val="231F20"/>
                      <w:spacing w:val="-11"/>
                      <w:w w:val="105"/>
                    </w:rPr>
                    <w:t> </w:t>
                  </w:r>
                  <w:r>
                    <w:rPr>
                      <w:color w:val="231F20"/>
                      <w:w w:val="105"/>
                    </w:rPr>
                    <w:t>a</w:t>
                  </w:r>
                  <w:r>
                    <w:rPr>
                      <w:color w:val="231F20"/>
                      <w:spacing w:val="-11"/>
                      <w:w w:val="105"/>
                    </w:rPr>
                    <w:t> </w:t>
                  </w:r>
                  <w:r>
                    <w:rPr>
                      <w:color w:val="231F20"/>
                      <w:w w:val="105"/>
                    </w:rPr>
                    <w:t>year</w:t>
                  </w:r>
                  <w:r>
                    <w:rPr>
                      <w:color w:val="231F20"/>
                      <w:spacing w:val="-11"/>
                      <w:w w:val="105"/>
                    </w:rPr>
                    <w:t> </w:t>
                  </w:r>
                  <w:r>
                    <w:rPr>
                      <w:color w:val="231F20"/>
                      <w:w w:val="105"/>
                    </w:rPr>
                    <w:t>by</w:t>
                  </w:r>
                  <w:r>
                    <w:rPr>
                      <w:color w:val="231F20"/>
                      <w:spacing w:val="-11"/>
                      <w:w w:val="105"/>
                    </w:rPr>
                    <w:t> </w:t>
                  </w:r>
                  <w:r>
                    <w:rPr>
                      <w:color w:val="231F20"/>
                      <w:w w:val="105"/>
                    </w:rPr>
                    <w:t>cases</w:t>
                  </w:r>
                  <w:r>
                    <w:rPr>
                      <w:color w:val="231F20"/>
                      <w:spacing w:val="-11"/>
                      <w:w w:val="105"/>
                    </w:rPr>
                    <w:t> </w:t>
                  </w:r>
                  <w:r>
                    <w:rPr>
                      <w:color w:val="231F20"/>
                      <w:w w:val="105"/>
                    </w:rPr>
                    <w:t>filed.</w:t>
                  </w:r>
                </w:p>
              </w:txbxContent>
            </v:textbox>
            <v:fill type="solid"/>
            <w10:wrap type="topAndBottom"/>
          </v:shape>
        </w:pict>
      </w:r>
      <w:r>
        <w:rPr/>
        <w:pict>
          <v:rect style="position:absolute;margin-left:85.039398pt;margin-top:34.620949pt;width:425.197pt;height:1pt;mso-position-horizontal-relative:page;mso-position-vertical-relative:paragraph;z-index:8512" filled="true" fillcolor="#0f6161" stroked="false">
            <v:fill type="solid"/>
            <w10:wrap type="none"/>
          </v:rect>
        </w:pict>
      </w:r>
      <w:r>
        <w:rPr/>
        <w:pict>
          <v:shape style="position:absolute;margin-left:85.039001pt;margin-top:9.255051pt;width:93.55pt;height:25.4pt;mso-position-horizontal-relative:page;mso-position-vertical-relative:paragraph;z-index:8584" type="#_x0000_t202" filled="true" fillcolor="#7d8440" stroked="false">
            <v:textbox inset="0,0,0,0">
              <w:txbxContent>
                <w:p>
                  <w:pPr>
                    <w:spacing w:before="61"/>
                    <w:ind w:left="56" w:right="0" w:firstLine="0"/>
                    <w:jc w:val="left"/>
                    <w:rPr>
                      <w:b/>
                      <w:sz w:val="32"/>
                    </w:rPr>
                  </w:pPr>
                  <w:r>
                    <w:rPr>
                      <w:b/>
                      <w:color w:val="FFFFFF"/>
                      <w:w w:val="110"/>
                      <w:sz w:val="32"/>
                    </w:rPr>
                    <w:t>Indicator 1</w:t>
                  </w:r>
                </w:p>
              </w:txbxContent>
            </v:textbox>
            <v:fill type="solid"/>
            <w10:wrap type="none"/>
          </v:shape>
        </w:pict>
      </w:r>
      <w:r>
        <w:rPr>
          <w:color w:val="0F6161"/>
          <w:w w:val="105"/>
        </w:rPr>
        <w:t>Case Management – Clearance Rate</w:t>
      </w:r>
    </w:p>
    <w:p>
      <w:pPr>
        <w:pStyle w:val="BodyText"/>
        <w:spacing w:before="9"/>
        <w:rPr>
          <w:sz w:val="12"/>
        </w:rPr>
      </w:pPr>
    </w:p>
    <w:p>
      <w:pPr>
        <w:spacing w:before="87"/>
        <w:ind w:left="1700" w:right="0" w:firstLine="0"/>
        <w:jc w:val="left"/>
        <w:rPr>
          <w:sz w:val="40"/>
        </w:rPr>
      </w:pPr>
      <w:r>
        <w:rPr/>
        <w:pict>
          <v:group style="position:absolute;margin-left:294.803406pt;margin-top:25.472042pt;width:102.05pt;height:107.75pt;mso-position-horizontal-relative:page;mso-position-vertical-relative:paragraph;z-index:8440" coordorigin="5896,509" coordsize="2041,2155">
            <v:shape style="position:absolute;left:5896;top:736;width:2041;height:1928" coordorigin="5896,736" coordsize="2041,1928" path="m7824,736l6009,736,5944,738,5910,750,5898,784,5896,850,5896,2550,5898,2616,5910,2650,5944,2662,6009,2664,7824,2664,7889,2662,7923,2650,7935,2616,7937,2550,7937,850,7935,784,7923,750,7889,738,7824,736xe" filled="true" fillcolor="#5b9f42" stroked="false">
              <v:path arrowok="t"/>
              <v:fill type="solid"/>
            </v:shape>
            <v:shape style="position:absolute;left:5896;top:509;width:2041;height:2155" type="#_x0000_t202" filled="false" stroked="false">
              <v:textbox inset="0,0,0,0">
                <w:txbxContent>
                  <w:p>
                    <w:pPr>
                      <w:spacing w:before="78"/>
                      <w:ind w:left="222" w:right="0" w:firstLine="0"/>
                      <w:jc w:val="left"/>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b w:val="0"/>
                        <w:color w:val="FFFFFF"/>
                        <w:spacing w:val="-824"/>
                        <w:position w:val="33"/>
                        <w:sz w:val="130"/>
                      </w:rPr>
                      <w:t>9</w:t>
                    </w:r>
                    <w:r>
                      <w:rPr>
                        <w:rFonts w:ascii="Arial"/>
                        <w:b/>
                        <w:color w:val="FFFFFF"/>
                        <w:spacing w:val="-3"/>
                        <w:w w:val="93"/>
                        <w:sz w:val="21"/>
                      </w:rPr>
                      <w:t>r</w:t>
                    </w:r>
                    <w:r>
                      <w:rPr>
                        <w:rFonts w:ascii="Arial"/>
                        <w:b/>
                        <w:color w:val="FFFFFF"/>
                        <w:w w:val="88"/>
                        <w:sz w:val="21"/>
                      </w:rPr>
                      <w:t>ts</w:t>
                    </w:r>
                    <w:r>
                      <w:rPr>
                        <w:rFonts w:ascii="Arial"/>
                        <w:b/>
                        <w:color w:val="FFFFFF"/>
                        <w:spacing w:val="-6"/>
                        <w:sz w:val="21"/>
                      </w:rPr>
                      <w:t> </w:t>
                    </w:r>
                    <w:r>
                      <w:rPr>
                        <w:rFonts w:ascii="Arial"/>
                        <w:b/>
                        <w:color w:val="FFFFFF"/>
                        <w:spacing w:val="-4"/>
                        <w:w w:val="93"/>
                        <w:sz w:val="21"/>
                      </w:rPr>
                      <w:t>r</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69"/>
                      <w:ind w:left="205" w:right="203" w:firstLine="0"/>
                      <w:jc w:val="center"/>
                      <w:rPr>
                        <w:rFonts w:ascii="Arial"/>
                        <w:b/>
                        <w:sz w:val="14"/>
                      </w:rPr>
                    </w:pPr>
                    <w:r>
                      <w:rPr>
                        <w:rFonts w:ascii="Arial"/>
                        <w:b/>
                        <w:color w:val="FFFFFF"/>
                        <w:w w:val="95"/>
                        <w:sz w:val="14"/>
                      </w:rPr>
                      <w:t>YEAR 1 BASELINE</w:t>
                    </w:r>
                    <w:r>
                      <w:rPr>
                        <w:rFonts w:ascii="Arial"/>
                        <w:b/>
                        <w:color w:val="FFFFFF"/>
                        <w:w w:val="93"/>
                        <w:sz w:val="14"/>
                      </w:rPr>
                      <w:t> </w:t>
                    </w:r>
                    <w:r>
                      <w:rPr>
                        <w:rFonts w:ascii="Arial"/>
                        <w:b/>
                        <w:color w:val="FFFFFF"/>
                        <w:sz w:val="14"/>
                      </w:rPr>
                      <w:t>TREND DATA</w:t>
                    </w:r>
                  </w:p>
                </w:txbxContent>
              </v:textbox>
              <w10:wrap type="none"/>
            </v:shape>
            <w10:wrap type="none"/>
          </v:group>
        </w:pict>
      </w:r>
      <w:r>
        <w:rPr/>
        <w:pict>
          <v:group style="position:absolute;margin-left:408.189209pt;margin-top:25.472042pt;width:102.05pt;height:107.75pt;mso-position-horizontal-relative:page;mso-position-vertical-relative:paragraph;z-index:8488" coordorigin="8164,509" coordsize="2041,2155">
            <v:shape style="position:absolute;left:8163;top:736;width:2041;height:1928" coordorigin="8164,736" coordsize="2041,1928" path="m10091,736l8277,736,8212,738,8178,750,8166,784,8164,850,8164,2550,8166,2616,8178,2650,8212,2662,8277,2664,10091,2664,10157,2662,10191,2650,10203,2616,10205,2550,10205,850,10203,784,10191,750,10157,738,10091,736xe" filled="true" fillcolor="#5b9f42" stroked="false">
              <v:path arrowok="t"/>
              <v:fill type="solid"/>
            </v:shape>
            <v:shape style="position:absolute;left:8163;top:509;width:2041;height:2155" type="#_x0000_t202" filled="false" stroked="false">
              <v:textbox inset="0,0,0,0">
                <w:txbxContent>
                  <w:p>
                    <w:pPr>
                      <w:spacing w:before="78"/>
                      <w:ind w:left="203" w:right="203" w:firstLine="0"/>
                      <w:jc w:val="center"/>
                      <w:rPr>
                        <w:rFonts w:ascii="Arial"/>
                        <w:b/>
                        <w:sz w:val="21"/>
                      </w:rPr>
                    </w:pPr>
                    <w:r>
                      <w:rPr>
                        <w:rFonts w:ascii="Arial"/>
                        <w:b/>
                        <w:color w:val="FFFFFF"/>
                        <w:spacing w:val="-91"/>
                        <w:w w:val="96"/>
                        <w:sz w:val="21"/>
                      </w:rPr>
                      <w:t>C</w:t>
                    </w:r>
                    <w:r>
                      <w:rPr>
                        <w:rFonts w:ascii="Engravers MT"/>
                        <w:b w:val="0"/>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w:t>
                    </w:r>
                    <w:r>
                      <w:rPr>
                        <w:rFonts w:ascii="Arial"/>
                        <w:b/>
                        <w:color w:val="FFFFFF"/>
                        <w:spacing w:val="-62"/>
                        <w:w w:val="93"/>
                        <w:sz w:val="21"/>
                      </w:rPr>
                      <w:t>r</w:t>
                    </w:r>
                    <w:r>
                      <w:rPr>
                        <w:rFonts w:ascii="Engravers MT"/>
                        <w:b w:val="0"/>
                        <w:color w:val="FFFFFF"/>
                        <w:spacing w:val="-783"/>
                        <w:position w:val="33"/>
                        <w:sz w:val="130"/>
                      </w:rPr>
                      <w:t>1</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211"/>
                      <w:ind w:left="205" w:right="203" w:firstLine="0"/>
                      <w:jc w:val="center"/>
                      <w:rPr>
                        <w:rFonts w:ascii="Arial"/>
                        <w:b/>
                        <w:sz w:val="14"/>
                      </w:rPr>
                    </w:pPr>
                    <w:r>
                      <w:rPr>
                        <w:rFonts w:ascii="Arial"/>
                        <w:b/>
                        <w:color w:val="FFFFFF"/>
                        <w:sz w:val="14"/>
                      </w:rPr>
                      <w:t>YEAR 7 TREND DATA</w:t>
                    </w:r>
                  </w:p>
                </w:txbxContent>
              </v:textbox>
              <w10:wrap type="none"/>
            </v:shape>
            <w10:wrap type="none"/>
          </v:group>
        </w:pict>
      </w:r>
      <w:r>
        <w:rPr>
          <w:color w:val="0F6161"/>
          <w:w w:val="105"/>
          <w:sz w:val="40"/>
        </w:rPr>
        <w:t>What has changed?</w:t>
      </w:r>
    </w:p>
    <w:p>
      <w:pPr>
        <w:pStyle w:val="BodyText"/>
        <w:rPr>
          <w:sz w:val="10"/>
        </w:rPr>
      </w:pPr>
      <w:r>
        <w:rPr/>
        <w:pict>
          <v:group style="position:absolute;margin-left:85.039398pt;margin-top:9.483819pt;width:79.4pt;height:22.7pt;mso-position-horizontal-relative:page;mso-position-vertical-relative:paragraph;z-index:8296;mso-wrap-distance-left:0;mso-wrap-distance-right:0" coordorigin="1701,190" coordsize="1588,454">
            <v:shape style="position:absolute;left:1700;top:189;width:1588;height:454" coordorigin="1701,190" coordsize="1588,454" path="m3088,190l1701,190,1701,643,3088,643,3204,640,3263,618,3285,559,3288,443,3288,390,3285,274,3263,215,3204,193,3088,190xe" filled="true" fillcolor="#7d8440" stroked="false">
              <v:path arrowok="t"/>
              <v:fill type="solid"/>
            </v:shape>
            <v:shape style="position:absolute;left:1700;top:189;width:1588;height:454" type="#_x0000_t202" filled="false" stroked="false">
              <v:textbox inset="0,0,0,0">
                <w:txbxContent>
                  <w:p>
                    <w:pPr>
                      <w:spacing w:before="22"/>
                      <w:ind w:left="56" w:right="0" w:firstLine="0"/>
                      <w:jc w:val="left"/>
                      <w:rPr>
                        <w:sz w:val="32"/>
                      </w:rPr>
                    </w:pPr>
                    <w:r>
                      <w:rPr>
                        <w:color w:val="FFFFFF"/>
                        <w:w w:val="110"/>
                        <w:sz w:val="32"/>
                      </w:rPr>
                      <w:t>Change 1</w:t>
                    </w:r>
                  </w:p>
                </w:txbxContent>
              </v:textbox>
              <w10:wrap type="none"/>
            </v:shape>
            <w10:wrap type="topAndBottom"/>
          </v:group>
        </w:pict>
      </w:r>
      <w:r>
        <w:rPr/>
        <w:pict>
          <v:group style="position:absolute;margin-left:178.582993pt;margin-top:8.066119pt;width:102.05pt;height:96.4pt;mso-position-horizontal-relative:page;mso-position-vertical-relative:paragraph;z-index:8320;mso-wrap-distance-left:0;mso-wrap-distance-right:0" coordorigin="3572,161" coordsize="2041,1928">
            <v:shape style="position:absolute;left:3571;top:161;width:2041;height:1928" coordorigin="3572,161" coordsize="2041,1928" path="m5499,161l3685,161,3619,163,3586,175,3573,209,3572,275,3572,1976,3573,2041,3586,2075,3619,2087,3685,2089,5499,2089,5565,2087,5598,2075,5611,2041,5613,1976,5613,275,5611,209,5598,175,5565,163,5499,161xe" filled="true" fillcolor="#fdce0d" stroked="false">
              <v:path arrowok="t"/>
              <v:fill type="solid"/>
            </v:shape>
            <v:shape style="position:absolute;left:3867;top:239;width:1450;height:1772" type="#_x0000_t75" stroked="false">
              <v:imagedata r:id="rId40" o:title=""/>
            </v:shape>
            <w10:wrap type="topAndBottom"/>
          </v:group>
        </w:pict>
      </w:r>
    </w:p>
    <w:p>
      <w:pPr>
        <w:pStyle w:val="BodyText"/>
        <w:spacing w:before="11"/>
      </w:pPr>
    </w:p>
    <w:p>
      <w:pPr>
        <w:spacing w:before="94"/>
        <w:ind w:left="1700" w:right="0" w:firstLine="0"/>
        <w:jc w:val="left"/>
        <w:rPr>
          <w:sz w:val="21"/>
        </w:rPr>
      </w:pPr>
      <w:r>
        <w:rPr>
          <w:b/>
          <w:color w:val="231F20"/>
          <w:w w:val="105"/>
          <w:sz w:val="21"/>
        </w:rPr>
        <w:t>Year 1 baseline trend data</w:t>
      </w:r>
      <w:r>
        <w:rPr>
          <w:color w:val="231F20"/>
          <w:w w:val="105"/>
          <w:sz w:val="21"/>
        </w:rPr>
        <w:t>: 9 courts could calculate a clearance rate in one or more jurisdictions.</w:t>
      </w:r>
    </w:p>
    <w:p>
      <w:pPr>
        <w:pStyle w:val="BodyText"/>
        <w:spacing w:before="183"/>
        <w:ind w:left="1700"/>
      </w:pPr>
      <w:r>
        <w:rPr>
          <w:b/>
          <w:color w:val="231F20"/>
          <w:w w:val="105"/>
        </w:rPr>
        <w:t>Year 4 trend data</w:t>
      </w:r>
      <w:r>
        <w:rPr>
          <w:color w:val="231F20"/>
          <w:w w:val="105"/>
        </w:rPr>
        <w:t>: 12 courts could calculate a clearance rate in one or more jurisdictions.</w:t>
      </w:r>
    </w:p>
    <w:p>
      <w:pPr>
        <w:pStyle w:val="BodyText"/>
        <w:spacing w:before="184"/>
        <w:ind w:left="1700"/>
      </w:pPr>
      <w:r>
        <w:rPr>
          <w:b/>
          <w:color w:val="231F20"/>
          <w:w w:val="105"/>
        </w:rPr>
        <w:t>Year 7 trend data</w:t>
      </w:r>
      <w:r>
        <w:rPr>
          <w:color w:val="231F20"/>
          <w:w w:val="105"/>
        </w:rPr>
        <w:t>: 11 courts could calculate a clearance rate in one or more jurisdictions.</w:t>
      </w:r>
    </w:p>
    <w:p>
      <w:pPr>
        <w:pStyle w:val="BodyText"/>
        <w:rPr>
          <w:sz w:val="20"/>
        </w:rPr>
      </w:pPr>
    </w:p>
    <w:p>
      <w:pPr>
        <w:pStyle w:val="BodyText"/>
        <w:spacing w:before="10"/>
        <w:rPr>
          <w:sz w:val="20"/>
        </w:rPr>
      </w:pPr>
      <w:r>
        <w:rPr/>
        <w:pict>
          <v:group style="position:absolute;margin-left:85.039398pt;margin-top:14.702038pt;width:79.4pt;height:22.7pt;mso-position-horizontal-relative:page;mso-position-vertical-relative:paragraph;z-index:8368;mso-wrap-distance-left:0;mso-wrap-distance-right:0" coordorigin="1701,294" coordsize="1588,454">
            <v:shape style="position:absolute;left:1700;top:294;width:1588;height:454" coordorigin="1701,294" coordsize="1588,454" path="m3088,294l1701,294,1701,748,3088,748,3204,744,3263,723,3285,663,3288,548,3288,494,3285,378,3263,319,3204,297,3088,294xe" filled="true" fillcolor="#7d8440" stroked="false">
              <v:path arrowok="t"/>
              <v:fill type="solid"/>
            </v:shape>
            <v:shape style="position:absolute;left:1700;top:294;width:1588;height:454" type="#_x0000_t202" filled="false" stroked="false">
              <v:textbox inset="0,0,0,0">
                <w:txbxContent>
                  <w:p>
                    <w:pPr>
                      <w:spacing w:before="8"/>
                      <w:ind w:left="56" w:right="0" w:firstLine="0"/>
                      <w:jc w:val="left"/>
                      <w:rPr>
                        <w:sz w:val="32"/>
                      </w:rPr>
                    </w:pPr>
                    <w:r>
                      <w:rPr>
                        <w:color w:val="FFFFFF"/>
                        <w:w w:val="110"/>
                        <w:sz w:val="32"/>
                      </w:rPr>
                      <w:t>Change 2</w:t>
                    </w:r>
                  </w:p>
                </w:txbxContent>
              </v:textbox>
              <w10:wrap type="none"/>
            </v:shape>
            <w10:wrap type="topAndBottom"/>
          </v:group>
        </w:pict>
      </w:r>
    </w:p>
    <w:p>
      <w:pPr>
        <w:pStyle w:val="BodyText"/>
        <w:spacing w:line="252" w:lineRule="auto" w:before="70"/>
        <w:ind w:left="1700" w:right="1698"/>
        <w:jc w:val="both"/>
      </w:pPr>
      <w:r>
        <w:rPr>
          <w:b/>
          <w:color w:val="231F20"/>
          <w:w w:val="105"/>
        </w:rPr>
        <w:t>In Year 1</w:t>
      </w:r>
      <w:r>
        <w:rPr>
          <w:color w:val="231F20"/>
          <w:w w:val="105"/>
        </w:rPr>
        <w:t>: One court, (the Republic of the Marshall Islands) presented in their Annual Report trends over 3-5 years of how their clearance rates had changed.</w:t>
      </w:r>
    </w:p>
    <w:p>
      <w:pPr>
        <w:pStyle w:val="BodyText"/>
        <w:spacing w:line="252" w:lineRule="auto" w:before="172"/>
        <w:ind w:left="1700" w:right="1698"/>
        <w:jc w:val="both"/>
      </w:pPr>
      <w:r>
        <w:rPr>
          <w:b/>
          <w:color w:val="231F20"/>
          <w:w w:val="105"/>
        </w:rPr>
        <w:t>In</w:t>
      </w:r>
      <w:r>
        <w:rPr>
          <w:b/>
          <w:color w:val="231F20"/>
          <w:spacing w:val="-23"/>
          <w:w w:val="105"/>
        </w:rPr>
        <w:t> </w:t>
      </w:r>
      <w:r>
        <w:rPr>
          <w:b/>
          <w:color w:val="231F20"/>
          <w:spacing w:val="-6"/>
          <w:w w:val="105"/>
        </w:rPr>
        <w:t>Year</w:t>
      </w:r>
      <w:r>
        <w:rPr>
          <w:b/>
          <w:color w:val="231F20"/>
          <w:spacing w:val="-5"/>
          <w:w w:val="105"/>
        </w:rPr>
        <w:t> </w:t>
      </w:r>
      <w:r>
        <w:rPr>
          <w:b/>
          <w:color w:val="231F20"/>
          <w:w w:val="105"/>
        </w:rPr>
        <w:t>7</w:t>
      </w:r>
      <w:r>
        <w:rPr>
          <w:color w:val="231F20"/>
          <w:w w:val="105"/>
        </w:rPr>
        <w:t>:</w:t>
      </w:r>
      <w:r>
        <w:rPr>
          <w:color w:val="231F20"/>
          <w:spacing w:val="-5"/>
          <w:w w:val="105"/>
        </w:rPr>
        <w:t> </w:t>
      </w:r>
      <w:r>
        <w:rPr>
          <w:color w:val="231F20"/>
          <w:w w:val="105"/>
        </w:rPr>
        <w:t>Nine</w:t>
      </w:r>
      <w:r>
        <w:rPr>
          <w:color w:val="231F20"/>
          <w:spacing w:val="-5"/>
          <w:w w:val="105"/>
        </w:rPr>
        <w:t> </w:t>
      </w:r>
      <w:r>
        <w:rPr>
          <w:color w:val="231F20"/>
          <w:w w:val="105"/>
        </w:rPr>
        <w:t>courts</w:t>
      </w:r>
      <w:r>
        <w:rPr>
          <w:color w:val="231F20"/>
          <w:spacing w:val="-5"/>
          <w:w w:val="105"/>
        </w:rPr>
        <w:t> </w:t>
      </w:r>
      <w:r>
        <w:rPr>
          <w:color w:val="231F20"/>
          <w:spacing w:val="-3"/>
          <w:w w:val="105"/>
        </w:rPr>
        <w:t>(The</w:t>
      </w:r>
      <w:r>
        <w:rPr>
          <w:color w:val="231F20"/>
          <w:spacing w:val="-5"/>
          <w:w w:val="105"/>
        </w:rPr>
        <w:t> </w:t>
      </w:r>
      <w:r>
        <w:rPr>
          <w:color w:val="231F20"/>
          <w:w w:val="105"/>
        </w:rPr>
        <w:t>Federated</w:t>
      </w:r>
      <w:r>
        <w:rPr>
          <w:color w:val="231F20"/>
          <w:spacing w:val="-5"/>
          <w:w w:val="105"/>
        </w:rPr>
        <w:t> </w:t>
      </w:r>
      <w:r>
        <w:rPr>
          <w:color w:val="231F20"/>
          <w:w w:val="105"/>
        </w:rPr>
        <w:t>States</w:t>
      </w:r>
      <w:r>
        <w:rPr>
          <w:color w:val="231F20"/>
          <w:spacing w:val="-5"/>
          <w:w w:val="105"/>
        </w:rPr>
        <w:t> </w:t>
      </w:r>
      <w:r>
        <w:rPr>
          <w:color w:val="231F20"/>
          <w:w w:val="105"/>
        </w:rPr>
        <w:t>of</w:t>
      </w:r>
      <w:r>
        <w:rPr>
          <w:color w:val="231F20"/>
          <w:spacing w:val="-5"/>
          <w:w w:val="105"/>
        </w:rPr>
        <w:t> </w:t>
      </w:r>
      <w:r>
        <w:rPr>
          <w:color w:val="231F20"/>
          <w:w w:val="105"/>
        </w:rPr>
        <w:t>Micronesia,</w:t>
      </w:r>
      <w:r>
        <w:rPr>
          <w:color w:val="231F20"/>
          <w:spacing w:val="-5"/>
          <w:w w:val="105"/>
        </w:rPr>
        <w:t> </w:t>
      </w:r>
      <w:r>
        <w:rPr>
          <w:color w:val="231F20"/>
          <w:w w:val="105"/>
        </w:rPr>
        <w:t>Kiribati,</w:t>
      </w:r>
      <w:r>
        <w:rPr>
          <w:color w:val="231F20"/>
          <w:spacing w:val="-5"/>
          <w:w w:val="105"/>
        </w:rPr>
        <w:t> </w:t>
      </w:r>
      <w:r>
        <w:rPr>
          <w:color w:val="231F20"/>
          <w:w w:val="105"/>
        </w:rPr>
        <w:t>the</w:t>
      </w:r>
      <w:r>
        <w:rPr>
          <w:color w:val="231F20"/>
          <w:spacing w:val="-5"/>
          <w:w w:val="105"/>
        </w:rPr>
        <w:t> </w:t>
      </w:r>
      <w:r>
        <w:rPr>
          <w:color w:val="231F20"/>
          <w:w w:val="105"/>
        </w:rPr>
        <w:t>Republic</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Marshall Islands, Niue, the Republic of </w:t>
      </w:r>
      <w:r>
        <w:rPr>
          <w:color w:val="231F20"/>
          <w:spacing w:val="-4"/>
          <w:w w:val="105"/>
        </w:rPr>
        <w:t>Palau, </w:t>
      </w:r>
      <w:r>
        <w:rPr>
          <w:color w:val="231F20"/>
          <w:w w:val="105"/>
        </w:rPr>
        <w:t>Solomon Islands, </w:t>
      </w:r>
      <w:r>
        <w:rPr>
          <w:color w:val="231F20"/>
          <w:spacing w:val="-3"/>
          <w:w w:val="105"/>
        </w:rPr>
        <w:t>Tokelau, </w:t>
      </w:r>
      <w:r>
        <w:rPr>
          <w:color w:val="231F20"/>
          <w:spacing w:val="-5"/>
          <w:w w:val="105"/>
        </w:rPr>
        <w:t>Tonga </w:t>
      </w:r>
      <w:r>
        <w:rPr>
          <w:color w:val="231F20"/>
          <w:w w:val="105"/>
        </w:rPr>
        <w:t>and Vanuatu) presented 3-5 years data on how their clearance rates had</w:t>
      </w:r>
      <w:r>
        <w:rPr>
          <w:color w:val="231F20"/>
          <w:spacing w:val="11"/>
          <w:w w:val="105"/>
        </w:rPr>
        <w:t> </w:t>
      </w:r>
      <w:r>
        <w:rPr>
          <w:color w:val="231F20"/>
          <w:w w:val="105"/>
        </w:rPr>
        <w:t>changed.</w:t>
      </w:r>
    </w:p>
    <w:p>
      <w:pPr>
        <w:pStyle w:val="BodyText"/>
        <w:spacing w:line="252" w:lineRule="auto" w:before="172"/>
        <w:ind w:left="1700" w:right="1698"/>
        <w:jc w:val="both"/>
      </w:pPr>
      <w:r>
        <w:rPr>
          <w:color w:val="231F20"/>
          <w:w w:val="105"/>
        </w:rPr>
        <w:t>This allows judicial stakeholders and the public to see if clearance rates are improving or not and provide reasons for these trend changes. An excellent example of this is provided by the Republic of the Marshall Islands in its 2017 Annual Report:</w:t>
      </w:r>
    </w:p>
    <w:p>
      <w:pPr>
        <w:pStyle w:val="BodyText"/>
        <w:spacing w:before="3"/>
        <w:rPr>
          <w:sz w:val="19"/>
        </w:rPr>
      </w:pPr>
    </w:p>
    <w:p>
      <w:pPr>
        <w:spacing w:line="256" w:lineRule="auto" w:before="0"/>
        <w:ind w:left="2040" w:right="2383" w:firstLine="0"/>
        <w:jc w:val="left"/>
        <w:rPr>
          <w:rFonts w:ascii="Book Antiqua" w:hAnsi="Book Antiqua"/>
          <w:i/>
          <w:sz w:val="21"/>
        </w:rPr>
      </w:pPr>
      <w:r>
        <w:rPr>
          <w:rFonts w:ascii="Book Antiqua" w:hAnsi="Book Antiqua"/>
          <w:i/>
          <w:color w:val="231F20"/>
          <w:spacing w:val="-4"/>
          <w:w w:val="110"/>
          <w:sz w:val="21"/>
        </w:rPr>
        <w:t>The</w:t>
      </w:r>
      <w:r>
        <w:rPr>
          <w:rFonts w:ascii="Book Antiqua" w:hAnsi="Book Antiqua"/>
          <w:i/>
          <w:color w:val="231F20"/>
          <w:spacing w:val="-12"/>
          <w:w w:val="110"/>
          <w:sz w:val="21"/>
        </w:rPr>
        <w:t> </w:t>
      </w:r>
      <w:r>
        <w:rPr>
          <w:rFonts w:ascii="Book Antiqua" w:hAnsi="Book Antiqua"/>
          <w:i/>
          <w:color w:val="231F20"/>
          <w:w w:val="110"/>
          <w:sz w:val="21"/>
        </w:rPr>
        <w:t>High</w:t>
      </w:r>
      <w:r>
        <w:rPr>
          <w:rFonts w:ascii="Book Antiqua" w:hAnsi="Book Antiqua"/>
          <w:i/>
          <w:color w:val="231F20"/>
          <w:spacing w:val="-12"/>
          <w:w w:val="110"/>
          <w:sz w:val="21"/>
        </w:rPr>
        <w:t> </w:t>
      </w:r>
      <w:r>
        <w:rPr>
          <w:rFonts w:ascii="Book Antiqua" w:hAnsi="Book Antiqua"/>
          <w:i/>
          <w:color w:val="231F20"/>
          <w:spacing w:val="-3"/>
          <w:w w:val="110"/>
          <w:sz w:val="21"/>
        </w:rPr>
        <w:t>Court’s</w:t>
      </w:r>
      <w:r>
        <w:rPr>
          <w:rFonts w:ascii="Book Antiqua" w:hAnsi="Book Antiqua"/>
          <w:i/>
          <w:color w:val="231F20"/>
          <w:spacing w:val="-12"/>
          <w:w w:val="110"/>
          <w:sz w:val="21"/>
        </w:rPr>
        <w:t> </w:t>
      </w:r>
      <w:r>
        <w:rPr>
          <w:rFonts w:ascii="Book Antiqua" w:hAnsi="Book Antiqua"/>
          <w:i/>
          <w:color w:val="231F20"/>
          <w:w w:val="110"/>
          <w:sz w:val="21"/>
        </w:rPr>
        <w:t>clearance</w:t>
      </w:r>
      <w:r>
        <w:rPr>
          <w:rFonts w:ascii="Book Antiqua" w:hAnsi="Book Antiqua"/>
          <w:i/>
          <w:color w:val="231F20"/>
          <w:spacing w:val="-12"/>
          <w:w w:val="110"/>
          <w:sz w:val="21"/>
        </w:rPr>
        <w:t> </w:t>
      </w:r>
      <w:r>
        <w:rPr>
          <w:rFonts w:ascii="Book Antiqua" w:hAnsi="Book Antiqua"/>
          <w:i/>
          <w:color w:val="231F20"/>
          <w:w w:val="110"/>
          <w:sz w:val="21"/>
        </w:rPr>
        <w:t>goal</w:t>
      </w:r>
      <w:r>
        <w:rPr>
          <w:rFonts w:ascii="Book Antiqua" w:hAnsi="Book Antiqua"/>
          <w:i/>
          <w:color w:val="231F20"/>
          <w:spacing w:val="-12"/>
          <w:w w:val="110"/>
          <w:sz w:val="21"/>
        </w:rPr>
        <w:t> </w:t>
      </w:r>
      <w:r>
        <w:rPr>
          <w:rFonts w:ascii="Book Antiqua" w:hAnsi="Book Antiqua"/>
          <w:i/>
          <w:color w:val="231F20"/>
          <w:w w:val="110"/>
          <w:sz w:val="21"/>
        </w:rPr>
        <w:t>is</w:t>
      </w:r>
      <w:r>
        <w:rPr>
          <w:rFonts w:ascii="Book Antiqua" w:hAnsi="Book Antiqua"/>
          <w:i/>
          <w:color w:val="231F20"/>
          <w:spacing w:val="-12"/>
          <w:w w:val="110"/>
          <w:sz w:val="21"/>
        </w:rPr>
        <w:t> </w:t>
      </w:r>
      <w:r>
        <w:rPr>
          <w:rFonts w:ascii="Book Antiqua" w:hAnsi="Book Antiqua"/>
          <w:i/>
          <w:color w:val="231F20"/>
          <w:w w:val="110"/>
          <w:sz w:val="21"/>
        </w:rPr>
        <w:t>to</w:t>
      </w:r>
      <w:r>
        <w:rPr>
          <w:rFonts w:ascii="Book Antiqua" w:hAnsi="Book Antiqua"/>
          <w:i/>
          <w:color w:val="231F20"/>
          <w:spacing w:val="-12"/>
          <w:w w:val="110"/>
          <w:sz w:val="21"/>
        </w:rPr>
        <w:t> </w:t>
      </w:r>
      <w:r>
        <w:rPr>
          <w:rFonts w:ascii="Book Antiqua" w:hAnsi="Book Antiqua"/>
          <w:i/>
          <w:color w:val="231F20"/>
          <w:w w:val="110"/>
          <w:sz w:val="21"/>
        </w:rPr>
        <w:t>achieve</w:t>
      </w:r>
      <w:r>
        <w:rPr>
          <w:rFonts w:ascii="Book Antiqua" w:hAnsi="Book Antiqua"/>
          <w:i/>
          <w:color w:val="231F20"/>
          <w:spacing w:val="-12"/>
          <w:w w:val="110"/>
          <w:sz w:val="21"/>
        </w:rPr>
        <w:t> </w:t>
      </w:r>
      <w:r>
        <w:rPr>
          <w:rFonts w:ascii="Book Antiqua" w:hAnsi="Book Antiqua"/>
          <w:i/>
          <w:color w:val="231F20"/>
          <w:w w:val="110"/>
          <w:sz w:val="21"/>
        </w:rPr>
        <w:t>an</w:t>
      </w:r>
      <w:r>
        <w:rPr>
          <w:rFonts w:ascii="Book Antiqua" w:hAnsi="Book Antiqua"/>
          <w:i/>
          <w:color w:val="231F20"/>
          <w:spacing w:val="-12"/>
          <w:w w:val="110"/>
          <w:sz w:val="21"/>
        </w:rPr>
        <w:t> </w:t>
      </w:r>
      <w:r>
        <w:rPr>
          <w:rFonts w:ascii="Book Antiqua" w:hAnsi="Book Antiqua"/>
          <w:i/>
          <w:color w:val="231F20"/>
          <w:w w:val="110"/>
          <w:sz w:val="21"/>
        </w:rPr>
        <w:t>annual</w:t>
      </w:r>
      <w:r>
        <w:rPr>
          <w:rFonts w:ascii="Book Antiqua" w:hAnsi="Book Antiqua"/>
          <w:i/>
          <w:color w:val="231F20"/>
          <w:spacing w:val="-12"/>
          <w:w w:val="110"/>
          <w:sz w:val="21"/>
        </w:rPr>
        <w:t> </w:t>
      </w:r>
      <w:r>
        <w:rPr>
          <w:rFonts w:ascii="Book Antiqua" w:hAnsi="Book Antiqua"/>
          <w:i/>
          <w:color w:val="231F20"/>
          <w:w w:val="110"/>
          <w:sz w:val="21"/>
        </w:rPr>
        <w:t>clearance</w:t>
      </w:r>
      <w:r>
        <w:rPr>
          <w:rFonts w:ascii="Book Antiqua" w:hAnsi="Book Antiqua"/>
          <w:i/>
          <w:color w:val="231F20"/>
          <w:spacing w:val="-12"/>
          <w:w w:val="110"/>
          <w:sz w:val="21"/>
        </w:rPr>
        <w:t> </w:t>
      </w:r>
      <w:r>
        <w:rPr>
          <w:rFonts w:ascii="Book Antiqua" w:hAnsi="Book Antiqua"/>
          <w:i/>
          <w:color w:val="231F20"/>
          <w:w w:val="110"/>
          <w:sz w:val="21"/>
        </w:rPr>
        <w:t>rate</w:t>
      </w:r>
      <w:r>
        <w:rPr>
          <w:rFonts w:ascii="Book Antiqua" w:hAnsi="Book Antiqua"/>
          <w:i/>
          <w:color w:val="231F20"/>
          <w:spacing w:val="-12"/>
          <w:w w:val="110"/>
          <w:sz w:val="21"/>
        </w:rPr>
        <w:t> </w:t>
      </w:r>
      <w:r>
        <w:rPr>
          <w:rFonts w:ascii="Book Antiqua" w:hAnsi="Book Antiqua"/>
          <w:i/>
          <w:color w:val="231F20"/>
          <w:w w:val="110"/>
          <w:sz w:val="21"/>
        </w:rPr>
        <w:t>of</w:t>
      </w:r>
      <w:r>
        <w:rPr>
          <w:rFonts w:ascii="Book Antiqua" w:hAnsi="Book Antiqua"/>
          <w:i/>
          <w:color w:val="231F20"/>
          <w:spacing w:val="-12"/>
          <w:w w:val="110"/>
          <w:sz w:val="21"/>
        </w:rPr>
        <w:t> </w:t>
      </w:r>
      <w:r>
        <w:rPr>
          <w:rFonts w:ascii="Book Antiqua" w:hAnsi="Book Antiqua"/>
          <w:i/>
          <w:color w:val="231F20"/>
          <w:w w:val="110"/>
          <w:sz w:val="21"/>
        </w:rPr>
        <w:t>100%,</w:t>
      </w:r>
      <w:r>
        <w:rPr>
          <w:rFonts w:ascii="Book Antiqua" w:hAnsi="Book Antiqua"/>
          <w:i/>
          <w:color w:val="231F20"/>
          <w:spacing w:val="-12"/>
          <w:w w:val="110"/>
          <w:sz w:val="21"/>
        </w:rPr>
        <w:t> </w:t>
      </w:r>
      <w:r>
        <w:rPr>
          <w:rFonts w:ascii="Book Antiqua" w:hAnsi="Book Antiqua"/>
          <w:i/>
          <w:color w:val="231F20"/>
          <w:w w:val="110"/>
          <w:sz w:val="21"/>
        </w:rPr>
        <w:t>or </w:t>
      </w:r>
      <w:r>
        <w:rPr>
          <w:rFonts w:ascii="Book Antiqua" w:hAnsi="Book Antiqua"/>
          <w:i/>
          <w:color w:val="231F20"/>
          <w:spacing w:val="-3"/>
          <w:w w:val="110"/>
          <w:sz w:val="21"/>
        </w:rPr>
        <w:t>better. </w:t>
      </w:r>
      <w:r>
        <w:rPr>
          <w:rFonts w:ascii="Book Antiqua" w:hAnsi="Book Antiqua"/>
          <w:i/>
          <w:color w:val="231F20"/>
          <w:w w:val="110"/>
          <w:sz w:val="21"/>
        </w:rPr>
        <w:t>In 2017, </w:t>
      </w:r>
      <w:r>
        <w:rPr>
          <w:rFonts w:ascii="Book Antiqua" w:hAnsi="Book Antiqua"/>
          <w:i/>
          <w:color w:val="231F20"/>
          <w:spacing w:val="-3"/>
          <w:w w:val="110"/>
          <w:sz w:val="21"/>
        </w:rPr>
        <w:t>however, </w:t>
      </w:r>
      <w:r>
        <w:rPr>
          <w:rFonts w:ascii="Book Antiqua" w:hAnsi="Book Antiqua"/>
          <w:i/>
          <w:color w:val="231F20"/>
          <w:w w:val="110"/>
          <w:sz w:val="21"/>
        </w:rPr>
        <w:t>the High Court did not meet its goal. </w:t>
      </w:r>
      <w:r>
        <w:rPr>
          <w:rFonts w:ascii="Book Antiqua" w:hAnsi="Book Antiqua"/>
          <w:i/>
          <w:color w:val="231F20"/>
          <w:spacing w:val="-4"/>
          <w:w w:val="110"/>
          <w:sz w:val="21"/>
        </w:rPr>
        <w:t>The </w:t>
      </w:r>
      <w:r>
        <w:rPr>
          <w:rFonts w:ascii="Book Antiqua" w:hAnsi="Book Antiqua"/>
          <w:i/>
          <w:color w:val="231F20"/>
          <w:w w:val="110"/>
          <w:sz w:val="21"/>
        </w:rPr>
        <w:t>clearance rate for civil cases was only 93.46%: 314 cases were cleared and 337 were</w:t>
      </w:r>
      <w:r>
        <w:rPr>
          <w:rFonts w:ascii="Book Antiqua" w:hAnsi="Book Antiqua"/>
          <w:i/>
          <w:color w:val="231F20"/>
          <w:spacing w:val="-17"/>
          <w:w w:val="110"/>
          <w:sz w:val="21"/>
        </w:rPr>
        <w:t> </w:t>
      </w:r>
      <w:r>
        <w:rPr>
          <w:rFonts w:ascii="Book Antiqua" w:hAnsi="Book Antiqua"/>
          <w:i/>
          <w:color w:val="231F20"/>
          <w:w w:val="110"/>
          <w:sz w:val="21"/>
        </w:rPr>
        <w:t>filed.</w:t>
      </w:r>
    </w:p>
    <w:p>
      <w:pPr>
        <w:spacing w:line="256" w:lineRule="auto" w:before="168"/>
        <w:ind w:left="2040" w:right="2837" w:firstLine="0"/>
        <w:jc w:val="left"/>
        <w:rPr>
          <w:rFonts w:ascii="Book Antiqua" w:hAnsi="Book Antiqua"/>
          <w:i/>
          <w:sz w:val="21"/>
        </w:rPr>
      </w:pPr>
      <w:r>
        <w:rPr>
          <w:rFonts w:ascii="Book Antiqua" w:hAnsi="Book Antiqua"/>
          <w:i/>
          <w:color w:val="231F20"/>
          <w:w w:val="105"/>
          <w:sz w:val="21"/>
        </w:rPr>
        <w:t>As the table and chart below </w:t>
      </w:r>
      <w:r>
        <w:rPr>
          <w:rFonts w:ascii="Book Antiqua" w:hAnsi="Book Antiqua"/>
          <w:i/>
          <w:color w:val="231F20"/>
          <w:spacing w:val="-4"/>
          <w:w w:val="105"/>
          <w:sz w:val="21"/>
        </w:rPr>
        <w:t>show, </w:t>
      </w:r>
      <w:r>
        <w:rPr>
          <w:rFonts w:ascii="Book Antiqua" w:hAnsi="Book Antiqua"/>
          <w:i/>
          <w:color w:val="231F20"/>
          <w:w w:val="105"/>
          <w:sz w:val="21"/>
        </w:rPr>
        <w:t>the High Court has met its goal in four of   </w:t>
      </w:r>
      <w:r>
        <w:rPr>
          <w:rFonts w:ascii="Book Antiqua" w:hAnsi="Book Antiqua"/>
          <w:i/>
          <w:color w:val="231F20"/>
          <w:w w:val="105"/>
          <w:sz w:val="21"/>
        </w:rPr>
        <w:t>the past five years. </w:t>
      </w:r>
      <w:r>
        <w:rPr>
          <w:rFonts w:ascii="Book Antiqua" w:hAnsi="Book Antiqua"/>
          <w:i/>
          <w:color w:val="231F20"/>
          <w:spacing w:val="-4"/>
          <w:w w:val="105"/>
          <w:sz w:val="21"/>
        </w:rPr>
        <w:t>The </w:t>
      </w:r>
      <w:r>
        <w:rPr>
          <w:rFonts w:ascii="Book Antiqua" w:hAnsi="Book Antiqua"/>
          <w:i/>
          <w:color w:val="231F20"/>
          <w:w w:val="105"/>
          <w:sz w:val="21"/>
        </w:rPr>
        <w:t>drop of the clearance rate from 143.06% in 2014, to 101.16% in 2015, and to 93.46% to 2017 is the result of the </w:t>
      </w:r>
      <w:r>
        <w:rPr>
          <w:rFonts w:ascii="Book Antiqua" w:hAnsi="Book Antiqua"/>
          <w:i/>
          <w:color w:val="231F20"/>
          <w:spacing w:val="-3"/>
          <w:w w:val="105"/>
          <w:sz w:val="21"/>
        </w:rPr>
        <w:t>Court’s </w:t>
      </w:r>
      <w:r>
        <w:rPr>
          <w:rFonts w:ascii="Book Antiqua" w:hAnsi="Book Antiqua"/>
          <w:i/>
          <w:color w:val="231F20"/>
          <w:w w:val="105"/>
          <w:sz w:val="21"/>
        </w:rPr>
        <w:t>successful backlog reduction </w:t>
      </w:r>
      <w:r>
        <w:rPr>
          <w:rFonts w:ascii="Book Antiqua" w:hAnsi="Book Antiqua"/>
          <w:i/>
          <w:color w:val="231F20"/>
          <w:spacing w:val="-4"/>
          <w:w w:val="105"/>
          <w:sz w:val="21"/>
        </w:rPr>
        <w:t>policy.</w:t>
      </w:r>
      <w:r>
        <w:rPr>
          <w:rFonts w:ascii="Book Antiqua" w:hAnsi="Book Antiqua"/>
          <w:i/>
          <w:color w:val="231F20"/>
          <w:spacing w:val="12"/>
          <w:w w:val="105"/>
          <w:sz w:val="21"/>
        </w:rPr>
        <w:t> </w:t>
      </w:r>
      <w:r>
        <w:rPr>
          <w:rFonts w:ascii="Book Antiqua" w:hAnsi="Book Antiqua"/>
          <w:i/>
          <w:color w:val="231F20"/>
          <w:w w:val="105"/>
          <w:sz w:val="21"/>
        </w:rPr>
        <w:t>In the near term, the High Court expects its annual</w:t>
      </w:r>
    </w:p>
    <w:p>
      <w:pPr>
        <w:spacing w:line="249" w:lineRule="auto" w:before="0"/>
        <w:ind w:left="2040" w:right="2292" w:firstLine="0"/>
        <w:jc w:val="left"/>
        <w:rPr>
          <w:sz w:val="21"/>
        </w:rPr>
      </w:pPr>
      <w:r>
        <w:rPr>
          <w:rFonts w:ascii="Book Antiqua"/>
          <w:i/>
          <w:color w:val="231F20"/>
          <w:w w:val="105"/>
          <w:sz w:val="21"/>
        </w:rPr>
        <w:t>clearance rate to fluctuate around 100%. Also, the lower clearance rate and higher </w:t>
      </w:r>
      <w:r>
        <w:rPr>
          <w:rFonts w:ascii="Book Antiqua"/>
          <w:i/>
          <w:color w:val="231F20"/>
          <w:w w:val="105"/>
          <w:sz w:val="21"/>
        </w:rPr>
        <w:t>number of cases in 2017 results from an influx of non-resident corporation cases</w:t>
      </w:r>
      <w:r>
        <w:rPr>
          <w:color w:val="231F20"/>
          <w:w w:val="105"/>
          <w:sz w:val="21"/>
        </w:rPr>
        <w:t>.</w:t>
      </w:r>
    </w:p>
    <w:p>
      <w:pPr>
        <w:spacing w:after="0" w:line="249" w:lineRule="auto"/>
        <w:jc w:val="left"/>
        <w:rPr>
          <w:sz w:val="21"/>
        </w:rPr>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90960"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861"/>
        <w:gridCol w:w="1096"/>
        <w:gridCol w:w="1058"/>
        <w:gridCol w:w="1096"/>
        <w:gridCol w:w="1115"/>
        <w:gridCol w:w="1134"/>
        <w:gridCol w:w="1124"/>
      </w:tblGrid>
      <w:tr>
        <w:trPr>
          <w:trHeight w:val="350" w:hRule="atLeast"/>
        </w:trPr>
        <w:tc>
          <w:tcPr>
            <w:tcW w:w="8484" w:type="dxa"/>
            <w:gridSpan w:val="7"/>
            <w:shd w:val="clear" w:color="auto" w:fill="92BAC2"/>
          </w:tcPr>
          <w:p>
            <w:pPr>
              <w:pStyle w:val="TableParagraph"/>
              <w:spacing w:before="69"/>
              <w:ind w:left="80"/>
              <w:rPr>
                <w:b/>
                <w:sz w:val="19"/>
              </w:rPr>
            </w:pPr>
            <w:r>
              <w:rPr>
                <w:b/>
                <w:color w:val="231F20"/>
                <w:w w:val="105"/>
                <w:sz w:val="19"/>
              </w:rPr>
              <w:t>Annual Clearance Rates for High Court Cases Cleared 2013 to 2017</w:t>
            </w:r>
          </w:p>
        </w:tc>
      </w:tr>
      <w:tr>
        <w:trPr>
          <w:trHeight w:val="324" w:hRule="atLeast"/>
        </w:trPr>
        <w:tc>
          <w:tcPr>
            <w:tcW w:w="1861" w:type="dxa"/>
            <w:shd w:val="clear" w:color="auto" w:fill="DFE8F6"/>
          </w:tcPr>
          <w:p>
            <w:pPr>
              <w:pStyle w:val="TableParagraph"/>
              <w:rPr>
                <w:rFonts w:ascii="Times New Roman"/>
                <w:sz w:val="18"/>
              </w:rPr>
            </w:pPr>
          </w:p>
        </w:tc>
        <w:tc>
          <w:tcPr>
            <w:tcW w:w="1096" w:type="dxa"/>
            <w:shd w:val="clear" w:color="auto" w:fill="DFE8F6"/>
          </w:tcPr>
          <w:p>
            <w:pPr>
              <w:pStyle w:val="TableParagraph"/>
              <w:spacing w:before="69"/>
              <w:ind w:right="329"/>
              <w:jc w:val="right"/>
              <w:rPr>
                <w:b/>
                <w:sz w:val="19"/>
              </w:rPr>
            </w:pPr>
            <w:r>
              <w:rPr>
                <w:b/>
                <w:color w:val="231F20"/>
                <w:w w:val="105"/>
                <w:sz w:val="19"/>
              </w:rPr>
              <w:t>2013</w:t>
            </w:r>
          </w:p>
        </w:tc>
        <w:tc>
          <w:tcPr>
            <w:tcW w:w="1058" w:type="dxa"/>
            <w:shd w:val="clear" w:color="auto" w:fill="DFE8F6"/>
          </w:tcPr>
          <w:p>
            <w:pPr>
              <w:pStyle w:val="TableParagraph"/>
              <w:spacing w:before="69"/>
              <w:ind w:left="320"/>
              <w:rPr>
                <w:b/>
                <w:sz w:val="19"/>
              </w:rPr>
            </w:pPr>
            <w:r>
              <w:rPr>
                <w:b/>
                <w:color w:val="231F20"/>
                <w:w w:val="110"/>
                <w:sz w:val="19"/>
              </w:rPr>
              <w:t>2014</w:t>
            </w:r>
          </w:p>
        </w:tc>
        <w:tc>
          <w:tcPr>
            <w:tcW w:w="1096" w:type="dxa"/>
            <w:shd w:val="clear" w:color="auto" w:fill="DFE8F6"/>
          </w:tcPr>
          <w:p>
            <w:pPr>
              <w:pStyle w:val="TableParagraph"/>
              <w:spacing w:before="69"/>
              <w:ind w:left="235" w:right="227"/>
              <w:jc w:val="center"/>
              <w:rPr>
                <w:b/>
                <w:sz w:val="19"/>
              </w:rPr>
            </w:pPr>
            <w:r>
              <w:rPr>
                <w:b/>
                <w:color w:val="231F20"/>
                <w:w w:val="110"/>
                <w:sz w:val="19"/>
              </w:rPr>
              <w:t>2015</w:t>
            </w:r>
          </w:p>
        </w:tc>
        <w:tc>
          <w:tcPr>
            <w:tcW w:w="1115" w:type="dxa"/>
            <w:shd w:val="clear" w:color="auto" w:fill="DFE8F6"/>
          </w:tcPr>
          <w:p>
            <w:pPr>
              <w:pStyle w:val="TableParagraph"/>
              <w:spacing w:before="69"/>
              <w:ind w:left="245" w:right="237"/>
              <w:jc w:val="center"/>
              <w:rPr>
                <w:b/>
                <w:sz w:val="19"/>
              </w:rPr>
            </w:pPr>
            <w:r>
              <w:rPr>
                <w:b/>
                <w:color w:val="231F20"/>
                <w:w w:val="110"/>
                <w:sz w:val="19"/>
              </w:rPr>
              <w:t>2016</w:t>
            </w:r>
          </w:p>
        </w:tc>
        <w:tc>
          <w:tcPr>
            <w:tcW w:w="1134" w:type="dxa"/>
            <w:shd w:val="clear" w:color="auto" w:fill="DFE8F6"/>
          </w:tcPr>
          <w:p>
            <w:pPr>
              <w:pStyle w:val="TableParagraph"/>
              <w:spacing w:before="69"/>
              <w:ind w:left="301" w:right="293"/>
              <w:jc w:val="center"/>
              <w:rPr>
                <w:b/>
                <w:sz w:val="19"/>
              </w:rPr>
            </w:pPr>
            <w:r>
              <w:rPr>
                <w:b/>
                <w:color w:val="231F20"/>
                <w:w w:val="110"/>
                <w:sz w:val="19"/>
              </w:rPr>
              <w:t>2017</w:t>
            </w:r>
          </w:p>
        </w:tc>
        <w:tc>
          <w:tcPr>
            <w:tcW w:w="1124" w:type="dxa"/>
            <w:shd w:val="clear" w:color="auto" w:fill="DFE8F6"/>
          </w:tcPr>
          <w:p>
            <w:pPr>
              <w:pStyle w:val="TableParagraph"/>
              <w:spacing w:before="69"/>
              <w:ind w:left="158" w:right="150"/>
              <w:jc w:val="center"/>
              <w:rPr>
                <w:b/>
                <w:sz w:val="19"/>
              </w:rPr>
            </w:pPr>
            <w:r>
              <w:rPr>
                <w:b/>
                <w:color w:val="231F20"/>
                <w:w w:val="105"/>
                <w:sz w:val="19"/>
              </w:rPr>
              <w:t>Avg.</w:t>
            </w:r>
          </w:p>
        </w:tc>
      </w:tr>
      <w:tr>
        <w:trPr>
          <w:trHeight w:val="324" w:hRule="atLeast"/>
        </w:trPr>
        <w:tc>
          <w:tcPr>
            <w:tcW w:w="1861" w:type="dxa"/>
            <w:shd w:val="clear" w:color="auto" w:fill="D4D8B8"/>
          </w:tcPr>
          <w:p>
            <w:pPr>
              <w:pStyle w:val="TableParagraph"/>
              <w:spacing w:before="69"/>
              <w:ind w:left="80"/>
              <w:rPr>
                <w:b/>
                <w:sz w:val="19"/>
              </w:rPr>
            </w:pPr>
            <w:r>
              <w:rPr>
                <w:b/>
                <w:color w:val="231F20"/>
                <w:w w:val="105"/>
                <w:sz w:val="19"/>
              </w:rPr>
              <w:t>Cases Filed</w:t>
            </w:r>
          </w:p>
        </w:tc>
        <w:tc>
          <w:tcPr>
            <w:tcW w:w="1096" w:type="dxa"/>
          </w:tcPr>
          <w:p>
            <w:pPr>
              <w:pStyle w:val="TableParagraph"/>
              <w:spacing w:before="68"/>
              <w:ind w:left="234" w:right="227"/>
              <w:jc w:val="center"/>
              <w:rPr>
                <w:sz w:val="19"/>
              </w:rPr>
            </w:pPr>
            <w:r>
              <w:rPr>
                <w:color w:val="231F20"/>
                <w:w w:val="110"/>
                <w:sz w:val="19"/>
              </w:rPr>
              <w:t>281</w:t>
            </w:r>
          </w:p>
        </w:tc>
        <w:tc>
          <w:tcPr>
            <w:tcW w:w="1058" w:type="dxa"/>
          </w:tcPr>
          <w:p>
            <w:pPr>
              <w:pStyle w:val="TableParagraph"/>
              <w:spacing w:before="68"/>
              <w:ind w:left="349" w:right="341"/>
              <w:jc w:val="center"/>
              <w:rPr>
                <w:sz w:val="19"/>
              </w:rPr>
            </w:pPr>
            <w:r>
              <w:rPr>
                <w:color w:val="231F20"/>
                <w:w w:val="110"/>
                <w:sz w:val="19"/>
              </w:rPr>
              <w:t>281</w:t>
            </w:r>
          </w:p>
        </w:tc>
        <w:tc>
          <w:tcPr>
            <w:tcW w:w="1096" w:type="dxa"/>
          </w:tcPr>
          <w:p>
            <w:pPr>
              <w:pStyle w:val="TableParagraph"/>
              <w:spacing w:before="68"/>
              <w:ind w:left="235" w:right="227"/>
              <w:jc w:val="center"/>
              <w:rPr>
                <w:sz w:val="19"/>
              </w:rPr>
            </w:pPr>
            <w:r>
              <w:rPr>
                <w:color w:val="231F20"/>
                <w:w w:val="110"/>
                <w:sz w:val="19"/>
              </w:rPr>
              <w:t>258</w:t>
            </w:r>
          </w:p>
        </w:tc>
        <w:tc>
          <w:tcPr>
            <w:tcW w:w="1115" w:type="dxa"/>
          </w:tcPr>
          <w:p>
            <w:pPr>
              <w:pStyle w:val="TableParagraph"/>
              <w:spacing w:before="68"/>
              <w:ind w:left="245" w:right="237"/>
              <w:jc w:val="center"/>
              <w:rPr>
                <w:sz w:val="19"/>
              </w:rPr>
            </w:pPr>
            <w:r>
              <w:rPr>
                <w:color w:val="231F20"/>
                <w:w w:val="110"/>
                <w:sz w:val="19"/>
              </w:rPr>
              <w:t>280</w:t>
            </w:r>
          </w:p>
        </w:tc>
        <w:tc>
          <w:tcPr>
            <w:tcW w:w="1134" w:type="dxa"/>
          </w:tcPr>
          <w:p>
            <w:pPr>
              <w:pStyle w:val="TableParagraph"/>
              <w:spacing w:before="68"/>
              <w:ind w:left="301" w:right="293"/>
              <w:jc w:val="center"/>
              <w:rPr>
                <w:sz w:val="19"/>
              </w:rPr>
            </w:pPr>
            <w:r>
              <w:rPr>
                <w:color w:val="231F20"/>
                <w:w w:val="110"/>
                <w:sz w:val="19"/>
              </w:rPr>
              <w:t>337</w:t>
            </w:r>
          </w:p>
        </w:tc>
        <w:tc>
          <w:tcPr>
            <w:tcW w:w="1124" w:type="dxa"/>
          </w:tcPr>
          <w:p>
            <w:pPr>
              <w:pStyle w:val="TableParagraph"/>
              <w:spacing w:before="68"/>
              <w:ind w:left="158" w:right="150"/>
              <w:jc w:val="center"/>
              <w:rPr>
                <w:sz w:val="19"/>
              </w:rPr>
            </w:pPr>
            <w:r>
              <w:rPr>
                <w:color w:val="231F20"/>
                <w:w w:val="110"/>
                <w:sz w:val="19"/>
              </w:rPr>
              <w:t>287.40</w:t>
            </w:r>
          </w:p>
        </w:tc>
      </w:tr>
      <w:tr>
        <w:trPr>
          <w:trHeight w:val="324" w:hRule="atLeast"/>
        </w:trPr>
        <w:tc>
          <w:tcPr>
            <w:tcW w:w="1861" w:type="dxa"/>
            <w:shd w:val="clear" w:color="auto" w:fill="DFE8F6"/>
          </w:tcPr>
          <w:p>
            <w:pPr>
              <w:pStyle w:val="TableParagraph"/>
              <w:spacing w:before="69"/>
              <w:ind w:left="80"/>
              <w:rPr>
                <w:b/>
                <w:sz w:val="19"/>
              </w:rPr>
            </w:pPr>
            <w:r>
              <w:rPr>
                <w:b/>
                <w:color w:val="231F20"/>
                <w:w w:val="105"/>
                <w:sz w:val="19"/>
              </w:rPr>
              <w:t>Cases Cleared</w:t>
            </w:r>
          </w:p>
        </w:tc>
        <w:tc>
          <w:tcPr>
            <w:tcW w:w="1096" w:type="dxa"/>
            <w:shd w:val="clear" w:color="auto" w:fill="DFE8F6"/>
          </w:tcPr>
          <w:p>
            <w:pPr>
              <w:pStyle w:val="TableParagraph"/>
              <w:spacing w:before="68"/>
              <w:ind w:left="234" w:right="227"/>
              <w:jc w:val="center"/>
              <w:rPr>
                <w:sz w:val="19"/>
              </w:rPr>
            </w:pPr>
            <w:r>
              <w:rPr>
                <w:color w:val="231F20"/>
                <w:w w:val="110"/>
                <w:sz w:val="19"/>
              </w:rPr>
              <w:t>404</w:t>
            </w:r>
          </w:p>
        </w:tc>
        <w:tc>
          <w:tcPr>
            <w:tcW w:w="1058" w:type="dxa"/>
            <w:shd w:val="clear" w:color="auto" w:fill="DFE8F6"/>
          </w:tcPr>
          <w:p>
            <w:pPr>
              <w:pStyle w:val="TableParagraph"/>
              <w:spacing w:before="68"/>
              <w:ind w:left="349" w:right="341"/>
              <w:jc w:val="center"/>
              <w:rPr>
                <w:sz w:val="19"/>
              </w:rPr>
            </w:pPr>
            <w:r>
              <w:rPr>
                <w:color w:val="231F20"/>
                <w:w w:val="110"/>
                <w:sz w:val="19"/>
              </w:rPr>
              <w:t>402</w:t>
            </w:r>
          </w:p>
        </w:tc>
        <w:tc>
          <w:tcPr>
            <w:tcW w:w="1096" w:type="dxa"/>
            <w:shd w:val="clear" w:color="auto" w:fill="DFE8F6"/>
          </w:tcPr>
          <w:p>
            <w:pPr>
              <w:pStyle w:val="TableParagraph"/>
              <w:spacing w:before="68"/>
              <w:ind w:left="235" w:right="227"/>
              <w:jc w:val="center"/>
              <w:rPr>
                <w:sz w:val="19"/>
              </w:rPr>
            </w:pPr>
            <w:r>
              <w:rPr>
                <w:color w:val="231F20"/>
                <w:w w:val="110"/>
                <w:sz w:val="19"/>
              </w:rPr>
              <w:t>261</w:t>
            </w:r>
          </w:p>
        </w:tc>
        <w:tc>
          <w:tcPr>
            <w:tcW w:w="1115" w:type="dxa"/>
            <w:shd w:val="clear" w:color="auto" w:fill="DFE8F6"/>
          </w:tcPr>
          <w:p>
            <w:pPr>
              <w:pStyle w:val="TableParagraph"/>
              <w:spacing w:before="68"/>
              <w:ind w:left="245" w:right="237"/>
              <w:jc w:val="center"/>
              <w:rPr>
                <w:sz w:val="19"/>
              </w:rPr>
            </w:pPr>
            <w:r>
              <w:rPr>
                <w:color w:val="231F20"/>
                <w:w w:val="110"/>
                <w:sz w:val="19"/>
              </w:rPr>
              <w:t>282</w:t>
            </w:r>
          </w:p>
        </w:tc>
        <w:tc>
          <w:tcPr>
            <w:tcW w:w="1134" w:type="dxa"/>
            <w:shd w:val="clear" w:color="auto" w:fill="DFE8F6"/>
          </w:tcPr>
          <w:p>
            <w:pPr>
              <w:pStyle w:val="TableParagraph"/>
              <w:spacing w:before="68"/>
              <w:ind w:left="301" w:right="293"/>
              <w:jc w:val="center"/>
              <w:rPr>
                <w:sz w:val="19"/>
              </w:rPr>
            </w:pPr>
            <w:r>
              <w:rPr>
                <w:color w:val="231F20"/>
                <w:w w:val="110"/>
                <w:sz w:val="19"/>
              </w:rPr>
              <w:t>314</w:t>
            </w:r>
          </w:p>
        </w:tc>
        <w:tc>
          <w:tcPr>
            <w:tcW w:w="1124" w:type="dxa"/>
            <w:shd w:val="clear" w:color="auto" w:fill="DFE8F6"/>
          </w:tcPr>
          <w:p>
            <w:pPr>
              <w:pStyle w:val="TableParagraph"/>
              <w:spacing w:before="68"/>
              <w:ind w:left="158" w:right="150"/>
              <w:jc w:val="center"/>
              <w:rPr>
                <w:sz w:val="19"/>
              </w:rPr>
            </w:pPr>
            <w:r>
              <w:rPr>
                <w:color w:val="231F20"/>
                <w:w w:val="110"/>
                <w:sz w:val="19"/>
              </w:rPr>
              <w:t>332.80</w:t>
            </w:r>
          </w:p>
        </w:tc>
      </w:tr>
      <w:tr>
        <w:trPr>
          <w:trHeight w:val="324" w:hRule="atLeast"/>
        </w:trPr>
        <w:tc>
          <w:tcPr>
            <w:tcW w:w="1861" w:type="dxa"/>
            <w:shd w:val="clear" w:color="auto" w:fill="D4D8B8"/>
          </w:tcPr>
          <w:p>
            <w:pPr>
              <w:pStyle w:val="TableParagraph"/>
              <w:spacing w:before="69"/>
              <w:ind w:left="80"/>
              <w:rPr>
                <w:b/>
                <w:sz w:val="19"/>
              </w:rPr>
            </w:pPr>
            <w:r>
              <w:rPr>
                <w:b/>
                <w:color w:val="231F20"/>
                <w:w w:val="105"/>
                <w:sz w:val="19"/>
              </w:rPr>
              <w:t>Clearance Rate</w:t>
            </w:r>
          </w:p>
        </w:tc>
        <w:tc>
          <w:tcPr>
            <w:tcW w:w="1096" w:type="dxa"/>
          </w:tcPr>
          <w:p>
            <w:pPr>
              <w:pStyle w:val="TableParagraph"/>
              <w:spacing w:before="68"/>
              <w:ind w:right="252"/>
              <w:jc w:val="right"/>
              <w:rPr>
                <w:sz w:val="19"/>
              </w:rPr>
            </w:pPr>
            <w:r>
              <w:rPr>
                <w:color w:val="231F20"/>
                <w:w w:val="105"/>
                <w:sz w:val="19"/>
              </w:rPr>
              <w:t>143.77</w:t>
            </w:r>
          </w:p>
        </w:tc>
        <w:tc>
          <w:tcPr>
            <w:tcW w:w="1058" w:type="dxa"/>
          </w:tcPr>
          <w:p>
            <w:pPr>
              <w:pStyle w:val="TableParagraph"/>
              <w:spacing w:before="68"/>
              <w:ind w:right="233"/>
              <w:jc w:val="right"/>
              <w:rPr>
                <w:sz w:val="19"/>
              </w:rPr>
            </w:pPr>
            <w:r>
              <w:rPr>
                <w:color w:val="231F20"/>
                <w:w w:val="105"/>
                <w:sz w:val="19"/>
              </w:rPr>
              <w:t>143.06</w:t>
            </w:r>
          </w:p>
        </w:tc>
        <w:tc>
          <w:tcPr>
            <w:tcW w:w="1096" w:type="dxa"/>
          </w:tcPr>
          <w:p>
            <w:pPr>
              <w:pStyle w:val="TableParagraph"/>
              <w:spacing w:before="68"/>
              <w:ind w:left="235" w:right="227"/>
              <w:jc w:val="center"/>
              <w:rPr>
                <w:sz w:val="19"/>
              </w:rPr>
            </w:pPr>
            <w:r>
              <w:rPr>
                <w:color w:val="231F20"/>
                <w:w w:val="110"/>
                <w:sz w:val="19"/>
              </w:rPr>
              <w:t>101.16</w:t>
            </w:r>
          </w:p>
        </w:tc>
        <w:tc>
          <w:tcPr>
            <w:tcW w:w="1115" w:type="dxa"/>
          </w:tcPr>
          <w:p>
            <w:pPr>
              <w:pStyle w:val="TableParagraph"/>
              <w:spacing w:before="68"/>
              <w:ind w:left="245" w:right="237"/>
              <w:jc w:val="center"/>
              <w:rPr>
                <w:sz w:val="19"/>
              </w:rPr>
            </w:pPr>
            <w:r>
              <w:rPr>
                <w:color w:val="231F20"/>
                <w:w w:val="110"/>
                <w:sz w:val="19"/>
              </w:rPr>
              <w:t>100.71</w:t>
            </w:r>
          </w:p>
        </w:tc>
        <w:tc>
          <w:tcPr>
            <w:tcW w:w="1134" w:type="dxa"/>
          </w:tcPr>
          <w:p>
            <w:pPr>
              <w:pStyle w:val="TableParagraph"/>
              <w:spacing w:before="68"/>
              <w:ind w:left="301" w:right="293"/>
              <w:jc w:val="center"/>
              <w:rPr>
                <w:sz w:val="19"/>
              </w:rPr>
            </w:pPr>
            <w:r>
              <w:rPr>
                <w:color w:val="231F20"/>
                <w:w w:val="110"/>
                <w:sz w:val="19"/>
              </w:rPr>
              <w:t>93.46</w:t>
            </w:r>
          </w:p>
        </w:tc>
        <w:tc>
          <w:tcPr>
            <w:tcW w:w="1124" w:type="dxa"/>
          </w:tcPr>
          <w:p>
            <w:pPr>
              <w:pStyle w:val="TableParagraph"/>
              <w:spacing w:before="68"/>
              <w:ind w:left="158" w:right="150"/>
              <w:jc w:val="center"/>
              <w:rPr>
                <w:sz w:val="19"/>
              </w:rPr>
            </w:pPr>
            <w:r>
              <w:rPr>
                <w:color w:val="231F20"/>
                <w:w w:val="115"/>
                <w:sz w:val="19"/>
              </w:rPr>
              <w:t>115.80%</w:t>
            </w:r>
          </w:p>
        </w:tc>
      </w:tr>
      <w:tr>
        <w:trPr>
          <w:trHeight w:val="386" w:hRule="atLeast"/>
        </w:trPr>
        <w:tc>
          <w:tcPr>
            <w:tcW w:w="1861" w:type="dxa"/>
            <w:shd w:val="clear" w:color="auto" w:fill="DFE8F6"/>
          </w:tcPr>
          <w:p>
            <w:pPr>
              <w:pStyle w:val="TableParagraph"/>
              <w:spacing w:before="69"/>
              <w:ind w:left="80"/>
              <w:rPr>
                <w:b/>
                <w:sz w:val="19"/>
              </w:rPr>
            </w:pPr>
            <w:r>
              <w:rPr>
                <w:b/>
                <w:color w:val="231F20"/>
                <w:w w:val="110"/>
                <w:sz w:val="19"/>
              </w:rPr>
              <w:t>Annual Goal: 100%</w:t>
            </w:r>
          </w:p>
        </w:tc>
        <w:tc>
          <w:tcPr>
            <w:tcW w:w="1096" w:type="dxa"/>
            <w:shd w:val="clear" w:color="auto" w:fill="DFE8F6"/>
          </w:tcPr>
          <w:p>
            <w:pPr>
              <w:pStyle w:val="TableParagraph"/>
              <w:spacing w:before="68"/>
              <w:ind w:right="297"/>
              <w:jc w:val="right"/>
              <w:rPr>
                <w:sz w:val="19"/>
              </w:rPr>
            </w:pPr>
            <w:r>
              <w:rPr>
                <w:color w:val="231F20"/>
                <w:w w:val="110"/>
                <w:sz w:val="19"/>
              </w:rPr>
              <w:t>100%</w:t>
            </w:r>
          </w:p>
        </w:tc>
        <w:tc>
          <w:tcPr>
            <w:tcW w:w="1058" w:type="dxa"/>
            <w:shd w:val="clear" w:color="auto" w:fill="DFE8F6"/>
          </w:tcPr>
          <w:p>
            <w:pPr>
              <w:pStyle w:val="TableParagraph"/>
              <w:spacing w:before="68"/>
              <w:ind w:right="278"/>
              <w:jc w:val="right"/>
              <w:rPr>
                <w:sz w:val="19"/>
              </w:rPr>
            </w:pPr>
            <w:r>
              <w:rPr>
                <w:color w:val="231F20"/>
                <w:w w:val="110"/>
                <w:sz w:val="19"/>
              </w:rPr>
              <w:t>100%</w:t>
            </w:r>
          </w:p>
        </w:tc>
        <w:tc>
          <w:tcPr>
            <w:tcW w:w="1096" w:type="dxa"/>
            <w:shd w:val="clear" w:color="auto" w:fill="DFE8F6"/>
          </w:tcPr>
          <w:p>
            <w:pPr>
              <w:pStyle w:val="TableParagraph"/>
              <w:spacing w:before="68"/>
              <w:ind w:left="235" w:right="227"/>
              <w:jc w:val="center"/>
              <w:rPr>
                <w:sz w:val="19"/>
              </w:rPr>
            </w:pPr>
            <w:r>
              <w:rPr>
                <w:color w:val="231F20"/>
                <w:w w:val="115"/>
                <w:sz w:val="19"/>
              </w:rPr>
              <w:t>100%</w:t>
            </w:r>
          </w:p>
        </w:tc>
        <w:tc>
          <w:tcPr>
            <w:tcW w:w="1115" w:type="dxa"/>
            <w:shd w:val="clear" w:color="auto" w:fill="DFE8F6"/>
          </w:tcPr>
          <w:p>
            <w:pPr>
              <w:pStyle w:val="TableParagraph"/>
              <w:spacing w:before="68"/>
              <w:ind w:left="245" w:right="237"/>
              <w:jc w:val="center"/>
              <w:rPr>
                <w:sz w:val="19"/>
              </w:rPr>
            </w:pPr>
            <w:r>
              <w:rPr>
                <w:color w:val="231F20"/>
                <w:w w:val="115"/>
                <w:sz w:val="19"/>
              </w:rPr>
              <w:t>100%</w:t>
            </w:r>
          </w:p>
        </w:tc>
        <w:tc>
          <w:tcPr>
            <w:tcW w:w="1134" w:type="dxa"/>
            <w:shd w:val="clear" w:color="auto" w:fill="DFE8F6"/>
          </w:tcPr>
          <w:p>
            <w:pPr>
              <w:pStyle w:val="TableParagraph"/>
              <w:spacing w:before="68"/>
              <w:ind w:left="301" w:right="293"/>
              <w:jc w:val="center"/>
              <w:rPr>
                <w:sz w:val="19"/>
              </w:rPr>
            </w:pPr>
            <w:r>
              <w:rPr>
                <w:color w:val="231F20"/>
                <w:w w:val="115"/>
                <w:sz w:val="19"/>
              </w:rPr>
              <w:t>100%</w:t>
            </w:r>
          </w:p>
        </w:tc>
        <w:tc>
          <w:tcPr>
            <w:tcW w:w="1124" w:type="dxa"/>
            <w:shd w:val="clear" w:color="auto" w:fill="DFE8F6"/>
          </w:tcPr>
          <w:p>
            <w:pPr>
              <w:pStyle w:val="TableParagraph"/>
              <w:spacing w:before="68"/>
              <w:ind w:left="158" w:right="150"/>
              <w:jc w:val="center"/>
              <w:rPr>
                <w:sz w:val="19"/>
              </w:rPr>
            </w:pPr>
            <w:r>
              <w:rPr>
                <w:color w:val="231F20"/>
                <w:w w:val="115"/>
                <w:sz w:val="19"/>
              </w:rPr>
              <w:t>100%</w:t>
            </w:r>
          </w:p>
        </w:tc>
      </w:tr>
    </w:tbl>
    <w:p>
      <w:pPr>
        <w:pStyle w:val="BodyText"/>
        <w:rPr>
          <w:sz w:val="20"/>
        </w:rPr>
      </w:pPr>
    </w:p>
    <w:p>
      <w:pPr>
        <w:pStyle w:val="BodyText"/>
        <w:spacing w:before="6"/>
        <w:rPr>
          <w:sz w:val="15"/>
        </w:rPr>
      </w:pPr>
      <w:r>
        <w:rPr/>
        <w:pict>
          <v:group style="position:absolute;margin-left:85.039398pt;margin-top:11.408869pt;width:79.4pt;height:22.7pt;mso-position-horizontal-relative:page;mso-position-vertical-relative:paragraph;z-index:8632;mso-wrap-distance-left:0;mso-wrap-distance-right:0" coordorigin="1701,228" coordsize="1588,454">
            <v:shape style="position:absolute;left:1700;top:228;width:1588;height:454" coordorigin="1701,228" coordsize="1588,454" path="m3088,228l1701,228,1701,682,3088,682,3204,679,3263,657,3285,597,3288,482,3288,428,3285,313,3263,253,3204,231,3088,228xe" filled="true" fillcolor="#7d8440" stroked="false">
              <v:path arrowok="t"/>
              <v:fill type="solid"/>
            </v:shape>
            <v:shape style="position:absolute;left:1700;top:228;width:1588;height:454" type="#_x0000_t202" filled="false" stroked="false">
              <v:textbox inset="0,0,0,0">
                <w:txbxContent>
                  <w:p>
                    <w:pPr>
                      <w:spacing w:line="384" w:lineRule="exact" w:before="0"/>
                      <w:ind w:left="58" w:right="0" w:firstLine="0"/>
                      <w:jc w:val="left"/>
                      <w:rPr>
                        <w:sz w:val="32"/>
                      </w:rPr>
                    </w:pPr>
                    <w:r>
                      <w:rPr>
                        <w:color w:val="FFFFFF"/>
                        <w:w w:val="110"/>
                        <w:sz w:val="32"/>
                      </w:rPr>
                      <w:t>Change 3</w:t>
                    </w:r>
                  </w:p>
                </w:txbxContent>
              </v:textbox>
              <w10:wrap type="none"/>
            </v:shape>
            <w10:wrap type="topAndBottom"/>
          </v:group>
        </w:pict>
      </w:r>
    </w:p>
    <w:p>
      <w:pPr>
        <w:pStyle w:val="BodyText"/>
        <w:spacing w:line="252" w:lineRule="auto" w:before="55"/>
        <w:ind w:left="1700" w:right="1697"/>
        <w:jc w:val="both"/>
      </w:pPr>
      <w:r>
        <w:rPr>
          <w:color w:val="231F20"/>
          <w:w w:val="105"/>
        </w:rPr>
        <w:t>Some</w:t>
      </w:r>
      <w:r>
        <w:rPr>
          <w:color w:val="231F20"/>
          <w:spacing w:val="-5"/>
          <w:w w:val="105"/>
        </w:rPr>
        <w:t> </w:t>
      </w:r>
      <w:r>
        <w:rPr>
          <w:color w:val="231F20"/>
          <w:w w:val="105"/>
        </w:rPr>
        <w:t>PJSI</w:t>
      </w:r>
      <w:r>
        <w:rPr>
          <w:color w:val="231F20"/>
          <w:spacing w:val="-5"/>
          <w:w w:val="105"/>
        </w:rPr>
        <w:t> </w:t>
      </w:r>
      <w:r>
        <w:rPr>
          <w:color w:val="231F20"/>
          <w:w w:val="105"/>
        </w:rPr>
        <w:t>partner</w:t>
      </w:r>
      <w:r>
        <w:rPr>
          <w:color w:val="231F20"/>
          <w:spacing w:val="-5"/>
          <w:w w:val="105"/>
        </w:rPr>
        <w:t> </w:t>
      </w:r>
      <w:r>
        <w:rPr>
          <w:color w:val="231F20"/>
          <w:w w:val="105"/>
        </w:rPr>
        <w:t>courts</w:t>
      </w:r>
      <w:r>
        <w:rPr>
          <w:color w:val="231F20"/>
          <w:spacing w:val="-5"/>
          <w:w w:val="105"/>
        </w:rPr>
        <w:t> </w:t>
      </w:r>
      <w:r>
        <w:rPr>
          <w:color w:val="231F20"/>
          <w:spacing w:val="-3"/>
          <w:w w:val="105"/>
        </w:rPr>
        <w:t>have</w:t>
      </w:r>
      <w:r>
        <w:rPr>
          <w:color w:val="231F20"/>
          <w:spacing w:val="-5"/>
          <w:w w:val="105"/>
        </w:rPr>
        <w:t> </w:t>
      </w:r>
      <w:r>
        <w:rPr>
          <w:color w:val="231F20"/>
          <w:w w:val="105"/>
        </w:rPr>
        <w:t>set</w:t>
      </w:r>
      <w:r>
        <w:rPr>
          <w:color w:val="231F20"/>
          <w:spacing w:val="-5"/>
          <w:w w:val="105"/>
        </w:rPr>
        <w:t> </w:t>
      </w:r>
      <w:r>
        <w:rPr>
          <w:color w:val="231F20"/>
          <w:w w:val="105"/>
        </w:rPr>
        <w:t>court</w:t>
      </w:r>
      <w:r>
        <w:rPr>
          <w:color w:val="231F20"/>
          <w:spacing w:val="-5"/>
          <w:w w:val="105"/>
        </w:rPr>
        <w:t> </w:t>
      </w:r>
      <w:r>
        <w:rPr>
          <w:color w:val="231F20"/>
          <w:w w:val="105"/>
        </w:rPr>
        <w:t>performance</w:t>
      </w:r>
      <w:r>
        <w:rPr>
          <w:color w:val="231F20"/>
          <w:spacing w:val="-5"/>
          <w:w w:val="105"/>
        </w:rPr>
        <w:t> </w:t>
      </w:r>
      <w:r>
        <w:rPr>
          <w:color w:val="231F20"/>
          <w:w w:val="105"/>
        </w:rPr>
        <w:t>goals</w:t>
      </w:r>
      <w:r>
        <w:rPr>
          <w:color w:val="231F20"/>
          <w:spacing w:val="-5"/>
          <w:w w:val="105"/>
        </w:rPr>
        <w:t> </w:t>
      </w:r>
      <w:r>
        <w:rPr>
          <w:color w:val="231F20"/>
          <w:w w:val="105"/>
        </w:rPr>
        <w:t>or</w:t>
      </w:r>
      <w:r>
        <w:rPr>
          <w:color w:val="231F20"/>
          <w:spacing w:val="-5"/>
          <w:w w:val="105"/>
        </w:rPr>
        <w:t> </w:t>
      </w:r>
      <w:r>
        <w:rPr>
          <w:color w:val="231F20"/>
          <w:w w:val="105"/>
        </w:rPr>
        <w:t>standards</w:t>
      </w:r>
      <w:r>
        <w:rPr>
          <w:color w:val="231F20"/>
          <w:spacing w:val="-5"/>
          <w:w w:val="105"/>
        </w:rPr>
        <w:t> </w:t>
      </w:r>
      <w:r>
        <w:rPr>
          <w:color w:val="231F20"/>
          <w:w w:val="105"/>
        </w:rPr>
        <w:t>in</w:t>
      </w:r>
      <w:r>
        <w:rPr>
          <w:color w:val="231F20"/>
          <w:spacing w:val="-5"/>
          <w:w w:val="105"/>
        </w:rPr>
        <w:t> </w:t>
      </w:r>
      <w:r>
        <w:rPr>
          <w:color w:val="231F20"/>
          <w:w w:val="105"/>
        </w:rPr>
        <w:t>relation</w:t>
      </w:r>
      <w:r>
        <w:rPr>
          <w:color w:val="231F20"/>
          <w:spacing w:val="-5"/>
          <w:w w:val="105"/>
        </w:rPr>
        <w:t> </w:t>
      </w:r>
      <w:r>
        <w:rPr>
          <w:color w:val="231F20"/>
          <w:w w:val="105"/>
        </w:rPr>
        <w:t>to</w:t>
      </w:r>
      <w:r>
        <w:rPr>
          <w:color w:val="231F20"/>
          <w:spacing w:val="-5"/>
          <w:w w:val="105"/>
        </w:rPr>
        <w:t> </w:t>
      </w:r>
      <w:r>
        <w:rPr>
          <w:color w:val="231F20"/>
          <w:w w:val="105"/>
        </w:rPr>
        <w:t>clearance rates. </w:t>
      </w:r>
      <w:r>
        <w:rPr>
          <w:color w:val="231F20"/>
          <w:spacing w:val="-4"/>
          <w:w w:val="105"/>
        </w:rPr>
        <w:t>The </w:t>
      </w:r>
      <w:r>
        <w:rPr>
          <w:color w:val="231F20"/>
          <w:w w:val="105"/>
        </w:rPr>
        <w:t>2017 Annual Report for the Republic of the Marshall Islands presented above shows how an example of how a reduction in a court clearance rate can be explained in the context of</w:t>
      </w:r>
      <w:r>
        <w:rPr>
          <w:color w:val="231F20"/>
          <w:spacing w:val="-8"/>
          <w:w w:val="105"/>
        </w:rPr>
        <w:t> </w:t>
      </w:r>
      <w:r>
        <w:rPr>
          <w:color w:val="231F20"/>
          <w:w w:val="105"/>
        </w:rPr>
        <w:t>broader</w:t>
      </w:r>
      <w:r>
        <w:rPr>
          <w:color w:val="231F20"/>
          <w:spacing w:val="-8"/>
          <w:w w:val="105"/>
        </w:rPr>
        <w:t> </w:t>
      </w:r>
      <w:r>
        <w:rPr>
          <w:color w:val="231F20"/>
          <w:w w:val="105"/>
        </w:rPr>
        <w:t>court</w:t>
      </w:r>
      <w:r>
        <w:rPr>
          <w:color w:val="231F20"/>
          <w:spacing w:val="-8"/>
          <w:w w:val="105"/>
        </w:rPr>
        <w:t> </w:t>
      </w:r>
      <w:r>
        <w:rPr>
          <w:color w:val="231F20"/>
          <w:w w:val="105"/>
        </w:rPr>
        <w:t>performance</w:t>
      </w:r>
      <w:r>
        <w:rPr>
          <w:color w:val="231F20"/>
          <w:spacing w:val="-8"/>
          <w:w w:val="105"/>
        </w:rPr>
        <w:t> </w:t>
      </w:r>
      <w:r>
        <w:rPr>
          <w:color w:val="231F20"/>
          <w:w w:val="105"/>
        </w:rPr>
        <w:t>reforms</w:t>
      </w:r>
      <w:r>
        <w:rPr>
          <w:color w:val="231F20"/>
          <w:spacing w:val="-8"/>
          <w:w w:val="105"/>
        </w:rPr>
        <w:t> </w:t>
      </w:r>
      <w:r>
        <w:rPr>
          <w:color w:val="231F20"/>
          <w:w w:val="105"/>
        </w:rPr>
        <w:t>that</w:t>
      </w:r>
      <w:r>
        <w:rPr>
          <w:color w:val="231F20"/>
          <w:spacing w:val="-8"/>
          <w:w w:val="105"/>
        </w:rPr>
        <w:t> </w:t>
      </w:r>
      <w:r>
        <w:rPr>
          <w:color w:val="231F20"/>
          <w:w w:val="105"/>
        </w:rPr>
        <w:t>are</w:t>
      </w:r>
      <w:r>
        <w:rPr>
          <w:color w:val="231F20"/>
          <w:spacing w:val="-8"/>
          <w:w w:val="105"/>
        </w:rPr>
        <w:t> </w:t>
      </w:r>
      <w:r>
        <w:rPr>
          <w:color w:val="231F20"/>
          <w:spacing w:val="-4"/>
          <w:w w:val="105"/>
        </w:rPr>
        <w:t>underway.</w:t>
      </w:r>
      <w:r>
        <w:rPr>
          <w:color w:val="231F20"/>
          <w:spacing w:val="-8"/>
          <w:w w:val="105"/>
        </w:rPr>
        <w:t> </w:t>
      </w:r>
      <w:r>
        <w:rPr>
          <w:color w:val="231F20"/>
          <w:w w:val="105"/>
        </w:rPr>
        <w:t>In</w:t>
      </w:r>
      <w:r>
        <w:rPr>
          <w:color w:val="231F20"/>
          <w:spacing w:val="-8"/>
          <w:w w:val="105"/>
        </w:rPr>
        <w:t> </w:t>
      </w:r>
      <w:r>
        <w:rPr>
          <w:color w:val="231F20"/>
          <w:w w:val="105"/>
        </w:rPr>
        <w:t>future,</w:t>
      </w:r>
      <w:r>
        <w:rPr>
          <w:color w:val="231F20"/>
          <w:spacing w:val="-8"/>
          <w:w w:val="105"/>
        </w:rPr>
        <w:t> </w:t>
      </w:r>
      <w:r>
        <w:rPr>
          <w:color w:val="231F20"/>
          <w:w w:val="105"/>
        </w:rPr>
        <w:t>it</w:t>
      </w:r>
      <w:r>
        <w:rPr>
          <w:color w:val="231F20"/>
          <w:spacing w:val="-8"/>
          <w:w w:val="105"/>
        </w:rPr>
        <w:t> </w:t>
      </w:r>
      <w:r>
        <w:rPr>
          <w:color w:val="231F20"/>
          <w:w w:val="105"/>
        </w:rPr>
        <w:t>is</w:t>
      </w:r>
      <w:r>
        <w:rPr>
          <w:color w:val="231F20"/>
          <w:spacing w:val="-8"/>
          <w:w w:val="105"/>
        </w:rPr>
        <w:t> </w:t>
      </w:r>
      <w:r>
        <w:rPr>
          <w:color w:val="231F20"/>
          <w:w w:val="105"/>
        </w:rPr>
        <w:t>hoped</w:t>
      </w:r>
      <w:r>
        <w:rPr>
          <w:color w:val="231F20"/>
          <w:spacing w:val="-8"/>
          <w:w w:val="105"/>
        </w:rPr>
        <w:t> </w:t>
      </w:r>
      <w:r>
        <w:rPr>
          <w:color w:val="231F20"/>
          <w:w w:val="105"/>
        </w:rPr>
        <w:t>that</w:t>
      </w:r>
      <w:r>
        <w:rPr>
          <w:color w:val="231F20"/>
          <w:spacing w:val="-8"/>
          <w:w w:val="105"/>
        </w:rPr>
        <w:t> </w:t>
      </w:r>
      <w:r>
        <w:rPr>
          <w:color w:val="231F20"/>
          <w:w w:val="105"/>
        </w:rPr>
        <w:t>more</w:t>
      </w:r>
      <w:r>
        <w:rPr>
          <w:color w:val="231F20"/>
          <w:spacing w:val="-8"/>
          <w:w w:val="105"/>
        </w:rPr>
        <w:t> </w:t>
      </w:r>
      <w:r>
        <w:rPr>
          <w:color w:val="231F20"/>
          <w:w w:val="105"/>
        </w:rPr>
        <w:t>courts refer to the court performance standards they </w:t>
      </w:r>
      <w:r>
        <w:rPr>
          <w:color w:val="231F20"/>
          <w:spacing w:val="-3"/>
          <w:w w:val="105"/>
        </w:rPr>
        <w:t>have </w:t>
      </w:r>
      <w:r>
        <w:rPr>
          <w:color w:val="231F20"/>
          <w:w w:val="105"/>
        </w:rPr>
        <w:t>set and present data and a short narrative that explores whether they </w:t>
      </w:r>
      <w:r>
        <w:rPr>
          <w:color w:val="231F20"/>
          <w:spacing w:val="-3"/>
          <w:w w:val="105"/>
        </w:rPr>
        <w:t>have </w:t>
      </w:r>
      <w:r>
        <w:rPr>
          <w:color w:val="231F20"/>
          <w:w w:val="105"/>
        </w:rPr>
        <w:t>met this standard or the factors that </w:t>
      </w:r>
      <w:r>
        <w:rPr>
          <w:color w:val="231F20"/>
          <w:spacing w:val="-3"/>
          <w:w w:val="105"/>
        </w:rPr>
        <w:t>have </w:t>
      </w:r>
      <w:r>
        <w:rPr>
          <w:color w:val="231F20"/>
          <w:w w:val="105"/>
        </w:rPr>
        <w:t>contributed to the court not reaching their performance</w:t>
      </w:r>
      <w:r>
        <w:rPr>
          <w:color w:val="231F20"/>
          <w:spacing w:val="35"/>
          <w:w w:val="105"/>
        </w:rPr>
        <w:t> </w:t>
      </w:r>
      <w:r>
        <w:rPr>
          <w:color w:val="231F20"/>
          <w:w w:val="105"/>
        </w:rPr>
        <w:t>goal.</w:t>
      </w:r>
    </w:p>
    <w:p>
      <w:pPr>
        <w:pStyle w:val="BodyText"/>
        <w:rPr>
          <w:sz w:val="24"/>
        </w:rPr>
      </w:pPr>
    </w:p>
    <w:p>
      <w:pPr>
        <w:pStyle w:val="BodyText"/>
        <w:spacing w:before="9"/>
        <w:rPr>
          <w:sz w:val="35"/>
        </w:rPr>
      </w:pPr>
    </w:p>
    <w:p>
      <w:pPr>
        <w:pStyle w:val="BodyText"/>
        <w:ind w:left="1700"/>
        <w:jc w:val="both"/>
      </w:pPr>
      <w:r>
        <w:rPr>
          <w:color w:val="231F20"/>
          <w:w w:val="105"/>
        </w:rPr>
        <w:t>Clearance rates – 2011 Baseline Report</w:t>
      </w:r>
    </w:p>
    <w:p>
      <w:pPr>
        <w:pStyle w:val="BodyText"/>
        <w:spacing w:before="3"/>
        <w:rPr>
          <w:sz w:val="11"/>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446"/>
        <w:gridCol w:w="1292"/>
        <w:gridCol w:w="1218"/>
        <w:gridCol w:w="1048"/>
        <w:gridCol w:w="1209"/>
        <w:gridCol w:w="1081"/>
        <w:gridCol w:w="1195"/>
      </w:tblGrid>
      <w:tr>
        <w:trPr>
          <w:trHeight w:val="462" w:hRule="atLeast"/>
        </w:trPr>
        <w:tc>
          <w:tcPr>
            <w:tcW w:w="1446" w:type="dxa"/>
            <w:shd w:val="clear" w:color="auto" w:fill="92BAC2"/>
          </w:tcPr>
          <w:p>
            <w:pPr>
              <w:pStyle w:val="TableParagraph"/>
              <w:spacing w:before="75"/>
              <w:ind w:left="79"/>
              <w:rPr>
                <w:b/>
                <w:sz w:val="15"/>
              </w:rPr>
            </w:pPr>
            <w:r>
              <w:rPr>
                <w:b/>
                <w:color w:val="231F20"/>
                <w:w w:val="110"/>
                <w:sz w:val="15"/>
              </w:rPr>
              <w:t>Cook Islands</w:t>
            </w:r>
          </w:p>
        </w:tc>
        <w:tc>
          <w:tcPr>
            <w:tcW w:w="1292" w:type="dxa"/>
            <w:shd w:val="clear" w:color="auto" w:fill="92BAC2"/>
          </w:tcPr>
          <w:p>
            <w:pPr>
              <w:pStyle w:val="TableParagraph"/>
              <w:spacing w:line="223" w:lineRule="auto" w:before="85"/>
              <w:ind w:left="80"/>
              <w:rPr>
                <w:b/>
                <w:sz w:val="15"/>
              </w:rPr>
            </w:pPr>
            <w:r>
              <w:rPr>
                <w:b/>
                <w:color w:val="231F20"/>
                <w:w w:val="105"/>
                <w:sz w:val="15"/>
              </w:rPr>
              <w:t>Federated States of Micronesia</w:t>
            </w:r>
          </w:p>
        </w:tc>
        <w:tc>
          <w:tcPr>
            <w:tcW w:w="1218" w:type="dxa"/>
            <w:shd w:val="clear" w:color="auto" w:fill="92BAC2"/>
          </w:tcPr>
          <w:p>
            <w:pPr>
              <w:pStyle w:val="TableParagraph"/>
              <w:spacing w:before="75"/>
              <w:ind w:left="80"/>
              <w:rPr>
                <w:b/>
                <w:sz w:val="15"/>
              </w:rPr>
            </w:pPr>
            <w:r>
              <w:rPr>
                <w:b/>
                <w:color w:val="231F20"/>
                <w:w w:val="110"/>
                <w:sz w:val="15"/>
              </w:rPr>
              <w:t>Kiribati Islands</w:t>
            </w:r>
          </w:p>
        </w:tc>
        <w:tc>
          <w:tcPr>
            <w:tcW w:w="1048" w:type="dxa"/>
            <w:shd w:val="clear" w:color="auto" w:fill="92BAC2"/>
          </w:tcPr>
          <w:p>
            <w:pPr>
              <w:pStyle w:val="TableParagraph"/>
              <w:spacing w:line="223" w:lineRule="auto" w:before="85"/>
              <w:ind w:left="81" w:right="363"/>
              <w:rPr>
                <w:b/>
                <w:sz w:val="15"/>
              </w:rPr>
            </w:pPr>
            <w:r>
              <w:rPr>
                <w:b/>
                <w:color w:val="231F20"/>
                <w:w w:val="105"/>
                <w:sz w:val="15"/>
              </w:rPr>
              <w:t>Marshall Islands</w:t>
            </w:r>
          </w:p>
        </w:tc>
        <w:tc>
          <w:tcPr>
            <w:tcW w:w="1209" w:type="dxa"/>
            <w:shd w:val="clear" w:color="auto" w:fill="92BAC2"/>
          </w:tcPr>
          <w:p>
            <w:pPr>
              <w:pStyle w:val="TableParagraph"/>
              <w:spacing w:before="75"/>
              <w:ind w:left="82"/>
              <w:rPr>
                <w:b/>
                <w:sz w:val="15"/>
              </w:rPr>
            </w:pPr>
            <w:r>
              <w:rPr>
                <w:b/>
                <w:color w:val="231F20"/>
                <w:w w:val="110"/>
                <w:sz w:val="15"/>
              </w:rPr>
              <w:t>Nauru</w:t>
            </w:r>
          </w:p>
        </w:tc>
        <w:tc>
          <w:tcPr>
            <w:tcW w:w="1081" w:type="dxa"/>
            <w:shd w:val="clear" w:color="auto" w:fill="92BAC2"/>
          </w:tcPr>
          <w:p>
            <w:pPr>
              <w:pStyle w:val="TableParagraph"/>
              <w:spacing w:before="75"/>
              <w:ind w:left="83"/>
              <w:rPr>
                <w:b/>
                <w:sz w:val="15"/>
              </w:rPr>
            </w:pPr>
            <w:r>
              <w:rPr>
                <w:b/>
                <w:color w:val="231F20"/>
                <w:w w:val="110"/>
                <w:sz w:val="15"/>
              </w:rPr>
              <w:t>Niue</w:t>
            </w:r>
          </w:p>
        </w:tc>
        <w:tc>
          <w:tcPr>
            <w:tcW w:w="1195" w:type="dxa"/>
            <w:shd w:val="clear" w:color="auto" w:fill="92BAC2"/>
          </w:tcPr>
          <w:p>
            <w:pPr>
              <w:pStyle w:val="TableParagraph"/>
              <w:spacing w:before="75"/>
              <w:ind w:left="83"/>
              <w:rPr>
                <w:b/>
                <w:sz w:val="15"/>
              </w:rPr>
            </w:pPr>
            <w:r>
              <w:rPr>
                <w:b/>
                <w:color w:val="231F20"/>
                <w:w w:val="105"/>
                <w:sz w:val="15"/>
              </w:rPr>
              <w:t>Palau</w:t>
            </w:r>
          </w:p>
        </w:tc>
      </w:tr>
      <w:tr>
        <w:trPr>
          <w:trHeight w:val="1733" w:hRule="atLeast"/>
        </w:trPr>
        <w:tc>
          <w:tcPr>
            <w:tcW w:w="1446" w:type="dxa"/>
            <w:shd w:val="clear" w:color="auto" w:fill="F2CDBE"/>
          </w:tcPr>
          <w:p>
            <w:pPr>
              <w:pStyle w:val="TableParagraph"/>
              <w:spacing w:before="74"/>
              <w:ind w:left="79"/>
              <w:rPr>
                <w:sz w:val="15"/>
              </w:rPr>
            </w:pPr>
            <w:r>
              <w:rPr>
                <w:color w:val="231F20"/>
                <w:w w:val="110"/>
                <w:sz w:val="15"/>
              </w:rPr>
              <w:t>Data unavailable</w:t>
            </w:r>
          </w:p>
        </w:tc>
        <w:tc>
          <w:tcPr>
            <w:tcW w:w="1292" w:type="dxa"/>
            <w:shd w:val="clear" w:color="auto" w:fill="F2CDBE"/>
          </w:tcPr>
          <w:p>
            <w:pPr>
              <w:pStyle w:val="TableParagraph"/>
              <w:spacing w:before="74"/>
              <w:ind w:left="80"/>
              <w:rPr>
                <w:sz w:val="15"/>
              </w:rPr>
            </w:pPr>
            <w:r>
              <w:rPr>
                <w:color w:val="231F20"/>
                <w:w w:val="110"/>
                <w:sz w:val="15"/>
              </w:rPr>
              <w:t>Data unavailable</w:t>
            </w:r>
          </w:p>
        </w:tc>
        <w:tc>
          <w:tcPr>
            <w:tcW w:w="1218" w:type="dxa"/>
            <w:shd w:val="clear" w:color="auto" w:fill="D8E3CE"/>
          </w:tcPr>
          <w:p>
            <w:pPr>
              <w:pStyle w:val="TableParagraph"/>
              <w:spacing w:line="223" w:lineRule="auto" w:before="85"/>
              <w:ind w:left="80" w:right="331"/>
              <w:rPr>
                <w:sz w:val="15"/>
              </w:rPr>
            </w:pPr>
            <w:r>
              <w:rPr>
                <w:b/>
                <w:color w:val="231F20"/>
                <w:w w:val="105"/>
                <w:sz w:val="15"/>
              </w:rPr>
              <w:t>Magistrates </w:t>
            </w:r>
            <w:r>
              <w:rPr>
                <w:b/>
                <w:color w:val="231F20"/>
                <w:w w:val="110"/>
                <w:sz w:val="15"/>
              </w:rPr>
              <w:t>Court </w:t>
            </w:r>
            <w:r>
              <w:rPr>
                <w:color w:val="231F20"/>
                <w:w w:val="110"/>
                <w:sz w:val="15"/>
              </w:rPr>
              <w:t>22%</w:t>
            </w:r>
          </w:p>
          <w:p>
            <w:pPr>
              <w:pStyle w:val="TableParagraph"/>
              <w:spacing w:before="4"/>
              <w:rPr>
                <w:sz w:val="22"/>
              </w:rPr>
            </w:pPr>
          </w:p>
          <w:p>
            <w:pPr>
              <w:pStyle w:val="TableParagraph"/>
              <w:spacing w:line="177" w:lineRule="exact"/>
              <w:ind w:left="80"/>
              <w:rPr>
                <w:b/>
                <w:sz w:val="15"/>
              </w:rPr>
            </w:pPr>
            <w:r>
              <w:rPr>
                <w:b/>
                <w:color w:val="231F20"/>
                <w:w w:val="115"/>
                <w:sz w:val="15"/>
              </w:rPr>
              <w:t>High Court</w:t>
            </w:r>
          </w:p>
          <w:p>
            <w:pPr>
              <w:pStyle w:val="TableParagraph"/>
              <w:spacing w:line="177" w:lineRule="exact"/>
              <w:ind w:left="80"/>
              <w:rPr>
                <w:sz w:val="15"/>
              </w:rPr>
            </w:pPr>
            <w:r>
              <w:rPr>
                <w:color w:val="231F20"/>
                <w:w w:val="120"/>
                <w:sz w:val="15"/>
              </w:rPr>
              <w:t>32%</w:t>
            </w:r>
          </w:p>
        </w:tc>
        <w:tc>
          <w:tcPr>
            <w:tcW w:w="1048" w:type="dxa"/>
            <w:shd w:val="clear" w:color="auto" w:fill="D8E3CE"/>
          </w:tcPr>
          <w:p>
            <w:pPr>
              <w:pStyle w:val="TableParagraph"/>
              <w:spacing w:line="223" w:lineRule="auto" w:before="85"/>
              <w:ind w:left="81" w:right="10"/>
              <w:rPr>
                <w:b/>
                <w:sz w:val="15"/>
              </w:rPr>
            </w:pPr>
            <w:r>
              <w:rPr>
                <w:b/>
                <w:color w:val="231F20"/>
                <w:w w:val="105"/>
                <w:sz w:val="15"/>
              </w:rPr>
              <w:t>Supreme </w:t>
            </w:r>
            <w:r>
              <w:rPr>
                <w:b/>
                <w:color w:val="231F20"/>
                <w:w w:val="110"/>
                <w:sz w:val="15"/>
              </w:rPr>
              <w:t>Court</w:t>
            </w:r>
          </w:p>
          <w:p>
            <w:pPr>
              <w:pStyle w:val="TableParagraph"/>
              <w:spacing w:line="173" w:lineRule="exact"/>
              <w:ind w:left="81"/>
              <w:rPr>
                <w:sz w:val="15"/>
              </w:rPr>
            </w:pPr>
            <w:r>
              <w:rPr>
                <w:color w:val="231F20"/>
                <w:w w:val="115"/>
                <w:sz w:val="15"/>
              </w:rPr>
              <w:t>225% (2010)</w:t>
            </w:r>
          </w:p>
          <w:p>
            <w:pPr>
              <w:pStyle w:val="TableParagraph"/>
              <w:spacing w:line="177" w:lineRule="exact" w:before="100"/>
              <w:ind w:left="81"/>
              <w:rPr>
                <w:b/>
                <w:sz w:val="15"/>
              </w:rPr>
            </w:pPr>
            <w:r>
              <w:rPr>
                <w:b/>
                <w:color w:val="231F20"/>
                <w:w w:val="115"/>
                <w:sz w:val="15"/>
              </w:rPr>
              <w:t>High Court</w:t>
            </w:r>
          </w:p>
          <w:p>
            <w:pPr>
              <w:pStyle w:val="TableParagraph"/>
              <w:spacing w:line="177" w:lineRule="exact"/>
              <w:ind w:left="81"/>
              <w:rPr>
                <w:sz w:val="15"/>
              </w:rPr>
            </w:pPr>
            <w:r>
              <w:rPr>
                <w:color w:val="231F20"/>
                <w:w w:val="115"/>
                <w:sz w:val="15"/>
              </w:rPr>
              <w:t>103% (2010)</w:t>
            </w:r>
          </w:p>
          <w:p>
            <w:pPr>
              <w:pStyle w:val="TableParagraph"/>
              <w:spacing w:line="223" w:lineRule="auto" w:before="110"/>
              <w:ind w:left="81" w:right="363"/>
              <w:rPr>
                <w:b/>
                <w:sz w:val="15"/>
              </w:rPr>
            </w:pPr>
            <w:r>
              <w:rPr>
                <w:b/>
                <w:color w:val="231F20"/>
                <w:w w:val="110"/>
                <w:sz w:val="15"/>
              </w:rPr>
              <w:t>District Court</w:t>
            </w:r>
          </w:p>
          <w:p>
            <w:pPr>
              <w:pStyle w:val="TableParagraph"/>
              <w:spacing w:line="173" w:lineRule="exact"/>
              <w:ind w:left="81"/>
              <w:rPr>
                <w:sz w:val="15"/>
              </w:rPr>
            </w:pPr>
            <w:r>
              <w:rPr>
                <w:color w:val="231F20"/>
                <w:w w:val="115"/>
                <w:sz w:val="15"/>
              </w:rPr>
              <w:t>87% (2010)</w:t>
            </w:r>
          </w:p>
        </w:tc>
        <w:tc>
          <w:tcPr>
            <w:tcW w:w="1209" w:type="dxa"/>
            <w:shd w:val="clear" w:color="auto" w:fill="D8E3CE"/>
          </w:tcPr>
          <w:p>
            <w:pPr>
              <w:pStyle w:val="TableParagraph"/>
              <w:spacing w:line="223" w:lineRule="auto" w:before="85"/>
              <w:ind w:left="82" w:right="18"/>
              <w:rPr>
                <w:sz w:val="15"/>
              </w:rPr>
            </w:pPr>
            <w:r>
              <w:rPr>
                <w:b/>
                <w:color w:val="231F20"/>
                <w:w w:val="110"/>
                <w:sz w:val="15"/>
              </w:rPr>
              <w:t>Supreme Court </w:t>
            </w:r>
            <w:r>
              <w:rPr>
                <w:color w:val="231F20"/>
                <w:w w:val="110"/>
                <w:sz w:val="15"/>
              </w:rPr>
              <w:t>14% (2010/2011)</w:t>
            </w:r>
          </w:p>
          <w:p>
            <w:pPr>
              <w:pStyle w:val="TableParagraph"/>
              <w:spacing w:line="223" w:lineRule="auto" w:before="55"/>
              <w:ind w:left="82" w:right="320"/>
              <w:rPr>
                <w:b/>
                <w:sz w:val="15"/>
              </w:rPr>
            </w:pPr>
            <w:r>
              <w:rPr>
                <w:b/>
                <w:color w:val="231F20"/>
                <w:w w:val="105"/>
                <w:sz w:val="15"/>
              </w:rPr>
              <w:t>Magistrates </w:t>
            </w:r>
            <w:r>
              <w:rPr>
                <w:b/>
                <w:color w:val="231F20"/>
                <w:w w:val="110"/>
                <w:sz w:val="15"/>
              </w:rPr>
              <w:t>Court</w:t>
            </w:r>
          </w:p>
          <w:p>
            <w:pPr>
              <w:pStyle w:val="TableParagraph"/>
              <w:spacing w:line="223" w:lineRule="auto"/>
              <w:ind w:left="82" w:right="302"/>
              <w:rPr>
                <w:sz w:val="15"/>
              </w:rPr>
            </w:pPr>
            <w:r>
              <w:rPr>
                <w:color w:val="231F20"/>
                <w:w w:val="115"/>
                <w:sz w:val="15"/>
              </w:rPr>
              <w:t>81% </w:t>
            </w:r>
            <w:r>
              <w:rPr>
                <w:color w:val="231F20"/>
                <w:w w:val="105"/>
                <w:sz w:val="15"/>
              </w:rPr>
              <w:t>(2010/2011)</w:t>
            </w:r>
          </w:p>
        </w:tc>
        <w:tc>
          <w:tcPr>
            <w:tcW w:w="1081" w:type="dxa"/>
            <w:shd w:val="clear" w:color="auto" w:fill="F2CDBE"/>
          </w:tcPr>
          <w:p>
            <w:pPr>
              <w:pStyle w:val="TableParagraph"/>
              <w:spacing w:line="223" w:lineRule="auto" w:before="84"/>
              <w:ind w:left="83"/>
              <w:rPr>
                <w:sz w:val="15"/>
              </w:rPr>
            </w:pPr>
            <w:r>
              <w:rPr>
                <w:color w:val="231F20"/>
                <w:w w:val="110"/>
                <w:sz w:val="15"/>
              </w:rPr>
              <w:t>Data unavailable</w:t>
            </w:r>
          </w:p>
        </w:tc>
        <w:tc>
          <w:tcPr>
            <w:tcW w:w="1195" w:type="dxa"/>
            <w:shd w:val="clear" w:color="auto" w:fill="D8E3CE"/>
          </w:tcPr>
          <w:p>
            <w:pPr>
              <w:pStyle w:val="TableParagraph"/>
              <w:spacing w:line="223" w:lineRule="auto" w:before="85"/>
              <w:ind w:left="83" w:right="64"/>
              <w:rPr>
                <w:sz w:val="15"/>
              </w:rPr>
            </w:pPr>
            <w:r>
              <w:rPr>
                <w:b/>
                <w:color w:val="231F20"/>
                <w:w w:val="110"/>
                <w:sz w:val="15"/>
              </w:rPr>
              <w:t>Court of Common Pleas </w:t>
            </w:r>
            <w:r>
              <w:rPr>
                <w:color w:val="231F20"/>
                <w:w w:val="110"/>
                <w:sz w:val="15"/>
              </w:rPr>
              <w:t>86% (2010)</w:t>
            </w:r>
          </w:p>
        </w:tc>
      </w:tr>
      <w:tr>
        <w:trPr>
          <w:trHeight w:val="462" w:hRule="atLeast"/>
        </w:trPr>
        <w:tc>
          <w:tcPr>
            <w:tcW w:w="1446" w:type="dxa"/>
            <w:shd w:val="clear" w:color="auto" w:fill="92BAC2"/>
          </w:tcPr>
          <w:p>
            <w:pPr>
              <w:pStyle w:val="TableParagraph"/>
              <w:spacing w:before="75"/>
              <w:ind w:left="79"/>
              <w:rPr>
                <w:b/>
                <w:sz w:val="15"/>
              </w:rPr>
            </w:pPr>
            <w:r>
              <w:rPr>
                <w:b/>
                <w:color w:val="231F20"/>
                <w:w w:val="110"/>
                <w:sz w:val="15"/>
              </w:rPr>
              <w:t>Papua New Guinea</w:t>
            </w:r>
          </w:p>
        </w:tc>
        <w:tc>
          <w:tcPr>
            <w:tcW w:w="1292" w:type="dxa"/>
            <w:shd w:val="clear" w:color="auto" w:fill="92BAC2"/>
          </w:tcPr>
          <w:p>
            <w:pPr>
              <w:pStyle w:val="TableParagraph"/>
              <w:spacing w:before="75"/>
              <w:ind w:left="80"/>
              <w:rPr>
                <w:b/>
                <w:sz w:val="15"/>
              </w:rPr>
            </w:pPr>
            <w:r>
              <w:rPr>
                <w:b/>
                <w:color w:val="231F20"/>
                <w:w w:val="105"/>
                <w:sz w:val="15"/>
              </w:rPr>
              <w:t>Samoa</w:t>
            </w:r>
          </w:p>
        </w:tc>
        <w:tc>
          <w:tcPr>
            <w:tcW w:w="1218" w:type="dxa"/>
            <w:shd w:val="clear" w:color="auto" w:fill="92BAC2"/>
          </w:tcPr>
          <w:p>
            <w:pPr>
              <w:pStyle w:val="TableParagraph"/>
              <w:spacing w:line="223" w:lineRule="auto" w:before="85"/>
              <w:ind w:left="80" w:right="528"/>
              <w:rPr>
                <w:b/>
                <w:sz w:val="15"/>
              </w:rPr>
            </w:pPr>
            <w:r>
              <w:rPr>
                <w:b/>
                <w:color w:val="231F20"/>
                <w:w w:val="105"/>
                <w:sz w:val="15"/>
              </w:rPr>
              <w:t>Solomon </w:t>
            </w:r>
            <w:r>
              <w:rPr>
                <w:b/>
                <w:color w:val="231F20"/>
                <w:w w:val="110"/>
                <w:sz w:val="15"/>
              </w:rPr>
              <w:t>Islands</w:t>
            </w:r>
          </w:p>
        </w:tc>
        <w:tc>
          <w:tcPr>
            <w:tcW w:w="1048" w:type="dxa"/>
            <w:shd w:val="clear" w:color="auto" w:fill="92BAC2"/>
          </w:tcPr>
          <w:p>
            <w:pPr>
              <w:pStyle w:val="TableParagraph"/>
              <w:spacing w:before="75"/>
              <w:ind w:left="81"/>
              <w:rPr>
                <w:b/>
                <w:sz w:val="15"/>
              </w:rPr>
            </w:pPr>
            <w:r>
              <w:rPr>
                <w:b/>
                <w:color w:val="231F20"/>
                <w:w w:val="110"/>
                <w:sz w:val="15"/>
              </w:rPr>
              <w:t>Tokelau</w:t>
            </w:r>
          </w:p>
        </w:tc>
        <w:tc>
          <w:tcPr>
            <w:tcW w:w="1209" w:type="dxa"/>
            <w:shd w:val="clear" w:color="auto" w:fill="92BAC2"/>
          </w:tcPr>
          <w:p>
            <w:pPr>
              <w:pStyle w:val="TableParagraph"/>
              <w:spacing w:before="75"/>
              <w:ind w:left="82"/>
              <w:rPr>
                <w:b/>
                <w:sz w:val="15"/>
              </w:rPr>
            </w:pPr>
            <w:r>
              <w:rPr>
                <w:b/>
                <w:color w:val="231F20"/>
                <w:w w:val="110"/>
                <w:sz w:val="15"/>
              </w:rPr>
              <w:t>Tonga</w:t>
            </w:r>
          </w:p>
        </w:tc>
        <w:tc>
          <w:tcPr>
            <w:tcW w:w="1081" w:type="dxa"/>
            <w:shd w:val="clear" w:color="auto" w:fill="92BAC2"/>
          </w:tcPr>
          <w:p>
            <w:pPr>
              <w:pStyle w:val="TableParagraph"/>
              <w:spacing w:before="75"/>
              <w:ind w:left="83"/>
              <w:rPr>
                <w:b/>
                <w:sz w:val="15"/>
              </w:rPr>
            </w:pPr>
            <w:r>
              <w:rPr>
                <w:b/>
                <w:color w:val="231F20"/>
                <w:w w:val="110"/>
                <w:sz w:val="15"/>
              </w:rPr>
              <w:t>Tuvalu</w:t>
            </w:r>
          </w:p>
        </w:tc>
        <w:tc>
          <w:tcPr>
            <w:tcW w:w="1195" w:type="dxa"/>
            <w:shd w:val="clear" w:color="auto" w:fill="92BAC2"/>
          </w:tcPr>
          <w:p>
            <w:pPr>
              <w:pStyle w:val="TableParagraph"/>
              <w:spacing w:before="75"/>
              <w:ind w:left="83"/>
              <w:rPr>
                <w:b/>
                <w:sz w:val="15"/>
              </w:rPr>
            </w:pPr>
            <w:r>
              <w:rPr>
                <w:b/>
                <w:color w:val="231F20"/>
                <w:w w:val="105"/>
                <w:sz w:val="15"/>
              </w:rPr>
              <w:t>Vanuatu</w:t>
            </w:r>
          </w:p>
        </w:tc>
      </w:tr>
      <w:tr>
        <w:trPr>
          <w:trHeight w:val="2827" w:hRule="atLeast"/>
        </w:trPr>
        <w:tc>
          <w:tcPr>
            <w:tcW w:w="1446" w:type="dxa"/>
            <w:shd w:val="clear" w:color="auto" w:fill="D8E3CE"/>
          </w:tcPr>
          <w:p>
            <w:pPr>
              <w:pStyle w:val="TableParagraph"/>
              <w:spacing w:line="223" w:lineRule="auto" w:before="85"/>
              <w:ind w:left="79" w:right="72"/>
              <w:rPr>
                <w:sz w:val="15"/>
              </w:rPr>
            </w:pPr>
            <w:r>
              <w:rPr>
                <w:b/>
                <w:color w:val="231F20"/>
                <w:w w:val="110"/>
                <w:sz w:val="15"/>
              </w:rPr>
              <w:t>Supreme Court </w:t>
            </w:r>
            <w:r>
              <w:rPr>
                <w:color w:val="231F20"/>
                <w:w w:val="110"/>
                <w:sz w:val="15"/>
              </w:rPr>
              <w:t>53% (2007) civil and criminal cases</w:t>
            </w:r>
          </w:p>
          <w:p>
            <w:pPr>
              <w:pStyle w:val="TableParagraph"/>
              <w:spacing w:line="177" w:lineRule="exact" w:before="102"/>
              <w:ind w:left="79"/>
              <w:rPr>
                <w:sz w:val="15"/>
              </w:rPr>
            </w:pPr>
            <w:r>
              <w:rPr>
                <w:color w:val="231F20"/>
                <w:w w:val="115"/>
                <w:sz w:val="15"/>
              </w:rPr>
              <w:t>National 12%</w:t>
            </w:r>
          </w:p>
          <w:p>
            <w:pPr>
              <w:pStyle w:val="TableParagraph"/>
              <w:spacing w:line="223" w:lineRule="auto" w:before="4"/>
              <w:ind w:left="79"/>
              <w:rPr>
                <w:sz w:val="15"/>
              </w:rPr>
            </w:pPr>
            <w:r>
              <w:rPr>
                <w:color w:val="231F20"/>
                <w:w w:val="110"/>
                <w:sz w:val="15"/>
              </w:rPr>
              <w:t>(2007) civil cases only</w:t>
            </w:r>
          </w:p>
          <w:p>
            <w:pPr>
              <w:pStyle w:val="TableParagraph"/>
              <w:spacing w:line="177" w:lineRule="exact" w:before="102"/>
              <w:ind w:left="79"/>
              <w:rPr>
                <w:b/>
                <w:sz w:val="15"/>
              </w:rPr>
            </w:pPr>
            <w:r>
              <w:rPr>
                <w:b/>
                <w:color w:val="231F20"/>
                <w:w w:val="110"/>
                <w:sz w:val="15"/>
              </w:rPr>
              <w:t>Magistrates Court</w:t>
            </w:r>
          </w:p>
          <w:p>
            <w:pPr>
              <w:pStyle w:val="TableParagraph"/>
              <w:spacing w:line="170" w:lineRule="exact"/>
              <w:ind w:left="79"/>
              <w:rPr>
                <w:sz w:val="15"/>
              </w:rPr>
            </w:pPr>
            <w:r>
              <w:rPr>
                <w:color w:val="231F20"/>
                <w:w w:val="110"/>
                <w:sz w:val="15"/>
              </w:rPr>
              <w:t>68% (2010) (This</w:t>
            </w:r>
          </w:p>
          <w:p>
            <w:pPr>
              <w:pStyle w:val="TableParagraph"/>
              <w:spacing w:line="223" w:lineRule="auto" w:before="4"/>
              <w:ind w:left="79" w:right="58"/>
              <w:rPr>
                <w:sz w:val="15"/>
              </w:rPr>
            </w:pPr>
            <w:r>
              <w:rPr>
                <w:color w:val="231F20"/>
                <w:w w:val="105"/>
                <w:sz w:val="15"/>
              </w:rPr>
              <w:t>data is obtained using the 57 Magistrates Courts with an electronic case management system as a sample)</w:t>
            </w:r>
          </w:p>
        </w:tc>
        <w:tc>
          <w:tcPr>
            <w:tcW w:w="1292" w:type="dxa"/>
            <w:shd w:val="clear" w:color="auto" w:fill="F2CDBE"/>
          </w:tcPr>
          <w:p>
            <w:pPr>
              <w:pStyle w:val="TableParagraph"/>
              <w:spacing w:before="74"/>
              <w:ind w:left="80"/>
              <w:rPr>
                <w:sz w:val="15"/>
              </w:rPr>
            </w:pPr>
            <w:r>
              <w:rPr>
                <w:color w:val="231F20"/>
                <w:w w:val="110"/>
                <w:sz w:val="15"/>
              </w:rPr>
              <w:t>Data unavailable</w:t>
            </w:r>
          </w:p>
        </w:tc>
        <w:tc>
          <w:tcPr>
            <w:tcW w:w="1218" w:type="dxa"/>
            <w:shd w:val="clear" w:color="auto" w:fill="D8E3CE"/>
          </w:tcPr>
          <w:p>
            <w:pPr>
              <w:pStyle w:val="TableParagraph"/>
              <w:spacing w:line="177" w:lineRule="exact" w:before="75"/>
              <w:ind w:left="80"/>
              <w:rPr>
                <w:b/>
                <w:sz w:val="15"/>
              </w:rPr>
            </w:pPr>
            <w:r>
              <w:rPr>
                <w:b/>
                <w:color w:val="231F20"/>
                <w:w w:val="115"/>
                <w:sz w:val="15"/>
              </w:rPr>
              <w:t>High Court</w:t>
            </w:r>
          </w:p>
          <w:p>
            <w:pPr>
              <w:pStyle w:val="TableParagraph"/>
              <w:spacing w:line="177" w:lineRule="exact"/>
              <w:ind w:left="80"/>
              <w:rPr>
                <w:sz w:val="15"/>
              </w:rPr>
            </w:pPr>
            <w:r>
              <w:rPr>
                <w:color w:val="231F20"/>
                <w:w w:val="115"/>
                <w:sz w:val="15"/>
              </w:rPr>
              <w:t>30.92% (2009)</w:t>
            </w:r>
          </w:p>
        </w:tc>
        <w:tc>
          <w:tcPr>
            <w:tcW w:w="1048" w:type="dxa"/>
            <w:shd w:val="clear" w:color="auto" w:fill="F2CDBE"/>
          </w:tcPr>
          <w:p>
            <w:pPr>
              <w:pStyle w:val="TableParagraph"/>
              <w:spacing w:line="223" w:lineRule="auto" w:before="84"/>
              <w:ind w:left="81" w:right="10"/>
              <w:rPr>
                <w:sz w:val="15"/>
              </w:rPr>
            </w:pPr>
            <w:r>
              <w:rPr>
                <w:color w:val="231F20"/>
                <w:w w:val="110"/>
                <w:sz w:val="15"/>
              </w:rPr>
              <w:t>Data unavailable</w:t>
            </w:r>
          </w:p>
        </w:tc>
        <w:tc>
          <w:tcPr>
            <w:tcW w:w="1209" w:type="dxa"/>
            <w:shd w:val="clear" w:color="auto" w:fill="D8E3CE"/>
          </w:tcPr>
          <w:p>
            <w:pPr>
              <w:pStyle w:val="TableParagraph"/>
              <w:spacing w:line="177" w:lineRule="exact" w:before="75"/>
              <w:ind w:left="82"/>
              <w:rPr>
                <w:b/>
                <w:sz w:val="15"/>
              </w:rPr>
            </w:pPr>
            <w:r>
              <w:rPr>
                <w:b/>
                <w:color w:val="231F20"/>
                <w:w w:val="110"/>
                <w:sz w:val="15"/>
              </w:rPr>
              <w:t>Supreme Court</w:t>
            </w:r>
          </w:p>
          <w:p>
            <w:pPr>
              <w:pStyle w:val="TableParagraph"/>
              <w:spacing w:line="177" w:lineRule="exact"/>
              <w:ind w:left="82"/>
              <w:rPr>
                <w:sz w:val="15"/>
              </w:rPr>
            </w:pPr>
            <w:r>
              <w:rPr>
                <w:color w:val="231F20"/>
                <w:w w:val="115"/>
                <w:sz w:val="15"/>
              </w:rPr>
              <w:t>70% (2010)</w:t>
            </w:r>
          </w:p>
          <w:p>
            <w:pPr>
              <w:pStyle w:val="TableParagraph"/>
              <w:spacing w:line="223" w:lineRule="auto" w:before="53"/>
              <w:ind w:left="82" w:right="320"/>
              <w:rPr>
                <w:b/>
                <w:sz w:val="15"/>
              </w:rPr>
            </w:pPr>
            <w:r>
              <w:rPr>
                <w:b/>
                <w:color w:val="231F20"/>
                <w:w w:val="105"/>
                <w:sz w:val="15"/>
              </w:rPr>
              <w:t>Magistrates </w:t>
            </w:r>
            <w:r>
              <w:rPr>
                <w:b/>
                <w:color w:val="231F20"/>
                <w:w w:val="110"/>
                <w:sz w:val="15"/>
              </w:rPr>
              <w:t>Court</w:t>
            </w:r>
          </w:p>
          <w:p>
            <w:pPr>
              <w:pStyle w:val="TableParagraph"/>
              <w:spacing w:line="173" w:lineRule="exact"/>
              <w:ind w:left="82"/>
              <w:rPr>
                <w:sz w:val="15"/>
              </w:rPr>
            </w:pPr>
            <w:r>
              <w:rPr>
                <w:color w:val="231F20"/>
                <w:w w:val="115"/>
                <w:sz w:val="15"/>
              </w:rPr>
              <w:t>84% (2010)</w:t>
            </w:r>
          </w:p>
        </w:tc>
        <w:tc>
          <w:tcPr>
            <w:tcW w:w="1081" w:type="dxa"/>
            <w:shd w:val="clear" w:color="auto" w:fill="D8E3CE"/>
          </w:tcPr>
          <w:p>
            <w:pPr>
              <w:pStyle w:val="TableParagraph"/>
              <w:spacing w:line="223" w:lineRule="auto" w:before="85"/>
              <w:ind w:left="83" w:right="191"/>
              <w:rPr>
                <w:sz w:val="15"/>
              </w:rPr>
            </w:pPr>
            <w:r>
              <w:rPr>
                <w:b/>
                <w:color w:val="231F20"/>
                <w:w w:val="105"/>
                <w:sz w:val="15"/>
              </w:rPr>
              <w:t>Magistrates </w:t>
            </w:r>
            <w:r>
              <w:rPr>
                <w:b/>
                <w:color w:val="231F20"/>
                <w:w w:val="110"/>
                <w:sz w:val="15"/>
              </w:rPr>
              <w:t>Court </w:t>
            </w:r>
            <w:r>
              <w:rPr>
                <w:color w:val="231F20"/>
                <w:w w:val="110"/>
                <w:sz w:val="15"/>
              </w:rPr>
              <w:t>67%</w:t>
            </w:r>
          </w:p>
        </w:tc>
        <w:tc>
          <w:tcPr>
            <w:tcW w:w="1195" w:type="dxa"/>
            <w:shd w:val="clear" w:color="auto" w:fill="D8E3CE"/>
          </w:tcPr>
          <w:p>
            <w:pPr>
              <w:pStyle w:val="TableParagraph"/>
              <w:spacing w:line="223" w:lineRule="auto" w:before="85"/>
              <w:ind w:left="83" w:right="305"/>
              <w:rPr>
                <w:b/>
                <w:sz w:val="15"/>
              </w:rPr>
            </w:pPr>
            <w:r>
              <w:rPr>
                <w:b/>
                <w:color w:val="231F20"/>
                <w:w w:val="105"/>
                <w:sz w:val="15"/>
              </w:rPr>
              <w:t>Supreme </w:t>
            </w:r>
            <w:r>
              <w:rPr>
                <w:b/>
                <w:color w:val="231F20"/>
                <w:w w:val="110"/>
                <w:sz w:val="15"/>
              </w:rPr>
              <w:t>Court</w:t>
            </w:r>
          </w:p>
          <w:p>
            <w:pPr>
              <w:pStyle w:val="TableParagraph"/>
              <w:spacing w:line="173" w:lineRule="exact"/>
              <w:ind w:left="83"/>
              <w:rPr>
                <w:sz w:val="15"/>
              </w:rPr>
            </w:pPr>
            <w:r>
              <w:rPr>
                <w:color w:val="231F20"/>
                <w:w w:val="115"/>
                <w:sz w:val="15"/>
              </w:rPr>
              <w:t>82% (2010)</w:t>
            </w:r>
          </w:p>
          <w:p>
            <w:pPr>
              <w:pStyle w:val="TableParagraph"/>
              <w:spacing w:line="223" w:lineRule="auto" w:before="53"/>
              <w:ind w:left="83" w:right="305"/>
              <w:rPr>
                <w:sz w:val="15"/>
              </w:rPr>
            </w:pPr>
            <w:r>
              <w:rPr>
                <w:b/>
                <w:color w:val="231F20"/>
                <w:w w:val="105"/>
                <w:sz w:val="15"/>
              </w:rPr>
              <w:t>Magistrates </w:t>
            </w:r>
            <w:r>
              <w:rPr>
                <w:b/>
                <w:color w:val="231F20"/>
                <w:w w:val="110"/>
                <w:sz w:val="15"/>
              </w:rPr>
              <w:t>Court </w:t>
            </w:r>
            <w:r>
              <w:rPr>
                <w:color w:val="231F20"/>
                <w:w w:val="110"/>
                <w:sz w:val="15"/>
              </w:rPr>
              <w:t>80%</w:t>
            </w:r>
          </w:p>
          <w:p>
            <w:pPr>
              <w:pStyle w:val="TableParagraph"/>
              <w:spacing w:line="173" w:lineRule="exact"/>
              <w:ind w:left="83"/>
              <w:rPr>
                <w:sz w:val="15"/>
              </w:rPr>
            </w:pPr>
            <w:r>
              <w:rPr>
                <w:color w:val="231F20"/>
                <w:w w:val="110"/>
                <w:sz w:val="15"/>
              </w:rPr>
              <w:t>(2010)</w:t>
            </w:r>
          </w:p>
          <w:p>
            <w:pPr>
              <w:pStyle w:val="TableParagraph"/>
              <w:spacing w:line="177" w:lineRule="exact" w:before="44"/>
              <w:ind w:left="83"/>
              <w:rPr>
                <w:b/>
                <w:sz w:val="15"/>
              </w:rPr>
            </w:pPr>
            <w:r>
              <w:rPr>
                <w:b/>
                <w:color w:val="231F20"/>
                <w:w w:val="110"/>
                <w:sz w:val="15"/>
              </w:rPr>
              <w:t>Island Court</w:t>
            </w:r>
          </w:p>
          <w:p>
            <w:pPr>
              <w:pStyle w:val="TableParagraph"/>
              <w:spacing w:line="177" w:lineRule="exact"/>
              <w:ind w:left="83"/>
              <w:rPr>
                <w:sz w:val="15"/>
              </w:rPr>
            </w:pPr>
            <w:r>
              <w:rPr>
                <w:color w:val="231F20"/>
                <w:w w:val="115"/>
                <w:sz w:val="15"/>
              </w:rPr>
              <w:t>76% (2010)</w:t>
            </w:r>
          </w:p>
        </w:tc>
      </w:tr>
    </w:tbl>
    <w:p>
      <w:pPr>
        <w:spacing w:after="0" w:line="177" w:lineRule="exact"/>
        <w:rPr>
          <w:sz w:val="15"/>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4519">
            <wp:simplePos x="0" y="0"/>
            <wp:positionH relativeFrom="page">
              <wp:posOffset>0</wp:posOffset>
            </wp:positionH>
            <wp:positionV relativeFrom="paragraph">
              <wp:posOffset>373881</wp:posOffset>
            </wp:positionV>
            <wp:extent cx="7559992" cy="143992"/>
            <wp:effectExtent l="0" t="0" r="0" b="0"/>
            <wp:wrapNone/>
            <wp:docPr id="33" name="image39.png" descr=""/>
            <wp:cNvGraphicFramePr>
              <a:graphicFrameLocks noChangeAspect="1"/>
            </wp:cNvGraphicFramePr>
            <a:graphic>
              <a:graphicData uri="http://schemas.openxmlformats.org/drawingml/2006/picture">
                <pic:pic>
                  <pic:nvPicPr>
                    <pic:cNvPr id="34"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20</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12"/>
        <w:rPr>
          <w:b/>
          <w:sz w:val="14"/>
        </w:rPr>
      </w:pPr>
    </w:p>
    <w:p>
      <w:pPr>
        <w:pStyle w:val="BodyText"/>
        <w:spacing w:before="93"/>
        <w:ind w:left="1700"/>
      </w:pPr>
      <w:r>
        <w:rPr>
          <w:color w:val="231F20"/>
          <w:w w:val="105"/>
        </w:rPr>
        <w:t>Clearance rates – Year 7 Trend Data</w:t>
      </w:r>
    </w:p>
    <w:p>
      <w:pPr>
        <w:pStyle w:val="BodyText"/>
        <w:spacing w:before="2" w:after="1"/>
        <w:rPr>
          <w:sz w:val="11"/>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390"/>
        <w:gridCol w:w="1248"/>
        <w:gridCol w:w="1169"/>
        <w:gridCol w:w="1050"/>
        <w:gridCol w:w="1211"/>
        <w:gridCol w:w="1083"/>
        <w:gridCol w:w="1350"/>
      </w:tblGrid>
      <w:tr>
        <w:trPr>
          <w:trHeight w:val="462" w:hRule="atLeast"/>
        </w:trPr>
        <w:tc>
          <w:tcPr>
            <w:tcW w:w="1390" w:type="dxa"/>
            <w:shd w:val="clear" w:color="auto" w:fill="92BAC2"/>
          </w:tcPr>
          <w:p>
            <w:pPr>
              <w:pStyle w:val="TableParagraph"/>
              <w:spacing w:before="75"/>
              <w:ind w:left="80"/>
              <w:rPr>
                <w:b/>
                <w:sz w:val="15"/>
              </w:rPr>
            </w:pPr>
            <w:r>
              <w:rPr>
                <w:b/>
                <w:color w:val="231F20"/>
                <w:w w:val="110"/>
                <w:sz w:val="15"/>
              </w:rPr>
              <w:t>Cook Islands</w:t>
            </w:r>
          </w:p>
        </w:tc>
        <w:tc>
          <w:tcPr>
            <w:tcW w:w="1248" w:type="dxa"/>
            <w:shd w:val="clear" w:color="auto" w:fill="92BAC2"/>
          </w:tcPr>
          <w:p>
            <w:pPr>
              <w:pStyle w:val="TableParagraph"/>
              <w:spacing w:line="223" w:lineRule="auto" w:before="85"/>
              <w:ind w:left="79" w:right="6"/>
              <w:rPr>
                <w:b/>
                <w:sz w:val="15"/>
              </w:rPr>
            </w:pPr>
            <w:r>
              <w:rPr>
                <w:b/>
                <w:color w:val="231F20"/>
                <w:w w:val="105"/>
                <w:sz w:val="15"/>
              </w:rPr>
              <w:t>Federated States of Micronesia</w:t>
            </w:r>
          </w:p>
        </w:tc>
        <w:tc>
          <w:tcPr>
            <w:tcW w:w="1169" w:type="dxa"/>
            <w:shd w:val="clear" w:color="auto" w:fill="92BAC2"/>
          </w:tcPr>
          <w:p>
            <w:pPr>
              <w:pStyle w:val="TableParagraph"/>
              <w:spacing w:before="75"/>
              <w:ind w:left="78"/>
              <w:rPr>
                <w:b/>
                <w:sz w:val="15"/>
              </w:rPr>
            </w:pPr>
            <w:r>
              <w:rPr>
                <w:b/>
                <w:color w:val="231F20"/>
                <w:w w:val="110"/>
                <w:sz w:val="15"/>
              </w:rPr>
              <w:t>Kiribati Islands</w:t>
            </w:r>
          </w:p>
        </w:tc>
        <w:tc>
          <w:tcPr>
            <w:tcW w:w="1050" w:type="dxa"/>
            <w:shd w:val="clear" w:color="auto" w:fill="92BAC2"/>
          </w:tcPr>
          <w:p>
            <w:pPr>
              <w:pStyle w:val="TableParagraph"/>
              <w:spacing w:line="223" w:lineRule="auto" w:before="85"/>
              <w:ind w:left="77" w:right="369"/>
              <w:rPr>
                <w:b/>
                <w:sz w:val="15"/>
              </w:rPr>
            </w:pPr>
            <w:r>
              <w:rPr>
                <w:b/>
                <w:color w:val="231F20"/>
                <w:w w:val="105"/>
                <w:sz w:val="15"/>
              </w:rPr>
              <w:t>Marshall Islands</w:t>
            </w:r>
          </w:p>
        </w:tc>
        <w:tc>
          <w:tcPr>
            <w:tcW w:w="1211" w:type="dxa"/>
            <w:shd w:val="clear" w:color="auto" w:fill="92BAC2"/>
          </w:tcPr>
          <w:p>
            <w:pPr>
              <w:pStyle w:val="TableParagraph"/>
              <w:spacing w:before="75"/>
              <w:ind w:left="76"/>
              <w:rPr>
                <w:b/>
                <w:sz w:val="15"/>
              </w:rPr>
            </w:pPr>
            <w:r>
              <w:rPr>
                <w:b/>
                <w:color w:val="231F20"/>
                <w:w w:val="110"/>
                <w:sz w:val="15"/>
              </w:rPr>
              <w:t>Nauru</w:t>
            </w:r>
          </w:p>
        </w:tc>
        <w:tc>
          <w:tcPr>
            <w:tcW w:w="1083" w:type="dxa"/>
            <w:shd w:val="clear" w:color="auto" w:fill="92BAC2"/>
          </w:tcPr>
          <w:p>
            <w:pPr>
              <w:pStyle w:val="TableParagraph"/>
              <w:spacing w:before="75"/>
              <w:ind w:left="75"/>
              <w:rPr>
                <w:b/>
                <w:sz w:val="15"/>
              </w:rPr>
            </w:pPr>
            <w:r>
              <w:rPr>
                <w:b/>
                <w:color w:val="231F20"/>
                <w:w w:val="110"/>
                <w:sz w:val="15"/>
              </w:rPr>
              <w:t>Niue</w:t>
            </w:r>
          </w:p>
        </w:tc>
        <w:tc>
          <w:tcPr>
            <w:tcW w:w="1350" w:type="dxa"/>
            <w:shd w:val="clear" w:color="auto" w:fill="92BAC2"/>
          </w:tcPr>
          <w:p>
            <w:pPr>
              <w:pStyle w:val="TableParagraph"/>
              <w:spacing w:before="75"/>
              <w:ind w:left="73"/>
              <w:rPr>
                <w:b/>
                <w:sz w:val="15"/>
              </w:rPr>
            </w:pPr>
            <w:r>
              <w:rPr>
                <w:b/>
                <w:color w:val="231F20"/>
                <w:w w:val="105"/>
                <w:sz w:val="15"/>
              </w:rPr>
              <w:t>Palau</w:t>
            </w:r>
          </w:p>
        </w:tc>
      </w:tr>
      <w:tr>
        <w:trPr>
          <w:trHeight w:val="6015" w:hRule="atLeast"/>
        </w:trPr>
        <w:tc>
          <w:tcPr>
            <w:tcW w:w="1390" w:type="dxa"/>
            <w:shd w:val="clear" w:color="auto" w:fill="D8E3CE"/>
          </w:tcPr>
          <w:p>
            <w:pPr>
              <w:pStyle w:val="TableParagraph"/>
              <w:spacing w:line="223" w:lineRule="auto" w:before="85"/>
              <w:ind w:left="80"/>
              <w:rPr>
                <w:sz w:val="15"/>
              </w:rPr>
            </w:pPr>
            <w:r>
              <w:rPr>
                <w:b/>
                <w:color w:val="231F20"/>
                <w:w w:val="110"/>
                <w:sz w:val="15"/>
              </w:rPr>
              <w:t>High Court Land cases: </w:t>
            </w:r>
            <w:r>
              <w:rPr>
                <w:color w:val="231F20"/>
                <w:w w:val="110"/>
                <w:sz w:val="15"/>
              </w:rPr>
              <w:t>84%</w:t>
            </w:r>
          </w:p>
        </w:tc>
        <w:tc>
          <w:tcPr>
            <w:tcW w:w="1248" w:type="dxa"/>
            <w:shd w:val="clear" w:color="auto" w:fill="D8E3CE"/>
          </w:tcPr>
          <w:p>
            <w:pPr>
              <w:pStyle w:val="TableParagraph"/>
              <w:spacing w:line="223" w:lineRule="auto" w:before="85"/>
              <w:ind w:left="79" w:right="6"/>
              <w:rPr>
                <w:sz w:val="15"/>
              </w:rPr>
            </w:pPr>
            <w:r>
              <w:rPr>
                <w:b/>
                <w:color w:val="231F20"/>
                <w:w w:val="110"/>
                <w:sz w:val="15"/>
              </w:rPr>
              <w:t>Supreme Court of FSM</w:t>
            </w:r>
            <w:r>
              <w:rPr>
                <w:color w:val="231F20"/>
                <w:w w:val="110"/>
                <w:sz w:val="15"/>
              </w:rPr>
              <w:t>:</w:t>
            </w:r>
          </w:p>
          <w:p>
            <w:pPr>
              <w:pStyle w:val="TableParagraph"/>
              <w:spacing w:line="223" w:lineRule="auto" w:before="56"/>
              <w:ind w:left="79" w:right="122"/>
              <w:rPr>
                <w:sz w:val="15"/>
              </w:rPr>
            </w:pPr>
            <w:r>
              <w:rPr>
                <w:color w:val="231F20"/>
                <w:w w:val="110"/>
                <w:sz w:val="15"/>
              </w:rPr>
              <w:t>Criminal Cases: </w:t>
            </w:r>
            <w:r>
              <w:rPr>
                <w:color w:val="231F20"/>
                <w:w w:val="115"/>
                <w:sz w:val="15"/>
              </w:rPr>
              <w:t>79%</w:t>
            </w:r>
          </w:p>
          <w:p>
            <w:pPr>
              <w:pStyle w:val="TableParagraph"/>
              <w:spacing w:line="223" w:lineRule="auto" w:before="56"/>
              <w:ind w:left="79" w:right="336"/>
              <w:rPr>
                <w:sz w:val="15"/>
              </w:rPr>
            </w:pPr>
            <w:r>
              <w:rPr>
                <w:color w:val="231F20"/>
                <w:w w:val="120"/>
                <w:sz w:val="15"/>
              </w:rPr>
              <w:t>Civil Cases: 69%</w:t>
            </w:r>
          </w:p>
        </w:tc>
        <w:tc>
          <w:tcPr>
            <w:tcW w:w="1169" w:type="dxa"/>
            <w:shd w:val="clear" w:color="auto" w:fill="D8E3CE"/>
          </w:tcPr>
          <w:p>
            <w:pPr>
              <w:pStyle w:val="TableParagraph"/>
              <w:spacing w:line="223" w:lineRule="auto" w:before="85"/>
              <w:ind w:left="78" w:right="60"/>
              <w:rPr>
                <w:sz w:val="15"/>
              </w:rPr>
            </w:pPr>
            <w:r>
              <w:rPr>
                <w:b/>
                <w:color w:val="231F20"/>
                <w:w w:val="110"/>
                <w:sz w:val="15"/>
              </w:rPr>
              <w:t>Court of Appeal </w:t>
            </w:r>
            <w:r>
              <w:rPr>
                <w:color w:val="231F20"/>
                <w:w w:val="110"/>
                <w:sz w:val="15"/>
              </w:rPr>
              <w:t>100%</w:t>
            </w:r>
          </w:p>
          <w:p>
            <w:pPr>
              <w:pStyle w:val="TableParagraph"/>
              <w:spacing w:line="177" w:lineRule="exact" w:before="46"/>
              <w:ind w:left="78"/>
              <w:rPr>
                <w:b/>
                <w:sz w:val="15"/>
              </w:rPr>
            </w:pPr>
            <w:r>
              <w:rPr>
                <w:b/>
                <w:color w:val="231F20"/>
                <w:w w:val="115"/>
                <w:sz w:val="15"/>
              </w:rPr>
              <w:t>High Court</w:t>
            </w:r>
          </w:p>
          <w:p>
            <w:pPr>
              <w:pStyle w:val="TableParagraph"/>
              <w:spacing w:line="177" w:lineRule="exact"/>
              <w:ind w:left="78"/>
              <w:rPr>
                <w:sz w:val="15"/>
              </w:rPr>
            </w:pPr>
            <w:r>
              <w:rPr>
                <w:color w:val="231F20"/>
                <w:w w:val="120"/>
                <w:sz w:val="15"/>
              </w:rPr>
              <w:t>81%</w:t>
            </w:r>
          </w:p>
          <w:p>
            <w:pPr>
              <w:pStyle w:val="TableParagraph"/>
              <w:spacing w:line="223" w:lineRule="auto" w:before="53"/>
              <w:ind w:left="78" w:right="284"/>
              <w:rPr>
                <w:sz w:val="15"/>
              </w:rPr>
            </w:pPr>
            <w:r>
              <w:rPr>
                <w:b/>
                <w:color w:val="231F20"/>
                <w:w w:val="105"/>
                <w:sz w:val="15"/>
              </w:rPr>
              <w:t>Magistrates </w:t>
            </w:r>
            <w:r>
              <w:rPr>
                <w:b/>
                <w:color w:val="231F20"/>
                <w:w w:val="110"/>
                <w:sz w:val="15"/>
              </w:rPr>
              <w:t>Court </w:t>
            </w:r>
            <w:r>
              <w:rPr>
                <w:color w:val="231F20"/>
                <w:w w:val="110"/>
                <w:sz w:val="15"/>
              </w:rPr>
              <w:t>76%</w:t>
            </w:r>
          </w:p>
        </w:tc>
        <w:tc>
          <w:tcPr>
            <w:tcW w:w="1050" w:type="dxa"/>
            <w:shd w:val="clear" w:color="auto" w:fill="D8E3CE"/>
          </w:tcPr>
          <w:p>
            <w:pPr>
              <w:pStyle w:val="TableParagraph"/>
              <w:spacing w:line="223" w:lineRule="auto" w:before="85"/>
              <w:ind w:left="77" w:right="134"/>
              <w:rPr>
                <w:sz w:val="15"/>
              </w:rPr>
            </w:pPr>
            <w:r>
              <w:rPr>
                <w:b/>
                <w:color w:val="231F20"/>
                <w:w w:val="110"/>
                <w:sz w:val="15"/>
              </w:rPr>
              <w:t>Supreme Court</w:t>
            </w:r>
            <w:r>
              <w:rPr>
                <w:color w:val="231F20"/>
                <w:w w:val="110"/>
                <w:sz w:val="15"/>
              </w:rPr>
              <w:t>: 83%</w:t>
            </w:r>
          </w:p>
          <w:p>
            <w:pPr>
              <w:pStyle w:val="TableParagraph"/>
              <w:spacing w:line="223" w:lineRule="auto" w:before="56"/>
              <w:ind w:left="77" w:right="134"/>
              <w:rPr>
                <w:sz w:val="15"/>
              </w:rPr>
            </w:pPr>
            <w:r>
              <w:rPr>
                <w:b/>
                <w:color w:val="231F20"/>
                <w:w w:val="115"/>
                <w:sz w:val="15"/>
              </w:rPr>
              <w:t>High Court</w:t>
            </w:r>
            <w:r>
              <w:rPr>
                <w:color w:val="231F20"/>
                <w:w w:val="115"/>
                <w:sz w:val="15"/>
              </w:rPr>
              <w:t>: Civil cases 93%</w:t>
            </w:r>
          </w:p>
          <w:p>
            <w:pPr>
              <w:pStyle w:val="TableParagraph"/>
              <w:spacing w:line="223" w:lineRule="auto" w:before="56"/>
              <w:ind w:left="77" w:right="134"/>
              <w:rPr>
                <w:sz w:val="15"/>
              </w:rPr>
            </w:pPr>
            <w:r>
              <w:rPr>
                <w:color w:val="231F20"/>
                <w:w w:val="110"/>
                <w:sz w:val="15"/>
              </w:rPr>
              <w:t>Probate Cases 80%</w:t>
            </w:r>
          </w:p>
          <w:p>
            <w:pPr>
              <w:pStyle w:val="TableParagraph"/>
              <w:spacing w:line="223" w:lineRule="auto" w:before="56"/>
              <w:ind w:left="77" w:right="134"/>
              <w:rPr>
                <w:sz w:val="15"/>
              </w:rPr>
            </w:pPr>
            <w:r>
              <w:rPr>
                <w:color w:val="231F20"/>
                <w:w w:val="115"/>
                <w:sz w:val="15"/>
              </w:rPr>
              <w:t>Criminal cases 86%</w:t>
            </w:r>
          </w:p>
          <w:p>
            <w:pPr>
              <w:pStyle w:val="TableParagraph"/>
              <w:spacing w:line="223" w:lineRule="auto" w:before="56"/>
              <w:ind w:left="77"/>
              <w:rPr>
                <w:sz w:val="15"/>
              </w:rPr>
            </w:pPr>
            <w:r>
              <w:rPr>
                <w:color w:val="231F20"/>
                <w:w w:val="110"/>
                <w:sz w:val="15"/>
              </w:rPr>
              <w:t>District Court Traffic Cases 98%</w:t>
            </w:r>
          </w:p>
          <w:p>
            <w:pPr>
              <w:pStyle w:val="TableParagraph"/>
              <w:spacing w:line="223" w:lineRule="auto" w:before="56"/>
              <w:ind w:left="77" w:right="134"/>
              <w:rPr>
                <w:sz w:val="15"/>
              </w:rPr>
            </w:pPr>
            <w:r>
              <w:rPr>
                <w:color w:val="231F20"/>
                <w:w w:val="115"/>
                <w:sz w:val="15"/>
              </w:rPr>
              <w:t>Criminal Cases 96%</w:t>
            </w:r>
          </w:p>
          <w:p>
            <w:pPr>
              <w:pStyle w:val="TableParagraph"/>
              <w:spacing w:line="223" w:lineRule="auto" w:before="56"/>
              <w:ind w:left="77" w:right="134"/>
              <w:rPr>
                <w:sz w:val="15"/>
              </w:rPr>
            </w:pPr>
            <w:r>
              <w:rPr>
                <w:color w:val="231F20"/>
                <w:w w:val="110"/>
                <w:sz w:val="15"/>
              </w:rPr>
              <w:t>Juvenile Cases 137%</w:t>
            </w:r>
          </w:p>
          <w:p>
            <w:pPr>
              <w:pStyle w:val="TableParagraph"/>
              <w:spacing w:line="223" w:lineRule="auto" w:before="56"/>
              <w:ind w:left="77"/>
              <w:rPr>
                <w:sz w:val="15"/>
              </w:rPr>
            </w:pPr>
            <w:r>
              <w:rPr>
                <w:color w:val="231F20"/>
                <w:w w:val="115"/>
                <w:sz w:val="15"/>
              </w:rPr>
              <w:t>Small Claims 93%</w:t>
            </w:r>
          </w:p>
        </w:tc>
        <w:tc>
          <w:tcPr>
            <w:tcW w:w="1211" w:type="dxa"/>
            <w:shd w:val="clear" w:color="auto" w:fill="F2CDBE"/>
          </w:tcPr>
          <w:p>
            <w:pPr>
              <w:pStyle w:val="TableParagraph"/>
              <w:spacing w:line="223" w:lineRule="auto" w:before="84"/>
              <w:ind w:left="76" w:right="104"/>
              <w:rPr>
                <w:sz w:val="15"/>
              </w:rPr>
            </w:pPr>
            <w:r>
              <w:rPr>
                <w:color w:val="231F20"/>
                <w:w w:val="110"/>
                <w:sz w:val="15"/>
              </w:rPr>
              <w:t>Data unavailable</w:t>
            </w:r>
          </w:p>
        </w:tc>
        <w:tc>
          <w:tcPr>
            <w:tcW w:w="1083" w:type="dxa"/>
            <w:shd w:val="clear" w:color="auto" w:fill="D8E3CE"/>
          </w:tcPr>
          <w:p>
            <w:pPr>
              <w:pStyle w:val="TableParagraph"/>
              <w:spacing w:line="223" w:lineRule="auto" w:before="85"/>
              <w:ind w:left="75"/>
              <w:rPr>
                <w:sz w:val="15"/>
              </w:rPr>
            </w:pPr>
            <w:r>
              <w:rPr>
                <w:b/>
                <w:color w:val="231F20"/>
                <w:w w:val="115"/>
                <w:sz w:val="15"/>
              </w:rPr>
              <w:t>High Court </w:t>
            </w:r>
            <w:r>
              <w:rPr>
                <w:color w:val="231F20"/>
                <w:w w:val="115"/>
                <w:sz w:val="15"/>
              </w:rPr>
              <w:t>Land Division 114%</w:t>
            </w:r>
          </w:p>
        </w:tc>
        <w:tc>
          <w:tcPr>
            <w:tcW w:w="1350" w:type="dxa"/>
            <w:shd w:val="clear" w:color="auto" w:fill="D8E3CE"/>
          </w:tcPr>
          <w:p>
            <w:pPr>
              <w:pStyle w:val="TableParagraph"/>
              <w:spacing w:line="223" w:lineRule="auto" w:before="84"/>
              <w:ind w:left="73" w:right="269"/>
              <w:rPr>
                <w:sz w:val="15"/>
              </w:rPr>
            </w:pPr>
            <w:r>
              <w:rPr>
                <w:color w:val="231F20"/>
                <w:w w:val="110"/>
                <w:sz w:val="15"/>
              </w:rPr>
              <w:t>Trial Division – criminal cases 2017 = 110%</w:t>
            </w:r>
          </w:p>
          <w:p>
            <w:pPr>
              <w:pStyle w:val="TableParagraph"/>
              <w:spacing w:line="223" w:lineRule="auto" w:before="56"/>
              <w:ind w:left="73"/>
              <w:rPr>
                <w:sz w:val="15"/>
              </w:rPr>
            </w:pPr>
            <w:r>
              <w:rPr>
                <w:color w:val="231F20"/>
                <w:w w:val="115"/>
                <w:sz w:val="15"/>
              </w:rPr>
              <w:t>Trial Division – civil cases 2017</w:t>
            </w:r>
          </w:p>
          <w:p>
            <w:pPr>
              <w:pStyle w:val="TableParagraph"/>
              <w:spacing w:line="173" w:lineRule="exact"/>
              <w:ind w:left="73"/>
              <w:rPr>
                <w:sz w:val="15"/>
              </w:rPr>
            </w:pPr>
            <w:r>
              <w:rPr>
                <w:color w:val="231F20"/>
                <w:w w:val="125"/>
                <w:sz w:val="15"/>
              </w:rPr>
              <w:t>= 78%</w:t>
            </w:r>
          </w:p>
          <w:p>
            <w:pPr>
              <w:pStyle w:val="TableParagraph"/>
              <w:spacing w:line="223" w:lineRule="auto" w:before="54"/>
              <w:ind w:left="73" w:right="276"/>
              <w:jc w:val="both"/>
              <w:rPr>
                <w:sz w:val="15"/>
              </w:rPr>
            </w:pPr>
            <w:r>
              <w:rPr>
                <w:color w:val="231F20"/>
                <w:spacing w:val="-4"/>
                <w:w w:val="115"/>
                <w:sz w:val="15"/>
              </w:rPr>
              <w:t>Trial </w:t>
            </w:r>
            <w:r>
              <w:rPr>
                <w:color w:val="231F20"/>
                <w:spacing w:val="-3"/>
                <w:w w:val="115"/>
                <w:sz w:val="15"/>
              </w:rPr>
              <w:t>Division </w:t>
            </w:r>
            <w:r>
              <w:rPr>
                <w:color w:val="231F20"/>
                <w:w w:val="115"/>
                <w:sz w:val="15"/>
              </w:rPr>
              <w:t>– </w:t>
            </w:r>
            <w:r>
              <w:rPr>
                <w:color w:val="231F20"/>
                <w:spacing w:val="-3"/>
                <w:w w:val="115"/>
                <w:sz w:val="15"/>
              </w:rPr>
              <w:t>Juvenile </w:t>
            </w:r>
            <w:r>
              <w:rPr>
                <w:color w:val="231F20"/>
                <w:w w:val="115"/>
                <w:sz w:val="15"/>
              </w:rPr>
              <w:t>cases 2017 = 200%</w:t>
            </w:r>
          </w:p>
          <w:p>
            <w:pPr>
              <w:pStyle w:val="TableParagraph"/>
              <w:spacing w:line="223" w:lineRule="auto" w:before="56"/>
              <w:ind w:left="73" w:right="116"/>
              <w:rPr>
                <w:sz w:val="15"/>
              </w:rPr>
            </w:pPr>
            <w:r>
              <w:rPr>
                <w:color w:val="231F20"/>
                <w:w w:val="110"/>
                <w:sz w:val="15"/>
              </w:rPr>
              <w:t>Appellate Division – civil and criminal appeals = 146%</w:t>
            </w:r>
          </w:p>
          <w:p>
            <w:pPr>
              <w:pStyle w:val="TableParagraph"/>
              <w:spacing w:line="223" w:lineRule="auto" w:before="55"/>
              <w:ind w:left="73" w:right="347"/>
              <w:rPr>
                <w:sz w:val="15"/>
              </w:rPr>
            </w:pPr>
            <w:r>
              <w:rPr>
                <w:color w:val="231F20"/>
                <w:w w:val="115"/>
                <w:sz w:val="15"/>
              </w:rPr>
              <w:t>Land Court - 2017 = 171%</w:t>
            </w:r>
          </w:p>
          <w:p>
            <w:pPr>
              <w:pStyle w:val="TableParagraph"/>
              <w:spacing w:line="223" w:lineRule="auto" w:before="56"/>
              <w:ind w:left="73"/>
              <w:rPr>
                <w:sz w:val="15"/>
              </w:rPr>
            </w:pPr>
            <w:r>
              <w:rPr>
                <w:color w:val="231F20"/>
                <w:w w:val="110"/>
                <w:sz w:val="15"/>
              </w:rPr>
              <w:t>Court of Common Pleas – Small Claims 2017 =</w:t>
            </w:r>
          </w:p>
          <w:p>
            <w:pPr>
              <w:pStyle w:val="TableParagraph"/>
              <w:spacing w:line="172" w:lineRule="exact"/>
              <w:ind w:left="73"/>
              <w:rPr>
                <w:sz w:val="15"/>
              </w:rPr>
            </w:pPr>
            <w:r>
              <w:rPr>
                <w:color w:val="231F20"/>
                <w:w w:val="120"/>
                <w:sz w:val="15"/>
              </w:rPr>
              <w:t>109%</w:t>
            </w:r>
          </w:p>
          <w:p>
            <w:pPr>
              <w:pStyle w:val="TableParagraph"/>
              <w:spacing w:line="223" w:lineRule="auto" w:before="54"/>
              <w:ind w:left="73" w:right="68"/>
              <w:rPr>
                <w:sz w:val="15"/>
              </w:rPr>
            </w:pPr>
            <w:r>
              <w:rPr>
                <w:color w:val="231F20"/>
                <w:w w:val="110"/>
                <w:sz w:val="15"/>
              </w:rPr>
              <w:t>Court of </w:t>
            </w:r>
            <w:r>
              <w:rPr>
                <w:color w:val="231F20"/>
                <w:spacing w:val="-2"/>
                <w:w w:val="110"/>
                <w:sz w:val="15"/>
              </w:rPr>
              <w:t>Common </w:t>
            </w:r>
            <w:r>
              <w:rPr>
                <w:color w:val="231F20"/>
                <w:w w:val="110"/>
                <w:sz w:val="15"/>
              </w:rPr>
              <w:t>Pleas – </w:t>
            </w:r>
            <w:r>
              <w:rPr>
                <w:color w:val="231F20"/>
                <w:spacing w:val="-3"/>
                <w:w w:val="110"/>
                <w:sz w:val="15"/>
              </w:rPr>
              <w:t>Civil </w:t>
            </w:r>
            <w:r>
              <w:rPr>
                <w:color w:val="231F20"/>
                <w:w w:val="110"/>
                <w:sz w:val="15"/>
              </w:rPr>
              <w:t>Action 2017 =</w:t>
            </w:r>
          </w:p>
          <w:p>
            <w:pPr>
              <w:pStyle w:val="TableParagraph"/>
              <w:spacing w:line="172" w:lineRule="exact"/>
              <w:ind w:left="73"/>
              <w:rPr>
                <w:sz w:val="15"/>
              </w:rPr>
            </w:pPr>
            <w:r>
              <w:rPr>
                <w:color w:val="231F20"/>
                <w:w w:val="120"/>
                <w:sz w:val="15"/>
              </w:rPr>
              <w:t>90%</w:t>
            </w:r>
          </w:p>
          <w:p>
            <w:pPr>
              <w:pStyle w:val="TableParagraph"/>
              <w:spacing w:line="223" w:lineRule="auto" w:before="53"/>
              <w:ind w:left="73" w:right="68"/>
              <w:rPr>
                <w:sz w:val="15"/>
              </w:rPr>
            </w:pPr>
            <w:r>
              <w:rPr>
                <w:color w:val="231F20"/>
                <w:w w:val="105"/>
                <w:sz w:val="15"/>
              </w:rPr>
              <w:t>Court of Common Pleas – Family Protection Act cases 2017 =</w:t>
            </w:r>
          </w:p>
          <w:p>
            <w:pPr>
              <w:pStyle w:val="TableParagraph"/>
              <w:spacing w:line="172" w:lineRule="exact"/>
              <w:ind w:left="73"/>
              <w:rPr>
                <w:sz w:val="15"/>
              </w:rPr>
            </w:pPr>
            <w:r>
              <w:rPr>
                <w:color w:val="231F20"/>
                <w:w w:val="120"/>
                <w:sz w:val="15"/>
              </w:rPr>
              <w:t>99%</w:t>
            </w:r>
          </w:p>
          <w:p>
            <w:pPr>
              <w:pStyle w:val="TableParagraph"/>
              <w:spacing w:line="223" w:lineRule="auto" w:before="54"/>
              <w:ind w:left="73"/>
              <w:rPr>
                <w:sz w:val="15"/>
              </w:rPr>
            </w:pPr>
            <w:r>
              <w:rPr>
                <w:color w:val="231F20"/>
                <w:w w:val="110"/>
                <w:sz w:val="15"/>
              </w:rPr>
              <w:t>Court of Common Pleas – Citation cases 2017 =</w:t>
            </w:r>
          </w:p>
          <w:p>
            <w:pPr>
              <w:pStyle w:val="TableParagraph"/>
              <w:spacing w:line="172" w:lineRule="exact"/>
              <w:ind w:left="73"/>
              <w:rPr>
                <w:sz w:val="15"/>
              </w:rPr>
            </w:pPr>
            <w:r>
              <w:rPr>
                <w:color w:val="231F20"/>
                <w:w w:val="120"/>
                <w:sz w:val="15"/>
              </w:rPr>
              <w:t>91%</w:t>
            </w:r>
          </w:p>
        </w:tc>
      </w:tr>
      <w:tr>
        <w:trPr>
          <w:trHeight w:val="462" w:hRule="atLeast"/>
        </w:trPr>
        <w:tc>
          <w:tcPr>
            <w:tcW w:w="1390" w:type="dxa"/>
            <w:shd w:val="clear" w:color="auto" w:fill="92BAC2"/>
          </w:tcPr>
          <w:p>
            <w:pPr>
              <w:pStyle w:val="TableParagraph"/>
              <w:spacing w:line="223" w:lineRule="auto" w:before="85"/>
              <w:ind w:left="79" w:right="298"/>
              <w:rPr>
                <w:b/>
                <w:sz w:val="15"/>
              </w:rPr>
            </w:pPr>
            <w:r>
              <w:rPr>
                <w:b/>
                <w:color w:val="231F20"/>
                <w:w w:val="110"/>
                <w:sz w:val="15"/>
              </w:rPr>
              <w:t>Papua New Guinea</w:t>
            </w:r>
          </w:p>
        </w:tc>
        <w:tc>
          <w:tcPr>
            <w:tcW w:w="1248" w:type="dxa"/>
            <w:shd w:val="clear" w:color="auto" w:fill="92BAC2"/>
          </w:tcPr>
          <w:p>
            <w:pPr>
              <w:pStyle w:val="TableParagraph"/>
              <w:spacing w:before="75"/>
              <w:ind w:left="79"/>
              <w:rPr>
                <w:b/>
                <w:sz w:val="15"/>
              </w:rPr>
            </w:pPr>
            <w:r>
              <w:rPr>
                <w:b/>
                <w:color w:val="231F20"/>
                <w:w w:val="105"/>
                <w:sz w:val="15"/>
              </w:rPr>
              <w:t>Samoa</w:t>
            </w:r>
          </w:p>
        </w:tc>
        <w:tc>
          <w:tcPr>
            <w:tcW w:w="1169" w:type="dxa"/>
            <w:shd w:val="clear" w:color="auto" w:fill="92BAC2"/>
          </w:tcPr>
          <w:p>
            <w:pPr>
              <w:pStyle w:val="TableParagraph"/>
              <w:spacing w:line="223" w:lineRule="auto" w:before="85"/>
              <w:ind w:left="78" w:right="481"/>
              <w:rPr>
                <w:b/>
                <w:sz w:val="15"/>
              </w:rPr>
            </w:pPr>
            <w:r>
              <w:rPr>
                <w:b/>
                <w:color w:val="231F20"/>
                <w:w w:val="105"/>
                <w:sz w:val="15"/>
              </w:rPr>
              <w:t>Solomon </w:t>
            </w:r>
            <w:r>
              <w:rPr>
                <w:b/>
                <w:color w:val="231F20"/>
                <w:w w:val="110"/>
                <w:sz w:val="15"/>
              </w:rPr>
              <w:t>Islands</w:t>
            </w:r>
          </w:p>
        </w:tc>
        <w:tc>
          <w:tcPr>
            <w:tcW w:w="1050" w:type="dxa"/>
            <w:shd w:val="clear" w:color="auto" w:fill="92BAC2"/>
          </w:tcPr>
          <w:p>
            <w:pPr>
              <w:pStyle w:val="TableParagraph"/>
              <w:spacing w:before="75"/>
              <w:ind w:left="77"/>
              <w:rPr>
                <w:b/>
                <w:sz w:val="15"/>
              </w:rPr>
            </w:pPr>
            <w:r>
              <w:rPr>
                <w:b/>
                <w:color w:val="231F20"/>
                <w:w w:val="110"/>
                <w:sz w:val="15"/>
              </w:rPr>
              <w:t>Tokelau</w:t>
            </w:r>
          </w:p>
        </w:tc>
        <w:tc>
          <w:tcPr>
            <w:tcW w:w="1211" w:type="dxa"/>
            <w:shd w:val="clear" w:color="auto" w:fill="92BAC2"/>
          </w:tcPr>
          <w:p>
            <w:pPr>
              <w:pStyle w:val="TableParagraph"/>
              <w:spacing w:before="75"/>
              <w:ind w:left="76"/>
              <w:rPr>
                <w:b/>
                <w:sz w:val="15"/>
              </w:rPr>
            </w:pPr>
            <w:r>
              <w:rPr>
                <w:b/>
                <w:color w:val="231F20"/>
                <w:w w:val="110"/>
                <w:sz w:val="15"/>
              </w:rPr>
              <w:t>Tonga</w:t>
            </w:r>
          </w:p>
        </w:tc>
        <w:tc>
          <w:tcPr>
            <w:tcW w:w="1083" w:type="dxa"/>
            <w:shd w:val="clear" w:color="auto" w:fill="92BAC2"/>
          </w:tcPr>
          <w:p>
            <w:pPr>
              <w:pStyle w:val="TableParagraph"/>
              <w:spacing w:before="75"/>
              <w:ind w:left="75"/>
              <w:rPr>
                <w:b/>
                <w:sz w:val="15"/>
              </w:rPr>
            </w:pPr>
            <w:r>
              <w:rPr>
                <w:b/>
                <w:color w:val="231F20"/>
                <w:w w:val="110"/>
                <w:sz w:val="15"/>
              </w:rPr>
              <w:t>Tuvalu</w:t>
            </w:r>
          </w:p>
        </w:tc>
        <w:tc>
          <w:tcPr>
            <w:tcW w:w="1350" w:type="dxa"/>
            <w:shd w:val="clear" w:color="auto" w:fill="92BAC2"/>
          </w:tcPr>
          <w:p>
            <w:pPr>
              <w:pStyle w:val="TableParagraph"/>
              <w:spacing w:before="75"/>
              <w:ind w:left="73"/>
              <w:rPr>
                <w:b/>
                <w:sz w:val="15"/>
              </w:rPr>
            </w:pPr>
            <w:r>
              <w:rPr>
                <w:b/>
                <w:color w:val="231F20"/>
                <w:w w:val="105"/>
                <w:sz w:val="15"/>
              </w:rPr>
              <w:t>Vanuatu</w:t>
            </w:r>
          </w:p>
        </w:tc>
      </w:tr>
      <w:tr>
        <w:trPr>
          <w:trHeight w:val="6242" w:hRule="atLeast"/>
        </w:trPr>
        <w:tc>
          <w:tcPr>
            <w:tcW w:w="1390" w:type="dxa"/>
            <w:shd w:val="clear" w:color="auto" w:fill="D8E3CE"/>
          </w:tcPr>
          <w:p>
            <w:pPr>
              <w:pStyle w:val="TableParagraph"/>
              <w:spacing w:line="177" w:lineRule="exact" w:before="75"/>
              <w:ind w:left="79"/>
              <w:rPr>
                <w:b/>
                <w:sz w:val="15"/>
              </w:rPr>
            </w:pPr>
            <w:r>
              <w:rPr>
                <w:b/>
                <w:color w:val="231F20"/>
                <w:w w:val="110"/>
                <w:sz w:val="15"/>
              </w:rPr>
              <w:t>Supreme Court</w:t>
            </w:r>
          </w:p>
          <w:p>
            <w:pPr>
              <w:pStyle w:val="TableParagraph"/>
              <w:spacing w:line="177" w:lineRule="exact"/>
              <w:ind w:left="79"/>
              <w:rPr>
                <w:sz w:val="15"/>
              </w:rPr>
            </w:pPr>
            <w:r>
              <w:rPr>
                <w:color w:val="231F20"/>
                <w:w w:val="120"/>
                <w:sz w:val="15"/>
              </w:rPr>
              <w:t>88%</w:t>
            </w:r>
          </w:p>
          <w:p>
            <w:pPr>
              <w:pStyle w:val="TableParagraph"/>
              <w:spacing w:line="177" w:lineRule="exact" w:before="43"/>
              <w:ind w:left="79"/>
              <w:rPr>
                <w:b/>
                <w:sz w:val="15"/>
              </w:rPr>
            </w:pPr>
            <w:r>
              <w:rPr>
                <w:b/>
                <w:color w:val="231F20"/>
                <w:w w:val="110"/>
                <w:sz w:val="15"/>
              </w:rPr>
              <w:t>National Court</w:t>
            </w:r>
          </w:p>
          <w:p>
            <w:pPr>
              <w:pStyle w:val="TableParagraph"/>
              <w:spacing w:line="177" w:lineRule="exact"/>
              <w:ind w:left="79"/>
              <w:rPr>
                <w:sz w:val="15"/>
              </w:rPr>
            </w:pPr>
            <w:r>
              <w:rPr>
                <w:color w:val="231F20"/>
                <w:w w:val="115"/>
                <w:sz w:val="15"/>
              </w:rPr>
              <w:t>overall 110%</w:t>
            </w:r>
          </w:p>
          <w:p>
            <w:pPr>
              <w:pStyle w:val="TableParagraph"/>
              <w:spacing w:line="177" w:lineRule="exact" w:before="44"/>
              <w:ind w:left="79"/>
              <w:rPr>
                <w:sz w:val="15"/>
              </w:rPr>
            </w:pPr>
            <w:r>
              <w:rPr>
                <w:color w:val="231F20"/>
                <w:w w:val="110"/>
                <w:sz w:val="15"/>
              </w:rPr>
              <w:t>Criminal matters</w:t>
            </w:r>
          </w:p>
          <w:p>
            <w:pPr>
              <w:pStyle w:val="TableParagraph"/>
              <w:spacing w:line="177" w:lineRule="exact"/>
              <w:ind w:left="79"/>
              <w:rPr>
                <w:sz w:val="15"/>
              </w:rPr>
            </w:pPr>
            <w:r>
              <w:rPr>
                <w:color w:val="231F20"/>
                <w:w w:val="120"/>
                <w:sz w:val="15"/>
              </w:rPr>
              <w:t>= 81%,</w:t>
            </w:r>
          </w:p>
          <w:p>
            <w:pPr>
              <w:pStyle w:val="TableParagraph"/>
              <w:spacing w:line="223" w:lineRule="auto" w:before="53"/>
              <w:ind w:left="79" w:right="298"/>
              <w:rPr>
                <w:sz w:val="15"/>
              </w:rPr>
            </w:pPr>
            <w:r>
              <w:rPr>
                <w:color w:val="231F20"/>
                <w:w w:val="115"/>
                <w:sz w:val="15"/>
              </w:rPr>
              <w:t>civil matters = 129%,</w:t>
            </w:r>
          </w:p>
          <w:p>
            <w:pPr>
              <w:pStyle w:val="TableParagraph"/>
              <w:spacing w:line="223" w:lineRule="auto" w:before="57"/>
              <w:ind w:left="79" w:right="352"/>
              <w:rPr>
                <w:sz w:val="15"/>
              </w:rPr>
            </w:pPr>
            <w:r>
              <w:rPr>
                <w:color w:val="231F20"/>
                <w:w w:val="110"/>
                <w:sz w:val="15"/>
              </w:rPr>
              <w:t>human rights </w:t>
            </w:r>
            <w:r>
              <w:rPr>
                <w:color w:val="231F20"/>
                <w:w w:val="105"/>
                <w:sz w:val="15"/>
              </w:rPr>
              <w:t>matters 198%,</w:t>
            </w:r>
          </w:p>
          <w:p>
            <w:pPr>
              <w:pStyle w:val="TableParagraph"/>
              <w:spacing w:line="223" w:lineRule="auto" w:before="56"/>
              <w:ind w:left="79" w:right="352"/>
              <w:rPr>
                <w:sz w:val="15"/>
              </w:rPr>
            </w:pPr>
            <w:r>
              <w:rPr>
                <w:color w:val="231F20"/>
                <w:w w:val="110"/>
                <w:sz w:val="15"/>
              </w:rPr>
              <w:t>common law </w:t>
            </w:r>
            <w:r>
              <w:rPr>
                <w:color w:val="231F20"/>
                <w:w w:val="105"/>
                <w:sz w:val="15"/>
              </w:rPr>
              <w:t>matters 142%,</w:t>
            </w:r>
          </w:p>
          <w:p>
            <w:pPr>
              <w:pStyle w:val="TableParagraph"/>
              <w:spacing w:line="223" w:lineRule="auto" w:before="56"/>
              <w:ind w:left="79"/>
              <w:rPr>
                <w:sz w:val="15"/>
              </w:rPr>
            </w:pPr>
            <w:r>
              <w:rPr>
                <w:color w:val="231F20"/>
                <w:w w:val="110"/>
                <w:sz w:val="15"/>
              </w:rPr>
              <w:t>appeal and review cases 61%</w:t>
            </w:r>
          </w:p>
        </w:tc>
        <w:tc>
          <w:tcPr>
            <w:tcW w:w="1248" w:type="dxa"/>
            <w:shd w:val="clear" w:color="auto" w:fill="F2CDBE"/>
          </w:tcPr>
          <w:p>
            <w:pPr>
              <w:pStyle w:val="TableParagraph"/>
              <w:spacing w:line="223" w:lineRule="auto" w:before="84"/>
              <w:ind w:left="79" w:right="122"/>
              <w:rPr>
                <w:sz w:val="15"/>
              </w:rPr>
            </w:pPr>
            <w:r>
              <w:rPr>
                <w:color w:val="231F20"/>
                <w:w w:val="110"/>
                <w:sz w:val="15"/>
              </w:rPr>
              <w:t>Data unavailable</w:t>
            </w:r>
          </w:p>
        </w:tc>
        <w:tc>
          <w:tcPr>
            <w:tcW w:w="1169" w:type="dxa"/>
            <w:shd w:val="clear" w:color="auto" w:fill="D8E3CE"/>
          </w:tcPr>
          <w:p>
            <w:pPr>
              <w:pStyle w:val="TableParagraph"/>
              <w:spacing w:line="223" w:lineRule="auto" w:before="85"/>
              <w:ind w:left="78" w:right="60"/>
              <w:rPr>
                <w:sz w:val="15"/>
              </w:rPr>
            </w:pPr>
            <w:r>
              <w:rPr>
                <w:b/>
                <w:color w:val="231F20"/>
                <w:w w:val="110"/>
                <w:sz w:val="15"/>
              </w:rPr>
              <w:t>Court of Appeal </w:t>
            </w:r>
            <w:r>
              <w:rPr>
                <w:color w:val="231F20"/>
                <w:w w:val="110"/>
                <w:sz w:val="15"/>
              </w:rPr>
              <w:t>95%</w:t>
            </w:r>
          </w:p>
          <w:p>
            <w:pPr>
              <w:pStyle w:val="TableParagraph"/>
              <w:spacing w:line="177" w:lineRule="exact" w:before="46"/>
              <w:ind w:left="78"/>
              <w:rPr>
                <w:b/>
                <w:sz w:val="15"/>
              </w:rPr>
            </w:pPr>
            <w:r>
              <w:rPr>
                <w:b/>
                <w:color w:val="231F20"/>
                <w:w w:val="115"/>
                <w:sz w:val="15"/>
              </w:rPr>
              <w:t>High Court</w:t>
            </w:r>
          </w:p>
          <w:p>
            <w:pPr>
              <w:pStyle w:val="TableParagraph"/>
              <w:spacing w:line="177" w:lineRule="exact"/>
              <w:ind w:left="78"/>
              <w:rPr>
                <w:sz w:val="15"/>
              </w:rPr>
            </w:pPr>
            <w:r>
              <w:rPr>
                <w:color w:val="231F20"/>
                <w:w w:val="120"/>
                <w:sz w:val="15"/>
              </w:rPr>
              <w:t>175%</w:t>
            </w:r>
          </w:p>
          <w:p>
            <w:pPr>
              <w:pStyle w:val="TableParagraph"/>
              <w:spacing w:line="223" w:lineRule="auto" w:before="53"/>
              <w:ind w:left="78" w:right="284"/>
              <w:rPr>
                <w:sz w:val="15"/>
              </w:rPr>
            </w:pPr>
            <w:r>
              <w:rPr>
                <w:b/>
                <w:color w:val="231F20"/>
                <w:w w:val="105"/>
                <w:sz w:val="15"/>
              </w:rPr>
              <w:t>Magistrates </w:t>
            </w:r>
            <w:r>
              <w:rPr>
                <w:b/>
                <w:color w:val="231F20"/>
                <w:w w:val="110"/>
                <w:sz w:val="15"/>
              </w:rPr>
              <w:t>Court </w:t>
            </w:r>
            <w:r>
              <w:rPr>
                <w:color w:val="231F20"/>
                <w:w w:val="110"/>
                <w:sz w:val="15"/>
              </w:rPr>
              <w:t>81%</w:t>
            </w:r>
          </w:p>
          <w:p>
            <w:pPr>
              <w:pStyle w:val="TableParagraph"/>
              <w:spacing w:line="177" w:lineRule="exact" w:before="46"/>
              <w:ind w:left="78"/>
              <w:rPr>
                <w:b/>
                <w:sz w:val="15"/>
              </w:rPr>
            </w:pPr>
            <w:r>
              <w:rPr>
                <w:b/>
                <w:color w:val="231F20"/>
                <w:w w:val="115"/>
                <w:sz w:val="15"/>
              </w:rPr>
              <w:t>Local Court</w:t>
            </w:r>
          </w:p>
          <w:p>
            <w:pPr>
              <w:pStyle w:val="TableParagraph"/>
              <w:spacing w:line="177" w:lineRule="exact"/>
              <w:ind w:left="78"/>
              <w:rPr>
                <w:sz w:val="15"/>
              </w:rPr>
            </w:pPr>
            <w:r>
              <w:rPr>
                <w:color w:val="231F20"/>
                <w:w w:val="120"/>
                <w:sz w:val="15"/>
              </w:rPr>
              <w:t>74%</w:t>
            </w:r>
          </w:p>
          <w:p>
            <w:pPr>
              <w:pStyle w:val="TableParagraph"/>
              <w:spacing w:line="223" w:lineRule="auto" w:before="54"/>
              <w:ind w:left="78" w:right="60"/>
              <w:rPr>
                <w:sz w:val="15"/>
              </w:rPr>
            </w:pPr>
            <w:r>
              <w:rPr>
                <w:b/>
                <w:color w:val="231F20"/>
                <w:w w:val="110"/>
                <w:sz w:val="15"/>
              </w:rPr>
              <w:t>Customary Land Appeal Court </w:t>
            </w:r>
            <w:r>
              <w:rPr>
                <w:color w:val="231F20"/>
                <w:w w:val="110"/>
                <w:sz w:val="15"/>
              </w:rPr>
              <w:t>26%</w:t>
            </w:r>
          </w:p>
        </w:tc>
        <w:tc>
          <w:tcPr>
            <w:tcW w:w="1050" w:type="dxa"/>
            <w:shd w:val="clear" w:color="auto" w:fill="D8E3CE"/>
          </w:tcPr>
          <w:p>
            <w:pPr>
              <w:pStyle w:val="TableParagraph"/>
              <w:spacing w:line="223" w:lineRule="auto" w:before="84"/>
              <w:ind w:left="77" w:right="128"/>
              <w:rPr>
                <w:sz w:val="15"/>
              </w:rPr>
            </w:pPr>
            <w:r>
              <w:rPr>
                <w:color w:val="231F20"/>
                <w:w w:val="110"/>
                <w:sz w:val="15"/>
              </w:rPr>
              <w:t>Nukunonu 100%, Atafu</w:t>
            </w:r>
          </w:p>
          <w:p>
            <w:pPr>
              <w:pStyle w:val="TableParagraph"/>
              <w:spacing w:line="166" w:lineRule="exact"/>
              <w:ind w:left="77"/>
              <w:rPr>
                <w:sz w:val="15"/>
              </w:rPr>
            </w:pPr>
            <w:r>
              <w:rPr>
                <w:color w:val="231F20"/>
                <w:w w:val="115"/>
                <w:sz w:val="15"/>
              </w:rPr>
              <w:t>56% and</w:t>
            </w:r>
          </w:p>
          <w:p>
            <w:pPr>
              <w:pStyle w:val="TableParagraph"/>
              <w:spacing w:line="177" w:lineRule="exact"/>
              <w:ind w:left="77"/>
              <w:rPr>
                <w:sz w:val="15"/>
              </w:rPr>
            </w:pPr>
            <w:r>
              <w:rPr>
                <w:color w:val="231F20"/>
                <w:w w:val="115"/>
                <w:sz w:val="15"/>
              </w:rPr>
              <w:t>Fakaofo 98%</w:t>
            </w:r>
          </w:p>
        </w:tc>
        <w:tc>
          <w:tcPr>
            <w:tcW w:w="1211" w:type="dxa"/>
            <w:shd w:val="clear" w:color="auto" w:fill="D8E3CE"/>
          </w:tcPr>
          <w:p>
            <w:pPr>
              <w:pStyle w:val="TableParagraph"/>
              <w:spacing w:line="223" w:lineRule="auto" w:before="85"/>
              <w:ind w:left="76" w:right="104"/>
              <w:rPr>
                <w:sz w:val="15"/>
              </w:rPr>
            </w:pPr>
            <w:r>
              <w:rPr>
                <w:b/>
                <w:color w:val="231F20"/>
                <w:w w:val="110"/>
                <w:sz w:val="15"/>
              </w:rPr>
              <w:t>Court of Appeal </w:t>
            </w:r>
            <w:r>
              <w:rPr>
                <w:color w:val="231F20"/>
                <w:w w:val="110"/>
                <w:sz w:val="15"/>
              </w:rPr>
              <w:t>100%</w:t>
            </w:r>
          </w:p>
          <w:p>
            <w:pPr>
              <w:pStyle w:val="TableParagraph"/>
              <w:spacing w:line="223" w:lineRule="auto" w:before="56"/>
              <w:ind w:left="76" w:right="126"/>
              <w:rPr>
                <w:sz w:val="15"/>
              </w:rPr>
            </w:pPr>
            <w:r>
              <w:rPr>
                <w:b/>
                <w:color w:val="231F20"/>
                <w:w w:val="105"/>
                <w:sz w:val="15"/>
              </w:rPr>
              <w:t>Supreme Court</w:t>
            </w:r>
            <w:r>
              <w:rPr>
                <w:color w:val="231F20"/>
                <w:w w:val="105"/>
                <w:sz w:val="15"/>
              </w:rPr>
              <w:t>: </w:t>
            </w:r>
            <w:r>
              <w:rPr>
                <w:color w:val="231F20"/>
                <w:spacing w:val="-4"/>
                <w:w w:val="105"/>
                <w:sz w:val="15"/>
              </w:rPr>
              <w:t>average </w:t>
            </w:r>
            <w:r>
              <w:rPr>
                <w:color w:val="231F20"/>
                <w:w w:val="105"/>
                <w:sz w:val="15"/>
              </w:rPr>
              <w:t>of all case types 109%. </w:t>
            </w:r>
            <w:r>
              <w:rPr>
                <w:color w:val="231F20"/>
                <w:spacing w:val="-2"/>
                <w:w w:val="105"/>
                <w:sz w:val="15"/>
              </w:rPr>
              <w:t>Clearance </w:t>
            </w:r>
            <w:r>
              <w:rPr>
                <w:color w:val="231F20"/>
                <w:spacing w:val="-3"/>
                <w:w w:val="105"/>
                <w:sz w:val="15"/>
              </w:rPr>
              <w:t>rates </w:t>
            </w:r>
            <w:r>
              <w:rPr>
                <w:color w:val="231F20"/>
                <w:w w:val="105"/>
                <w:sz w:val="15"/>
              </w:rPr>
              <w:t>for 10 </w:t>
            </w:r>
            <w:r>
              <w:rPr>
                <w:color w:val="231F20"/>
                <w:spacing w:val="-3"/>
                <w:w w:val="105"/>
                <w:sz w:val="15"/>
              </w:rPr>
              <w:t>separate divisions </w:t>
            </w:r>
            <w:r>
              <w:rPr>
                <w:color w:val="231F20"/>
                <w:w w:val="105"/>
                <w:sz w:val="15"/>
              </w:rPr>
              <w:t>of </w:t>
            </w:r>
            <w:r>
              <w:rPr>
                <w:color w:val="231F20"/>
                <w:spacing w:val="-2"/>
                <w:w w:val="105"/>
                <w:sz w:val="15"/>
              </w:rPr>
              <w:t>the </w:t>
            </w:r>
            <w:r>
              <w:rPr>
                <w:color w:val="231F20"/>
                <w:w w:val="105"/>
                <w:sz w:val="15"/>
              </w:rPr>
              <w:t>Supreme Court are </w:t>
            </w:r>
            <w:r>
              <w:rPr>
                <w:color w:val="231F20"/>
                <w:spacing w:val="-3"/>
                <w:w w:val="105"/>
                <w:sz w:val="15"/>
              </w:rPr>
              <w:t>provided </w:t>
            </w:r>
            <w:r>
              <w:rPr>
                <w:color w:val="231F20"/>
                <w:w w:val="105"/>
                <w:sz w:val="15"/>
              </w:rPr>
              <w:t>with a range of </w:t>
            </w:r>
            <w:r>
              <w:rPr>
                <w:color w:val="231F20"/>
                <w:spacing w:val="-2"/>
                <w:w w:val="105"/>
                <w:sz w:val="15"/>
              </w:rPr>
              <w:t>clearance </w:t>
            </w:r>
            <w:r>
              <w:rPr>
                <w:color w:val="231F20"/>
                <w:spacing w:val="-3"/>
                <w:w w:val="105"/>
                <w:sz w:val="15"/>
              </w:rPr>
              <w:t>rates </w:t>
            </w:r>
            <w:r>
              <w:rPr>
                <w:color w:val="231F20"/>
                <w:w w:val="105"/>
                <w:sz w:val="15"/>
              </w:rPr>
              <w:t>from</w:t>
            </w:r>
            <w:r>
              <w:rPr>
                <w:color w:val="231F20"/>
                <w:spacing w:val="6"/>
                <w:w w:val="105"/>
                <w:sz w:val="15"/>
              </w:rPr>
              <w:t> </w:t>
            </w:r>
            <w:r>
              <w:rPr>
                <w:color w:val="231F20"/>
                <w:w w:val="105"/>
                <w:sz w:val="15"/>
              </w:rPr>
              <w:t>85%-</w:t>
            </w:r>
          </w:p>
          <w:p>
            <w:pPr>
              <w:pStyle w:val="TableParagraph"/>
              <w:spacing w:line="223" w:lineRule="auto"/>
              <w:ind w:left="76" w:right="104"/>
              <w:rPr>
                <w:sz w:val="15"/>
              </w:rPr>
            </w:pPr>
            <w:r>
              <w:rPr>
                <w:color w:val="231F20"/>
                <w:w w:val="110"/>
                <w:sz w:val="15"/>
              </w:rPr>
              <w:t>148%. Details of Clearance rates in circuit courts were also provided.</w:t>
            </w:r>
          </w:p>
          <w:p>
            <w:pPr>
              <w:pStyle w:val="TableParagraph"/>
              <w:spacing w:line="177" w:lineRule="exact" w:before="42"/>
              <w:ind w:left="76"/>
              <w:rPr>
                <w:b/>
                <w:sz w:val="15"/>
              </w:rPr>
            </w:pPr>
            <w:r>
              <w:rPr>
                <w:b/>
                <w:color w:val="231F20"/>
                <w:w w:val="110"/>
                <w:sz w:val="15"/>
              </w:rPr>
              <w:t>Land Court</w:t>
            </w:r>
          </w:p>
          <w:p>
            <w:pPr>
              <w:pStyle w:val="TableParagraph"/>
              <w:spacing w:line="177" w:lineRule="exact"/>
              <w:ind w:left="76"/>
              <w:rPr>
                <w:sz w:val="15"/>
              </w:rPr>
            </w:pPr>
            <w:r>
              <w:rPr>
                <w:color w:val="231F20"/>
                <w:w w:val="120"/>
                <w:sz w:val="15"/>
              </w:rPr>
              <w:t>98%</w:t>
            </w:r>
          </w:p>
          <w:p>
            <w:pPr>
              <w:pStyle w:val="TableParagraph"/>
              <w:spacing w:line="223" w:lineRule="auto" w:before="53"/>
              <w:ind w:left="76" w:right="225"/>
              <w:rPr>
                <w:sz w:val="15"/>
              </w:rPr>
            </w:pPr>
            <w:r>
              <w:rPr>
                <w:b/>
                <w:color w:val="231F20"/>
                <w:w w:val="105"/>
                <w:sz w:val="15"/>
              </w:rPr>
              <w:t>Magistrates Court </w:t>
            </w:r>
            <w:r>
              <w:rPr>
                <w:color w:val="231F20"/>
                <w:w w:val="105"/>
                <w:sz w:val="15"/>
              </w:rPr>
              <w:t>110% </w:t>
            </w:r>
            <w:r>
              <w:rPr>
                <w:color w:val="231F20"/>
                <w:spacing w:val="-3"/>
                <w:w w:val="105"/>
                <w:sz w:val="15"/>
              </w:rPr>
              <w:t>average  </w:t>
            </w:r>
            <w:r>
              <w:rPr>
                <w:color w:val="231F20"/>
                <w:spacing w:val="-2"/>
                <w:w w:val="105"/>
                <w:sz w:val="15"/>
              </w:rPr>
              <w:t>for </w:t>
            </w:r>
            <w:r>
              <w:rPr>
                <w:color w:val="231F20"/>
                <w:w w:val="105"/>
                <w:sz w:val="15"/>
              </w:rPr>
              <w:t>all case</w:t>
            </w:r>
            <w:r>
              <w:rPr>
                <w:color w:val="231F20"/>
                <w:spacing w:val="-11"/>
                <w:w w:val="105"/>
                <w:sz w:val="15"/>
              </w:rPr>
              <w:t> </w:t>
            </w:r>
            <w:r>
              <w:rPr>
                <w:color w:val="231F20"/>
                <w:spacing w:val="-2"/>
                <w:w w:val="105"/>
                <w:sz w:val="15"/>
              </w:rPr>
              <w:t>types.</w:t>
            </w:r>
          </w:p>
          <w:p>
            <w:pPr>
              <w:pStyle w:val="TableParagraph"/>
              <w:spacing w:line="223" w:lineRule="auto"/>
              <w:ind w:left="76"/>
              <w:rPr>
                <w:sz w:val="15"/>
              </w:rPr>
            </w:pPr>
            <w:r>
              <w:rPr>
                <w:color w:val="231F20"/>
                <w:w w:val="110"/>
                <w:sz w:val="15"/>
              </w:rPr>
              <w:t>Clearance rates for 5 separate divisions of</w:t>
            </w:r>
          </w:p>
          <w:p>
            <w:pPr>
              <w:pStyle w:val="TableParagraph"/>
              <w:spacing w:line="223" w:lineRule="auto"/>
              <w:ind w:left="76" w:right="148"/>
              <w:rPr>
                <w:sz w:val="15"/>
              </w:rPr>
            </w:pPr>
            <w:r>
              <w:rPr>
                <w:color w:val="231F20"/>
                <w:w w:val="105"/>
                <w:sz w:val="15"/>
              </w:rPr>
              <w:t>the </w:t>
            </w:r>
            <w:r>
              <w:rPr>
                <w:color w:val="231F20"/>
                <w:spacing w:val="-3"/>
                <w:w w:val="105"/>
                <w:sz w:val="15"/>
              </w:rPr>
              <w:t>Magistrates </w:t>
            </w:r>
            <w:r>
              <w:rPr>
                <w:color w:val="231F20"/>
                <w:w w:val="105"/>
                <w:sz w:val="15"/>
              </w:rPr>
              <w:t>Court </w:t>
            </w:r>
            <w:r>
              <w:rPr>
                <w:color w:val="231F20"/>
                <w:spacing w:val="-2"/>
                <w:w w:val="105"/>
                <w:sz w:val="15"/>
              </w:rPr>
              <w:t>are </w:t>
            </w:r>
            <w:r>
              <w:rPr>
                <w:color w:val="231F20"/>
                <w:w w:val="105"/>
                <w:sz w:val="15"/>
              </w:rPr>
              <w:t>provided with a range of </w:t>
            </w:r>
            <w:r>
              <w:rPr>
                <w:color w:val="231F20"/>
                <w:spacing w:val="-2"/>
                <w:w w:val="105"/>
                <w:sz w:val="15"/>
              </w:rPr>
              <w:t>clearance </w:t>
            </w:r>
            <w:r>
              <w:rPr>
                <w:color w:val="231F20"/>
                <w:spacing w:val="-3"/>
                <w:w w:val="105"/>
                <w:sz w:val="15"/>
              </w:rPr>
              <w:t>rates </w:t>
            </w:r>
            <w:r>
              <w:rPr>
                <w:color w:val="231F20"/>
                <w:w w:val="105"/>
                <w:sz w:val="15"/>
              </w:rPr>
              <w:t>from</w:t>
            </w:r>
            <w:r>
              <w:rPr>
                <w:color w:val="231F20"/>
                <w:spacing w:val="6"/>
                <w:w w:val="105"/>
                <w:sz w:val="15"/>
              </w:rPr>
              <w:t> </w:t>
            </w:r>
            <w:r>
              <w:rPr>
                <w:color w:val="231F20"/>
                <w:w w:val="105"/>
                <w:sz w:val="15"/>
              </w:rPr>
              <w:t>95%-</w:t>
            </w:r>
          </w:p>
          <w:p>
            <w:pPr>
              <w:pStyle w:val="TableParagraph"/>
              <w:spacing w:line="171" w:lineRule="exact"/>
              <w:ind w:left="76"/>
              <w:rPr>
                <w:sz w:val="15"/>
              </w:rPr>
            </w:pPr>
            <w:r>
              <w:rPr>
                <w:color w:val="231F20"/>
                <w:w w:val="120"/>
                <w:sz w:val="15"/>
              </w:rPr>
              <w:t>180%.</w:t>
            </w:r>
          </w:p>
        </w:tc>
        <w:tc>
          <w:tcPr>
            <w:tcW w:w="1083" w:type="dxa"/>
            <w:shd w:val="clear" w:color="auto" w:fill="F2CDBE"/>
          </w:tcPr>
          <w:p>
            <w:pPr>
              <w:pStyle w:val="TableParagraph"/>
              <w:spacing w:line="223" w:lineRule="auto" w:before="84"/>
              <w:ind w:left="75" w:right="191"/>
              <w:rPr>
                <w:sz w:val="15"/>
              </w:rPr>
            </w:pPr>
            <w:r>
              <w:rPr>
                <w:color w:val="231F20"/>
                <w:w w:val="110"/>
                <w:sz w:val="15"/>
              </w:rPr>
              <w:t>Data Unavailable</w:t>
            </w:r>
          </w:p>
        </w:tc>
        <w:tc>
          <w:tcPr>
            <w:tcW w:w="1350" w:type="dxa"/>
            <w:shd w:val="clear" w:color="auto" w:fill="D8E3CE"/>
          </w:tcPr>
          <w:p>
            <w:pPr>
              <w:pStyle w:val="TableParagraph"/>
              <w:spacing w:line="177" w:lineRule="exact" w:before="75"/>
              <w:ind w:left="73"/>
              <w:rPr>
                <w:b/>
                <w:sz w:val="15"/>
              </w:rPr>
            </w:pPr>
            <w:r>
              <w:rPr>
                <w:b/>
                <w:color w:val="231F20"/>
                <w:w w:val="110"/>
                <w:sz w:val="15"/>
              </w:rPr>
              <w:t>Court of Appeal</w:t>
            </w:r>
          </w:p>
          <w:p>
            <w:pPr>
              <w:pStyle w:val="TableParagraph"/>
              <w:spacing w:line="177" w:lineRule="exact"/>
              <w:ind w:left="73"/>
              <w:rPr>
                <w:sz w:val="15"/>
              </w:rPr>
            </w:pPr>
            <w:r>
              <w:rPr>
                <w:color w:val="231F20"/>
                <w:w w:val="120"/>
                <w:sz w:val="15"/>
              </w:rPr>
              <w:t>85%</w:t>
            </w:r>
          </w:p>
          <w:p>
            <w:pPr>
              <w:pStyle w:val="TableParagraph"/>
              <w:spacing w:line="177" w:lineRule="exact" w:before="43"/>
              <w:ind w:left="73"/>
              <w:rPr>
                <w:b/>
                <w:sz w:val="15"/>
              </w:rPr>
            </w:pPr>
            <w:r>
              <w:rPr>
                <w:b/>
                <w:color w:val="231F20"/>
                <w:w w:val="110"/>
                <w:sz w:val="15"/>
              </w:rPr>
              <w:t>Supreme Court</w:t>
            </w:r>
          </w:p>
          <w:p>
            <w:pPr>
              <w:pStyle w:val="TableParagraph"/>
              <w:spacing w:line="177" w:lineRule="exact"/>
              <w:ind w:left="73"/>
              <w:rPr>
                <w:sz w:val="15"/>
              </w:rPr>
            </w:pPr>
            <w:r>
              <w:rPr>
                <w:color w:val="231F20"/>
                <w:w w:val="120"/>
                <w:sz w:val="15"/>
              </w:rPr>
              <w:t>97%</w:t>
            </w:r>
          </w:p>
          <w:p>
            <w:pPr>
              <w:pStyle w:val="TableParagraph"/>
              <w:spacing w:line="223" w:lineRule="auto" w:before="54"/>
              <w:ind w:left="73" w:right="423"/>
              <w:rPr>
                <w:sz w:val="15"/>
              </w:rPr>
            </w:pPr>
            <w:r>
              <w:rPr>
                <w:b/>
                <w:color w:val="231F20"/>
                <w:w w:val="110"/>
                <w:sz w:val="15"/>
              </w:rPr>
              <w:t>Magistrates Court  </w:t>
            </w:r>
            <w:r>
              <w:rPr>
                <w:color w:val="231F20"/>
                <w:w w:val="110"/>
                <w:sz w:val="15"/>
              </w:rPr>
              <w:t>120%</w:t>
            </w:r>
          </w:p>
          <w:p>
            <w:pPr>
              <w:pStyle w:val="TableParagraph"/>
              <w:spacing w:line="177" w:lineRule="exact" w:before="46"/>
              <w:ind w:left="73"/>
              <w:rPr>
                <w:b/>
                <w:sz w:val="15"/>
              </w:rPr>
            </w:pPr>
            <w:r>
              <w:rPr>
                <w:b/>
                <w:color w:val="231F20"/>
                <w:w w:val="110"/>
                <w:sz w:val="15"/>
              </w:rPr>
              <w:t>Island Court</w:t>
            </w:r>
          </w:p>
          <w:p>
            <w:pPr>
              <w:pStyle w:val="TableParagraph"/>
              <w:spacing w:line="177" w:lineRule="exact"/>
              <w:ind w:left="73"/>
              <w:rPr>
                <w:sz w:val="15"/>
              </w:rPr>
            </w:pPr>
            <w:r>
              <w:rPr>
                <w:color w:val="231F20"/>
                <w:w w:val="120"/>
                <w:sz w:val="15"/>
              </w:rPr>
              <w:t>89%</w:t>
            </w:r>
          </w:p>
        </w:tc>
      </w:tr>
    </w:tbl>
    <w:p>
      <w:pPr>
        <w:spacing w:after="0" w:line="177" w:lineRule="exact"/>
        <w:rPr>
          <w:sz w:val="15"/>
        </w:rPr>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90624"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21</w:t>
      </w:r>
    </w:p>
    <w:p>
      <w:pPr>
        <w:pStyle w:val="BodyText"/>
        <w:rPr>
          <w:sz w:val="38"/>
        </w:rPr>
      </w:pPr>
    </w:p>
    <w:p>
      <w:pPr>
        <w:pStyle w:val="BodyText"/>
        <w:spacing w:before="2"/>
        <w:rPr>
          <w:sz w:val="50"/>
        </w:rPr>
      </w:pPr>
    </w:p>
    <w:p>
      <w:pPr>
        <w:pStyle w:val="Heading5"/>
      </w:pPr>
      <w:r>
        <w:rPr/>
        <w:pict>
          <v:shape style="position:absolute;margin-left:85.039001pt;margin-top:23.320963pt;width:425.2pt;height:44.55pt;mso-position-horizontal-relative:page;mso-position-vertical-relative:paragraph;z-index:8704;mso-wrap-distance-left:0;mso-wrap-distance-right:0" type="#_x0000_t202" filled="true" fillcolor="#dcdbca" stroked="false">
            <v:textbox inset="0,0,0,0">
              <w:txbxContent>
                <w:p>
                  <w:pPr>
                    <w:pStyle w:val="BodyText"/>
                    <w:spacing w:line="252" w:lineRule="auto" w:before="135"/>
                    <w:ind w:left="56"/>
                  </w:pPr>
                  <w:r>
                    <w:rPr>
                      <w:color w:val="231F20"/>
                      <w:spacing w:val="-4"/>
                      <w:w w:val="105"/>
                    </w:rPr>
                    <w:t>The</w:t>
                  </w:r>
                  <w:r>
                    <w:rPr>
                      <w:color w:val="231F20"/>
                      <w:spacing w:val="-12"/>
                      <w:w w:val="105"/>
                    </w:rPr>
                    <w:t> </w:t>
                  </w:r>
                  <w:r>
                    <w:rPr>
                      <w:color w:val="231F20"/>
                      <w:w w:val="105"/>
                    </w:rPr>
                    <w:t>result</w:t>
                  </w:r>
                  <w:r>
                    <w:rPr>
                      <w:color w:val="231F20"/>
                      <w:spacing w:val="-12"/>
                      <w:w w:val="105"/>
                    </w:rPr>
                    <w:t> </w:t>
                  </w:r>
                  <w:r>
                    <w:rPr>
                      <w:color w:val="231F20"/>
                      <w:w w:val="105"/>
                    </w:rPr>
                    <w:t>against</w:t>
                  </w:r>
                  <w:r>
                    <w:rPr>
                      <w:color w:val="231F20"/>
                      <w:spacing w:val="-12"/>
                      <w:w w:val="105"/>
                    </w:rPr>
                    <w:t> </w:t>
                  </w:r>
                  <w:r>
                    <w:rPr>
                      <w:color w:val="231F20"/>
                      <w:w w:val="105"/>
                    </w:rPr>
                    <w:t>this</w:t>
                  </w:r>
                  <w:r>
                    <w:rPr>
                      <w:color w:val="231F20"/>
                      <w:spacing w:val="-12"/>
                      <w:w w:val="105"/>
                    </w:rPr>
                    <w:t> </w:t>
                  </w:r>
                  <w:r>
                    <w:rPr>
                      <w:color w:val="231F20"/>
                      <w:w w:val="105"/>
                    </w:rPr>
                    <w:t>indicator</w:t>
                  </w:r>
                  <w:r>
                    <w:rPr>
                      <w:color w:val="231F20"/>
                      <w:spacing w:val="-12"/>
                      <w:w w:val="105"/>
                    </w:rPr>
                    <w:t> </w:t>
                  </w:r>
                  <w:r>
                    <w:rPr>
                      <w:color w:val="231F20"/>
                      <w:w w:val="105"/>
                    </w:rPr>
                    <w:t>is</w:t>
                  </w:r>
                  <w:r>
                    <w:rPr>
                      <w:color w:val="231F20"/>
                      <w:spacing w:val="-12"/>
                      <w:w w:val="105"/>
                    </w:rPr>
                    <w:t> </w:t>
                  </w:r>
                  <w:r>
                    <w:rPr>
                      <w:color w:val="231F20"/>
                      <w:w w:val="105"/>
                    </w:rPr>
                    <w:t>obtained</w:t>
                  </w:r>
                  <w:r>
                    <w:rPr>
                      <w:color w:val="231F20"/>
                      <w:spacing w:val="-12"/>
                      <w:w w:val="105"/>
                    </w:rPr>
                    <w:t> </w:t>
                  </w:r>
                  <w:r>
                    <w:rPr>
                      <w:color w:val="231F20"/>
                      <w:w w:val="105"/>
                    </w:rPr>
                    <w:t>by</w:t>
                  </w:r>
                  <w:r>
                    <w:rPr>
                      <w:color w:val="231F20"/>
                      <w:spacing w:val="-12"/>
                      <w:w w:val="105"/>
                    </w:rPr>
                    <w:t> </w:t>
                  </w:r>
                  <w:r>
                    <w:rPr>
                      <w:color w:val="231F20"/>
                      <w:w w:val="105"/>
                    </w:rPr>
                    <w:t>totalling</w:t>
                  </w:r>
                  <w:r>
                    <w:rPr>
                      <w:color w:val="231F20"/>
                      <w:spacing w:val="-12"/>
                      <w:w w:val="105"/>
                    </w:rPr>
                    <w:t> </w:t>
                  </w:r>
                  <w:r>
                    <w:rPr>
                      <w:color w:val="231F20"/>
                      <w:w w:val="105"/>
                    </w:rPr>
                    <w:t>the</w:t>
                  </w:r>
                  <w:r>
                    <w:rPr>
                      <w:color w:val="231F20"/>
                      <w:spacing w:val="-12"/>
                      <w:w w:val="105"/>
                    </w:rPr>
                    <w:t> </w:t>
                  </w:r>
                  <w:r>
                    <w:rPr>
                      <w:color w:val="231F20"/>
                      <w:w w:val="105"/>
                    </w:rPr>
                    <w:t>days</w:t>
                  </w:r>
                  <w:r>
                    <w:rPr>
                      <w:color w:val="231F20"/>
                      <w:spacing w:val="-12"/>
                      <w:w w:val="105"/>
                    </w:rPr>
                    <w:t> </w:t>
                  </w:r>
                  <w:r>
                    <w:rPr>
                      <w:color w:val="231F20"/>
                      <w:w w:val="105"/>
                    </w:rPr>
                    <w:t>for</w:t>
                  </w:r>
                  <w:r>
                    <w:rPr>
                      <w:color w:val="231F20"/>
                      <w:spacing w:val="-12"/>
                      <w:w w:val="105"/>
                    </w:rPr>
                    <w:t> </w:t>
                  </w:r>
                  <w:r>
                    <w:rPr>
                      <w:color w:val="231F20"/>
                      <w:w w:val="105"/>
                    </w:rPr>
                    <w:t>each</w:t>
                  </w:r>
                  <w:r>
                    <w:rPr>
                      <w:color w:val="231F20"/>
                      <w:spacing w:val="-12"/>
                      <w:w w:val="105"/>
                    </w:rPr>
                    <w:t> </w:t>
                  </w:r>
                  <w:r>
                    <w:rPr>
                      <w:color w:val="231F20"/>
                      <w:w w:val="105"/>
                    </w:rPr>
                    <w:t>case</w:t>
                  </w:r>
                  <w:r>
                    <w:rPr>
                      <w:color w:val="231F20"/>
                      <w:spacing w:val="-12"/>
                      <w:w w:val="105"/>
                    </w:rPr>
                    <w:t> </w:t>
                  </w:r>
                  <w:r>
                    <w:rPr>
                      <w:color w:val="231F20"/>
                      <w:w w:val="105"/>
                    </w:rPr>
                    <w:t>from</w:t>
                  </w:r>
                  <w:r>
                    <w:rPr>
                      <w:color w:val="231F20"/>
                      <w:spacing w:val="-12"/>
                      <w:w w:val="105"/>
                    </w:rPr>
                    <w:t> </w:t>
                  </w:r>
                  <w:r>
                    <w:rPr>
                      <w:color w:val="231F20"/>
                      <w:w w:val="105"/>
                    </w:rPr>
                    <w:t>the</w:t>
                  </w:r>
                  <w:r>
                    <w:rPr>
                      <w:color w:val="231F20"/>
                      <w:spacing w:val="-12"/>
                      <w:w w:val="105"/>
                    </w:rPr>
                    <w:t> </w:t>
                  </w:r>
                  <w:r>
                    <w:rPr>
                      <w:color w:val="231F20"/>
                      <w:w w:val="105"/>
                    </w:rPr>
                    <w:t>date</w:t>
                  </w:r>
                  <w:r>
                    <w:rPr>
                      <w:color w:val="231F20"/>
                      <w:spacing w:val="-12"/>
                      <w:w w:val="105"/>
                    </w:rPr>
                    <w:t> </w:t>
                  </w:r>
                  <w:r>
                    <w:rPr>
                      <w:color w:val="231F20"/>
                      <w:w w:val="105"/>
                    </w:rPr>
                    <w:t>the case</w:t>
                  </w:r>
                  <w:r>
                    <w:rPr>
                      <w:color w:val="231F20"/>
                      <w:spacing w:val="2"/>
                      <w:w w:val="105"/>
                    </w:rPr>
                    <w:t> </w:t>
                  </w:r>
                  <w:r>
                    <w:rPr>
                      <w:color w:val="231F20"/>
                      <w:w w:val="105"/>
                    </w:rPr>
                    <w:t>is</w:t>
                  </w:r>
                  <w:r>
                    <w:rPr>
                      <w:color w:val="231F20"/>
                      <w:spacing w:val="2"/>
                      <w:w w:val="105"/>
                    </w:rPr>
                    <w:t> </w:t>
                  </w:r>
                  <w:r>
                    <w:rPr>
                      <w:color w:val="231F20"/>
                      <w:w w:val="105"/>
                    </w:rPr>
                    <w:t>filed</w:t>
                  </w:r>
                  <w:r>
                    <w:rPr>
                      <w:color w:val="231F20"/>
                      <w:spacing w:val="2"/>
                      <w:w w:val="105"/>
                    </w:rPr>
                    <w:t> </w:t>
                  </w:r>
                  <w:r>
                    <w:rPr>
                      <w:color w:val="231F20"/>
                      <w:w w:val="105"/>
                    </w:rPr>
                    <w:t>to</w:t>
                  </w:r>
                  <w:r>
                    <w:rPr>
                      <w:color w:val="231F20"/>
                      <w:spacing w:val="2"/>
                      <w:w w:val="105"/>
                    </w:rPr>
                    <w:t> </w:t>
                  </w:r>
                  <w:r>
                    <w:rPr>
                      <w:color w:val="231F20"/>
                      <w:w w:val="105"/>
                    </w:rPr>
                    <w:t>the</w:t>
                  </w:r>
                  <w:r>
                    <w:rPr>
                      <w:color w:val="231F20"/>
                      <w:spacing w:val="2"/>
                      <w:w w:val="105"/>
                    </w:rPr>
                    <w:t> </w:t>
                  </w:r>
                  <w:r>
                    <w:rPr>
                      <w:color w:val="231F20"/>
                      <w:w w:val="105"/>
                    </w:rPr>
                    <w:t>date</w:t>
                  </w:r>
                  <w:r>
                    <w:rPr>
                      <w:color w:val="231F20"/>
                      <w:spacing w:val="2"/>
                      <w:w w:val="105"/>
                    </w:rPr>
                    <w:t> </w:t>
                  </w:r>
                  <w:r>
                    <w:rPr>
                      <w:color w:val="231F20"/>
                      <w:w w:val="105"/>
                    </w:rPr>
                    <w:t>it</w:t>
                  </w:r>
                  <w:r>
                    <w:rPr>
                      <w:color w:val="231F20"/>
                      <w:spacing w:val="2"/>
                      <w:w w:val="105"/>
                    </w:rPr>
                    <w:t> </w:t>
                  </w:r>
                  <w:r>
                    <w:rPr>
                      <w:color w:val="231F20"/>
                      <w:w w:val="105"/>
                    </w:rPr>
                    <w:t>is</w:t>
                  </w:r>
                  <w:r>
                    <w:rPr>
                      <w:color w:val="231F20"/>
                      <w:spacing w:val="2"/>
                      <w:w w:val="105"/>
                    </w:rPr>
                    <w:t> </w:t>
                  </w:r>
                  <w:r>
                    <w:rPr>
                      <w:color w:val="231F20"/>
                      <w:w w:val="105"/>
                    </w:rPr>
                    <w:t>finalised</w:t>
                  </w:r>
                  <w:r>
                    <w:rPr>
                      <w:color w:val="231F20"/>
                      <w:spacing w:val="2"/>
                      <w:w w:val="105"/>
                    </w:rPr>
                    <w:t> </w:t>
                  </w:r>
                  <w:r>
                    <w:rPr>
                      <w:color w:val="231F20"/>
                      <w:w w:val="105"/>
                    </w:rPr>
                    <w:t>and</w:t>
                  </w:r>
                  <w:r>
                    <w:rPr>
                      <w:color w:val="231F20"/>
                      <w:spacing w:val="2"/>
                      <w:w w:val="105"/>
                    </w:rPr>
                    <w:t> </w:t>
                  </w:r>
                  <w:r>
                    <w:rPr>
                      <w:color w:val="231F20"/>
                      <w:w w:val="105"/>
                    </w:rPr>
                    <w:t>then</w:t>
                  </w:r>
                  <w:r>
                    <w:rPr>
                      <w:color w:val="231F20"/>
                      <w:spacing w:val="2"/>
                      <w:w w:val="105"/>
                    </w:rPr>
                    <w:t> </w:t>
                  </w:r>
                  <w:r>
                    <w:rPr>
                      <w:color w:val="231F20"/>
                      <w:w w:val="105"/>
                    </w:rPr>
                    <w:t>dividing</w:t>
                  </w:r>
                  <w:r>
                    <w:rPr>
                      <w:color w:val="231F20"/>
                      <w:spacing w:val="2"/>
                      <w:w w:val="105"/>
                    </w:rPr>
                    <w:t> </w:t>
                  </w:r>
                  <w:r>
                    <w:rPr>
                      <w:color w:val="231F20"/>
                      <w:w w:val="105"/>
                    </w:rPr>
                    <w:t>this</w:t>
                  </w:r>
                  <w:r>
                    <w:rPr>
                      <w:color w:val="231F20"/>
                      <w:spacing w:val="2"/>
                      <w:w w:val="105"/>
                    </w:rPr>
                    <w:t> </w:t>
                  </w:r>
                  <w:r>
                    <w:rPr>
                      <w:color w:val="231F20"/>
                      <w:w w:val="105"/>
                    </w:rPr>
                    <w:t>by</w:t>
                  </w:r>
                  <w:r>
                    <w:rPr>
                      <w:color w:val="231F20"/>
                      <w:spacing w:val="2"/>
                      <w:w w:val="105"/>
                    </w:rPr>
                    <w:t> </w:t>
                  </w:r>
                  <w:r>
                    <w:rPr>
                      <w:color w:val="231F20"/>
                      <w:w w:val="105"/>
                    </w:rPr>
                    <w:t>the</w:t>
                  </w:r>
                  <w:r>
                    <w:rPr>
                      <w:color w:val="231F20"/>
                      <w:spacing w:val="2"/>
                      <w:w w:val="105"/>
                    </w:rPr>
                    <w:t> </w:t>
                  </w:r>
                  <w:r>
                    <w:rPr>
                      <w:color w:val="231F20"/>
                      <w:w w:val="105"/>
                    </w:rPr>
                    <w:t>number</w:t>
                  </w:r>
                  <w:r>
                    <w:rPr>
                      <w:color w:val="231F20"/>
                      <w:spacing w:val="2"/>
                      <w:w w:val="105"/>
                    </w:rPr>
                    <w:t> </w:t>
                  </w:r>
                  <w:r>
                    <w:rPr>
                      <w:color w:val="231F20"/>
                      <w:w w:val="105"/>
                    </w:rPr>
                    <w:t>of</w:t>
                  </w:r>
                  <w:r>
                    <w:rPr>
                      <w:color w:val="231F20"/>
                      <w:spacing w:val="2"/>
                      <w:w w:val="105"/>
                    </w:rPr>
                    <w:t> </w:t>
                  </w:r>
                  <w:r>
                    <w:rPr>
                      <w:color w:val="231F20"/>
                      <w:w w:val="105"/>
                    </w:rPr>
                    <w:t>cases</w:t>
                  </w:r>
                  <w:r>
                    <w:rPr>
                      <w:color w:val="231F20"/>
                      <w:spacing w:val="2"/>
                      <w:w w:val="105"/>
                    </w:rPr>
                    <w:t> </w:t>
                  </w:r>
                  <w:r>
                    <w:rPr>
                      <w:color w:val="231F20"/>
                      <w:w w:val="105"/>
                    </w:rPr>
                    <w:t>finalised.</w:t>
                  </w:r>
                </w:p>
              </w:txbxContent>
            </v:textbox>
            <v:fill type="solid"/>
            <w10:wrap type="topAndBottom"/>
          </v:shape>
        </w:pict>
      </w:r>
      <w:r>
        <w:rPr/>
        <w:pict>
          <v:rect style="position:absolute;margin-left:85.039398pt;margin-top:22.320963pt;width:425.197pt;height:1pt;mso-position-horizontal-relative:page;mso-position-vertical-relative:paragraph;z-index:9016" filled="true" fillcolor="#0f6161" stroked="false">
            <v:fill type="solid"/>
            <w10:wrap type="none"/>
          </v:rect>
        </w:pict>
      </w:r>
      <w:r>
        <w:rPr/>
        <w:pict>
          <v:shape style="position:absolute;margin-left:85.039001pt;margin-top:-3.045737pt;width:93.55pt;height:25.4pt;mso-position-horizontal-relative:page;mso-position-vertical-relative:paragraph;z-index:9040" type="#_x0000_t202" filled="true" fillcolor="#7d8440" stroked="false">
            <v:textbox inset="0,0,0,0">
              <w:txbxContent>
                <w:p>
                  <w:pPr>
                    <w:spacing w:before="61"/>
                    <w:ind w:left="56" w:right="0" w:firstLine="0"/>
                    <w:jc w:val="left"/>
                    <w:rPr>
                      <w:b/>
                      <w:sz w:val="32"/>
                    </w:rPr>
                  </w:pPr>
                  <w:r>
                    <w:rPr>
                      <w:b/>
                      <w:color w:val="FFFFFF"/>
                      <w:w w:val="110"/>
                      <w:sz w:val="32"/>
                    </w:rPr>
                    <w:t>Indicator 2</w:t>
                  </w:r>
                </w:p>
              </w:txbxContent>
            </v:textbox>
            <v:fill type="solid"/>
            <w10:wrap type="none"/>
          </v:shape>
        </w:pict>
      </w:r>
      <w:r>
        <w:rPr>
          <w:color w:val="0F6161"/>
          <w:w w:val="105"/>
        </w:rPr>
        <w:t>Average Duration of a Case</w:t>
      </w:r>
    </w:p>
    <w:p>
      <w:pPr>
        <w:pStyle w:val="BodyText"/>
        <w:rPr>
          <w:sz w:val="7"/>
        </w:rPr>
      </w:pPr>
    </w:p>
    <w:p>
      <w:pPr>
        <w:spacing w:before="87"/>
        <w:ind w:left="1700" w:right="0" w:firstLine="0"/>
        <w:jc w:val="left"/>
        <w:rPr>
          <w:sz w:val="40"/>
        </w:rPr>
      </w:pPr>
      <w:r>
        <w:rPr/>
        <w:pict>
          <v:group style="position:absolute;margin-left:85.039398pt;margin-top:42.444572pt;width:79.4pt;height:22.7pt;mso-position-horizontal-relative:page;mso-position-vertical-relative:paragraph;z-index:8752;mso-wrap-distance-left:0;mso-wrap-distance-right:0" coordorigin="1701,849" coordsize="1588,454">
            <v:shape style="position:absolute;left:1700;top:848;width:1588;height:454" coordorigin="1701,849" coordsize="1588,454" path="m3088,849l1701,849,1701,1302,3088,1302,3204,1299,3263,1277,3285,1218,3288,1102,3288,1049,3285,933,3263,874,3204,852,3088,849xe" filled="true" fillcolor="#7d8440" stroked="false">
              <v:path arrowok="t"/>
              <v:fill type="solid"/>
            </v:shape>
            <v:shape style="position:absolute;left:1700;top:848;width:1588;height:454" type="#_x0000_t202" filled="false" stroked="false">
              <v:textbox inset="0,0,0,0">
                <w:txbxContent>
                  <w:p>
                    <w:pPr>
                      <w:spacing w:line="385" w:lineRule="exact" w:before="0"/>
                      <w:ind w:left="56" w:right="0" w:firstLine="0"/>
                      <w:jc w:val="left"/>
                      <w:rPr>
                        <w:sz w:val="32"/>
                      </w:rPr>
                    </w:pPr>
                    <w:r>
                      <w:rPr>
                        <w:color w:val="FFFFFF"/>
                        <w:w w:val="110"/>
                        <w:sz w:val="32"/>
                      </w:rPr>
                      <w:t>Change 1</w:t>
                    </w:r>
                  </w:p>
                </w:txbxContent>
              </v:textbox>
              <w10:wrap type="none"/>
            </v:shape>
            <w10:wrap type="topAndBottom"/>
          </v:group>
        </w:pict>
      </w:r>
      <w:r>
        <w:rPr/>
        <w:pict>
          <v:group style="position:absolute;margin-left:178.582993pt;margin-top:41.735771pt;width:102.05pt;height:96.4pt;mso-position-horizontal-relative:page;mso-position-vertical-relative:paragraph;z-index:8776;mso-wrap-distance-left:0;mso-wrap-distance-right:0" coordorigin="3572,835" coordsize="2041,1928">
            <v:shape style="position:absolute;left:3571;top:834;width:2041;height:1928" coordorigin="3572,835" coordsize="2041,1928" path="m5499,835l3685,835,3619,836,3586,849,3573,883,3572,948,3572,2649,3573,2714,3586,2748,3619,2761,3685,2762,5499,2762,5565,2761,5598,2748,5611,2714,5613,2649,5613,948,5611,883,5598,849,5565,836,5499,835xe" filled="true" fillcolor="#efac1e" stroked="false">
              <v:path arrowok="t"/>
              <v:fill type="solid"/>
            </v:shape>
            <v:shape style="position:absolute;left:3817;top:999;width:1599;height:1599" type="#_x0000_t75" stroked="false">
              <v:imagedata r:id="rId28" o:title=""/>
            </v:shape>
            <w10:wrap type="topAndBottom"/>
          </v:group>
        </w:pict>
      </w:r>
      <w:r>
        <w:rPr/>
        <w:pict>
          <v:group style="position:absolute;margin-left:294.803406pt;margin-top:30.39727pt;width:102.05pt;height:107.75pt;mso-position-horizontal-relative:page;mso-position-vertical-relative:paragraph;z-index:8824;mso-wrap-distance-left:0;mso-wrap-distance-right:0" coordorigin="5896,608" coordsize="2041,2155">
            <v:shape style="position:absolute;left:5896;top:834;width:2041;height:1928" coordorigin="5896,835" coordsize="2041,1928" path="m7824,835l6009,835,5944,836,5910,849,5898,883,5896,948,5896,2649,5898,2714,5910,2748,5944,2761,6009,2762,7824,2762,7889,2761,7923,2748,7935,2714,7937,2649,7937,948,7935,883,7923,849,7889,836,7824,835xe" filled="true" fillcolor="#d01c26" stroked="false">
              <v:path arrowok="t"/>
              <v:fill type="solid"/>
            </v:shape>
            <v:shape style="position:absolute;left:5896;top:607;width:2041;height:2155" type="#_x0000_t202" filled="false" stroked="false">
              <v:textbox inset="0,0,0,0">
                <w:txbxContent>
                  <w:p>
                    <w:pPr>
                      <w:spacing w:before="78"/>
                      <w:ind w:left="222" w:right="0" w:firstLine="0"/>
                      <w:jc w:val="left"/>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b w:val="0"/>
                        <w:color w:val="FFFFFF"/>
                        <w:spacing w:val="-824"/>
                        <w:position w:val="33"/>
                        <w:sz w:val="130"/>
                      </w:rPr>
                      <w:t>2</w:t>
                    </w:r>
                    <w:r>
                      <w:rPr>
                        <w:rFonts w:ascii="Arial"/>
                        <w:b/>
                        <w:color w:val="FFFFFF"/>
                        <w:spacing w:val="-3"/>
                        <w:w w:val="93"/>
                        <w:sz w:val="21"/>
                      </w:rPr>
                      <w:t>r</w:t>
                    </w:r>
                    <w:r>
                      <w:rPr>
                        <w:rFonts w:ascii="Arial"/>
                        <w:b/>
                        <w:color w:val="FFFFFF"/>
                        <w:w w:val="88"/>
                        <w:sz w:val="21"/>
                      </w:rPr>
                      <w:t>ts</w:t>
                    </w:r>
                    <w:r>
                      <w:rPr>
                        <w:rFonts w:ascii="Arial"/>
                        <w:b/>
                        <w:color w:val="FFFFFF"/>
                        <w:spacing w:val="-6"/>
                        <w:sz w:val="21"/>
                      </w:rPr>
                      <w:t> </w:t>
                    </w:r>
                    <w:r>
                      <w:rPr>
                        <w:rFonts w:ascii="Arial"/>
                        <w:b/>
                        <w:color w:val="FFFFFF"/>
                        <w:spacing w:val="-4"/>
                        <w:w w:val="93"/>
                        <w:sz w:val="21"/>
                      </w:rPr>
                      <w:t>r</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69"/>
                      <w:ind w:left="205" w:right="203" w:firstLine="0"/>
                      <w:jc w:val="center"/>
                      <w:rPr>
                        <w:rFonts w:ascii="Arial"/>
                        <w:b/>
                        <w:sz w:val="14"/>
                      </w:rPr>
                    </w:pPr>
                    <w:r>
                      <w:rPr>
                        <w:rFonts w:ascii="Arial"/>
                        <w:b/>
                        <w:color w:val="FFFFFF"/>
                        <w:w w:val="95"/>
                        <w:sz w:val="14"/>
                      </w:rPr>
                      <w:t>YEAR 1 BASELINE</w:t>
                    </w:r>
                    <w:r>
                      <w:rPr>
                        <w:rFonts w:ascii="Arial"/>
                        <w:b/>
                        <w:color w:val="FFFFFF"/>
                        <w:w w:val="93"/>
                        <w:sz w:val="14"/>
                      </w:rPr>
                      <w:t> </w:t>
                    </w:r>
                    <w:r>
                      <w:rPr>
                        <w:rFonts w:ascii="Arial"/>
                        <w:b/>
                        <w:color w:val="FFFFFF"/>
                        <w:sz w:val="14"/>
                      </w:rPr>
                      <w:t>TREND DATA</w:t>
                    </w:r>
                  </w:p>
                </w:txbxContent>
              </v:textbox>
              <w10:wrap type="none"/>
            </v:shape>
            <w10:wrap type="topAndBottom"/>
          </v:group>
        </w:pict>
      </w:r>
      <w:r>
        <w:rPr/>
        <w:pict>
          <v:group style="position:absolute;margin-left:408.189301pt;margin-top:30.39727pt;width:102.05pt;height:107.75pt;mso-position-horizontal-relative:page;mso-position-vertical-relative:paragraph;z-index:8872;mso-wrap-distance-left:0;mso-wrap-distance-right:0" coordorigin="8164,608" coordsize="2041,2155">
            <v:shape style="position:absolute;left:8163;top:834;width:2041;height:1928" coordorigin="8164,835" coordsize="2041,1928" path="m10091,835l8277,835,8212,836,8178,849,8166,883,8164,948,8164,2649,8166,2714,8178,2748,8212,2761,8277,2762,10091,2762,10157,2761,10191,2748,10203,2714,10205,2649,10205,948,10203,883,10191,849,10157,836,10091,835xe" filled="true" fillcolor="#5b9f42" stroked="false">
              <v:path arrowok="t"/>
              <v:fill type="solid"/>
            </v:shape>
            <v:shape style="position:absolute;left:8163;top:607;width:2041;height:2155" type="#_x0000_t202" filled="false" stroked="false">
              <v:textbox inset="0,0,0,0">
                <w:txbxContent>
                  <w:p>
                    <w:pPr>
                      <w:spacing w:before="78"/>
                      <w:ind w:left="203" w:right="203" w:firstLine="0"/>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b w:val="0"/>
                        <w:color w:val="FFFFFF"/>
                        <w:spacing w:val="-824"/>
                        <w:position w:val="33"/>
                        <w:sz w:val="130"/>
                      </w:rPr>
                      <w:t>9</w:t>
                    </w:r>
                    <w:r>
                      <w:rPr>
                        <w:rFonts w:ascii="Arial"/>
                        <w:b/>
                        <w:color w:val="FFFFFF"/>
                        <w:spacing w:val="-3"/>
                        <w:w w:val="93"/>
                        <w:sz w:val="21"/>
                      </w:rPr>
                      <w:t>r</w:t>
                    </w:r>
                    <w:r>
                      <w:rPr>
                        <w:rFonts w:ascii="Arial"/>
                        <w:b/>
                        <w:color w:val="FFFFFF"/>
                        <w:w w:val="88"/>
                        <w:sz w:val="21"/>
                      </w:rPr>
                      <w:t>ts</w:t>
                    </w:r>
                    <w:r>
                      <w:rPr>
                        <w:rFonts w:ascii="Arial"/>
                        <w:b/>
                        <w:color w:val="FFFFFF"/>
                        <w:spacing w:val="-6"/>
                        <w:sz w:val="21"/>
                      </w:rPr>
                      <w:t> </w:t>
                    </w:r>
                    <w:r>
                      <w:rPr>
                        <w:rFonts w:ascii="Arial"/>
                        <w:b/>
                        <w:color w:val="FFFFFF"/>
                        <w:spacing w:val="-4"/>
                        <w:w w:val="93"/>
                        <w:sz w:val="21"/>
                      </w:rPr>
                      <w:t>r</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211"/>
                      <w:ind w:left="205" w:right="203" w:firstLine="0"/>
                      <w:jc w:val="center"/>
                      <w:rPr>
                        <w:rFonts w:ascii="Arial"/>
                        <w:b/>
                        <w:sz w:val="14"/>
                      </w:rPr>
                    </w:pPr>
                    <w:r>
                      <w:rPr>
                        <w:rFonts w:ascii="Arial"/>
                        <w:b/>
                        <w:color w:val="FFFFFF"/>
                        <w:sz w:val="14"/>
                      </w:rPr>
                      <w:t>YEAR 7 TREND DATA</w:t>
                    </w:r>
                  </w:p>
                </w:txbxContent>
              </v:textbox>
              <w10:wrap type="none"/>
            </v:shape>
            <w10:wrap type="topAndBottom"/>
          </v:group>
        </w:pict>
      </w:r>
      <w:r>
        <w:rPr>
          <w:color w:val="0F6161"/>
          <w:w w:val="105"/>
          <w:sz w:val="40"/>
        </w:rPr>
        <w:t>What has changed?</w:t>
      </w:r>
    </w:p>
    <w:p>
      <w:pPr>
        <w:pStyle w:val="BodyText"/>
        <w:spacing w:before="11"/>
        <w:rPr>
          <w:sz w:val="14"/>
        </w:rPr>
      </w:pPr>
    </w:p>
    <w:p>
      <w:pPr>
        <w:spacing w:line="252" w:lineRule="auto" w:before="94"/>
        <w:ind w:left="1700" w:right="1917" w:firstLine="0"/>
        <w:jc w:val="left"/>
        <w:rPr>
          <w:sz w:val="21"/>
        </w:rPr>
      </w:pPr>
      <w:r>
        <w:rPr>
          <w:b/>
          <w:color w:val="231F20"/>
          <w:w w:val="105"/>
          <w:sz w:val="21"/>
        </w:rPr>
        <w:t>Year 1 baseline trend data</w:t>
      </w:r>
      <w:r>
        <w:rPr>
          <w:color w:val="231F20"/>
          <w:w w:val="105"/>
          <w:sz w:val="21"/>
        </w:rPr>
        <w:t>: 2 courts could calculate the average duration of a case in one or more jurisdictions.</w:t>
      </w:r>
    </w:p>
    <w:p>
      <w:pPr>
        <w:pStyle w:val="BodyText"/>
        <w:spacing w:line="252" w:lineRule="auto" w:before="172"/>
        <w:ind w:left="1700" w:right="1501"/>
      </w:pPr>
      <w:r>
        <w:rPr>
          <w:b/>
          <w:color w:val="231F20"/>
          <w:w w:val="105"/>
        </w:rPr>
        <w:t>Year 4 trend data</w:t>
      </w:r>
      <w:r>
        <w:rPr>
          <w:color w:val="231F20"/>
          <w:w w:val="105"/>
        </w:rPr>
        <w:t>: 10 courts could calculate the average duration of a case in one or more jurisdictions.</w:t>
      </w:r>
    </w:p>
    <w:p>
      <w:pPr>
        <w:pStyle w:val="BodyText"/>
        <w:spacing w:line="252" w:lineRule="auto" w:before="172"/>
        <w:ind w:left="1700" w:right="1501"/>
      </w:pPr>
      <w:r>
        <w:rPr>
          <w:b/>
          <w:color w:val="231F20"/>
          <w:w w:val="105"/>
        </w:rPr>
        <w:t>Year 7 trend data</w:t>
      </w:r>
      <w:r>
        <w:rPr>
          <w:color w:val="231F20"/>
          <w:w w:val="105"/>
        </w:rPr>
        <w:t>: 9 courts could calculate the average duration of a case in one or more jurisdictions.</w:t>
      </w:r>
    </w:p>
    <w:p>
      <w:pPr>
        <w:pStyle w:val="BodyText"/>
        <w:spacing w:before="12"/>
        <w:rPr>
          <w:sz w:val="24"/>
        </w:rPr>
      </w:pPr>
      <w:r>
        <w:rPr/>
        <w:pict>
          <v:group style="position:absolute;margin-left:85.039398pt;margin-top:17.199366pt;width:79.4pt;height:22.7pt;mso-position-horizontal-relative:page;mso-position-vertical-relative:paragraph;z-index:8920;mso-wrap-distance-left:0;mso-wrap-distance-right:0" coordorigin="1701,344" coordsize="1588,454">
            <v:shape style="position:absolute;left:1700;top:343;width:1588;height:454" coordorigin="1701,344" coordsize="1588,454" path="m3088,344l1701,344,1701,798,3088,798,3204,794,3263,773,3285,713,3288,598,3288,544,3285,428,3263,369,3204,347,3088,344xe" filled="true" fillcolor="#7d8440" stroked="false">
              <v:path arrowok="t"/>
              <v:fill type="solid"/>
            </v:shape>
            <v:shape style="position:absolute;left:1700;top:343;width:1588;height:454" type="#_x0000_t202" filled="false" stroked="false">
              <v:textbox inset="0,0,0,0">
                <w:txbxContent>
                  <w:p>
                    <w:pPr>
                      <w:spacing w:before="19"/>
                      <w:ind w:left="56" w:right="0" w:firstLine="0"/>
                      <w:jc w:val="left"/>
                      <w:rPr>
                        <w:sz w:val="32"/>
                      </w:rPr>
                    </w:pPr>
                    <w:r>
                      <w:rPr>
                        <w:color w:val="FFFFFF"/>
                        <w:w w:val="110"/>
                        <w:sz w:val="32"/>
                      </w:rPr>
                      <w:t>Change 2</w:t>
                    </w:r>
                  </w:p>
                </w:txbxContent>
              </v:textbox>
              <w10:wrap type="none"/>
            </v:shape>
            <w10:wrap type="topAndBottom"/>
          </v:group>
        </w:pict>
      </w:r>
    </w:p>
    <w:p>
      <w:pPr>
        <w:pStyle w:val="BodyText"/>
        <w:spacing w:line="252" w:lineRule="auto" w:before="82"/>
        <w:ind w:left="1700" w:right="1698"/>
        <w:jc w:val="both"/>
      </w:pPr>
      <w:r>
        <w:rPr>
          <w:b/>
          <w:color w:val="231F20"/>
          <w:w w:val="105"/>
        </w:rPr>
        <w:t>In Year 1</w:t>
      </w:r>
      <w:r>
        <w:rPr>
          <w:color w:val="231F20"/>
          <w:w w:val="105"/>
        </w:rPr>
        <w:t>: no court presented trends over 3–5 years of how the average duration of a case had changed.</w:t>
      </w:r>
    </w:p>
    <w:p>
      <w:pPr>
        <w:pStyle w:val="BodyText"/>
        <w:spacing w:line="252" w:lineRule="auto" w:before="171"/>
        <w:ind w:left="1700" w:right="1698"/>
        <w:jc w:val="both"/>
      </w:pPr>
      <w:r>
        <w:rPr>
          <w:b/>
          <w:color w:val="231F20"/>
          <w:w w:val="105"/>
        </w:rPr>
        <w:t>In</w:t>
      </w:r>
      <w:r>
        <w:rPr>
          <w:b/>
          <w:color w:val="231F20"/>
          <w:spacing w:val="-28"/>
          <w:w w:val="105"/>
        </w:rPr>
        <w:t> </w:t>
      </w:r>
      <w:r>
        <w:rPr>
          <w:b/>
          <w:color w:val="231F20"/>
          <w:spacing w:val="-6"/>
          <w:w w:val="105"/>
        </w:rPr>
        <w:t>Year</w:t>
      </w:r>
      <w:r>
        <w:rPr>
          <w:b/>
          <w:color w:val="231F20"/>
          <w:spacing w:val="-13"/>
          <w:w w:val="105"/>
        </w:rPr>
        <w:t> </w:t>
      </w:r>
      <w:r>
        <w:rPr>
          <w:b/>
          <w:color w:val="231F20"/>
          <w:w w:val="105"/>
        </w:rPr>
        <w:t>7</w:t>
      </w:r>
      <w:r>
        <w:rPr>
          <w:color w:val="231F20"/>
          <w:w w:val="105"/>
        </w:rPr>
        <w:t>:</w:t>
      </w:r>
      <w:r>
        <w:rPr>
          <w:color w:val="231F20"/>
          <w:spacing w:val="-13"/>
          <w:w w:val="105"/>
        </w:rPr>
        <w:t> </w:t>
      </w:r>
      <w:r>
        <w:rPr>
          <w:color w:val="231F20"/>
          <w:w w:val="105"/>
        </w:rPr>
        <w:t>Eight</w:t>
      </w:r>
      <w:r>
        <w:rPr>
          <w:color w:val="231F20"/>
          <w:spacing w:val="-13"/>
          <w:w w:val="105"/>
        </w:rPr>
        <w:t> </w:t>
      </w:r>
      <w:r>
        <w:rPr>
          <w:color w:val="231F20"/>
          <w:w w:val="105"/>
        </w:rPr>
        <w:t>courts</w:t>
      </w:r>
      <w:r>
        <w:rPr>
          <w:color w:val="231F20"/>
          <w:spacing w:val="-13"/>
          <w:w w:val="105"/>
        </w:rPr>
        <w:t> </w:t>
      </w:r>
      <w:r>
        <w:rPr>
          <w:color w:val="231F20"/>
          <w:w w:val="105"/>
        </w:rPr>
        <w:t>presented</w:t>
      </w:r>
      <w:r>
        <w:rPr>
          <w:color w:val="231F20"/>
          <w:spacing w:val="-13"/>
          <w:w w:val="105"/>
        </w:rPr>
        <w:t> </w:t>
      </w:r>
      <w:r>
        <w:rPr>
          <w:color w:val="231F20"/>
          <w:w w:val="105"/>
        </w:rPr>
        <w:t>trends</w:t>
      </w:r>
      <w:r>
        <w:rPr>
          <w:color w:val="231F20"/>
          <w:spacing w:val="-13"/>
          <w:w w:val="105"/>
        </w:rPr>
        <w:t> </w:t>
      </w:r>
      <w:r>
        <w:rPr>
          <w:color w:val="231F20"/>
          <w:w w:val="105"/>
        </w:rPr>
        <w:t>over</w:t>
      </w:r>
      <w:r>
        <w:rPr>
          <w:color w:val="231F20"/>
          <w:spacing w:val="-13"/>
          <w:w w:val="105"/>
        </w:rPr>
        <w:t> </w:t>
      </w:r>
      <w:r>
        <w:rPr>
          <w:color w:val="231F20"/>
          <w:w w:val="105"/>
        </w:rPr>
        <w:t>3–5</w:t>
      </w:r>
      <w:r>
        <w:rPr>
          <w:color w:val="231F20"/>
          <w:spacing w:val="-13"/>
          <w:w w:val="105"/>
        </w:rPr>
        <w:t> </w:t>
      </w:r>
      <w:r>
        <w:rPr>
          <w:color w:val="231F20"/>
          <w:w w:val="105"/>
        </w:rPr>
        <w:t>years</w:t>
      </w:r>
      <w:r>
        <w:rPr>
          <w:color w:val="231F20"/>
          <w:spacing w:val="-13"/>
          <w:w w:val="105"/>
        </w:rPr>
        <w:t> </w:t>
      </w:r>
      <w:r>
        <w:rPr>
          <w:color w:val="231F20"/>
          <w:w w:val="105"/>
        </w:rPr>
        <w:t>of</w:t>
      </w:r>
      <w:r>
        <w:rPr>
          <w:color w:val="231F20"/>
          <w:spacing w:val="-13"/>
          <w:w w:val="105"/>
        </w:rPr>
        <w:t> </w:t>
      </w:r>
      <w:r>
        <w:rPr>
          <w:color w:val="231F20"/>
          <w:w w:val="105"/>
        </w:rPr>
        <w:t>how</w:t>
      </w:r>
      <w:r>
        <w:rPr>
          <w:color w:val="231F20"/>
          <w:spacing w:val="-13"/>
          <w:w w:val="105"/>
        </w:rPr>
        <w:t> </w:t>
      </w:r>
      <w:r>
        <w:rPr>
          <w:color w:val="231F20"/>
          <w:w w:val="105"/>
        </w:rPr>
        <w:t>the</w:t>
      </w:r>
      <w:r>
        <w:rPr>
          <w:color w:val="231F20"/>
          <w:spacing w:val="-13"/>
          <w:w w:val="105"/>
        </w:rPr>
        <w:t> </w:t>
      </w:r>
      <w:r>
        <w:rPr>
          <w:color w:val="231F20"/>
          <w:w w:val="105"/>
        </w:rPr>
        <w:t>average</w:t>
      </w:r>
      <w:r>
        <w:rPr>
          <w:color w:val="231F20"/>
          <w:spacing w:val="-13"/>
          <w:w w:val="105"/>
        </w:rPr>
        <w:t> </w:t>
      </w:r>
      <w:r>
        <w:rPr>
          <w:color w:val="231F20"/>
          <w:w w:val="105"/>
        </w:rPr>
        <w:t>duration</w:t>
      </w:r>
      <w:r>
        <w:rPr>
          <w:color w:val="231F20"/>
          <w:spacing w:val="-13"/>
          <w:w w:val="105"/>
        </w:rPr>
        <w:t> </w:t>
      </w:r>
      <w:r>
        <w:rPr>
          <w:color w:val="231F20"/>
          <w:w w:val="105"/>
        </w:rPr>
        <w:t>of</w:t>
      </w:r>
      <w:r>
        <w:rPr>
          <w:color w:val="231F20"/>
          <w:spacing w:val="-13"/>
          <w:w w:val="105"/>
        </w:rPr>
        <w:t> </w:t>
      </w:r>
      <w:r>
        <w:rPr>
          <w:color w:val="231F20"/>
          <w:w w:val="105"/>
        </w:rPr>
        <w:t>a</w:t>
      </w:r>
      <w:r>
        <w:rPr>
          <w:color w:val="231F20"/>
          <w:spacing w:val="-13"/>
          <w:w w:val="105"/>
        </w:rPr>
        <w:t> </w:t>
      </w:r>
      <w:r>
        <w:rPr>
          <w:color w:val="231F20"/>
          <w:w w:val="105"/>
        </w:rPr>
        <w:t>case</w:t>
      </w:r>
      <w:r>
        <w:rPr>
          <w:color w:val="231F20"/>
          <w:spacing w:val="-13"/>
          <w:w w:val="105"/>
        </w:rPr>
        <w:t> </w:t>
      </w:r>
      <w:r>
        <w:rPr>
          <w:color w:val="231F20"/>
          <w:w w:val="105"/>
        </w:rPr>
        <w:t>had changed (the Federated States of Micronesia, Kiribati, Niue, the Republic of </w:t>
      </w:r>
      <w:r>
        <w:rPr>
          <w:color w:val="231F20"/>
          <w:spacing w:val="-4"/>
          <w:w w:val="105"/>
        </w:rPr>
        <w:t>Palau, </w:t>
      </w:r>
      <w:r>
        <w:rPr>
          <w:color w:val="231F20"/>
          <w:w w:val="105"/>
        </w:rPr>
        <w:t>the Republic of the Marshall Islands, </w:t>
      </w:r>
      <w:r>
        <w:rPr>
          <w:color w:val="231F20"/>
          <w:spacing w:val="-3"/>
          <w:w w:val="105"/>
        </w:rPr>
        <w:t>Tokelau, </w:t>
      </w:r>
      <w:r>
        <w:rPr>
          <w:color w:val="231F20"/>
          <w:spacing w:val="-5"/>
          <w:w w:val="105"/>
        </w:rPr>
        <w:t>Tonga </w:t>
      </w:r>
      <w:r>
        <w:rPr>
          <w:color w:val="231F20"/>
          <w:w w:val="105"/>
        </w:rPr>
        <w:t>and</w:t>
      </w:r>
      <w:r>
        <w:rPr>
          <w:color w:val="231F20"/>
          <w:spacing w:val="11"/>
          <w:w w:val="105"/>
        </w:rPr>
        <w:t> </w:t>
      </w:r>
      <w:r>
        <w:rPr>
          <w:color w:val="231F20"/>
          <w:w w:val="105"/>
        </w:rPr>
        <w:t>Vanuatu).</w:t>
      </w:r>
    </w:p>
    <w:p>
      <w:pPr>
        <w:pStyle w:val="BodyText"/>
        <w:spacing w:line="252" w:lineRule="auto" w:before="173"/>
        <w:ind w:left="1700" w:right="1697"/>
        <w:jc w:val="both"/>
      </w:pPr>
      <w:r>
        <w:rPr>
          <w:color w:val="231F20"/>
          <w:w w:val="105"/>
        </w:rPr>
        <w:t>This allows judicial stakeholders and the public to see if the length of time that a case is taking is improving or not and provide reasons for these trend changes.</w:t>
      </w:r>
    </w:p>
    <w:p>
      <w:pPr>
        <w:pStyle w:val="BodyText"/>
        <w:spacing w:before="7"/>
        <w:rPr>
          <w:sz w:val="24"/>
        </w:rPr>
      </w:pPr>
      <w:r>
        <w:rPr/>
        <w:pict>
          <v:group style="position:absolute;margin-left:85.039398pt;margin-top:16.979536pt;width:79.4pt;height:22.7pt;mso-position-horizontal-relative:page;mso-position-vertical-relative:paragraph;z-index:8968;mso-wrap-distance-left:0;mso-wrap-distance-right:0" coordorigin="1701,340" coordsize="1588,454">
            <v:shape style="position:absolute;left:1700;top:339;width:1588;height:454" coordorigin="1701,340" coordsize="1588,454" path="m3088,340l1701,340,1701,793,3088,793,3204,790,3263,768,3285,709,3288,593,3288,540,3285,424,3263,365,3204,343,3088,340xe" filled="true" fillcolor="#7d8440" stroked="false">
              <v:path arrowok="t"/>
              <v:fill type="solid"/>
            </v:shape>
            <v:shape style="position:absolute;left:1700;top:339;width:1588;height:454" type="#_x0000_t202" filled="false" stroked="false">
              <v:textbox inset="0,0,0,0">
                <w:txbxContent>
                  <w:p>
                    <w:pPr>
                      <w:spacing w:before="24"/>
                      <w:ind w:left="56" w:right="0" w:firstLine="0"/>
                      <w:jc w:val="left"/>
                      <w:rPr>
                        <w:sz w:val="32"/>
                      </w:rPr>
                    </w:pPr>
                    <w:r>
                      <w:rPr>
                        <w:color w:val="FFFFFF"/>
                        <w:w w:val="110"/>
                        <w:sz w:val="32"/>
                      </w:rPr>
                      <w:t>Change 3</w:t>
                    </w:r>
                  </w:p>
                </w:txbxContent>
              </v:textbox>
              <w10:wrap type="none"/>
            </v:shape>
            <w10:wrap type="topAndBottom"/>
          </v:group>
        </w:pict>
      </w:r>
    </w:p>
    <w:p>
      <w:pPr>
        <w:pStyle w:val="BodyText"/>
        <w:spacing w:line="252" w:lineRule="auto" w:before="86"/>
        <w:ind w:left="1700" w:right="1697"/>
        <w:jc w:val="both"/>
      </w:pPr>
      <w:r>
        <w:rPr>
          <w:color w:val="231F20"/>
          <w:w w:val="105"/>
        </w:rPr>
        <w:t>Over time, courts are presenting greater detail on the average duration of cases by the type of case (e.g. criminal, civil, </w:t>
      </w:r>
      <w:r>
        <w:rPr>
          <w:color w:val="231F20"/>
          <w:spacing w:val="-3"/>
          <w:w w:val="105"/>
        </w:rPr>
        <w:t>family, </w:t>
      </w:r>
      <w:r>
        <w:rPr>
          <w:color w:val="231F20"/>
          <w:w w:val="105"/>
        </w:rPr>
        <w:t>juvenile) and by the level of court (Court of Appeal, Supreme Court, District/ Magistrates Court or Land Court) and by location of the court hearing (e.g. in a courthouse</w:t>
      </w:r>
      <w:r>
        <w:rPr>
          <w:color w:val="231F20"/>
          <w:spacing w:val="-22"/>
          <w:w w:val="105"/>
        </w:rPr>
        <w:t> </w:t>
      </w:r>
      <w:r>
        <w:rPr>
          <w:color w:val="231F20"/>
          <w:w w:val="105"/>
        </w:rPr>
        <w:t>or</w:t>
      </w:r>
      <w:r>
        <w:rPr>
          <w:color w:val="231F20"/>
          <w:spacing w:val="-22"/>
          <w:w w:val="105"/>
        </w:rPr>
        <w:t> </w:t>
      </w:r>
      <w:r>
        <w:rPr>
          <w:color w:val="231F20"/>
          <w:w w:val="105"/>
        </w:rPr>
        <w:t>on</w:t>
      </w:r>
      <w:r>
        <w:rPr>
          <w:color w:val="231F20"/>
          <w:spacing w:val="-22"/>
          <w:w w:val="105"/>
        </w:rPr>
        <w:t> </w:t>
      </w:r>
      <w:r>
        <w:rPr>
          <w:color w:val="231F20"/>
          <w:w w:val="105"/>
        </w:rPr>
        <w:t>a</w:t>
      </w:r>
      <w:r>
        <w:rPr>
          <w:color w:val="231F20"/>
          <w:spacing w:val="-22"/>
          <w:w w:val="105"/>
        </w:rPr>
        <w:t> </w:t>
      </w:r>
      <w:r>
        <w:rPr>
          <w:color w:val="231F20"/>
          <w:w w:val="105"/>
        </w:rPr>
        <w:t>circuit).</w:t>
      </w:r>
      <w:r>
        <w:rPr>
          <w:color w:val="231F20"/>
          <w:spacing w:val="-34"/>
          <w:w w:val="105"/>
        </w:rPr>
        <w:t> </w:t>
      </w:r>
      <w:r>
        <w:rPr>
          <w:color w:val="231F20"/>
          <w:spacing w:val="-3"/>
          <w:w w:val="105"/>
        </w:rPr>
        <w:t>This</w:t>
      </w:r>
      <w:r>
        <w:rPr>
          <w:color w:val="231F20"/>
          <w:spacing w:val="-22"/>
          <w:w w:val="105"/>
        </w:rPr>
        <w:t> </w:t>
      </w:r>
      <w:r>
        <w:rPr>
          <w:color w:val="231F20"/>
          <w:w w:val="105"/>
        </w:rPr>
        <w:t>allows</w:t>
      </w:r>
      <w:r>
        <w:rPr>
          <w:color w:val="231F20"/>
          <w:spacing w:val="-22"/>
          <w:w w:val="105"/>
        </w:rPr>
        <w:t> </w:t>
      </w:r>
      <w:r>
        <w:rPr>
          <w:color w:val="231F20"/>
          <w:w w:val="105"/>
        </w:rPr>
        <w:t>court</w:t>
      </w:r>
      <w:r>
        <w:rPr>
          <w:color w:val="231F20"/>
          <w:spacing w:val="-22"/>
          <w:w w:val="105"/>
        </w:rPr>
        <w:t> </w:t>
      </w:r>
      <w:r>
        <w:rPr>
          <w:color w:val="231F20"/>
          <w:w w:val="105"/>
        </w:rPr>
        <w:t>leadership</w:t>
      </w:r>
      <w:r>
        <w:rPr>
          <w:color w:val="231F20"/>
          <w:spacing w:val="-22"/>
          <w:w w:val="105"/>
        </w:rPr>
        <w:t> </w:t>
      </w:r>
      <w:r>
        <w:rPr>
          <w:color w:val="231F20"/>
          <w:w w:val="105"/>
        </w:rPr>
        <w:t>teams</w:t>
      </w:r>
      <w:r>
        <w:rPr>
          <w:color w:val="231F20"/>
          <w:spacing w:val="-22"/>
          <w:w w:val="105"/>
        </w:rPr>
        <w:t> </w:t>
      </w:r>
      <w:r>
        <w:rPr>
          <w:color w:val="231F20"/>
          <w:w w:val="105"/>
        </w:rPr>
        <w:t>to</w:t>
      </w:r>
      <w:r>
        <w:rPr>
          <w:color w:val="231F20"/>
          <w:spacing w:val="-22"/>
          <w:w w:val="105"/>
        </w:rPr>
        <w:t> </w:t>
      </w:r>
      <w:r>
        <w:rPr>
          <w:color w:val="231F20"/>
          <w:w w:val="105"/>
        </w:rPr>
        <w:t>identify</w:t>
      </w:r>
      <w:r>
        <w:rPr>
          <w:color w:val="231F20"/>
          <w:spacing w:val="-22"/>
          <w:w w:val="105"/>
        </w:rPr>
        <w:t> </w:t>
      </w:r>
      <w:r>
        <w:rPr>
          <w:color w:val="231F20"/>
          <w:w w:val="105"/>
        </w:rPr>
        <w:t>areas</w:t>
      </w:r>
      <w:r>
        <w:rPr>
          <w:color w:val="231F20"/>
          <w:spacing w:val="-22"/>
          <w:w w:val="105"/>
        </w:rPr>
        <w:t> </w:t>
      </w:r>
      <w:r>
        <w:rPr>
          <w:color w:val="231F20"/>
          <w:w w:val="105"/>
        </w:rPr>
        <w:t>of</w:t>
      </w:r>
      <w:r>
        <w:rPr>
          <w:color w:val="231F20"/>
          <w:spacing w:val="-22"/>
          <w:w w:val="105"/>
        </w:rPr>
        <w:t> </w:t>
      </w:r>
      <w:r>
        <w:rPr>
          <w:color w:val="231F20"/>
          <w:w w:val="105"/>
        </w:rPr>
        <w:t>relative</w:t>
      </w:r>
      <w:r>
        <w:rPr>
          <w:color w:val="231F20"/>
          <w:spacing w:val="-22"/>
          <w:w w:val="105"/>
        </w:rPr>
        <w:t> </w:t>
      </w:r>
      <w:r>
        <w:rPr>
          <w:color w:val="231F20"/>
          <w:w w:val="105"/>
        </w:rPr>
        <w:t>strength and weakness in the hearing of cases and develop strategies where necessary. </w:t>
      </w:r>
      <w:r>
        <w:rPr>
          <w:color w:val="231F20"/>
          <w:spacing w:val="-4"/>
          <w:w w:val="105"/>
        </w:rPr>
        <w:t>The </w:t>
      </w:r>
      <w:r>
        <w:rPr>
          <w:color w:val="231F20"/>
          <w:w w:val="105"/>
        </w:rPr>
        <w:t>Annual Reports</w:t>
      </w:r>
      <w:r>
        <w:rPr>
          <w:color w:val="231F20"/>
          <w:spacing w:val="-4"/>
          <w:w w:val="105"/>
        </w:rPr>
        <w:t> </w:t>
      </w:r>
      <w:r>
        <w:rPr>
          <w:color w:val="231F20"/>
          <w:w w:val="105"/>
        </w:rPr>
        <w:t>of</w:t>
      </w:r>
      <w:r>
        <w:rPr>
          <w:color w:val="231F20"/>
          <w:spacing w:val="-4"/>
          <w:w w:val="105"/>
        </w:rPr>
        <w:t> Palau </w:t>
      </w:r>
      <w:r>
        <w:rPr>
          <w:color w:val="231F20"/>
          <w:w w:val="105"/>
        </w:rPr>
        <w:t>and</w:t>
      </w:r>
      <w:r>
        <w:rPr>
          <w:color w:val="231F20"/>
          <w:spacing w:val="-17"/>
          <w:w w:val="105"/>
        </w:rPr>
        <w:t> </w:t>
      </w:r>
      <w:r>
        <w:rPr>
          <w:color w:val="231F20"/>
          <w:spacing w:val="-5"/>
          <w:w w:val="105"/>
        </w:rPr>
        <w:t>Tonga</w:t>
      </w:r>
      <w:r>
        <w:rPr>
          <w:color w:val="231F20"/>
          <w:spacing w:val="-4"/>
          <w:w w:val="105"/>
        </w:rPr>
        <w:t> </w:t>
      </w:r>
      <w:r>
        <w:rPr>
          <w:color w:val="231F20"/>
          <w:w w:val="105"/>
        </w:rPr>
        <w:t>are</w:t>
      </w:r>
      <w:r>
        <w:rPr>
          <w:color w:val="231F20"/>
          <w:spacing w:val="-4"/>
          <w:w w:val="105"/>
        </w:rPr>
        <w:t> </w:t>
      </w:r>
      <w:r>
        <w:rPr>
          <w:color w:val="231F20"/>
          <w:w w:val="105"/>
        </w:rPr>
        <w:t>excellent</w:t>
      </w:r>
      <w:r>
        <w:rPr>
          <w:color w:val="231F20"/>
          <w:spacing w:val="-4"/>
          <w:w w:val="105"/>
        </w:rPr>
        <w:t> </w:t>
      </w:r>
      <w:r>
        <w:rPr>
          <w:color w:val="231F20"/>
          <w:w w:val="105"/>
        </w:rPr>
        <w:t>examples</w:t>
      </w:r>
      <w:r>
        <w:rPr>
          <w:color w:val="231F20"/>
          <w:spacing w:val="-4"/>
          <w:w w:val="105"/>
        </w:rPr>
        <w:t> </w:t>
      </w:r>
      <w:r>
        <w:rPr>
          <w:color w:val="231F20"/>
          <w:w w:val="105"/>
        </w:rPr>
        <w:t>of</w:t>
      </w:r>
      <w:r>
        <w:rPr>
          <w:color w:val="231F20"/>
          <w:spacing w:val="-4"/>
          <w:w w:val="105"/>
        </w:rPr>
        <w:t> </w:t>
      </w:r>
      <w:r>
        <w:rPr>
          <w:color w:val="231F20"/>
          <w:w w:val="105"/>
        </w:rPr>
        <w:t>this</w:t>
      </w:r>
      <w:r>
        <w:rPr>
          <w:color w:val="231F20"/>
          <w:spacing w:val="-4"/>
          <w:w w:val="105"/>
        </w:rPr>
        <w:t> </w:t>
      </w:r>
      <w:r>
        <w:rPr>
          <w:color w:val="231F20"/>
          <w:w w:val="105"/>
        </w:rPr>
        <w:t>move</w:t>
      </w:r>
      <w:r>
        <w:rPr>
          <w:color w:val="231F20"/>
          <w:spacing w:val="-4"/>
          <w:w w:val="105"/>
        </w:rPr>
        <w:t> </w:t>
      </w:r>
      <w:r>
        <w:rPr>
          <w:color w:val="231F20"/>
          <w:w w:val="105"/>
        </w:rPr>
        <w:t>to</w:t>
      </w:r>
      <w:r>
        <w:rPr>
          <w:color w:val="231F20"/>
          <w:spacing w:val="-4"/>
          <w:w w:val="105"/>
        </w:rPr>
        <w:t> </w:t>
      </w:r>
      <w:r>
        <w:rPr>
          <w:color w:val="231F20"/>
          <w:w w:val="105"/>
        </w:rPr>
        <w:t>greater</w:t>
      </w:r>
      <w:r>
        <w:rPr>
          <w:color w:val="231F20"/>
          <w:spacing w:val="-4"/>
          <w:w w:val="105"/>
        </w:rPr>
        <w:t> </w:t>
      </w:r>
      <w:r>
        <w:rPr>
          <w:color w:val="231F20"/>
          <w:w w:val="105"/>
        </w:rPr>
        <w:t>disaggregation</w:t>
      </w:r>
      <w:r>
        <w:rPr>
          <w:color w:val="231F20"/>
          <w:spacing w:val="-4"/>
          <w:w w:val="105"/>
        </w:rPr>
        <w:t> </w:t>
      </w:r>
      <w:r>
        <w:rPr>
          <w:color w:val="231F20"/>
          <w:w w:val="105"/>
        </w:rPr>
        <w:t>in</w:t>
      </w:r>
      <w:r>
        <w:rPr>
          <w:color w:val="231F20"/>
          <w:spacing w:val="-4"/>
          <w:w w:val="105"/>
        </w:rPr>
        <w:t> </w:t>
      </w:r>
      <w:r>
        <w:rPr>
          <w:color w:val="231F20"/>
          <w:w w:val="105"/>
        </w:rPr>
        <w:t>the presentation of data on the average duration of a</w:t>
      </w:r>
      <w:r>
        <w:rPr>
          <w:color w:val="231F20"/>
          <w:spacing w:val="1"/>
          <w:w w:val="105"/>
        </w:rPr>
        <w:t> </w:t>
      </w:r>
      <w:r>
        <w:rPr>
          <w:color w:val="231F20"/>
          <w:w w:val="105"/>
        </w:rPr>
        <w:t>case.</w:t>
      </w:r>
    </w:p>
    <w:p>
      <w:pPr>
        <w:spacing w:after="0" w:line="252" w:lineRule="auto"/>
        <w:jc w:val="both"/>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4975">
            <wp:simplePos x="0" y="0"/>
            <wp:positionH relativeFrom="page">
              <wp:posOffset>0</wp:posOffset>
            </wp:positionH>
            <wp:positionV relativeFrom="paragraph">
              <wp:posOffset>373881</wp:posOffset>
            </wp:positionV>
            <wp:extent cx="7559992" cy="143992"/>
            <wp:effectExtent l="0" t="0" r="0" b="0"/>
            <wp:wrapNone/>
            <wp:docPr id="35" name="image39.png" descr=""/>
            <wp:cNvGraphicFramePr>
              <a:graphicFrameLocks noChangeAspect="1"/>
            </wp:cNvGraphicFramePr>
            <a:graphic>
              <a:graphicData uri="http://schemas.openxmlformats.org/drawingml/2006/picture">
                <pic:pic>
                  <pic:nvPicPr>
                    <pic:cNvPr id="36"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22</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12"/>
        <w:rPr>
          <w:b/>
          <w:sz w:val="19"/>
        </w:rPr>
      </w:pPr>
      <w:r>
        <w:rPr/>
        <w:pict>
          <v:group style="position:absolute;margin-left:85.039398pt;margin-top:14.155231pt;width:79.4pt;height:22.7pt;mso-position-horizontal-relative:page;mso-position-vertical-relative:paragraph;z-index:9088;mso-wrap-distance-left:0;mso-wrap-distance-right:0" coordorigin="1701,283" coordsize="1588,454">
            <v:shape style="position:absolute;left:1700;top:283;width:1588;height:454" coordorigin="1701,283" coordsize="1588,454" path="m3088,283l1701,283,1701,737,3088,737,3204,734,3263,712,3285,652,3288,537,3288,483,3285,367,3263,308,3204,286,3088,283xe" filled="true" fillcolor="#7d8440" stroked="false">
              <v:path arrowok="t"/>
              <v:fill type="solid"/>
            </v:shape>
            <v:shape style="position:absolute;left:1700;top:283;width:1588;height:454" type="#_x0000_t202" filled="false" stroked="false">
              <v:textbox inset="0,0,0,0">
                <w:txbxContent>
                  <w:p>
                    <w:pPr>
                      <w:spacing w:before="17"/>
                      <w:ind w:left="56" w:right="0" w:firstLine="0"/>
                      <w:jc w:val="left"/>
                      <w:rPr>
                        <w:sz w:val="32"/>
                      </w:rPr>
                    </w:pPr>
                    <w:r>
                      <w:rPr>
                        <w:color w:val="FFFFFF"/>
                        <w:w w:val="110"/>
                        <w:sz w:val="32"/>
                      </w:rPr>
                      <w:t>Change 4</w:t>
                    </w:r>
                  </w:p>
                </w:txbxContent>
              </v:textbox>
              <w10:wrap type="none"/>
            </v:shape>
            <w10:wrap type="topAndBottom"/>
          </v:group>
        </w:pict>
      </w:r>
    </w:p>
    <w:p>
      <w:pPr>
        <w:pStyle w:val="BodyText"/>
        <w:spacing w:line="252" w:lineRule="auto" w:before="80"/>
        <w:ind w:left="1700" w:right="1698"/>
        <w:jc w:val="both"/>
      </w:pPr>
      <w:r>
        <w:rPr>
          <w:color w:val="231F20"/>
          <w:w w:val="105"/>
        </w:rPr>
        <w:t>The Federated States of Micronesia, the Republic of the Marshall Islands and Tonga have set court performance goals in relation to the average duration of a case since the PJDP Court Performance Baseline Report was published.</w:t>
      </w:r>
    </w:p>
    <w:p>
      <w:pPr>
        <w:pStyle w:val="BodyText"/>
        <w:spacing w:before="172"/>
        <w:ind w:left="1700"/>
      </w:pPr>
      <w:r>
        <w:rPr>
          <w:color w:val="231F20"/>
          <w:w w:val="105"/>
        </w:rPr>
        <w:t>The 2017 Superior Courts of Tonga Annual Report refers to such a court performance goal:</w:t>
      </w:r>
    </w:p>
    <w:p>
      <w:pPr>
        <w:pStyle w:val="BodyText"/>
        <w:spacing w:before="2"/>
        <w:rPr>
          <w:sz w:val="20"/>
        </w:rPr>
      </w:pPr>
    </w:p>
    <w:p>
      <w:pPr>
        <w:spacing w:line="256" w:lineRule="auto" w:before="0"/>
        <w:ind w:left="2040" w:right="2325" w:firstLine="0"/>
        <w:jc w:val="left"/>
        <w:rPr>
          <w:rFonts w:ascii="Book Antiqua" w:hAnsi="Book Antiqua"/>
          <w:i/>
          <w:sz w:val="21"/>
        </w:rPr>
      </w:pPr>
      <w:r>
        <w:rPr>
          <w:rFonts w:ascii="Book Antiqua" w:hAnsi="Book Antiqua"/>
          <w:i/>
          <w:color w:val="231F20"/>
          <w:w w:val="105"/>
          <w:sz w:val="21"/>
        </w:rPr>
        <w:t>In the Ministry of Justice’s Annual Management Plan the target for this indicator is </w:t>
      </w:r>
      <w:r>
        <w:rPr>
          <w:rFonts w:ascii="Book Antiqua" w:hAnsi="Book Antiqua"/>
          <w:i/>
          <w:color w:val="231F20"/>
          <w:w w:val="105"/>
          <w:sz w:val="21"/>
        </w:rPr>
        <w:t>that all criminal cases should be finalised within 1 year of filing (taken as 365 days) and all civil actions should be finalised within 15 months of filing (taken as 455 days). These targets were exceeded in the reporting period.</w:t>
      </w:r>
    </w:p>
    <w:p>
      <w:pPr>
        <w:pStyle w:val="BodyText"/>
        <w:spacing w:before="3"/>
        <w:rPr>
          <w:rFonts w:ascii="Book Antiqua"/>
          <w:i/>
          <w:sz w:val="23"/>
        </w:rPr>
      </w:pPr>
    </w:p>
    <w:p>
      <w:pPr>
        <w:spacing w:line="256" w:lineRule="auto" w:before="0"/>
        <w:ind w:left="2040" w:right="2292" w:firstLine="0"/>
        <w:jc w:val="left"/>
        <w:rPr>
          <w:rFonts w:ascii="Book Antiqua"/>
          <w:i/>
          <w:sz w:val="21"/>
        </w:rPr>
      </w:pPr>
      <w:r>
        <w:rPr>
          <w:rFonts w:ascii="Book Antiqua"/>
          <w:i/>
          <w:color w:val="231F20"/>
          <w:w w:val="105"/>
          <w:sz w:val="21"/>
        </w:rPr>
        <w:t>There is a trend for civil and criminal cases to be finalised more quickly than in </w:t>
      </w:r>
      <w:r>
        <w:rPr>
          <w:rFonts w:ascii="Book Antiqua"/>
          <w:i/>
          <w:color w:val="231F20"/>
          <w:w w:val="105"/>
          <w:sz w:val="21"/>
        </w:rPr>
        <w:t>previous reporting periods. </w:t>
      </w:r>
      <w:r>
        <w:rPr>
          <w:rFonts w:ascii="Book Antiqua"/>
          <w:i/>
          <w:color w:val="231F20"/>
          <w:spacing w:val="-3"/>
          <w:w w:val="105"/>
          <w:sz w:val="21"/>
        </w:rPr>
        <w:t>This </w:t>
      </w:r>
      <w:r>
        <w:rPr>
          <w:rFonts w:ascii="Book Antiqua"/>
          <w:i/>
          <w:color w:val="231F20"/>
          <w:w w:val="105"/>
          <w:sz w:val="21"/>
        </w:rPr>
        <w:t>is represented in the line graph </w:t>
      </w:r>
      <w:r>
        <w:rPr>
          <w:rFonts w:ascii="Book Antiqua"/>
          <w:i/>
          <w:color w:val="231F20"/>
          <w:spacing w:val="-4"/>
          <w:w w:val="105"/>
          <w:sz w:val="21"/>
        </w:rPr>
        <w:t>below.</w:t>
      </w:r>
    </w:p>
    <w:p>
      <w:pPr>
        <w:pStyle w:val="BodyText"/>
        <w:spacing w:before="7"/>
        <w:rPr>
          <w:rFonts w:ascii="Book Antiqua"/>
          <w:i/>
          <w:sz w:val="27"/>
        </w:rPr>
      </w:pPr>
    </w:p>
    <w:p>
      <w:pPr>
        <w:pStyle w:val="Heading7"/>
      </w:pPr>
      <w:r>
        <w:rPr>
          <w:color w:val="231F20"/>
          <w:w w:val="105"/>
        </w:rPr>
        <w:t>Average duration of a criminal and civil case (in days – by year)</w:t>
      </w:r>
    </w:p>
    <w:p>
      <w:pPr>
        <w:tabs>
          <w:tab w:pos="4336" w:val="left" w:leader="none"/>
        </w:tabs>
        <w:spacing w:before="160"/>
        <w:ind w:left="2125" w:right="0" w:firstLine="0"/>
        <w:jc w:val="left"/>
        <w:rPr>
          <w:sz w:val="19"/>
        </w:rPr>
      </w:pPr>
      <w:r>
        <w:rPr/>
        <w:pict>
          <v:line style="position:absolute;mso-position-horizontal-relative:page;mso-position-vertical-relative:paragraph;z-index:-190408" from="137.480301pt,13.859214pt" to="191.338301pt,13.859214pt" stroked="true" strokeweight="4pt" strokecolor="#004b8d">
            <v:stroke dashstyle="solid"/>
            <w10:wrap type="none"/>
          </v:line>
        </w:pict>
      </w:r>
      <w:r>
        <w:rPr/>
        <w:pict>
          <v:line style="position:absolute;mso-position-horizontal-relative:page;mso-position-vertical-relative:paragraph;z-index:9232" from="267.873993pt,13.859214pt" to="321.731993pt,13.859214pt" stroked="true" strokeweight="4pt" strokecolor="#e12726">
            <v:stroke dashstyle="solid"/>
            <w10:wrap type="none"/>
          </v:line>
        </w:pict>
      </w:r>
      <w:r>
        <w:rPr>
          <w:color w:val="231F20"/>
          <w:w w:val="115"/>
          <w:sz w:val="19"/>
        </w:rPr>
        <w:t>CIVIL</w:t>
        <w:tab/>
        <w:t>CRIMINAL</w:t>
      </w:r>
    </w:p>
    <w:p>
      <w:pPr>
        <w:spacing w:before="165"/>
        <w:ind w:left="2120" w:right="0" w:firstLine="0"/>
        <w:jc w:val="left"/>
        <w:rPr>
          <w:sz w:val="19"/>
        </w:rPr>
      </w:pPr>
      <w:r>
        <w:rPr/>
        <w:pict>
          <v:shape style="position:absolute;margin-left:188.558701pt;margin-top:45.699223pt;width:250.9pt;height:23pt;mso-position-horizontal-relative:page;mso-position-vertical-relative:paragraph;z-index:-190456" coordorigin="3771,914" coordsize="5018,460" path="m3771,914l6287,965,8789,1373e" filled="false" stroked="true" strokeweight="4pt" strokecolor="#004b8d">
            <v:path arrowok="t"/>
            <v:stroke dashstyle="solid"/>
            <w10:wrap type="none"/>
          </v:shape>
        </w:pict>
      </w:r>
      <w:r>
        <w:rPr/>
        <w:pict>
          <v:shape style="position:absolute;margin-left:84.03920pt;margin-top:63.461521pt;width:13.9pt;height:26.3pt;mso-position-horizontal-relative:page;mso-position-vertical-relative:paragraph;z-index:9256" type="#_x0000_t202" filled="false" stroked="false">
            <v:textbox inset="0,0,0,0" style="layout-flow:vertical;mso-layout-flow-alt:bottom-to-top">
              <w:txbxContent>
                <w:p>
                  <w:pPr>
                    <w:spacing w:before="13"/>
                    <w:ind w:left="20" w:right="0" w:firstLine="0"/>
                    <w:jc w:val="left"/>
                    <w:rPr>
                      <w:b/>
                      <w:sz w:val="20"/>
                    </w:rPr>
                  </w:pPr>
                  <w:r>
                    <w:rPr>
                      <w:b/>
                      <w:color w:val="231F20"/>
                      <w:spacing w:val="-7"/>
                      <w:w w:val="115"/>
                      <w:sz w:val="20"/>
                    </w:rPr>
                    <w:t>DAYS</w:t>
                  </w:r>
                </w:p>
              </w:txbxContent>
            </v:textbox>
            <w10:wrap type="none"/>
          </v:shape>
        </w:pict>
      </w:r>
      <w:r>
        <w:rPr>
          <w:color w:val="231F20"/>
          <w:w w:val="110"/>
          <w:sz w:val="19"/>
        </w:rPr>
        <w:t>600</w:t>
      </w:r>
    </w:p>
    <w:tbl>
      <w:tblPr>
        <w:tblW w:w="0" w:type="auto"/>
        <w:jc w:val="left"/>
        <w:tblInd w:w="2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9"/>
        <w:gridCol w:w="200"/>
        <w:gridCol w:w="2209"/>
        <w:gridCol w:w="200"/>
        <w:gridCol w:w="2209"/>
        <w:gridCol w:w="200"/>
        <w:gridCol w:w="1416"/>
      </w:tblGrid>
      <w:tr>
        <w:trPr>
          <w:trHeight w:val="443" w:hRule="atLeast"/>
        </w:trPr>
        <w:tc>
          <w:tcPr>
            <w:tcW w:w="1729" w:type="dxa"/>
            <w:tcBorders>
              <w:top w:val="single" w:sz="4" w:space="0" w:color="939598"/>
              <w:bottom w:val="single" w:sz="4" w:space="0" w:color="939598"/>
            </w:tcBorders>
          </w:tcPr>
          <w:p>
            <w:pPr>
              <w:pStyle w:val="TableParagraph"/>
              <w:tabs>
                <w:tab w:pos="1345" w:val="left" w:leader="none"/>
              </w:tabs>
              <w:spacing w:line="217" w:lineRule="exact" w:before="207"/>
              <w:ind w:left="89"/>
              <w:rPr>
                <w:b/>
                <w:sz w:val="20"/>
              </w:rPr>
            </w:pPr>
            <w:r>
              <w:rPr>
                <w:color w:val="231F20"/>
                <w:w w:val="110"/>
                <w:sz w:val="19"/>
              </w:rPr>
              <w:t>500</w:t>
              <w:tab/>
            </w:r>
            <w:r>
              <w:rPr>
                <w:b/>
                <w:color w:val="231F20"/>
                <w:w w:val="110"/>
                <w:sz w:val="20"/>
              </w:rPr>
              <w:t>484</w:t>
            </w: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2209" w:type="dxa"/>
            <w:tcBorders>
              <w:top w:val="single" w:sz="4" w:space="0" w:color="939598"/>
              <w:bottom w:val="single" w:sz="4" w:space="0" w:color="939598"/>
            </w:tcBorders>
          </w:tcPr>
          <w:p>
            <w:pPr>
              <w:pStyle w:val="TableParagraph"/>
              <w:rPr>
                <w:rFonts w:ascii="Times New Roman"/>
                <w:sz w:val="18"/>
              </w:rPr>
            </w:pP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2209" w:type="dxa"/>
            <w:tcBorders>
              <w:top w:val="single" w:sz="4" w:space="0" w:color="939598"/>
              <w:bottom w:val="single" w:sz="4" w:space="0" w:color="939598"/>
            </w:tcBorders>
          </w:tcPr>
          <w:p>
            <w:pPr>
              <w:pStyle w:val="TableParagraph"/>
              <w:rPr>
                <w:rFonts w:ascii="Times New Roman"/>
                <w:sz w:val="18"/>
              </w:rPr>
            </w:pP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1416" w:type="dxa"/>
            <w:tcBorders>
              <w:top w:val="single" w:sz="4" w:space="0" w:color="939598"/>
              <w:bottom w:val="single" w:sz="4" w:space="0" w:color="939598"/>
            </w:tcBorders>
          </w:tcPr>
          <w:p>
            <w:pPr>
              <w:pStyle w:val="TableParagraph"/>
              <w:rPr>
                <w:rFonts w:ascii="Times New Roman"/>
                <w:sz w:val="18"/>
              </w:rPr>
            </w:pPr>
          </w:p>
        </w:tc>
      </w:tr>
      <w:tr>
        <w:trPr>
          <w:trHeight w:val="438" w:hRule="atLeast"/>
        </w:trPr>
        <w:tc>
          <w:tcPr>
            <w:tcW w:w="1729" w:type="dxa"/>
            <w:tcBorders>
              <w:top w:val="single" w:sz="4" w:space="0" w:color="939598"/>
              <w:bottom w:val="single" w:sz="4" w:space="0" w:color="939598"/>
            </w:tcBorders>
          </w:tcPr>
          <w:p>
            <w:pPr>
              <w:pStyle w:val="TableParagraph"/>
              <w:spacing w:before="11"/>
              <w:rPr>
                <w:sz w:val="16"/>
              </w:rPr>
            </w:pPr>
          </w:p>
          <w:p>
            <w:pPr>
              <w:pStyle w:val="TableParagraph"/>
              <w:spacing w:line="212" w:lineRule="exact"/>
              <w:ind w:left="89"/>
              <w:rPr>
                <w:sz w:val="19"/>
              </w:rPr>
            </w:pPr>
            <w:r>
              <w:rPr>
                <w:color w:val="231F20"/>
                <w:w w:val="110"/>
                <w:sz w:val="19"/>
              </w:rPr>
              <w:t>400</w:t>
            </w: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2209" w:type="dxa"/>
            <w:tcBorders>
              <w:top w:val="single" w:sz="4" w:space="0" w:color="939598"/>
              <w:bottom w:val="single" w:sz="4" w:space="0" w:color="939598"/>
            </w:tcBorders>
          </w:tcPr>
          <w:p>
            <w:pPr>
              <w:pStyle w:val="TableParagraph"/>
              <w:spacing w:before="135"/>
              <w:ind w:right="19"/>
              <w:jc w:val="right"/>
              <w:rPr>
                <w:b/>
                <w:sz w:val="20"/>
              </w:rPr>
            </w:pPr>
            <w:r>
              <w:rPr>
                <w:b/>
                <w:color w:val="231F20"/>
                <w:w w:val="105"/>
                <w:sz w:val="20"/>
              </w:rPr>
              <w:t>468</w:t>
            </w: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2209" w:type="dxa"/>
            <w:tcBorders>
              <w:top w:val="single" w:sz="4" w:space="0" w:color="939598"/>
              <w:bottom w:val="single" w:sz="4" w:space="0" w:color="939598"/>
            </w:tcBorders>
          </w:tcPr>
          <w:p>
            <w:pPr>
              <w:pStyle w:val="TableParagraph"/>
              <w:rPr>
                <w:rFonts w:ascii="Times New Roman"/>
                <w:sz w:val="18"/>
              </w:rPr>
            </w:pP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1416" w:type="dxa"/>
            <w:tcBorders>
              <w:top w:val="single" w:sz="4" w:space="0" w:color="939598"/>
              <w:bottom w:val="single" w:sz="4" w:space="0" w:color="939598"/>
            </w:tcBorders>
          </w:tcPr>
          <w:p>
            <w:pPr>
              <w:pStyle w:val="TableParagraph"/>
              <w:rPr>
                <w:rFonts w:ascii="Times New Roman"/>
                <w:sz w:val="18"/>
              </w:rPr>
            </w:pPr>
          </w:p>
        </w:tc>
      </w:tr>
      <w:tr>
        <w:trPr>
          <w:trHeight w:val="448" w:hRule="atLeast"/>
        </w:trPr>
        <w:tc>
          <w:tcPr>
            <w:tcW w:w="1729" w:type="dxa"/>
            <w:tcBorders>
              <w:top w:val="single" w:sz="4" w:space="0" w:color="939598"/>
              <w:bottom w:val="single" w:sz="4" w:space="0" w:color="939598"/>
            </w:tcBorders>
          </w:tcPr>
          <w:p>
            <w:pPr>
              <w:pStyle w:val="TableParagraph"/>
              <w:spacing w:before="8"/>
              <w:rPr>
                <w:sz w:val="17"/>
              </w:rPr>
            </w:pPr>
          </w:p>
          <w:p>
            <w:pPr>
              <w:pStyle w:val="TableParagraph"/>
              <w:tabs>
                <w:tab w:pos="1345" w:val="left" w:leader="none"/>
              </w:tabs>
              <w:spacing w:line="212" w:lineRule="exact" w:before="1"/>
              <w:ind w:left="89"/>
              <w:rPr>
                <w:b/>
                <w:sz w:val="20"/>
              </w:rPr>
            </w:pPr>
            <w:r>
              <w:rPr>
                <w:color w:val="231F20"/>
                <w:w w:val="110"/>
                <w:position w:val="1"/>
                <w:sz w:val="19"/>
              </w:rPr>
              <w:t>300</w:t>
              <w:tab/>
            </w:r>
            <w:r>
              <w:rPr>
                <w:b/>
                <w:color w:val="231F20"/>
                <w:w w:val="110"/>
                <w:sz w:val="20"/>
              </w:rPr>
              <w:t>285</w:t>
            </w: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2209" w:type="dxa"/>
            <w:tcBorders>
              <w:top w:val="single" w:sz="4" w:space="0" w:color="939598"/>
              <w:bottom w:val="single" w:sz="4" w:space="0" w:color="939598"/>
            </w:tcBorders>
          </w:tcPr>
          <w:p>
            <w:pPr>
              <w:pStyle w:val="TableParagraph"/>
              <w:rPr>
                <w:rFonts w:ascii="Times New Roman"/>
                <w:sz w:val="18"/>
              </w:rPr>
            </w:pP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2209" w:type="dxa"/>
            <w:tcBorders>
              <w:top w:val="single" w:sz="4" w:space="0" w:color="939598"/>
              <w:bottom w:val="single" w:sz="4" w:space="0" w:color="939598"/>
            </w:tcBorders>
          </w:tcPr>
          <w:p>
            <w:pPr>
              <w:pStyle w:val="TableParagraph"/>
              <w:rPr>
                <w:rFonts w:ascii="Times New Roman"/>
                <w:sz w:val="18"/>
              </w:rPr>
            </w:pP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1416" w:type="dxa"/>
            <w:tcBorders>
              <w:top w:val="single" w:sz="4" w:space="0" w:color="939598"/>
              <w:bottom w:val="single" w:sz="4" w:space="0" w:color="939598"/>
            </w:tcBorders>
          </w:tcPr>
          <w:p>
            <w:pPr>
              <w:pStyle w:val="TableParagraph"/>
              <w:spacing w:line="206" w:lineRule="exact"/>
              <w:ind w:left="66"/>
              <w:rPr>
                <w:b/>
                <w:sz w:val="20"/>
              </w:rPr>
            </w:pPr>
            <w:r>
              <w:rPr>
                <w:b/>
                <w:color w:val="231F20"/>
                <w:w w:val="110"/>
                <w:sz w:val="20"/>
              </w:rPr>
              <w:t>390</w:t>
            </w:r>
          </w:p>
        </w:tc>
      </w:tr>
      <w:tr>
        <w:trPr>
          <w:trHeight w:val="412" w:hRule="atLeast"/>
        </w:trPr>
        <w:tc>
          <w:tcPr>
            <w:tcW w:w="1729" w:type="dxa"/>
            <w:tcBorders>
              <w:top w:val="single" w:sz="4" w:space="0" w:color="939598"/>
              <w:bottom w:val="single" w:sz="4" w:space="0" w:color="939598"/>
            </w:tcBorders>
          </w:tcPr>
          <w:p>
            <w:pPr>
              <w:pStyle w:val="TableParagraph"/>
              <w:spacing w:line="212" w:lineRule="exact" w:before="181"/>
              <w:ind w:left="89"/>
              <w:rPr>
                <w:sz w:val="19"/>
              </w:rPr>
            </w:pPr>
            <w:r>
              <w:rPr>
                <w:color w:val="231F20"/>
                <w:w w:val="110"/>
                <w:sz w:val="19"/>
              </w:rPr>
              <w:t>200</w:t>
            </w: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2209" w:type="dxa"/>
            <w:tcBorders>
              <w:top w:val="single" w:sz="4" w:space="0" w:color="939598"/>
              <w:bottom w:val="single" w:sz="4" w:space="0" w:color="939598"/>
            </w:tcBorders>
          </w:tcPr>
          <w:p>
            <w:pPr>
              <w:pStyle w:val="TableParagraph"/>
              <w:spacing w:before="140"/>
              <w:ind w:right="19"/>
              <w:jc w:val="right"/>
              <w:rPr>
                <w:b/>
                <w:sz w:val="20"/>
              </w:rPr>
            </w:pPr>
            <w:r>
              <w:rPr>
                <w:b/>
                <w:color w:val="231F20"/>
                <w:w w:val="105"/>
                <w:sz w:val="20"/>
              </w:rPr>
              <w:t>283</w:t>
            </w: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2209" w:type="dxa"/>
            <w:tcBorders>
              <w:top w:val="single" w:sz="4" w:space="0" w:color="939598"/>
              <w:bottom w:val="single" w:sz="4" w:space="0" w:color="939598"/>
            </w:tcBorders>
          </w:tcPr>
          <w:p>
            <w:pPr>
              <w:pStyle w:val="TableParagraph"/>
              <w:rPr>
                <w:rFonts w:ascii="Times New Roman"/>
                <w:sz w:val="18"/>
              </w:rPr>
            </w:pP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1416" w:type="dxa"/>
            <w:tcBorders>
              <w:top w:val="single" w:sz="4" w:space="0" w:color="939598"/>
              <w:bottom w:val="single" w:sz="4" w:space="0" w:color="939598"/>
            </w:tcBorders>
          </w:tcPr>
          <w:p>
            <w:pPr>
              <w:pStyle w:val="TableParagraph"/>
              <w:rPr>
                <w:rFonts w:ascii="Times New Roman"/>
                <w:sz w:val="18"/>
              </w:rPr>
            </w:pPr>
          </w:p>
        </w:tc>
      </w:tr>
      <w:tr>
        <w:trPr>
          <w:trHeight w:val="451" w:hRule="atLeast"/>
        </w:trPr>
        <w:tc>
          <w:tcPr>
            <w:tcW w:w="1729" w:type="dxa"/>
            <w:tcBorders>
              <w:top w:val="single" w:sz="4" w:space="0" w:color="939598"/>
              <w:bottom w:val="single" w:sz="4" w:space="0" w:color="939598"/>
            </w:tcBorders>
          </w:tcPr>
          <w:p>
            <w:pPr>
              <w:pStyle w:val="TableParagraph"/>
              <w:rPr>
                <w:sz w:val="18"/>
              </w:rPr>
            </w:pPr>
          </w:p>
          <w:p>
            <w:pPr>
              <w:pStyle w:val="TableParagraph"/>
              <w:spacing w:line="212" w:lineRule="exact"/>
              <w:ind w:left="89"/>
              <w:rPr>
                <w:sz w:val="19"/>
              </w:rPr>
            </w:pPr>
            <w:r>
              <w:rPr>
                <w:color w:val="231F20"/>
                <w:w w:val="110"/>
                <w:sz w:val="19"/>
              </w:rPr>
              <w:t>100</w:t>
            </w: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2209" w:type="dxa"/>
            <w:tcBorders>
              <w:top w:val="single" w:sz="4" w:space="0" w:color="939598"/>
              <w:bottom w:val="single" w:sz="4" w:space="0" w:color="939598"/>
            </w:tcBorders>
          </w:tcPr>
          <w:p>
            <w:pPr>
              <w:pStyle w:val="TableParagraph"/>
              <w:rPr>
                <w:rFonts w:ascii="Times New Roman"/>
                <w:sz w:val="18"/>
              </w:rPr>
            </w:pP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2209" w:type="dxa"/>
            <w:tcBorders>
              <w:top w:val="single" w:sz="4" w:space="0" w:color="939598"/>
              <w:bottom w:val="single" w:sz="4" w:space="0" w:color="939598"/>
            </w:tcBorders>
          </w:tcPr>
          <w:p>
            <w:pPr>
              <w:pStyle w:val="TableParagraph"/>
              <w:rPr>
                <w:rFonts w:ascii="Times New Roman"/>
                <w:sz w:val="18"/>
              </w:rPr>
            </w:pPr>
          </w:p>
        </w:tc>
        <w:tc>
          <w:tcPr>
            <w:tcW w:w="200" w:type="dxa"/>
            <w:tcBorders>
              <w:top w:val="single" w:sz="4" w:space="0" w:color="939598"/>
              <w:bottom w:val="single" w:sz="4" w:space="0" w:color="939598"/>
            </w:tcBorders>
            <w:shd w:val="clear" w:color="auto" w:fill="E4DFD9"/>
          </w:tcPr>
          <w:p>
            <w:pPr>
              <w:pStyle w:val="TableParagraph"/>
              <w:rPr>
                <w:rFonts w:ascii="Times New Roman"/>
                <w:sz w:val="18"/>
              </w:rPr>
            </w:pPr>
          </w:p>
        </w:tc>
        <w:tc>
          <w:tcPr>
            <w:tcW w:w="1416" w:type="dxa"/>
            <w:tcBorders>
              <w:top w:val="single" w:sz="4" w:space="0" w:color="939598"/>
              <w:bottom w:val="single" w:sz="4" w:space="0" w:color="939598"/>
            </w:tcBorders>
          </w:tcPr>
          <w:p>
            <w:pPr>
              <w:pStyle w:val="TableParagraph"/>
              <w:spacing w:line="237" w:lineRule="exact"/>
              <w:ind w:left="66"/>
              <w:rPr>
                <w:b/>
                <w:sz w:val="20"/>
              </w:rPr>
            </w:pPr>
            <w:r>
              <w:rPr>
                <w:b/>
                <w:color w:val="231F20"/>
                <w:w w:val="110"/>
                <w:sz w:val="20"/>
              </w:rPr>
              <w:t>193</w:t>
            </w:r>
          </w:p>
        </w:tc>
      </w:tr>
      <w:tr>
        <w:trPr>
          <w:trHeight w:val="404" w:hRule="atLeast"/>
        </w:trPr>
        <w:tc>
          <w:tcPr>
            <w:tcW w:w="1729" w:type="dxa"/>
            <w:tcBorders>
              <w:top w:val="single" w:sz="4" w:space="0" w:color="939598"/>
              <w:bottom w:val="single" w:sz="8" w:space="0" w:color="231F20"/>
            </w:tcBorders>
          </w:tcPr>
          <w:p>
            <w:pPr>
              <w:pStyle w:val="TableParagraph"/>
              <w:spacing w:line="207" w:lineRule="exact" w:before="178"/>
              <w:ind w:left="301"/>
              <w:rPr>
                <w:sz w:val="19"/>
              </w:rPr>
            </w:pPr>
            <w:r>
              <w:rPr>
                <w:color w:val="231F20"/>
                <w:w w:val="109"/>
                <w:sz w:val="19"/>
              </w:rPr>
              <w:t>0</w:t>
            </w:r>
          </w:p>
        </w:tc>
        <w:tc>
          <w:tcPr>
            <w:tcW w:w="200" w:type="dxa"/>
            <w:tcBorders>
              <w:top w:val="single" w:sz="4" w:space="0" w:color="939598"/>
              <w:bottom w:val="single" w:sz="8" w:space="0" w:color="231F20"/>
            </w:tcBorders>
            <w:shd w:val="clear" w:color="auto" w:fill="E4DFD9"/>
          </w:tcPr>
          <w:p>
            <w:pPr>
              <w:pStyle w:val="TableParagraph"/>
              <w:rPr>
                <w:rFonts w:ascii="Times New Roman"/>
                <w:sz w:val="18"/>
              </w:rPr>
            </w:pPr>
          </w:p>
        </w:tc>
        <w:tc>
          <w:tcPr>
            <w:tcW w:w="2209" w:type="dxa"/>
            <w:tcBorders>
              <w:top w:val="single" w:sz="4" w:space="0" w:color="939598"/>
              <w:bottom w:val="single" w:sz="8" w:space="0" w:color="231F20"/>
            </w:tcBorders>
          </w:tcPr>
          <w:p>
            <w:pPr>
              <w:pStyle w:val="TableParagraph"/>
              <w:rPr>
                <w:rFonts w:ascii="Times New Roman"/>
                <w:sz w:val="18"/>
              </w:rPr>
            </w:pPr>
          </w:p>
        </w:tc>
        <w:tc>
          <w:tcPr>
            <w:tcW w:w="200" w:type="dxa"/>
            <w:tcBorders>
              <w:top w:val="single" w:sz="4" w:space="0" w:color="939598"/>
              <w:bottom w:val="single" w:sz="8" w:space="0" w:color="231F20"/>
            </w:tcBorders>
            <w:shd w:val="clear" w:color="auto" w:fill="E4DFD9"/>
          </w:tcPr>
          <w:p>
            <w:pPr>
              <w:pStyle w:val="TableParagraph"/>
              <w:rPr>
                <w:rFonts w:ascii="Times New Roman"/>
                <w:sz w:val="18"/>
              </w:rPr>
            </w:pPr>
          </w:p>
        </w:tc>
        <w:tc>
          <w:tcPr>
            <w:tcW w:w="2209" w:type="dxa"/>
            <w:tcBorders>
              <w:top w:val="single" w:sz="4" w:space="0" w:color="939598"/>
              <w:bottom w:val="single" w:sz="8" w:space="0" w:color="231F20"/>
            </w:tcBorders>
          </w:tcPr>
          <w:p>
            <w:pPr>
              <w:pStyle w:val="TableParagraph"/>
              <w:rPr>
                <w:rFonts w:ascii="Times New Roman"/>
                <w:sz w:val="18"/>
              </w:rPr>
            </w:pPr>
          </w:p>
        </w:tc>
        <w:tc>
          <w:tcPr>
            <w:tcW w:w="200" w:type="dxa"/>
            <w:tcBorders>
              <w:top w:val="single" w:sz="4" w:space="0" w:color="939598"/>
              <w:bottom w:val="single" w:sz="8" w:space="0" w:color="231F20"/>
            </w:tcBorders>
            <w:shd w:val="clear" w:color="auto" w:fill="E4DFD9"/>
          </w:tcPr>
          <w:p>
            <w:pPr>
              <w:pStyle w:val="TableParagraph"/>
              <w:rPr>
                <w:rFonts w:ascii="Times New Roman"/>
                <w:sz w:val="18"/>
              </w:rPr>
            </w:pPr>
          </w:p>
        </w:tc>
        <w:tc>
          <w:tcPr>
            <w:tcW w:w="1416" w:type="dxa"/>
            <w:tcBorders>
              <w:top w:val="single" w:sz="4" w:space="0" w:color="939598"/>
              <w:bottom w:val="single" w:sz="8" w:space="0" w:color="231F20"/>
            </w:tcBorders>
          </w:tcPr>
          <w:p>
            <w:pPr>
              <w:pStyle w:val="TableParagraph"/>
              <w:rPr>
                <w:rFonts w:ascii="Times New Roman"/>
                <w:sz w:val="18"/>
              </w:rPr>
            </w:pPr>
          </w:p>
        </w:tc>
      </w:tr>
    </w:tbl>
    <w:p>
      <w:pPr>
        <w:spacing w:after="0"/>
        <w:rPr>
          <w:rFonts w:ascii="Times New Roman"/>
          <w:sz w:val="18"/>
        </w:rPr>
        <w:sectPr>
          <w:pgSz w:w="11910" w:h="16840"/>
          <w:pgMar w:top="300" w:bottom="280" w:left="0" w:right="0"/>
        </w:sectPr>
      </w:pPr>
    </w:p>
    <w:p>
      <w:pPr>
        <w:spacing w:before="93"/>
        <w:ind w:left="0" w:right="0" w:firstLine="0"/>
        <w:jc w:val="right"/>
        <w:rPr>
          <w:b/>
          <w:sz w:val="20"/>
        </w:rPr>
      </w:pPr>
      <w:r>
        <w:rPr/>
        <w:pict>
          <v:shape style="position:absolute;margin-left:188.565598pt;margin-top:-62.350399pt;width:250.9pt;height:20.55pt;mso-position-horizontal-relative:page;mso-position-vertical-relative:paragraph;z-index:-190432" coordorigin="3771,-1247" coordsize="5018,411" path="m3771,-1247l6356,-1242,8789,-836e" filled="false" stroked="true" strokeweight="4pt" strokecolor="#e12726">
            <v:path arrowok="t"/>
            <v:stroke dashstyle="solid"/>
            <w10:wrap type="none"/>
          </v:shape>
        </w:pict>
      </w:r>
      <w:r>
        <w:rPr>
          <w:b/>
          <w:color w:val="231F20"/>
          <w:w w:val="105"/>
          <w:sz w:val="20"/>
        </w:rPr>
        <w:t>2015</w:t>
      </w:r>
    </w:p>
    <w:p>
      <w:pPr>
        <w:spacing w:before="93"/>
        <w:ind w:left="0" w:right="0" w:firstLine="0"/>
        <w:jc w:val="right"/>
        <w:rPr>
          <w:b/>
          <w:sz w:val="20"/>
        </w:rPr>
      </w:pPr>
      <w:r>
        <w:rPr/>
        <w:br w:type="column"/>
      </w:r>
      <w:r>
        <w:rPr>
          <w:b/>
          <w:color w:val="231F20"/>
          <w:w w:val="105"/>
          <w:sz w:val="20"/>
        </w:rPr>
        <w:t>2016</w:t>
      </w:r>
    </w:p>
    <w:p>
      <w:pPr>
        <w:spacing w:before="93"/>
        <w:ind w:left="1918" w:right="2989" w:firstLine="0"/>
        <w:jc w:val="center"/>
        <w:rPr>
          <w:b/>
          <w:sz w:val="20"/>
        </w:rPr>
      </w:pPr>
      <w:r>
        <w:rPr/>
        <w:br w:type="column"/>
      </w:r>
      <w:r>
        <w:rPr>
          <w:b/>
          <w:color w:val="231F20"/>
          <w:w w:val="110"/>
          <w:sz w:val="20"/>
        </w:rPr>
        <w:t>2017</w:t>
      </w:r>
    </w:p>
    <w:p>
      <w:pPr>
        <w:spacing w:after="0"/>
        <w:jc w:val="center"/>
        <w:rPr>
          <w:sz w:val="20"/>
        </w:rPr>
        <w:sectPr>
          <w:type w:val="continuous"/>
          <w:pgSz w:w="11910" w:h="16840"/>
          <w:pgMar w:top="880" w:bottom="0" w:left="0" w:right="0"/>
          <w:cols w:num="3" w:equalWidth="0">
            <w:col w:w="4072" w:space="40"/>
            <w:col w:w="2364" w:space="39"/>
            <w:col w:w="5395"/>
          </w:cols>
        </w:sectPr>
      </w:pPr>
    </w:p>
    <w:p>
      <w:pPr>
        <w:pStyle w:val="BodyText"/>
        <w:spacing w:before="5"/>
        <w:rPr>
          <w:b/>
          <w:sz w:val="23"/>
        </w:rPr>
      </w:pPr>
    </w:p>
    <w:p>
      <w:pPr>
        <w:pStyle w:val="BodyText"/>
        <w:spacing w:before="93"/>
        <w:ind w:left="1700"/>
      </w:pPr>
      <w:r>
        <w:rPr/>
        <w:pict>
          <v:shape style="position:absolute;margin-left:278.960602pt;margin-top:83.373718pt;width:49.15pt;height:34.75pt;mso-position-horizontal-relative:page;mso-position-vertical-relative:paragraph;z-index:-190504" type="#_x0000_t202" filled="false" stroked="false">
            <v:textbox inset="0,0,0,0">
              <w:txbxContent>
                <w:p>
                  <w:pPr>
                    <w:spacing w:line="176" w:lineRule="exact" w:before="0"/>
                    <w:ind w:left="0" w:right="0" w:firstLine="0"/>
                    <w:jc w:val="left"/>
                    <w:rPr>
                      <w:b/>
                      <w:sz w:val="15"/>
                    </w:rPr>
                  </w:pPr>
                  <w:r>
                    <w:rPr>
                      <w:b/>
                      <w:color w:val="231F20"/>
                      <w:w w:val="115"/>
                      <w:sz w:val="15"/>
                    </w:rPr>
                    <w:t>High Court</w:t>
                  </w:r>
                </w:p>
                <w:p>
                  <w:pPr>
                    <w:spacing w:line="170" w:lineRule="exact" w:before="0"/>
                    <w:ind w:left="0" w:right="0" w:firstLine="0"/>
                    <w:jc w:val="left"/>
                    <w:rPr>
                      <w:sz w:val="15"/>
                    </w:rPr>
                  </w:pPr>
                  <w:r>
                    <w:rPr>
                      <w:color w:val="231F20"/>
                      <w:spacing w:val="-4"/>
                      <w:w w:val="110"/>
                      <w:sz w:val="15"/>
                    </w:rPr>
                    <w:t>Average </w:t>
                  </w:r>
                  <w:r>
                    <w:rPr>
                      <w:color w:val="231F20"/>
                      <w:w w:val="110"/>
                      <w:sz w:val="15"/>
                    </w:rPr>
                    <w:t>of </w:t>
                  </w:r>
                  <w:r>
                    <w:rPr>
                      <w:color w:val="231F20"/>
                      <w:spacing w:val="-2"/>
                      <w:w w:val="110"/>
                      <w:sz w:val="15"/>
                    </w:rPr>
                    <w:t>174</w:t>
                  </w:r>
                </w:p>
                <w:p>
                  <w:pPr>
                    <w:spacing w:line="223" w:lineRule="auto" w:before="3"/>
                    <w:ind w:left="0" w:right="0" w:firstLine="0"/>
                    <w:jc w:val="left"/>
                    <w:rPr>
                      <w:sz w:val="15"/>
                    </w:rPr>
                  </w:pPr>
                  <w:r>
                    <w:rPr>
                      <w:color w:val="231F20"/>
                      <w:w w:val="110"/>
                      <w:sz w:val="15"/>
                    </w:rPr>
                    <w:t>days for 2009 cases</w:t>
                  </w:r>
                </w:p>
              </w:txbxContent>
            </v:textbox>
            <w10:wrap type="none"/>
          </v:shape>
        </w:pict>
      </w:r>
      <w:r>
        <w:rPr>
          <w:color w:val="231F20"/>
          <w:w w:val="105"/>
        </w:rPr>
        <w:t>Average duration of a case – 2011 Baseline Report</w:t>
      </w:r>
    </w:p>
    <w:p>
      <w:pPr>
        <w:pStyle w:val="BodyText"/>
        <w:spacing w:before="3"/>
        <w:rPr>
          <w:sz w:val="11"/>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393"/>
        <w:gridCol w:w="1266"/>
        <w:gridCol w:w="1134"/>
        <w:gridCol w:w="1212"/>
        <w:gridCol w:w="1112"/>
        <w:gridCol w:w="1039"/>
        <w:gridCol w:w="1336"/>
      </w:tblGrid>
      <w:tr>
        <w:trPr>
          <w:trHeight w:val="462" w:hRule="atLeast"/>
        </w:trPr>
        <w:tc>
          <w:tcPr>
            <w:tcW w:w="1393" w:type="dxa"/>
            <w:shd w:val="clear" w:color="auto" w:fill="92BAC2"/>
          </w:tcPr>
          <w:p>
            <w:pPr>
              <w:pStyle w:val="TableParagraph"/>
              <w:spacing w:before="75"/>
              <w:ind w:left="80"/>
              <w:rPr>
                <w:b/>
                <w:sz w:val="15"/>
              </w:rPr>
            </w:pPr>
            <w:r>
              <w:rPr>
                <w:b/>
                <w:color w:val="231F20"/>
                <w:w w:val="110"/>
                <w:sz w:val="15"/>
              </w:rPr>
              <w:t>Cook Islands</w:t>
            </w:r>
          </w:p>
        </w:tc>
        <w:tc>
          <w:tcPr>
            <w:tcW w:w="1266" w:type="dxa"/>
            <w:shd w:val="clear" w:color="auto" w:fill="92BAC2"/>
          </w:tcPr>
          <w:p>
            <w:pPr>
              <w:pStyle w:val="TableParagraph"/>
              <w:spacing w:line="223" w:lineRule="auto" w:before="85"/>
              <w:ind w:left="80"/>
              <w:rPr>
                <w:b/>
                <w:sz w:val="15"/>
              </w:rPr>
            </w:pPr>
            <w:r>
              <w:rPr>
                <w:b/>
                <w:color w:val="231F20"/>
                <w:w w:val="105"/>
                <w:sz w:val="15"/>
              </w:rPr>
              <w:t>Federated States of Micronesia</w:t>
            </w:r>
          </w:p>
        </w:tc>
        <w:tc>
          <w:tcPr>
            <w:tcW w:w="1134" w:type="dxa"/>
            <w:tcBorders>
              <w:right w:val="single" w:sz="6" w:space="0" w:color="808285"/>
            </w:tcBorders>
            <w:shd w:val="clear" w:color="auto" w:fill="92BAC2"/>
          </w:tcPr>
          <w:p>
            <w:pPr>
              <w:pStyle w:val="TableParagraph"/>
              <w:spacing w:line="223" w:lineRule="auto" w:before="85"/>
              <w:ind w:left="80" w:right="89"/>
              <w:rPr>
                <w:b/>
                <w:sz w:val="15"/>
              </w:rPr>
            </w:pPr>
            <w:r>
              <w:rPr>
                <w:b/>
                <w:color w:val="231F20"/>
                <w:w w:val="110"/>
                <w:sz w:val="15"/>
              </w:rPr>
              <w:t>Kiribati Islands</w:t>
            </w:r>
          </w:p>
        </w:tc>
        <w:tc>
          <w:tcPr>
            <w:tcW w:w="1212" w:type="dxa"/>
            <w:tcBorders>
              <w:left w:val="single" w:sz="6" w:space="0" w:color="808285"/>
              <w:right w:val="single" w:sz="6" w:space="0" w:color="808285"/>
            </w:tcBorders>
            <w:shd w:val="clear" w:color="auto" w:fill="92BAC2"/>
          </w:tcPr>
          <w:p>
            <w:pPr>
              <w:pStyle w:val="TableParagraph"/>
              <w:spacing w:line="223" w:lineRule="auto" w:before="85"/>
              <w:ind w:left="77" w:right="526"/>
              <w:rPr>
                <w:b/>
                <w:sz w:val="15"/>
              </w:rPr>
            </w:pPr>
            <w:r>
              <w:rPr>
                <w:b/>
                <w:color w:val="231F20"/>
                <w:w w:val="105"/>
                <w:sz w:val="15"/>
              </w:rPr>
              <w:t>Marshall Islands</w:t>
            </w:r>
          </w:p>
        </w:tc>
        <w:tc>
          <w:tcPr>
            <w:tcW w:w="1112" w:type="dxa"/>
            <w:tcBorders>
              <w:left w:val="single" w:sz="6" w:space="0" w:color="808285"/>
            </w:tcBorders>
            <w:shd w:val="clear" w:color="auto" w:fill="92BAC2"/>
          </w:tcPr>
          <w:p>
            <w:pPr>
              <w:pStyle w:val="TableParagraph"/>
              <w:spacing w:before="75"/>
              <w:ind w:left="78"/>
              <w:rPr>
                <w:b/>
                <w:sz w:val="15"/>
              </w:rPr>
            </w:pPr>
            <w:r>
              <w:rPr>
                <w:b/>
                <w:color w:val="231F20"/>
                <w:w w:val="110"/>
                <w:sz w:val="15"/>
              </w:rPr>
              <w:t>Nauru</w:t>
            </w:r>
          </w:p>
        </w:tc>
        <w:tc>
          <w:tcPr>
            <w:tcW w:w="1039" w:type="dxa"/>
            <w:shd w:val="clear" w:color="auto" w:fill="92BAC2"/>
          </w:tcPr>
          <w:p>
            <w:pPr>
              <w:pStyle w:val="TableParagraph"/>
              <w:spacing w:before="75"/>
              <w:ind w:left="80"/>
              <w:rPr>
                <w:b/>
                <w:sz w:val="15"/>
              </w:rPr>
            </w:pPr>
            <w:r>
              <w:rPr>
                <w:b/>
                <w:color w:val="231F20"/>
                <w:w w:val="110"/>
                <w:sz w:val="15"/>
              </w:rPr>
              <w:t>Niue</w:t>
            </w:r>
          </w:p>
        </w:tc>
        <w:tc>
          <w:tcPr>
            <w:tcW w:w="1336" w:type="dxa"/>
            <w:shd w:val="clear" w:color="auto" w:fill="92BAC2"/>
          </w:tcPr>
          <w:p>
            <w:pPr>
              <w:pStyle w:val="TableParagraph"/>
              <w:spacing w:before="75"/>
              <w:ind w:left="81"/>
              <w:rPr>
                <w:b/>
                <w:sz w:val="15"/>
              </w:rPr>
            </w:pPr>
            <w:r>
              <w:rPr>
                <w:b/>
                <w:color w:val="231F20"/>
                <w:w w:val="105"/>
                <w:sz w:val="15"/>
              </w:rPr>
              <w:t>Palau</w:t>
            </w:r>
          </w:p>
        </w:tc>
      </w:tr>
      <w:tr>
        <w:trPr>
          <w:trHeight w:val="645" w:hRule="atLeast"/>
        </w:trPr>
        <w:tc>
          <w:tcPr>
            <w:tcW w:w="1393" w:type="dxa"/>
            <w:vMerge w:val="restart"/>
            <w:shd w:val="clear" w:color="auto" w:fill="F2CDBE"/>
          </w:tcPr>
          <w:p>
            <w:pPr>
              <w:pStyle w:val="TableParagraph"/>
              <w:spacing w:before="74"/>
              <w:ind w:left="80"/>
              <w:rPr>
                <w:sz w:val="15"/>
              </w:rPr>
            </w:pPr>
            <w:r>
              <w:rPr>
                <w:color w:val="231F20"/>
                <w:w w:val="110"/>
                <w:sz w:val="15"/>
              </w:rPr>
              <w:t>Data unavailable</w:t>
            </w:r>
          </w:p>
        </w:tc>
        <w:tc>
          <w:tcPr>
            <w:tcW w:w="1266" w:type="dxa"/>
            <w:vMerge w:val="restart"/>
            <w:shd w:val="clear" w:color="auto" w:fill="F2CDBE"/>
          </w:tcPr>
          <w:p>
            <w:pPr>
              <w:pStyle w:val="TableParagraph"/>
              <w:spacing w:before="74"/>
              <w:ind w:left="80"/>
              <w:rPr>
                <w:sz w:val="15"/>
              </w:rPr>
            </w:pPr>
            <w:r>
              <w:rPr>
                <w:color w:val="231F20"/>
                <w:w w:val="110"/>
                <w:sz w:val="15"/>
              </w:rPr>
              <w:t>Data unavailable</w:t>
            </w:r>
          </w:p>
        </w:tc>
        <w:tc>
          <w:tcPr>
            <w:tcW w:w="1134" w:type="dxa"/>
            <w:vMerge w:val="restart"/>
            <w:tcBorders>
              <w:right w:val="single" w:sz="6" w:space="0" w:color="808285"/>
            </w:tcBorders>
            <w:shd w:val="clear" w:color="auto" w:fill="F2CDBE"/>
          </w:tcPr>
          <w:p>
            <w:pPr>
              <w:pStyle w:val="TableParagraph"/>
              <w:spacing w:line="223" w:lineRule="auto" w:before="84"/>
              <w:ind w:left="80" w:right="89"/>
              <w:rPr>
                <w:sz w:val="15"/>
              </w:rPr>
            </w:pPr>
            <w:r>
              <w:rPr>
                <w:color w:val="231F20"/>
                <w:w w:val="110"/>
                <w:sz w:val="15"/>
              </w:rPr>
              <w:t>Data unavailable</w:t>
            </w:r>
          </w:p>
        </w:tc>
        <w:tc>
          <w:tcPr>
            <w:tcW w:w="1212" w:type="dxa"/>
            <w:tcBorders>
              <w:left w:val="single" w:sz="6" w:space="0" w:color="808285"/>
              <w:right w:val="single" w:sz="6" w:space="0" w:color="808285"/>
            </w:tcBorders>
            <w:shd w:val="clear" w:color="auto" w:fill="F2CDBE"/>
          </w:tcPr>
          <w:p>
            <w:pPr>
              <w:pStyle w:val="TableParagraph"/>
              <w:spacing w:line="223" w:lineRule="auto" w:before="85"/>
              <w:ind w:left="77" w:right="161"/>
              <w:rPr>
                <w:sz w:val="15"/>
              </w:rPr>
            </w:pPr>
            <w:r>
              <w:rPr>
                <w:b/>
                <w:color w:val="231F20"/>
                <w:w w:val="110"/>
                <w:sz w:val="15"/>
              </w:rPr>
              <w:t>Supreme Court </w:t>
            </w:r>
            <w:r>
              <w:rPr>
                <w:color w:val="231F20"/>
                <w:w w:val="110"/>
                <w:sz w:val="15"/>
              </w:rPr>
              <w:t>Data unavailable</w:t>
            </w:r>
          </w:p>
        </w:tc>
        <w:tc>
          <w:tcPr>
            <w:tcW w:w="1112" w:type="dxa"/>
            <w:tcBorders>
              <w:left w:val="single" w:sz="6" w:space="0" w:color="808285"/>
              <w:bottom w:val="nil"/>
            </w:tcBorders>
            <w:shd w:val="clear" w:color="auto" w:fill="F2CDBE"/>
          </w:tcPr>
          <w:p>
            <w:pPr>
              <w:pStyle w:val="TableParagraph"/>
              <w:spacing w:line="223" w:lineRule="auto" w:before="85"/>
              <w:ind w:left="78" w:right="346"/>
              <w:rPr>
                <w:sz w:val="15"/>
              </w:rPr>
            </w:pPr>
            <w:r>
              <w:rPr>
                <w:b/>
                <w:color w:val="231F20"/>
                <w:w w:val="105"/>
                <w:sz w:val="15"/>
              </w:rPr>
              <w:t>Supreme </w:t>
            </w:r>
            <w:r>
              <w:rPr>
                <w:b/>
                <w:color w:val="231F20"/>
                <w:w w:val="110"/>
                <w:sz w:val="15"/>
              </w:rPr>
              <w:t>Court </w:t>
            </w:r>
            <w:r>
              <w:rPr>
                <w:color w:val="231F20"/>
                <w:w w:val="110"/>
                <w:sz w:val="15"/>
              </w:rPr>
              <w:t>Data</w:t>
            </w:r>
          </w:p>
        </w:tc>
        <w:tc>
          <w:tcPr>
            <w:tcW w:w="1039" w:type="dxa"/>
            <w:tcBorders>
              <w:bottom w:val="nil"/>
            </w:tcBorders>
            <w:shd w:val="clear" w:color="auto" w:fill="F2CDBE"/>
          </w:tcPr>
          <w:p>
            <w:pPr>
              <w:pStyle w:val="TableParagraph"/>
              <w:spacing w:line="223" w:lineRule="auto" w:before="84"/>
              <w:ind w:left="80"/>
              <w:rPr>
                <w:sz w:val="15"/>
              </w:rPr>
            </w:pPr>
            <w:r>
              <w:rPr>
                <w:color w:val="231F20"/>
                <w:w w:val="110"/>
                <w:sz w:val="15"/>
              </w:rPr>
              <w:t>Data unavailable</w:t>
            </w:r>
          </w:p>
        </w:tc>
        <w:tc>
          <w:tcPr>
            <w:tcW w:w="1336" w:type="dxa"/>
            <w:vMerge w:val="restart"/>
            <w:shd w:val="clear" w:color="auto" w:fill="D8E3CE"/>
          </w:tcPr>
          <w:p>
            <w:pPr>
              <w:pStyle w:val="TableParagraph"/>
              <w:spacing w:line="223" w:lineRule="auto" w:before="85"/>
              <w:ind w:left="81" w:right="207"/>
              <w:rPr>
                <w:b/>
                <w:sz w:val="15"/>
              </w:rPr>
            </w:pPr>
            <w:r>
              <w:rPr>
                <w:b/>
                <w:color w:val="231F20"/>
                <w:w w:val="110"/>
                <w:sz w:val="15"/>
              </w:rPr>
              <w:t>Court of Common Pleas</w:t>
            </w:r>
          </w:p>
          <w:p>
            <w:pPr>
              <w:pStyle w:val="TableParagraph"/>
              <w:spacing w:before="46"/>
              <w:ind w:left="81"/>
              <w:rPr>
                <w:sz w:val="15"/>
              </w:rPr>
            </w:pPr>
            <w:r>
              <w:rPr>
                <w:color w:val="231F20"/>
                <w:w w:val="115"/>
                <w:sz w:val="15"/>
              </w:rPr>
              <w:t>Civil 62 days</w:t>
            </w:r>
          </w:p>
          <w:p>
            <w:pPr>
              <w:pStyle w:val="TableParagraph"/>
              <w:spacing w:before="43"/>
              <w:ind w:left="81"/>
              <w:rPr>
                <w:sz w:val="15"/>
              </w:rPr>
            </w:pPr>
            <w:r>
              <w:rPr>
                <w:color w:val="231F20"/>
                <w:w w:val="110"/>
                <w:sz w:val="15"/>
              </w:rPr>
              <w:t>Criminal 72 days</w:t>
            </w:r>
          </w:p>
          <w:p>
            <w:pPr>
              <w:pStyle w:val="TableParagraph"/>
              <w:spacing w:line="223" w:lineRule="auto" w:before="54"/>
              <w:ind w:left="81" w:right="199"/>
              <w:rPr>
                <w:sz w:val="15"/>
              </w:rPr>
            </w:pPr>
            <w:r>
              <w:rPr>
                <w:color w:val="231F20"/>
                <w:w w:val="110"/>
                <w:sz w:val="15"/>
              </w:rPr>
              <w:t>Small claims 55 days</w:t>
            </w:r>
          </w:p>
        </w:tc>
      </w:tr>
      <w:tr>
        <w:trPr>
          <w:trHeight w:val="790" w:hRule="atLeast"/>
        </w:trPr>
        <w:tc>
          <w:tcPr>
            <w:tcW w:w="1393" w:type="dxa"/>
            <w:vMerge/>
            <w:tcBorders>
              <w:top w:val="nil"/>
            </w:tcBorders>
            <w:shd w:val="clear" w:color="auto" w:fill="F2CDBE"/>
          </w:tcPr>
          <w:p>
            <w:pPr>
              <w:rPr>
                <w:sz w:val="2"/>
                <w:szCs w:val="2"/>
              </w:rPr>
            </w:pPr>
          </w:p>
        </w:tc>
        <w:tc>
          <w:tcPr>
            <w:tcW w:w="1266" w:type="dxa"/>
            <w:vMerge/>
            <w:tcBorders>
              <w:top w:val="nil"/>
            </w:tcBorders>
            <w:shd w:val="clear" w:color="auto" w:fill="F2CDBE"/>
          </w:tcPr>
          <w:p>
            <w:pPr>
              <w:rPr>
                <w:sz w:val="2"/>
                <w:szCs w:val="2"/>
              </w:rPr>
            </w:pPr>
          </w:p>
        </w:tc>
        <w:tc>
          <w:tcPr>
            <w:tcW w:w="1134" w:type="dxa"/>
            <w:vMerge/>
            <w:tcBorders>
              <w:top w:val="nil"/>
              <w:right w:val="single" w:sz="6" w:space="0" w:color="808285"/>
            </w:tcBorders>
            <w:shd w:val="clear" w:color="auto" w:fill="F2CDBE"/>
          </w:tcPr>
          <w:p>
            <w:pPr>
              <w:rPr>
                <w:sz w:val="2"/>
                <w:szCs w:val="2"/>
              </w:rPr>
            </w:pPr>
          </w:p>
        </w:tc>
        <w:tc>
          <w:tcPr>
            <w:tcW w:w="1212" w:type="dxa"/>
            <w:tcBorders>
              <w:left w:val="single" w:sz="6" w:space="0" w:color="808285"/>
              <w:right w:val="single" w:sz="6" w:space="0" w:color="808285"/>
            </w:tcBorders>
            <w:shd w:val="clear" w:color="auto" w:fill="D8E3CE"/>
          </w:tcPr>
          <w:p>
            <w:pPr>
              <w:pStyle w:val="TableParagraph"/>
              <w:spacing w:line="223" w:lineRule="auto" w:before="64"/>
              <w:ind w:left="82" w:right="161"/>
              <w:rPr>
                <w:sz w:val="15"/>
              </w:rPr>
            </w:pPr>
            <w:r>
              <w:rPr>
                <w:b/>
                <w:color w:val="231F20"/>
                <w:w w:val="110"/>
                <w:sz w:val="15"/>
              </w:rPr>
              <w:t>High Court </w:t>
            </w:r>
            <w:r>
              <w:rPr>
                <w:color w:val="231F20"/>
                <w:w w:val="110"/>
                <w:sz w:val="15"/>
              </w:rPr>
              <w:t>Average of 174 days for</w:t>
            </w:r>
          </w:p>
          <w:p>
            <w:pPr>
              <w:pStyle w:val="TableParagraph"/>
              <w:spacing w:line="172" w:lineRule="exact"/>
              <w:ind w:left="82"/>
              <w:rPr>
                <w:sz w:val="15"/>
              </w:rPr>
            </w:pPr>
            <w:r>
              <w:rPr>
                <w:color w:val="231F20"/>
                <w:w w:val="110"/>
                <w:sz w:val="15"/>
              </w:rPr>
              <w:t>2009 cases</w:t>
            </w:r>
          </w:p>
        </w:tc>
        <w:tc>
          <w:tcPr>
            <w:tcW w:w="1112" w:type="dxa"/>
            <w:tcBorders>
              <w:top w:val="nil"/>
              <w:left w:val="single" w:sz="6" w:space="0" w:color="808285"/>
              <w:bottom w:val="nil"/>
            </w:tcBorders>
            <w:shd w:val="clear" w:color="auto" w:fill="F2CDBE"/>
          </w:tcPr>
          <w:p>
            <w:pPr>
              <w:pStyle w:val="TableParagraph"/>
              <w:spacing w:line="113" w:lineRule="exact"/>
              <w:ind w:left="78"/>
              <w:rPr>
                <w:sz w:val="15"/>
              </w:rPr>
            </w:pPr>
            <w:r>
              <w:rPr>
                <w:color w:val="231F20"/>
                <w:w w:val="110"/>
                <w:sz w:val="15"/>
              </w:rPr>
              <w:t>unavailable</w:t>
            </w:r>
          </w:p>
          <w:p>
            <w:pPr>
              <w:pStyle w:val="TableParagraph"/>
              <w:spacing w:line="223" w:lineRule="auto" w:before="53"/>
              <w:ind w:left="78" w:right="224"/>
              <w:rPr>
                <w:b/>
                <w:sz w:val="15"/>
              </w:rPr>
            </w:pPr>
            <w:r>
              <w:rPr>
                <w:b/>
                <w:color w:val="231F20"/>
                <w:w w:val="105"/>
                <w:sz w:val="15"/>
              </w:rPr>
              <w:t>Magistrates </w:t>
            </w:r>
            <w:r>
              <w:rPr>
                <w:b/>
                <w:color w:val="231F20"/>
                <w:w w:val="110"/>
                <w:sz w:val="15"/>
              </w:rPr>
              <w:t>Court</w:t>
            </w:r>
          </w:p>
          <w:p>
            <w:pPr>
              <w:pStyle w:val="TableParagraph"/>
              <w:spacing w:line="166" w:lineRule="exact"/>
              <w:ind w:left="78"/>
              <w:rPr>
                <w:sz w:val="15"/>
              </w:rPr>
            </w:pPr>
            <w:r>
              <w:rPr>
                <w:color w:val="231F20"/>
                <w:w w:val="110"/>
                <w:sz w:val="15"/>
              </w:rPr>
              <w:t>Data</w:t>
            </w:r>
          </w:p>
          <w:p>
            <w:pPr>
              <w:pStyle w:val="TableParagraph"/>
              <w:spacing w:line="97" w:lineRule="exact"/>
              <w:ind w:left="78"/>
              <w:rPr>
                <w:sz w:val="15"/>
              </w:rPr>
            </w:pPr>
            <w:r>
              <w:rPr>
                <w:color w:val="231F20"/>
                <w:w w:val="110"/>
                <w:sz w:val="15"/>
              </w:rPr>
              <w:t>unavailable</w:t>
            </w:r>
          </w:p>
        </w:tc>
        <w:tc>
          <w:tcPr>
            <w:tcW w:w="1039" w:type="dxa"/>
            <w:tcBorders>
              <w:top w:val="nil"/>
              <w:bottom w:val="nil"/>
            </w:tcBorders>
            <w:shd w:val="clear" w:color="auto" w:fill="F2CDBE"/>
          </w:tcPr>
          <w:p>
            <w:pPr>
              <w:pStyle w:val="TableParagraph"/>
              <w:rPr>
                <w:rFonts w:ascii="Times New Roman"/>
                <w:sz w:val="18"/>
              </w:rPr>
            </w:pPr>
          </w:p>
        </w:tc>
        <w:tc>
          <w:tcPr>
            <w:tcW w:w="1336" w:type="dxa"/>
            <w:vMerge/>
            <w:tcBorders>
              <w:top w:val="nil"/>
            </w:tcBorders>
            <w:shd w:val="clear" w:color="auto" w:fill="D8E3CE"/>
          </w:tcPr>
          <w:p>
            <w:pPr>
              <w:rPr>
                <w:sz w:val="2"/>
                <w:szCs w:val="2"/>
              </w:rPr>
            </w:pPr>
          </w:p>
        </w:tc>
      </w:tr>
      <w:tr>
        <w:trPr>
          <w:trHeight w:val="646" w:hRule="atLeast"/>
        </w:trPr>
        <w:tc>
          <w:tcPr>
            <w:tcW w:w="1393" w:type="dxa"/>
            <w:vMerge/>
            <w:tcBorders>
              <w:top w:val="nil"/>
            </w:tcBorders>
            <w:shd w:val="clear" w:color="auto" w:fill="F2CDBE"/>
          </w:tcPr>
          <w:p>
            <w:pPr>
              <w:rPr>
                <w:sz w:val="2"/>
                <w:szCs w:val="2"/>
              </w:rPr>
            </w:pPr>
          </w:p>
        </w:tc>
        <w:tc>
          <w:tcPr>
            <w:tcW w:w="1266" w:type="dxa"/>
            <w:vMerge/>
            <w:tcBorders>
              <w:top w:val="nil"/>
            </w:tcBorders>
            <w:shd w:val="clear" w:color="auto" w:fill="F2CDBE"/>
          </w:tcPr>
          <w:p>
            <w:pPr>
              <w:rPr>
                <w:sz w:val="2"/>
                <w:szCs w:val="2"/>
              </w:rPr>
            </w:pPr>
          </w:p>
        </w:tc>
        <w:tc>
          <w:tcPr>
            <w:tcW w:w="1134" w:type="dxa"/>
            <w:vMerge/>
            <w:tcBorders>
              <w:top w:val="nil"/>
              <w:right w:val="single" w:sz="6" w:space="0" w:color="808285"/>
            </w:tcBorders>
            <w:shd w:val="clear" w:color="auto" w:fill="F2CDBE"/>
          </w:tcPr>
          <w:p>
            <w:pPr>
              <w:rPr>
                <w:sz w:val="2"/>
                <w:szCs w:val="2"/>
              </w:rPr>
            </w:pPr>
          </w:p>
        </w:tc>
        <w:tc>
          <w:tcPr>
            <w:tcW w:w="1212" w:type="dxa"/>
            <w:tcBorders>
              <w:left w:val="single" w:sz="6" w:space="0" w:color="808285"/>
              <w:right w:val="single" w:sz="6" w:space="0" w:color="808285"/>
            </w:tcBorders>
            <w:shd w:val="clear" w:color="auto" w:fill="F2CDBE"/>
          </w:tcPr>
          <w:p>
            <w:pPr>
              <w:pStyle w:val="TableParagraph"/>
              <w:spacing w:line="223" w:lineRule="auto" w:before="46"/>
              <w:ind w:left="77" w:right="266"/>
              <w:rPr>
                <w:sz w:val="15"/>
              </w:rPr>
            </w:pPr>
            <w:r>
              <w:rPr>
                <w:b/>
                <w:color w:val="231F20"/>
                <w:w w:val="110"/>
                <w:sz w:val="15"/>
              </w:rPr>
              <w:t>District Court </w:t>
            </w:r>
            <w:r>
              <w:rPr>
                <w:color w:val="231F20"/>
                <w:w w:val="110"/>
                <w:sz w:val="15"/>
              </w:rPr>
              <w:t>Data unavailable</w:t>
            </w:r>
          </w:p>
        </w:tc>
        <w:tc>
          <w:tcPr>
            <w:tcW w:w="1112" w:type="dxa"/>
            <w:tcBorders>
              <w:top w:val="nil"/>
              <w:left w:val="single" w:sz="6" w:space="0" w:color="808285"/>
            </w:tcBorders>
            <w:shd w:val="clear" w:color="auto" w:fill="F2CDBE"/>
          </w:tcPr>
          <w:p>
            <w:pPr>
              <w:pStyle w:val="TableParagraph"/>
              <w:rPr>
                <w:rFonts w:ascii="Times New Roman"/>
                <w:sz w:val="18"/>
              </w:rPr>
            </w:pPr>
          </w:p>
        </w:tc>
        <w:tc>
          <w:tcPr>
            <w:tcW w:w="1039" w:type="dxa"/>
            <w:tcBorders>
              <w:top w:val="nil"/>
            </w:tcBorders>
            <w:shd w:val="clear" w:color="auto" w:fill="F2CDBE"/>
          </w:tcPr>
          <w:p>
            <w:pPr>
              <w:pStyle w:val="TableParagraph"/>
              <w:rPr>
                <w:rFonts w:ascii="Times New Roman"/>
                <w:sz w:val="18"/>
              </w:rPr>
            </w:pPr>
          </w:p>
        </w:tc>
        <w:tc>
          <w:tcPr>
            <w:tcW w:w="1336" w:type="dxa"/>
            <w:vMerge/>
            <w:tcBorders>
              <w:top w:val="nil"/>
            </w:tcBorders>
            <w:shd w:val="clear" w:color="auto" w:fill="D8E3CE"/>
          </w:tcPr>
          <w:p>
            <w:pPr>
              <w:rPr>
                <w:sz w:val="2"/>
                <w:szCs w:val="2"/>
              </w:rPr>
            </w:pPr>
          </w:p>
        </w:tc>
      </w:tr>
      <w:tr>
        <w:trPr>
          <w:trHeight w:val="462" w:hRule="atLeast"/>
        </w:trPr>
        <w:tc>
          <w:tcPr>
            <w:tcW w:w="1393" w:type="dxa"/>
            <w:shd w:val="clear" w:color="auto" w:fill="92BAC2"/>
          </w:tcPr>
          <w:p>
            <w:pPr>
              <w:pStyle w:val="TableParagraph"/>
              <w:spacing w:line="223" w:lineRule="auto" w:before="85"/>
              <w:ind w:left="80" w:right="55"/>
              <w:rPr>
                <w:b/>
                <w:sz w:val="15"/>
              </w:rPr>
            </w:pPr>
            <w:r>
              <w:rPr>
                <w:b/>
                <w:color w:val="231F20"/>
                <w:w w:val="110"/>
                <w:sz w:val="15"/>
              </w:rPr>
              <w:t>Papua New Guinea</w:t>
            </w:r>
          </w:p>
        </w:tc>
        <w:tc>
          <w:tcPr>
            <w:tcW w:w="1266" w:type="dxa"/>
            <w:shd w:val="clear" w:color="auto" w:fill="92BAC2"/>
          </w:tcPr>
          <w:p>
            <w:pPr>
              <w:pStyle w:val="TableParagraph"/>
              <w:spacing w:before="75"/>
              <w:ind w:left="80"/>
              <w:rPr>
                <w:b/>
                <w:sz w:val="15"/>
              </w:rPr>
            </w:pPr>
            <w:r>
              <w:rPr>
                <w:b/>
                <w:color w:val="231F20"/>
                <w:w w:val="105"/>
                <w:sz w:val="15"/>
              </w:rPr>
              <w:t>Samoa</w:t>
            </w:r>
          </w:p>
        </w:tc>
        <w:tc>
          <w:tcPr>
            <w:tcW w:w="1134" w:type="dxa"/>
            <w:shd w:val="clear" w:color="auto" w:fill="92BAC2"/>
          </w:tcPr>
          <w:p>
            <w:pPr>
              <w:pStyle w:val="TableParagraph"/>
              <w:spacing w:line="223" w:lineRule="auto" w:before="85"/>
              <w:ind w:left="80" w:right="444"/>
              <w:rPr>
                <w:b/>
                <w:sz w:val="15"/>
              </w:rPr>
            </w:pPr>
            <w:r>
              <w:rPr>
                <w:b/>
                <w:color w:val="231F20"/>
                <w:w w:val="105"/>
                <w:sz w:val="15"/>
              </w:rPr>
              <w:t>Solomon </w:t>
            </w:r>
            <w:r>
              <w:rPr>
                <w:b/>
                <w:color w:val="231F20"/>
                <w:w w:val="110"/>
                <w:sz w:val="15"/>
              </w:rPr>
              <w:t>Islands</w:t>
            </w:r>
          </w:p>
        </w:tc>
        <w:tc>
          <w:tcPr>
            <w:tcW w:w="1212" w:type="dxa"/>
            <w:shd w:val="clear" w:color="auto" w:fill="92BAC2"/>
          </w:tcPr>
          <w:p>
            <w:pPr>
              <w:pStyle w:val="TableParagraph"/>
              <w:spacing w:before="75"/>
              <w:ind w:left="80"/>
              <w:rPr>
                <w:b/>
                <w:sz w:val="15"/>
              </w:rPr>
            </w:pPr>
            <w:r>
              <w:rPr>
                <w:b/>
                <w:color w:val="231F20"/>
                <w:w w:val="110"/>
                <w:sz w:val="15"/>
              </w:rPr>
              <w:t>Tokelau</w:t>
            </w:r>
          </w:p>
        </w:tc>
        <w:tc>
          <w:tcPr>
            <w:tcW w:w="1112" w:type="dxa"/>
            <w:shd w:val="clear" w:color="auto" w:fill="92BAC2"/>
          </w:tcPr>
          <w:p>
            <w:pPr>
              <w:pStyle w:val="TableParagraph"/>
              <w:spacing w:before="75"/>
              <w:ind w:left="80"/>
              <w:rPr>
                <w:b/>
                <w:sz w:val="15"/>
              </w:rPr>
            </w:pPr>
            <w:r>
              <w:rPr>
                <w:b/>
                <w:color w:val="231F20"/>
                <w:w w:val="110"/>
                <w:sz w:val="15"/>
              </w:rPr>
              <w:t>Tonga</w:t>
            </w:r>
          </w:p>
        </w:tc>
        <w:tc>
          <w:tcPr>
            <w:tcW w:w="1039" w:type="dxa"/>
            <w:shd w:val="clear" w:color="auto" w:fill="92BAC2"/>
          </w:tcPr>
          <w:p>
            <w:pPr>
              <w:pStyle w:val="TableParagraph"/>
              <w:spacing w:before="75"/>
              <w:ind w:left="80"/>
              <w:rPr>
                <w:b/>
                <w:sz w:val="15"/>
              </w:rPr>
            </w:pPr>
            <w:r>
              <w:rPr>
                <w:b/>
                <w:color w:val="231F20"/>
                <w:w w:val="110"/>
                <w:sz w:val="15"/>
              </w:rPr>
              <w:t>Tuvalu</w:t>
            </w:r>
          </w:p>
        </w:tc>
        <w:tc>
          <w:tcPr>
            <w:tcW w:w="1336" w:type="dxa"/>
            <w:shd w:val="clear" w:color="auto" w:fill="92BAC2"/>
          </w:tcPr>
          <w:p>
            <w:pPr>
              <w:pStyle w:val="TableParagraph"/>
              <w:spacing w:before="75"/>
              <w:ind w:left="81"/>
              <w:rPr>
                <w:b/>
                <w:sz w:val="15"/>
              </w:rPr>
            </w:pPr>
            <w:r>
              <w:rPr>
                <w:b/>
                <w:color w:val="231F20"/>
                <w:w w:val="105"/>
                <w:sz w:val="15"/>
              </w:rPr>
              <w:t>Vanuatu</w:t>
            </w:r>
          </w:p>
        </w:tc>
      </w:tr>
      <w:tr>
        <w:trPr>
          <w:trHeight w:val="1328" w:hRule="atLeast"/>
        </w:trPr>
        <w:tc>
          <w:tcPr>
            <w:tcW w:w="1393" w:type="dxa"/>
            <w:shd w:val="clear" w:color="auto" w:fill="F2CDBE"/>
          </w:tcPr>
          <w:p>
            <w:pPr>
              <w:pStyle w:val="TableParagraph"/>
              <w:spacing w:line="177" w:lineRule="exact" w:before="75"/>
              <w:ind w:left="80"/>
              <w:rPr>
                <w:b/>
                <w:sz w:val="15"/>
              </w:rPr>
            </w:pPr>
            <w:r>
              <w:rPr>
                <w:b/>
                <w:color w:val="231F20"/>
                <w:w w:val="110"/>
                <w:sz w:val="15"/>
              </w:rPr>
              <w:t>Supreme Court</w:t>
            </w:r>
          </w:p>
          <w:p>
            <w:pPr>
              <w:pStyle w:val="TableParagraph"/>
              <w:spacing w:line="177" w:lineRule="exact"/>
              <w:ind w:left="80"/>
              <w:rPr>
                <w:sz w:val="15"/>
              </w:rPr>
            </w:pPr>
            <w:r>
              <w:rPr>
                <w:color w:val="231F20"/>
                <w:w w:val="110"/>
                <w:sz w:val="15"/>
              </w:rPr>
              <w:t>Data unavailable</w:t>
            </w:r>
          </w:p>
          <w:p>
            <w:pPr>
              <w:pStyle w:val="TableParagraph"/>
              <w:spacing w:line="177" w:lineRule="exact" w:before="43"/>
              <w:ind w:left="80"/>
              <w:rPr>
                <w:b/>
                <w:sz w:val="15"/>
              </w:rPr>
            </w:pPr>
            <w:r>
              <w:rPr>
                <w:b/>
                <w:color w:val="231F20"/>
                <w:w w:val="110"/>
                <w:sz w:val="15"/>
              </w:rPr>
              <w:t>Magistrates Court</w:t>
            </w:r>
          </w:p>
          <w:p>
            <w:pPr>
              <w:pStyle w:val="TableParagraph"/>
              <w:spacing w:line="177" w:lineRule="exact"/>
              <w:ind w:left="80"/>
              <w:rPr>
                <w:sz w:val="15"/>
              </w:rPr>
            </w:pPr>
            <w:r>
              <w:rPr>
                <w:color w:val="231F20"/>
                <w:w w:val="110"/>
                <w:sz w:val="15"/>
              </w:rPr>
              <w:t>Data unavailable</w:t>
            </w:r>
          </w:p>
        </w:tc>
        <w:tc>
          <w:tcPr>
            <w:tcW w:w="1266" w:type="dxa"/>
            <w:shd w:val="clear" w:color="auto" w:fill="F2CDBE"/>
          </w:tcPr>
          <w:p>
            <w:pPr>
              <w:pStyle w:val="TableParagraph"/>
              <w:spacing w:before="74"/>
              <w:ind w:left="80"/>
              <w:rPr>
                <w:sz w:val="15"/>
              </w:rPr>
            </w:pPr>
            <w:r>
              <w:rPr>
                <w:color w:val="231F20"/>
                <w:w w:val="110"/>
                <w:sz w:val="15"/>
              </w:rPr>
              <w:t>Data unavailable</w:t>
            </w:r>
          </w:p>
        </w:tc>
        <w:tc>
          <w:tcPr>
            <w:tcW w:w="1134" w:type="dxa"/>
            <w:shd w:val="clear" w:color="auto" w:fill="F2CDBE"/>
          </w:tcPr>
          <w:p>
            <w:pPr>
              <w:pStyle w:val="TableParagraph"/>
              <w:spacing w:line="223" w:lineRule="auto" w:before="85"/>
              <w:ind w:left="80" w:right="256"/>
              <w:rPr>
                <w:sz w:val="15"/>
              </w:rPr>
            </w:pPr>
            <w:r>
              <w:rPr>
                <w:b/>
                <w:color w:val="231F20"/>
                <w:w w:val="110"/>
                <w:sz w:val="15"/>
              </w:rPr>
              <w:t>High Court </w:t>
            </w:r>
            <w:r>
              <w:rPr>
                <w:color w:val="231F20"/>
                <w:w w:val="110"/>
                <w:sz w:val="15"/>
              </w:rPr>
              <w:t>Data unavailable</w:t>
            </w:r>
          </w:p>
        </w:tc>
        <w:tc>
          <w:tcPr>
            <w:tcW w:w="1212" w:type="dxa"/>
            <w:shd w:val="clear" w:color="auto" w:fill="F2CDBE"/>
          </w:tcPr>
          <w:p>
            <w:pPr>
              <w:pStyle w:val="TableParagraph"/>
              <w:spacing w:line="223" w:lineRule="auto" w:before="84"/>
              <w:ind w:left="80" w:right="59"/>
              <w:rPr>
                <w:sz w:val="15"/>
              </w:rPr>
            </w:pPr>
            <w:r>
              <w:rPr>
                <w:color w:val="231F20"/>
                <w:w w:val="110"/>
                <w:sz w:val="15"/>
              </w:rPr>
              <w:t>Data unavailable</w:t>
            </w:r>
          </w:p>
        </w:tc>
        <w:tc>
          <w:tcPr>
            <w:tcW w:w="1112" w:type="dxa"/>
            <w:shd w:val="clear" w:color="auto" w:fill="F2CDBE"/>
          </w:tcPr>
          <w:p>
            <w:pPr>
              <w:pStyle w:val="TableParagraph"/>
              <w:spacing w:line="223" w:lineRule="auto" w:before="85"/>
              <w:ind w:left="80" w:right="47"/>
              <w:rPr>
                <w:sz w:val="15"/>
              </w:rPr>
            </w:pPr>
            <w:r>
              <w:rPr>
                <w:b/>
                <w:color w:val="231F20"/>
                <w:w w:val="110"/>
                <w:sz w:val="15"/>
              </w:rPr>
              <w:t>Supreme Court </w:t>
            </w:r>
            <w:r>
              <w:rPr>
                <w:color w:val="231F20"/>
                <w:w w:val="110"/>
                <w:sz w:val="15"/>
              </w:rPr>
              <w:t>Data unavailable</w:t>
            </w:r>
          </w:p>
          <w:p>
            <w:pPr>
              <w:pStyle w:val="TableParagraph"/>
              <w:spacing w:line="223" w:lineRule="auto" w:before="55"/>
              <w:ind w:left="80" w:right="226"/>
              <w:jc w:val="both"/>
              <w:rPr>
                <w:sz w:val="15"/>
              </w:rPr>
            </w:pPr>
            <w:r>
              <w:rPr>
                <w:b/>
                <w:color w:val="231F20"/>
                <w:w w:val="105"/>
                <w:sz w:val="15"/>
              </w:rPr>
              <w:t>Magistrates </w:t>
            </w:r>
            <w:r>
              <w:rPr>
                <w:b/>
                <w:color w:val="231F20"/>
                <w:w w:val="110"/>
                <w:sz w:val="15"/>
              </w:rPr>
              <w:t>Court </w:t>
            </w:r>
            <w:r>
              <w:rPr>
                <w:color w:val="231F20"/>
                <w:w w:val="110"/>
                <w:sz w:val="15"/>
              </w:rPr>
              <w:t>Data unavailable</w:t>
            </w:r>
          </w:p>
        </w:tc>
        <w:tc>
          <w:tcPr>
            <w:tcW w:w="1039" w:type="dxa"/>
            <w:shd w:val="clear" w:color="auto" w:fill="F2CDBE"/>
          </w:tcPr>
          <w:p>
            <w:pPr>
              <w:pStyle w:val="TableParagraph"/>
              <w:spacing w:line="223" w:lineRule="auto" w:before="84"/>
              <w:ind w:left="80"/>
              <w:rPr>
                <w:sz w:val="15"/>
              </w:rPr>
            </w:pPr>
            <w:r>
              <w:rPr>
                <w:color w:val="231F20"/>
                <w:w w:val="110"/>
                <w:sz w:val="15"/>
              </w:rPr>
              <w:t>Data unavailable</w:t>
            </w:r>
          </w:p>
        </w:tc>
        <w:tc>
          <w:tcPr>
            <w:tcW w:w="1336" w:type="dxa"/>
            <w:shd w:val="clear" w:color="auto" w:fill="F2CDBE"/>
          </w:tcPr>
          <w:p>
            <w:pPr>
              <w:pStyle w:val="TableParagraph"/>
              <w:spacing w:line="177" w:lineRule="exact" w:before="75"/>
              <w:ind w:left="81"/>
              <w:rPr>
                <w:b/>
                <w:sz w:val="15"/>
              </w:rPr>
            </w:pPr>
            <w:r>
              <w:rPr>
                <w:b/>
                <w:color w:val="231F20"/>
                <w:w w:val="110"/>
                <w:sz w:val="15"/>
              </w:rPr>
              <w:t>Supreme Court</w:t>
            </w:r>
          </w:p>
          <w:p>
            <w:pPr>
              <w:pStyle w:val="TableParagraph"/>
              <w:spacing w:line="177" w:lineRule="exact"/>
              <w:ind w:left="81"/>
              <w:rPr>
                <w:sz w:val="15"/>
              </w:rPr>
            </w:pPr>
            <w:r>
              <w:rPr>
                <w:color w:val="231F20"/>
                <w:w w:val="110"/>
                <w:sz w:val="15"/>
              </w:rPr>
              <w:t>Data unavailable</w:t>
            </w:r>
          </w:p>
          <w:p>
            <w:pPr>
              <w:pStyle w:val="TableParagraph"/>
              <w:spacing w:line="177" w:lineRule="exact" w:before="43"/>
              <w:ind w:left="81"/>
              <w:rPr>
                <w:b/>
                <w:sz w:val="15"/>
              </w:rPr>
            </w:pPr>
            <w:r>
              <w:rPr>
                <w:b/>
                <w:color w:val="231F20"/>
                <w:w w:val="110"/>
                <w:sz w:val="15"/>
              </w:rPr>
              <w:t>Appeal Court</w:t>
            </w:r>
          </w:p>
          <w:p>
            <w:pPr>
              <w:pStyle w:val="TableParagraph"/>
              <w:spacing w:line="177" w:lineRule="exact"/>
              <w:ind w:left="81"/>
              <w:rPr>
                <w:sz w:val="15"/>
              </w:rPr>
            </w:pPr>
            <w:r>
              <w:rPr>
                <w:color w:val="231F20"/>
                <w:w w:val="110"/>
                <w:sz w:val="15"/>
              </w:rPr>
              <w:t>Data unavailable</w:t>
            </w:r>
          </w:p>
          <w:p>
            <w:pPr>
              <w:pStyle w:val="TableParagraph"/>
              <w:spacing w:line="177" w:lineRule="exact" w:before="44"/>
              <w:ind w:left="81"/>
              <w:rPr>
                <w:b/>
                <w:sz w:val="15"/>
              </w:rPr>
            </w:pPr>
            <w:r>
              <w:rPr>
                <w:b/>
                <w:color w:val="231F20"/>
                <w:w w:val="110"/>
                <w:sz w:val="15"/>
              </w:rPr>
              <w:t>Island Court</w:t>
            </w:r>
          </w:p>
          <w:p>
            <w:pPr>
              <w:pStyle w:val="TableParagraph"/>
              <w:spacing w:line="177" w:lineRule="exact"/>
              <w:ind w:left="81"/>
              <w:rPr>
                <w:sz w:val="15"/>
              </w:rPr>
            </w:pPr>
            <w:r>
              <w:rPr>
                <w:color w:val="231F20"/>
                <w:w w:val="110"/>
                <w:sz w:val="15"/>
              </w:rPr>
              <w:t>Data unavailable</w:t>
            </w:r>
          </w:p>
        </w:tc>
      </w:tr>
    </w:tbl>
    <w:p>
      <w:pPr>
        <w:spacing w:after="0" w:line="177" w:lineRule="exact"/>
        <w:rPr>
          <w:sz w:val="15"/>
        </w:rPr>
        <w:sectPr>
          <w:type w:val="continuous"/>
          <w:pgSz w:w="11910" w:h="16840"/>
          <w:pgMar w:top="880" w:bottom="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90336"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23</w:t>
      </w:r>
    </w:p>
    <w:p>
      <w:pPr>
        <w:pStyle w:val="BodyText"/>
        <w:spacing w:before="7"/>
        <w:rPr>
          <w:sz w:val="82"/>
        </w:rPr>
      </w:pPr>
    </w:p>
    <w:p>
      <w:pPr>
        <w:pStyle w:val="BodyText"/>
        <w:ind w:left="1700"/>
      </w:pPr>
      <w:r>
        <w:rPr>
          <w:color w:val="231F20"/>
          <w:w w:val="105"/>
        </w:rPr>
        <w:t>Average duration of a case – Year 7 Trend Data</w:t>
      </w:r>
    </w:p>
    <w:p>
      <w:pPr>
        <w:pStyle w:val="BodyText"/>
        <w:spacing w:before="3"/>
        <w:rPr>
          <w:sz w:val="11"/>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86"/>
        <w:gridCol w:w="1259"/>
        <w:gridCol w:w="1142"/>
        <w:gridCol w:w="1129"/>
        <w:gridCol w:w="1398"/>
        <w:gridCol w:w="1082"/>
        <w:gridCol w:w="1301"/>
      </w:tblGrid>
      <w:tr>
        <w:trPr>
          <w:trHeight w:val="462" w:hRule="atLeast"/>
        </w:trPr>
        <w:tc>
          <w:tcPr>
            <w:tcW w:w="1186" w:type="dxa"/>
            <w:shd w:val="clear" w:color="auto" w:fill="92BAC2"/>
          </w:tcPr>
          <w:p>
            <w:pPr>
              <w:pStyle w:val="TableParagraph"/>
              <w:spacing w:before="75"/>
              <w:ind w:left="80"/>
              <w:rPr>
                <w:b/>
                <w:sz w:val="15"/>
              </w:rPr>
            </w:pPr>
            <w:r>
              <w:rPr>
                <w:b/>
                <w:color w:val="231F20"/>
                <w:w w:val="110"/>
                <w:sz w:val="15"/>
              </w:rPr>
              <w:t>Cook Islands</w:t>
            </w:r>
          </w:p>
        </w:tc>
        <w:tc>
          <w:tcPr>
            <w:tcW w:w="1259" w:type="dxa"/>
            <w:shd w:val="clear" w:color="auto" w:fill="92BAC2"/>
          </w:tcPr>
          <w:p>
            <w:pPr>
              <w:pStyle w:val="TableParagraph"/>
              <w:spacing w:line="223" w:lineRule="auto" w:before="85"/>
              <w:ind w:left="79" w:right="17"/>
              <w:rPr>
                <w:b/>
                <w:sz w:val="15"/>
              </w:rPr>
            </w:pPr>
            <w:r>
              <w:rPr>
                <w:b/>
                <w:color w:val="231F20"/>
                <w:w w:val="105"/>
                <w:sz w:val="15"/>
              </w:rPr>
              <w:t>Federated States of Micronesia</w:t>
            </w:r>
          </w:p>
        </w:tc>
        <w:tc>
          <w:tcPr>
            <w:tcW w:w="1142" w:type="dxa"/>
            <w:shd w:val="clear" w:color="auto" w:fill="92BAC2"/>
          </w:tcPr>
          <w:p>
            <w:pPr>
              <w:pStyle w:val="TableParagraph"/>
              <w:spacing w:before="75"/>
              <w:ind w:left="79"/>
              <w:rPr>
                <w:b/>
                <w:sz w:val="15"/>
              </w:rPr>
            </w:pPr>
            <w:r>
              <w:rPr>
                <w:b/>
                <w:color w:val="231F20"/>
                <w:w w:val="110"/>
                <w:sz w:val="15"/>
              </w:rPr>
              <w:t>Kiribati Islands</w:t>
            </w:r>
          </w:p>
        </w:tc>
        <w:tc>
          <w:tcPr>
            <w:tcW w:w="1129" w:type="dxa"/>
            <w:shd w:val="clear" w:color="auto" w:fill="92BAC2"/>
          </w:tcPr>
          <w:p>
            <w:pPr>
              <w:pStyle w:val="TableParagraph"/>
              <w:spacing w:line="223" w:lineRule="auto" w:before="85"/>
              <w:ind w:left="78" w:right="447"/>
              <w:rPr>
                <w:b/>
                <w:sz w:val="15"/>
              </w:rPr>
            </w:pPr>
            <w:r>
              <w:rPr>
                <w:b/>
                <w:color w:val="231F20"/>
                <w:w w:val="105"/>
                <w:sz w:val="15"/>
              </w:rPr>
              <w:t>Marshall Islands</w:t>
            </w:r>
          </w:p>
        </w:tc>
        <w:tc>
          <w:tcPr>
            <w:tcW w:w="1398" w:type="dxa"/>
            <w:shd w:val="clear" w:color="auto" w:fill="92BAC2"/>
          </w:tcPr>
          <w:p>
            <w:pPr>
              <w:pStyle w:val="TableParagraph"/>
              <w:spacing w:before="75"/>
              <w:ind w:left="77"/>
              <w:rPr>
                <w:b/>
                <w:sz w:val="15"/>
              </w:rPr>
            </w:pPr>
            <w:r>
              <w:rPr>
                <w:b/>
                <w:color w:val="231F20"/>
                <w:w w:val="110"/>
                <w:sz w:val="15"/>
              </w:rPr>
              <w:t>Nauru</w:t>
            </w:r>
          </w:p>
        </w:tc>
        <w:tc>
          <w:tcPr>
            <w:tcW w:w="1082" w:type="dxa"/>
            <w:shd w:val="clear" w:color="auto" w:fill="92BAC2"/>
          </w:tcPr>
          <w:p>
            <w:pPr>
              <w:pStyle w:val="TableParagraph"/>
              <w:spacing w:before="75"/>
              <w:ind w:left="77"/>
              <w:rPr>
                <w:b/>
                <w:sz w:val="15"/>
              </w:rPr>
            </w:pPr>
            <w:r>
              <w:rPr>
                <w:b/>
                <w:color w:val="231F20"/>
                <w:w w:val="110"/>
                <w:sz w:val="15"/>
              </w:rPr>
              <w:t>Niue</w:t>
            </w:r>
          </w:p>
        </w:tc>
        <w:tc>
          <w:tcPr>
            <w:tcW w:w="1301" w:type="dxa"/>
            <w:shd w:val="clear" w:color="auto" w:fill="92BAC2"/>
          </w:tcPr>
          <w:p>
            <w:pPr>
              <w:pStyle w:val="TableParagraph"/>
              <w:spacing w:before="75"/>
              <w:ind w:left="77"/>
              <w:rPr>
                <w:b/>
                <w:sz w:val="15"/>
              </w:rPr>
            </w:pPr>
            <w:r>
              <w:rPr>
                <w:b/>
                <w:color w:val="231F20"/>
                <w:w w:val="105"/>
                <w:sz w:val="15"/>
              </w:rPr>
              <w:t>Palau</w:t>
            </w:r>
          </w:p>
        </w:tc>
      </w:tr>
      <w:tr>
        <w:trPr>
          <w:trHeight w:val="6448" w:hRule="atLeast"/>
        </w:trPr>
        <w:tc>
          <w:tcPr>
            <w:tcW w:w="1186" w:type="dxa"/>
            <w:shd w:val="clear" w:color="auto" w:fill="F2CDBE"/>
          </w:tcPr>
          <w:p>
            <w:pPr>
              <w:pStyle w:val="TableParagraph"/>
              <w:spacing w:line="223" w:lineRule="auto" w:before="84"/>
              <w:ind w:left="80" w:right="33"/>
              <w:rPr>
                <w:sz w:val="15"/>
              </w:rPr>
            </w:pPr>
            <w:r>
              <w:rPr>
                <w:color w:val="231F20"/>
                <w:w w:val="110"/>
                <w:sz w:val="15"/>
              </w:rPr>
              <w:t>Data unavailable</w:t>
            </w:r>
          </w:p>
        </w:tc>
        <w:tc>
          <w:tcPr>
            <w:tcW w:w="1259" w:type="dxa"/>
            <w:shd w:val="clear" w:color="auto" w:fill="D8E3CE"/>
          </w:tcPr>
          <w:p>
            <w:pPr>
              <w:pStyle w:val="TableParagraph"/>
              <w:spacing w:line="223" w:lineRule="auto" w:before="85"/>
              <w:ind w:left="79" w:right="17"/>
              <w:rPr>
                <w:sz w:val="15"/>
              </w:rPr>
            </w:pPr>
            <w:r>
              <w:rPr>
                <w:b/>
                <w:color w:val="231F20"/>
                <w:w w:val="110"/>
                <w:sz w:val="15"/>
              </w:rPr>
              <w:t>Supreme Court of FSM</w:t>
            </w:r>
            <w:r>
              <w:rPr>
                <w:color w:val="231F20"/>
                <w:w w:val="110"/>
                <w:sz w:val="15"/>
              </w:rPr>
              <w:t>:</w:t>
            </w:r>
          </w:p>
          <w:p>
            <w:pPr>
              <w:pStyle w:val="TableParagraph"/>
              <w:spacing w:line="223" w:lineRule="auto" w:before="56"/>
              <w:ind w:left="79" w:right="133"/>
              <w:rPr>
                <w:sz w:val="15"/>
              </w:rPr>
            </w:pPr>
            <w:r>
              <w:rPr>
                <w:color w:val="231F20"/>
                <w:w w:val="110"/>
                <w:sz w:val="15"/>
              </w:rPr>
              <w:t>Criminal Cases: 40 days</w:t>
            </w:r>
          </w:p>
        </w:tc>
        <w:tc>
          <w:tcPr>
            <w:tcW w:w="1142" w:type="dxa"/>
            <w:shd w:val="clear" w:color="auto" w:fill="D8E3CE"/>
          </w:tcPr>
          <w:p>
            <w:pPr>
              <w:pStyle w:val="TableParagraph"/>
              <w:spacing w:line="223" w:lineRule="auto" w:before="85"/>
              <w:ind w:left="79" w:right="340"/>
              <w:rPr>
                <w:sz w:val="15"/>
              </w:rPr>
            </w:pPr>
            <w:r>
              <w:rPr>
                <w:b/>
                <w:color w:val="231F20"/>
                <w:w w:val="110"/>
                <w:sz w:val="15"/>
              </w:rPr>
              <w:t>Court of Appeal </w:t>
            </w:r>
            <w:r>
              <w:rPr>
                <w:color w:val="231F20"/>
                <w:w w:val="110"/>
                <w:sz w:val="15"/>
              </w:rPr>
              <w:t>235 days</w:t>
            </w:r>
          </w:p>
        </w:tc>
        <w:tc>
          <w:tcPr>
            <w:tcW w:w="1129" w:type="dxa"/>
            <w:shd w:val="clear" w:color="auto" w:fill="D8E3CE"/>
          </w:tcPr>
          <w:p>
            <w:pPr>
              <w:pStyle w:val="TableParagraph"/>
              <w:spacing w:line="223" w:lineRule="auto" w:before="85"/>
              <w:ind w:left="78" w:right="427"/>
              <w:rPr>
                <w:sz w:val="15"/>
              </w:rPr>
            </w:pPr>
            <w:r>
              <w:rPr>
                <w:b/>
                <w:color w:val="231F20"/>
                <w:w w:val="105"/>
                <w:sz w:val="15"/>
              </w:rPr>
              <w:t>Supreme </w:t>
            </w:r>
            <w:r>
              <w:rPr>
                <w:b/>
                <w:color w:val="231F20"/>
                <w:w w:val="110"/>
                <w:sz w:val="15"/>
              </w:rPr>
              <w:t>Court</w:t>
            </w:r>
            <w:r>
              <w:rPr>
                <w:color w:val="231F20"/>
                <w:w w:val="110"/>
                <w:sz w:val="15"/>
              </w:rPr>
              <w:t>: 387 days</w:t>
            </w:r>
          </w:p>
          <w:p>
            <w:pPr>
              <w:pStyle w:val="TableParagraph"/>
              <w:spacing w:line="223" w:lineRule="auto" w:before="55"/>
              <w:ind w:left="78" w:right="212"/>
              <w:rPr>
                <w:sz w:val="15"/>
              </w:rPr>
            </w:pPr>
            <w:r>
              <w:rPr>
                <w:b/>
                <w:color w:val="231F20"/>
                <w:w w:val="115"/>
                <w:sz w:val="15"/>
              </w:rPr>
              <w:t>High Court</w:t>
            </w:r>
            <w:r>
              <w:rPr>
                <w:color w:val="231F20"/>
                <w:w w:val="115"/>
                <w:sz w:val="15"/>
              </w:rPr>
              <w:t>: Civil cases 140 days</w:t>
            </w:r>
          </w:p>
          <w:p>
            <w:pPr>
              <w:pStyle w:val="TableParagraph"/>
              <w:spacing w:line="223" w:lineRule="auto" w:before="56"/>
              <w:ind w:left="78" w:right="115"/>
              <w:rPr>
                <w:sz w:val="15"/>
              </w:rPr>
            </w:pPr>
            <w:r>
              <w:rPr>
                <w:color w:val="231F20"/>
                <w:w w:val="105"/>
                <w:sz w:val="15"/>
              </w:rPr>
              <w:t>Probate Cases </w:t>
            </w:r>
            <w:r>
              <w:rPr>
                <w:color w:val="231F20"/>
                <w:w w:val="110"/>
                <w:sz w:val="15"/>
              </w:rPr>
              <w:t>62 days</w:t>
            </w:r>
          </w:p>
          <w:p>
            <w:pPr>
              <w:pStyle w:val="TableParagraph"/>
              <w:spacing w:line="223" w:lineRule="auto" w:before="56"/>
              <w:ind w:left="78" w:right="67"/>
              <w:rPr>
                <w:sz w:val="15"/>
              </w:rPr>
            </w:pPr>
            <w:r>
              <w:rPr>
                <w:color w:val="231F20"/>
                <w:w w:val="110"/>
                <w:sz w:val="15"/>
              </w:rPr>
              <w:t>Criminal cases 203 days</w:t>
            </w:r>
          </w:p>
          <w:p>
            <w:pPr>
              <w:pStyle w:val="TableParagraph"/>
              <w:spacing w:line="223" w:lineRule="auto" w:before="57"/>
              <w:ind w:left="78" w:right="115"/>
              <w:rPr>
                <w:sz w:val="15"/>
              </w:rPr>
            </w:pPr>
            <w:r>
              <w:rPr>
                <w:color w:val="231F20"/>
                <w:w w:val="110"/>
                <w:sz w:val="15"/>
              </w:rPr>
              <w:t>District Court Traffic Cases 55 days</w:t>
            </w:r>
          </w:p>
          <w:p>
            <w:pPr>
              <w:pStyle w:val="TableParagraph"/>
              <w:spacing w:line="223" w:lineRule="auto" w:before="55"/>
              <w:ind w:left="78" w:right="106"/>
              <w:rPr>
                <w:sz w:val="15"/>
              </w:rPr>
            </w:pPr>
            <w:r>
              <w:rPr>
                <w:color w:val="231F20"/>
                <w:w w:val="110"/>
                <w:sz w:val="15"/>
              </w:rPr>
              <w:t>Criminal Cases 30 days</w:t>
            </w:r>
          </w:p>
          <w:p>
            <w:pPr>
              <w:pStyle w:val="TableParagraph"/>
              <w:spacing w:line="223" w:lineRule="auto" w:before="56"/>
              <w:ind w:left="78"/>
              <w:rPr>
                <w:sz w:val="15"/>
              </w:rPr>
            </w:pPr>
            <w:r>
              <w:rPr>
                <w:color w:val="231F20"/>
                <w:w w:val="110"/>
                <w:sz w:val="15"/>
              </w:rPr>
              <w:t>Juvenile Cases 278 days</w:t>
            </w:r>
          </w:p>
          <w:p>
            <w:pPr>
              <w:pStyle w:val="TableParagraph"/>
              <w:spacing w:line="223" w:lineRule="auto" w:before="57"/>
              <w:ind w:left="78" w:right="182"/>
              <w:rPr>
                <w:sz w:val="15"/>
              </w:rPr>
            </w:pPr>
            <w:r>
              <w:rPr>
                <w:color w:val="231F20"/>
                <w:w w:val="110"/>
                <w:sz w:val="15"/>
              </w:rPr>
              <w:t>Small Claims 55 days</w:t>
            </w:r>
          </w:p>
        </w:tc>
        <w:tc>
          <w:tcPr>
            <w:tcW w:w="1398" w:type="dxa"/>
            <w:shd w:val="clear" w:color="auto" w:fill="F2CDBE"/>
          </w:tcPr>
          <w:p>
            <w:pPr>
              <w:pStyle w:val="TableParagraph"/>
              <w:spacing w:before="74"/>
              <w:ind w:left="77"/>
              <w:rPr>
                <w:sz w:val="15"/>
              </w:rPr>
            </w:pPr>
            <w:r>
              <w:rPr>
                <w:color w:val="231F20"/>
                <w:w w:val="110"/>
                <w:sz w:val="15"/>
              </w:rPr>
              <w:t>Data unavailable</w:t>
            </w:r>
          </w:p>
        </w:tc>
        <w:tc>
          <w:tcPr>
            <w:tcW w:w="1082" w:type="dxa"/>
            <w:shd w:val="clear" w:color="auto" w:fill="D8E3CE"/>
          </w:tcPr>
          <w:p>
            <w:pPr>
              <w:pStyle w:val="TableParagraph"/>
              <w:spacing w:line="223" w:lineRule="auto" w:before="85"/>
              <w:ind w:left="77"/>
              <w:rPr>
                <w:sz w:val="15"/>
              </w:rPr>
            </w:pPr>
            <w:r>
              <w:rPr>
                <w:b/>
                <w:color w:val="231F20"/>
                <w:w w:val="115"/>
                <w:sz w:val="15"/>
              </w:rPr>
              <w:t>High Court </w:t>
            </w:r>
            <w:r>
              <w:rPr>
                <w:color w:val="231F20"/>
                <w:w w:val="115"/>
                <w:sz w:val="15"/>
              </w:rPr>
              <w:t>Land Division 439 days</w:t>
            </w:r>
          </w:p>
        </w:tc>
        <w:tc>
          <w:tcPr>
            <w:tcW w:w="1301" w:type="dxa"/>
            <w:shd w:val="clear" w:color="auto" w:fill="D8E3CE"/>
          </w:tcPr>
          <w:p>
            <w:pPr>
              <w:pStyle w:val="TableParagraph"/>
              <w:spacing w:line="223" w:lineRule="auto" w:before="84"/>
              <w:ind w:left="77" w:right="60"/>
              <w:rPr>
                <w:sz w:val="15"/>
              </w:rPr>
            </w:pPr>
            <w:r>
              <w:rPr>
                <w:color w:val="231F20"/>
                <w:w w:val="115"/>
                <w:sz w:val="15"/>
              </w:rPr>
              <w:t>Trial Division – criminal cases 2017 = 260 days</w:t>
            </w:r>
          </w:p>
          <w:p>
            <w:pPr>
              <w:pStyle w:val="TableParagraph"/>
              <w:spacing w:line="177" w:lineRule="exact" w:before="46"/>
              <w:ind w:left="77"/>
              <w:rPr>
                <w:sz w:val="15"/>
              </w:rPr>
            </w:pPr>
            <w:r>
              <w:rPr>
                <w:color w:val="231F20"/>
                <w:w w:val="115"/>
                <w:sz w:val="15"/>
              </w:rPr>
              <w:t>Trial Division</w:t>
            </w:r>
          </w:p>
          <w:p>
            <w:pPr>
              <w:pStyle w:val="TableParagraph"/>
              <w:spacing w:line="223" w:lineRule="auto" w:before="4"/>
              <w:ind w:left="77" w:right="110"/>
              <w:rPr>
                <w:sz w:val="15"/>
              </w:rPr>
            </w:pPr>
            <w:r>
              <w:rPr>
                <w:color w:val="231F20"/>
                <w:w w:val="115"/>
                <w:sz w:val="15"/>
              </w:rPr>
              <w:t>– </w:t>
            </w:r>
            <w:r>
              <w:rPr>
                <w:color w:val="231F20"/>
                <w:spacing w:val="-4"/>
                <w:w w:val="115"/>
                <w:sz w:val="15"/>
              </w:rPr>
              <w:t>civil cases </w:t>
            </w:r>
            <w:r>
              <w:rPr>
                <w:color w:val="231F20"/>
                <w:spacing w:val="-3"/>
                <w:w w:val="115"/>
                <w:sz w:val="15"/>
              </w:rPr>
              <w:t>2017 </w:t>
            </w:r>
            <w:r>
              <w:rPr>
                <w:color w:val="231F20"/>
                <w:w w:val="115"/>
                <w:sz w:val="15"/>
              </w:rPr>
              <w:t>= </w:t>
            </w:r>
            <w:r>
              <w:rPr>
                <w:color w:val="231F20"/>
                <w:spacing w:val="-3"/>
                <w:w w:val="115"/>
                <w:sz w:val="15"/>
              </w:rPr>
              <w:t>393 </w:t>
            </w:r>
            <w:r>
              <w:rPr>
                <w:color w:val="231F20"/>
                <w:spacing w:val="-5"/>
                <w:w w:val="115"/>
                <w:sz w:val="15"/>
              </w:rPr>
              <w:t>days</w:t>
            </w:r>
          </w:p>
          <w:p>
            <w:pPr>
              <w:pStyle w:val="TableParagraph"/>
              <w:spacing w:line="223" w:lineRule="auto" w:before="56"/>
              <w:ind w:left="77" w:right="60"/>
              <w:rPr>
                <w:sz w:val="15"/>
              </w:rPr>
            </w:pPr>
            <w:r>
              <w:rPr>
                <w:color w:val="231F20"/>
                <w:w w:val="115"/>
                <w:sz w:val="15"/>
              </w:rPr>
              <w:t>Trial Division – Juvenile cases 2017 = 340 days</w:t>
            </w:r>
          </w:p>
          <w:p>
            <w:pPr>
              <w:pStyle w:val="TableParagraph"/>
              <w:spacing w:line="177" w:lineRule="exact" w:before="46"/>
              <w:ind w:left="77"/>
              <w:rPr>
                <w:sz w:val="15"/>
              </w:rPr>
            </w:pPr>
            <w:r>
              <w:rPr>
                <w:color w:val="231F20"/>
                <w:w w:val="110"/>
                <w:sz w:val="15"/>
              </w:rPr>
              <w:t>Land Court</w:t>
            </w:r>
          </w:p>
          <w:p>
            <w:pPr>
              <w:pStyle w:val="TableParagraph"/>
              <w:spacing w:line="170" w:lineRule="exact"/>
              <w:ind w:left="77"/>
              <w:rPr>
                <w:sz w:val="15"/>
              </w:rPr>
            </w:pPr>
            <w:r>
              <w:rPr>
                <w:color w:val="231F20"/>
                <w:w w:val="115"/>
                <w:sz w:val="15"/>
              </w:rPr>
              <w:t>- 2017</w:t>
            </w:r>
          </w:p>
          <w:p>
            <w:pPr>
              <w:pStyle w:val="TableParagraph"/>
              <w:spacing w:line="177" w:lineRule="exact"/>
              <w:ind w:left="77"/>
              <w:rPr>
                <w:sz w:val="15"/>
              </w:rPr>
            </w:pPr>
            <w:r>
              <w:rPr>
                <w:color w:val="231F20"/>
                <w:w w:val="115"/>
                <w:sz w:val="15"/>
              </w:rPr>
              <w:t>= 1185 days</w:t>
            </w:r>
          </w:p>
          <w:p>
            <w:pPr>
              <w:pStyle w:val="TableParagraph"/>
              <w:spacing w:line="223" w:lineRule="auto" w:before="53"/>
              <w:ind w:left="77" w:right="110"/>
              <w:rPr>
                <w:sz w:val="15"/>
              </w:rPr>
            </w:pPr>
            <w:r>
              <w:rPr>
                <w:color w:val="231F20"/>
                <w:w w:val="110"/>
                <w:sz w:val="15"/>
              </w:rPr>
              <w:t>Court of Common Pleas</w:t>
            </w:r>
          </w:p>
          <w:p>
            <w:pPr>
              <w:pStyle w:val="TableParagraph"/>
              <w:spacing w:line="223" w:lineRule="auto"/>
              <w:ind w:left="77" w:right="147"/>
              <w:rPr>
                <w:sz w:val="15"/>
              </w:rPr>
            </w:pPr>
            <w:r>
              <w:rPr>
                <w:color w:val="231F20"/>
                <w:w w:val="115"/>
                <w:sz w:val="15"/>
              </w:rPr>
              <w:t>– Small Claims 2017 = 54 days</w:t>
            </w:r>
          </w:p>
          <w:p>
            <w:pPr>
              <w:pStyle w:val="TableParagraph"/>
              <w:spacing w:line="223" w:lineRule="auto" w:before="56"/>
              <w:ind w:left="77" w:right="107"/>
              <w:rPr>
                <w:sz w:val="15"/>
              </w:rPr>
            </w:pPr>
            <w:r>
              <w:rPr>
                <w:color w:val="231F20"/>
                <w:spacing w:val="-4"/>
                <w:w w:val="110"/>
                <w:sz w:val="15"/>
              </w:rPr>
              <w:t>Court of Common Pleas </w:t>
            </w:r>
            <w:r>
              <w:rPr>
                <w:color w:val="231F20"/>
                <w:w w:val="110"/>
                <w:sz w:val="15"/>
              </w:rPr>
              <w:t>– </w:t>
            </w:r>
            <w:r>
              <w:rPr>
                <w:color w:val="231F20"/>
                <w:spacing w:val="-4"/>
                <w:w w:val="110"/>
                <w:sz w:val="15"/>
              </w:rPr>
              <w:t>Civil Action</w:t>
            </w:r>
            <w:r>
              <w:rPr>
                <w:color w:val="231F20"/>
                <w:spacing w:val="10"/>
                <w:w w:val="110"/>
                <w:sz w:val="15"/>
              </w:rPr>
              <w:t> </w:t>
            </w:r>
            <w:r>
              <w:rPr>
                <w:color w:val="231F20"/>
                <w:spacing w:val="-4"/>
                <w:w w:val="110"/>
                <w:sz w:val="15"/>
              </w:rPr>
              <w:t>2017</w:t>
            </w:r>
          </w:p>
          <w:p>
            <w:pPr>
              <w:pStyle w:val="TableParagraph"/>
              <w:spacing w:line="172" w:lineRule="exact"/>
              <w:ind w:left="77"/>
              <w:rPr>
                <w:sz w:val="15"/>
              </w:rPr>
            </w:pPr>
            <w:r>
              <w:rPr>
                <w:color w:val="231F20"/>
                <w:w w:val="115"/>
                <w:sz w:val="15"/>
              </w:rPr>
              <w:t>= 61 days</w:t>
            </w:r>
          </w:p>
          <w:p>
            <w:pPr>
              <w:pStyle w:val="TableParagraph"/>
              <w:spacing w:line="223" w:lineRule="auto" w:before="53"/>
              <w:ind w:left="77" w:right="124"/>
              <w:rPr>
                <w:sz w:val="15"/>
              </w:rPr>
            </w:pPr>
            <w:r>
              <w:rPr>
                <w:color w:val="231F20"/>
                <w:spacing w:val="-4"/>
                <w:w w:val="105"/>
                <w:sz w:val="15"/>
              </w:rPr>
              <w:t>Court  of Common Pleas </w:t>
            </w:r>
            <w:r>
              <w:rPr>
                <w:color w:val="231F20"/>
                <w:w w:val="105"/>
                <w:sz w:val="15"/>
              </w:rPr>
              <w:t>– </w:t>
            </w:r>
            <w:r>
              <w:rPr>
                <w:color w:val="231F20"/>
                <w:spacing w:val="-5"/>
                <w:w w:val="105"/>
                <w:sz w:val="15"/>
              </w:rPr>
              <w:t>Family </w:t>
            </w:r>
            <w:r>
              <w:rPr>
                <w:color w:val="231F20"/>
                <w:spacing w:val="-4"/>
                <w:w w:val="105"/>
                <w:sz w:val="15"/>
              </w:rPr>
              <w:t>Protection </w:t>
            </w:r>
            <w:r>
              <w:rPr>
                <w:color w:val="231F20"/>
                <w:spacing w:val="-3"/>
                <w:w w:val="105"/>
                <w:sz w:val="15"/>
              </w:rPr>
              <w:t>Act </w:t>
            </w:r>
            <w:r>
              <w:rPr>
                <w:color w:val="231F20"/>
                <w:spacing w:val="-4"/>
                <w:w w:val="105"/>
                <w:sz w:val="15"/>
              </w:rPr>
              <w:t>cases </w:t>
            </w:r>
            <w:r>
              <w:rPr>
                <w:color w:val="231F20"/>
                <w:spacing w:val="-3"/>
                <w:w w:val="105"/>
                <w:sz w:val="15"/>
              </w:rPr>
              <w:t>2017 </w:t>
            </w:r>
            <w:r>
              <w:rPr>
                <w:color w:val="231F20"/>
                <w:w w:val="105"/>
                <w:sz w:val="15"/>
              </w:rPr>
              <w:t>= 12</w:t>
            </w:r>
            <w:r>
              <w:rPr>
                <w:color w:val="231F20"/>
                <w:spacing w:val="0"/>
                <w:w w:val="105"/>
                <w:sz w:val="15"/>
              </w:rPr>
              <w:t> </w:t>
            </w:r>
            <w:r>
              <w:rPr>
                <w:color w:val="231F20"/>
                <w:spacing w:val="-5"/>
                <w:w w:val="105"/>
                <w:sz w:val="15"/>
              </w:rPr>
              <w:t>days</w:t>
            </w:r>
          </w:p>
          <w:p>
            <w:pPr>
              <w:pStyle w:val="TableParagraph"/>
              <w:spacing w:line="223" w:lineRule="auto" w:before="56"/>
              <w:ind w:left="77" w:right="110"/>
              <w:rPr>
                <w:sz w:val="15"/>
              </w:rPr>
            </w:pPr>
            <w:r>
              <w:rPr>
                <w:color w:val="231F20"/>
                <w:w w:val="110"/>
                <w:sz w:val="15"/>
              </w:rPr>
              <w:t>Court of Common Pleas</w:t>
            </w:r>
          </w:p>
          <w:p>
            <w:pPr>
              <w:pStyle w:val="TableParagraph"/>
              <w:spacing w:line="223" w:lineRule="auto"/>
              <w:ind w:left="77" w:right="150"/>
              <w:rPr>
                <w:sz w:val="15"/>
              </w:rPr>
            </w:pPr>
            <w:r>
              <w:rPr>
                <w:color w:val="231F20"/>
                <w:w w:val="110"/>
                <w:sz w:val="15"/>
              </w:rPr>
              <w:t>– Citation cases 2017 = 28 days</w:t>
            </w:r>
          </w:p>
          <w:p>
            <w:pPr>
              <w:pStyle w:val="TableParagraph"/>
              <w:spacing w:line="223" w:lineRule="auto" w:before="55"/>
              <w:ind w:left="77" w:right="251"/>
              <w:rPr>
                <w:sz w:val="15"/>
              </w:rPr>
            </w:pPr>
            <w:r>
              <w:rPr>
                <w:color w:val="231F20"/>
                <w:w w:val="110"/>
                <w:sz w:val="15"/>
              </w:rPr>
              <w:t>Appellate Division – civil and criminal appeals =</w:t>
            </w:r>
          </w:p>
          <w:p>
            <w:pPr>
              <w:pStyle w:val="TableParagraph"/>
              <w:spacing w:line="172" w:lineRule="exact"/>
              <w:ind w:left="77"/>
              <w:rPr>
                <w:sz w:val="15"/>
              </w:rPr>
            </w:pPr>
            <w:r>
              <w:rPr>
                <w:color w:val="231F20"/>
                <w:w w:val="110"/>
                <w:sz w:val="15"/>
              </w:rPr>
              <w:t>436 days</w:t>
            </w:r>
          </w:p>
        </w:tc>
      </w:tr>
      <w:tr>
        <w:trPr>
          <w:trHeight w:val="462" w:hRule="atLeast"/>
        </w:trPr>
        <w:tc>
          <w:tcPr>
            <w:tcW w:w="1186" w:type="dxa"/>
            <w:shd w:val="clear" w:color="auto" w:fill="92BAC2"/>
          </w:tcPr>
          <w:p>
            <w:pPr>
              <w:pStyle w:val="TableParagraph"/>
              <w:spacing w:line="223" w:lineRule="auto" w:before="85"/>
              <w:ind w:left="80"/>
              <w:rPr>
                <w:b/>
                <w:sz w:val="15"/>
              </w:rPr>
            </w:pPr>
            <w:r>
              <w:rPr>
                <w:b/>
                <w:color w:val="231F20"/>
                <w:w w:val="110"/>
                <w:sz w:val="15"/>
              </w:rPr>
              <w:t>Papua New Guinea</w:t>
            </w:r>
          </w:p>
        </w:tc>
        <w:tc>
          <w:tcPr>
            <w:tcW w:w="1259" w:type="dxa"/>
            <w:shd w:val="clear" w:color="auto" w:fill="92BAC2"/>
          </w:tcPr>
          <w:p>
            <w:pPr>
              <w:pStyle w:val="TableParagraph"/>
              <w:spacing w:before="75"/>
              <w:ind w:left="79"/>
              <w:rPr>
                <w:b/>
                <w:sz w:val="15"/>
              </w:rPr>
            </w:pPr>
            <w:r>
              <w:rPr>
                <w:b/>
                <w:color w:val="231F20"/>
                <w:w w:val="105"/>
                <w:sz w:val="15"/>
              </w:rPr>
              <w:t>Samoa</w:t>
            </w:r>
          </w:p>
        </w:tc>
        <w:tc>
          <w:tcPr>
            <w:tcW w:w="1142" w:type="dxa"/>
            <w:shd w:val="clear" w:color="auto" w:fill="92BAC2"/>
          </w:tcPr>
          <w:p>
            <w:pPr>
              <w:pStyle w:val="TableParagraph"/>
              <w:spacing w:line="223" w:lineRule="auto" w:before="85"/>
              <w:ind w:left="79" w:right="453"/>
              <w:rPr>
                <w:b/>
                <w:sz w:val="15"/>
              </w:rPr>
            </w:pPr>
            <w:r>
              <w:rPr>
                <w:b/>
                <w:color w:val="231F20"/>
                <w:w w:val="105"/>
                <w:sz w:val="15"/>
              </w:rPr>
              <w:t>Solomon </w:t>
            </w:r>
            <w:r>
              <w:rPr>
                <w:b/>
                <w:color w:val="231F20"/>
                <w:w w:val="110"/>
                <w:sz w:val="15"/>
              </w:rPr>
              <w:t>Islands</w:t>
            </w:r>
          </w:p>
        </w:tc>
        <w:tc>
          <w:tcPr>
            <w:tcW w:w="1129" w:type="dxa"/>
            <w:shd w:val="clear" w:color="auto" w:fill="92BAC2"/>
          </w:tcPr>
          <w:p>
            <w:pPr>
              <w:pStyle w:val="TableParagraph"/>
              <w:spacing w:before="75"/>
              <w:ind w:left="78"/>
              <w:rPr>
                <w:b/>
                <w:sz w:val="15"/>
              </w:rPr>
            </w:pPr>
            <w:r>
              <w:rPr>
                <w:b/>
                <w:color w:val="231F20"/>
                <w:w w:val="110"/>
                <w:sz w:val="15"/>
              </w:rPr>
              <w:t>Tokelau</w:t>
            </w:r>
          </w:p>
        </w:tc>
        <w:tc>
          <w:tcPr>
            <w:tcW w:w="1398" w:type="dxa"/>
            <w:shd w:val="clear" w:color="auto" w:fill="92BAC2"/>
          </w:tcPr>
          <w:p>
            <w:pPr>
              <w:pStyle w:val="TableParagraph"/>
              <w:spacing w:before="75"/>
              <w:ind w:left="77"/>
              <w:rPr>
                <w:b/>
                <w:sz w:val="15"/>
              </w:rPr>
            </w:pPr>
            <w:r>
              <w:rPr>
                <w:b/>
                <w:color w:val="231F20"/>
                <w:w w:val="110"/>
                <w:sz w:val="15"/>
              </w:rPr>
              <w:t>Tonga</w:t>
            </w:r>
          </w:p>
        </w:tc>
        <w:tc>
          <w:tcPr>
            <w:tcW w:w="1082" w:type="dxa"/>
            <w:shd w:val="clear" w:color="auto" w:fill="92BAC2"/>
          </w:tcPr>
          <w:p>
            <w:pPr>
              <w:pStyle w:val="TableParagraph"/>
              <w:spacing w:before="75"/>
              <w:ind w:left="77"/>
              <w:rPr>
                <w:b/>
                <w:sz w:val="15"/>
              </w:rPr>
            </w:pPr>
            <w:r>
              <w:rPr>
                <w:b/>
                <w:color w:val="231F20"/>
                <w:w w:val="110"/>
                <w:sz w:val="15"/>
              </w:rPr>
              <w:t>Tuvalu</w:t>
            </w:r>
          </w:p>
        </w:tc>
        <w:tc>
          <w:tcPr>
            <w:tcW w:w="1301" w:type="dxa"/>
            <w:shd w:val="clear" w:color="auto" w:fill="92BAC2"/>
          </w:tcPr>
          <w:p>
            <w:pPr>
              <w:pStyle w:val="TableParagraph"/>
              <w:spacing w:before="75"/>
              <w:ind w:left="77"/>
              <w:rPr>
                <w:b/>
                <w:sz w:val="15"/>
              </w:rPr>
            </w:pPr>
            <w:r>
              <w:rPr>
                <w:b/>
                <w:color w:val="231F20"/>
                <w:w w:val="105"/>
                <w:sz w:val="15"/>
              </w:rPr>
              <w:t>Vanuatu</w:t>
            </w:r>
          </w:p>
        </w:tc>
      </w:tr>
      <w:tr>
        <w:trPr>
          <w:trHeight w:val="5198" w:hRule="atLeast"/>
        </w:trPr>
        <w:tc>
          <w:tcPr>
            <w:tcW w:w="1186" w:type="dxa"/>
            <w:shd w:val="clear" w:color="auto" w:fill="F2CDBE"/>
          </w:tcPr>
          <w:p>
            <w:pPr>
              <w:pStyle w:val="TableParagraph"/>
              <w:spacing w:line="223" w:lineRule="auto" w:before="84"/>
              <w:ind w:left="80" w:right="33"/>
              <w:rPr>
                <w:sz w:val="15"/>
              </w:rPr>
            </w:pPr>
            <w:r>
              <w:rPr>
                <w:color w:val="231F20"/>
                <w:w w:val="110"/>
                <w:sz w:val="15"/>
              </w:rPr>
              <w:t>Data unavailable</w:t>
            </w:r>
          </w:p>
        </w:tc>
        <w:tc>
          <w:tcPr>
            <w:tcW w:w="1259" w:type="dxa"/>
            <w:shd w:val="clear" w:color="auto" w:fill="F2CDBE"/>
          </w:tcPr>
          <w:p>
            <w:pPr>
              <w:pStyle w:val="TableParagraph"/>
              <w:spacing w:before="74"/>
              <w:ind w:left="79"/>
              <w:rPr>
                <w:sz w:val="15"/>
              </w:rPr>
            </w:pPr>
            <w:r>
              <w:rPr>
                <w:color w:val="231F20"/>
                <w:w w:val="110"/>
                <w:sz w:val="15"/>
              </w:rPr>
              <w:t>Data unavailable</w:t>
            </w:r>
          </w:p>
        </w:tc>
        <w:tc>
          <w:tcPr>
            <w:tcW w:w="1142" w:type="dxa"/>
            <w:shd w:val="clear" w:color="auto" w:fill="D8E3CE"/>
          </w:tcPr>
          <w:p>
            <w:pPr>
              <w:pStyle w:val="TableParagraph"/>
              <w:spacing w:line="223" w:lineRule="auto" w:before="85"/>
              <w:ind w:left="79" w:right="340"/>
              <w:rPr>
                <w:sz w:val="15"/>
              </w:rPr>
            </w:pPr>
            <w:r>
              <w:rPr>
                <w:b/>
                <w:color w:val="231F20"/>
                <w:w w:val="110"/>
                <w:sz w:val="15"/>
              </w:rPr>
              <w:t>Court of Appeal </w:t>
            </w:r>
            <w:r>
              <w:rPr>
                <w:color w:val="231F20"/>
                <w:w w:val="110"/>
                <w:sz w:val="15"/>
              </w:rPr>
              <w:t>129 days</w:t>
            </w:r>
          </w:p>
        </w:tc>
        <w:tc>
          <w:tcPr>
            <w:tcW w:w="1129" w:type="dxa"/>
            <w:shd w:val="clear" w:color="auto" w:fill="D8E3CE"/>
          </w:tcPr>
          <w:p>
            <w:pPr>
              <w:pStyle w:val="TableParagraph"/>
              <w:spacing w:line="220" w:lineRule="atLeast" w:before="37"/>
              <w:ind w:left="78"/>
              <w:rPr>
                <w:sz w:val="15"/>
              </w:rPr>
            </w:pPr>
            <w:r>
              <w:rPr>
                <w:color w:val="231F20"/>
                <w:w w:val="110"/>
                <w:sz w:val="15"/>
              </w:rPr>
              <w:t>Atafu 88 days Nukunonu</w:t>
            </w:r>
          </w:p>
          <w:p>
            <w:pPr>
              <w:pStyle w:val="TableParagraph"/>
              <w:spacing w:line="177" w:lineRule="exact"/>
              <w:ind w:left="78"/>
              <w:rPr>
                <w:sz w:val="15"/>
              </w:rPr>
            </w:pPr>
            <w:r>
              <w:rPr>
                <w:color w:val="231F20"/>
                <w:w w:val="110"/>
                <w:sz w:val="15"/>
              </w:rPr>
              <w:t>4 days</w:t>
            </w:r>
          </w:p>
          <w:p>
            <w:pPr>
              <w:pStyle w:val="TableParagraph"/>
              <w:spacing w:line="223" w:lineRule="auto" w:before="54"/>
              <w:ind w:left="78" w:right="447"/>
              <w:rPr>
                <w:sz w:val="15"/>
              </w:rPr>
            </w:pPr>
            <w:r>
              <w:rPr>
                <w:color w:val="231F20"/>
                <w:w w:val="110"/>
                <w:sz w:val="15"/>
              </w:rPr>
              <w:t>Fakaofo 60 days</w:t>
            </w:r>
          </w:p>
        </w:tc>
        <w:tc>
          <w:tcPr>
            <w:tcW w:w="1398" w:type="dxa"/>
            <w:shd w:val="clear" w:color="auto" w:fill="D8E3CE"/>
          </w:tcPr>
          <w:p>
            <w:pPr>
              <w:pStyle w:val="TableParagraph"/>
              <w:spacing w:line="177" w:lineRule="exact" w:before="75"/>
              <w:ind w:left="77"/>
              <w:rPr>
                <w:b/>
                <w:sz w:val="15"/>
              </w:rPr>
            </w:pPr>
            <w:r>
              <w:rPr>
                <w:b/>
                <w:color w:val="231F20"/>
                <w:w w:val="110"/>
                <w:sz w:val="15"/>
              </w:rPr>
              <w:t>Court of Appeal</w:t>
            </w:r>
          </w:p>
          <w:p>
            <w:pPr>
              <w:pStyle w:val="TableParagraph"/>
              <w:spacing w:line="177" w:lineRule="exact"/>
              <w:ind w:left="77"/>
              <w:rPr>
                <w:sz w:val="15"/>
              </w:rPr>
            </w:pPr>
            <w:r>
              <w:rPr>
                <w:color w:val="231F20"/>
                <w:w w:val="110"/>
                <w:sz w:val="15"/>
              </w:rPr>
              <w:t>110 days</w:t>
            </w:r>
          </w:p>
          <w:p>
            <w:pPr>
              <w:pStyle w:val="TableParagraph"/>
              <w:spacing w:line="223" w:lineRule="auto" w:before="53"/>
              <w:ind w:left="77" w:right="97"/>
              <w:rPr>
                <w:sz w:val="15"/>
              </w:rPr>
            </w:pPr>
            <w:r>
              <w:rPr>
                <w:b/>
                <w:color w:val="231F20"/>
                <w:w w:val="110"/>
                <w:sz w:val="15"/>
              </w:rPr>
              <w:t>Supreme Court </w:t>
            </w:r>
            <w:r>
              <w:rPr>
                <w:color w:val="231F20"/>
                <w:w w:val="110"/>
                <w:sz w:val="15"/>
              </w:rPr>
              <w:t>average of all cases is 198 days, data collected for 10 types of cases by division of the Supreme Court ranging from 95 days for wedlock cases to 390 days for civil cases.</w:t>
            </w:r>
          </w:p>
          <w:p>
            <w:pPr>
              <w:pStyle w:val="TableParagraph"/>
              <w:spacing w:line="223" w:lineRule="auto"/>
              <w:ind w:left="77" w:right="141"/>
              <w:rPr>
                <w:sz w:val="15"/>
              </w:rPr>
            </w:pPr>
            <w:r>
              <w:rPr>
                <w:color w:val="231F20"/>
                <w:spacing w:val="-4"/>
                <w:w w:val="110"/>
                <w:sz w:val="15"/>
              </w:rPr>
              <w:t>The </w:t>
            </w:r>
            <w:r>
              <w:rPr>
                <w:color w:val="231F20"/>
                <w:w w:val="110"/>
                <w:sz w:val="15"/>
              </w:rPr>
              <w:t>Court </w:t>
            </w:r>
            <w:r>
              <w:rPr>
                <w:color w:val="231F20"/>
                <w:spacing w:val="-2"/>
                <w:w w:val="110"/>
                <w:sz w:val="15"/>
              </w:rPr>
              <w:t>met </w:t>
            </w:r>
            <w:r>
              <w:rPr>
                <w:color w:val="231F20"/>
                <w:w w:val="110"/>
                <w:sz w:val="15"/>
              </w:rPr>
              <w:t>the time goals it had set itself in both criminal</w:t>
            </w:r>
            <w:r>
              <w:rPr>
                <w:color w:val="231F20"/>
                <w:spacing w:val="-17"/>
                <w:w w:val="110"/>
                <w:sz w:val="15"/>
              </w:rPr>
              <w:t> </w:t>
            </w:r>
            <w:r>
              <w:rPr>
                <w:color w:val="231F20"/>
                <w:spacing w:val="-2"/>
                <w:w w:val="110"/>
                <w:sz w:val="15"/>
              </w:rPr>
              <w:t>and </w:t>
            </w:r>
            <w:r>
              <w:rPr>
                <w:color w:val="231F20"/>
                <w:spacing w:val="-3"/>
                <w:w w:val="110"/>
                <w:sz w:val="15"/>
              </w:rPr>
              <w:t>civil </w:t>
            </w:r>
            <w:r>
              <w:rPr>
                <w:color w:val="231F20"/>
                <w:w w:val="110"/>
                <w:sz w:val="15"/>
              </w:rPr>
              <w:t>cases. Land Court: 594</w:t>
            </w:r>
            <w:r>
              <w:rPr>
                <w:color w:val="231F20"/>
                <w:spacing w:val="-1"/>
                <w:w w:val="110"/>
                <w:sz w:val="15"/>
              </w:rPr>
              <w:t> </w:t>
            </w:r>
            <w:r>
              <w:rPr>
                <w:color w:val="231F20"/>
                <w:spacing w:val="-3"/>
                <w:w w:val="110"/>
                <w:sz w:val="15"/>
              </w:rPr>
              <w:t>days.</w:t>
            </w:r>
          </w:p>
          <w:p>
            <w:pPr>
              <w:pStyle w:val="TableParagraph"/>
              <w:spacing w:line="223" w:lineRule="auto"/>
              <w:ind w:left="77" w:right="97"/>
              <w:rPr>
                <w:sz w:val="15"/>
              </w:rPr>
            </w:pPr>
            <w:r>
              <w:rPr>
                <w:color w:val="231F20"/>
                <w:w w:val="105"/>
                <w:sz w:val="15"/>
              </w:rPr>
              <w:t>Magistrates Court: </w:t>
            </w:r>
            <w:r>
              <w:rPr>
                <w:color w:val="231F20"/>
                <w:w w:val="110"/>
                <w:sz w:val="15"/>
              </w:rPr>
              <w:t>average duration criminal cases: 38 days, civil cases: 87 days, family</w:t>
            </w:r>
          </w:p>
          <w:p>
            <w:pPr>
              <w:pStyle w:val="TableParagraph"/>
              <w:spacing w:line="165" w:lineRule="exact"/>
              <w:ind w:left="77"/>
              <w:rPr>
                <w:sz w:val="15"/>
              </w:rPr>
            </w:pPr>
            <w:r>
              <w:rPr>
                <w:color w:val="231F20"/>
                <w:w w:val="110"/>
                <w:sz w:val="15"/>
              </w:rPr>
              <w:t>cases: 29 days,</w:t>
            </w:r>
          </w:p>
          <w:p>
            <w:pPr>
              <w:pStyle w:val="TableParagraph"/>
              <w:spacing w:line="223" w:lineRule="auto"/>
              <w:ind w:left="77" w:right="34"/>
              <w:rPr>
                <w:sz w:val="15"/>
              </w:rPr>
            </w:pPr>
            <w:r>
              <w:rPr>
                <w:color w:val="231F20"/>
                <w:w w:val="110"/>
                <w:sz w:val="15"/>
              </w:rPr>
              <w:t>Youth cases: 65 days, infringement case: 46 days.</w:t>
            </w:r>
          </w:p>
        </w:tc>
        <w:tc>
          <w:tcPr>
            <w:tcW w:w="1082" w:type="dxa"/>
            <w:shd w:val="clear" w:color="auto" w:fill="F2CDBE"/>
          </w:tcPr>
          <w:p>
            <w:pPr>
              <w:pStyle w:val="TableParagraph"/>
              <w:spacing w:line="223" w:lineRule="auto" w:before="84"/>
              <w:ind w:left="77"/>
              <w:rPr>
                <w:sz w:val="15"/>
              </w:rPr>
            </w:pPr>
            <w:r>
              <w:rPr>
                <w:color w:val="231F20"/>
                <w:w w:val="110"/>
                <w:sz w:val="15"/>
              </w:rPr>
              <w:t>Data unavailable</w:t>
            </w:r>
          </w:p>
        </w:tc>
        <w:tc>
          <w:tcPr>
            <w:tcW w:w="1301" w:type="dxa"/>
            <w:shd w:val="clear" w:color="auto" w:fill="D8E3CE"/>
          </w:tcPr>
          <w:p>
            <w:pPr>
              <w:pStyle w:val="TableParagraph"/>
              <w:spacing w:line="223" w:lineRule="auto" w:before="85"/>
              <w:ind w:left="77" w:right="107"/>
              <w:rPr>
                <w:sz w:val="15"/>
              </w:rPr>
            </w:pPr>
            <w:r>
              <w:rPr>
                <w:b/>
                <w:color w:val="231F20"/>
                <w:w w:val="110"/>
                <w:sz w:val="15"/>
              </w:rPr>
              <w:t>Court of Appeal </w:t>
            </w:r>
            <w:r>
              <w:rPr>
                <w:color w:val="231F20"/>
                <w:w w:val="110"/>
                <w:sz w:val="15"/>
              </w:rPr>
              <w:t>criminal cases 74</w:t>
            </w:r>
            <w:r>
              <w:rPr>
                <w:color w:val="231F20"/>
                <w:spacing w:val="1"/>
                <w:w w:val="110"/>
                <w:sz w:val="15"/>
              </w:rPr>
              <w:t> </w:t>
            </w:r>
            <w:r>
              <w:rPr>
                <w:color w:val="231F20"/>
                <w:spacing w:val="-4"/>
                <w:w w:val="110"/>
                <w:sz w:val="15"/>
              </w:rPr>
              <w:t>days</w:t>
            </w:r>
          </w:p>
          <w:p>
            <w:pPr>
              <w:pStyle w:val="TableParagraph"/>
              <w:spacing w:line="223" w:lineRule="auto"/>
              <w:ind w:left="77"/>
              <w:rPr>
                <w:sz w:val="15"/>
              </w:rPr>
            </w:pPr>
            <w:r>
              <w:rPr>
                <w:color w:val="231F20"/>
                <w:w w:val="115"/>
                <w:sz w:val="15"/>
              </w:rPr>
              <w:t>civil cases 109 days</w:t>
            </w:r>
          </w:p>
          <w:p>
            <w:pPr>
              <w:pStyle w:val="TableParagraph"/>
              <w:spacing w:line="223" w:lineRule="auto" w:before="55"/>
              <w:ind w:left="77" w:right="60"/>
              <w:rPr>
                <w:sz w:val="15"/>
              </w:rPr>
            </w:pPr>
            <w:r>
              <w:rPr>
                <w:b/>
                <w:color w:val="231F20"/>
                <w:w w:val="110"/>
                <w:sz w:val="15"/>
              </w:rPr>
              <w:t>Supreme Court</w:t>
            </w:r>
            <w:r>
              <w:rPr>
                <w:color w:val="231F20"/>
                <w:w w:val="110"/>
                <w:sz w:val="15"/>
              </w:rPr>
              <w:t>: criminal cases 180 days</w:t>
            </w:r>
          </w:p>
          <w:p>
            <w:pPr>
              <w:pStyle w:val="TableParagraph"/>
              <w:spacing w:line="223" w:lineRule="auto"/>
              <w:ind w:left="77"/>
              <w:rPr>
                <w:sz w:val="15"/>
              </w:rPr>
            </w:pPr>
            <w:r>
              <w:rPr>
                <w:color w:val="231F20"/>
                <w:w w:val="115"/>
                <w:sz w:val="15"/>
              </w:rPr>
              <w:t>civil cases 800 days</w:t>
            </w:r>
          </w:p>
          <w:p>
            <w:pPr>
              <w:pStyle w:val="TableParagraph"/>
              <w:spacing w:line="223" w:lineRule="auto" w:before="55"/>
              <w:ind w:left="77" w:right="147"/>
              <w:rPr>
                <w:sz w:val="15"/>
              </w:rPr>
            </w:pPr>
            <w:r>
              <w:rPr>
                <w:b/>
                <w:color w:val="231F20"/>
                <w:w w:val="105"/>
                <w:sz w:val="15"/>
              </w:rPr>
              <w:t>Magistrates Court</w:t>
            </w:r>
            <w:r>
              <w:rPr>
                <w:color w:val="231F20"/>
                <w:w w:val="105"/>
                <w:sz w:val="15"/>
              </w:rPr>
              <w:t>: 346 days for criminal cases</w:t>
            </w:r>
          </w:p>
          <w:p>
            <w:pPr>
              <w:pStyle w:val="TableParagraph"/>
              <w:spacing w:line="223" w:lineRule="auto"/>
              <w:ind w:left="77"/>
              <w:rPr>
                <w:sz w:val="15"/>
              </w:rPr>
            </w:pPr>
            <w:r>
              <w:rPr>
                <w:color w:val="231F20"/>
                <w:w w:val="115"/>
                <w:sz w:val="15"/>
              </w:rPr>
              <w:t>civil cases 730 days</w:t>
            </w:r>
          </w:p>
        </w:tc>
      </w:tr>
    </w:tbl>
    <w:p>
      <w:pPr>
        <w:spacing w:after="0" w:line="223" w:lineRule="auto"/>
        <w:rPr>
          <w:sz w:val="15"/>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5431">
            <wp:simplePos x="0" y="0"/>
            <wp:positionH relativeFrom="page">
              <wp:posOffset>0</wp:posOffset>
            </wp:positionH>
            <wp:positionV relativeFrom="paragraph">
              <wp:posOffset>373881</wp:posOffset>
            </wp:positionV>
            <wp:extent cx="7559992" cy="143992"/>
            <wp:effectExtent l="0" t="0" r="0" b="0"/>
            <wp:wrapNone/>
            <wp:docPr id="37" name="image39.png" descr=""/>
            <wp:cNvGraphicFramePr>
              <a:graphicFrameLocks noChangeAspect="1"/>
            </wp:cNvGraphicFramePr>
            <a:graphic>
              <a:graphicData uri="http://schemas.openxmlformats.org/drawingml/2006/picture">
                <pic:pic>
                  <pic:nvPicPr>
                    <pic:cNvPr id="38"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24</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8"/>
        <w:rPr>
          <w:b/>
          <w:sz w:val="19"/>
        </w:rPr>
      </w:pPr>
    </w:p>
    <w:p>
      <w:pPr>
        <w:pStyle w:val="Heading5"/>
        <w:spacing w:before="90"/>
      </w:pPr>
      <w:r>
        <w:rPr/>
        <w:pict>
          <v:shape style="position:absolute;margin-left:85.039001pt;margin-top:27.820965pt;width:425.2pt;height:56.55pt;mso-position-horizontal-relative:page;mso-position-vertical-relative:paragraph;z-index:9304;mso-wrap-distance-left:0;mso-wrap-distance-right:0" type="#_x0000_t202" filled="true" fillcolor="#dcdbca" stroked="false">
            <v:textbox inset="0,0,0,0">
              <w:txbxContent>
                <w:p>
                  <w:pPr>
                    <w:pStyle w:val="BodyText"/>
                    <w:spacing w:line="252" w:lineRule="auto" w:before="135"/>
                    <w:ind w:left="56" w:right="54"/>
                    <w:jc w:val="both"/>
                  </w:pPr>
                  <w:r>
                    <w:rPr>
                      <w:color w:val="231F20"/>
                      <w:w w:val="105"/>
                    </w:rPr>
                    <w:t>The result against this indicator is obtained by dividing the number of cases appealed to a higher court by the number of cases finalised in the level of court jurisdiction from which the appeal is made.</w:t>
                  </w:r>
                </w:p>
              </w:txbxContent>
            </v:textbox>
            <v:fill type="solid"/>
            <w10:wrap type="topAndBottom"/>
          </v:shape>
        </w:pict>
      </w:r>
      <w:r>
        <w:rPr/>
        <w:pict>
          <v:line style="position:absolute;mso-position-horizontal-relative:page;mso-position-vertical-relative:paragraph;z-index:9616" from="85.039398pt,27.320965pt" to="510.236398pt,27.320965pt" stroked="true" strokeweight="1pt" strokecolor="#0f6161">
            <v:stroke dashstyle="solid"/>
            <w10:wrap type="none"/>
          </v:line>
        </w:pict>
      </w:r>
      <w:r>
        <w:rPr/>
        <w:pict>
          <v:shape style="position:absolute;margin-left:85.039001pt;margin-top:2.163064pt;width:93.55pt;height:24.7pt;mso-position-horizontal-relative:page;mso-position-vertical-relative:paragraph;z-index:9640" type="#_x0000_t202" filled="true" fillcolor="#7d8440" stroked="false">
            <v:textbox inset="0,0,0,0">
              <w:txbxContent>
                <w:p>
                  <w:pPr>
                    <w:spacing w:before="46"/>
                    <w:ind w:left="56" w:right="0" w:firstLine="0"/>
                    <w:jc w:val="left"/>
                    <w:rPr>
                      <w:b/>
                      <w:sz w:val="32"/>
                    </w:rPr>
                  </w:pPr>
                  <w:r>
                    <w:rPr>
                      <w:b/>
                      <w:color w:val="FFFFFF"/>
                      <w:w w:val="110"/>
                      <w:sz w:val="32"/>
                    </w:rPr>
                    <w:t>Indicator 3</w:t>
                  </w:r>
                </w:p>
              </w:txbxContent>
            </v:textbox>
            <v:fill type="solid"/>
            <w10:wrap type="none"/>
          </v:shape>
        </w:pict>
      </w:r>
      <w:r>
        <w:rPr>
          <w:color w:val="0F6161"/>
          <w:w w:val="105"/>
        </w:rPr>
        <w:t>Percentage of Appeals</w:t>
      </w:r>
    </w:p>
    <w:p>
      <w:pPr>
        <w:spacing w:before="145" w:after="4"/>
        <w:ind w:left="1700" w:right="0" w:firstLine="0"/>
        <w:jc w:val="left"/>
        <w:rPr>
          <w:sz w:val="40"/>
        </w:rPr>
      </w:pPr>
      <w:r>
        <w:rPr>
          <w:color w:val="0F6161"/>
          <w:w w:val="105"/>
          <w:sz w:val="40"/>
        </w:rPr>
        <w:t>What has changed?</w:t>
      </w:r>
    </w:p>
    <w:p>
      <w:pPr>
        <w:tabs>
          <w:tab w:pos="3571" w:val="left" w:leader="none"/>
          <w:tab w:pos="5896" w:val="left" w:leader="none"/>
          <w:tab w:pos="8163" w:val="left" w:leader="none"/>
        </w:tabs>
        <w:spacing w:line="240" w:lineRule="auto"/>
        <w:ind w:left="1700" w:right="0" w:firstLine="0"/>
        <w:rPr>
          <w:sz w:val="20"/>
        </w:rPr>
      </w:pPr>
      <w:r>
        <w:rPr>
          <w:position w:val="146"/>
          <w:sz w:val="20"/>
        </w:rPr>
        <w:pict>
          <v:group style="width:79.4pt;height:22.7pt;mso-position-horizontal-relative:char;mso-position-vertical-relative:line" coordorigin="0,0" coordsize="1588,454">
            <v:shape style="position:absolute;left:0;top:0;width:1588;height:454" coordorigin="0,0" coordsize="1588,454" path="m1387,0l0,0,0,454,1387,454,1503,450,1562,429,1584,369,1587,254,1587,200,1584,84,1562,25,1503,3,1387,0xe" filled="true" fillcolor="#7d8440" stroked="false">
              <v:path arrowok="t"/>
              <v:fill type="solid"/>
            </v:shape>
            <v:shape style="position:absolute;left:0;top:0;width:1588;height:454" type="#_x0000_t202" filled="false" stroked="false">
              <v:textbox inset="0,0,0,0">
                <w:txbxContent>
                  <w:p>
                    <w:pPr>
                      <w:spacing w:before="23"/>
                      <w:ind w:left="56" w:right="0" w:firstLine="0"/>
                      <w:jc w:val="left"/>
                      <w:rPr>
                        <w:sz w:val="32"/>
                      </w:rPr>
                    </w:pPr>
                    <w:r>
                      <w:rPr>
                        <w:color w:val="FFFFFF"/>
                        <w:w w:val="110"/>
                        <w:sz w:val="32"/>
                      </w:rPr>
                      <w:t>Change 1</w:t>
                    </w:r>
                  </w:p>
                </w:txbxContent>
              </v:textbox>
              <w10:wrap type="none"/>
            </v:shape>
          </v:group>
        </w:pict>
      </w:r>
      <w:r>
        <w:rPr>
          <w:position w:val="146"/>
          <w:sz w:val="20"/>
        </w:rPr>
      </w:r>
      <w:r>
        <w:rPr>
          <w:position w:val="146"/>
          <w:sz w:val="20"/>
        </w:rPr>
        <w:tab/>
      </w:r>
      <w:r>
        <w:rPr>
          <w:sz w:val="20"/>
        </w:rPr>
        <w:pict>
          <v:group style="width:102.05pt;height:96.4pt;mso-position-horizontal-relative:char;mso-position-vertical-relative:line" coordorigin="0,0" coordsize="2041,1928">
            <v:shape style="position:absolute;left:0;top:0;width:2041;height:1928" coordorigin="0,0" coordsize="2041,1928" path="m1928,0l113,0,48,2,14,14,2,48,0,113,0,1814,2,1880,14,1913,48,1926,113,1928,1928,1928,1993,1926,2027,1913,2039,1880,2041,1814,2041,113,2039,48,2027,14,1993,2,1928,0xe" filled="true" fillcolor="#007dbb" stroked="false">
              <v:path arrowok="t"/>
              <v:fill type="solid"/>
            </v:shape>
            <v:shape style="position:absolute;left:165;top:392;width:1683;height:1144" type="#_x0000_t75" stroked="false">
              <v:imagedata r:id="rId39" o:title=""/>
            </v:shape>
          </v:group>
        </w:pict>
      </w:r>
      <w:r>
        <w:rPr>
          <w:sz w:val="20"/>
        </w:rPr>
      </w:r>
      <w:r>
        <w:rPr>
          <w:sz w:val="20"/>
        </w:rPr>
        <w:tab/>
      </w:r>
      <w:r>
        <w:rPr>
          <w:sz w:val="20"/>
        </w:rPr>
        <w:pict>
          <v:group style="width:102.05pt;height:107.75pt;mso-position-horizontal-relative:char;mso-position-vertical-relative:line" coordorigin="0,0" coordsize="2041,2155">
            <v:shape style="position:absolute;left:0;top:226;width:2041;height:1928" coordorigin="0,227" coordsize="2041,1928" path="m1928,227l113,227,48,229,14,241,2,275,0,340,0,2041,2,2106,14,2140,48,2153,113,2154,1928,2154,1993,2153,2027,2140,2039,2106,2041,2041,2041,340,2039,275,2027,241,1993,229,1928,227xe" filled="true" fillcolor="#f7941d" stroked="false">
              <v:path arrowok="t"/>
              <v:fill type="solid"/>
            </v:shape>
            <v:shape style="position:absolute;left:0;top:0;width:2041;height:2155" type="#_x0000_t202" filled="false" stroked="false">
              <v:textbox inset="0,0,0,0">
                <w:txbxContent>
                  <w:p>
                    <w:pPr>
                      <w:spacing w:before="78"/>
                      <w:ind w:left="222" w:right="0" w:firstLine="0"/>
                      <w:jc w:val="left"/>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b w:val="0"/>
                        <w:color w:val="FFFFFF"/>
                        <w:spacing w:val="-824"/>
                        <w:position w:val="33"/>
                        <w:sz w:val="130"/>
                      </w:rPr>
                      <w:t>8</w:t>
                    </w:r>
                    <w:r>
                      <w:rPr>
                        <w:rFonts w:ascii="Arial"/>
                        <w:b/>
                        <w:color w:val="FFFFFF"/>
                        <w:spacing w:val="-3"/>
                        <w:w w:val="93"/>
                        <w:sz w:val="21"/>
                      </w:rPr>
                      <w:t>r</w:t>
                    </w:r>
                    <w:r>
                      <w:rPr>
                        <w:rFonts w:ascii="Arial"/>
                        <w:b/>
                        <w:color w:val="FFFFFF"/>
                        <w:w w:val="88"/>
                        <w:sz w:val="21"/>
                      </w:rPr>
                      <w:t>ts</w:t>
                    </w:r>
                    <w:r>
                      <w:rPr>
                        <w:rFonts w:ascii="Arial"/>
                        <w:b/>
                        <w:color w:val="FFFFFF"/>
                        <w:spacing w:val="-6"/>
                        <w:sz w:val="21"/>
                      </w:rPr>
                      <w:t> </w:t>
                    </w:r>
                    <w:r>
                      <w:rPr>
                        <w:rFonts w:ascii="Arial"/>
                        <w:b/>
                        <w:color w:val="FFFFFF"/>
                        <w:spacing w:val="-4"/>
                        <w:w w:val="93"/>
                        <w:sz w:val="21"/>
                      </w:rPr>
                      <w:t>r</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69"/>
                      <w:ind w:left="205" w:right="203" w:firstLine="0"/>
                      <w:jc w:val="center"/>
                      <w:rPr>
                        <w:rFonts w:ascii="Arial"/>
                        <w:b/>
                        <w:sz w:val="14"/>
                      </w:rPr>
                    </w:pPr>
                    <w:r>
                      <w:rPr>
                        <w:rFonts w:ascii="Arial"/>
                        <w:b/>
                        <w:color w:val="FFFFFF"/>
                        <w:sz w:val="14"/>
                      </w:rPr>
                      <w:t>YEAR 1 BASELINE TREND DATA</w:t>
                    </w:r>
                  </w:p>
                </w:txbxContent>
              </v:textbox>
              <w10:wrap type="none"/>
            </v:shape>
          </v:group>
        </w:pict>
      </w:r>
      <w:r>
        <w:rPr>
          <w:sz w:val="20"/>
        </w:rPr>
      </w:r>
      <w:r>
        <w:rPr>
          <w:sz w:val="20"/>
        </w:rPr>
        <w:tab/>
      </w:r>
      <w:r>
        <w:rPr>
          <w:sz w:val="20"/>
        </w:rPr>
        <w:pict>
          <v:group style="width:102.05pt;height:107.75pt;mso-position-horizontal-relative:char;mso-position-vertical-relative:line" coordorigin="0,0" coordsize="2041,2155">
            <v:shape style="position:absolute;left:0;top:226;width:2041;height:1928" coordorigin="0,227" coordsize="2041,1928" path="m1928,227l113,227,48,229,14,241,2,275,0,340,0,2041,2,2106,14,2140,48,2153,113,2154,1928,2154,1993,2153,2027,2140,2039,2106,2041,2041,2041,340,2039,275,2027,241,1993,229,1928,227xe" filled="true" fillcolor="#5b9f42" stroked="false">
              <v:path arrowok="t"/>
              <v:fill type="solid"/>
            </v:shape>
            <v:shape style="position:absolute;left:0;top:0;width:2041;height:2155" type="#_x0000_t202" filled="false" stroked="false">
              <v:textbox inset="0,0,0,0">
                <w:txbxContent>
                  <w:p>
                    <w:pPr>
                      <w:spacing w:before="78"/>
                      <w:ind w:left="203" w:right="203" w:firstLine="0"/>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b w:val="0"/>
                        <w:color w:val="FFFFFF"/>
                        <w:spacing w:val="-824"/>
                        <w:position w:val="33"/>
                        <w:sz w:val="130"/>
                      </w:rPr>
                      <w:t>9</w:t>
                    </w:r>
                    <w:r>
                      <w:rPr>
                        <w:rFonts w:ascii="Arial"/>
                        <w:b/>
                        <w:color w:val="FFFFFF"/>
                        <w:spacing w:val="-3"/>
                        <w:w w:val="93"/>
                        <w:sz w:val="21"/>
                      </w:rPr>
                      <w:t>r</w:t>
                    </w:r>
                    <w:r>
                      <w:rPr>
                        <w:rFonts w:ascii="Arial"/>
                        <w:b/>
                        <w:color w:val="FFFFFF"/>
                        <w:w w:val="88"/>
                        <w:sz w:val="21"/>
                      </w:rPr>
                      <w:t>ts</w:t>
                    </w:r>
                    <w:r>
                      <w:rPr>
                        <w:rFonts w:ascii="Arial"/>
                        <w:b/>
                        <w:color w:val="FFFFFF"/>
                        <w:spacing w:val="-6"/>
                        <w:sz w:val="21"/>
                      </w:rPr>
                      <w:t> </w:t>
                    </w:r>
                    <w:r>
                      <w:rPr>
                        <w:rFonts w:ascii="Arial"/>
                        <w:b/>
                        <w:color w:val="FFFFFF"/>
                        <w:spacing w:val="-4"/>
                        <w:w w:val="93"/>
                        <w:sz w:val="21"/>
                      </w:rPr>
                      <w:t>r</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211"/>
                      <w:ind w:left="205" w:right="203" w:firstLine="0"/>
                      <w:jc w:val="center"/>
                      <w:rPr>
                        <w:rFonts w:ascii="Arial"/>
                        <w:b/>
                        <w:sz w:val="14"/>
                      </w:rPr>
                    </w:pPr>
                    <w:r>
                      <w:rPr>
                        <w:rFonts w:ascii="Arial"/>
                        <w:b/>
                        <w:color w:val="FFFFFF"/>
                        <w:sz w:val="14"/>
                      </w:rPr>
                      <w:t>YEAR 7 TREND DATA</w:t>
                    </w:r>
                  </w:p>
                </w:txbxContent>
              </v:textbox>
              <w10:wrap type="none"/>
            </v:shape>
          </v:group>
        </w:pict>
      </w:r>
      <w:r>
        <w:rPr>
          <w:sz w:val="20"/>
        </w:rPr>
      </w:r>
    </w:p>
    <w:p>
      <w:pPr>
        <w:pStyle w:val="BodyText"/>
        <w:spacing w:before="9"/>
        <w:rPr>
          <w:sz w:val="28"/>
        </w:rPr>
      </w:pPr>
    </w:p>
    <w:p>
      <w:pPr>
        <w:spacing w:line="252" w:lineRule="auto" w:before="94"/>
        <w:ind w:left="1700" w:right="911" w:firstLine="0"/>
        <w:jc w:val="left"/>
        <w:rPr>
          <w:sz w:val="21"/>
        </w:rPr>
      </w:pPr>
      <w:r>
        <w:rPr>
          <w:b/>
          <w:color w:val="231F20"/>
          <w:spacing w:val="-6"/>
          <w:w w:val="105"/>
          <w:sz w:val="21"/>
        </w:rPr>
        <w:t>Year</w:t>
      </w:r>
      <w:r>
        <w:rPr>
          <w:b/>
          <w:color w:val="231F20"/>
          <w:spacing w:val="-10"/>
          <w:w w:val="105"/>
          <w:sz w:val="21"/>
        </w:rPr>
        <w:t> </w:t>
      </w:r>
      <w:r>
        <w:rPr>
          <w:b/>
          <w:color w:val="231F20"/>
          <w:w w:val="105"/>
          <w:sz w:val="21"/>
        </w:rPr>
        <w:t>1</w:t>
      </w:r>
      <w:r>
        <w:rPr>
          <w:b/>
          <w:color w:val="231F20"/>
          <w:spacing w:val="-10"/>
          <w:w w:val="105"/>
          <w:sz w:val="21"/>
        </w:rPr>
        <w:t> </w:t>
      </w:r>
      <w:r>
        <w:rPr>
          <w:b/>
          <w:color w:val="231F20"/>
          <w:w w:val="105"/>
          <w:sz w:val="21"/>
        </w:rPr>
        <w:t>baseline</w:t>
      </w:r>
      <w:r>
        <w:rPr>
          <w:b/>
          <w:color w:val="231F20"/>
          <w:spacing w:val="-10"/>
          <w:w w:val="105"/>
          <w:sz w:val="21"/>
        </w:rPr>
        <w:t> </w:t>
      </w:r>
      <w:r>
        <w:rPr>
          <w:b/>
          <w:color w:val="231F20"/>
          <w:w w:val="105"/>
          <w:sz w:val="21"/>
        </w:rPr>
        <w:t>trend</w:t>
      </w:r>
      <w:r>
        <w:rPr>
          <w:b/>
          <w:color w:val="231F20"/>
          <w:spacing w:val="-10"/>
          <w:w w:val="105"/>
          <w:sz w:val="21"/>
        </w:rPr>
        <w:t> </w:t>
      </w:r>
      <w:r>
        <w:rPr>
          <w:b/>
          <w:color w:val="231F20"/>
          <w:w w:val="105"/>
          <w:sz w:val="21"/>
        </w:rPr>
        <w:t>data</w:t>
      </w:r>
      <w:r>
        <w:rPr>
          <w:color w:val="231F20"/>
          <w:w w:val="105"/>
          <w:sz w:val="21"/>
        </w:rPr>
        <w:t>:</w:t>
      </w:r>
      <w:r>
        <w:rPr>
          <w:color w:val="231F20"/>
          <w:spacing w:val="-10"/>
          <w:w w:val="105"/>
          <w:sz w:val="21"/>
        </w:rPr>
        <w:t> </w:t>
      </w:r>
      <w:r>
        <w:rPr>
          <w:color w:val="231F20"/>
          <w:w w:val="105"/>
          <w:sz w:val="21"/>
        </w:rPr>
        <w:t>8</w:t>
      </w:r>
      <w:r>
        <w:rPr>
          <w:color w:val="231F20"/>
          <w:spacing w:val="-10"/>
          <w:w w:val="105"/>
          <w:sz w:val="21"/>
        </w:rPr>
        <w:t> </w:t>
      </w:r>
      <w:r>
        <w:rPr>
          <w:color w:val="231F20"/>
          <w:w w:val="105"/>
          <w:sz w:val="21"/>
        </w:rPr>
        <w:t>courts</w:t>
      </w:r>
      <w:r>
        <w:rPr>
          <w:color w:val="231F20"/>
          <w:spacing w:val="-10"/>
          <w:w w:val="105"/>
          <w:sz w:val="21"/>
        </w:rPr>
        <w:t> </w:t>
      </w:r>
      <w:r>
        <w:rPr>
          <w:color w:val="231F20"/>
          <w:w w:val="105"/>
          <w:sz w:val="21"/>
        </w:rPr>
        <w:t>could</w:t>
      </w:r>
      <w:r>
        <w:rPr>
          <w:color w:val="231F20"/>
          <w:spacing w:val="-10"/>
          <w:w w:val="105"/>
          <w:sz w:val="21"/>
        </w:rPr>
        <w:t> </w:t>
      </w:r>
      <w:r>
        <w:rPr>
          <w:color w:val="231F20"/>
          <w:w w:val="105"/>
          <w:sz w:val="21"/>
        </w:rPr>
        <w:t>calculate</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percentage</w:t>
      </w:r>
      <w:r>
        <w:rPr>
          <w:color w:val="231F20"/>
          <w:spacing w:val="-10"/>
          <w:w w:val="105"/>
          <w:sz w:val="21"/>
        </w:rPr>
        <w:t> </w:t>
      </w:r>
      <w:r>
        <w:rPr>
          <w:color w:val="231F20"/>
          <w:w w:val="105"/>
          <w:sz w:val="21"/>
        </w:rPr>
        <w:t>of</w:t>
      </w:r>
      <w:r>
        <w:rPr>
          <w:color w:val="231F20"/>
          <w:spacing w:val="-10"/>
          <w:w w:val="105"/>
          <w:sz w:val="21"/>
        </w:rPr>
        <w:t> </w:t>
      </w:r>
      <w:r>
        <w:rPr>
          <w:color w:val="231F20"/>
          <w:w w:val="105"/>
          <w:sz w:val="21"/>
        </w:rPr>
        <w:t>appeals</w:t>
      </w:r>
      <w:r>
        <w:rPr>
          <w:color w:val="231F20"/>
          <w:spacing w:val="-10"/>
          <w:w w:val="105"/>
          <w:sz w:val="21"/>
        </w:rPr>
        <w:t> </w:t>
      </w:r>
      <w:r>
        <w:rPr>
          <w:color w:val="231F20"/>
          <w:w w:val="105"/>
          <w:sz w:val="21"/>
        </w:rPr>
        <w:t>from</w:t>
      </w:r>
      <w:r>
        <w:rPr>
          <w:color w:val="231F20"/>
          <w:spacing w:val="-10"/>
          <w:w w:val="105"/>
          <w:sz w:val="21"/>
        </w:rPr>
        <w:t> </w:t>
      </w:r>
      <w:r>
        <w:rPr>
          <w:color w:val="231F20"/>
          <w:w w:val="105"/>
          <w:sz w:val="21"/>
        </w:rPr>
        <w:t>one</w:t>
      </w:r>
      <w:r>
        <w:rPr>
          <w:color w:val="231F20"/>
          <w:spacing w:val="-10"/>
          <w:w w:val="105"/>
          <w:sz w:val="21"/>
        </w:rPr>
        <w:t> </w:t>
      </w:r>
      <w:r>
        <w:rPr>
          <w:color w:val="231F20"/>
          <w:w w:val="105"/>
          <w:sz w:val="21"/>
        </w:rPr>
        <w:t>or</w:t>
      </w:r>
      <w:r>
        <w:rPr>
          <w:color w:val="231F20"/>
          <w:spacing w:val="-10"/>
          <w:w w:val="105"/>
          <w:sz w:val="21"/>
        </w:rPr>
        <w:t> </w:t>
      </w:r>
      <w:r>
        <w:rPr>
          <w:color w:val="231F20"/>
          <w:w w:val="105"/>
          <w:sz w:val="21"/>
        </w:rPr>
        <w:t>more jurisdictions.</w:t>
      </w:r>
    </w:p>
    <w:p>
      <w:pPr>
        <w:pStyle w:val="BodyText"/>
        <w:spacing w:line="252" w:lineRule="auto" w:before="115"/>
        <w:ind w:left="1700" w:right="1501"/>
      </w:pPr>
      <w:r>
        <w:rPr>
          <w:b/>
          <w:color w:val="231F20"/>
          <w:w w:val="105"/>
        </w:rPr>
        <w:t>Year 4 trend data</w:t>
      </w:r>
      <w:r>
        <w:rPr>
          <w:color w:val="231F20"/>
          <w:w w:val="105"/>
        </w:rPr>
        <w:t>: 12 courts could calculate the percentage of appeals from one or more jurisdictions.</w:t>
      </w:r>
    </w:p>
    <w:p>
      <w:pPr>
        <w:pStyle w:val="BodyText"/>
        <w:spacing w:line="252" w:lineRule="auto" w:before="115"/>
        <w:ind w:left="1700" w:right="1501"/>
      </w:pPr>
      <w:r>
        <w:rPr>
          <w:b/>
          <w:color w:val="231F20"/>
          <w:w w:val="105"/>
        </w:rPr>
        <w:t>Year 7 trend data</w:t>
      </w:r>
      <w:r>
        <w:rPr>
          <w:color w:val="231F20"/>
          <w:w w:val="105"/>
        </w:rPr>
        <w:t>: 9 courts could calculate the percentage of appeals from one or more  jurisdictions.</w:t>
      </w:r>
    </w:p>
    <w:p>
      <w:pPr>
        <w:pStyle w:val="BodyText"/>
        <w:spacing w:before="1"/>
        <w:rPr>
          <w:sz w:val="26"/>
        </w:rPr>
      </w:pPr>
      <w:r>
        <w:rPr/>
        <w:pict>
          <v:group style="position:absolute;margin-left:85.039398pt;margin-top:17.914444pt;width:79.4pt;height:22.7pt;mso-position-horizontal-relative:page;mso-position-vertical-relative:paragraph;z-index:9520;mso-wrap-distance-left:0;mso-wrap-distance-right:0" coordorigin="1701,358" coordsize="1588,454">
            <v:shape style="position:absolute;left:1700;top:358;width:1588;height:454" coordorigin="1701,358" coordsize="1588,454" path="m3088,358l1701,358,1701,812,3088,812,3204,809,3263,787,3285,727,3288,612,3288,558,3285,443,3263,383,3204,361,3088,358xe" filled="true" fillcolor="#7d8440" stroked="false">
              <v:path arrowok="t"/>
              <v:fill type="solid"/>
            </v:shape>
            <v:shape style="position:absolute;left:1700;top:358;width:1588;height:454" type="#_x0000_t202" filled="false" stroked="false">
              <v:textbox inset="0,0,0,0">
                <w:txbxContent>
                  <w:p>
                    <w:pPr>
                      <w:spacing w:before="5"/>
                      <w:ind w:left="56" w:right="0" w:firstLine="0"/>
                      <w:jc w:val="left"/>
                      <w:rPr>
                        <w:sz w:val="32"/>
                      </w:rPr>
                    </w:pPr>
                    <w:r>
                      <w:rPr>
                        <w:color w:val="FFFFFF"/>
                        <w:w w:val="110"/>
                        <w:sz w:val="32"/>
                      </w:rPr>
                      <w:t>Change 2</w:t>
                    </w:r>
                  </w:p>
                </w:txbxContent>
              </v:textbox>
              <w10:wrap type="none"/>
            </v:shape>
            <w10:wrap type="topAndBottom"/>
          </v:group>
        </w:pict>
      </w:r>
    </w:p>
    <w:p>
      <w:pPr>
        <w:pStyle w:val="BodyText"/>
        <w:spacing w:line="252" w:lineRule="auto" w:before="67"/>
        <w:ind w:left="1700" w:right="1501"/>
      </w:pPr>
      <w:r>
        <w:rPr>
          <w:b/>
          <w:color w:val="231F20"/>
          <w:w w:val="105"/>
        </w:rPr>
        <w:t>In Year 1</w:t>
      </w:r>
      <w:r>
        <w:rPr>
          <w:color w:val="231F20"/>
          <w:w w:val="105"/>
        </w:rPr>
        <w:t>: no court presented trends over 3–5 years of how the percentage of appeals had changed.</w:t>
      </w:r>
    </w:p>
    <w:p>
      <w:pPr>
        <w:pStyle w:val="BodyText"/>
        <w:spacing w:line="252" w:lineRule="auto" w:before="116"/>
        <w:ind w:left="1700" w:right="1698"/>
      </w:pPr>
      <w:r>
        <w:rPr>
          <w:b/>
          <w:color w:val="231F20"/>
          <w:w w:val="105"/>
        </w:rPr>
        <w:t>In Year 7</w:t>
      </w:r>
      <w:r>
        <w:rPr>
          <w:color w:val="231F20"/>
          <w:w w:val="105"/>
        </w:rPr>
        <w:t>: Kiribati, Niue, the Republic of the Marshall Islands and Tonga presented trends over 3-5 years of how the percentage of appeals had changed.</w:t>
      </w:r>
    </w:p>
    <w:p>
      <w:pPr>
        <w:pStyle w:val="BodyText"/>
        <w:spacing w:line="252" w:lineRule="auto" w:before="115"/>
        <w:ind w:left="1700" w:right="1501"/>
      </w:pPr>
      <w:r>
        <w:rPr>
          <w:color w:val="231F20"/>
          <w:w w:val="105"/>
        </w:rPr>
        <w:t>This allows judicial stakeholders and the public to see if length of time that a case is taking is improving or not and provide reasons for these trend changes.</w:t>
      </w:r>
    </w:p>
    <w:p>
      <w:pPr>
        <w:pStyle w:val="BodyText"/>
        <w:spacing w:before="7"/>
        <w:rPr>
          <w:sz w:val="24"/>
        </w:rPr>
      </w:pPr>
      <w:r>
        <w:rPr/>
        <w:pict>
          <v:group style="position:absolute;margin-left:85.039398pt;margin-top:16.994987pt;width:79.4pt;height:22.7pt;mso-position-horizontal-relative:page;mso-position-vertical-relative:paragraph;z-index:9568;mso-wrap-distance-left:0;mso-wrap-distance-right:0" coordorigin="1701,340" coordsize="1588,454">
            <v:shape style="position:absolute;left:1700;top:339;width:1588;height:454" coordorigin="1701,340" coordsize="1588,454" path="m3088,340l1701,340,1701,793,3088,793,3204,790,3263,768,3285,709,3288,593,3288,540,3285,424,3263,365,3204,343,3088,340xe" filled="true" fillcolor="#7d8440" stroked="false">
              <v:path arrowok="t"/>
              <v:fill type="solid"/>
            </v:shape>
            <v:shape style="position:absolute;left:1700;top:339;width:1588;height:454" type="#_x0000_t202" filled="false" stroked="false">
              <v:textbox inset="0,0,0,0">
                <w:txbxContent>
                  <w:p>
                    <w:pPr>
                      <w:spacing w:before="23"/>
                      <w:ind w:left="56" w:right="0" w:firstLine="0"/>
                      <w:jc w:val="left"/>
                      <w:rPr>
                        <w:sz w:val="32"/>
                      </w:rPr>
                    </w:pPr>
                    <w:r>
                      <w:rPr>
                        <w:color w:val="FFFFFF"/>
                        <w:w w:val="110"/>
                        <w:sz w:val="32"/>
                      </w:rPr>
                      <w:t>Change 3</w:t>
                    </w:r>
                  </w:p>
                </w:txbxContent>
              </v:textbox>
              <w10:wrap type="none"/>
            </v:shape>
            <w10:wrap type="topAndBottom"/>
          </v:group>
        </w:pict>
      </w:r>
    </w:p>
    <w:p>
      <w:pPr>
        <w:pStyle w:val="BodyText"/>
        <w:spacing w:line="252" w:lineRule="auto" w:before="86"/>
        <w:ind w:left="1700" w:right="1698"/>
        <w:jc w:val="both"/>
      </w:pPr>
      <w:r>
        <w:rPr>
          <w:color w:val="231F20"/>
          <w:w w:val="105"/>
        </w:rPr>
        <w:t>Over time, courts are presenting greater detail on the percentage of appeals by the type of case (e.g. criminal, civil, </w:t>
      </w:r>
      <w:r>
        <w:rPr>
          <w:color w:val="231F20"/>
          <w:spacing w:val="-3"/>
          <w:w w:val="105"/>
        </w:rPr>
        <w:t>family, </w:t>
      </w:r>
      <w:r>
        <w:rPr>
          <w:color w:val="231F20"/>
          <w:w w:val="105"/>
        </w:rPr>
        <w:t>juvenile) and by the level of court (Supreme Court, District/ Magistrates Court or Land Court). </w:t>
      </w:r>
      <w:r>
        <w:rPr>
          <w:color w:val="231F20"/>
          <w:spacing w:val="-4"/>
          <w:w w:val="105"/>
        </w:rPr>
        <w:t>The </w:t>
      </w:r>
      <w:r>
        <w:rPr>
          <w:color w:val="231F20"/>
          <w:w w:val="105"/>
        </w:rPr>
        <w:t>2017 Annual Report of the Supreme Court of </w:t>
      </w:r>
      <w:r>
        <w:rPr>
          <w:color w:val="231F20"/>
          <w:spacing w:val="-5"/>
          <w:w w:val="105"/>
        </w:rPr>
        <w:t>Tonga </w:t>
      </w:r>
      <w:r>
        <w:rPr>
          <w:color w:val="231F20"/>
          <w:w w:val="105"/>
        </w:rPr>
        <w:t>presents</w:t>
      </w:r>
      <w:r>
        <w:rPr>
          <w:color w:val="231F20"/>
          <w:spacing w:val="-11"/>
          <w:w w:val="105"/>
        </w:rPr>
        <w:t> </w:t>
      </w:r>
      <w:r>
        <w:rPr>
          <w:color w:val="231F20"/>
          <w:w w:val="105"/>
        </w:rPr>
        <w:t>an</w:t>
      </w:r>
      <w:r>
        <w:rPr>
          <w:color w:val="231F20"/>
          <w:spacing w:val="-11"/>
          <w:w w:val="105"/>
        </w:rPr>
        <w:t> </w:t>
      </w:r>
      <w:r>
        <w:rPr>
          <w:color w:val="231F20"/>
          <w:w w:val="105"/>
        </w:rPr>
        <w:t>excellent</w:t>
      </w:r>
      <w:r>
        <w:rPr>
          <w:color w:val="231F20"/>
          <w:spacing w:val="-11"/>
          <w:w w:val="105"/>
        </w:rPr>
        <w:t> </w:t>
      </w:r>
      <w:r>
        <w:rPr>
          <w:color w:val="231F20"/>
          <w:w w:val="105"/>
        </w:rPr>
        <w:t>example</w:t>
      </w:r>
      <w:r>
        <w:rPr>
          <w:color w:val="231F20"/>
          <w:spacing w:val="-11"/>
          <w:w w:val="105"/>
        </w:rPr>
        <w:t> </w:t>
      </w:r>
      <w:r>
        <w:rPr>
          <w:color w:val="231F20"/>
          <w:w w:val="105"/>
        </w:rPr>
        <w:t>of</w:t>
      </w:r>
      <w:r>
        <w:rPr>
          <w:color w:val="231F20"/>
          <w:spacing w:val="-11"/>
          <w:w w:val="105"/>
        </w:rPr>
        <w:t> </w:t>
      </w:r>
      <w:r>
        <w:rPr>
          <w:color w:val="231F20"/>
          <w:w w:val="105"/>
        </w:rPr>
        <w:t>this</w:t>
      </w:r>
      <w:r>
        <w:rPr>
          <w:color w:val="231F20"/>
          <w:spacing w:val="-11"/>
          <w:w w:val="105"/>
        </w:rPr>
        <w:t> </w:t>
      </w:r>
      <w:r>
        <w:rPr>
          <w:color w:val="231F20"/>
          <w:w w:val="105"/>
        </w:rPr>
        <w:t>move</w:t>
      </w:r>
      <w:r>
        <w:rPr>
          <w:color w:val="231F20"/>
          <w:spacing w:val="-11"/>
          <w:w w:val="105"/>
        </w:rPr>
        <w:t> </w:t>
      </w:r>
      <w:r>
        <w:rPr>
          <w:color w:val="231F20"/>
          <w:w w:val="105"/>
        </w:rPr>
        <w:t>to</w:t>
      </w:r>
      <w:r>
        <w:rPr>
          <w:color w:val="231F20"/>
          <w:spacing w:val="-11"/>
          <w:w w:val="105"/>
        </w:rPr>
        <w:t> </w:t>
      </w:r>
      <w:r>
        <w:rPr>
          <w:color w:val="231F20"/>
          <w:w w:val="105"/>
        </w:rPr>
        <w:t>greater</w:t>
      </w:r>
      <w:r>
        <w:rPr>
          <w:color w:val="231F20"/>
          <w:spacing w:val="-11"/>
          <w:w w:val="105"/>
        </w:rPr>
        <w:t> </w:t>
      </w:r>
      <w:r>
        <w:rPr>
          <w:color w:val="231F20"/>
          <w:w w:val="105"/>
        </w:rPr>
        <w:t>disaggregation</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presentation</w:t>
      </w:r>
      <w:r>
        <w:rPr>
          <w:color w:val="231F20"/>
          <w:spacing w:val="-11"/>
          <w:w w:val="105"/>
        </w:rPr>
        <w:t> </w:t>
      </w:r>
      <w:r>
        <w:rPr>
          <w:color w:val="231F20"/>
          <w:w w:val="105"/>
        </w:rPr>
        <w:t>of</w:t>
      </w:r>
      <w:r>
        <w:rPr>
          <w:color w:val="231F20"/>
          <w:spacing w:val="-11"/>
          <w:w w:val="105"/>
        </w:rPr>
        <w:t> </w:t>
      </w:r>
      <w:r>
        <w:rPr>
          <w:color w:val="231F20"/>
          <w:w w:val="105"/>
        </w:rPr>
        <w:t>data on the percentage of appeals (see </w:t>
      </w:r>
      <w:r>
        <w:rPr>
          <w:color w:val="231F20"/>
          <w:spacing w:val="-5"/>
          <w:w w:val="105"/>
        </w:rPr>
        <w:t>Table</w:t>
      </w:r>
      <w:r>
        <w:rPr>
          <w:color w:val="231F20"/>
          <w:spacing w:val="32"/>
          <w:w w:val="105"/>
        </w:rPr>
        <w:t> </w:t>
      </w:r>
      <w:r>
        <w:rPr>
          <w:color w:val="231F20"/>
          <w:w w:val="105"/>
        </w:rPr>
        <w:t>E).</w:t>
      </w:r>
    </w:p>
    <w:p>
      <w:pPr>
        <w:spacing w:after="0" w:line="252" w:lineRule="auto"/>
        <w:jc w:val="both"/>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89904"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r>
        <w:rPr/>
        <w:pict>
          <v:group style="position:absolute;margin-left:85.039398pt;margin-top:15.252469pt;width:79.4pt;height:22.7pt;mso-position-horizontal-relative:page;mso-position-vertical-relative:paragraph;z-index:9688;mso-wrap-distance-left:0;mso-wrap-distance-right:0" coordorigin="1701,305" coordsize="1588,454">
            <v:shape style="position:absolute;left:1700;top:305;width:1588;height:454" coordorigin="1701,305" coordsize="1588,454" path="m3088,305l1701,305,1701,759,3088,759,3204,755,3263,734,3285,674,3288,559,3288,505,3285,389,3263,330,3204,308,3088,305xe" filled="true" fillcolor="#7d8440" stroked="false">
              <v:path arrowok="t"/>
              <v:fill type="solid"/>
            </v:shape>
            <v:shape style="position:absolute;left:1700;top:305;width:1588;height:454" type="#_x0000_t202" filled="false" stroked="false">
              <v:textbox inset="0,0,0,0">
                <w:txbxContent>
                  <w:p>
                    <w:pPr>
                      <w:spacing w:line="380" w:lineRule="exact" w:before="0"/>
                      <w:ind w:left="56" w:right="0" w:firstLine="0"/>
                      <w:jc w:val="left"/>
                      <w:rPr>
                        <w:sz w:val="32"/>
                      </w:rPr>
                    </w:pPr>
                    <w:r>
                      <w:rPr>
                        <w:color w:val="FFFFFF"/>
                        <w:w w:val="110"/>
                        <w:sz w:val="32"/>
                      </w:rPr>
                      <w:t>Change 4</w:t>
                    </w:r>
                  </w:p>
                </w:txbxContent>
              </v:textbox>
              <w10:wrap type="none"/>
            </v:shape>
            <w10:wrap type="topAndBottom"/>
          </v:group>
        </w:pict>
      </w:r>
    </w:p>
    <w:p>
      <w:pPr>
        <w:pStyle w:val="BodyText"/>
        <w:spacing w:line="252" w:lineRule="auto" w:before="51"/>
        <w:ind w:left="1700" w:right="1698"/>
        <w:jc w:val="both"/>
      </w:pPr>
      <w:r>
        <w:rPr>
          <w:color w:val="231F20"/>
          <w:w w:val="105"/>
        </w:rPr>
        <w:t>Some PJSI partner courts have set court performance goals in relation to the percentage of appeals since the Baseline Trend Report. The Supreme Court of Tonga presents in its 2017 Annual Report that:</w:t>
      </w:r>
    </w:p>
    <w:p>
      <w:pPr>
        <w:spacing w:line="256" w:lineRule="auto" w:before="65"/>
        <w:ind w:left="2040" w:right="2363" w:firstLine="0"/>
        <w:jc w:val="left"/>
        <w:rPr>
          <w:rFonts w:ascii="Book Antiqua" w:hAnsi="Book Antiqua"/>
          <w:i/>
          <w:sz w:val="21"/>
        </w:rPr>
      </w:pPr>
      <w:r>
        <w:rPr>
          <w:rFonts w:ascii="Book Antiqua" w:hAnsi="Book Antiqua"/>
          <w:i/>
          <w:color w:val="231F20"/>
          <w:w w:val="105"/>
          <w:sz w:val="21"/>
        </w:rPr>
        <w:t>In the Ministry of Justice’s Annual Management Plan the target for this indicator is </w:t>
      </w:r>
      <w:r>
        <w:rPr>
          <w:rFonts w:ascii="Book Antiqua" w:hAnsi="Book Antiqua"/>
          <w:i/>
          <w:color w:val="231F20"/>
          <w:w w:val="105"/>
          <w:sz w:val="21"/>
        </w:rPr>
        <w:t>that the percentage of appeals not exceeds 2% of all cases finalised in the Supreme Court. There is a trend of fewer appeals from decisions of the Supreme Court.</w:t>
      </w:r>
    </w:p>
    <w:p>
      <w:pPr>
        <w:pStyle w:val="BodyText"/>
        <w:rPr>
          <w:rFonts w:ascii="Book Antiqua"/>
          <w:i/>
          <w:sz w:val="24"/>
        </w:rPr>
      </w:pPr>
    </w:p>
    <w:p>
      <w:pPr>
        <w:pStyle w:val="BodyText"/>
        <w:rPr>
          <w:rFonts w:ascii="Book Antiqua"/>
          <w:i/>
          <w:sz w:val="24"/>
        </w:rPr>
      </w:pPr>
    </w:p>
    <w:p>
      <w:pPr>
        <w:pStyle w:val="BodyText"/>
        <w:spacing w:before="4"/>
        <w:rPr>
          <w:rFonts w:ascii="Book Antiqua"/>
          <w:i/>
          <w:sz w:val="24"/>
        </w:rPr>
      </w:pPr>
    </w:p>
    <w:p>
      <w:pPr>
        <w:pStyle w:val="BodyText"/>
        <w:tabs>
          <w:tab w:pos="2777" w:val="left" w:leader="none"/>
        </w:tabs>
        <w:spacing w:line="252" w:lineRule="auto"/>
        <w:ind w:left="2777" w:right="2655" w:hanging="1078"/>
      </w:pPr>
      <w:r>
        <w:rPr>
          <w:b/>
          <w:color w:val="231F20"/>
          <w:spacing w:val="-5"/>
          <w:w w:val="105"/>
        </w:rPr>
        <w:t>Table</w:t>
      </w:r>
      <w:r>
        <w:rPr>
          <w:b/>
          <w:color w:val="231F20"/>
          <w:spacing w:val="7"/>
          <w:w w:val="105"/>
        </w:rPr>
        <w:t> </w:t>
      </w:r>
      <w:r>
        <w:rPr>
          <w:b/>
          <w:color w:val="231F20"/>
          <w:w w:val="105"/>
        </w:rPr>
        <w:t>E</w:t>
        <w:tab/>
      </w:r>
      <w:r>
        <w:rPr>
          <w:color w:val="231F20"/>
          <w:w w:val="105"/>
        </w:rPr>
        <w:t>Percentage of cases appealed by Division of the Supreme Court in 2017 (Source: 2017 Annual Report for the Superior Courts of</w:t>
      </w:r>
      <w:r>
        <w:rPr>
          <w:color w:val="231F20"/>
          <w:spacing w:val="36"/>
          <w:w w:val="105"/>
        </w:rPr>
        <w:t> </w:t>
      </w:r>
      <w:r>
        <w:rPr>
          <w:color w:val="231F20"/>
          <w:spacing w:val="-4"/>
          <w:w w:val="105"/>
        </w:rPr>
        <w:t>Tonga)</w:t>
      </w:r>
    </w:p>
    <w:p>
      <w:pPr>
        <w:pStyle w:val="BodyText"/>
        <w:spacing w:before="7"/>
        <w:rPr>
          <w:sz w:val="5"/>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532"/>
        <w:gridCol w:w="1361"/>
        <w:gridCol w:w="1361"/>
        <w:gridCol w:w="1411"/>
        <w:gridCol w:w="1398"/>
        <w:gridCol w:w="1431"/>
      </w:tblGrid>
      <w:tr>
        <w:trPr>
          <w:trHeight w:val="554" w:hRule="atLeast"/>
        </w:trPr>
        <w:tc>
          <w:tcPr>
            <w:tcW w:w="1532" w:type="dxa"/>
            <w:shd w:val="clear" w:color="auto" w:fill="92BAC2"/>
          </w:tcPr>
          <w:p>
            <w:pPr>
              <w:pStyle w:val="TableParagraph"/>
              <w:spacing w:before="69"/>
              <w:ind w:left="79"/>
              <w:rPr>
                <w:b/>
                <w:sz w:val="19"/>
              </w:rPr>
            </w:pPr>
            <w:r>
              <w:rPr>
                <w:b/>
                <w:color w:val="231F20"/>
                <w:w w:val="110"/>
                <w:sz w:val="19"/>
              </w:rPr>
              <w:t>Division</w:t>
            </w:r>
          </w:p>
        </w:tc>
        <w:tc>
          <w:tcPr>
            <w:tcW w:w="1361" w:type="dxa"/>
            <w:shd w:val="clear" w:color="auto" w:fill="92BAC2"/>
          </w:tcPr>
          <w:p>
            <w:pPr>
              <w:pStyle w:val="TableParagraph"/>
              <w:spacing w:before="69"/>
              <w:ind w:left="80" w:right="235"/>
              <w:rPr>
                <w:b/>
                <w:sz w:val="19"/>
              </w:rPr>
            </w:pPr>
            <w:r>
              <w:rPr>
                <w:b/>
                <w:color w:val="231F20"/>
                <w:w w:val="105"/>
                <w:sz w:val="19"/>
              </w:rPr>
              <w:t>Total Cases Finalised</w:t>
            </w:r>
          </w:p>
        </w:tc>
        <w:tc>
          <w:tcPr>
            <w:tcW w:w="1361" w:type="dxa"/>
            <w:shd w:val="clear" w:color="auto" w:fill="92BAC2"/>
          </w:tcPr>
          <w:p>
            <w:pPr>
              <w:pStyle w:val="TableParagraph"/>
              <w:spacing w:before="69"/>
              <w:ind w:left="79" w:right="235"/>
              <w:rPr>
                <w:b/>
                <w:sz w:val="19"/>
              </w:rPr>
            </w:pPr>
            <w:r>
              <w:rPr>
                <w:b/>
                <w:color w:val="231F20"/>
                <w:w w:val="105"/>
                <w:sz w:val="19"/>
              </w:rPr>
              <w:t>No. of Cases Appealed</w:t>
            </w:r>
          </w:p>
        </w:tc>
        <w:tc>
          <w:tcPr>
            <w:tcW w:w="1411" w:type="dxa"/>
            <w:shd w:val="clear" w:color="auto" w:fill="92BAC2"/>
          </w:tcPr>
          <w:p>
            <w:pPr>
              <w:pStyle w:val="TableParagraph"/>
              <w:spacing w:before="69"/>
              <w:ind w:left="79" w:right="17"/>
              <w:rPr>
                <w:b/>
                <w:sz w:val="19"/>
              </w:rPr>
            </w:pPr>
            <w:r>
              <w:rPr>
                <w:b/>
                <w:color w:val="231F20"/>
                <w:w w:val="105"/>
                <w:sz w:val="19"/>
              </w:rPr>
              <w:t>No. of Cases Not Appealed</w:t>
            </w:r>
          </w:p>
        </w:tc>
        <w:tc>
          <w:tcPr>
            <w:tcW w:w="1398" w:type="dxa"/>
            <w:shd w:val="clear" w:color="auto" w:fill="92BAC2"/>
          </w:tcPr>
          <w:p>
            <w:pPr>
              <w:pStyle w:val="TableParagraph"/>
              <w:spacing w:before="69"/>
              <w:ind w:left="79"/>
              <w:rPr>
                <w:b/>
                <w:sz w:val="19"/>
              </w:rPr>
            </w:pPr>
            <w:r>
              <w:rPr>
                <w:b/>
                <w:color w:val="231F20"/>
                <w:w w:val="110"/>
                <w:sz w:val="19"/>
              </w:rPr>
              <w:t>% of Cases Appealed</w:t>
            </w:r>
          </w:p>
        </w:tc>
        <w:tc>
          <w:tcPr>
            <w:tcW w:w="1431" w:type="dxa"/>
            <w:shd w:val="clear" w:color="auto" w:fill="92BAC2"/>
          </w:tcPr>
          <w:p>
            <w:pPr>
              <w:pStyle w:val="TableParagraph"/>
              <w:spacing w:before="69"/>
              <w:ind w:left="79"/>
              <w:rPr>
                <w:b/>
                <w:sz w:val="19"/>
              </w:rPr>
            </w:pPr>
            <w:r>
              <w:rPr>
                <w:b/>
                <w:color w:val="231F20"/>
                <w:w w:val="110"/>
                <w:sz w:val="19"/>
              </w:rPr>
              <w:t>% of Cases Not Appealed</w:t>
            </w:r>
          </w:p>
        </w:tc>
      </w:tr>
      <w:tr>
        <w:trPr>
          <w:trHeight w:val="344" w:hRule="atLeast"/>
        </w:trPr>
        <w:tc>
          <w:tcPr>
            <w:tcW w:w="1532" w:type="dxa"/>
            <w:shd w:val="clear" w:color="auto" w:fill="D4D8B8"/>
          </w:tcPr>
          <w:p>
            <w:pPr>
              <w:pStyle w:val="TableParagraph"/>
              <w:spacing w:before="69"/>
              <w:ind w:left="79"/>
              <w:rPr>
                <w:b/>
                <w:sz w:val="19"/>
              </w:rPr>
            </w:pPr>
            <w:r>
              <w:rPr>
                <w:b/>
                <w:color w:val="231F20"/>
                <w:w w:val="110"/>
                <w:sz w:val="19"/>
              </w:rPr>
              <w:t>Criminal</w:t>
            </w:r>
          </w:p>
        </w:tc>
        <w:tc>
          <w:tcPr>
            <w:tcW w:w="1361" w:type="dxa"/>
          </w:tcPr>
          <w:p>
            <w:pPr>
              <w:pStyle w:val="TableParagraph"/>
              <w:spacing w:before="68"/>
              <w:ind w:right="500"/>
              <w:jc w:val="right"/>
              <w:rPr>
                <w:sz w:val="19"/>
              </w:rPr>
            </w:pPr>
            <w:r>
              <w:rPr>
                <w:color w:val="231F20"/>
                <w:w w:val="105"/>
                <w:sz w:val="19"/>
              </w:rPr>
              <w:t>127</w:t>
            </w:r>
          </w:p>
        </w:tc>
        <w:tc>
          <w:tcPr>
            <w:tcW w:w="1361" w:type="dxa"/>
          </w:tcPr>
          <w:p>
            <w:pPr>
              <w:pStyle w:val="TableParagraph"/>
              <w:spacing w:before="68"/>
              <w:ind w:right="498"/>
              <w:jc w:val="right"/>
              <w:rPr>
                <w:sz w:val="19"/>
              </w:rPr>
            </w:pPr>
            <w:r>
              <w:rPr>
                <w:color w:val="231F20"/>
                <w:w w:val="109"/>
                <w:sz w:val="19"/>
              </w:rPr>
              <w:t>2</w:t>
            </w:r>
          </w:p>
        </w:tc>
        <w:tc>
          <w:tcPr>
            <w:tcW w:w="1411" w:type="dxa"/>
          </w:tcPr>
          <w:p>
            <w:pPr>
              <w:pStyle w:val="TableParagraph"/>
              <w:spacing w:before="68"/>
              <w:ind w:right="500"/>
              <w:jc w:val="right"/>
              <w:rPr>
                <w:sz w:val="19"/>
              </w:rPr>
            </w:pPr>
            <w:r>
              <w:rPr>
                <w:color w:val="231F20"/>
                <w:w w:val="105"/>
                <w:sz w:val="19"/>
              </w:rPr>
              <w:t>125</w:t>
            </w:r>
          </w:p>
        </w:tc>
        <w:tc>
          <w:tcPr>
            <w:tcW w:w="1398" w:type="dxa"/>
          </w:tcPr>
          <w:p>
            <w:pPr>
              <w:pStyle w:val="TableParagraph"/>
              <w:spacing w:before="68"/>
              <w:ind w:left="489" w:right="377"/>
              <w:jc w:val="center"/>
              <w:rPr>
                <w:sz w:val="19"/>
              </w:rPr>
            </w:pPr>
            <w:r>
              <w:rPr>
                <w:color w:val="231F20"/>
                <w:w w:val="120"/>
                <w:sz w:val="19"/>
              </w:rPr>
              <w:t>2%</w:t>
            </w:r>
          </w:p>
        </w:tc>
        <w:tc>
          <w:tcPr>
            <w:tcW w:w="1431" w:type="dxa"/>
          </w:tcPr>
          <w:p>
            <w:pPr>
              <w:pStyle w:val="TableParagraph"/>
              <w:spacing w:before="68"/>
              <w:ind w:right="500"/>
              <w:jc w:val="right"/>
              <w:rPr>
                <w:sz w:val="19"/>
              </w:rPr>
            </w:pPr>
            <w:r>
              <w:rPr>
                <w:color w:val="231F20"/>
                <w:w w:val="115"/>
                <w:sz w:val="19"/>
              </w:rPr>
              <w:t>98%</w:t>
            </w:r>
          </w:p>
        </w:tc>
      </w:tr>
      <w:tr>
        <w:trPr>
          <w:trHeight w:val="344" w:hRule="atLeast"/>
        </w:trPr>
        <w:tc>
          <w:tcPr>
            <w:tcW w:w="1532" w:type="dxa"/>
            <w:shd w:val="clear" w:color="auto" w:fill="D4D8B8"/>
          </w:tcPr>
          <w:p>
            <w:pPr>
              <w:pStyle w:val="TableParagraph"/>
              <w:spacing w:before="69"/>
              <w:ind w:left="79"/>
              <w:rPr>
                <w:b/>
                <w:sz w:val="19"/>
              </w:rPr>
            </w:pPr>
            <w:r>
              <w:rPr>
                <w:b/>
                <w:color w:val="231F20"/>
                <w:w w:val="115"/>
                <w:sz w:val="19"/>
              </w:rPr>
              <w:t>Civil</w:t>
            </w:r>
          </w:p>
        </w:tc>
        <w:tc>
          <w:tcPr>
            <w:tcW w:w="1361" w:type="dxa"/>
          </w:tcPr>
          <w:p>
            <w:pPr>
              <w:pStyle w:val="TableParagraph"/>
              <w:spacing w:before="68"/>
              <w:ind w:right="500"/>
              <w:jc w:val="right"/>
              <w:rPr>
                <w:sz w:val="19"/>
              </w:rPr>
            </w:pPr>
            <w:r>
              <w:rPr>
                <w:color w:val="231F20"/>
                <w:w w:val="105"/>
                <w:sz w:val="19"/>
              </w:rPr>
              <w:t>68</w:t>
            </w:r>
          </w:p>
        </w:tc>
        <w:tc>
          <w:tcPr>
            <w:tcW w:w="1361" w:type="dxa"/>
          </w:tcPr>
          <w:p>
            <w:pPr>
              <w:pStyle w:val="TableParagraph"/>
              <w:spacing w:before="68"/>
              <w:ind w:right="498"/>
              <w:jc w:val="right"/>
              <w:rPr>
                <w:sz w:val="19"/>
              </w:rPr>
            </w:pPr>
            <w:r>
              <w:rPr>
                <w:color w:val="231F20"/>
                <w:w w:val="109"/>
                <w:sz w:val="19"/>
              </w:rPr>
              <w:t>7</w:t>
            </w:r>
          </w:p>
        </w:tc>
        <w:tc>
          <w:tcPr>
            <w:tcW w:w="1411" w:type="dxa"/>
          </w:tcPr>
          <w:p>
            <w:pPr>
              <w:pStyle w:val="TableParagraph"/>
              <w:spacing w:before="68"/>
              <w:ind w:right="500"/>
              <w:jc w:val="right"/>
              <w:rPr>
                <w:sz w:val="19"/>
              </w:rPr>
            </w:pPr>
            <w:r>
              <w:rPr>
                <w:color w:val="231F20"/>
                <w:w w:val="105"/>
                <w:sz w:val="19"/>
              </w:rPr>
              <w:t>61</w:t>
            </w:r>
          </w:p>
        </w:tc>
        <w:tc>
          <w:tcPr>
            <w:tcW w:w="1398" w:type="dxa"/>
          </w:tcPr>
          <w:p>
            <w:pPr>
              <w:pStyle w:val="TableParagraph"/>
              <w:spacing w:before="68"/>
              <w:ind w:left="486" w:right="478"/>
              <w:jc w:val="center"/>
              <w:rPr>
                <w:sz w:val="19"/>
              </w:rPr>
            </w:pPr>
            <w:r>
              <w:rPr>
                <w:color w:val="231F20"/>
                <w:w w:val="115"/>
                <w:sz w:val="19"/>
              </w:rPr>
              <w:t>10%</w:t>
            </w:r>
          </w:p>
        </w:tc>
        <w:tc>
          <w:tcPr>
            <w:tcW w:w="1431" w:type="dxa"/>
          </w:tcPr>
          <w:p>
            <w:pPr>
              <w:pStyle w:val="TableParagraph"/>
              <w:spacing w:before="68"/>
              <w:ind w:right="500"/>
              <w:jc w:val="right"/>
              <w:rPr>
                <w:sz w:val="19"/>
              </w:rPr>
            </w:pPr>
            <w:r>
              <w:rPr>
                <w:color w:val="231F20"/>
                <w:w w:val="115"/>
                <w:sz w:val="19"/>
              </w:rPr>
              <w:t>90%</w:t>
            </w:r>
          </w:p>
        </w:tc>
      </w:tr>
      <w:tr>
        <w:trPr>
          <w:trHeight w:val="344" w:hRule="atLeast"/>
        </w:trPr>
        <w:tc>
          <w:tcPr>
            <w:tcW w:w="1532" w:type="dxa"/>
            <w:shd w:val="clear" w:color="auto" w:fill="D4D8B8"/>
          </w:tcPr>
          <w:p>
            <w:pPr>
              <w:pStyle w:val="TableParagraph"/>
              <w:spacing w:before="69"/>
              <w:ind w:left="79"/>
              <w:rPr>
                <w:b/>
                <w:sz w:val="19"/>
              </w:rPr>
            </w:pPr>
            <w:r>
              <w:rPr>
                <w:b/>
                <w:color w:val="231F20"/>
                <w:w w:val="105"/>
                <w:sz w:val="19"/>
              </w:rPr>
              <w:t>Criminal Appeal</w:t>
            </w:r>
          </w:p>
        </w:tc>
        <w:tc>
          <w:tcPr>
            <w:tcW w:w="1361" w:type="dxa"/>
          </w:tcPr>
          <w:p>
            <w:pPr>
              <w:pStyle w:val="TableParagraph"/>
              <w:spacing w:before="68"/>
              <w:ind w:right="500"/>
              <w:jc w:val="right"/>
              <w:rPr>
                <w:sz w:val="19"/>
              </w:rPr>
            </w:pPr>
            <w:r>
              <w:rPr>
                <w:color w:val="231F20"/>
                <w:w w:val="105"/>
                <w:sz w:val="19"/>
              </w:rPr>
              <w:t>14</w:t>
            </w:r>
          </w:p>
        </w:tc>
        <w:tc>
          <w:tcPr>
            <w:tcW w:w="1361" w:type="dxa"/>
          </w:tcPr>
          <w:p>
            <w:pPr>
              <w:pStyle w:val="TableParagraph"/>
              <w:spacing w:before="68"/>
              <w:ind w:right="498"/>
              <w:jc w:val="right"/>
              <w:rPr>
                <w:sz w:val="19"/>
              </w:rPr>
            </w:pPr>
            <w:r>
              <w:rPr>
                <w:color w:val="231F20"/>
                <w:w w:val="109"/>
                <w:sz w:val="19"/>
              </w:rPr>
              <w:t>0</w:t>
            </w:r>
          </w:p>
        </w:tc>
        <w:tc>
          <w:tcPr>
            <w:tcW w:w="1411" w:type="dxa"/>
          </w:tcPr>
          <w:p>
            <w:pPr>
              <w:pStyle w:val="TableParagraph"/>
              <w:spacing w:before="68"/>
              <w:ind w:right="500"/>
              <w:jc w:val="right"/>
              <w:rPr>
                <w:sz w:val="19"/>
              </w:rPr>
            </w:pPr>
            <w:r>
              <w:rPr>
                <w:color w:val="231F20"/>
                <w:w w:val="105"/>
                <w:sz w:val="19"/>
              </w:rPr>
              <w:t>61</w:t>
            </w:r>
          </w:p>
        </w:tc>
        <w:tc>
          <w:tcPr>
            <w:tcW w:w="1398" w:type="dxa"/>
          </w:tcPr>
          <w:p>
            <w:pPr>
              <w:pStyle w:val="TableParagraph"/>
              <w:spacing w:before="68"/>
              <w:ind w:left="489" w:right="377"/>
              <w:jc w:val="center"/>
              <w:rPr>
                <w:sz w:val="19"/>
              </w:rPr>
            </w:pPr>
            <w:r>
              <w:rPr>
                <w:color w:val="231F20"/>
                <w:w w:val="120"/>
                <w:sz w:val="19"/>
              </w:rPr>
              <w:t>0%</w:t>
            </w:r>
          </w:p>
        </w:tc>
        <w:tc>
          <w:tcPr>
            <w:tcW w:w="1431" w:type="dxa"/>
          </w:tcPr>
          <w:p>
            <w:pPr>
              <w:pStyle w:val="TableParagraph"/>
              <w:spacing w:before="68"/>
              <w:ind w:right="500"/>
              <w:jc w:val="right"/>
              <w:rPr>
                <w:sz w:val="19"/>
              </w:rPr>
            </w:pPr>
            <w:r>
              <w:rPr>
                <w:color w:val="231F20"/>
                <w:w w:val="110"/>
                <w:sz w:val="19"/>
              </w:rPr>
              <w:t>100%</w:t>
            </w:r>
          </w:p>
        </w:tc>
      </w:tr>
      <w:tr>
        <w:trPr>
          <w:trHeight w:val="344" w:hRule="atLeast"/>
        </w:trPr>
        <w:tc>
          <w:tcPr>
            <w:tcW w:w="1532" w:type="dxa"/>
            <w:shd w:val="clear" w:color="auto" w:fill="D4D8B8"/>
          </w:tcPr>
          <w:p>
            <w:pPr>
              <w:pStyle w:val="TableParagraph"/>
              <w:spacing w:before="69"/>
              <w:ind w:left="79"/>
              <w:rPr>
                <w:b/>
                <w:sz w:val="19"/>
              </w:rPr>
            </w:pPr>
            <w:r>
              <w:rPr>
                <w:b/>
                <w:color w:val="231F20"/>
                <w:w w:val="110"/>
                <w:sz w:val="19"/>
              </w:rPr>
              <w:t>Civil Appeal</w:t>
            </w:r>
          </w:p>
        </w:tc>
        <w:tc>
          <w:tcPr>
            <w:tcW w:w="1361" w:type="dxa"/>
          </w:tcPr>
          <w:p>
            <w:pPr>
              <w:pStyle w:val="TableParagraph"/>
              <w:spacing w:before="68"/>
              <w:ind w:right="498"/>
              <w:jc w:val="right"/>
              <w:rPr>
                <w:sz w:val="19"/>
              </w:rPr>
            </w:pPr>
            <w:r>
              <w:rPr>
                <w:color w:val="231F20"/>
                <w:w w:val="109"/>
                <w:sz w:val="19"/>
              </w:rPr>
              <w:t>9</w:t>
            </w:r>
          </w:p>
        </w:tc>
        <w:tc>
          <w:tcPr>
            <w:tcW w:w="1361" w:type="dxa"/>
          </w:tcPr>
          <w:p>
            <w:pPr>
              <w:pStyle w:val="TableParagraph"/>
              <w:spacing w:before="68"/>
              <w:ind w:right="498"/>
              <w:jc w:val="right"/>
              <w:rPr>
                <w:sz w:val="19"/>
              </w:rPr>
            </w:pPr>
            <w:r>
              <w:rPr>
                <w:color w:val="231F20"/>
                <w:w w:val="109"/>
                <w:sz w:val="19"/>
              </w:rPr>
              <w:t>1</w:t>
            </w:r>
          </w:p>
        </w:tc>
        <w:tc>
          <w:tcPr>
            <w:tcW w:w="1411" w:type="dxa"/>
          </w:tcPr>
          <w:p>
            <w:pPr>
              <w:pStyle w:val="TableParagraph"/>
              <w:spacing w:before="68"/>
              <w:ind w:right="498"/>
              <w:jc w:val="right"/>
              <w:rPr>
                <w:sz w:val="19"/>
              </w:rPr>
            </w:pPr>
            <w:r>
              <w:rPr>
                <w:color w:val="231F20"/>
                <w:w w:val="109"/>
                <w:sz w:val="19"/>
              </w:rPr>
              <w:t>8</w:t>
            </w:r>
          </w:p>
        </w:tc>
        <w:tc>
          <w:tcPr>
            <w:tcW w:w="1398" w:type="dxa"/>
          </w:tcPr>
          <w:p>
            <w:pPr>
              <w:pStyle w:val="TableParagraph"/>
              <w:spacing w:before="68"/>
              <w:ind w:left="486" w:right="478"/>
              <w:jc w:val="center"/>
              <w:rPr>
                <w:sz w:val="19"/>
              </w:rPr>
            </w:pPr>
            <w:r>
              <w:rPr>
                <w:color w:val="231F20"/>
                <w:w w:val="115"/>
                <w:sz w:val="19"/>
              </w:rPr>
              <w:t>11%</w:t>
            </w:r>
          </w:p>
        </w:tc>
        <w:tc>
          <w:tcPr>
            <w:tcW w:w="1431" w:type="dxa"/>
          </w:tcPr>
          <w:p>
            <w:pPr>
              <w:pStyle w:val="TableParagraph"/>
              <w:spacing w:before="68"/>
              <w:ind w:right="500"/>
              <w:jc w:val="right"/>
              <w:rPr>
                <w:sz w:val="19"/>
              </w:rPr>
            </w:pPr>
            <w:r>
              <w:rPr>
                <w:color w:val="231F20"/>
                <w:w w:val="115"/>
                <w:sz w:val="19"/>
              </w:rPr>
              <w:t>89%</w:t>
            </w:r>
          </w:p>
        </w:tc>
      </w:tr>
      <w:tr>
        <w:trPr>
          <w:trHeight w:val="344" w:hRule="atLeast"/>
        </w:trPr>
        <w:tc>
          <w:tcPr>
            <w:tcW w:w="1532" w:type="dxa"/>
            <w:shd w:val="clear" w:color="auto" w:fill="D4D8B8"/>
          </w:tcPr>
          <w:p>
            <w:pPr>
              <w:pStyle w:val="TableParagraph"/>
              <w:spacing w:before="69"/>
              <w:ind w:left="79"/>
              <w:rPr>
                <w:b/>
                <w:sz w:val="19"/>
              </w:rPr>
            </w:pPr>
            <w:r>
              <w:rPr>
                <w:b/>
                <w:color w:val="231F20"/>
                <w:w w:val="110"/>
                <w:sz w:val="19"/>
              </w:rPr>
              <w:t>Divorce</w:t>
            </w:r>
          </w:p>
        </w:tc>
        <w:tc>
          <w:tcPr>
            <w:tcW w:w="1361" w:type="dxa"/>
          </w:tcPr>
          <w:p>
            <w:pPr>
              <w:pStyle w:val="TableParagraph"/>
              <w:spacing w:before="68"/>
              <w:ind w:right="500"/>
              <w:jc w:val="right"/>
              <w:rPr>
                <w:sz w:val="19"/>
              </w:rPr>
            </w:pPr>
            <w:r>
              <w:rPr>
                <w:color w:val="231F20"/>
                <w:w w:val="105"/>
                <w:sz w:val="19"/>
              </w:rPr>
              <w:t>234</w:t>
            </w:r>
          </w:p>
        </w:tc>
        <w:tc>
          <w:tcPr>
            <w:tcW w:w="1361" w:type="dxa"/>
          </w:tcPr>
          <w:p>
            <w:pPr>
              <w:pStyle w:val="TableParagraph"/>
              <w:spacing w:before="68"/>
              <w:ind w:right="498"/>
              <w:jc w:val="right"/>
              <w:rPr>
                <w:sz w:val="19"/>
              </w:rPr>
            </w:pPr>
            <w:r>
              <w:rPr>
                <w:color w:val="231F20"/>
                <w:w w:val="109"/>
                <w:sz w:val="19"/>
              </w:rPr>
              <w:t>0</w:t>
            </w:r>
          </w:p>
        </w:tc>
        <w:tc>
          <w:tcPr>
            <w:tcW w:w="1411" w:type="dxa"/>
          </w:tcPr>
          <w:p>
            <w:pPr>
              <w:pStyle w:val="TableParagraph"/>
              <w:spacing w:before="68"/>
              <w:ind w:right="500"/>
              <w:jc w:val="right"/>
              <w:rPr>
                <w:sz w:val="19"/>
              </w:rPr>
            </w:pPr>
            <w:r>
              <w:rPr>
                <w:color w:val="231F20"/>
                <w:w w:val="105"/>
                <w:sz w:val="19"/>
              </w:rPr>
              <w:t>234</w:t>
            </w:r>
          </w:p>
        </w:tc>
        <w:tc>
          <w:tcPr>
            <w:tcW w:w="1398" w:type="dxa"/>
          </w:tcPr>
          <w:p>
            <w:pPr>
              <w:pStyle w:val="TableParagraph"/>
              <w:spacing w:before="68"/>
              <w:ind w:left="489" w:right="377"/>
              <w:jc w:val="center"/>
              <w:rPr>
                <w:sz w:val="19"/>
              </w:rPr>
            </w:pPr>
            <w:r>
              <w:rPr>
                <w:color w:val="231F20"/>
                <w:w w:val="120"/>
                <w:sz w:val="19"/>
              </w:rPr>
              <w:t>0%</w:t>
            </w:r>
          </w:p>
        </w:tc>
        <w:tc>
          <w:tcPr>
            <w:tcW w:w="1431" w:type="dxa"/>
          </w:tcPr>
          <w:p>
            <w:pPr>
              <w:pStyle w:val="TableParagraph"/>
              <w:spacing w:before="68"/>
              <w:ind w:right="500"/>
              <w:jc w:val="right"/>
              <w:rPr>
                <w:sz w:val="19"/>
              </w:rPr>
            </w:pPr>
            <w:r>
              <w:rPr>
                <w:color w:val="231F20"/>
                <w:w w:val="110"/>
                <w:sz w:val="19"/>
              </w:rPr>
              <w:t>100%</w:t>
            </w:r>
          </w:p>
        </w:tc>
      </w:tr>
      <w:tr>
        <w:trPr>
          <w:trHeight w:val="344" w:hRule="atLeast"/>
        </w:trPr>
        <w:tc>
          <w:tcPr>
            <w:tcW w:w="1532" w:type="dxa"/>
            <w:shd w:val="clear" w:color="auto" w:fill="D4D8B8"/>
          </w:tcPr>
          <w:p>
            <w:pPr>
              <w:pStyle w:val="TableParagraph"/>
              <w:spacing w:before="69"/>
              <w:ind w:left="79"/>
              <w:rPr>
                <w:b/>
                <w:sz w:val="19"/>
              </w:rPr>
            </w:pPr>
            <w:r>
              <w:rPr>
                <w:b/>
                <w:color w:val="231F20"/>
                <w:w w:val="105"/>
                <w:sz w:val="19"/>
              </w:rPr>
              <w:t>Adoption</w:t>
            </w:r>
          </w:p>
        </w:tc>
        <w:tc>
          <w:tcPr>
            <w:tcW w:w="1361" w:type="dxa"/>
          </w:tcPr>
          <w:p>
            <w:pPr>
              <w:pStyle w:val="TableParagraph"/>
              <w:spacing w:before="68"/>
              <w:ind w:right="500"/>
              <w:jc w:val="right"/>
              <w:rPr>
                <w:sz w:val="19"/>
              </w:rPr>
            </w:pPr>
            <w:r>
              <w:rPr>
                <w:color w:val="231F20"/>
                <w:w w:val="105"/>
                <w:sz w:val="19"/>
              </w:rPr>
              <w:t>105</w:t>
            </w:r>
          </w:p>
        </w:tc>
        <w:tc>
          <w:tcPr>
            <w:tcW w:w="1361" w:type="dxa"/>
          </w:tcPr>
          <w:p>
            <w:pPr>
              <w:pStyle w:val="TableParagraph"/>
              <w:spacing w:before="68"/>
              <w:ind w:right="498"/>
              <w:jc w:val="right"/>
              <w:rPr>
                <w:sz w:val="19"/>
              </w:rPr>
            </w:pPr>
            <w:r>
              <w:rPr>
                <w:color w:val="231F20"/>
                <w:w w:val="109"/>
                <w:sz w:val="19"/>
              </w:rPr>
              <w:t>0</w:t>
            </w:r>
          </w:p>
        </w:tc>
        <w:tc>
          <w:tcPr>
            <w:tcW w:w="1411" w:type="dxa"/>
          </w:tcPr>
          <w:p>
            <w:pPr>
              <w:pStyle w:val="TableParagraph"/>
              <w:spacing w:before="68"/>
              <w:ind w:right="500"/>
              <w:jc w:val="right"/>
              <w:rPr>
                <w:sz w:val="19"/>
              </w:rPr>
            </w:pPr>
            <w:r>
              <w:rPr>
                <w:color w:val="231F20"/>
                <w:w w:val="105"/>
                <w:sz w:val="19"/>
              </w:rPr>
              <w:t>105</w:t>
            </w:r>
          </w:p>
        </w:tc>
        <w:tc>
          <w:tcPr>
            <w:tcW w:w="1398" w:type="dxa"/>
          </w:tcPr>
          <w:p>
            <w:pPr>
              <w:pStyle w:val="TableParagraph"/>
              <w:spacing w:before="68"/>
              <w:ind w:left="489" w:right="377"/>
              <w:jc w:val="center"/>
              <w:rPr>
                <w:sz w:val="19"/>
              </w:rPr>
            </w:pPr>
            <w:r>
              <w:rPr>
                <w:color w:val="231F20"/>
                <w:w w:val="120"/>
                <w:sz w:val="19"/>
              </w:rPr>
              <w:t>0%</w:t>
            </w:r>
          </w:p>
        </w:tc>
        <w:tc>
          <w:tcPr>
            <w:tcW w:w="1431" w:type="dxa"/>
          </w:tcPr>
          <w:p>
            <w:pPr>
              <w:pStyle w:val="TableParagraph"/>
              <w:spacing w:before="68"/>
              <w:ind w:right="500"/>
              <w:jc w:val="right"/>
              <w:rPr>
                <w:sz w:val="19"/>
              </w:rPr>
            </w:pPr>
            <w:r>
              <w:rPr>
                <w:color w:val="231F20"/>
                <w:w w:val="110"/>
                <w:sz w:val="19"/>
              </w:rPr>
              <w:t>100%</w:t>
            </w:r>
          </w:p>
        </w:tc>
      </w:tr>
      <w:tr>
        <w:trPr>
          <w:trHeight w:val="574" w:hRule="atLeast"/>
        </w:trPr>
        <w:tc>
          <w:tcPr>
            <w:tcW w:w="1532" w:type="dxa"/>
            <w:shd w:val="clear" w:color="auto" w:fill="D4D8B8"/>
          </w:tcPr>
          <w:p>
            <w:pPr>
              <w:pStyle w:val="TableParagraph"/>
              <w:spacing w:before="69"/>
              <w:ind w:left="79"/>
              <w:rPr>
                <w:b/>
                <w:sz w:val="19"/>
              </w:rPr>
            </w:pPr>
            <w:r>
              <w:rPr>
                <w:b/>
                <w:color w:val="231F20"/>
                <w:w w:val="105"/>
                <w:sz w:val="19"/>
              </w:rPr>
              <w:t>Legal Guardianship</w:t>
            </w:r>
          </w:p>
        </w:tc>
        <w:tc>
          <w:tcPr>
            <w:tcW w:w="1361" w:type="dxa"/>
          </w:tcPr>
          <w:p>
            <w:pPr>
              <w:pStyle w:val="TableParagraph"/>
              <w:spacing w:before="68"/>
              <w:ind w:right="500"/>
              <w:jc w:val="right"/>
              <w:rPr>
                <w:sz w:val="19"/>
              </w:rPr>
            </w:pPr>
            <w:r>
              <w:rPr>
                <w:color w:val="231F20"/>
                <w:w w:val="105"/>
                <w:sz w:val="19"/>
              </w:rPr>
              <w:t>82</w:t>
            </w:r>
          </w:p>
        </w:tc>
        <w:tc>
          <w:tcPr>
            <w:tcW w:w="1361" w:type="dxa"/>
          </w:tcPr>
          <w:p>
            <w:pPr>
              <w:pStyle w:val="TableParagraph"/>
              <w:spacing w:before="68"/>
              <w:ind w:right="498"/>
              <w:jc w:val="right"/>
              <w:rPr>
                <w:sz w:val="19"/>
              </w:rPr>
            </w:pPr>
            <w:r>
              <w:rPr>
                <w:color w:val="231F20"/>
                <w:w w:val="109"/>
                <w:sz w:val="19"/>
              </w:rPr>
              <w:t>0</w:t>
            </w:r>
          </w:p>
        </w:tc>
        <w:tc>
          <w:tcPr>
            <w:tcW w:w="1411" w:type="dxa"/>
          </w:tcPr>
          <w:p>
            <w:pPr>
              <w:pStyle w:val="TableParagraph"/>
              <w:spacing w:before="68"/>
              <w:ind w:right="500"/>
              <w:jc w:val="right"/>
              <w:rPr>
                <w:sz w:val="19"/>
              </w:rPr>
            </w:pPr>
            <w:r>
              <w:rPr>
                <w:color w:val="231F20"/>
                <w:w w:val="105"/>
                <w:sz w:val="19"/>
              </w:rPr>
              <w:t>82</w:t>
            </w:r>
          </w:p>
        </w:tc>
        <w:tc>
          <w:tcPr>
            <w:tcW w:w="1398" w:type="dxa"/>
          </w:tcPr>
          <w:p>
            <w:pPr>
              <w:pStyle w:val="TableParagraph"/>
              <w:spacing w:before="68"/>
              <w:ind w:left="489" w:right="377"/>
              <w:jc w:val="center"/>
              <w:rPr>
                <w:sz w:val="19"/>
              </w:rPr>
            </w:pPr>
            <w:r>
              <w:rPr>
                <w:color w:val="231F20"/>
                <w:w w:val="120"/>
                <w:sz w:val="19"/>
              </w:rPr>
              <w:t>0%</w:t>
            </w:r>
          </w:p>
        </w:tc>
        <w:tc>
          <w:tcPr>
            <w:tcW w:w="1431" w:type="dxa"/>
          </w:tcPr>
          <w:p>
            <w:pPr>
              <w:pStyle w:val="TableParagraph"/>
              <w:spacing w:before="68"/>
              <w:ind w:right="500"/>
              <w:jc w:val="right"/>
              <w:rPr>
                <w:sz w:val="19"/>
              </w:rPr>
            </w:pPr>
            <w:r>
              <w:rPr>
                <w:color w:val="231F20"/>
                <w:w w:val="110"/>
                <w:sz w:val="19"/>
              </w:rPr>
              <w:t>100%</w:t>
            </w:r>
          </w:p>
        </w:tc>
      </w:tr>
      <w:tr>
        <w:trPr>
          <w:trHeight w:val="344" w:hRule="atLeast"/>
        </w:trPr>
        <w:tc>
          <w:tcPr>
            <w:tcW w:w="1532" w:type="dxa"/>
            <w:shd w:val="clear" w:color="auto" w:fill="D4D8B8"/>
          </w:tcPr>
          <w:p>
            <w:pPr>
              <w:pStyle w:val="TableParagraph"/>
              <w:spacing w:before="69"/>
              <w:ind w:left="79"/>
              <w:rPr>
                <w:b/>
                <w:sz w:val="19"/>
              </w:rPr>
            </w:pPr>
            <w:r>
              <w:rPr>
                <w:b/>
                <w:color w:val="231F20"/>
                <w:w w:val="105"/>
                <w:sz w:val="19"/>
              </w:rPr>
              <w:t>Wedlock</w:t>
            </w:r>
          </w:p>
        </w:tc>
        <w:tc>
          <w:tcPr>
            <w:tcW w:w="1361" w:type="dxa"/>
          </w:tcPr>
          <w:p>
            <w:pPr>
              <w:pStyle w:val="TableParagraph"/>
              <w:spacing w:before="68"/>
              <w:ind w:right="500"/>
              <w:jc w:val="right"/>
              <w:rPr>
                <w:sz w:val="19"/>
              </w:rPr>
            </w:pPr>
            <w:r>
              <w:rPr>
                <w:color w:val="231F20"/>
                <w:w w:val="105"/>
                <w:sz w:val="19"/>
              </w:rPr>
              <w:t>101</w:t>
            </w:r>
          </w:p>
        </w:tc>
        <w:tc>
          <w:tcPr>
            <w:tcW w:w="1361" w:type="dxa"/>
          </w:tcPr>
          <w:p>
            <w:pPr>
              <w:pStyle w:val="TableParagraph"/>
              <w:spacing w:before="68"/>
              <w:ind w:right="498"/>
              <w:jc w:val="right"/>
              <w:rPr>
                <w:sz w:val="19"/>
              </w:rPr>
            </w:pPr>
            <w:r>
              <w:rPr>
                <w:color w:val="231F20"/>
                <w:w w:val="109"/>
                <w:sz w:val="19"/>
              </w:rPr>
              <w:t>0</w:t>
            </w:r>
          </w:p>
        </w:tc>
        <w:tc>
          <w:tcPr>
            <w:tcW w:w="1411" w:type="dxa"/>
          </w:tcPr>
          <w:p>
            <w:pPr>
              <w:pStyle w:val="TableParagraph"/>
              <w:spacing w:before="68"/>
              <w:ind w:right="500"/>
              <w:jc w:val="right"/>
              <w:rPr>
                <w:sz w:val="19"/>
              </w:rPr>
            </w:pPr>
            <w:r>
              <w:rPr>
                <w:color w:val="231F20"/>
                <w:w w:val="105"/>
                <w:sz w:val="19"/>
              </w:rPr>
              <w:t>101</w:t>
            </w:r>
          </w:p>
        </w:tc>
        <w:tc>
          <w:tcPr>
            <w:tcW w:w="1398" w:type="dxa"/>
          </w:tcPr>
          <w:p>
            <w:pPr>
              <w:pStyle w:val="TableParagraph"/>
              <w:spacing w:before="68"/>
              <w:ind w:left="489" w:right="377"/>
              <w:jc w:val="center"/>
              <w:rPr>
                <w:sz w:val="19"/>
              </w:rPr>
            </w:pPr>
            <w:r>
              <w:rPr>
                <w:color w:val="231F20"/>
                <w:w w:val="120"/>
                <w:sz w:val="19"/>
              </w:rPr>
              <w:t>0%</w:t>
            </w:r>
          </w:p>
        </w:tc>
        <w:tc>
          <w:tcPr>
            <w:tcW w:w="1431" w:type="dxa"/>
          </w:tcPr>
          <w:p>
            <w:pPr>
              <w:pStyle w:val="TableParagraph"/>
              <w:spacing w:before="68"/>
              <w:ind w:right="500"/>
              <w:jc w:val="right"/>
              <w:rPr>
                <w:sz w:val="19"/>
              </w:rPr>
            </w:pPr>
            <w:r>
              <w:rPr>
                <w:color w:val="231F20"/>
                <w:w w:val="110"/>
                <w:sz w:val="19"/>
              </w:rPr>
              <w:t>100%</w:t>
            </w:r>
          </w:p>
        </w:tc>
      </w:tr>
      <w:tr>
        <w:trPr>
          <w:trHeight w:val="344" w:hRule="atLeast"/>
        </w:trPr>
        <w:tc>
          <w:tcPr>
            <w:tcW w:w="1532" w:type="dxa"/>
            <w:shd w:val="clear" w:color="auto" w:fill="D4D8B8"/>
          </w:tcPr>
          <w:p>
            <w:pPr>
              <w:pStyle w:val="TableParagraph"/>
              <w:spacing w:before="69"/>
              <w:ind w:left="79"/>
              <w:rPr>
                <w:b/>
                <w:sz w:val="19"/>
              </w:rPr>
            </w:pPr>
            <w:r>
              <w:rPr>
                <w:b/>
                <w:color w:val="231F20"/>
                <w:w w:val="105"/>
                <w:sz w:val="19"/>
              </w:rPr>
              <w:t>Custody</w:t>
            </w:r>
          </w:p>
        </w:tc>
        <w:tc>
          <w:tcPr>
            <w:tcW w:w="1361" w:type="dxa"/>
          </w:tcPr>
          <w:p>
            <w:pPr>
              <w:pStyle w:val="TableParagraph"/>
              <w:spacing w:before="68"/>
              <w:ind w:right="498"/>
              <w:jc w:val="right"/>
              <w:rPr>
                <w:sz w:val="19"/>
              </w:rPr>
            </w:pPr>
            <w:r>
              <w:rPr>
                <w:color w:val="231F20"/>
                <w:w w:val="109"/>
                <w:sz w:val="19"/>
              </w:rPr>
              <w:t>5</w:t>
            </w:r>
          </w:p>
        </w:tc>
        <w:tc>
          <w:tcPr>
            <w:tcW w:w="1361" w:type="dxa"/>
          </w:tcPr>
          <w:p>
            <w:pPr>
              <w:pStyle w:val="TableParagraph"/>
              <w:spacing w:before="68"/>
              <w:ind w:right="498"/>
              <w:jc w:val="right"/>
              <w:rPr>
                <w:sz w:val="19"/>
              </w:rPr>
            </w:pPr>
            <w:r>
              <w:rPr>
                <w:color w:val="231F20"/>
                <w:w w:val="109"/>
                <w:sz w:val="19"/>
              </w:rPr>
              <w:t>0</w:t>
            </w:r>
          </w:p>
        </w:tc>
        <w:tc>
          <w:tcPr>
            <w:tcW w:w="1411" w:type="dxa"/>
          </w:tcPr>
          <w:p>
            <w:pPr>
              <w:pStyle w:val="TableParagraph"/>
              <w:spacing w:before="68"/>
              <w:ind w:right="498"/>
              <w:jc w:val="right"/>
              <w:rPr>
                <w:sz w:val="19"/>
              </w:rPr>
            </w:pPr>
            <w:r>
              <w:rPr>
                <w:color w:val="231F20"/>
                <w:w w:val="109"/>
                <w:sz w:val="19"/>
              </w:rPr>
              <w:t>5</w:t>
            </w:r>
          </w:p>
        </w:tc>
        <w:tc>
          <w:tcPr>
            <w:tcW w:w="1398" w:type="dxa"/>
          </w:tcPr>
          <w:p>
            <w:pPr>
              <w:pStyle w:val="TableParagraph"/>
              <w:spacing w:before="68"/>
              <w:ind w:left="489" w:right="377"/>
              <w:jc w:val="center"/>
              <w:rPr>
                <w:sz w:val="19"/>
              </w:rPr>
            </w:pPr>
            <w:r>
              <w:rPr>
                <w:color w:val="231F20"/>
                <w:w w:val="120"/>
                <w:sz w:val="19"/>
              </w:rPr>
              <w:t>0%</w:t>
            </w:r>
          </w:p>
        </w:tc>
        <w:tc>
          <w:tcPr>
            <w:tcW w:w="1431" w:type="dxa"/>
          </w:tcPr>
          <w:p>
            <w:pPr>
              <w:pStyle w:val="TableParagraph"/>
              <w:spacing w:before="68"/>
              <w:ind w:right="500"/>
              <w:jc w:val="right"/>
              <w:rPr>
                <w:sz w:val="19"/>
              </w:rPr>
            </w:pPr>
            <w:r>
              <w:rPr>
                <w:color w:val="231F20"/>
                <w:w w:val="110"/>
                <w:sz w:val="19"/>
              </w:rPr>
              <w:t>100%</w:t>
            </w:r>
          </w:p>
        </w:tc>
      </w:tr>
      <w:tr>
        <w:trPr>
          <w:trHeight w:val="574" w:hRule="atLeast"/>
        </w:trPr>
        <w:tc>
          <w:tcPr>
            <w:tcW w:w="1532" w:type="dxa"/>
            <w:shd w:val="clear" w:color="auto" w:fill="D4D8B8"/>
          </w:tcPr>
          <w:p>
            <w:pPr>
              <w:pStyle w:val="TableParagraph"/>
              <w:spacing w:before="69"/>
              <w:ind w:left="79"/>
              <w:rPr>
                <w:b/>
                <w:sz w:val="19"/>
              </w:rPr>
            </w:pPr>
            <w:r>
              <w:rPr>
                <w:b/>
                <w:color w:val="231F20"/>
                <w:sz w:val="19"/>
              </w:rPr>
              <w:t>Estate Administration</w:t>
            </w:r>
          </w:p>
        </w:tc>
        <w:tc>
          <w:tcPr>
            <w:tcW w:w="1361" w:type="dxa"/>
          </w:tcPr>
          <w:p>
            <w:pPr>
              <w:pStyle w:val="TableParagraph"/>
              <w:spacing w:before="68"/>
              <w:ind w:right="500"/>
              <w:jc w:val="right"/>
              <w:rPr>
                <w:sz w:val="19"/>
              </w:rPr>
            </w:pPr>
            <w:r>
              <w:rPr>
                <w:color w:val="231F20"/>
                <w:w w:val="105"/>
                <w:sz w:val="19"/>
              </w:rPr>
              <w:t>50</w:t>
            </w:r>
          </w:p>
        </w:tc>
        <w:tc>
          <w:tcPr>
            <w:tcW w:w="1361" w:type="dxa"/>
          </w:tcPr>
          <w:p>
            <w:pPr>
              <w:pStyle w:val="TableParagraph"/>
              <w:spacing w:before="68"/>
              <w:ind w:right="498"/>
              <w:jc w:val="right"/>
              <w:rPr>
                <w:sz w:val="19"/>
              </w:rPr>
            </w:pPr>
            <w:r>
              <w:rPr>
                <w:color w:val="231F20"/>
                <w:w w:val="109"/>
                <w:sz w:val="19"/>
              </w:rPr>
              <w:t>0</w:t>
            </w:r>
          </w:p>
        </w:tc>
        <w:tc>
          <w:tcPr>
            <w:tcW w:w="1411" w:type="dxa"/>
          </w:tcPr>
          <w:p>
            <w:pPr>
              <w:pStyle w:val="TableParagraph"/>
              <w:spacing w:before="68"/>
              <w:ind w:right="500"/>
              <w:jc w:val="right"/>
              <w:rPr>
                <w:sz w:val="19"/>
              </w:rPr>
            </w:pPr>
            <w:r>
              <w:rPr>
                <w:color w:val="231F20"/>
                <w:w w:val="105"/>
                <w:sz w:val="19"/>
              </w:rPr>
              <w:t>50</w:t>
            </w:r>
          </w:p>
        </w:tc>
        <w:tc>
          <w:tcPr>
            <w:tcW w:w="1398" w:type="dxa"/>
          </w:tcPr>
          <w:p>
            <w:pPr>
              <w:pStyle w:val="TableParagraph"/>
              <w:spacing w:before="68"/>
              <w:ind w:left="489" w:right="377"/>
              <w:jc w:val="center"/>
              <w:rPr>
                <w:sz w:val="19"/>
              </w:rPr>
            </w:pPr>
            <w:r>
              <w:rPr>
                <w:color w:val="231F20"/>
                <w:w w:val="120"/>
                <w:sz w:val="19"/>
              </w:rPr>
              <w:t>0%</w:t>
            </w:r>
          </w:p>
        </w:tc>
        <w:tc>
          <w:tcPr>
            <w:tcW w:w="1431" w:type="dxa"/>
          </w:tcPr>
          <w:p>
            <w:pPr>
              <w:pStyle w:val="TableParagraph"/>
              <w:spacing w:before="68"/>
              <w:ind w:right="500"/>
              <w:jc w:val="right"/>
              <w:rPr>
                <w:sz w:val="19"/>
              </w:rPr>
            </w:pPr>
            <w:r>
              <w:rPr>
                <w:color w:val="231F20"/>
                <w:w w:val="110"/>
                <w:sz w:val="19"/>
              </w:rPr>
              <w:t>100%</w:t>
            </w:r>
          </w:p>
        </w:tc>
      </w:tr>
      <w:tr>
        <w:trPr>
          <w:trHeight w:val="344" w:hRule="atLeast"/>
        </w:trPr>
        <w:tc>
          <w:tcPr>
            <w:tcW w:w="1532" w:type="dxa"/>
            <w:shd w:val="clear" w:color="auto" w:fill="92BAC2"/>
          </w:tcPr>
          <w:p>
            <w:pPr>
              <w:pStyle w:val="TableParagraph"/>
              <w:spacing w:before="69"/>
              <w:ind w:left="79"/>
              <w:rPr>
                <w:b/>
                <w:sz w:val="19"/>
              </w:rPr>
            </w:pPr>
            <w:r>
              <w:rPr>
                <w:b/>
                <w:color w:val="231F20"/>
                <w:w w:val="115"/>
                <w:sz w:val="19"/>
              </w:rPr>
              <w:t>TOTAL</w:t>
            </w:r>
          </w:p>
        </w:tc>
        <w:tc>
          <w:tcPr>
            <w:tcW w:w="1361" w:type="dxa"/>
            <w:shd w:val="clear" w:color="auto" w:fill="92BAC2"/>
          </w:tcPr>
          <w:p>
            <w:pPr>
              <w:pStyle w:val="TableParagraph"/>
              <w:spacing w:before="69"/>
              <w:ind w:right="500"/>
              <w:jc w:val="right"/>
              <w:rPr>
                <w:b/>
                <w:sz w:val="19"/>
              </w:rPr>
            </w:pPr>
            <w:r>
              <w:rPr>
                <w:b/>
                <w:color w:val="231F20"/>
                <w:w w:val="105"/>
                <w:sz w:val="19"/>
              </w:rPr>
              <w:t>795</w:t>
            </w:r>
          </w:p>
        </w:tc>
        <w:tc>
          <w:tcPr>
            <w:tcW w:w="1361" w:type="dxa"/>
            <w:shd w:val="clear" w:color="auto" w:fill="92BAC2"/>
          </w:tcPr>
          <w:p>
            <w:pPr>
              <w:pStyle w:val="TableParagraph"/>
              <w:spacing w:before="69"/>
              <w:ind w:right="500"/>
              <w:jc w:val="right"/>
              <w:rPr>
                <w:b/>
                <w:sz w:val="19"/>
              </w:rPr>
            </w:pPr>
            <w:r>
              <w:rPr>
                <w:b/>
                <w:color w:val="231F20"/>
                <w:w w:val="105"/>
                <w:sz w:val="19"/>
              </w:rPr>
              <w:t>10</w:t>
            </w:r>
          </w:p>
        </w:tc>
        <w:tc>
          <w:tcPr>
            <w:tcW w:w="1411" w:type="dxa"/>
            <w:shd w:val="clear" w:color="auto" w:fill="92BAC2"/>
          </w:tcPr>
          <w:p>
            <w:pPr>
              <w:pStyle w:val="TableParagraph"/>
              <w:spacing w:before="69"/>
              <w:ind w:right="500"/>
              <w:jc w:val="right"/>
              <w:rPr>
                <w:b/>
                <w:sz w:val="19"/>
              </w:rPr>
            </w:pPr>
            <w:r>
              <w:rPr>
                <w:b/>
                <w:color w:val="231F20"/>
                <w:w w:val="105"/>
                <w:sz w:val="19"/>
              </w:rPr>
              <w:t>785</w:t>
            </w:r>
          </w:p>
        </w:tc>
        <w:tc>
          <w:tcPr>
            <w:tcW w:w="1398" w:type="dxa"/>
            <w:shd w:val="clear" w:color="auto" w:fill="92BAC2"/>
          </w:tcPr>
          <w:p>
            <w:pPr>
              <w:pStyle w:val="TableParagraph"/>
              <w:spacing w:before="69"/>
              <w:ind w:left="489" w:right="398"/>
              <w:jc w:val="center"/>
              <w:rPr>
                <w:b/>
                <w:sz w:val="19"/>
              </w:rPr>
            </w:pPr>
            <w:r>
              <w:rPr>
                <w:b/>
                <w:color w:val="231F20"/>
                <w:w w:val="125"/>
                <w:sz w:val="19"/>
              </w:rPr>
              <w:t>1%</w:t>
            </w:r>
          </w:p>
        </w:tc>
        <w:tc>
          <w:tcPr>
            <w:tcW w:w="1431" w:type="dxa"/>
            <w:shd w:val="clear" w:color="auto" w:fill="92BAC2"/>
          </w:tcPr>
          <w:p>
            <w:pPr>
              <w:pStyle w:val="TableParagraph"/>
              <w:spacing w:before="69"/>
              <w:ind w:right="500"/>
              <w:jc w:val="right"/>
              <w:rPr>
                <w:b/>
                <w:sz w:val="19"/>
              </w:rPr>
            </w:pPr>
            <w:r>
              <w:rPr>
                <w:b/>
                <w:color w:val="231F20"/>
                <w:w w:val="120"/>
                <w:sz w:val="19"/>
              </w:rPr>
              <w:t>99%</w:t>
            </w:r>
          </w:p>
        </w:tc>
      </w:tr>
    </w:tbl>
    <w:p>
      <w:pPr>
        <w:spacing w:after="0"/>
        <w:jc w:val="right"/>
        <w:rPr>
          <w:sz w:val="19"/>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5623">
            <wp:simplePos x="0" y="0"/>
            <wp:positionH relativeFrom="page">
              <wp:posOffset>0</wp:posOffset>
            </wp:positionH>
            <wp:positionV relativeFrom="paragraph">
              <wp:posOffset>373881</wp:posOffset>
            </wp:positionV>
            <wp:extent cx="7559992" cy="143992"/>
            <wp:effectExtent l="0" t="0" r="0" b="0"/>
            <wp:wrapNone/>
            <wp:docPr id="39" name="image39.png" descr=""/>
            <wp:cNvGraphicFramePr>
              <a:graphicFrameLocks noChangeAspect="1"/>
            </wp:cNvGraphicFramePr>
            <a:graphic>
              <a:graphicData uri="http://schemas.openxmlformats.org/drawingml/2006/picture">
                <pic:pic>
                  <pic:nvPicPr>
                    <pic:cNvPr id="40"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26</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12"/>
        <w:rPr>
          <w:b/>
          <w:sz w:val="14"/>
        </w:rPr>
      </w:pPr>
    </w:p>
    <w:p>
      <w:pPr>
        <w:pStyle w:val="BodyText"/>
        <w:spacing w:before="93"/>
        <w:ind w:left="1700"/>
      </w:pPr>
      <w:r>
        <w:rPr>
          <w:color w:val="231F20"/>
          <w:w w:val="105"/>
        </w:rPr>
        <w:t>The percentage of appeals – 2011 Baseline Report</w:t>
      </w:r>
    </w:p>
    <w:p>
      <w:pPr>
        <w:pStyle w:val="BodyText"/>
        <w:spacing w:before="7"/>
        <w:rPr>
          <w:sz w:val="6"/>
        </w:rPr>
      </w:pPr>
    </w:p>
    <w:tbl>
      <w:tblPr>
        <w:tblW w:w="0" w:type="auto"/>
        <w:jc w:val="left"/>
        <w:tblInd w:w="1708"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225"/>
        <w:gridCol w:w="1066"/>
        <w:gridCol w:w="1361"/>
        <w:gridCol w:w="1361"/>
        <w:gridCol w:w="1093"/>
        <w:gridCol w:w="1261"/>
      </w:tblGrid>
      <w:tr>
        <w:trPr>
          <w:trHeight w:val="632" w:hRule="atLeast"/>
        </w:trPr>
        <w:tc>
          <w:tcPr>
            <w:tcW w:w="1124" w:type="dxa"/>
            <w:tcBorders>
              <w:left w:val="single" w:sz="6" w:space="0" w:color="808285"/>
              <w:right w:val="single" w:sz="6" w:space="0" w:color="808285"/>
            </w:tcBorders>
            <w:shd w:val="clear" w:color="auto" w:fill="92BAC2"/>
          </w:tcPr>
          <w:p>
            <w:pPr>
              <w:pStyle w:val="TableParagraph"/>
              <w:spacing w:before="75"/>
              <w:ind w:left="77"/>
              <w:rPr>
                <w:b/>
                <w:sz w:val="15"/>
              </w:rPr>
            </w:pPr>
            <w:r>
              <w:rPr>
                <w:b/>
                <w:color w:val="231F20"/>
                <w:w w:val="110"/>
                <w:sz w:val="15"/>
              </w:rPr>
              <w:t>Cook Islands</w:t>
            </w:r>
          </w:p>
        </w:tc>
        <w:tc>
          <w:tcPr>
            <w:tcW w:w="1225" w:type="dxa"/>
            <w:tcBorders>
              <w:left w:val="single" w:sz="6" w:space="0" w:color="808285"/>
            </w:tcBorders>
            <w:shd w:val="clear" w:color="auto" w:fill="92BAC2"/>
          </w:tcPr>
          <w:p>
            <w:pPr>
              <w:pStyle w:val="TableParagraph"/>
              <w:spacing w:line="223" w:lineRule="auto" w:before="85"/>
              <w:ind w:left="77" w:right="389"/>
              <w:rPr>
                <w:b/>
                <w:sz w:val="15"/>
              </w:rPr>
            </w:pPr>
            <w:r>
              <w:rPr>
                <w:b/>
                <w:color w:val="231F20"/>
                <w:w w:val="105"/>
                <w:sz w:val="15"/>
              </w:rPr>
              <w:t>Federated States of Micronesia</w:t>
            </w:r>
          </w:p>
        </w:tc>
        <w:tc>
          <w:tcPr>
            <w:tcW w:w="1066" w:type="dxa"/>
            <w:shd w:val="clear" w:color="auto" w:fill="92BAC2"/>
          </w:tcPr>
          <w:p>
            <w:pPr>
              <w:pStyle w:val="TableParagraph"/>
              <w:spacing w:line="223" w:lineRule="auto" w:before="85"/>
              <w:ind w:left="79" w:right="145"/>
              <w:rPr>
                <w:b/>
                <w:sz w:val="15"/>
              </w:rPr>
            </w:pPr>
            <w:r>
              <w:rPr>
                <w:b/>
                <w:color w:val="231F20"/>
                <w:w w:val="110"/>
                <w:sz w:val="15"/>
              </w:rPr>
              <w:t>Kiribati Islands</w:t>
            </w:r>
          </w:p>
        </w:tc>
        <w:tc>
          <w:tcPr>
            <w:tcW w:w="1361" w:type="dxa"/>
            <w:shd w:val="clear" w:color="auto" w:fill="92BAC2"/>
          </w:tcPr>
          <w:p>
            <w:pPr>
              <w:pStyle w:val="TableParagraph"/>
              <w:spacing w:before="75"/>
              <w:ind w:left="79"/>
              <w:rPr>
                <w:b/>
                <w:sz w:val="15"/>
              </w:rPr>
            </w:pPr>
            <w:r>
              <w:rPr>
                <w:b/>
                <w:color w:val="231F20"/>
                <w:w w:val="105"/>
                <w:sz w:val="15"/>
              </w:rPr>
              <w:t>Marshall Islands</w:t>
            </w:r>
          </w:p>
        </w:tc>
        <w:tc>
          <w:tcPr>
            <w:tcW w:w="1361" w:type="dxa"/>
            <w:shd w:val="clear" w:color="auto" w:fill="92BAC2"/>
          </w:tcPr>
          <w:p>
            <w:pPr>
              <w:pStyle w:val="TableParagraph"/>
              <w:spacing w:before="75"/>
              <w:ind w:left="78"/>
              <w:rPr>
                <w:b/>
                <w:sz w:val="15"/>
              </w:rPr>
            </w:pPr>
            <w:r>
              <w:rPr>
                <w:b/>
                <w:color w:val="231F20"/>
                <w:w w:val="110"/>
                <w:sz w:val="15"/>
              </w:rPr>
              <w:t>Nauru</w:t>
            </w:r>
          </w:p>
        </w:tc>
        <w:tc>
          <w:tcPr>
            <w:tcW w:w="1093" w:type="dxa"/>
            <w:shd w:val="clear" w:color="auto" w:fill="92BAC2"/>
          </w:tcPr>
          <w:p>
            <w:pPr>
              <w:pStyle w:val="TableParagraph"/>
              <w:spacing w:before="75"/>
              <w:ind w:left="78"/>
              <w:rPr>
                <w:b/>
                <w:sz w:val="15"/>
              </w:rPr>
            </w:pPr>
            <w:r>
              <w:rPr>
                <w:b/>
                <w:color w:val="231F20"/>
                <w:w w:val="110"/>
                <w:sz w:val="15"/>
              </w:rPr>
              <w:t>Niue</w:t>
            </w:r>
          </w:p>
        </w:tc>
        <w:tc>
          <w:tcPr>
            <w:tcW w:w="1261" w:type="dxa"/>
            <w:shd w:val="clear" w:color="auto" w:fill="92BAC2"/>
          </w:tcPr>
          <w:p>
            <w:pPr>
              <w:pStyle w:val="TableParagraph"/>
              <w:spacing w:before="75"/>
              <w:ind w:left="77"/>
              <w:rPr>
                <w:b/>
                <w:sz w:val="15"/>
              </w:rPr>
            </w:pPr>
            <w:r>
              <w:rPr>
                <w:b/>
                <w:color w:val="231F20"/>
                <w:w w:val="105"/>
                <w:sz w:val="15"/>
              </w:rPr>
              <w:t>Palau</w:t>
            </w:r>
          </w:p>
        </w:tc>
      </w:tr>
      <w:tr>
        <w:trPr>
          <w:trHeight w:val="859" w:hRule="atLeast"/>
        </w:trPr>
        <w:tc>
          <w:tcPr>
            <w:tcW w:w="1124" w:type="dxa"/>
            <w:tcBorders>
              <w:left w:val="single" w:sz="6" w:space="0" w:color="808285"/>
              <w:right w:val="single" w:sz="6" w:space="0" w:color="808285"/>
            </w:tcBorders>
            <w:shd w:val="clear" w:color="auto" w:fill="F2CDBE"/>
          </w:tcPr>
          <w:p>
            <w:pPr>
              <w:pStyle w:val="TableParagraph"/>
              <w:spacing w:line="223" w:lineRule="auto" w:before="84"/>
              <w:ind w:left="77"/>
              <w:rPr>
                <w:sz w:val="15"/>
              </w:rPr>
            </w:pPr>
            <w:r>
              <w:rPr>
                <w:color w:val="231F20"/>
                <w:w w:val="110"/>
                <w:sz w:val="15"/>
              </w:rPr>
              <w:t>Data unavailable</w:t>
            </w:r>
          </w:p>
        </w:tc>
        <w:tc>
          <w:tcPr>
            <w:tcW w:w="1225" w:type="dxa"/>
            <w:tcBorders>
              <w:left w:val="single" w:sz="6" w:space="0" w:color="808285"/>
            </w:tcBorders>
            <w:shd w:val="clear" w:color="auto" w:fill="F2CDBE"/>
          </w:tcPr>
          <w:p>
            <w:pPr>
              <w:pStyle w:val="TableParagraph"/>
              <w:spacing w:line="223" w:lineRule="auto" w:before="84"/>
              <w:ind w:left="77" w:right="73"/>
              <w:rPr>
                <w:sz w:val="15"/>
              </w:rPr>
            </w:pPr>
            <w:r>
              <w:rPr>
                <w:color w:val="231F20"/>
                <w:w w:val="110"/>
                <w:sz w:val="15"/>
              </w:rPr>
              <w:t>Data unavailable</w:t>
            </w:r>
          </w:p>
        </w:tc>
        <w:tc>
          <w:tcPr>
            <w:tcW w:w="1066" w:type="dxa"/>
            <w:shd w:val="clear" w:color="auto" w:fill="F2CDBE"/>
          </w:tcPr>
          <w:p>
            <w:pPr>
              <w:pStyle w:val="TableParagraph"/>
              <w:spacing w:line="223" w:lineRule="auto" w:before="84"/>
              <w:ind w:left="79" w:right="145"/>
              <w:rPr>
                <w:sz w:val="15"/>
              </w:rPr>
            </w:pPr>
            <w:r>
              <w:rPr>
                <w:color w:val="231F20"/>
                <w:w w:val="110"/>
                <w:sz w:val="15"/>
              </w:rPr>
              <w:t>Data unavailable</w:t>
            </w:r>
          </w:p>
        </w:tc>
        <w:tc>
          <w:tcPr>
            <w:tcW w:w="1361" w:type="dxa"/>
            <w:shd w:val="clear" w:color="auto" w:fill="D8E3CE"/>
          </w:tcPr>
          <w:p>
            <w:pPr>
              <w:pStyle w:val="TableParagraph"/>
              <w:spacing w:line="177" w:lineRule="exact" w:before="75"/>
              <w:ind w:left="79"/>
              <w:rPr>
                <w:sz w:val="15"/>
              </w:rPr>
            </w:pPr>
            <w:r>
              <w:rPr>
                <w:b/>
                <w:color w:val="231F20"/>
                <w:w w:val="115"/>
                <w:sz w:val="15"/>
              </w:rPr>
              <w:t>High Court </w:t>
            </w:r>
            <w:r>
              <w:rPr>
                <w:color w:val="231F20"/>
                <w:w w:val="115"/>
                <w:sz w:val="15"/>
              </w:rPr>
              <w:t>1%</w:t>
            </w:r>
          </w:p>
          <w:p>
            <w:pPr>
              <w:pStyle w:val="TableParagraph"/>
              <w:spacing w:line="177" w:lineRule="exact"/>
              <w:ind w:left="79"/>
              <w:rPr>
                <w:sz w:val="15"/>
              </w:rPr>
            </w:pPr>
            <w:r>
              <w:rPr>
                <w:color w:val="231F20"/>
                <w:w w:val="110"/>
                <w:sz w:val="15"/>
              </w:rPr>
              <w:t>(2010).</w:t>
            </w:r>
          </w:p>
          <w:p>
            <w:pPr>
              <w:pStyle w:val="TableParagraph"/>
              <w:spacing w:line="177" w:lineRule="exact" w:before="43"/>
              <w:ind w:left="79"/>
              <w:rPr>
                <w:b/>
                <w:sz w:val="15"/>
              </w:rPr>
            </w:pPr>
            <w:r>
              <w:rPr>
                <w:b/>
                <w:color w:val="231F20"/>
                <w:w w:val="110"/>
                <w:sz w:val="15"/>
              </w:rPr>
              <w:t>District Court</w:t>
            </w:r>
          </w:p>
          <w:p>
            <w:pPr>
              <w:pStyle w:val="TableParagraph"/>
              <w:spacing w:line="177" w:lineRule="exact"/>
              <w:ind w:left="79"/>
              <w:rPr>
                <w:sz w:val="15"/>
              </w:rPr>
            </w:pPr>
            <w:r>
              <w:rPr>
                <w:color w:val="231F20"/>
                <w:w w:val="120"/>
                <w:sz w:val="15"/>
              </w:rPr>
              <w:t>0%</w:t>
            </w:r>
          </w:p>
        </w:tc>
        <w:tc>
          <w:tcPr>
            <w:tcW w:w="1361" w:type="dxa"/>
            <w:shd w:val="clear" w:color="auto" w:fill="F2CDBE"/>
          </w:tcPr>
          <w:p>
            <w:pPr>
              <w:pStyle w:val="TableParagraph"/>
              <w:spacing w:line="177" w:lineRule="exact" w:before="75"/>
              <w:ind w:left="78"/>
              <w:rPr>
                <w:b/>
                <w:sz w:val="15"/>
              </w:rPr>
            </w:pPr>
            <w:r>
              <w:rPr>
                <w:b/>
                <w:color w:val="231F20"/>
                <w:w w:val="110"/>
                <w:sz w:val="15"/>
              </w:rPr>
              <w:t>Supreme Court</w:t>
            </w:r>
          </w:p>
          <w:p>
            <w:pPr>
              <w:pStyle w:val="TableParagraph"/>
              <w:spacing w:line="177" w:lineRule="exact"/>
              <w:ind w:left="78"/>
              <w:rPr>
                <w:sz w:val="15"/>
              </w:rPr>
            </w:pPr>
            <w:r>
              <w:rPr>
                <w:color w:val="231F20"/>
                <w:w w:val="110"/>
                <w:sz w:val="15"/>
              </w:rPr>
              <w:t>Data unavailable</w:t>
            </w:r>
          </w:p>
          <w:p>
            <w:pPr>
              <w:pStyle w:val="TableParagraph"/>
              <w:spacing w:line="177" w:lineRule="exact" w:before="43"/>
              <w:ind w:left="78"/>
              <w:rPr>
                <w:b/>
                <w:sz w:val="15"/>
              </w:rPr>
            </w:pPr>
            <w:r>
              <w:rPr>
                <w:b/>
                <w:color w:val="231F20"/>
                <w:w w:val="110"/>
                <w:sz w:val="15"/>
              </w:rPr>
              <w:t>Magistrates Court</w:t>
            </w:r>
          </w:p>
          <w:p>
            <w:pPr>
              <w:pStyle w:val="TableParagraph"/>
              <w:spacing w:line="177" w:lineRule="exact"/>
              <w:ind w:left="78"/>
              <w:rPr>
                <w:sz w:val="15"/>
              </w:rPr>
            </w:pPr>
            <w:r>
              <w:rPr>
                <w:color w:val="231F20"/>
                <w:w w:val="110"/>
                <w:sz w:val="15"/>
              </w:rPr>
              <w:t>Data unavailable</w:t>
            </w:r>
          </w:p>
        </w:tc>
        <w:tc>
          <w:tcPr>
            <w:tcW w:w="1093" w:type="dxa"/>
            <w:shd w:val="clear" w:color="auto" w:fill="D8E3CE"/>
          </w:tcPr>
          <w:p>
            <w:pPr>
              <w:pStyle w:val="TableParagraph"/>
              <w:spacing w:before="74"/>
              <w:ind w:left="78"/>
              <w:rPr>
                <w:sz w:val="15"/>
              </w:rPr>
            </w:pPr>
            <w:r>
              <w:rPr>
                <w:color w:val="231F20"/>
                <w:w w:val="120"/>
                <w:sz w:val="15"/>
              </w:rPr>
              <w:t>0.43%</w:t>
            </w:r>
          </w:p>
        </w:tc>
        <w:tc>
          <w:tcPr>
            <w:tcW w:w="1261" w:type="dxa"/>
            <w:shd w:val="clear" w:color="auto" w:fill="D8E3CE"/>
          </w:tcPr>
          <w:p>
            <w:pPr>
              <w:pStyle w:val="TableParagraph"/>
              <w:spacing w:line="223" w:lineRule="auto" w:before="85"/>
              <w:ind w:left="77" w:right="136"/>
              <w:rPr>
                <w:sz w:val="15"/>
              </w:rPr>
            </w:pPr>
            <w:r>
              <w:rPr>
                <w:b/>
                <w:color w:val="231F20"/>
                <w:w w:val="110"/>
                <w:sz w:val="15"/>
              </w:rPr>
              <w:t>Court of Common Pleas </w:t>
            </w:r>
            <w:r>
              <w:rPr>
                <w:color w:val="231F20"/>
                <w:w w:val="110"/>
                <w:sz w:val="15"/>
              </w:rPr>
              <w:t>0%</w:t>
            </w:r>
          </w:p>
        </w:tc>
      </w:tr>
      <w:tr>
        <w:trPr>
          <w:trHeight w:val="462" w:hRule="atLeast"/>
        </w:trPr>
        <w:tc>
          <w:tcPr>
            <w:tcW w:w="1124" w:type="dxa"/>
            <w:tcBorders>
              <w:left w:val="single" w:sz="6" w:space="0" w:color="808285"/>
              <w:right w:val="single" w:sz="6" w:space="0" w:color="808285"/>
            </w:tcBorders>
            <w:shd w:val="clear" w:color="auto" w:fill="92BAC2"/>
          </w:tcPr>
          <w:p>
            <w:pPr>
              <w:pStyle w:val="TableParagraph"/>
              <w:spacing w:line="223" w:lineRule="auto" w:before="85"/>
              <w:ind w:left="77"/>
              <w:rPr>
                <w:b/>
                <w:sz w:val="15"/>
              </w:rPr>
            </w:pPr>
            <w:r>
              <w:rPr>
                <w:b/>
                <w:color w:val="231F20"/>
                <w:w w:val="110"/>
                <w:sz w:val="15"/>
              </w:rPr>
              <w:t>Papua New Guinea</w:t>
            </w:r>
          </w:p>
        </w:tc>
        <w:tc>
          <w:tcPr>
            <w:tcW w:w="1225" w:type="dxa"/>
            <w:tcBorders>
              <w:left w:val="single" w:sz="6" w:space="0" w:color="808285"/>
            </w:tcBorders>
            <w:shd w:val="clear" w:color="auto" w:fill="92BAC2"/>
          </w:tcPr>
          <w:p>
            <w:pPr>
              <w:pStyle w:val="TableParagraph"/>
              <w:spacing w:before="75"/>
              <w:ind w:left="77"/>
              <w:rPr>
                <w:b/>
                <w:sz w:val="15"/>
              </w:rPr>
            </w:pPr>
            <w:r>
              <w:rPr>
                <w:b/>
                <w:color w:val="231F20"/>
                <w:w w:val="105"/>
                <w:sz w:val="15"/>
              </w:rPr>
              <w:t>Samoa</w:t>
            </w:r>
          </w:p>
        </w:tc>
        <w:tc>
          <w:tcPr>
            <w:tcW w:w="1066" w:type="dxa"/>
            <w:shd w:val="clear" w:color="auto" w:fill="92BAC2"/>
          </w:tcPr>
          <w:p>
            <w:pPr>
              <w:pStyle w:val="TableParagraph"/>
              <w:spacing w:line="223" w:lineRule="auto" w:before="85"/>
              <w:ind w:left="79" w:right="377"/>
              <w:rPr>
                <w:b/>
                <w:sz w:val="15"/>
              </w:rPr>
            </w:pPr>
            <w:r>
              <w:rPr>
                <w:b/>
                <w:color w:val="231F20"/>
                <w:w w:val="105"/>
                <w:sz w:val="15"/>
              </w:rPr>
              <w:t>Solomon </w:t>
            </w:r>
            <w:r>
              <w:rPr>
                <w:b/>
                <w:color w:val="231F20"/>
                <w:w w:val="110"/>
                <w:sz w:val="15"/>
              </w:rPr>
              <w:t>Islands</w:t>
            </w:r>
          </w:p>
        </w:tc>
        <w:tc>
          <w:tcPr>
            <w:tcW w:w="1361" w:type="dxa"/>
            <w:shd w:val="clear" w:color="auto" w:fill="92BAC2"/>
          </w:tcPr>
          <w:p>
            <w:pPr>
              <w:pStyle w:val="TableParagraph"/>
              <w:spacing w:before="75"/>
              <w:ind w:left="79"/>
              <w:rPr>
                <w:b/>
                <w:sz w:val="15"/>
              </w:rPr>
            </w:pPr>
            <w:r>
              <w:rPr>
                <w:b/>
                <w:color w:val="231F20"/>
                <w:w w:val="110"/>
                <w:sz w:val="15"/>
              </w:rPr>
              <w:t>Tokelau</w:t>
            </w:r>
          </w:p>
        </w:tc>
        <w:tc>
          <w:tcPr>
            <w:tcW w:w="1361" w:type="dxa"/>
            <w:shd w:val="clear" w:color="auto" w:fill="92BAC2"/>
          </w:tcPr>
          <w:p>
            <w:pPr>
              <w:pStyle w:val="TableParagraph"/>
              <w:spacing w:before="75"/>
              <w:ind w:left="78"/>
              <w:rPr>
                <w:b/>
                <w:sz w:val="15"/>
              </w:rPr>
            </w:pPr>
            <w:r>
              <w:rPr>
                <w:b/>
                <w:color w:val="231F20"/>
                <w:w w:val="110"/>
                <w:sz w:val="15"/>
              </w:rPr>
              <w:t>Tonga</w:t>
            </w:r>
          </w:p>
        </w:tc>
        <w:tc>
          <w:tcPr>
            <w:tcW w:w="1093" w:type="dxa"/>
            <w:shd w:val="clear" w:color="auto" w:fill="92BAC2"/>
          </w:tcPr>
          <w:p>
            <w:pPr>
              <w:pStyle w:val="TableParagraph"/>
              <w:spacing w:before="75"/>
              <w:ind w:left="78"/>
              <w:rPr>
                <w:b/>
                <w:sz w:val="15"/>
              </w:rPr>
            </w:pPr>
            <w:r>
              <w:rPr>
                <w:b/>
                <w:color w:val="231F20"/>
                <w:w w:val="110"/>
                <w:sz w:val="15"/>
              </w:rPr>
              <w:t>Tuvalu</w:t>
            </w:r>
          </w:p>
        </w:tc>
        <w:tc>
          <w:tcPr>
            <w:tcW w:w="1261" w:type="dxa"/>
            <w:shd w:val="clear" w:color="auto" w:fill="92BAC2"/>
          </w:tcPr>
          <w:p>
            <w:pPr>
              <w:pStyle w:val="TableParagraph"/>
              <w:spacing w:before="75"/>
              <w:ind w:left="77"/>
              <w:rPr>
                <w:b/>
                <w:sz w:val="15"/>
              </w:rPr>
            </w:pPr>
            <w:r>
              <w:rPr>
                <w:b/>
                <w:color w:val="231F20"/>
                <w:w w:val="105"/>
                <w:sz w:val="15"/>
              </w:rPr>
              <w:t>Vanuatu</w:t>
            </w:r>
          </w:p>
        </w:tc>
      </w:tr>
      <w:tr>
        <w:trPr>
          <w:trHeight w:val="475" w:hRule="atLeast"/>
        </w:trPr>
        <w:tc>
          <w:tcPr>
            <w:tcW w:w="1124" w:type="dxa"/>
            <w:vMerge w:val="restart"/>
            <w:tcBorders>
              <w:left w:val="single" w:sz="6" w:space="0" w:color="808285"/>
              <w:right w:val="single" w:sz="6" w:space="0" w:color="808285"/>
            </w:tcBorders>
            <w:shd w:val="clear" w:color="auto" w:fill="D8E3CE"/>
          </w:tcPr>
          <w:p>
            <w:pPr>
              <w:pStyle w:val="TableParagraph"/>
              <w:spacing w:line="223" w:lineRule="auto" w:before="85"/>
              <w:ind w:left="77" w:right="57"/>
              <w:rPr>
                <w:sz w:val="15"/>
              </w:rPr>
            </w:pPr>
            <w:r>
              <w:rPr>
                <w:b/>
                <w:color w:val="231F20"/>
                <w:w w:val="110"/>
                <w:sz w:val="15"/>
              </w:rPr>
              <w:t>Supreme Court </w:t>
            </w:r>
            <w:r>
              <w:rPr>
                <w:color w:val="231F20"/>
                <w:w w:val="110"/>
                <w:sz w:val="15"/>
              </w:rPr>
              <w:t>6%</w:t>
            </w:r>
          </w:p>
          <w:p>
            <w:pPr>
              <w:pStyle w:val="TableParagraph"/>
              <w:spacing w:line="173" w:lineRule="exact"/>
              <w:ind w:left="77"/>
              <w:rPr>
                <w:sz w:val="15"/>
              </w:rPr>
            </w:pPr>
            <w:r>
              <w:rPr>
                <w:color w:val="231F20"/>
                <w:w w:val="110"/>
                <w:sz w:val="15"/>
              </w:rPr>
              <w:t>(2007)</w:t>
            </w:r>
          </w:p>
        </w:tc>
        <w:tc>
          <w:tcPr>
            <w:tcW w:w="1225" w:type="dxa"/>
            <w:vMerge w:val="restart"/>
            <w:tcBorders>
              <w:left w:val="single" w:sz="6" w:space="0" w:color="808285"/>
            </w:tcBorders>
            <w:shd w:val="clear" w:color="auto" w:fill="F2CDBE"/>
          </w:tcPr>
          <w:p>
            <w:pPr>
              <w:pStyle w:val="TableParagraph"/>
              <w:spacing w:line="223" w:lineRule="auto" w:before="84"/>
              <w:ind w:left="77" w:right="73"/>
              <w:rPr>
                <w:sz w:val="15"/>
              </w:rPr>
            </w:pPr>
            <w:r>
              <w:rPr>
                <w:color w:val="231F20"/>
                <w:w w:val="110"/>
                <w:sz w:val="15"/>
              </w:rPr>
              <w:t>Data unavailable</w:t>
            </w:r>
          </w:p>
        </w:tc>
        <w:tc>
          <w:tcPr>
            <w:tcW w:w="1066" w:type="dxa"/>
            <w:vMerge w:val="restart"/>
            <w:shd w:val="clear" w:color="auto" w:fill="D8E3CE"/>
          </w:tcPr>
          <w:p>
            <w:pPr>
              <w:pStyle w:val="TableParagraph"/>
              <w:spacing w:line="223" w:lineRule="auto" w:before="85"/>
              <w:ind w:left="79" w:right="194"/>
              <w:rPr>
                <w:sz w:val="15"/>
              </w:rPr>
            </w:pPr>
            <w:r>
              <w:rPr>
                <w:b/>
                <w:color w:val="231F20"/>
                <w:w w:val="115"/>
                <w:sz w:val="15"/>
              </w:rPr>
              <w:t>High Court </w:t>
            </w:r>
            <w:r>
              <w:rPr>
                <w:color w:val="231F20"/>
                <w:w w:val="115"/>
                <w:sz w:val="15"/>
              </w:rPr>
              <w:t>High Court 2%</w:t>
            </w:r>
          </w:p>
        </w:tc>
        <w:tc>
          <w:tcPr>
            <w:tcW w:w="1361" w:type="dxa"/>
            <w:vMerge w:val="restart"/>
            <w:shd w:val="clear" w:color="auto" w:fill="F2CDBE"/>
          </w:tcPr>
          <w:p>
            <w:pPr>
              <w:pStyle w:val="TableParagraph"/>
              <w:spacing w:before="74"/>
              <w:ind w:left="79"/>
              <w:rPr>
                <w:sz w:val="15"/>
              </w:rPr>
            </w:pPr>
            <w:r>
              <w:rPr>
                <w:color w:val="231F20"/>
                <w:w w:val="110"/>
                <w:sz w:val="15"/>
              </w:rPr>
              <w:t>Data unavailable</w:t>
            </w:r>
          </w:p>
        </w:tc>
        <w:tc>
          <w:tcPr>
            <w:tcW w:w="1361" w:type="dxa"/>
            <w:vMerge w:val="restart"/>
            <w:shd w:val="clear" w:color="auto" w:fill="D8E3CE"/>
          </w:tcPr>
          <w:p>
            <w:pPr>
              <w:pStyle w:val="TableParagraph"/>
              <w:spacing w:line="177" w:lineRule="exact" w:before="75"/>
              <w:ind w:left="78"/>
              <w:rPr>
                <w:b/>
                <w:sz w:val="15"/>
              </w:rPr>
            </w:pPr>
            <w:r>
              <w:rPr>
                <w:b/>
                <w:color w:val="231F20"/>
                <w:w w:val="110"/>
                <w:sz w:val="15"/>
              </w:rPr>
              <w:t>Supreme Court</w:t>
            </w:r>
          </w:p>
          <w:p>
            <w:pPr>
              <w:pStyle w:val="TableParagraph"/>
              <w:spacing w:line="177" w:lineRule="exact"/>
              <w:ind w:left="78"/>
              <w:rPr>
                <w:sz w:val="15"/>
              </w:rPr>
            </w:pPr>
            <w:r>
              <w:rPr>
                <w:color w:val="231F20"/>
                <w:w w:val="115"/>
                <w:sz w:val="15"/>
              </w:rPr>
              <w:t>4% (2010)</w:t>
            </w:r>
          </w:p>
          <w:p>
            <w:pPr>
              <w:pStyle w:val="TableParagraph"/>
              <w:spacing w:line="223" w:lineRule="auto" w:before="53"/>
              <w:ind w:left="78" w:right="235"/>
              <w:rPr>
                <w:sz w:val="15"/>
              </w:rPr>
            </w:pPr>
            <w:r>
              <w:rPr>
                <w:b/>
                <w:color w:val="231F20"/>
                <w:w w:val="110"/>
                <w:sz w:val="15"/>
              </w:rPr>
              <w:t>Magistrates Court </w:t>
            </w:r>
            <w:r>
              <w:rPr>
                <w:color w:val="231F20"/>
                <w:w w:val="110"/>
                <w:sz w:val="15"/>
              </w:rPr>
              <w:t>0.002%</w:t>
            </w:r>
          </w:p>
          <w:p>
            <w:pPr>
              <w:pStyle w:val="TableParagraph"/>
              <w:spacing w:line="173" w:lineRule="exact"/>
              <w:ind w:left="78"/>
              <w:rPr>
                <w:sz w:val="15"/>
              </w:rPr>
            </w:pPr>
            <w:r>
              <w:rPr>
                <w:color w:val="231F20"/>
                <w:w w:val="110"/>
                <w:sz w:val="15"/>
              </w:rPr>
              <w:t>(2010)</w:t>
            </w:r>
          </w:p>
        </w:tc>
        <w:tc>
          <w:tcPr>
            <w:tcW w:w="1093" w:type="dxa"/>
            <w:vMerge w:val="restart"/>
            <w:shd w:val="clear" w:color="auto" w:fill="D8E3CE"/>
          </w:tcPr>
          <w:p>
            <w:pPr>
              <w:pStyle w:val="TableParagraph"/>
              <w:spacing w:before="74"/>
              <w:ind w:left="78"/>
              <w:rPr>
                <w:sz w:val="15"/>
              </w:rPr>
            </w:pPr>
            <w:r>
              <w:rPr>
                <w:color w:val="231F20"/>
                <w:w w:val="115"/>
                <w:sz w:val="15"/>
              </w:rPr>
              <w:t>0.005</w:t>
            </w:r>
          </w:p>
        </w:tc>
        <w:tc>
          <w:tcPr>
            <w:tcW w:w="1261" w:type="dxa"/>
            <w:shd w:val="clear" w:color="auto" w:fill="D8E3CE"/>
          </w:tcPr>
          <w:p>
            <w:pPr>
              <w:pStyle w:val="TableParagraph"/>
              <w:spacing w:line="177" w:lineRule="exact" w:before="75"/>
              <w:ind w:left="77"/>
              <w:rPr>
                <w:b/>
                <w:sz w:val="15"/>
              </w:rPr>
            </w:pPr>
            <w:r>
              <w:rPr>
                <w:b/>
                <w:color w:val="231F20"/>
                <w:w w:val="110"/>
                <w:sz w:val="15"/>
              </w:rPr>
              <w:t>Supreme Court</w:t>
            </w:r>
          </w:p>
          <w:p>
            <w:pPr>
              <w:pStyle w:val="TableParagraph"/>
              <w:spacing w:line="177" w:lineRule="exact"/>
              <w:ind w:left="77"/>
              <w:rPr>
                <w:sz w:val="15"/>
              </w:rPr>
            </w:pPr>
            <w:r>
              <w:rPr>
                <w:color w:val="231F20"/>
                <w:w w:val="120"/>
                <w:sz w:val="15"/>
              </w:rPr>
              <w:t>7%</w:t>
            </w:r>
          </w:p>
        </w:tc>
      </w:tr>
      <w:tr>
        <w:trPr>
          <w:trHeight w:val="157" w:hRule="atLeast"/>
        </w:trPr>
        <w:tc>
          <w:tcPr>
            <w:tcW w:w="1124" w:type="dxa"/>
            <w:vMerge/>
            <w:tcBorders>
              <w:top w:val="nil"/>
              <w:left w:val="single" w:sz="6" w:space="0" w:color="808285"/>
              <w:right w:val="single" w:sz="6" w:space="0" w:color="808285"/>
            </w:tcBorders>
            <w:shd w:val="clear" w:color="auto" w:fill="D8E3CE"/>
          </w:tcPr>
          <w:p>
            <w:pPr>
              <w:rPr>
                <w:sz w:val="2"/>
                <w:szCs w:val="2"/>
              </w:rPr>
            </w:pPr>
          </w:p>
        </w:tc>
        <w:tc>
          <w:tcPr>
            <w:tcW w:w="1225" w:type="dxa"/>
            <w:vMerge/>
            <w:tcBorders>
              <w:top w:val="nil"/>
              <w:left w:val="single" w:sz="6" w:space="0" w:color="808285"/>
            </w:tcBorders>
            <w:shd w:val="clear" w:color="auto" w:fill="F2CDBE"/>
          </w:tcPr>
          <w:p>
            <w:pPr>
              <w:rPr>
                <w:sz w:val="2"/>
                <w:szCs w:val="2"/>
              </w:rPr>
            </w:pPr>
          </w:p>
        </w:tc>
        <w:tc>
          <w:tcPr>
            <w:tcW w:w="1066" w:type="dxa"/>
            <w:vMerge/>
            <w:tcBorders>
              <w:top w:val="nil"/>
            </w:tcBorders>
            <w:shd w:val="clear" w:color="auto" w:fill="D8E3CE"/>
          </w:tcPr>
          <w:p>
            <w:pPr>
              <w:rPr>
                <w:sz w:val="2"/>
                <w:szCs w:val="2"/>
              </w:rPr>
            </w:pPr>
          </w:p>
        </w:tc>
        <w:tc>
          <w:tcPr>
            <w:tcW w:w="1361" w:type="dxa"/>
            <w:vMerge/>
            <w:tcBorders>
              <w:top w:val="nil"/>
            </w:tcBorders>
            <w:shd w:val="clear" w:color="auto" w:fill="F2CDBE"/>
          </w:tcPr>
          <w:p>
            <w:pPr>
              <w:rPr>
                <w:sz w:val="2"/>
                <w:szCs w:val="2"/>
              </w:rPr>
            </w:pPr>
          </w:p>
        </w:tc>
        <w:tc>
          <w:tcPr>
            <w:tcW w:w="1361" w:type="dxa"/>
            <w:vMerge/>
            <w:tcBorders>
              <w:top w:val="nil"/>
            </w:tcBorders>
            <w:shd w:val="clear" w:color="auto" w:fill="D8E3CE"/>
          </w:tcPr>
          <w:p>
            <w:pPr>
              <w:rPr>
                <w:sz w:val="2"/>
                <w:szCs w:val="2"/>
              </w:rPr>
            </w:pPr>
          </w:p>
        </w:tc>
        <w:tc>
          <w:tcPr>
            <w:tcW w:w="1093" w:type="dxa"/>
            <w:vMerge/>
            <w:tcBorders>
              <w:top w:val="nil"/>
            </w:tcBorders>
            <w:shd w:val="clear" w:color="auto" w:fill="D8E3CE"/>
          </w:tcPr>
          <w:p>
            <w:pPr>
              <w:rPr>
                <w:sz w:val="2"/>
                <w:szCs w:val="2"/>
              </w:rPr>
            </w:pPr>
          </w:p>
        </w:tc>
        <w:tc>
          <w:tcPr>
            <w:tcW w:w="1261" w:type="dxa"/>
            <w:vMerge w:val="restart"/>
            <w:tcBorders>
              <w:bottom w:val="single" w:sz="6" w:space="0" w:color="808285"/>
            </w:tcBorders>
            <w:shd w:val="clear" w:color="auto" w:fill="F2CDBE"/>
          </w:tcPr>
          <w:p>
            <w:pPr>
              <w:pStyle w:val="TableParagraph"/>
              <w:spacing w:line="177" w:lineRule="exact" w:before="52"/>
              <w:ind w:left="82"/>
              <w:rPr>
                <w:b/>
                <w:sz w:val="15"/>
              </w:rPr>
            </w:pPr>
            <w:r>
              <w:rPr>
                <w:b/>
                <w:color w:val="231F20"/>
                <w:w w:val="110"/>
                <w:sz w:val="15"/>
              </w:rPr>
              <w:t>Appeal Court</w:t>
            </w:r>
          </w:p>
          <w:p>
            <w:pPr>
              <w:pStyle w:val="TableParagraph"/>
              <w:spacing w:line="177" w:lineRule="exact"/>
              <w:ind w:left="82"/>
              <w:rPr>
                <w:sz w:val="15"/>
              </w:rPr>
            </w:pPr>
            <w:r>
              <w:rPr>
                <w:color w:val="231F20"/>
                <w:w w:val="110"/>
                <w:sz w:val="15"/>
              </w:rPr>
              <w:t>Data unavailable</w:t>
            </w:r>
          </w:p>
          <w:p>
            <w:pPr>
              <w:pStyle w:val="TableParagraph"/>
              <w:spacing w:line="177" w:lineRule="exact" w:before="44"/>
              <w:ind w:left="82"/>
              <w:rPr>
                <w:b/>
                <w:sz w:val="15"/>
              </w:rPr>
            </w:pPr>
            <w:r>
              <w:rPr>
                <w:b/>
                <w:color w:val="231F20"/>
                <w:w w:val="110"/>
                <w:sz w:val="15"/>
              </w:rPr>
              <w:t>Island Court</w:t>
            </w:r>
          </w:p>
          <w:p>
            <w:pPr>
              <w:pStyle w:val="TableParagraph"/>
              <w:spacing w:line="177" w:lineRule="exact"/>
              <w:ind w:left="82"/>
              <w:rPr>
                <w:sz w:val="15"/>
              </w:rPr>
            </w:pPr>
            <w:r>
              <w:rPr>
                <w:color w:val="231F20"/>
                <w:w w:val="110"/>
                <w:sz w:val="15"/>
              </w:rPr>
              <w:t>Data unvailable</w:t>
            </w:r>
          </w:p>
        </w:tc>
      </w:tr>
      <w:tr>
        <w:trPr>
          <w:trHeight w:val="765" w:hRule="atLeast"/>
        </w:trPr>
        <w:tc>
          <w:tcPr>
            <w:tcW w:w="1124" w:type="dxa"/>
            <w:tcBorders>
              <w:left w:val="single" w:sz="6" w:space="0" w:color="808285"/>
              <w:right w:val="single" w:sz="6" w:space="0" w:color="808285"/>
            </w:tcBorders>
            <w:shd w:val="clear" w:color="auto" w:fill="F2CDBE"/>
          </w:tcPr>
          <w:p>
            <w:pPr>
              <w:pStyle w:val="TableParagraph"/>
              <w:spacing w:line="223" w:lineRule="auto" w:before="59"/>
              <w:ind w:left="83" w:right="230"/>
              <w:jc w:val="both"/>
              <w:rPr>
                <w:sz w:val="15"/>
              </w:rPr>
            </w:pPr>
            <w:r>
              <w:rPr>
                <w:b/>
                <w:color w:val="231F20"/>
                <w:w w:val="105"/>
                <w:sz w:val="15"/>
              </w:rPr>
              <w:t>Magistrates </w:t>
            </w:r>
            <w:r>
              <w:rPr>
                <w:b/>
                <w:color w:val="231F20"/>
                <w:w w:val="110"/>
                <w:sz w:val="15"/>
              </w:rPr>
              <w:t>Court </w:t>
            </w:r>
            <w:r>
              <w:rPr>
                <w:color w:val="231F20"/>
                <w:w w:val="110"/>
                <w:sz w:val="15"/>
              </w:rPr>
              <w:t>Data unavailable</w:t>
            </w:r>
          </w:p>
        </w:tc>
        <w:tc>
          <w:tcPr>
            <w:tcW w:w="1225" w:type="dxa"/>
            <w:vMerge/>
            <w:tcBorders>
              <w:top w:val="nil"/>
              <w:left w:val="single" w:sz="6" w:space="0" w:color="808285"/>
            </w:tcBorders>
            <w:shd w:val="clear" w:color="auto" w:fill="F2CDBE"/>
          </w:tcPr>
          <w:p>
            <w:pPr>
              <w:rPr>
                <w:sz w:val="2"/>
                <w:szCs w:val="2"/>
              </w:rPr>
            </w:pPr>
          </w:p>
        </w:tc>
        <w:tc>
          <w:tcPr>
            <w:tcW w:w="1066" w:type="dxa"/>
            <w:vMerge/>
            <w:tcBorders>
              <w:top w:val="nil"/>
            </w:tcBorders>
            <w:shd w:val="clear" w:color="auto" w:fill="D8E3CE"/>
          </w:tcPr>
          <w:p>
            <w:pPr>
              <w:rPr>
                <w:sz w:val="2"/>
                <w:szCs w:val="2"/>
              </w:rPr>
            </w:pPr>
          </w:p>
        </w:tc>
        <w:tc>
          <w:tcPr>
            <w:tcW w:w="1361" w:type="dxa"/>
            <w:vMerge/>
            <w:tcBorders>
              <w:top w:val="nil"/>
            </w:tcBorders>
            <w:shd w:val="clear" w:color="auto" w:fill="F2CDBE"/>
          </w:tcPr>
          <w:p>
            <w:pPr>
              <w:rPr>
                <w:sz w:val="2"/>
                <w:szCs w:val="2"/>
              </w:rPr>
            </w:pPr>
          </w:p>
        </w:tc>
        <w:tc>
          <w:tcPr>
            <w:tcW w:w="1361" w:type="dxa"/>
            <w:vMerge/>
            <w:tcBorders>
              <w:top w:val="nil"/>
            </w:tcBorders>
            <w:shd w:val="clear" w:color="auto" w:fill="D8E3CE"/>
          </w:tcPr>
          <w:p>
            <w:pPr>
              <w:rPr>
                <w:sz w:val="2"/>
                <w:szCs w:val="2"/>
              </w:rPr>
            </w:pPr>
          </w:p>
        </w:tc>
        <w:tc>
          <w:tcPr>
            <w:tcW w:w="1093" w:type="dxa"/>
            <w:vMerge/>
            <w:tcBorders>
              <w:top w:val="nil"/>
            </w:tcBorders>
            <w:shd w:val="clear" w:color="auto" w:fill="D8E3CE"/>
          </w:tcPr>
          <w:p>
            <w:pPr>
              <w:rPr>
                <w:sz w:val="2"/>
                <w:szCs w:val="2"/>
              </w:rPr>
            </w:pPr>
          </w:p>
        </w:tc>
        <w:tc>
          <w:tcPr>
            <w:tcW w:w="1261" w:type="dxa"/>
            <w:vMerge/>
            <w:tcBorders>
              <w:top w:val="nil"/>
              <w:bottom w:val="single" w:sz="6" w:space="0" w:color="808285"/>
            </w:tcBorders>
            <w:shd w:val="clear" w:color="auto" w:fill="F2CDBE"/>
          </w:tcPr>
          <w:p>
            <w:pPr>
              <w:rPr>
                <w:sz w:val="2"/>
                <w:szCs w:val="2"/>
              </w:rPr>
            </w:pPr>
          </w:p>
        </w:tc>
      </w:tr>
    </w:tbl>
    <w:p>
      <w:pPr>
        <w:pStyle w:val="BodyText"/>
        <w:rPr>
          <w:sz w:val="24"/>
        </w:rPr>
      </w:pPr>
    </w:p>
    <w:p>
      <w:pPr>
        <w:pStyle w:val="BodyText"/>
        <w:spacing w:before="191"/>
        <w:ind w:left="1700"/>
      </w:pPr>
      <w:r>
        <w:rPr/>
        <w:pict>
          <v:shape style="position:absolute;margin-left:89.289398pt;margin-top:-54.368469pt;width:37.5pt;height:26.2pt;mso-position-horizontal-relative:page;mso-position-vertical-relative:paragraph;z-index:-189880" type="#_x0000_t202" filled="false" stroked="false">
            <v:textbox inset="0,0,0,0">
              <w:txbxContent>
                <w:p>
                  <w:pPr>
                    <w:spacing w:line="223" w:lineRule="auto" w:before="9"/>
                    <w:ind w:left="0" w:right="0" w:firstLine="0"/>
                    <w:jc w:val="both"/>
                    <w:rPr>
                      <w:sz w:val="15"/>
                    </w:rPr>
                  </w:pPr>
                  <w:r>
                    <w:rPr>
                      <w:color w:val="231F20"/>
                      <w:spacing w:val="-3"/>
                      <w:w w:val="105"/>
                      <w:sz w:val="15"/>
                    </w:rPr>
                    <w:t>Magistrates </w:t>
                  </w:r>
                  <w:r>
                    <w:rPr>
                      <w:color w:val="231F20"/>
                      <w:w w:val="110"/>
                      <w:sz w:val="15"/>
                    </w:rPr>
                    <w:t>Court Data </w:t>
                  </w:r>
                  <w:r>
                    <w:rPr>
                      <w:color w:val="231F20"/>
                      <w:spacing w:val="-3"/>
                      <w:w w:val="110"/>
                      <w:sz w:val="15"/>
                    </w:rPr>
                    <w:t>unavailable</w:t>
                  </w:r>
                </w:p>
              </w:txbxContent>
            </v:textbox>
            <w10:wrap type="none"/>
          </v:shape>
        </w:pict>
      </w:r>
      <w:r>
        <w:rPr/>
        <w:pict>
          <v:shape style="position:absolute;margin-left:450.679199pt;margin-top:-62.883968pt;width:54.95pt;height:37.550pt;mso-position-horizontal-relative:page;mso-position-vertical-relative:paragraph;z-index:-189856" type="#_x0000_t202" filled="false" stroked="false">
            <v:textbox inset="0,0,0,0">
              <w:txbxContent>
                <w:p>
                  <w:pPr>
                    <w:spacing w:line="176" w:lineRule="exact" w:before="0"/>
                    <w:ind w:left="0" w:right="0" w:firstLine="0"/>
                    <w:jc w:val="left"/>
                    <w:rPr>
                      <w:b/>
                      <w:sz w:val="15"/>
                    </w:rPr>
                  </w:pPr>
                  <w:r>
                    <w:rPr>
                      <w:b/>
                      <w:color w:val="231F20"/>
                      <w:w w:val="110"/>
                      <w:sz w:val="15"/>
                    </w:rPr>
                    <w:t>Appeal Court</w:t>
                  </w:r>
                </w:p>
                <w:p>
                  <w:pPr>
                    <w:spacing w:line="177" w:lineRule="exact" w:before="0"/>
                    <w:ind w:left="0" w:right="0" w:firstLine="0"/>
                    <w:jc w:val="left"/>
                    <w:rPr>
                      <w:sz w:val="15"/>
                    </w:rPr>
                  </w:pPr>
                  <w:r>
                    <w:rPr>
                      <w:color w:val="231F20"/>
                      <w:w w:val="110"/>
                      <w:sz w:val="15"/>
                    </w:rPr>
                    <w:t>Data </w:t>
                  </w:r>
                  <w:r>
                    <w:rPr>
                      <w:color w:val="231F20"/>
                      <w:spacing w:val="-3"/>
                      <w:w w:val="110"/>
                      <w:sz w:val="15"/>
                    </w:rPr>
                    <w:t>unavailable</w:t>
                  </w:r>
                </w:p>
                <w:p>
                  <w:pPr>
                    <w:spacing w:line="177" w:lineRule="exact" w:before="43"/>
                    <w:ind w:left="0" w:right="0" w:firstLine="0"/>
                    <w:jc w:val="left"/>
                    <w:rPr>
                      <w:b/>
                      <w:sz w:val="15"/>
                    </w:rPr>
                  </w:pPr>
                  <w:r>
                    <w:rPr>
                      <w:b/>
                      <w:color w:val="231F20"/>
                      <w:w w:val="110"/>
                      <w:sz w:val="15"/>
                    </w:rPr>
                    <w:t>Island Court</w:t>
                  </w:r>
                </w:p>
                <w:p>
                  <w:pPr>
                    <w:spacing w:line="177" w:lineRule="exact" w:before="0"/>
                    <w:ind w:left="0" w:right="0" w:firstLine="0"/>
                    <w:jc w:val="left"/>
                    <w:rPr>
                      <w:sz w:val="15"/>
                    </w:rPr>
                  </w:pPr>
                  <w:r>
                    <w:rPr>
                      <w:color w:val="231F20"/>
                      <w:w w:val="110"/>
                      <w:sz w:val="15"/>
                    </w:rPr>
                    <w:t>Data unvailable</w:t>
                  </w:r>
                </w:p>
              </w:txbxContent>
            </v:textbox>
            <w10:wrap type="none"/>
          </v:shape>
        </w:pict>
      </w:r>
      <w:r>
        <w:rPr>
          <w:color w:val="231F20"/>
          <w:w w:val="105"/>
        </w:rPr>
        <w:t>The percentage of appeals – Year 7 Trend Data</w:t>
      </w:r>
    </w:p>
    <w:p>
      <w:pPr>
        <w:pStyle w:val="BodyText"/>
        <w:spacing w:before="7"/>
        <w:rPr>
          <w:sz w:val="6"/>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225"/>
        <w:gridCol w:w="1066"/>
        <w:gridCol w:w="1361"/>
        <w:gridCol w:w="1361"/>
        <w:gridCol w:w="1093"/>
        <w:gridCol w:w="1261"/>
      </w:tblGrid>
      <w:tr>
        <w:trPr>
          <w:trHeight w:val="632" w:hRule="atLeast"/>
        </w:trPr>
        <w:tc>
          <w:tcPr>
            <w:tcW w:w="1124" w:type="dxa"/>
            <w:shd w:val="clear" w:color="auto" w:fill="92BAC2"/>
          </w:tcPr>
          <w:p>
            <w:pPr>
              <w:pStyle w:val="TableParagraph"/>
              <w:spacing w:before="75"/>
              <w:ind w:left="80"/>
              <w:rPr>
                <w:b/>
                <w:sz w:val="15"/>
              </w:rPr>
            </w:pPr>
            <w:r>
              <w:rPr>
                <w:b/>
                <w:color w:val="231F20"/>
                <w:w w:val="110"/>
                <w:sz w:val="15"/>
              </w:rPr>
              <w:t>Cook Islands</w:t>
            </w:r>
          </w:p>
        </w:tc>
        <w:tc>
          <w:tcPr>
            <w:tcW w:w="1225" w:type="dxa"/>
            <w:shd w:val="clear" w:color="auto" w:fill="92BAC2"/>
          </w:tcPr>
          <w:p>
            <w:pPr>
              <w:pStyle w:val="TableParagraph"/>
              <w:spacing w:line="223" w:lineRule="auto" w:before="85"/>
              <w:ind w:left="79" w:right="390"/>
              <w:rPr>
                <w:b/>
                <w:sz w:val="15"/>
              </w:rPr>
            </w:pPr>
            <w:r>
              <w:rPr>
                <w:b/>
                <w:color w:val="231F20"/>
                <w:w w:val="105"/>
                <w:sz w:val="15"/>
              </w:rPr>
              <w:t>Federated States of Micronesia</w:t>
            </w:r>
          </w:p>
        </w:tc>
        <w:tc>
          <w:tcPr>
            <w:tcW w:w="1066" w:type="dxa"/>
            <w:shd w:val="clear" w:color="auto" w:fill="92BAC2"/>
          </w:tcPr>
          <w:p>
            <w:pPr>
              <w:pStyle w:val="TableParagraph"/>
              <w:spacing w:line="223" w:lineRule="auto" w:before="85"/>
              <w:ind w:left="79" w:right="145"/>
              <w:rPr>
                <w:b/>
                <w:sz w:val="15"/>
              </w:rPr>
            </w:pPr>
            <w:r>
              <w:rPr>
                <w:b/>
                <w:color w:val="231F20"/>
                <w:w w:val="110"/>
                <w:sz w:val="15"/>
              </w:rPr>
              <w:t>Kiribati Islands</w:t>
            </w:r>
          </w:p>
        </w:tc>
        <w:tc>
          <w:tcPr>
            <w:tcW w:w="1361" w:type="dxa"/>
            <w:shd w:val="clear" w:color="auto" w:fill="92BAC2"/>
          </w:tcPr>
          <w:p>
            <w:pPr>
              <w:pStyle w:val="TableParagraph"/>
              <w:spacing w:before="75"/>
              <w:ind w:left="79"/>
              <w:rPr>
                <w:b/>
                <w:sz w:val="15"/>
              </w:rPr>
            </w:pPr>
            <w:r>
              <w:rPr>
                <w:b/>
                <w:color w:val="231F20"/>
                <w:w w:val="105"/>
                <w:sz w:val="15"/>
              </w:rPr>
              <w:t>Marshall Islands</w:t>
            </w:r>
          </w:p>
        </w:tc>
        <w:tc>
          <w:tcPr>
            <w:tcW w:w="1361" w:type="dxa"/>
            <w:shd w:val="clear" w:color="auto" w:fill="92BAC2"/>
          </w:tcPr>
          <w:p>
            <w:pPr>
              <w:pStyle w:val="TableParagraph"/>
              <w:spacing w:before="75"/>
              <w:ind w:left="78"/>
              <w:rPr>
                <w:b/>
                <w:sz w:val="15"/>
              </w:rPr>
            </w:pPr>
            <w:r>
              <w:rPr>
                <w:b/>
                <w:color w:val="231F20"/>
                <w:w w:val="110"/>
                <w:sz w:val="15"/>
              </w:rPr>
              <w:t>Nauru</w:t>
            </w:r>
          </w:p>
        </w:tc>
        <w:tc>
          <w:tcPr>
            <w:tcW w:w="1093" w:type="dxa"/>
            <w:shd w:val="clear" w:color="auto" w:fill="92BAC2"/>
          </w:tcPr>
          <w:p>
            <w:pPr>
              <w:pStyle w:val="TableParagraph"/>
              <w:spacing w:before="75"/>
              <w:ind w:left="78"/>
              <w:rPr>
                <w:b/>
                <w:sz w:val="15"/>
              </w:rPr>
            </w:pPr>
            <w:r>
              <w:rPr>
                <w:b/>
                <w:color w:val="231F20"/>
                <w:w w:val="110"/>
                <w:sz w:val="15"/>
              </w:rPr>
              <w:t>Niue</w:t>
            </w:r>
          </w:p>
        </w:tc>
        <w:tc>
          <w:tcPr>
            <w:tcW w:w="1261" w:type="dxa"/>
            <w:shd w:val="clear" w:color="auto" w:fill="92BAC2"/>
          </w:tcPr>
          <w:p>
            <w:pPr>
              <w:pStyle w:val="TableParagraph"/>
              <w:spacing w:before="75"/>
              <w:ind w:left="77"/>
              <w:rPr>
                <w:b/>
                <w:sz w:val="15"/>
              </w:rPr>
            </w:pPr>
            <w:r>
              <w:rPr>
                <w:b/>
                <w:color w:val="231F20"/>
                <w:w w:val="105"/>
                <w:sz w:val="15"/>
              </w:rPr>
              <w:t>Palau</w:t>
            </w:r>
          </w:p>
        </w:tc>
      </w:tr>
      <w:tr>
        <w:trPr>
          <w:trHeight w:val="2357" w:hRule="atLeast"/>
        </w:trPr>
        <w:tc>
          <w:tcPr>
            <w:tcW w:w="1124" w:type="dxa"/>
            <w:shd w:val="clear" w:color="auto" w:fill="F2CDBE"/>
          </w:tcPr>
          <w:p>
            <w:pPr>
              <w:pStyle w:val="TableParagraph"/>
              <w:spacing w:line="223" w:lineRule="auto" w:before="84"/>
              <w:ind w:left="80"/>
              <w:rPr>
                <w:sz w:val="15"/>
              </w:rPr>
            </w:pPr>
            <w:r>
              <w:rPr>
                <w:color w:val="231F20"/>
                <w:w w:val="110"/>
                <w:sz w:val="15"/>
              </w:rPr>
              <w:t>Data unavailable</w:t>
            </w:r>
          </w:p>
        </w:tc>
        <w:tc>
          <w:tcPr>
            <w:tcW w:w="1225" w:type="dxa"/>
            <w:shd w:val="clear" w:color="auto" w:fill="D8E3CE"/>
          </w:tcPr>
          <w:p>
            <w:pPr>
              <w:pStyle w:val="TableParagraph"/>
              <w:spacing w:line="223" w:lineRule="auto" w:before="84"/>
              <w:ind w:left="79" w:right="82"/>
              <w:rPr>
                <w:sz w:val="15"/>
              </w:rPr>
            </w:pPr>
            <w:r>
              <w:rPr>
                <w:color w:val="231F20"/>
                <w:w w:val="110"/>
                <w:sz w:val="15"/>
              </w:rPr>
              <w:t>16% of </w:t>
            </w:r>
            <w:r>
              <w:rPr>
                <w:b/>
                <w:color w:val="231F20"/>
                <w:w w:val="110"/>
                <w:sz w:val="15"/>
              </w:rPr>
              <w:t>Supreme Court </w:t>
            </w:r>
            <w:r>
              <w:rPr>
                <w:color w:val="231F20"/>
                <w:w w:val="110"/>
                <w:sz w:val="15"/>
              </w:rPr>
              <w:t>first instance decisions are appealed</w:t>
            </w:r>
          </w:p>
        </w:tc>
        <w:tc>
          <w:tcPr>
            <w:tcW w:w="1066" w:type="dxa"/>
            <w:shd w:val="clear" w:color="auto" w:fill="D8E3CE"/>
          </w:tcPr>
          <w:p>
            <w:pPr>
              <w:pStyle w:val="TableParagraph"/>
              <w:spacing w:line="223" w:lineRule="auto" w:before="85"/>
              <w:ind w:left="79" w:right="180"/>
              <w:rPr>
                <w:sz w:val="15"/>
              </w:rPr>
            </w:pPr>
            <w:r>
              <w:rPr>
                <w:color w:val="231F20"/>
                <w:w w:val="110"/>
                <w:sz w:val="15"/>
              </w:rPr>
              <w:t>4% of </w:t>
            </w:r>
            <w:r>
              <w:rPr>
                <w:b/>
                <w:color w:val="231F20"/>
                <w:w w:val="110"/>
                <w:sz w:val="15"/>
              </w:rPr>
              <w:t>High Court </w:t>
            </w:r>
            <w:r>
              <w:rPr>
                <w:color w:val="231F20"/>
                <w:w w:val="110"/>
                <w:sz w:val="15"/>
              </w:rPr>
              <w:t>decisions appealed and 4% of </w:t>
            </w:r>
            <w:r>
              <w:rPr>
                <w:b/>
                <w:color w:val="231F20"/>
                <w:w w:val="105"/>
                <w:sz w:val="15"/>
              </w:rPr>
              <w:t>Magistrates </w:t>
            </w:r>
            <w:r>
              <w:rPr>
                <w:b/>
                <w:color w:val="231F20"/>
                <w:w w:val="110"/>
                <w:sz w:val="15"/>
              </w:rPr>
              <w:t>Court </w:t>
            </w:r>
            <w:r>
              <w:rPr>
                <w:color w:val="231F20"/>
                <w:w w:val="110"/>
                <w:sz w:val="15"/>
              </w:rPr>
              <w:t>decisions appealed.</w:t>
            </w:r>
          </w:p>
        </w:tc>
        <w:tc>
          <w:tcPr>
            <w:tcW w:w="1361" w:type="dxa"/>
            <w:shd w:val="clear" w:color="auto" w:fill="D8E3CE"/>
          </w:tcPr>
          <w:p>
            <w:pPr>
              <w:pStyle w:val="TableParagraph"/>
              <w:spacing w:line="177" w:lineRule="exact" w:before="75"/>
              <w:ind w:left="79"/>
              <w:rPr>
                <w:b/>
                <w:sz w:val="15"/>
              </w:rPr>
            </w:pPr>
            <w:r>
              <w:rPr>
                <w:color w:val="231F20"/>
                <w:w w:val="115"/>
                <w:sz w:val="15"/>
              </w:rPr>
              <w:t>2% of </w:t>
            </w:r>
            <w:r>
              <w:rPr>
                <w:b/>
                <w:color w:val="231F20"/>
                <w:w w:val="115"/>
                <w:sz w:val="15"/>
              </w:rPr>
              <w:t>High</w:t>
            </w:r>
          </w:p>
          <w:p>
            <w:pPr>
              <w:pStyle w:val="TableParagraph"/>
              <w:spacing w:line="223" w:lineRule="auto" w:before="3"/>
              <w:ind w:left="79" w:right="121"/>
              <w:rPr>
                <w:sz w:val="15"/>
              </w:rPr>
            </w:pPr>
            <w:r>
              <w:rPr>
                <w:b/>
                <w:color w:val="231F20"/>
                <w:w w:val="110"/>
                <w:sz w:val="15"/>
              </w:rPr>
              <w:t>Court </w:t>
            </w:r>
            <w:r>
              <w:rPr>
                <w:color w:val="231F20"/>
                <w:w w:val="110"/>
                <w:sz w:val="15"/>
              </w:rPr>
              <w:t>2017 </w:t>
            </w:r>
            <w:r>
              <w:rPr>
                <w:color w:val="231F20"/>
                <w:spacing w:val="-3"/>
                <w:w w:val="110"/>
                <w:sz w:val="15"/>
              </w:rPr>
              <w:t>civil </w:t>
            </w:r>
            <w:r>
              <w:rPr>
                <w:color w:val="231F20"/>
                <w:w w:val="110"/>
                <w:sz w:val="15"/>
              </w:rPr>
              <w:t>decisions were appealed and 0% of High Court probate,</w:t>
            </w:r>
            <w:r>
              <w:rPr>
                <w:color w:val="231F20"/>
                <w:spacing w:val="-19"/>
                <w:w w:val="110"/>
                <w:sz w:val="15"/>
              </w:rPr>
              <w:t> </w:t>
            </w:r>
            <w:r>
              <w:rPr>
                <w:color w:val="231F20"/>
                <w:w w:val="110"/>
                <w:sz w:val="15"/>
              </w:rPr>
              <w:t>criminal and </w:t>
            </w:r>
            <w:r>
              <w:rPr>
                <w:color w:val="231F20"/>
                <w:spacing w:val="-3"/>
                <w:w w:val="110"/>
                <w:sz w:val="15"/>
              </w:rPr>
              <w:t>juvenile </w:t>
            </w:r>
            <w:r>
              <w:rPr>
                <w:color w:val="231F20"/>
                <w:w w:val="110"/>
                <w:sz w:val="15"/>
              </w:rPr>
              <w:t>2017 decisions were appealed. No district court 2017 decisions were the subject of an</w:t>
            </w:r>
            <w:r>
              <w:rPr>
                <w:color w:val="231F20"/>
                <w:spacing w:val="-2"/>
                <w:w w:val="110"/>
                <w:sz w:val="15"/>
              </w:rPr>
              <w:t> </w:t>
            </w:r>
            <w:r>
              <w:rPr>
                <w:color w:val="231F20"/>
                <w:w w:val="110"/>
                <w:sz w:val="15"/>
              </w:rPr>
              <w:t>appeal.</w:t>
            </w:r>
          </w:p>
        </w:tc>
        <w:tc>
          <w:tcPr>
            <w:tcW w:w="1361" w:type="dxa"/>
            <w:shd w:val="clear" w:color="auto" w:fill="F2CDBE"/>
          </w:tcPr>
          <w:p>
            <w:pPr>
              <w:pStyle w:val="TableParagraph"/>
              <w:spacing w:before="74"/>
              <w:ind w:left="78"/>
              <w:rPr>
                <w:sz w:val="15"/>
              </w:rPr>
            </w:pPr>
            <w:r>
              <w:rPr>
                <w:color w:val="231F20"/>
                <w:w w:val="110"/>
                <w:sz w:val="15"/>
              </w:rPr>
              <w:t>Data unavailable</w:t>
            </w:r>
          </w:p>
        </w:tc>
        <w:tc>
          <w:tcPr>
            <w:tcW w:w="1093" w:type="dxa"/>
            <w:shd w:val="clear" w:color="auto" w:fill="D8E3CE"/>
          </w:tcPr>
          <w:p>
            <w:pPr>
              <w:pStyle w:val="TableParagraph"/>
              <w:spacing w:line="223" w:lineRule="auto" w:before="85"/>
              <w:ind w:left="78" w:right="208"/>
              <w:rPr>
                <w:sz w:val="15"/>
              </w:rPr>
            </w:pPr>
            <w:r>
              <w:rPr>
                <w:color w:val="231F20"/>
                <w:w w:val="110"/>
                <w:sz w:val="15"/>
              </w:rPr>
              <w:t>6% of </w:t>
            </w:r>
            <w:r>
              <w:rPr>
                <w:b/>
                <w:color w:val="231F20"/>
                <w:w w:val="110"/>
                <w:sz w:val="15"/>
              </w:rPr>
              <w:t>High Court </w:t>
            </w:r>
            <w:r>
              <w:rPr>
                <w:color w:val="231F20"/>
                <w:w w:val="110"/>
                <w:sz w:val="15"/>
              </w:rPr>
              <w:t>decisions appealed</w:t>
            </w:r>
          </w:p>
        </w:tc>
        <w:tc>
          <w:tcPr>
            <w:tcW w:w="1261" w:type="dxa"/>
            <w:shd w:val="clear" w:color="auto" w:fill="D8E3CE"/>
          </w:tcPr>
          <w:p>
            <w:pPr>
              <w:pStyle w:val="TableParagraph"/>
              <w:spacing w:line="223" w:lineRule="auto" w:before="84"/>
              <w:ind w:left="77"/>
              <w:rPr>
                <w:sz w:val="15"/>
              </w:rPr>
            </w:pPr>
            <w:r>
              <w:rPr>
                <w:color w:val="231F20"/>
                <w:w w:val="110"/>
                <w:sz w:val="15"/>
              </w:rPr>
              <w:t>4% of Trial Decisions were appealed in the </w:t>
            </w:r>
            <w:r>
              <w:rPr>
                <w:b/>
                <w:color w:val="231F20"/>
                <w:w w:val="110"/>
                <w:sz w:val="15"/>
              </w:rPr>
              <w:t>Supreme Court</w:t>
            </w:r>
            <w:r>
              <w:rPr>
                <w:color w:val="231F20"/>
                <w:w w:val="110"/>
                <w:sz w:val="15"/>
              </w:rPr>
              <w:t>.</w:t>
            </w:r>
          </w:p>
        </w:tc>
      </w:tr>
      <w:tr>
        <w:trPr>
          <w:trHeight w:val="462" w:hRule="atLeast"/>
        </w:trPr>
        <w:tc>
          <w:tcPr>
            <w:tcW w:w="1124" w:type="dxa"/>
            <w:shd w:val="clear" w:color="auto" w:fill="92BAC2"/>
          </w:tcPr>
          <w:p>
            <w:pPr>
              <w:pStyle w:val="TableParagraph"/>
              <w:spacing w:line="223" w:lineRule="auto" w:before="85"/>
              <w:ind w:left="80"/>
              <w:rPr>
                <w:b/>
                <w:sz w:val="15"/>
              </w:rPr>
            </w:pPr>
            <w:r>
              <w:rPr>
                <w:b/>
                <w:color w:val="231F20"/>
                <w:w w:val="110"/>
                <w:sz w:val="15"/>
              </w:rPr>
              <w:t>Papua New Guinea</w:t>
            </w:r>
          </w:p>
        </w:tc>
        <w:tc>
          <w:tcPr>
            <w:tcW w:w="1225" w:type="dxa"/>
            <w:shd w:val="clear" w:color="auto" w:fill="92BAC2"/>
          </w:tcPr>
          <w:p>
            <w:pPr>
              <w:pStyle w:val="TableParagraph"/>
              <w:spacing w:before="75"/>
              <w:ind w:left="79"/>
              <w:rPr>
                <w:b/>
                <w:sz w:val="15"/>
              </w:rPr>
            </w:pPr>
            <w:r>
              <w:rPr>
                <w:b/>
                <w:color w:val="231F20"/>
                <w:w w:val="105"/>
                <w:sz w:val="15"/>
              </w:rPr>
              <w:t>Samoa</w:t>
            </w:r>
          </w:p>
        </w:tc>
        <w:tc>
          <w:tcPr>
            <w:tcW w:w="1066" w:type="dxa"/>
            <w:shd w:val="clear" w:color="auto" w:fill="92BAC2"/>
          </w:tcPr>
          <w:p>
            <w:pPr>
              <w:pStyle w:val="TableParagraph"/>
              <w:spacing w:line="223" w:lineRule="auto" w:before="85"/>
              <w:ind w:left="79" w:right="377"/>
              <w:rPr>
                <w:b/>
                <w:sz w:val="15"/>
              </w:rPr>
            </w:pPr>
            <w:r>
              <w:rPr>
                <w:b/>
                <w:color w:val="231F20"/>
                <w:w w:val="105"/>
                <w:sz w:val="15"/>
              </w:rPr>
              <w:t>Solomon </w:t>
            </w:r>
            <w:r>
              <w:rPr>
                <w:b/>
                <w:color w:val="231F20"/>
                <w:w w:val="110"/>
                <w:sz w:val="15"/>
              </w:rPr>
              <w:t>Islands</w:t>
            </w:r>
          </w:p>
        </w:tc>
        <w:tc>
          <w:tcPr>
            <w:tcW w:w="1361" w:type="dxa"/>
            <w:shd w:val="clear" w:color="auto" w:fill="92BAC2"/>
          </w:tcPr>
          <w:p>
            <w:pPr>
              <w:pStyle w:val="TableParagraph"/>
              <w:spacing w:before="75"/>
              <w:ind w:left="79"/>
              <w:rPr>
                <w:b/>
                <w:sz w:val="15"/>
              </w:rPr>
            </w:pPr>
            <w:r>
              <w:rPr>
                <w:b/>
                <w:color w:val="231F20"/>
                <w:w w:val="110"/>
                <w:sz w:val="15"/>
              </w:rPr>
              <w:t>Tokelau</w:t>
            </w:r>
          </w:p>
        </w:tc>
        <w:tc>
          <w:tcPr>
            <w:tcW w:w="1361" w:type="dxa"/>
            <w:shd w:val="clear" w:color="auto" w:fill="92BAC2"/>
          </w:tcPr>
          <w:p>
            <w:pPr>
              <w:pStyle w:val="TableParagraph"/>
              <w:spacing w:before="75"/>
              <w:ind w:left="78"/>
              <w:rPr>
                <w:b/>
                <w:sz w:val="15"/>
              </w:rPr>
            </w:pPr>
            <w:r>
              <w:rPr>
                <w:b/>
                <w:color w:val="231F20"/>
                <w:w w:val="110"/>
                <w:sz w:val="15"/>
              </w:rPr>
              <w:t>Tonga</w:t>
            </w:r>
          </w:p>
        </w:tc>
        <w:tc>
          <w:tcPr>
            <w:tcW w:w="1093" w:type="dxa"/>
            <w:shd w:val="clear" w:color="auto" w:fill="92BAC2"/>
          </w:tcPr>
          <w:p>
            <w:pPr>
              <w:pStyle w:val="TableParagraph"/>
              <w:spacing w:before="75"/>
              <w:ind w:left="78"/>
              <w:rPr>
                <w:b/>
                <w:sz w:val="15"/>
              </w:rPr>
            </w:pPr>
            <w:r>
              <w:rPr>
                <w:b/>
                <w:color w:val="231F20"/>
                <w:w w:val="110"/>
                <w:sz w:val="15"/>
              </w:rPr>
              <w:t>Tuvalu</w:t>
            </w:r>
          </w:p>
        </w:tc>
        <w:tc>
          <w:tcPr>
            <w:tcW w:w="1261" w:type="dxa"/>
            <w:shd w:val="clear" w:color="auto" w:fill="92BAC2"/>
          </w:tcPr>
          <w:p>
            <w:pPr>
              <w:pStyle w:val="TableParagraph"/>
              <w:spacing w:before="75"/>
              <w:ind w:left="77"/>
              <w:rPr>
                <w:b/>
                <w:sz w:val="15"/>
              </w:rPr>
            </w:pPr>
            <w:r>
              <w:rPr>
                <w:b/>
                <w:color w:val="231F20"/>
                <w:w w:val="105"/>
                <w:sz w:val="15"/>
              </w:rPr>
              <w:t>Vanuatu</w:t>
            </w:r>
          </w:p>
        </w:tc>
      </w:tr>
      <w:tr>
        <w:trPr>
          <w:trHeight w:val="4425" w:hRule="atLeast"/>
        </w:trPr>
        <w:tc>
          <w:tcPr>
            <w:tcW w:w="1124" w:type="dxa"/>
            <w:shd w:val="clear" w:color="auto" w:fill="F2CDBE"/>
          </w:tcPr>
          <w:p>
            <w:pPr>
              <w:pStyle w:val="TableParagraph"/>
              <w:spacing w:line="223" w:lineRule="auto" w:before="84"/>
              <w:ind w:left="80"/>
              <w:rPr>
                <w:sz w:val="15"/>
              </w:rPr>
            </w:pPr>
            <w:r>
              <w:rPr>
                <w:color w:val="231F20"/>
                <w:w w:val="110"/>
                <w:sz w:val="15"/>
              </w:rPr>
              <w:t>Data unavailable</w:t>
            </w:r>
          </w:p>
        </w:tc>
        <w:tc>
          <w:tcPr>
            <w:tcW w:w="1225" w:type="dxa"/>
            <w:shd w:val="clear" w:color="auto" w:fill="F2CDBE"/>
          </w:tcPr>
          <w:p>
            <w:pPr>
              <w:pStyle w:val="TableParagraph"/>
              <w:spacing w:line="223" w:lineRule="auto" w:before="84"/>
              <w:ind w:left="79" w:right="82"/>
              <w:rPr>
                <w:sz w:val="15"/>
              </w:rPr>
            </w:pPr>
            <w:r>
              <w:rPr>
                <w:color w:val="231F20"/>
                <w:w w:val="110"/>
                <w:sz w:val="15"/>
              </w:rPr>
              <w:t>Data unavailable</w:t>
            </w:r>
          </w:p>
        </w:tc>
        <w:tc>
          <w:tcPr>
            <w:tcW w:w="1066" w:type="dxa"/>
            <w:shd w:val="clear" w:color="auto" w:fill="D8E3CE"/>
          </w:tcPr>
          <w:p>
            <w:pPr>
              <w:pStyle w:val="TableParagraph"/>
              <w:spacing w:line="223" w:lineRule="auto" w:before="85"/>
              <w:ind w:left="79" w:right="145"/>
              <w:rPr>
                <w:sz w:val="15"/>
              </w:rPr>
            </w:pPr>
            <w:r>
              <w:rPr>
                <w:color w:val="231F20"/>
                <w:w w:val="110"/>
                <w:sz w:val="15"/>
              </w:rPr>
              <w:t>7% of </w:t>
            </w:r>
            <w:r>
              <w:rPr>
                <w:b/>
                <w:color w:val="231F20"/>
                <w:w w:val="110"/>
                <w:sz w:val="15"/>
              </w:rPr>
              <w:t>High Court </w:t>
            </w:r>
            <w:r>
              <w:rPr>
                <w:color w:val="231F20"/>
                <w:w w:val="110"/>
                <w:sz w:val="15"/>
              </w:rPr>
              <w:t>decisions appealed</w:t>
            </w:r>
          </w:p>
          <w:p>
            <w:pPr>
              <w:pStyle w:val="TableParagraph"/>
              <w:spacing w:line="223" w:lineRule="auto" w:before="55"/>
              <w:ind w:left="79" w:right="180"/>
              <w:rPr>
                <w:sz w:val="15"/>
              </w:rPr>
            </w:pPr>
            <w:r>
              <w:rPr>
                <w:color w:val="231F20"/>
                <w:w w:val="110"/>
                <w:sz w:val="15"/>
              </w:rPr>
              <w:t>1% of </w:t>
            </w:r>
            <w:r>
              <w:rPr>
                <w:b/>
                <w:color w:val="231F20"/>
                <w:w w:val="105"/>
                <w:sz w:val="15"/>
              </w:rPr>
              <w:t>Magistrates </w:t>
            </w:r>
            <w:r>
              <w:rPr>
                <w:b/>
                <w:color w:val="231F20"/>
                <w:w w:val="110"/>
                <w:sz w:val="15"/>
              </w:rPr>
              <w:t>Court </w:t>
            </w:r>
            <w:r>
              <w:rPr>
                <w:color w:val="231F20"/>
                <w:w w:val="110"/>
                <w:sz w:val="15"/>
              </w:rPr>
              <w:t>decisions appealed</w:t>
            </w:r>
          </w:p>
        </w:tc>
        <w:tc>
          <w:tcPr>
            <w:tcW w:w="1361" w:type="dxa"/>
            <w:shd w:val="clear" w:color="auto" w:fill="D8E3CE"/>
          </w:tcPr>
          <w:p>
            <w:pPr>
              <w:pStyle w:val="TableParagraph"/>
              <w:spacing w:line="223" w:lineRule="auto" w:before="85"/>
              <w:ind w:left="79" w:right="417"/>
              <w:rPr>
                <w:sz w:val="15"/>
              </w:rPr>
            </w:pPr>
            <w:r>
              <w:rPr>
                <w:color w:val="231F20"/>
                <w:w w:val="110"/>
                <w:sz w:val="15"/>
              </w:rPr>
              <w:t>0% of </w:t>
            </w:r>
            <w:r>
              <w:rPr>
                <w:b/>
                <w:color w:val="231F20"/>
                <w:w w:val="110"/>
                <w:sz w:val="15"/>
              </w:rPr>
              <w:t>Law Commission </w:t>
            </w:r>
            <w:r>
              <w:rPr>
                <w:color w:val="231F20"/>
                <w:w w:val="110"/>
                <w:sz w:val="15"/>
              </w:rPr>
              <w:t>decisions appealed</w:t>
            </w:r>
          </w:p>
        </w:tc>
        <w:tc>
          <w:tcPr>
            <w:tcW w:w="1361" w:type="dxa"/>
            <w:shd w:val="clear" w:color="auto" w:fill="D8E3CE"/>
          </w:tcPr>
          <w:p>
            <w:pPr>
              <w:pStyle w:val="TableParagraph"/>
              <w:spacing w:line="223" w:lineRule="auto" w:before="85"/>
              <w:ind w:left="78"/>
              <w:rPr>
                <w:sz w:val="15"/>
              </w:rPr>
            </w:pPr>
            <w:r>
              <w:rPr>
                <w:color w:val="231F20"/>
                <w:w w:val="105"/>
                <w:sz w:val="15"/>
              </w:rPr>
              <w:t>1% of </w:t>
            </w:r>
            <w:r>
              <w:rPr>
                <w:b/>
                <w:color w:val="231F20"/>
                <w:w w:val="105"/>
                <w:sz w:val="15"/>
              </w:rPr>
              <w:t>Supreme Court </w:t>
            </w:r>
            <w:r>
              <w:rPr>
                <w:color w:val="231F20"/>
                <w:w w:val="105"/>
                <w:sz w:val="15"/>
              </w:rPr>
              <w:t>cases were the subject of</w:t>
            </w:r>
          </w:p>
          <w:p>
            <w:pPr>
              <w:pStyle w:val="TableParagraph"/>
              <w:spacing w:line="223" w:lineRule="auto"/>
              <w:ind w:left="78"/>
              <w:rPr>
                <w:sz w:val="15"/>
              </w:rPr>
            </w:pPr>
            <w:r>
              <w:rPr>
                <w:color w:val="231F20"/>
                <w:w w:val="110"/>
                <w:sz w:val="15"/>
              </w:rPr>
              <w:t>an appeal to the Court of Appeal.</w:t>
            </w:r>
          </w:p>
          <w:p>
            <w:pPr>
              <w:pStyle w:val="TableParagraph"/>
              <w:spacing w:line="223" w:lineRule="auto"/>
              <w:ind w:left="78" w:right="289"/>
              <w:rPr>
                <w:sz w:val="15"/>
              </w:rPr>
            </w:pPr>
            <w:r>
              <w:rPr>
                <w:color w:val="231F20"/>
                <w:w w:val="105"/>
                <w:sz w:val="15"/>
              </w:rPr>
              <w:t>Appeal </w:t>
            </w:r>
            <w:r>
              <w:rPr>
                <w:color w:val="231F20"/>
                <w:spacing w:val="-3"/>
                <w:w w:val="105"/>
                <w:sz w:val="15"/>
              </w:rPr>
              <w:t>rates </w:t>
            </w:r>
            <w:r>
              <w:rPr>
                <w:color w:val="231F20"/>
                <w:w w:val="105"/>
                <w:sz w:val="15"/>
              </w:rPr>
              <w:t>for 10 </w:t>
            </w:r>
            <w:r>
              <w:rPr>
                <w:color w:val="231F20"/>
                <w:spacing w:val="-3"/>
                <w:w w:val="105"/>
                <w:sz w:val="15"/>
              </w:rPr>
              <w:t>separate divisions </w:t>
            </w:r>
            <w:r>
              <w:rPr>
                <w:color w:val="231F20"/>
                <w:w w:val="105"/>
                <w:sz w:val="15"/>
              </w:rPr>
              <w:t>of </w:t>
            </w:r>
            <w:r>
              <w:rPr>
                <w:color w:val="231F20"/>
                <w:spacing w:val="-2"/>
                <w:w w:val="105"/>
                <w:sz w:val="15"/>
              </w:rPr>
              <w:t>the </w:t>
            </w:r>
            <w:r>
              <w:rPr>
                <w:color w:val="231F20"/>
                <w:w w:val="105"/>
                <w:sz w:val="15"/>
              </w:rPr>
              <w:t>Supreme Court are </w:t>
            </w:r>
            <w:r>
              <w:rPr>
                <w:color w:val="231F20"/>
                <w:spacing w:val="-3"/>
                <w:w w:val="105"/>
                <w:sz w:val="15"/>
              </w:rPr>
              <w:t>provided </w:t>
            </w:r>
            <w:r>
              <w:rPr>
                <w:color w:val="231F20"/>
                <w:w w:val="105"/>
                <w:sz w:val="15"/>
              </w:rPr>
              <w:t>with a range</w:t>
            </w:r>
            <w:r>
              <w:rPr>
                <w:color w:val="231F20"/>
                <w:spacing w:val="5"/>
                <w:w w:val="105"/>
                <w:sz w:val="15"/>
              </w:rPr>
              <w:t> </w:t>
            </w:r>
            <w:r>
              <w:rPr>
                <w:color w:val="231F20"/>
                <w:w w:val="105"/>
                <w:sz w:val="15"/>
              </w:rPr>
              <w:t>of</w:t>
            </w:r>
          </w:p>
          <w:p>
            <w:pPr>
              <w:pStyle w:val="TableParagraph"/>
              <w:spacing w:line="223" w:lineRule="auto"/>
              <w:ind w:left="78" w:right="99"/>
              <w:rPr>
                <w:sz w:val="15"/>
              </w:rPr>
            </w:pPr>
            <w:r>
              <w:rPr>
                <w:color w:val="231F20"/>
                <w:w w:val="105"/>
                <w:sz w:val="15"/>
              </w:rPr>
              <w:t>appeal rates from </w:t>
            </w:r>
            <w:r>
              <w:rPr>
                <w:color w:val="231F20"/>
                <w:w w:val="110"/>
                <w:sz w:val="15"/>
              </w:rPr>
              <w:t>0%-11%. 27%</w:t>
            </w:r>
          </w:p>
          <w:p>
            <w:pPr>
              <w:pStyle w:val="TableParagraph"/>
              <w:spacing w:line="223" w:lineRule="auto"/>
              <w:ind w:left="78" w:right="185"/>
              <w:rPr>
                <w:sz w:val="15"/>
              </w:rPr>
            </w:pPr>
            <w:r>
              <w:rPr>
                <w:color w:val="231F20"/>
                <w:w w:val="105"/>
                <w:sz w:val="15"/>
              </w:rPr>
              <w:t>of Land Court cases were the subject of an appeal to the Court of Appeal. </w:t>
            </w:r>
            <w:r>
              <w:rPr>
                <w:b/>
                <w:color w:val="231F20"/>
                <w:w w:val="105"/>
                <w:sz w:val="15"/>
              </w:rPr>
              <w:t>Magistrates Court</w:t>
            </w:r>
            <w:r>
              <w:rPr>
                <w:color w:val="231F20"/>
                <w:w w:val="105"/>
                <w:sz w:val="15"/>
              </w:rPr>
              <w:t>: less than 1%: 9 criminal cases and 8 civil cases appealed to the Supreme Court.</w:t>
            </w:r>
          </w:p>
        </w:tc>
        <w:tc>
          <w:tcPr>
            <w:tcW w:w="1093" w:type="dxa"/>
            <w:shd w:val="clear" w:color="auto" w:fill="F2CDBE"/>
          </w:tcPr>
          <w:p>
            <w:pPr>
              <w:pStyle w:val="TableParagraph"/>
              <w:spacing w:line="223" w:lineRule="auto" w:before="84"/>
              <w:ind w:left="78"/>
              <w:rPr>
                <w:sz w:val="15"/>
              </w:rPr>
            </w:pPr>
            <w:r>
              <w:rPr>
                <w:color w:val="231F20"/>
                <w:w w:val="110"/>
                <w:sz w:val="15"/>
              </w:rPr>
              <w:t>Data unavailable</w:t>
            </w:r>
          </w:p>
        </w:tc>
        <w:tc>
          <w:tcPr>
            <w:tcW w:w="1261" w:type="dxa"/>
            <w:shd w:val="clear" w:color="auto" w:fill="D8E3CE"/>
          </w:tcPr>
          <w:p>
            <w:pPr>
              <w:pStyle w:val="TableParagraph"/>
              <w:spacing w:line="223" w:lineRule="auto" w:before="85"/>
              <w:ind w:left="77" w:right="102"/>
              <w:jc w:val="both"/>
              <w:rPr>
                <w:sz w:val="15"/>
              </w:rPr>
            </w:pPr>
            <w:r>
              <w:rPr>
                <w:color w:val="231F20"/>
                <w:w w:val="110"/>
                <w:sz w:val="15"/>
              </w:rPr>
              <w:t>9% of </w:t>
            </w:r>
            <w:r>
              <w:rPr>
                <w:b/>
                <w:color w:val="231F20"/>
                <w:w w:val="110"/>
                <w:sz w:val="15"/>
              </w:rPr>
              <w:t>Supreme Court </w:t>
            </w:r>
            <w:r>
              <w:rPr>
                <w:color w:val="231F20"/>
                <w:w w:val="110"/>
                <w:sz w:val="15"/>
              </w:rPr>
              <w:t>decisions </w:t>
            </w:r>
            <w:r>
              <w:rPr>
                <w:color w:val="231F20"/>
                <w:w w:val="105"/>
                <w:sz w:val="15"/>
              </w:rPr>
              <w:t>were the subject </w:t>
            </w:r>
            <w:r>
              <w:rPr>
                <w:color w:val="231F20"/>
                <w:w w:val="110"/>
                <w:sz w:val="15"/>
              </w:rPr>
              <w:t>of an appeal</w:t>
            </w:r>
          </w:p>
          <w:p>
            <w:pPr>
              <w:pStyle w:val="TableParagraph"/>
              <w:spacing w:line="223" w:lineRule="auto"/>
              <w:ind w:left="77" w:right="82"/>
              <w:rPr>
                <w:sz w:val="15"/>
              </w:rPr>
            </w:pPr>
            <w:r>
              <w:rPr>
                <w:color w:val="231F20"/>
                <w:w w:val="105"/>
                <w:sz w:val="15"/>
              </w:rPr>
              <w:t>to the Court of Appeal. 2% of </w:t>
            </w:r>
            <w:r>
              <w:rPr>
                <w:b/>
                <w:color w:val="231F20"/>
                <w:w w:val="105"/>
                <w:sz w:val="15"/>
              </w:rPr>
              <w:t>Magistrates Court </w:t>
            </w:r>
            <w:r>
              <w:rPr>
                <w:color w:val="231F20"/>
                <w:w w:val="105"/>
                <w:sz w:val="15"/>
              </w:rPr>
              <w:t>decisions were the subject of an appeal to the Supreme Court</w:t>
            </w:r>
          </w:p>
        </w:tc>
      </w:tr>
    </w:tbl>
    <w:p>
      <w:pPr>
        <w:spacing w:after="0" w:line="223" w:lineRule="auto"/>
        <w:rPr>
          <w:sz w:val="15"/>
        </w:rPr>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89568"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27</w:t>
      </w:r>
    </w:p>
    <w:p>
      <w:pPr>
        <w:pStyle w:val="BodyText"/>
        <w:rPr>
          <w:sz w:val="38"/>
        </w:rPr>
      </w:pPr>
    </w:p>
    <w:p>
      <w:pPr>
        <w:pStyle w:val="BodyText"/>
        <w:rPr>
          <w:sz w:val="49"/>
        </w:rPr>
      </w:pPr>
    </w:p>
    <w:p>
      <w:pPr>
        <w:pStyle w:val="Heading5"/>
      </w:pPr>
      <w:r>
        <w:rPr/>
        <w:pict>
          <v:shape style="position:absolute;margin-left:85.039001pt;margin-top:23.320965pt;width:425.2pt;height:42.4pt;mso-position-horizontal-relative:page;mso-position-vertical-relative:paragraph;z-index:9808;mso-wrap-distance-left:0;mso-wrap-distance-right:0" type="#_x0000_t202" filled="true" fillcolor="#dcdbca" stroked="false">
            <v:textbox inset="0,0,0,0">
              <w:txbxContent>
                <w:p>
                  <w:pPr>
                    <w:pStyle w:val="BodyText"/>
                    <w:spacing w:line="252" w:lineRule="auto" w:before="135"/>
                    <w:ind w:left="56"/>
                  </w:pPr>
                  <w:r>
                    <w:rPr>
                      <w:color w:val="231F20"/>
                      <w:w w:val="105"/>
                    </w:rPr>
                    <w:t>The result against this indicator is obtained by dividing the number of appeal cases in which the lower court decision is overturned in whole or in part by the total number of appeals.</w:t>
                  </w:r>
                </w:p>
              </w:txbxContent>
            </v:textbox>
            <v:fill type="solid"/>
            <w10:wrap type="topAndBottom"/>
          </v:shape>
        </w:pict>
      </w:r>
      <w:r>
        <w:rPr/>
        <w:pict>
          <v:line style="position:absolute;mso-position-horizontal-relative:page;mso-position-vertical-relative:paragraph;z-index:10072" from="85.039398pt,22.820965pt" to="510.236398pt,22.820965pt" stroked="true" strokeweight="1pt" strokecolor="#0f6161">
            <v:stroke dashstyle="solid"/>
            <w10:wrap type="none"/>
          </v:line>
        </w:pict>
      </w:r>
      <w:r>
        <w:rPr/>
        <w:pict>
          <v:shape style="position:absolute;margin-left:85.039001pt;margin-top:-2.336936pt;width:93.55pt;height:24.7pt;mso-position-horizontal-relative:page;mso-position-vertical-relative:paragraph;z-index:10096" type="#_x0000_t202" filled="true" fillcolor="#7d8440" stroked="false">
            <v:textbox inset="0,0,0,0">
              <w:txbxContent>
                <w:p>
                  <w:pPr>
                    <w:spacing w:before="46"/>
                    <w:ind w:left="56" w:right="0" w:firstLine="0"/>
                    <w:jc w:val="left"/>
                    <w:rPr>
                      <w:b/>
                      <w:sz w:val="32"/>
                    </w:rPr>
                  </w:pPr>
                  <w:r>
                    <w:rPr>
                      <w:b/>
                      <w:color w:val="FFFFFF"/>
                      <w:w w:val="110"/>
                      <w:sz w:val="32"/>
                    </w:rPr>
                    <w:t>Indicator 4</w:t>
                  </w:r>
                </w:p>
              </w:txbxContent>
            </v:textbox>
            <v:fill type="solid"/>
            <w10:wrap type="none"/>
          </v:shape>
        </w:pict>
      </w:r>
      <w:r>
        <w:rPr>
          <w:color w:val="0F6161"/>
          <w:w w:val="105"/>
        </w:rPr>
        <w:t>Overturn Rate on Appeal</w:t>
      </w:r>
    </w:p>
    <w:p>
      <w:pPr>
        <w:pStyle w:val="BodyText"/>
        <w:spacing w:before="5"/>
        <w:rPr>
          <w:sz w:val="24"/>
        </w:rPr>
      </w:pPr>
    </w:p>
    <w:p>
      <w:pPr>
        <w:spacing w:before="87" w:after="5"/>
        <w:ind w:left="1700" w:right="0" w:firstLine="0"/>
        <w:jc w:val="left"/>
        <w:rPr>
          <w:sz w:val="40"/>
        </w:rPr>
      </w:pPr>
      <w:r>
        <w:rPr>
          <w:color w:val="0F6161"/>
          <w:w w:val="105"/>
          <w:sz w:val="40"/>
        </w:rPr>
        <w:t>What has changed?</w:t>
      </w:r>
    </w:p>
    <w:p>
      <w:pPr>
        <w:tabs>
          <w:tab w:pos="3571" w:val="left" w:leader="none"/>
          <w:tab w:pos="5896" w:val="left" w:leader="none"/>
          <w:tab w:pos="8163" w:val="left" w:leader="none"/>
        </w:tabs>
        <w:spacing w:line="240" w:lineRule="auto"/>
        <w:ind w:left="1700" w:right="0" w:firstLine="0"/>
        <w:rPr>
          <w:sz w:val="20"/>
        </w:rPr>
      </w:pPr>
      <w:r>
        <w:rPr>
          <w:position w:val="146"/>
          <w:sz w:val="20"/>
        </w:rPr>
        <w:pict>
          <v:group style="width:79.4pt;height:22.7pt;mso-position-horizontal-relative:char;mso-position-vertical-relative:line" coordorigin="0,0" coordsize="1588,454">
            <v:shape style="position:absolute;left:0;top:0;width:1588;height:454" coordorigin="0,0" coordsize="1588,454" path="m1387,0l0,0,0,454,1387,454,1503,450,1562,429,1584,369,1587,254,1587,200,1584,84,1562,25,1503,3,1387,0xe" filled="true" fillcolor="#7d8440" stroked="false">
              <v:path arrowok="t"/>
              <v:fill type="solid"/>
            </v:shape>
            <v:shape style="position:absolute;left:0;top:0;width:1588;height:454" type="#_x0000_t202" filled="false" stroked="false">
              <v:textbox inset="0,0,0,0">
                <w:txbxContent>
                  <w:p>
                    <w:pPr>
                      <w:spacing w:before="22"/>
                      <w:ind w:left="56" w:right="0" w:firstLine="0"/>
                      <w:jc w:val="left"/>
                      <w:rPr>
                        <w:sz w:val="32"/>
                      </w:rPr>
                    </w:pPr>
                    <w:r>
                      <w:rPr>
                        <w:color w:val="FFFFFF"/>
                        <w:w w:val="110"/>
                        <w:sz w:val="32"/>
                      </w:rPr>
                      <w:t>Change 1</w:t>
                    </w:r>
                  </w:p>
                </w:txbxContent>
              </v:textbox>
              <w10:wrap type="none"/>
            </v:shape>
          </v:group>
        </w:pict>
      </w:r>
      <w:r>
        <w:rPr>
          <w:position w:val="146"/>
          <w:sz w:val="20"/>
        </w:rPr>
      </w:r>
      <w:r>
        <w:rPr>
          <w:position w:val="146"/>
          <w:sz w:val="20"/>
        </w:rPr>
        <w:tab/>
      </w:r>
      <w:r>
        <w:rPr>
          <w:sz w:val="20"/>
        </w:rPr>
        <w:pict>
          <v:group style="width:102.05pt;height:96.4pt;mso-position-horizontal-relative:char;mso-position-vertical-relative:line" coordorigin="0,0" coordsize="2041,1928">
            <v:shape style="position:absolute;left:0;top:0;width:2041;height:1928" coordorigin="0,0" coordsize="2041,1928" path="m1928,0l113,0,48,2,14,14,2,48,0,113,0,1814,2,1880,14,1913,48,1926,113,1928,1928,1928,1993,1926,2027,1913,2039,1880,2041,1814,2041,113,2039,48,2027,14,1993,2,1928,0xe" filled="true" fillcolor="#b5b292" stroked="false">
              <v:path arrowok="t"/>
              <v:fill type="solid"/>
            </v:shape>
            <v:shape style="position:absolute;left:294;top:139;width:1452;height:1649" type="#_x0000_t75" stroked="false">
              <v:imagedata r:id="rId29" o:title=""/>
            </v:shape>
          </v:group>
        </w:pict>
      </w:r>
      <w:r>
        <w:rPr>
          <w:sz w:val="20"/>
        </w:rPr>
      </w:r>
      <w:r>
        <w:rPr>
          <w:sz w:val="20"/>
        </w:rPr>
        <w:tab/>
      </w:r>
      <w:r>
        <w:rPr>
          <w:sz w:val="20"/>
        </w:rPr>
        <w:pict>
          <v:group style="width:102.05pt;height:107.75pt;mso-position-horizontal-relative:char;mso-position-vertical-relative:line" coordorigin="0,0" coordsize="2041,2155">
            <v:shape style="position:absolute;left:0;top:226;width:2041;height:1928" coordorigin="0,227" coordsize="2041,1928" path="m1928,227l113,227,48,229,14,241,2,275,0,340,0,2041,2,2106,14,2140,48,2153,113,2154,1928,2154,1993,2153,2027,2140,2039,2106,2041,2041,2041,340,2039,275,2027,241,1993,229,1928,227xe" filled="true" fillcolor="#d01c26" stroked="false">
              <v:path arrowok="t"/>
              <v:fill type="solid"/>
            </v:shape>
            <v:shape style="position:absolute;left:0;top:0;width:2041;height:2155" type="#_x0000_t202" filled="false" stroked="false">
              <v:textbox inset="0,0,0,0">
                <w:txbxContent>
                  <w:p>
                    <w:pPr>
                      <w:spacing w:before="78"/>
                      <w:ind w:left="222" w:right="0" w:firstLine="0"/>
                      <w:jc w:val="left"/>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b w:val="0"/>
                        <w:color w:val="FFFFFF"/>
                        <w:spacing w:val="-824"/>
                        <w:position w:val="33"/>
                        <w:sz w:val="130"/>
                      </w:rPr>
                      <w:t>3</w:t>
                    </w:r>
                    <w:r>
                      <w:rPr>
                        <w:rFonts w:ascii="Arial"/>
                        <w:b/>
                        <w:color w:val="FFFFFF"/>
                        <w:spacing w:val="-3"/>
                        <w:w w:val="93"/>
                        <w:sz w:val="21"/>
                      </w:rPr>
                      <w:t>r</w:t>
                    </w:r>
                    <w:r>
                      <w:rPr>
                        <w:rFonts w:ascii="Arial"/>
                        <w:b/>
                        <w:color w:val="FFFFFF"/>
                        <w:w w:val="88"/>
                        <w:sz w:val="21"/>
                      </w:rPr>
                      <w:t>ts</w:t>
                    </w:r>
                    <w:r>
                      <w:rPr>
                        <w:rFonts w:ascii="Arial"/>
                        <w:b/>
                        <w:color w:val="FFFFFF"/>
                        <w:spacing w:val="-6"/>
                        <w:sz w:val="21"/>
                      </w:rPr>
                      <w:t> </w:t>
                    </w:r>
                    <w:r>
                      <w:rPr>
                        <w:rFonts w:ascii="Arial"/>
                        <w:b/>
                        <w:color w:val="FFFFFF"/>
                        <w:spacing w:val="-4"/>
                        <w:w w:val="93"/>
                        <w:sz w:val="21"/>
                      </w:rPr>
                      <w:t>r</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69"/>
                      <w:ind w:left="205" w:right="203" w:firstLine="0"/>
                      <w:jc w:val="center"/>
                      <w:rPr>
                        <w:rFonts w:ascii="Arial"/>
                        <w:b/>
                        <w:sz w:val="14"/>
                      </w:rPr>
                    </w:pPr>
                    <w:r>
                      <w:rPr>
                        <w:rFonts w:ascii="Arial"/>
                        <w:b/>
                        <w:color w:val="FFFFFF"/>
                        <w:sz w:val="14"/>
                      </w:rPr>
                      <w:t>YEAR 1 BASELINE TREND DATA</w:t>
                    </w:r>
                  </w:p>
                </w:txbxContent>
              </v:textbox>
              <w10:wrap type="none"/>
            </v:shape>
          </v:group>
        </w:pict>
      </w:r>
      <w:r>
        <w:rPr>
          <w:sz w:val="20"/>
        </w:rPr>
      </w:r>
      <w:r>
        <w:rPr>
          <w:sz w:val="20"/>
        </w:rPr>
        <w:tab/>
      </w:r>
      <w:r>
        <w:rPr>
          <w:sz w:val="20"/>
        </w:rPr>
        <w:pict>
          <v:group style="width:102.05pt;height:107.75pt;mso-position-horizontal-relative:char;mso-position-vertical-relative:line" coordorigin="0,0" coordsize="2041,2155">
            <v:shape style="position:absolute;left:0;top:226;width:2041;height:1928" coordorigin="0,227" coordsize="2041,1928" path="m1928,227l113,227,48,229,14,241,2,275,0,340,0,2041,2,2106,14,2140,48,2153,113,2154,1928,2154,1993,2153,2027,2140,2039,2106,2041,2041,2041,340,2039,275,2027,241,1993,229,1928,227xe" filled="true" fillcolor="#5b9f42" stroked="false">
              <v:path arrowok="t"/>
              <v:fill type="solid"/>
            </v:shape>
            <v:shape style="position:absolute;left:0;top:0;width:2041;height:2155" type="#_x0000_t202" filled="false" stroked="false">
              <v:textbox inset="0,0,0,0">
                <w:txbxContent>
                  <w:p>
                    <w:pPr>
                      <w:spacing w:before="78"/>
                      <w:ind w:left="203" w:right="203" w:firstLine="0"/>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b w:val="0"/>
                        <w:color w:val="FFFFFF"/>
                        <w:spacing w:val="-824"/>
                        <w:position w:val="33"/>
                        <w:sz w:val="130"/>
                      </w:rPr>
                      <w:t>8</w:t>
                    </w:r>
                    <w:r>
                      <w:rPr>
                        <w:rFonts w:ascii="Arial"/>
                        <w:b/>
                        <w:color w:val="FFFFFF"/>
                        <w:spacing w:val="-3"/>
                        <w:w w:val="93"/>
                        <w:sz w:val="21"/>
                      </w:rPr>
                      <w:t>r</w:t>
                    </w:r>
                    <w:r>
                      <w:rPr>
                        <w:rFonts w:ascii="Arial"/>
                        <w:b/>
                        <w:color w:val="FFFFFF"/>
                        <w:w w:val="88"/>
                        <w:sz w:val="21"/>
                      </w:rPr>
                      <w:t>ts</w:t>
                    </w:r>
                    <w:r>
                      <w:rPr>
                        <w:rFonts w:ascii="Arial"/>
                        <w:b/>
                        <w:color w:val="FFFFFF"/>
                        <w:spacing w:val="-6"/>
                        <w:sz w:val="21"/>
                      </w:rPr>
                      <w:t> </w:t>
                    </w:r>
                    <w:r>
                      <w:rPr>
                        <w:rFonts w:ascii="Arial"/>
                        <w:b/>
                        <w:color w:val="FFFFFF"/>
                        <w:spacing w:val="-4"/>
                        <w:w w:val="93"/>
                        <w:sz w:val="21"/>
                      </w:rPr>
                      <w:t>r</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211"/>
                      <w:ind w:left="205" w:right="203" w:firstLine="0"/>
                      <w:jc w:val="center"/>
                      <w:rPr>
                        <w:rFonts w:ascii="Arial"/>
                        <w:b/>
                        <w:sz w:val="14"/>
                      </w:rPr>
                    </w:pPr>
                    <w:r>
                      <w:rPr>
                        <w:rFonts w:ascii="Arial"/>
                        <w:b/>
                        <w:color w:val="FFFFFF"/>
                        <w:sz w:val="14"/>
                      </w:rPr>
                      <w:t>YEAR 7 TREND DATA</w:t>
                    </w:r>
                  </w:p>
                </w:txbxContent>
              </v:textbox>
              <w10:wrap type="none"/>
            </v:shape>
          </v:group>
        </w:pict>
      </w:r>
      <w:r>
        <w:rPr>
          <w:sz w:val="20"/>
        </w:rPr>
      </w:r>
    </w:p>
    <w:p>
      <w:pPr>
        <w:spacing w:line="252" w:lineRule="auto" w:before="147"/>
        <w:ind w:left="1700" w:right="1633" w:firstLine="0"/>
        <w:jc w:val="left"/>
        <w:rPr>
          <w:sz w:val="21"/>
        </w:rPr>
      </w:pPr>
      <w:r>
        <w:rPr>
          <w:b/>
          <w:color w:val="231F20"/>
          <w:w w:val="105"/>
          <w:sz w:val="21"/>
        </w:rPr>
        <w:t>Year 1 baseline trend data</w:t>
      </w:r>
      <w:r>
        <w:rPr>
          <w:color w:val="231F20"/>
          <w:w w:val="105"/>
          <w:sz w:val="21"/>
        </w:rPr>
        <w:t>: 3 courts could calculate an overturn rate on appeal for one or more jurisdictions.</w:t>
      </w:r>
    </w:p>
    <w:p>
      <w:pPr>
        <w:pStyle w:val="BodyText"/>
        <w:spacing w:line="252" w:lineRule="auto" w:before="115"/>
        <w:ind w:left="1700" w:right="1501"/>
      </w:pPr>
      <w:r>
        <w:rPr>
          <w:b/>
          <w:color w:val="231F20"/>
          <w:w w:val="105"/>
        </w:rPr>
        <w:t>Year 4 trend data</w:t>
      </w:r>
      <w:r>
        <w:rPr>
          <w:color w:val="231F20"/>
          <w:w w:val="105"/>
        </w:rPr>
        <w:t>: 11 courts could calculate an overturn rate on appeal for one or more  jurisdictions.</w:t>
      </w:r>
    </w:p>
    <w:p>
      <w:pPr>
        <w:pStyle w:val="BodyText"/>
        <w:spacing w:line="252" w:lineRule="auto" w:before="115"/>
        <w:ind w:left="1700" w:right="1501"/>
      </w:pPr>
      <w:r>
        <w:rPr>
          <w:b/>
          <w:color w:val="231F20"/>
          <w:w w:val="105"/>
        </w:rPr>
        <w:t>Year 7 trend data</w:t>
      </w:r>
      <w:r>
        <w:rPr>
          <w:color w:val="231F20"/>
          <w:w w:val="105"/>
        </w:rPr>
        <w:t>: 8 courts could calculate an overturn rate on appeal for one or more jurisdictions.</w:t>
      </w:r>
    </w:p>
    <w:p>
      <w:pPr>
        <w:pStyle w:val="BodyText"/>
        <w:spacing w:before="2"/>
        <w:rPr>
          <w:sz w:val="26"/>
        </w:rPr>
      </w:pPr>
      <w:r>
        <w:rPr/>
        <w:pict>
          <v:group style="position:absolute;margin-left:85.039398pt;margin-top:17.922489pt;width:79.4pt;height:22.7pt;mso-position-horizontal-relative:page;mso-position-vertical-relative:paragraph;z-index:10024;mso-wrap-distance-left:0;mso-wrap-distance-right:0" coordorigin="1701,358" coordsize="1588,454">
            <v:shape style="position:absolute;left:1700;top:358;width:1588;height:454" coordorigin="1701,358" coordsize="1588,454" path="m3088,358l1701,358,1701,812,3088,812,3204,809,3263,787,3285,728,3288,612,3288,558,3285,443,3263,383,3204,362,3088,358xe" filled="true" fillcolor="#7d8440" stroked="false">
              <v:path arrowok="t"/>
              <v:fill type="solid"/>
            </v:shape>
            <v:shape style="position:absolute;left:1700;top:358;width:1588;height:454" type="#_x0000_t202" filled="false" stroked="false">
              <v:textbox inset="0,0,0,0">
                <w:txbxContent>
                  <w:p>
                    <w:pPr>
                      <w:spacing w:before="5"/>
                      <w:ind w:left="56" w:right="0" w:firstLine="0"/>
                      <w:jc w:val="left"/>
                      <w:rPr>
                        <w:sz w:val="32"/>
                      </w:rPr>
                    </w:pPr>
                    <w:r>
                      <w:rPr>
                        <w:color w:val="FFFFFF"/>
                        <w:w w:val="110"/>
                        <w:sz w:val="32"/>
                      </w:rPr>
                      <w:t>Change 2</w:t>
                    </w:r>
                  </w:p>
                </w:txbxContent>
              </v:textbox>
              <w10:wrap type="none"/>
            </v:shape>
            <w10:wrap type="topAndBottom"/>
          </v:group>
        </w:pict>
      </w:r>
    </w:p>
    <w:p>
      <w:pPr>
        <w:pStyle w:val="BodyText"/>
        <w:spacing w:before="67"/>
        <w:ind w:left="1700"/>
      </w:pPr>
      <w:r>
        <w:rPr>
          <w:b/>
          <w:color w:val="231F20"/>
        </w:rPr>
        <w:t>In Year 1</w:t>
      </w:r>
      <w:r>
        <w:rPr>
          <w:color w:val="231F20"/>
        </w:rPr>
        <w:t>: no court presented trends over 3-5 years on the overturn rate on appeal.</w:t>
      </w:r>
    </w:p>
    <w:p>
      <w:pPr>
        <w:pStyle w:val="BodyText"/>
        <w:spacing w:line="252" w:lineRule="auto" w:before="184"/>
        <w:ind w:left="1700" w:right="1698"/>
        <w:jc w:val="both"/>
      </w:pPr>
      <w:r>
        <w:rPr>
          <w:b/>
          <w:color w:val="231F20"/>
          <w:w w:val="105"/>
        </w:rPr>
        <w:t>In</w:t>
      </w:r>
      <w:r>
        <w:rPr>
          <w:b/>
          <w:color w:val="231F20"/>
          <w:spacing w:val="-22"/>
          <w:w w:val="105"/>
        </w:rPr>
        <w:t> </w:t>
      </w:r>
      <w:r>
        <w:rPr>
          <w:b/>
          <w:color w:val="231F20"/>
          <w:spacing w:val="-6"/>
          <w:w w:val="105"/>
        </w:rPr>
        <w:t>Year</w:t>
      </w:r>
      <w:r>
        <w:rPr>
          <w:b/>
          <w:color w:val="231F20"/>
          <w:spacing w:val="-7"/>
          <w:w w:val="105"/>
        </w:rPr>
        <w:t> </w:t>
      </w:r>
      <w:r>
        <w:rPr>
          <w:b/>
          <w:color w:val="231F20"/>
          <w:w w:val="105"/>
        </w:rPr>
        <w:t>7</w:t>
      </w:r>
      <w:r>
        <w:rPr>
          <w:color w:val="231F20"/>
          <w:w w:val="105"/>
        </w:rPr>
        <w:t>:</w:t>
      </w:r>
      <w:r>
        <w:rPr>
          <w:color w:val="231F20"/>
          <w:spacing w:val="-7"/>
          <w:w w:val="105"/>
        </w:rPr>
        <w:t> </w:t>
      </w:r>
      <w:r>
        <w:rPr>
          <w:color w:val="231F20"/>
          <w:spacing w:val="-3"/>
          <w:w w:val="105"/>
        </w:rPr>
        <w:t>Five</w:t>
      </w:r>
      <w:r>
        <w:rPr>
          <w:color w:val="231F20"/>
          <w:spacing w:val="-7"/>
          <w:w w:val="105"/>
        </w:rPr>
        <w:t> </w:t>
      </w:r>
      <w:r>
        <w:rPr>
          <w:color w:val="231F20"/>
          <w:w w:val="105"/>
        </w:rPr>
        <w:t>courts</w:t>
      </w:r>
      <w:r>
        <w:rPr>
          <w:color w:val="231F20"/>
          <w:spacing w:val="-7"/>
          <w:w w:val="105"/>
        </w:rPr>
        <w:t> </w:t>
      </w:r>
      <w:r>
        <w:rPr>
          <w:color w:val="231F20"/>
          <w:w w:val="105"/>
        </w:rPr>
        <w:t>presented</w:t>
      </w:r>
      <w:r>
        <w:rPr>
          <w:color w:val="231F20"/>
          <w:spacing w:val="-7"/>
          <w:w w:val="105"/>
        </w:rPr>
        <w:t> </w:t>
      </w:r>
      <w:r>
        <w:rPr>
          <w:color w:val="231F20"/>
          <w:w w:val="105"/>
        </w:rPr>
        <w:t>trends</w:t>
      </w:r>
      <w:r>
        <w:rPr>
          <w:color w:val="231F20"/>
          <w:spacing w:val="-7"/>
          <w:w w:val="105"/>
        </w:rPr>
        <w:t> </w:t>
      </w:r>
      <w:r>
        <w:rPr>
          <w:color w:val="231F20"/>
          <w:w w:val="105"/>
        </w:rPr>
        <w:t>over</w:t>
      </w:r>
      <w:r>
        <w:rPr>
          <w:color w:val="231F20"/>
          <w:spacing w:val="-7"/>
          <w:w w:val="105"/>
        </w:rPr>
        <w:t> </w:t>
      </w:r>
      <w:r>
        <w:rPr>
          <w:color w:val="231F20"/>
          <w:w w:val="105"/>
        </w:rPr>
        <w:t>3-5</w:t>
      </w:r>
      <w:r>
        <w:rPr>
          <w:color w:val="231F20"/>
          <w:spacing w:val="-7"/>
          <w:w w:val="105"/>
        </w:rPr>
        <w:t> </w:t>
      </w:r>
      <w:r>
        <w:rPr>
          <w:color w:val="231F20"/>
          <w:w w:val="105"/>
        </w:rPr>
        <w:t>years</w:t>
      </w:r>
      <w:r>
        <w:rPr>
          <w:color w:val="231F20"/>
          <w:spacing w:val="-7"/>
          <w:w w:val="105"/>
        </w:rPr>
        <w:t> </w:t>
      </w:r>
      <w:r>
        <w:rPr>
          <w:color w:val="231F20"/>
          <w:w w:val="105"/>
        </w:rPr>
        <w:t>on</w:t>
      </w:r>
      <w:r>
        <w:rPr>
          <w:color w:val="231F20"/>
          <w:spacing w:val="-7"/>
          <w:w w:val="105"/>
        </w:rPr>
        <w:t> </w:t>
      </w:r>
      <w:r>
        <w:rPr>
          <w:color w:val="231F20"/>
          <w:w w:val="105"/>
        </w:rPr>
        <w:t>the</w:t>
      </w:r>
      <w:r>
        <w:rPr>
          <w:color w:val="231F20"/>
          <w:spacing w:val="-7"/>
          <w:w w:val="105"/>
        </w:rPr>
        <w:t> </w:t>
      </w:r>
      <w:r>
        <w:rPr>
          <w:color w:val="231F20"/>
          <w:w w:val="105"/>
        </w:rPr>
        <w:t>overturn</w:t>
      </w:r>
      <w:r>
        <w:rPr>
          <w:color w:val="231F20"/>
          <w:spacing w:val="-7"/>
          <w:w w:val="105"/>
        </w:rPr>
        <w:t> </w:t>
      </w:r>
      <w:r>
        <w:rPr>
          <w:color w:val="231F20"/>
          <w:w w:val="105"/>
        </w:rPr>
        <w:t>rate</w:t>
      </w:r>
      <w:r>
        <w:rPr>
          <w:color w:val="231F20"/>
          <w:spacing w:val="-7"/>
          <w:w w:val="105"/>
        </w:rPr>
        <w:t> </w:t>
      </w:r>
      <w:r>
        <w:rPr>
          <w:color w:val="231F20"/>
          <w:w w:val="105"/>
        </w:rPr>
        <w:t>on</w:t>
      </w:r>
      <w:r>
        <w:rPr>
          <w:color w:val="231F20"/>
          <w:spacing w:val="-7"/>
          <w:w w:val="105"/>
        </w:rPr>
        <w:t> </w:t>
      </w:r>
      <w:r>
        <w:rPr>
          <w:color w:val="231F20"/>
          <w:w w:val="105"/>
        </w:rPr>
        <w:t>appeal</w:t>
      </w:r>
      <w:r>
        <w:rPr>
          <w:color w:val="231F20"/>
          <w:spacing w:val="-7"/>
          <w:w w:val="105"/>
        </w:rPr>
        <w:t> </w:t>
      </w:r>
      <w:r>
        <w:rPr>
          <w:color w:val="231F20"/>
          <w:w w:val="105"/>
        </w:rPr>
        <w:t>(Federated States</w:t>
      </w:r>
      <w:r>
        <w:rPr>
          <w:color w:val="231F20"/>
          <w:spacing w:val="7"/>
          <w:w w:val="105"/>
        </w:rPr>
        <w:t> </w:t>
      </w:r>
      <w:r>
        <w:rPr>
          <w:color w:val="231F20"/>
          <w:w w:val="105"/>
        </w:rPr>
        <w:t>of</w:t>
      </w:r>
      <w:r>
        <w:rPr>
          <w:color w:val="231F20"/>
          <w:spacing w:val="7"/>
          <w:w w:val="105"/>
        </w:rPr>
        <w:t> </w:t>
      </w:r>
      <w:r>
        <w:rPr>
          <w:color w:val="231F20"/>
          <w:w w:val="105"/>
        </w:rPr>
        <w:t>Micronesia,</w:t>
      </w:r>
      <w:r>
        <w:rPr>
          <w:color w:val="231F20"/>
          <w:spacing w:val="7"/>
          <w:w w:val="105"/>
        </w:rPr>
        <w:t> </w:t>
      </w:r>
      <w:r>
        <w:rPr>
          <w:color w:val="231F20"/>
          <w:w w:val="105"/>
        </w:rPr>
        <w:t>Kiribati,</w:t>
      </w:r>
      <w:r>
        <w:rPr>
          <w:color w:val="231F20"/>
          <w:spacing w:val="7"/>
          <w:w w:val="105"/>
        </w:rPr>
        <w:t> </w:t>
      </w:r>
      <w:r>
        <w:rPr>
          <w:color w:val="231F20"/>
          <w:w w:val="105"/>
        </w:rPr>
        <w:t>Niue,</w:t>
      </w:r>
      <w:r>
        <w:rPr>
          <w:color w:val="231F20"/>
          <w:spacing w:val="7"/>
          <w:w w:val="105"/>
        </w:rPr>
        <w:t> </w:t>
      </w:r>
      <w:r>
        <w:rPr>
          <w:color w:val="231F20"/>
          <w:w w:val="105"/>
        </w:rPr>
        <w:t>the</w:t>
      </w:r>
      <w:r>
        <w:rPr>
          <w:color w:val="231F20"/>
          <w:spacing w:val="7"/>
          <w:w w:val="105"/>
        </w:rPr>
        <w:t> </w:t>
      </w:r>
      <w:r>
        <w:rPr>
          <w:color w:val="231F20"/>
          <w:w w:val="105"/>
        </w:rPr>
        <w:t>Republic</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Marshall</w:t>
      </w:r>
      <w:r>
        <w:rPr>
          <w:color w:val="231F20"/>
          <w:spacing w:val="7"/>
          <w:w w:val="105"/>
        </w:rPr>
        <w:t> </w:t>
      </w:r>
      <w:r>
        <w:rPr>
          <w:color w:val="231F20"/>
          <w:w w:val="105"/>
        </w:rPr>
        <w:t>Islands</w:t>
      </w:r>
      <w:r>
        <w:rPr>
          <w:color w:val="231F20"/>
          <w:spacing w:val="7"/>
          <w:w w:val="105"/>
        </w:rPr>
        <w:t> </w:t>
      </w:r>
      <w:r>
        <w:rPr>
          <w:color w:val="231F20"/>
          <w:w w:val="105"/>
        </w:rPr>
        <w:t>and</w:t>
      </w:r>
      <w:r>
        <w:rPr>
          <w:color w:val="231F20"/>
          <w:spacing w:val="-8"/>
          <w:w w:val="105"/>
        </w:rPr>
        <w:t> </w:t>
      </w:r>
      <w:r>
        <w:rPr>
          <w:color w:val="231F20"/>
          <w:spacing w:val="-3"/>
          <w:w w:val="105"/>
        </w:rPr>
        <w:t>Tonga).</w:t>
      </w:r>
    </w:p>
    <w:p>
      <w:pPr>
        <w:pStyle w:val="BodyText"/>
        <w:spacing w:line="252" w:lineRule="auto" w:before="172"/>
        <w:ind w:left="1700" w:right="1695"/>
        <w:jc w:val="both"/>
      </w:pPr>
      <w:r>
        <w:rPr>
          <w:color w:val="231F20"/>
          <w:w w:val="105"/>
        </w:rPr>
        <w:t>This allows judicial leadership, court stakeholders and the public to see whether the percentage of the original court decisions affirmed or overturned on appeal is changing or    not and provide reasons for these trend changes. Court leadership can implement appropriate judicial education programmes if there is a significant percentage of first instance decisions being overturned on</w:t>
      </w:r>
      <w:r>
        <w:rPr>
          <w:color w:val="231F20"/>
          <w:spacing w:val="37"/>
          <w:w w:val="105"/>
        </w:rPr>
        <w:t> </w:t>
      </w:r>
      <w:r>
        <w:rPr>
          <w:color w:val="231F20"/>
          <w:w w:val="105"/>
        </w:rPr>
        <w:t>appeal.</w:t>
      </w:r>
    </w:p>
    <w:p>
      <w:pPr>
        <w:pStyle w:val="BodyText"/>
        <w:spacing w:line="252" w:lineRule="auto" w:before="117"/>
        <w:ind w:left="1700" w:right="1698"/>
        <w:jc w:val="both"/>
      </w:pPr>
      <w:r>
        <w:rPr>
          <w:color w:val="231F20"/>
          <w:spacing w:val="-5"/>
        </w:rPr>
        <w:t>Tonga  </w:t>
      </w:r>
      <w:r>
        <w:rPr>
          <w:color w:val="231F20"/>
        </w:rPr>
        <w:t>is one of the few PJSI partner courts to show trends over the previous three years in the   rate at which cases are overturned on appeal. </w:t>
      </w:r>
      <w:r>
        <w:rPr>
          <w:color w:val="231F20"/>
          <w:spacing w:val="-4"/>
        </w:rPr>
        <w:t>The  </w:t>
      </w:r>
      <w:r>
        <w:rPr>
          <w:color w:val="231F20"/>
        </w:rPr>
        <w:t>2017 Annual Report for the Superior Courts      of </w:t>
      </w:r>
      <w:r>
        <w:rPr>
          <w:color w:val="231F20"/>
          <w:spacing w:val="-5"/>
        </w:rPr>
        <w:t>Tonga </w:t>
      </w:r>
      <w:r>
        <w:rPr>
          <w:color w:val="231F20"/>
        </w:rPr>
        <w:t>states</w:t>
      </w:r>
      <w:r>
        <w:rPr>
          <w:color w:val="231F20"/>
          <w:spacing w:val="-23"/>
        </w:rPr>
        <w:t> </w:t>
      </w:r>
      <w:r>
        <w:rPr>
          <w:color w:val="231F20"/>
        </w:rPr>
        <w:t>that:</w:t>
      </w:r>
    </w:p>
    <w:p>
      <w:pPr>
        <w:spacing w:line="256" w:lineRule="auto" w:before="179"/>
        <w:ind w:left="2040" w:right="2292" w:firstLine="0"/>
        <w:jc w:val="left"/>
        <w:rPr>
          <w:rFonts w:ascii="Book Antiqua"/>
          <w:i/>
          <w:sz w:val="21"/>
        </w:rPr>
      </w:pPr>
      <w:r>
        <w:rPr>
          <w:rFonts w:ascii="Book Antiqua"/>
          <w:i/>
          <w:color w:val="231F20"/>
          <w:w w:val="110"/>
          <w:sz w:val="21"/>
        </w:rPr>
        <w:t>It will be observed that in the two previous reporting periods the percentages of </w:t>
      </w:r>
      <w:r>
        <w:rPr>
          <w:rFonts w:ascii="Book Antiqua"/>
          <w:i/>
          <w:color w:val="231F20"/>
          <w:w w:val="110"/>
          <w:sz w:val="21"/>
        </w:rPr>
        <w:t>cases overturned on appeal had remained steady at 34% but in this reporting period it has reduced to 29%.</w:t>
      </w:r>
    </w:p>
    <w:p>
      <w:pPr>
        <w:spacing w:after="0" w:line="256" w:lineRule="auto"/>
        <w:jc w:val="left"/>
        <w:rPr>
          <w:rFonts w:ascii="Book Antiqua"/>
          <w:sz w:val="21"/>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5959">
            <wp:simplePos x="0" y="0"/>
            <wp:positionH relativeFrom="page">
              <wp:posOffset>0</wp:posOffset>
            </wp:positionH>
            <wp:positionV relativeFrom="paragraph">
              <wp:posOffset>373881</wp:posOffset>
            </wp:positionV>
            <wp:extent cx="7559992" cy="143992"/>
            <wp:effectExtent l="0" t="0" r="0" b="0"/>
            <wp:wrapNone/>
            <wp:docPr id="41" name="image39.png" descr=""/>
            <wp:cNvGraphicFramePr>
              <a:graphicFrameLocks noChangeAspect="1"/>
            </wp:cNvGraphicFramePr>
            <a:graphic>
              <a:graphicData uri="http://schemas.openxmlformats.org/drawingml/2006/picture">
                <pic:pic>
                  <pic:nvPicPr>
                    <pic:cNvPr id="42"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28</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12"/>
        <w:rPr>
          <w:b/>
          <w:sz w:val="14"/>
        </w:rPr>
      </w:pPr>
    </w:p>
    <w:p>
      <w:pPr>
        <w:pStyle w:val="BodyText"/>
        <w:spacing w:before="93"/>
        <w:ind w:left="1700"/>
      </w:pPr>
      <w:r>
        <w:rPr>
          <w:color w:val="231F20"/>
          <w:w w:val="105"/>
        </w:rPr>
        <w:t>Overturn rate on appeal – 2011 Baseline Report</w:t>
      </w:r>
    </w:p>
    <w:p>
      <w:pPr>
        <w:pStyle w:val="BodyText"/>
        <w:spacing w:before="7"/>
        <w:rPr>
          <w:sz w:val="6"/>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225"/>
        <w:gridCol w:w="1066"/>
        <w:gridCol w:w="1361"/>
        <w:gridCol w:w="1361"/>
        <w:gridCol w:w="1093"/>
        <w:gridCol w:w="1261"/>
      </w:tblGrid>
      <w:tr>
        <w:trPr>
          <w:trHeight w:val="632" w:hRule="atLeast"/>
        </w:trPr>
        <w:tc>
          <w:tcPr>
            <w:tcW w:w="1124" w:type="dxa"/>
            <w:shd w:val="clear" w:color="auto" w:fill="92BAC2"/>
          </w:tcPr>
          <w:p>
            <w:pPr>
              <w:pStyle w:val="TableParagraph"/>
              <w:spacing w:before="75"/>
              <w:ind w:left="80"/>
              <w:rPr>
                <w:b/>
                <w:sz w:val="15"/>
              </w:rPr>
            </w:pPr>
            <w:r>
              <w:rPr>
                <w:b/>
                <w:color w:val="231F20"/>
                <w:w w:val="110"/>
                <w:sz w:val="15"/>
              </w:rPr>
              <w:t>Cook Islands</w:t>
            </w:r>
          </w:p>
        </w:tc>
        <w:tc>
          <w:tcPr>
            <w:tcW w:w="1225" w:type="dxa"/>
            <w:shd w:val="clear" w:color="auto" w:fill="92BAC2"/>
          </w:tcPr>
          <w:p>
            <w:pPr>
              <w:pStyle w:val="TableParagraph"/>
              <w:spacing w:line="223" w:lineRule="auto" w:before="85"/>
              <w:ind w:left="79" w:right="390"/>
              <w:rPr>
                <w:b/>
                <w:sz w:val="15"/>
              </w:rPr>
            </w:pPr>
            <w:r>
              <w:rPr>
                <w:b/>
                <w:color w:val="231F20"/>
                <w:w w:val="105"/>
                <w:sz w:val="15"/>
              </w:rPr>
              <w:t>Federated States of Micronesia</w:t>
            </w:r>
          </w:p>
        </w:tc>
        <w:tc>
          <w:tcPr>
            <w:tcW w:w="1066" w:type="dxa"/>
            <w:shd w:val="clear" w:color="auto" w:fill="92BAC2"/>
          </w:tcPr>
          <w:p>
            <w:pPr>
              <w:pStyle w:val="TableParagraph"/>
              <w:spacing w:line="223" w:lineRule="auto" w:before="85"/>
              <w:ind w:left="79" w:right="145"/>
              <w:rPr>
                <w:b/>
                <w:sz w:val="15"/>
              </w:rPr>
            </w:pPr>
            <w:r>
              <w:rPr>
                <w:b/>
                <w:color w:val="231F20"/>
                <w:w w:val="110"/>
                <w:sz w:val="15"/>
              </w:rPr>
              <w:t>Kiribati Islands</w:t>
            </w:r>
          </w:p>
        </w:tc>
        <w:tc>
          <w:tcPr>
            <w:tcW w:w="1361" w:type="dxa"/>
            <w:shd w:val="clear" w:color="auto" w:fill="92BAC2"/>
          </w:tcPr>
          <w:p>
            <w:pPr>
              <w:pStyle w:val="TableParagraph"/>
              <w:spacing w:before="75"/>
              <w:ind w:left="79"/>
              <w:rPr>
                <w:b/>
                <w:sz w:val="15"/>
              </w:rPr>
            </w:pPr>
            <w:r>
              <w:rPr>
                <w:b/>
                <w:color w:val="231F20"/>
                <w:w w:val="105"/>
                <w:sz w:val="15"/>
              </w:rPr>
              <w:t>Marshall Islands</w:t>
            </w:r>
          </w:p>
        </w:tc>
        <w:tc>
          <w:tcPr>
            <w:tcW w:w="1361" w:type="dxa"/>
            <w:shd w:val="clear" w:color="auto" w:fill="92BAC2"/>
          </w:tcPr>
          <w:p>
            <w:pPr>
              <w:pStyle w:val="TableParagraph"/>
              <w:spacing w:before="75"/>
              <w:ind w:left="78"/>
              <w:rPr>
                <w:b/>
                <w:sz w:val="15"/>
              </w:rPr>
            </w:pPr>
            <w:r>
              <w:rPr>
                <w:b/>
                <w:color w:val="231F20"/>
                <w:w w:val="110"/>
                <w:sz w:val="15"/>
              </w:rPr>
              <w:t>Nauru</w:t>
            </w:r>
          </w:p>
        </w:tc>
        <w:tc>
          <w:tcPr>
            <w:tcW w:w="1093" w:type="dxa"/>
            <w:shd w:val="clear" w:color="auto" w:fill="92BAC2"/>
          </w:tcPr>
          <w:p>
            <w:pPr>
              <w:pStyle w:val="TableParagraph"/>
              <w:spacing w:before="75"/>
              <w:ind w:left="78"/>
              <w:rPr>
                <w:b/>
                <w:sz w:val="15"/>
              </w:rPr>
            </w:pPr>
            <w:r>
              <w:rPr>
                <w:b/>
                <w:color w:val="231F20"/>
                <w:w w:val="110"/>
                <w:sz w:val="15"/>
              </w:rPr>
              <w:t>Niue</w:t>
            </w:r>
          </w:p>
        </w:tc>
        <w:tc>
          <w:tcPr>
            <w:tcW w:w="1261" w:type="dxa"/>
            <w:shd w:val="clear" w:color="auto" w:fill="92BAC2"/>
          </w:tcPr>
          <w:p>
            <w:pPr>
              <w:pStyle w:val="TableParagraph"/>
              <w:spacing w:before="75"/>
              <w:ind w:left="77"/>
              <w:rPr>
                <w:b/>
                <w:sz w:val="15"/>
              </w:rPr>
            </w:pPr>
            <w:r>
              <w:rPr>
                <w:b/>
                <w:color w:val="231F20"/>
                <w:w w:val="105"/>
                <w:sz w:val="15"/>
              </w:rPr>
              <w:t>Palau</w:t>
            </w:r>
          </w:p>
        </w:tc>
      </w:tr>
      <w:tr>
        <w:trPr>
          <w:trHeight w:val="1285" w:hRule="atLeast"/>
        </w:trPr>
        <w:tc>
          <w:tcPr>
            <w:tcW w:w="1124" w:type="dxa"/>
            <w:shd w:val="clear" w:color="auto" w:fill="F2CDBE"/>
          </w:tcPr>
          <w:p>
            <w:pPr>
              <w:pStyle w:val="TableParagraph"/>
              <w:spacing w:line="223" w:lineRule="auto" w:before="84"/>
              <w:ind w:left="80"/>
              <w:rPr>
                <w:sz w:val="15"/>
              </w:rPr>
            </w:pPr>
            <w:r>
              <w:rPr>
                <w:color w:val="231F20"/>
                <w:w w:val="110"/>
                <w:sz w:val="15"/>
              </w:rPr>
              <w:t>Data unavailable</w:t>
            </w:r>
          </w:p>
        </w:tc>
        <w:tc>
          <w:tcPr>
            <w:tcW w:w="1225" w:type="dxa"/>
            <w:shd w:val="clear" w:color="auto" w:fill="F2CDBE"/>
          </w:tcPr>
          <w:p>
            <w:pPr>
              <w:pStyle w:val="TableParagraph"/>
              <w:spacing w:line="223" w:lineRule="auto" w:before="84"/>
              <w:ind w:left="79" w:right="82"/>
              <w:rPr>
                <w:sz w:val="15"/>
              </w:rPr>
            </w:pPr>
            <w:r>
              <w:rPr>
                <w:color w:val="231F20"/>
                <w:w w:val="110"/>
                <w:sz w:val="15"/>
              </w:rPr>
              <w:t>Data unavailable</w:t>
            </w:r>
          </w:p>
        </w:tc>
        <w:tc>
          <w:tcPr>
            <w:tcW w:w="1066" w:type="dxa"/>
            <w:shd w:val="clear" w:color="auto" w:fill="F2CDBE"/>
          </w:tcPr>
          <w:p>
            <w:pPr>
              <w:pStyle w:val="TableParagraph"/>
              <w:spacing w:line="223" w:lineRule="auto" w:before="84"/>
              <w:ind w:left="79" w:right="145"/>
              <w:rPr>
                <w:sz w:val="15"/>
              </w:rPr>
            </w:pPr>
            <w:r>
              <w:rPr>
                <w:color w:val="231F20"/>
                <w:w w:val="110"/>
                <w:sz w:val="15"/>
              </w:rPr>
              <w:t>Data unavailable</w:t>
            </w:r>
          </w:p>
        </w:tc>
        <w:tc>
          <w:tcPr>
            <w:tcW w:w="1361" w:type="dxa"/>
            <w:shd w:val="clear" w:color="auto" w:fill="D8E3CE"/>
          </w:tcPr>
          <w:p>
            <w:pPr>
              <w:pStyle w:val="TableParagraph"/>
              <w:spacing w:before="75"/>
              <w:ind w:left="79"/>
              <w:rPr>
                <w:sz w:val="15"/>
              </w:rPr>
            </w:pPr>
            <w:r>
              <w:rPr>
                <w:b/>
                <w:color w:val="231F20"/>
                <w:w w:val="115"/>
                <w:sz w:val="15"/>
              </w:rPr>
              <w:t>High Court </w:t>
            </w:r>
            <w:r>
              <w:rPr>
                <w:color w:val="231F20"/>
                <w:w w:val="115"/>
                <w:sz w:val="15"/>
              </w:rPr>
              <w:t>0%</w:t>
            </w:r>
          </w:p>
          <w:p>
            <w:pPr>
              <w:pStyle w:val="TableParagraph"/>
              <w:spacing w:line="177" w:lineRule="exact" w:before="43"/>
              <w:ind w:left="79"/>
              <w:rPr>
                <w:b/>
                <w:sz w:val="15"/>
              </w:rPr>
            </w:pPr>
            <w:r>
              <w:rPr>
                <w:b/>
                <w:color w:val="231F20"/>
                <w:w w:val="110"/>
                <w:sz w:val="15"/>
              </w:rPr>
              <w:t>District Court</w:t>
            </w:r>
          </w:p>
          <w:p>
            <w:pPr>
              <w:pStyle w:val="TableParagraph"/>
              <w:spacing w:line="177" w:lineRule="exact"/>
              <w:ind w:left="79"/>
              <w:rPr>
                <w:sz w:val="15"/>
              </w:rPr>
            </w:pPr>
            <w:r>
              <w:rPr>
                <w:color w:val="231F20"/>
                <w:w w:val="120"/>
                <w:sz w:val="15"/>
              </w:rPr>
              <w:t>0%</w:t>
            </w:r>
          </w:p>
          <w:p>
            <w:pPr>
              <w:pStyle w:val="TableParagraph"/>
              <w:spacing w:line="223" w:lineRule="auto" w:before="54"/>
              <w:ind w:left="79" w:right="97"/>
              <w:rPr>
                <w:sz w:val="15"/>
              </w:rPr>
            </w:pPr>
            <w:r>
              <w:rPr>
                <w:color w:val="231F20"/>
                <w:w w:val="110"/>
                <w:sz w:val="15"/>
              </w:rPr>
              <w:t>Data collected but no appeals in 2010</w:t>
            </w:r>
          </w:p>
        </w:tc>
        <w:tc>
          <w:tcPr>
            <w:tcW w:w="1361" w:type="dxa"/>
            <w:shd w:val="clear" w:color="auto" w:fill="F2CDBE"/>
          </w:tcPr>
          <w:p>
            <w:pPr>
              <w:pStyle w:val="TableParagraph"/>
              <w:spacing w:line="177" w:lineRule="exact" w:before="75"/>
              <w:ind w:left="78"/>
              <w:rPr>
                <w:b/>
                <w:sz w:val="15"/>
              </w:rPr>
            </w:pPr>
            <w:r>
              <w:rPr>
                <w:b/>
                <w:color w:val="231F20"/>
                <w:w w:val="110"/>
                <w:sz w:val="15"/>
              </w:rPr>
              <w:t>Supreme Court</w:t>
            </w:r>
          </w:p>
          <w:p>
            <w:pPr>
              <w:pStyle w:val="TableParagraph"/>
              <w:spacing w:line="177" w:lineRule="exact"/>
              <w:ind w:left="78"/>
              <w:rPr>
                <w:sz w:val="15"/>
              </w:rPr>
            </w:pPr>
            <w:r>
              <w:rPr>
                <w:color w:val="231F20"/>
                <w:w w:val="110"/>
                <w:sz w:val="15"/>
              </w:rPr>
              <w:t>Data unavailable</w:t>
            </w:r>
          </w:p>
          <w:p>
            <w:pPr>
              <w:pStyle w:val="TableParagraph"/>
              <w:spacing w:line="177" w:lineRule="exact" w:before="43"/>
              <w:ind w:left="78"/>
              <w:rPr>
                <w:b/>
                <w:sz w:val="15"/>
              </w:rPr>
            </w:pPr>
            <w:r>
              <w:rPr>
                <w:b/>
                <w:color w:val="231F20"/>
                <w:w w:val="110"/>
                <w:sz w:val="15"/>
              </w:rPr>
              <w:t>Magistrates Court</w:t>
            </w:r>
          </w:p>
          <w:p>
            <w:pPr>
              <w:pStyle w:val="TableParagraph"/>
              <w:spacing w:line="177" w:lineRule="exact"/>
              <w:ind w:left="78"/>
              <w:rPr>
                <w:sz w:val="15"/>
              </w:rPr>
            </w:pPr>
            <w:r>
              <w:rPr>
                <w:color w:val="231F20"/>
                <w:w w:val="110"/>
                <w:sz w:val="15"/>
              </w:rPr>
              <w:t>Data unavailable</w:t>
            </w:r>
          </w:p>
        </w:tc>
        <w:tc>
          <w:tcPr>
            <w:tcW w:w="1093" w:type="dxa"/>
            <w:shd w:val="clear" w:color="auto" w:fill="F2CDBE"/>
          </w:tcPr>
          <w:p>
            <w:pPr>
              <w:pStyle w:val="TableParagraph"/>
              <w:spacing w:line="223" w:lineRule="auto" w:before="84"/>
              <w:ind w:left="78"/>
              <w:rPr>
                <w:sz w:val="15"/>
              </w:rPr>
            </w:pPr>
            <w:r>
              <w:rPr>
                <w:color w:val="231F20"/>
                <w:w w:val="110"/>
                <w:sz w:val="15"/>
              </w:rPr>
              <w:t>Data unavailable</w:t>
            </w:r>
          </w:p>
        </w:tc>
        <w:tc>
          <w:tcPr>
            <w:tcW w:w="1261" w:type="dxa"/>
            <w:shd w:val="clear" w:color="auto" w:fill="D8E3CE"/>
          </w:tcPr>
          <w:p>
            <w:pPr>
              <w:pStyle w:val="TableParagraph"/>
              <w:spacing w:line="223" w:lineRule="auto" w:before="85"/>
              <w:ind w:left="77" w:right="136"/>
              <w:rPr>
                <w:sz w:val="15"/>
              </w:rPr>
            </w:pPr>
            <w:r>
              <w:rPr>
                <w:b/>
                <w:color w:val="231F20"/>
                <w:w w:val="110"/>
                <w:sz w:val="15"/>
              </w:rPr>
              <w:t>Court of Common Pleas </w:t>
            </w:r>
            <w:r>
              <w:rPr>
                <w:color w:val="231F20"/>
                <w:w w:val="110"/>
                <w:sz w:val="15"/>
              </w:rPr>
              <w:t>0% (2010)</w:t>
            </w:r>
          </w:p>
          <w:p>
            <w:pPr>
              <w:pStyle w:val="TableParagraph"/>
              <w:spacing w:line="223" w:lineRule="auto" w:before="55"/>
              <w:ind w:left="77" w:right="210"/>
              <w:jc w:val="both"/>
              <w:rPr>
                <w:sz w:val="15"/>
              </w:rPr>
            </w:pPr>
            <w:r>
              <w:rPr>
                <w:color w:val="231F20"/>
                <w:w w:val="110"/>
                <w:sz w:val="15"/>
              </w:rPr>
              <w:t>Data collected but</w:t>
            </w:r>
            <w:r>
              <w:rPr>
                <w:color w:val="231F20"/>
                <w:spacing w:val="-17"/>
                <w:w w:val="110"/>
                <w:sz w:val="15"/>
              </w:rPr>
              <w:t> </w:t>
            </w:r>
            <w:r>
              <w:rPr>
                <w:color w:val="231F20"/>
                <w:w w:val="110"/>
                <w:sz w:val="15"/>
              </w:rPr>
              <w:t>no</w:t>
            </w:r>
            <w:r>
              <w:rPr>
                <w:color w:val="231F20"/>
                <w:spacing w:val="-17"/>
                <w:w w:val="110"/>
                <w:sz w:val="15"/>
              </w:rPr>
              <w:t> </w:t>
            </w:r>
            <w:r>
              <w:rPr>
                <w:color w:val="231F20"/>
                <w:w w:val="110"/>
                <w:sz w:val="15"/>
              </w:rPr>
              <w:t>appeals in</w:t>
            </w:r>
            <w:r>
              <w:rPr>
                <w:color w:val="231F20"/>
                <w:spacing w:val="2"/>
                <w:w w:val="110"/>
                <w:sz w:val="15"/>
              </w:rPr>
              <w:t> </w:t>
            </w:r>
            <w:r>
              <w:rPr>
                <w:color w:val="231F20"/>
                <w:w w:val="110"/>
                <w:sz w:val="15"/>
              </w:rPr>
              <w:t>2010</w:t>
            </w:r>
          </w:p>
        </w:tc>
      </w:tr>
      <w:tr>
        <w:trPr>
          <w:trHeight w:val="462" w:hRule="atLeast"/>
        </w:trPr>
        <w:tc>
          <w:tcPr>
            <w:tcW w:w="1124" w:type="dxa"/>
            <w:shd w:val="clear" w:color="auto" w:fill="92BAC2"/>
          </w:tcPr>
          <w:p>
            <w:pPr>
              <w:pStyle w:val="TableParagraph"/>
              <w:spacing w:line="223" w:lineRule="auto" w:before="85"/>
              <w:ind w:left="80"/>
              <w:rPr>
                <w:b/>
                <w:sz w:val="15"/>
              </w:rPr>
            </w:pPr>
            <w:r>
              <w:rPr>
                <w:b/>
                <w:color w:val="231F20"/>
                <w:w w:val="110"/>
                <w:sz w:val="15"/>
              </w:rPr>
              <w:t>Papua New Guinea</w:t>
            </w:r>
          </w:p>
        </w:tc>
        <w:tc>
          <w:tcPr>
            <w:tcW w:w="1225" w:type="dxa"/>
            <w:shd w:val="clear" w:color="auto" w:fill="92BAC2"/>
          </w:tcPr>
          <w:p>
            <w:pPr>
              <w:pStyle w:val="TableParagraph"/>
              <w:spacing w:before="75"/>
              <w:ind w:left="79"/>
              <w:rPr>
                <w:b/>
                <w:sz w:val="15"/>
              </w:rPr>
            </w:pPr>
            <w:r>
              <w:rPr>
                <w:b/>
                <w:color w:val="231F20"/>
                <w:w w:val="105"/>
                <w:sz w:val="15"/>
              </w:rPr>
              <w:t>Samoa</w:t>
            </w:r>
          </w:p>
        </w:tc>
        <w:tc>
          <w:tcPr>
            <w:tcW w:w="1066" w:type="dxa"/>
            <w:shd w:val="clear" w:color="auto" w:fill="92BAC2"/>
          </w:tcPr>
          <w:p>
            <w:pPr>
              <w:pStyle w:val="TableParagraph"/>
              <w:spacing w:line="223" w:lineRule="auto" w:before="85"/>
              <w:ind w:left="79" w:right="377"/>
              <w:rPr>
                <w:b/>
                <w:sz w:val="15"/>
              </w:rPr>
            </w:pPr>
            <w:r>
              <w:rPr>
                <w:b/>
                <w:color w:val="231F20"/>
                <w:w w:val="105"/>
                <w:sz w:val="15"/>
              </w:rPr>
              <w:t>Solomon </w:t>
            </w:r>
            <w:r>
              <w:rPr>
                <w:b/>
                <w:color w:val="231F20"/>
                <w:w w:val="110"/>
                <w:sz w:val="15"/>
              </w:rPr>
              <w:t>Islands</w:t>
            </w:r>
          </w:p>
        </w:tc>
        <w:tc>
          <w:tcPr>
            <w:tcW w:w="1361" w:type="dxa"/>
            <w:shd w:val="clear" w:color="auto" w:fill="92BAC2"/>
          </w:tcPr>
          <w:p>
            <w:pPr>
              <w:pStyle w:val="TableParagraph"/>
              <w:spacing w:before="75"/>
              <w:ind w:left="79"/>
              <w:rPr>
                <w:b/>
                <w:sz w:val="15"/>
              </w:rPr>
            </w:pPr>
            <w:r>
              <w:rPr>
                <w:b/>
                <w:color w:val="231F20"/>
                <w:w w:val="110"/>
                <w:sz w:val="15"/>
              </w:rPr>
              <w:t>Tokelau</w:t>
            </w:r>
          </w:p>
        </w:tc>
        <w:tc>
          <w:tcPr>
            <w:tcW w:w="1361" w:type="dxa"/>
            <w:shd w:val="clear" w:color="auto" w:fill="92BAC2"/>
          </w:tcPr>
          <w:p>
            <w:pPr>
              <w:pStyle w:val="TableParagraph"/>
              <w:spacing w:before="75"/>
              <w:ind w:left="78"/>
              <w:rPr>
                <w:b/>
                <w:sz w:val="15"/>
              </w:rPr>
            </w:pPr>
            <w:r>
              <w:rPr>
                <w:b/>
                <w:color w:val="231F20"/>
                <w:w w:val="110"/>
                <w:sz w:val="15"/>
              </w:rPr>
              <w:t>Tonga</w:t>
            </w:r>
          </w:p>
        </w:tc>
        <w:tc>
          <w:tcPr>
            <w:tcW w:w="1093" w:type="dxa"/>
            <w:shd w:val="clear" w:color="auto" w:fill="92BAC2"/>
          </w:tcPr>
          <w:p>
            <w:pPr>
              <w:pStyle w:val="TableParagraph"/>
              <w:spacing w:before="75"/>
              <w:ind w:left="78"/>
              <w:rPr>
                <w:b/>
                <w:sz w:val="15"/>
              </w:rPr>
            </w:pPr>
            <w:r>
              <w:rPr>
                <w:b/>
                <w:color w:val="231F20"/>
                <w:w w:val="110"/>
                <w:sz w:val="15"/>
              </w:rPr>
              <w:t>Tuvalu</w:t>
            </w:r>
          </w:p>
        </w:tc>
        <w:tc>
          <w:tcPr>
            <w:tcW w:w="1261" w:type="dxa"/>
            <w:shd w:val="clear" w:color="auto" w:fill="92BAC2"/>
          </w:tcPr>
          <w:p>
            <w:pPr>
              <w:pStyle w:val="TableParagraph"/>
              <w:spacing w:before="75"/>
              <w:ind w:left="77"/>
              <w:rPr>
                <w:b/>
                <w:sz w:val="15"/>
              </w:rPr>
            </w:pPr>
            <w:r>
              <w:rPr>
                <w:b/>
                <w:color w:val="231F20"/>
                <w:w w:val="105"/>
                <w:sz w:val="15"/>
              </w:rPr>
              <w:t>Vanuatu</w:t>
            </w:r>
          </w:p>
        </w:tc>
      </w:tr>
      <w:tr>
        <w:trPr>
          <w:trHeight w:val="1496" w:hRule="atLeast"/>
        </w:trPr>
        <w:tc>
          <w:tcPr>
            <w:tcW w:w="1124" w:type="dxa"/>
            <w:shd w:val="clear" w:color="auto" w:fill="F2CDBE"/>
          </w:tcPr>
          <w:p>
            <w:pPr>
              <w:pStyle w:val="TableParagraph"/>
              <w:spacing w:line="223" w:lineRule="auto" w:before="85"/>
              <w:ind w:left="80" w:right="116"/>
              <w:rPr>
                <w:sz w:val="15"/>
              </w:rPr>
            </w:pPr>
            <w:r>
              <w:rPr>
                <w:b/>
                <w:color w:val="231F20"/>
                <w:w w:val="105"/>
                <w:sz w:val="15"/>
              </w:rPr>
              <w:t>Supreme Court </w:t>
            </w:r>
            <w:r>
              <w:rPr>
                <w:color w:val="231F20"/>
                <w:w w:val="105"/>
                <w:sz w:val="15"/>
              </w:rPr>
              <w:t>Data not presented in 2007</w:t>
            </w:r>
          </w:p>
          <w:p>
            <w:pPr>
              <w:pStyle w:val="TableParagraph"/>
              <w:spacing w:line="223" w:lineRule="auto" w:before="55"/>
              <w:ind w:left="80" w:right="239"/>
              <w:jc w:val="both"/>
              <w:rPr>
                <w:sz w:val="15"/>
              </w:rPr>
            </w:pPr>
            <w:r>
              <w:rPr>
                <w:b/>
                <w:color w:val="231F20"/>
                <w:w w:val="105"/>
                <w:sz w:val="15"/>
              </w:rPr>
              <w:t>Magistrates </w:t>
            </w:r>
            <w:r>
              <w:rPr>
                <w:b/>
                <w:color w:val="231F20"/>
                <w:w w:val="110"/>
                <w:sz w:val="15"/>
              </w:rPr>
              <w:t>Court </w:t>
            </w:r>
            <w:r>
              <w:rPr>
                <w:color w:val="231F20"/>
                <w:w w:val="110"/>
                <w:sz w:val="15"/>
              </w:rPr>
              <w:t>Data unavailable</w:t>
            </w:r>
          </w:p>
        </w:tc>
        <w:tc>
          <w:tcPr>
            <w:tcW w:w="1225" w:type="dxa"/>
            <w:shd w:val="clear" w:color="auto" w:fill="F2CDBE"/>
          </w:tcPr>
          <w:p>
            <w:pPr>
              <w:pStyle w:val="TableParagraph"/>
              <w:spacing w:line="223" w:lineRule="auto" w:before="84"/>
              <w:ind w:left="79" w:right="82"/>
              <w:rPr>
                <w:sz w:val="15"/>
              </w:rPr>
            </w:pPr>
            <w:r>
              <w:rPr>
                <w:color w:val="231F20"/>
                <w:w w:val="110"/>
                <w:sz w:val="15"/>
              </w:rPr>
              <w:t>Data unavailable</w:t>
            </w:r>
          </w:p>
        </w:tc>
        <w:tc>
          <w:tcPr>
            <w:tcW w:w="1066" w:type="dxa"/>
            <w:shd w:val="clear" w:color="auto" w:fill="F2CDBE"/>
          </w:tcPr>
          <w:p>
            <w:pPr>
              <w:pStyle w:val="TableParagraph"/>
              <w:spacing w:line="223" w:lineRule="auto" w:before="84"/>
              <w:ind w:left="79" w:right="145"/>
              <w:rPr>
                <w:sz w:val="15"/>
              </w:rPr>
            </w:pPr>
            <w:r>
              <w:rPr>
                <w:color w:val="231F20"/>
                <w:w w:val="110"/>
                <w:sz w:val="15"/>
              </w:rPr>
              <w:t>Data unavailable</w:t>
            </w:r>
          </w:p>
        </w:tc>
        <w:tc>
          <w:tcPr>
            <w:tcW w:w="1361" w:type="dxa"/>
            <w:shd w:val="clear" w:color="auto" w:fill="F2CDBE"/>
          </w:tcPr>
          <w:p>
            <w:pPr>
              <w:pStyle w:val="TableParagraph"/>
              <w:spacing w:before="74"/>
              <w:ind w:left="79"/>
              <w:rPr>
                <w:sz w:val="15"/>
              </w:rPr>
            </w:pPr>
            <w:r>
              <w:rPr>
                <w:color w:val="231F20"/>
                <w:w w:val="110"/>
                <w:sz w:val="15"/>
              </w:rPr>
              <w:t>Data unavailable</w:t>
            </w:r>
          </w:p>
        </w:tc>
        <w:tc>
          <w:tcPr>
            <w:tcW w:w="1361" w:type="dxa"/>
            <w:shd w:val="clear" w:color="auto" w:fill="F2CDBE"/>
          </w:tcPr>
          <w:p>
            <w:pPr>
              <w:pStyle w:val="TableParagraph"/>
              <w:spacing w:line="177" w:lineRule="exact" w:before="75"/>
              <w:ind w:left="78"/>
              <w:rPr>
                <w:b/>
                <w:sz w:val="15"/>
              </w:rPr>
            </w:pPr>
            <w:r>
              <w:rPr>
                <w:b/>
                <w:color w:val="231F20"/>
                <w:w w:val="110"/>
                <w:sz w:val="15"/>
              </w:rPr>
              <w:t>Supreme Court</w:t>
            </w:r>
          </w:p>
          <w:p>
            <w:pPr>
              <w:pStyle w:val="TableParagraph"/>
              <w:spacing w:line="177" w:lineRule="exact"/>
              <w:ind w:left="78"/>
              <w:rPr>
                <w:sz w:val="15"/>
              </w:rPr>
            </w:pPr>
            <w:r>
              <w:rPr>
                <w:color w:val="231F20"/>
                <w:w w:val="110"/>
                <w:sz w:val="15"/>
              </w:rPr>
              <w:t>Data unavailable</w:t>
            </w:r>
          </w:p>
          <w:p>
            <w:pPr>
              <w:pStyle w:val="TableParagraph"/>
              <w:spacing w:line="223" w:lineRule="auto" w:before="53"/>
              <w:ind w:left="78" w:right="476"/>
              <w:rPr>
                <w:b/>
                <w:sz w:val="15"/>
              </w:rPr>
            </w:pPr>
            <w:r>
              <w:rPr>
                <w:b/>
                <w:color w:val="231F20"/>
                <w:w w:val="105"/>
                <w:sz w:val="15"/>
              </w:rPr>
              <w:t>Magistrates </w:t>
            </w:r>
            <w:r>
              <w:rPr>
                <w:b/>
                <w:color w:val="231F20"/>
                <w:w w:val="110"/>
                <w:sz w:val="15"/>
              </w:rPr>
              <w:t>Court</w:t>
            </w:r>
          </w:p>
          <w:p>
            <w:pPr>
              <w:pStyle w:val="TableParagraph"/>
              <w:spacing w:line="173" w:lineRule="exact"/>
              <w:ind w:left="78"/>
              <w:rPr>
                <w:sz w:val="15"/>
              </w:rPr>
            </w:pPr>
            <w:r>
              <w:rPr>
                <w:color w:val="231F20"/>
                <w:w w:val="110"/>
                <w:sz w:val="15"/>
              </w:rPr>
              <w:t>Data unavailable</w:t>
            </w:r>
          </w:p>
        </w:tc>
        <w:tc>
          <w:tcPr>
            <w:tcW w:w="1093" w:type="dxa"/>
            <w:shd w:val="clear" w:color="auto" w:fill="D8E3CE"/>
          </w:tcPr>
          <w:p>
            <w:pPr>
              <w:pStyle w:val="TableParagraph"/>
              <w:spacing w:before="74"/>
              <w:ind w:left="78"/>
              <w:rPr>
                <w:sz w:val="15"/>
              </w:rPr>
            </w:pPr>
            <w:r>
              <w:rPr>
                <w:color w:val="231F20"/>
                <w:w w:val="120"/>
                <w:sz w:val="15"/>
              </w:rPr>
              <w:t>100%</w:t>
            </w:r>
          </w:p>
        </w:tc>
        <w:tc>
          <w:tcPr>
            <w:tcW w:w="1261" w:type="dxa"/>
            <w:shd w:val="clear" w:color="auto" w:fill="F2CDBE"/>
          </w:tcPr>
          <w:p>
            <w:pPr>
              <w:pStyle w:val="TableParagraph"/>
              <w:spacing w:line="223" w:lineRule="auto" w:before="85"/>
              <w:ind w:left="77"/>
              <w:rPr>
                <w:sz w:val="15"/>
              </w:rPr>
            </w:pPr>
            <w:r>
              <w:rPr>
                <w:b/>
                <w:color w:val="231F20"/>
                <w:w w:val="105"/>
                <w:sz w:val="15"/>
              </w:rPr>
              <w:t>Supreme Court </w:t>
            </w:r>
            <w:r>
              <w:rPr>
                <w:color w:val="231F20"/>
                <w:w w:val="105"/>
                <w:sz w:val="15"/>
              </w:rPr>
              <w:t>Statistics not recorded</w:t>
            </w:r>
          </w:p>
          <w:p>
            <w:pPr>
              <w:pStyle w:val="TableParagraph"/>
              <w:spacing w:line="177" w:lineRule="exact" w:before="45"/>
              <w:ind w:left="77"/>
              <w:rPr>
                <w:b/>
                <w:sz w:val="15"/>
              </w:rPr>
            </w:pPr>
            <w:r>
              <w:rPr>
                <w:b/>
                <w:color w:val="231F20"/>
                <w:w w:val="110"/>
                <w:sz w:val="15"/>
              </w:rPr>
              <w:t>Appeal Court</w:t>
            </w:r>
          </w:p>
          <w:p>
            <w:pPr>
              <w:pStyle w:val="TableParagraph"/>
              <w:spacing w:line="177" w:lineRule="exact"/>
              <w:ind w:left="77"/>
              <w:rPr>
                <w:sz w:val="15"/>
              </w:rPr>
            </w:pPr>
            <w:r>
              <w:rPr>
                <w:color w:val="231F20"/>
                <w:w w:val="110"/>
                <w:sz w:val="15"/>
              </w:rPr>
              <w:t>Data unavailable</w:t>
            </w:r>
          </w:p>
          <w:p>
            <w:pPr>
              <w:pStyle w:val="TableParagraph"/>
              <w:spacing w:line="177" w:lineRule="exact" w:before="44"/>
              <w:ind w:left="77"/>
              <w:rPr>
                <w:b/>
                <w:sz w:val="15"/>
              </w:rPr>
            </w:pPr>
            <w:r>
              <w:rPr>
                <w:b/>
                <w:color w:val="231F20"/>
                <w:w w:val="110"/>
                <w:sz w:val="15"/>
              </w:rPr>
              <w:t>Island Court</w:t>
            </w:r>
          </w:p>
          <w:p>
            <w:pPr>
              <w:pStyle w:val="TableParagraph"/>
              <w:spacing w:line="177" w:lineRule="exact"/>
              <w:ind w:left="77"/>
              <w:rPr>
                <w:sz w:val="15"/>
              </w:rPr>
            </w:pPr>
            <w:r>
              <w:rPr>
                <w:color w:val="231F20"/>
                <w:w w:val="110"/>
                <w:sz w:val="15"/>
              </w:rPr>
              <w:t>Data unavailable</w:t>
            </w:r>
          </w:p>
        </w:tc>
      </w:tr>
    </w:tbl>
    <w:p>
      <w:pPr>
        <w:pStyle w:val="BodyText"/>
        <w:spacing w:before="10"/>
        <w:rPr>
          <w:sz w:val="26"/>
        </w:rPr>
      </w:pPr>
    </w:p>
    <w:p>
      <w:pPr>
        <w:pStyle w:val="BodyText"/>
        <w:ind w:left="1700"/>
      </w:pPr>
      <w:r>
        <w:rPr>
          <w:color w:val="231F20"/>
          <w:w w:val="105"/>
        </w:rPr>
        <w:t>Overturn rate on appeal – Year 7 Trend Data</w:t>
      </w:r>
    </w:p>
    <w:p>
      <w:pPr>
        <w:pStyle w:val="BodyText"/>
        <w:spacing w:before="7"/>
        <w:rPr>
          <w:sz w:val="6"/>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132"/>
        <w:gridCol w:w="1162"/>
        <w:gridCol w:w="1241"/>
        <w:gridCol w:w="1361"/>
        <w:gridCol w:w="1093"/>
        <w:gridCol w:w="1387"/>
      </w:tblGrid>
      <w:tr>
        <w:trPr>
          <w:trHeight w:val="632" w:hRule="atLeast"/>
        </w:trPr>
        <w:tc>
          <w:tcPr>
            <w:tcW w:w="1124" w:type="dxa"/>
            <w:shd w:val="clear" w:color="auto" w:fill="92BAC2"/>
          </w:tcPr>
          <w:p>
            <w:pPr>
              <w:pStyle w:val="TableParagraph"/>
              <w:spacing w:before="75"/>
              <w:ind w:left="80"/>
              <w:rPr>
                <w:b/>
                <w:sz w:val="15"/>
              </w:rPr>
            </w:pPr>
            <w:r>
              <w:rPr>
                <w:b/>
                <w:color w:val="231F20"/>
                <w:w w:val="110"/>
                <w:sz w:val="15"/>
              </w:rPr>
              <w:t>Cook Islands</w:t>
            </w:r>
          </w:p>
        </w:tc>
        <w:tc>
          <w:tcPr>
            <w:tcW w:w="1132" w:type="dxa"/>
            <w:shd w:val="clear" w:color="auto" w:fill="92BAC2"/>
          </w:tcPr>
          <w:p>
            <w:pPr>
              <w:pStyle w:val="TableParagraph"/>
              <w:spacing w:line="223" w:lineRule="auto" w:before="85"/>
              <w:ind w:left="79" w:right="297"/>
              <w:rPr>
                <w:b/>
                <w:sz w:val="15"/>
              </w:rPr>
            </w:pPr>
            <w:r>
              <w:rPr>
                <w:b/>
                <w:color w:val="231F20"/>
                <w:w w:val="105"/>
                <w:sz w:val="15"/>
              </w:rPr>
              <w:t>Federated States of Micronesia</w:t>
            </w:r>
          </w:p>
        </w:tc>
        <w:tc>
          <w:tcPr>
            <w:tcW w:w="1162" w:type="dxa"/>
            <w:shd w:val="clear" w:color="auto" w:fill="92BAC2"/>
          </w:tcPr>
          <w:p>
            <w:pPr>
              <w:pStyle w:val="TableParagraph"/>
              <w:spacing w:before="75"/>
              <w:ind w:left="79"/>
              <w:rPr>
                <w:b/>
                <w:sz w:val="15"/>
              </w:rPr>
            </w:pPr>
            <w:r>
              <w:rPr>
                <w:b/>
                <w:color w:val="231F20"/>
                <w:w w:val="110"/>
                <w:sz w:val="15"/>
              </w:rPr>
              <w:t>Kiribati Islands</w:t>
            </w:r>
          </w:p>
        </w:tc>
        <w:tc>
          <w:tcPr>
            <w:tcW w:w="1241" w:type="dxa"/>
            <w:shd w:val="clear" w:color="auto" w:fill="92BAC2"/>
          </w:tcPr>
          <w:p>
            <w:pPr>
              <w:pStyle w:val="TableParagraph"/>
              <w:spacing w:before="75"/>
              <w:ind w:left="79"/>
              <w:rPr>
                <w:b/>
                <w:sz w:val="15"/>
              </w:rPr>
            </w:pPr>
            <w:r>
              <w:rPr>
                <w:b/>
                <w:color w:val="231F20"/>
                <w:w w:val="105"/>
                <w:sz w:val="15"/>
              </w:rPr>
              <w:t>Marshall Islands</w:t>
            </w:r>
          </w:p>
        </w:tc>
        <w:tc>
          <w:tcPr>
            <w:tcW w:w="1361" w:type="dxa"/>
            <w:shd w:val="clear" w:color="auto" w:fill="92BAC2"/>
          </w:tcPr>
          <w:p>
            <w:pPr>
              <w:pStyle w:val="TableParagraph"/>
              <w:spacing w:before="75"/>
              <w:ind w:left="79"/>
              <w:rPr>
                <w:b/>
                <w:sz w:val="15"/>
              </w:rPr>
            </w:pPr>
            <w:r>
              <w:rPr>
                <w:b/>
                <w:color w:val="231F20"/>
                <w:w w:val="110"/>
                <w:sz w:val="15"/>
              </w:rPr>
              <w:t>Nauru</w:t>
            </w:r>
          </w:p>
        </w:tc>
        <w:tc>
          <w:tcPr>
            <w:tcW w:w="1093" w:type="dxa"/>
            <w:shd w:val="clear" w:color="auto" w:fill="92BAC2"/>
          </w:tcPr>
          <w:p>
            <w:pPr>
              <w:pStyle w:val="TableParagraph"/>
              <w:spacing w:before="75"/>
              <w:ind w:left="79"/>
              <w:rPr>
                <w:b/>
                <w:sz w:val="15"/>
              </w:rPr>
            </w:pPr>
            <w:r>
              <w:rPr>
                <w:b/>
                <w:color w:val="231F20"/>
                <w:w w:val="110"/>
                <w:sz w:val="15"/>
              </w:rPr>
              <w:t>Niue</w:t>
            </w:r>
          </w:p>
        </w:tc>
        <w:tc>
          <w:tcPr>
            <w:tcW w:w="1387" w:type="dxa"/>
            <w:shd w:val="clear" w:color="auto" w:fill="92BAC2"/>
          </w:tcPr>
          <w:p>
            <w:pPr>
              <w:pStyle w:val="TableParagraph"/>
              <w:spacing w:before="75"/>
              <w:ind w:left="78"/>
              <w:rPr>
                <w:b/>
                <w:sz w:val="15"/>
              </w:rPr>
            </w:pPr>
            <w:r>
              <w:rPr>
                <w:b/>
                <w:color w:val="231F20"/>
                <w:w w:val="105"/>
                <w:sz w:val="15"/>
              </w:rPr>
              <w:t>Palau</w:t>
            </w:r>
          </w:p>
        </w:tc>
      </w:tr>
      <w:tr>
        <w:trPr>
          <w:trHeight w:val="3477" w:hRule="atLeast"/>
        </w:trPr>
        <w:tc>
          <w:tcPr>
            <w:tcW w:w="1124" w:type="dxa"/>
            <w:shd w:val="clear" w:color="auto" w:fill="D8E3CE"/>
          </w:tcPr>
          <w:p>
            <w:pPr>
              <w:pStyle w:val="TableParagraph"/>
              <w:spacing w:line="223" w:lineRule="auto" w:before="84"/>
              <w:ind w:left="80" w:right="209"/>
              <w:rPr>
                <w:sz w:val="15"/>
              </w:rPr>
            </w:pPr>
            <w:r>
              <w:rPr>
                <w:color w:val="231F20"/>
                <w:w w:val="110"/>
                <w:sz w:val="15"/>
              </w:rPr>
              <w:t>Of the </w:t>
            </w:r>
            <w:r>
              <w:rPr>
                <w:color w:val="231F20"/>
                <w:spacing w:val="-2"/>
                <w:w w:val="110"/>
                <w:sz w:val="15"/>
              </w:rPr>
              <w:t>six </w:t>
            </w:r>
            <w:r>
              <w:rPr>
                <w:color w:val="231F20"/>
                <w:w w:val="105"/>
                <w:sz w:val="15"/>
              </w:rPr>
              <w:t>matters that </w:t>
            </w:r>
            <w:r>
              <w:rPr>
                <w:color w:val="231F20"/>
                <w:w w:val="110"/>
                <w:sz w:val="15"/>
              </w:rPr>
              <w:t>were </w:t>
            </w:r>
            <w:r>
              <w:rPr>
                <w:color w:val="231F20"/>
                <w:spacing w:val="-2"/>
                <w:w w:val="110"/>
                <w:sz w:val="15"/>
              </w:rPr>
              <w:t>the </w:t>
            </w:r>
            <w:r>
              <w:rPr>
                <w:color w:val="231F20"/>
                <w:w w:val="110"/>
                <w:sz w:val="15"/>
              </w:rPr>
              <w:t>subject of an appeal</w:t>
            </w:r>
            <w:r>
              <w:rPr>
                <w:color w:val="231F20"/>
                <w:spacing w:val="-23"/>
                <w:w w:val="110"/>
                <w:sz w:val="15"/>
              </w:rPr>
              <w:t> </w:t>
            </w:r>
            <w:r>
              <w:rPr>
                <w:color w:val="231F20"/>
                <w:w w:val="110"/>
                <w:sz w:val="15"/>
              </w:rPr>
              <w:t>to the </w:t>
            </w:r>
            <w:r>
              <w:rPr>
                <w:b/>
                <w:color w:val="231F20"/>
                <w:w w:val="110"/>
                <w:sz w:val="15"/>
              </w:rPr>
              <w:t>Court of Appeal</w:t>
            </w:r>
            <w:r>
              <w:rPr>
                <w:color w:val="231F20"/>
                <w:w w:val="110"/>
                <w:sz w:val="15"/>
              </w:rPr>
              <w:t>, in</w:t>
            </w:r>
            <w:r>
              <w:rPr>
                <w:color w:val="231F20"/>
                <w:spacing w:val="10"/>
                <w:w w:val="110"/>
                <w:sz w:val="15"/>
              </w:rPr>
              <w:t> </w:t>
            </w:r>
            <w:r>
              <w:rPr>
                <w:color w:val="231F20"/>
                <w:w w:val="110"/>
                <w:sz w:val="15"/>
              </w:rPr>
              <w:t>3</w:t>
            </w:r>
          </w:p>
          <w:p>
            <w:pPr>
              <w:pStyle w:val="TableParagraph"/>
              <w:spacing w:line="223" w:lineRule="auto"/>
              <w:ind w:left="80" w:right="80"/>
              <w:rPr>
                <w:sz w:val="15"/>
              </w:rPr>
            </w:pPr>
            <w:r>
              <w:rPr>
                <w:color w:val="231F20"/>
                <w:w w:val="105"/>
                <w:sz w:val="15"/>
              </w:rPr>
              <w:t>matters (50%) </w:t>
            </w:r>
            <w:r>
              <w:rPr>
                <w:color w:val="231F20"/>
                <w:w w:val="110"/>
                <w:sz w:val="15"/>
              </w:rPr>
              <w:t>the </w:t>
            </w:r>
            <w:r>
              <w:rPr>
                <w:color w:val="231F20"/>
                <w:spacing w:val="-2"/>
                <w:w w:val="110"/>
                <w:sz w:val="15"/>
              </w:rPr>
              <w:t>appeal </w:t>
            </w:r>
            <w:r>
              <w:rPr>
                <w:color w:val="231F20"/>
                <w:spacing w:val="-3"/>
                <w:w w:val="110"/>
                <w:sz w:val="15"/>
              </w:rPr>
              <w:t>was </w:t>
            </w:r>
            <w:r>
              <w:rPr>
                <w:color w:val="231F20"/>
                <w:w w:val="110"/>
                <w:sz w:val="15"/>
              </w:rPr>
              <w:t>dismissed and in 3</w:t>
            </w:r>
          </w:p>
          <w:p>
            <w:pPr>
              <w:pStyle w:val="TableParagraph"/>
              <w:spacing w:line="223" w:lineRule="auto"/>
              <w:ind w:left="80" w:right="96"/>
              <w:rPr>
                <w:sz w:val="15"/>
              </w:rPr>
            </w:pPr>
            <w:r>
              <w:rPr>
                <w:color w:val="231F20"/>
                <w:w w:val="105"/>
                <w:sz w:val="15"/>
              </w:rPr>
              <w:t>matters (50%) </w:t>
            </w:r>
            <w:r>
              <w:rPr>
                <w:color w:val="231F20"/>
                <w:w w:val="110"/>
                <w:sz w:val="15"/>
              </w:rPr>
              <w:t>the appeal was allowed in whole or in part.</w:t>
            </w:r>
          </w:p>
        </w:tc>
        <w:tc>
          <w:tcPr>
            <w:tcW w:w="1132" w:type="dxa"/>
            <w:shd w:val="clear" w:color="auto" w:fill="D8E3CE"/>
          </w:tcPr>
          <w:p>
            <w:pPr>
              <w:pStyle w:val="TableParagraph"/>
              <w:spacing w:line="223" w:lineRule="auto" w:before="85"/>
              <w:ind w:left="79" w:right="207"/>
              <w:rPr>
                <w:sz w:val="15"/>
              </w:rPr>
            </w:pPr>
            <w:r>
              <w:rPr>
                <w:b/>
                <w:color w:val="231F20"/>
                <w:w w:val="105"/>
                <w:sz w:val="15"/>
              </w:rPr>
              <w:t>Supreme Court</w:t>
            </w:r>
            <w:r>
              <w:rPr>
                <w:color w:val="231F20"/>
                <w:w w:val="105"/>
                <w:sz w:val="15"/>
              </w:rPr>
              <w:t>:   0% of cases that were </w:t>
            </w:r>
            <w:r>
              <w:rPr>
                <w:color w:val="231F20"/>
                <w:spacing w:val="-2"/>
                <w:w w:val="105"/>
                <w:sz w:val="15"/>
              </w:rPr>
              <w:t>the </w:t>
            </w:r>
            <w:r>
              <w:rPr>
                <w:color w:val="231F20"/>
                <w:w w:val="105"/>
                <w:sz w:val="15"/>
              </w:rPr>
              <w:t>subject of an appeal</w:t>
            </w:r>
            <w:r>
              <w:rPr>
                <w:color w:val="231F20"/>
                <w:spacing w:val="5"/>
                <w:w w:val="105"/>
                <w:sz w:val="15"/>
              </w:rPr>
              <w:t> </w:t>
            </w:r>
            <w:r>
              <w:rPr>
                <w:color w:val="231F20"/>
                <w:w w:val="105"/>
                <w:sz w:val="15"/>
              </w:rPr>
              <w:t>were</w:t>
            </w:r>
          </w:p>
          <w:p>
            <w:pPr>
              <w:pStyle w:val="TableParagraph"/>
              <w:spacing w:line="223" w:lineRule="auto"/>
              <w:ind w:left="79" w:right="55"/>
              <w:rPr>
                <w:sz w:val="15"/>
              </w:rPr>
            </w:pPr>
            <w:r>
              <w:rPr>
                <w:color w:val="231F20"/>
                <w:w w:val="110"/>
                <w:sz w:val="15"/>
              </w:rPr>
              <w:t>overturned on appeal.</w:t>
            </w:r>
          </w:p>
        </w:tc>
        <w:tc>
          <w:tcPr>
            <w:tcW w:w="1162" w:type="dxa"/>
            <w:shd w:val="clear" w:color="auto" w:fill="D8E3CE"/>
          </w:tcPr>
          <w:p>
            <w:pPr>
              <w:pStyle w:val="TableParagraph"/>
              <w:spacing w:line="223" w:lineRule="auto" w:before="85"/>
              <w:ind w:left="79" w:right="41"/>
              <w:rPr>
                <w:sz w:val="15"/>
              </w:rPr>
            </w:pPr>
            <w:r>
              <w:rPr>
                <w:b/>
                <w:color w:val="231F20"/>
                <w:w w:val="110"/>
                <w:sz w:val="15"/>
              </w:rPr>
              <w:t>High Court</w:t>
            </w:r>
            <w:r>
              <w:rPr>
                <w:color w:val="231F20"/>
                <w:w w:val="110"/>
                <w:sz w:val="15"/>
              </w:rPr>
              <w:t>: 2 of the 14 High Court decisions that were</w:t>
            </w:r>
          </w:p>
          <w:p>
            <w:pPr>
              <w:pStyle w:val="TableParagraph"/>
              <w:spacing w:line="223" w:lineRule="auto"/>
              <w:ind w:left="79" w:right="261"/>
              <w:rPr>
                <w:sz w:val="15"/>
              </w:rPr>
            </w:pPr>
            <w:r>
              <w:rPr>
                <w:color w:val="231F20"/>
                <w:w w:val="105"/>
                <w:sz w:val="15"/>
              </w:rPr>
              <w:t>the subject of an appeal (14%) were</w:t>
            </w:r>
          </w:p>
          <w:p>
            <w:pPr>
              <w:pStyle w:val="TableParagraph"/>
              <w:spacing w:line="223" w:lineRule="auto"/>
              <w:ind w:left="79" w:right="85"/>
              <w:rPr>
                <w:sz w:val="15"/>
              </w:rPr>
            </w:pPr>
            <w:r>
              <w:rPr>
                <w:color w:val="231F20"/>
                <w:w w:val="110"/>
                <w:sz w:val="15"/>
              </w:rPr>
              <w:t>overturned on appeal.</w:t>
            </w:r>
          </w:p>
          <w:p>
            <w:pPr>
              <w:pStyle w:val="TableParagraph"/>
              <w:spacing w:line="223" w:lineRule="auto" w:before="54"/>
              <w:ind w:left="79" w:right="71"/>
              <w:rPr>
                <w:sz w:val="15"/>
              </w:rPr>
            </w:pPr>
            <w:r>
              <w:rPr>
                <w:b/>
                <w:color w:val="231F20"/>
                <w:w w:val="105"/>
                <w:sz w:val="15"/>
              </w:rPr>
              <w:t>Magistrates Court</w:t>
            </w:r>
            <w:r>
              <w:rPr>
                <w:color w:val="231F20"/>
                <w:w w:val="105"/>
                <w:sz w:val="15"/>
              </w:rPr>
              <w:t>: 1 of </w:t>
            </w:r>
            <w:r>
              <w:rPr>
                <w:color w:val="231F20"/>
                <w:spacing w:val="-4"/>
                <w:w w:val="105"/>
                <w:sz w:val="15"/>
              </w:rPr>
              <w:t>the </w:t>
            </w:r>
            <w:r>
              <w:rPr>
                <w:color w:val="231F20"/>
                <w:spacing w:val="-3"/>
                <w:w w:val="105"/>
                <w:sz w:val="15"/>
              </w:rPr>
              <w:t>253 </w:t>
            </w:r>
            <w:r>
              <w:rPr>
                <w:color w:val="231F20"/>
                <w:spacing w:val="-5"/>
                <w:w w:val="105"/>
                <w:sz w:val="15"/>
              </w:rPr>
              <w:t>Magistrates </w:t>
            </w:r>
            <w:r>
              <w:rPr>
                <w:color w:val="231F20"/>
                <w:spacing w:val="-4"/>
                <w:w w:val="105"/>
                <w:sz w:val="15"/>
              </w:rPr>
              <w:t>Court decisions </w:t>
            </w:r>
            <w:r>
              <w:rPr>
                <w:color w:val="231F20"/>
                <w:spacing w:val="-3"/>
                <w:w w:val="105"/>
                <w:sz w:val="15"/>
              </w:rPr>
              <w:t>that were </w:t>
            </w:r>
            <w:r>
              <w:rPr>
                <w:color w:val="231F20"/>
                <w:spacing w:val="-4"/>
                <w:w w:val="105"/>
                <w:sz w:val="15"/>
              </w:rPr>
              <w:t>the subject </w:t>
            </w:r>
            <w:r>
              <w:rPr>
                <w:color w:val="231F20"/>
                <w:w w:val="105"/>
                <w:sz w:val="15"/>
              </w:rPr>
              <w:t>of </w:t>
            </w:r>
            <w:r>
              <w:rPr>
                <w:color w:val="231F20"/>
                <w:spacing w:val="-4"/>
                <w:w w:val="105"/>
                <w:sz w:val="15"/>
              </w:rPr>
              <w:t>an appeal (less </w:t>
            </w:r>
            <w:r>
              <w:rPr>
                <w:color w:val="231F20"/>
                <w:spacing w:val="-3"/>
                <w:w w:val="105"/>
                <w:sz w:val="15"/>
              </w:rPr>
              <w:t>than 1%) </w:t>
            </w:r>
            <w:r>
              <w:rPr>
                <w:color w:val="231F20"/>
                <w:spacing w:val="-4"/>
                <w:w w:val="105"/>
                <w:sz w:val="15"/>
              </w:rPr>
              <w:t>were overturned on appeal.</w:t>
            </w:r>
          </w:p>
        </w:tc>
        <w:tc>
          <w:tcPr>
            <w:tcW w:w="1241" w:type="dxa"/>
            <w:shd w:val="clear" w:color="auto" w:fill="D8E3CE"/>
          </w:tcPr>
          <w:p>
            <w:pPr>
              <w:pStyle w:val="TableParagraph"/>
              <w:spacing w:line="223" w:lineRule="auto" w:before="85"/>
              <w:ind w:left="79" w:right="50"/>
              <w:rPr>
                <w:sz w:val="15"/>
              </w:rPr>
            </w:pPr>
            <w:r>
              <w:rPr>
                <w:b/>
                <w:color w:val="231F20"/>
                <w:w w:val="110"/>
                <w:sz w:val="15"/>
              </w:rPr>
              <w:t>High Court </w:t>
            </w:r>
            <w:r>
              <w:rPr>
                <w:color w:val="231F20"/>
                <w:w w:val="110"/>
                <w:sz w:val="15"/>
              </w:rPr>
              <w:t>0% of civil cases that were the subject of an appeal in 2017 </w:t>
            </w:r>
            <w:r>
              <w:rPr>
                <w:color w:val="231F20"/>
                <w:w w:val="105"/>
                <w:sz w:val="15"/>
              </w:rPr>
              <w:t>were overturned </w:t>
            </w:r>
            <w:r>
              <w:rPr>
                <w:color w:val="231F20"/>
                <w:w w:val="110"/>
                <w:sz w:val="15"/>
              </w:rPr>
              <w:t>on appeal.</w:t>
            </w:r>
          </w:p>
        </w:tc>
        <w:tc>
          <w:tcPr>
            <w:tcW w:w="1361" w:type="dxa"/>
            <w:shd w:val="clear" w:color="auto" w:fill="F2CDBE"/>
          </w:tcPr>
          <w:p>
            <w:pPr>
              <w:pStyle w:val="TableParagraph"/>
              <w:spacing w:before="74"/>
              <w:ind w:left="79"/>
              <w:rPr>
                <w:sz w:val="15"/>
              </w:rPr>
            </w:pPr>
            <w:r>
              <w:rPr>
                <w:color w:val="231F20"/>
                <w:w w:val="110"/>
                <w:sz w:val="15"/>
              </w:rPr>
              <w:t>Data unavailable</w:t>
            </w:r>
          </w:p>
        </w:tc>
        <w:tc>
          <w:tcPr>
            <w:tcW w:w="1093" w:type="dxa"/>
            <w:shd w:val="clear" w:color="auto" w:fill="F2CDBE"/>
          </w:tcPr>
          <w:p>
            <w:pPr>
              <w:pStyle w:val="TableParagraph"/>
              <w:spacing w:line="223" w:lineRule="auto" w:before="84"/>
              <w:ind w:left="79"/>
              <w:rPr>
                <w:sz w:val="15"/>
              </w:rPr>
            </w:pPr>
            <w:r>
              <w:rPr>
                <w:color w:val="231F20"/>
                <w:w w:val="110"/>
                <w:sz w:val="15"/>
              </w:rPr>
              <w:t>Data unavailable</w:t>
            </w:r>
          </w:p>
        </w:tc>
        <w:tc>
          <w:tcPr>
            <w:tcW w:w="1387" w:type="dxa"/>
            <w:shd w:val="clear" w:color="auto" w:fill="D8E3CE"/>
          </w:tcPr>
          <w:p>
            <w:pPr>
              <w:pStyle w:val="TableParagraph"/>
              <w:spacing w:line="223" w:lineRule="auto" w:before="84"/>
              <w:ind w:left="78"/>
              <w:rPr>
                <w:sz w:val="15"/>
              </w:rPr>
            </w:pPr>
            <w:r>
              <w:rPr>
                <w:color w:val="231F20"/>
                <w:w w:val="110"/>
                <w:sz w:val="15"/>
              </w:rPr>
              <w:t>In 2017 there were 40 cases disposed by the Appellate Division and of these cases:</w:t>
            </w:r>
          </w:p>
          <w:p>
            <w:pPr>
              <w:pStyle w:val="TableParagraph"/>
              <w:numPr>
                <w:ilvl w:val="0"/>
                <w:numId w:val="2"/>
              </w:numPr>
              <w:tabs>
                <w:tab w:pos="249" w:val="left" w:leader="none"/>
              </w:tabs>
              <w:spacing w:line="225" w:lineRule="auto" w:before="25" w:after="0"/>
              <w:ind w:left="248" w:right="93" w:hanging="170"/>
              <w:jc w:val="left"/>
              <w:rPr>
                <w:sz w:val="14"/>
              </w:rPr>
            </w:pPr>
            <w:r>
              <w:rPr>
                <w:color w:val="231F20"/>
                <w:w w:val="110"/>
                <w:sz w:val="14"/>
              </w:rPr>
              <w:t>25 or 63% of </w:t>
            </w:r>
            <w:r>
              <w:rPr>
                <w:color w:val="231F20"/>
                <w:spacing w:val="-2"/>
                <w:w w:val="110"/>
                <w:sz w:val="14"/>
              </w:rPr>
              <w:t>the </w:t>
            </w:r>
            <w:r>
              <w:rPr>
                <w:color w:val="231F20"/>
                <w:w w:val="110"/>
                <w:sz w:val="14"/>
              </w:rPr>
              <w:t>original court decisions were affirmed</w:t>
            </w:r>
          </w:p>
          <w:p>
            <w:pPr>
              <w:pStyle w:val="TableParagraph"/>
              <w:numPr>
                <w:ilvl w:val="0"/>
                <w:numId w:val="2"/>
              </w:numPr>
              <w:tabs>
                <w:tab w:pos="249" w:val="left" w:leader="none"/>
              </w:tabs>
              <w:spacing w:line="225" w:lineRule="auto" w:before="54" w:after="0"/>
              <w:ind w:left="248" w:right="172" w:hanging="170"/>
              <w:jc w:val="left"/>
              <w:rPr>
                <w:sz w:val="14"/>
              </w:rPr>
            </w:pPr>
            <w:r>
              <w:rPr>
                <w:color w:val="231F20"/>
                <w:w w:val="105"/>
                <w:sz w:val="14"/>
              </w:rPr>
              <w:t>7 or 17% of </w:t>
            </w:r>
            <w:r>
              <w:rPr>
                <w:color w:val="231F20"/>
                <w:spacing w:val="-2"/>
                <w:w w:val="105"/>
                <w:sz w:val="14"/>
              </w:rPr>
              <w:t>the </w:t>
            </w:r>
            <w:r>
              <w:rPr>
                <w:color w:val="231F20"/>
                <w:w w:val="105"/>
                <w:sz w:val="14"/>
              </w:rPr>
              <w:t>original court decision were affirmed in part and </w:t>
            </w:r>
            <w:r>
              <w:rPr>
                <w:color w:val="231F20"/>
                <w:spacing w:val="-3"/>
                <w:w w:val="105"/>
                <w:sz w:val="14"/>
              </w:rPr>
              <w:t>overturned </w:t>
            </w:r>
            <w:r>
              <w:rPr>
                <w:color w:val="231F20"/>
                <w:w w:val="105"/>
                <w:sz w:val="14"/>
              </w:rPr>
              <w:t>in</w:t>
            </w:r>
            <w:r>
              <w:rPr>
                <w:color w:val="231F20"/>
                <w:spacing w:val="2"/>
                <w:w w:val="105"/>
                <w:sz w:val="14"/>
              </w:rPr>
              <w:t> </w:t>
            </w:r>
            <w:r>
              <w:rPr>
                <w:color w:val="231F20"/>
                <w:w w:val="105"/>
                <w:sz w:val="14"/>
              </w:rPr>
              <w:t>part</w:t>
            </w:r>
          </w:p>
          <w:p>
            <w:pPr>
              <w:pStyle w:val="TableParagraph"/>
              <w:numPr>
                <w:ilvl w:val="0"/>
                <w:numId w:val="2"/>
              </w:numPr>
              <w:tabs>
                <w:tab w:pos="249" w:val="left" w:leader="none"/>
              </w:tabs>
              <w:spacing w:line="225" w:lineRule="auto" w:before="53" w:after="0"/>
              <w:ind w:left="248" w:right="172" w:hanging="170"/>
              <w:jc w:val="left"/>
              <w:rPr>
                <w:sz w:val="14"/>
              </w:rPr>
            </w:pPr>
            <w:r>
              <w:rPr>
                <w:color w:val="231F20"/>
                <w:w w:val="105"/>
                <w:sz w:val="14"/>
              </w:rPr>
              <w:t>8 or 20% of </w:t>
            </w:r>
            <w:r>
              <w:rPr>
                <w:color w:val="231F20"/>
                <w:spacing w:val="-2"/>
                <w:w w:val="105"/>
                <w:sz w:val="14"/>
              </w:rPr>
              <w:t>the </w:t>
            </w:r>
            <w:r>
              <w:rPr>
                <w:color w:val="231F20"/>
                <w:w w:val="105"/>
                <w:sz w:val="14"/>
              </w:rPr>
              <w:t>original court decision were </w:t>
            </w:r>
            <w:r>
              <w:rPr>
                <w:color w:val="231F20"/>
                <w:spacing w:val="-3"/>
                <w:w w:val="105"/>
                <w:sz w:val="14"/>
              </w:rPr>
              <w:t>overturned</w:t>
            </w:r>
          </w:p>
        </w:tc>
      </w:tr>
      <w:tr>
        <w:trPr>
          <w:trHeight w:val="462" w:hRule="atLeast"/>
        </w:trPr>
        <w:tc>
          <w:tcPr>
            <w:tcW w:w="1124" w:type="dxa"/>
            <w:shd w:val="clear" w:color="auto" w:fill="92BAC2"/>
          </w:tcPr>
          <w:p>
            <w:pPr>
              <w:pStyle w:val="TableParagraph"/>
              <w:spacing w:line="223" w:lineRule="auto" w:before="85"/>
              <w:ind w:left="80"/>
              <w:rPr>
                <w:b/>
                <w:sz w:val="15"/>
              </w:rPr>
            </w:pPr>
            <w:r>
              <w:rPr>
                <w:b/>
                <w:color w:val="231F20"/>
                <w:w w:val="110"/>
                <w:sz w:val="15"/>
              </w:rPr>
              <w:t>Papua New Guinea</w:t>
            </w:r>
          </w:p>
        </w:tc>
        <w:tc>
          <w:tcPr>
            <w:tcW w:w="1132" w:type="dxa"/>
            <w:shd w:val="clear" w:color="auto" w:fill="92BAC2"/>
          </w:tcPr>
          <w:p>
            <w:pPr>
              <w:pStyle w:val="TableParagraph"/>
              <w:spacing w:before="75"/>
              <w:ind w:left="79"/>
              <w:rPr>
                <w:b/>
                <w:sz w:val="15"/>
              </w:rPr>
            </w:pPr>
            <w:r>
              <w:rPr>
                <w:b/>
                <w:color w:val="231F20"/>
                <w:w w:val="105"/>
                <w:sz w:val="15"/>
              </w:rPr>
              <w:t>Samoa</w:t>
            </w:r>
          </w:p>
        </w:tc>
        <w:tc>
          <w:tcPr>
            <w:tcW w:w="1162" w:type="dxa"/>
            <w:shd w:val="clear" w:color="auto" w:fill="92BAC2"/>
          </w:tcPr>
          <w:p>
            <w:pPr>
              <w:pStyle w:val="TableParagraph"/>
              <w:spacing w:line="223" w:lineRule="auto" w:before="85"/>
              <w:ind w:left="79" w:right="473"/>
              <w:rPr>
                <w:b/>
                <w:sz w:val="15"/>
              </w:rPr>
            </w:pPr>
            <w:r>
              <w:rPr>
                <w:b/>
                <w:color w:val="231F20"/>
                <w:w w:val="105"/>
                <w:sz w:val="15"/>
              </w:rPr>
              <w:t>Solomon </w:t>
            </w:r>
            <w:r>
              <w:rPr>
                <w:b/>
                <w:color w:val="231F20"/>
                <w:w w:val="110"/>
                <w:sz w:val="15"/>
              </w:rPr>
              <w:t>Islands</w:t>
            </w:r>
          </w:p>
        </w:tc>
        <w:tc>
          <w:tcPr>
            <w:tcW w:w="1241" w:type="dxa"/>
            <w:shd w:val="clear" w:color="auto" w:fill="92BAC2"/>
          </w:tcPr>
          <w:p>
            <w:pPr>
              <w:pStyle w:val="TableParagraph"/>
              <w:spacing w:before="75"/>
              <w:ind w:left="79"/>
              <w:rPr>
                <w:b/>
                <w:sz w:val="15"/>
              </w:rPr>
            </w:pPr>
            <w:r>
              <w:rPr>
                <w:b/>
                <w:color w:val="231F20"/>
                <w:w w:val="110"/>
                <w:sz w:val="15"/>
              </w:rPr>
              <w:t>Tokelau</w:t>
            </w:r>
          </w:p>
        </w:tc>
        <w:tc>
          <w:tcPr>
            <w:tcW w:w="1361" w:type="dxa"/>
            <w:shd w:val="clear" w:color="auto" w:fill="92BAC2"/>
          </w:tcPr>
          <w:p>
            <w:pPr>
              <w:pStyle w:val="TableParagraph"/>
              <w:spacing w:before="75"/>
              <w:ind w:left="79"/>
              <w:rPr>
                <w:b/>
                <w:sz w:val="15"/>
              </w:rPr>
            </w:pPr>
            <w:r>
              <w:rPr>
                <w:b/>
                <w:color w:val="231F20"/>
                <w:w w:val="110"/>
                <w:sz w:val="15"/>
              </w:rPr>
              <w:t>Tonga</w:t>
            </w:r>
          </w:p>
        </w:tc>
        <w:tc>
          <w:tcPr>
            <w:tcW w:w="1093" w:type="dxa"/>
            <w:shd w:val="clear" w:color="auto" w:fill="92BAC2"/>
          </w:tcPr>
          <w:p>
            <w:pPr>
              <w:pStyle w:val="TableParagraph"/>
              <w:spacing w:before="75"/>
              <w:ind w:left="79"/>
              <w:rPr>
                <w:b/>
                <w:sz w:val="15"/>
              </w:rPr>
            </w:pPr>
            <w:r>
              <w:rPr>
                <w:b/>
                <w:color w:val="231F20"/>
                <w:w w:val="110"/>
                <w:sz w:val="15"/>
              </w:rPr>
              <w:t>Tuvalu</w:t>
            </w:r>
          </w:p>
        </w:tc>
        <w:tc>
          <w:tcPr>
            <w:tcW w:w="1387" w:type="dxa"/>
            <w:shd w:val="clear" w:color="auto" w:fill="92BAC2"/>
          </w:tcPr>
          <w:p>
            <w:pPr>
              <w:pStyle w:val="TableParagraph"/>
              <w:spacing w:before="75"/>
              <w:ind w:left="78"/>
              <w:rPr>
                <w:b/>
                <w:sz w:val="15"/>
              </w:rPr>
            </w:pPr>
            <w:r>
              <w:rPr>
                <w:b/>
                <w:color w:val="231F20"/>
                <w:w w:val="105"/>
                <w:sz w:val="15"/>
              </w:rPr>
              <w:t>Vanuatu</w:t>
            </w:r>
          </w:p>
        </w:tc>
      </w:tr>
      <w:tr>
        <w:trPr>
          <w:trHeight w:val="4032" w:hRule="atLeast"/>
        </w:trPr>
        <w:tc>
          <w:tcPr>
            <w:tcW w:w="1124" w:type="dxa"/>
            <w:shd w:val="clear" w:color="auto" w:fill="F2CDBE"/>
          </w:tcPr>
          <w:p>
            <w:pPr>
              <w:pStyle w:val="TableParagraph"/>
              <w:spacing w:line="223" w:lineRule="auto" w:before="84"/>
              <w:ind w:left="80"/>
              <w:rPr>
                <w:sz w:val="15"/>
              </w:rPr>
            </w:pPr>
            <w:r>
              <w:rPr>
                <w:color w:val="231F20"/>
                <w:w w:val="110"/>
                <w:sz w:val="15"/>
              </w:rPr>
              <w:t>Data unavailable</w:t>
            </w:r>
          </w:p>
        </w:tc>
        <w:tc>
          <w:tcPr>
            <w:tcW w:w="1132" w:type="dxa"/>
            <w:shd w:val="clear" w:color="auto" w:fill="F2CDBE"/>
          </w:tcPr>
          <w:p>
            <w:pPr>
              <w:pStyle w:val="TableParagraph"/>
              <w:spacing w:line="223" w:lineRule="auto" w:before="84"/>
              <w:ind w:left="79" w:right="55"/>
              <w:rPr>
                <w:sz w:val="15"/>
              </w:rPr>
            </w:pPr>
            <w:r>
              <w:rPr>
                <w:color w:val="231F20"/>
                <w:w w:val="110"/>
                <w:sz w:val="15"/>
              </w:rPr>
              <w:t>Data unavailable</w:t>
            </w:r>
          </w:p>
        </w:tc>
        <w:tc>
          <w:tcPr>
            <w:tcW w:w="1162" w:type="dxa"/>
            <w:shd w:val="clear" w:color="auto" w:fill="F2CDBE"/>
          </w:tcPr>
          <w:p>
            <w:pPr>
              <w:pStyle w:val="TableParagraph"/>
              <w:spacing w:line="223" w:lineRule="auto" w:before="84"/>
              <w:ind w:left="79" w:right="41"/>
              <w:rPr>
                <w:sz w:val="15"/>
              </w:rPr>
            </w:pPr>
            <w:r>
              <w:rPr>
                <w:color w:val="231F20"/>
                <w:w w:val="110"/>
                <w:sz w:val="15"/>
              </w:rPr>
              <w:t>Data unavailable</w:t>
            </w:r>
          </w:p>
        </w:tc>
        <w:tc>
          <w:tcPr>
            <w:tcW w:w="1241" w:type="dxa"/>
            <w:shd w:val="clear" w:color="auto" w:fill="D8E3CE"/>
          </w:tcPr>
          <w:p>
            <w:pPr>
              <w:pStyle w:val="TableParagraph"/>
              <w:spacing w:before="74"/>
              <w:ind w:left="79"/>
              <w:rPr>
                <w:sz w:val="15"/>
              </w:rPr>
            </w:pPr>
            <w:r>
              <w:rPr>
                <w:color w:val="231F20"/>
                <w:w w:val="120"/>
                <w:sz w:val="15"/>
              </w:rPr>
              <w:t>0%</w:t>
            </w:r>
          </w:p>
        </w:tc>
        <w:tc>
          <w:tcPr>
            <w:tcW w:w="1361" w:type="dxa"/>
            <w:shd w:val="clear" w:color="auto" w:fill="D8E3CE"/>
          </w:tcPr>
          <w:p>
            <w:pPr>
              <w:pStyle w:val="TableParagraph"/>
              <w:spacing w:line="223" w:lineRule="auto" w:before="84"/>
              <w:ind w:left="79" w:right="170"/>
              <w:rPr>
                <w:sz w:val="15"/>
              </w:rPr>
            </w:pPr>
            <w:r>
              <w:rPr>
                <w:color w:val="231F20"/>
                <w:w w:val="105"/>
                <w:sz w:val="15"/>
              </w:rPr>
              <w:t>Of the 10 </w:t>
            </w:r>
            <w:r>
              <w:rPr>
                <w:b/>
                <w:color w:val="231F20"/>
                <w:w w:val="105"/>
                <w:sz w:val="15"/>
              </w:rPr>
              <w:t>Supreme Court </w:t>
            </w:r>
            <w:r>
              <w:rPr>
                <w:color w:val="231F20"/>
                <w:w w:val="105"/>
                <w:sz w:val="15"/>
              </w:rPr>
              <w:t>cases appealed to the Court of Appeal, 29% were overturned</w:t>
            </w:r>
          </w:p>
          <w:p>
            <w:pPr>
              <w:pStyle w:val="TableParagraph"/>
              <w:spacing w:line="223" w:lineRule="auto"/>
              <w:ind w:left="79"/>
              <w:rPr>
                <w:sz w:val="15"/>
              </w:rPr>
            </w:pPr>
            <w:r>
              <w:rPr>
                <w:color w:val="231F20"/>
                <w:w w:val="110"/>
                <w:sz w:val="15"/>
              </w:rPr>
              <w:t>on appeal or were successful. Of the 12 </w:t>
            </w:r>
            <w:r>
              <w:rPr>
                <w:b/>
                <w:color w:val="231F20"/>
                <w:w w:val="110"/>
                <w:sz w:val="15"/>
              </w:rPr>
              <w:t>Land Court </w:t>
            </w:r>
            <w:r>
              <w:rPr>
                <w:color w:val="231F20"/>
                <w:w w:val="110"/>
                <w:sz w:val="15"/>
              </w:rPr>
              <w:t>cases appealed</w:t>
            </w:r>
          </w:p>
          <w:p>
            <w:pPr>
              <w:pStyle w:val="TableParagraph"/>
              <w:spacing w:line="223" w:lineRule="auto"/>
              <w:ind w:left="79" w:right="81"/>
              <w:rPr>
                <w:sz w:val="15"/>
              </w:rPr>
            </w:pPr>
            <w:r>
              <w:rPr>
                <w:color w:val="231F20"/>
                <w:w w:val="105"/>
                <w:sz w:val="15"/>
              </w:rPr>
              <w:t>to the Court of Appeal,   </w:t>
            </w:r>
            <w:r>
              <w:rPr>
                <w:color w:val="231F20"/>
                <w:spacing w:val="-2"/>
                <w:w w:val="105"/>
                <w:sz w:val="15"/>
              </w:rPr>
              <w:t>25% </w:t>
            </w:r>
            <w:r>
              <w:rPr>
                <w:color w:val="231F20"/>
                <w:w w:val="105"/>
                <w:sz w:val="15"/>
              </w:rPr>
              <w:t>were </w:t>
            </w:r>
            <w:r>
              <w:rPr>
                <w:color w:val="231F20"/>
                <w:spacing w:val="-3"/>
                <w:w w:val="105"/>
                <w:sz w:val="15"/>
              </w:rPr>
              <w:t>overturned </w:t>
            </w:r>
            <w:r>
              <w:rPr>
                <w:color w:val="231F20"/>
                <w:w w:val="105"/>
                <w:sz w:val="15"/>
              </w:rPr>
              <w:t>on appeal or were successful. Of </w:t>
            </w:r>
            <w:r>
              <w:rPr>
                <w:color w:val="231F20"/>
                <w:spacing w:val="-2"/>
                <w:w w:val="105"/>
                <w:sz w:val="15"/>
              </w:rPr>
              <w:t>the </w:t>
            </w:r>
            <w:r>
              <w:rPr>
                <w:color w:val="231F20"/>
                <w:w w:val="105"/>
                <w:sz w:val="15"/>
              </w:rPr>
              <w:t>14 </w:t>
            </w:r>
            <w:r>
              <w:rPr>
                <w:b/>
                <w:color w:val="231F20"/>
                <w:w w:val="105"/>
                <w:sz w:val="15"/>
              </w:rPr>
              <w:t>Magistrates Court </w:t>
            </w:r>
            <w:r>
              <w:rPr>
                <w:color w:val="231F20"/>
                <w:w w:val="105"/>
                <w:sz w:val="15"/>
              </w:rPr>
              <w:t>cases appealed</w:t>
            </w:r>
            <w:r>
              <w:rPr>
                <w:color w:val="231F20"/>
                <w:spacing w:val="2"/>
                <w:w w:val="105"/>
                <w:sz w:val="15"/>
              </w:rPr>
              <w:t> </w:t>
            </w:r>
            <w:r>
              <w:rPr>
                <w:color w:val="231F20"/>
                <w:w w:val="105"/>
                <w:sz w:val="15"/>
              </w:rPr>
              <w:t>to</w:t>
            </w:r>
          </w:p>
          <w:p>
            <w:pPr>
              <w:pStyle w:val="TableParagraph"/>
              <w:spacing w:line="223" w:lineRule="auto"/>
              <w:ind w:left="79" w:right="136"/>
              <w:rPr>
                <w:sz w:val="15"/>
              </w:rPr>
            </w:pPr>
            <w:r>
              <w:rPr>
                <w:color w:val="231F20"/>
                <w:w w:val="110"/>
                <w:sz w:val="15"/>
              </w:rPr>
              <w:t>the Supreme Court, 71% were overturned on appeal or were successful.</w:t>
            </w:r>
          </w:p>
        </w:tc>
        <w:tc>
          <w:tcPr>
            <w:tcW w:w="1093" w:type="dxa"/>
            <w:shd w:val="clear" w:color="auto" w:fill="F2CDBE"/>
          </w:tcPr>
          <w:p>
            <w:pPr>
              <w:pStyle w:val="TableParagraph"/>
              <w:spacing w:line="223" w:lineRule="auto" w:before="84"/>
              <w:ind w:left="79"/>
              <w:rPr>
                <w:sz w:val="15"/>
              </w:rPr>
            </w:pPr>
            <w:r>
              <w:rPr>
                <w:color w:val="231F20"/>
                <w:w w:val="110"/>
                <w:sz w:val="15"/>
              </w:rPr>
              <w:t>Data unavailable</w:t>
            </w:r>
          </w:p>
        </w:tc>
        <w:tc>
          <w:tcPr>
            <w:tcW w:w="1387" w:type="dxa"/>
            <w:shd w:val="clear" w:color="auto" w:fill="D8E3CE"/>
          </w:tcPr>
          <w:p>
            <w:pPr>
              <w:pStyle w:val="TableParagraph"/>
              <w:spacing w:line="223" w:lineRule="auto" w:before="84"/>
              <w:ind w:left="78" w:right="184"/>
              <w:rPr>
                <w:sz w:val="15"/>
              </w:rPr>
            </w:pPr>
            <w:r>
              <w:rPr>
                <w:color w:val="231F20"/>
                <w:w w:val="110"/>
                <w:sz w:val="15"/>
              </w:rPr>
              <w:t>Of the 56 Supreme Court cases appealed to the Court of Appeal 16 (29%) were allowed.</w:t>
            </w:r>
          </w:p>
          <w:p>
            <w:pPr>
              <w:pStyle w:val="TableParagraph"/>
              <w:spacing w:line="223" w:lineRule="auto"/>
              <w:ind w:left="78" w:right="49"/>
              <w:rPr>
                <w:sz w:val="15"/>
              </w:rPr>
            </w:pPr>
            <w:r>
              <w:rPr>
                <w:color w:val="231F20"/>
                <w:w w:val="105"/>
                <w:sz w:val="15"/>
              </w:rPr>
              <w:t>The Annual Report does not include overturn rates on appeal for any other court.</w:t>
            </w:r>
          </w:p>
        </w:tc>
      </w:tr>
    </w:tbl>
    <w:p>
      <w:pPr>
        <w:spacing w:after="0" w:line="223" w:lineRule="auto"/>
        <w:rPr>
          <w:sz w:val="15"/>
        </w:rPr>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89280"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29</w:t>
      </w:r>
    </w:p>
    <w:p>
      <w:pPr>
        <w:pStyle w:val="BodyText"/>
        <w:rPr>
          <w:sz w:val="38"/>
        </w:rPr>
      </w:pPr>
    </w:p>
    <w:p>
      <w:pPr>
        <w:pStyle w:val="BodyText"/>
        <w:spacing w:before="6"/>
        <w:rPr>
          <w:sz w:val="53"/>
        </w:rPr>
      </w:pPr>
    </w:p>
    <w:p>
      <w:pPr>
        <w:pStyle w:val="Heading5"/>
        <w:spacing w:line="196" w:lineRule="auto"/>
        <w:ind w:right="1917"/>
      </w:pPr>
      <w:r>
        <w:rPr/>
        <w:pict>
          <v:shape style="position:absolute;margin-left:85.039001pt;margin-top:36.578777pt;width:425.2pt;height:44.8pt;mso-position-horizontal-relative:page;mso-position-vertical-relative:paragraph;z-index:10144;mso-wrap-distance-left:0;mso-wrap-distance-right:0" type="#_x0000_t202" filled="true" fillcolor="#dcdbca" stroked="false">
            <v:textbox inset="0,0,0,0">
              <w:txbxContent>
                <w:p>
                  <w:pPr>
                    <w:pStyle w:val="BodyText"/>
                    <w:spacing w:line="252" w:lineRule="auto" w:before="135"/>
                    <w:ind w:left="56" w:right="15"/>
                  </w:pPr>
                  <w:r>
                    <w:rPr>
                      <w:color w:val="231F20"/>
                      <w:w w:val="105"/>
                    </w:rPr>
                    <w:t>The result against this indicator is obtained by dividing the number of cases that are granted a court fee waiver by the total number of cases filed.</w:t>
                  </w:r>
                </w:p>
              </w:txbxContent>
            </v:textbox>
            <v:fill type="solid"/>
            <w10:wrap type="topAndBottom"/>
          </v:shape>
        </w:pict>
      </w:r>
      <w:r>
        <w:rPr/>
        <w:pict>
          <v:rect style="position:absolute;margin-left:85.039398pt;margin-top:35.578777pt;width:425.197pt;height:1pt;mso-position-horizontal-relative:page;mso-position-vertical-relative:paragraph;z-index:10408" filled="true" fillcolor="#0f6161" stroked="false">
            <v:fill type="solid"/>
            <w10:wrap type="none"/>
          </v:rect>
        </w:pict>
      </w:r>
      <w:r>
        <w:rPr/>
        <w:pict>
          <v:shape style="position:absolute;margin-left:85.039001pt;margin-top:-5.079123pt;width:93.55pt;height:40.7pt;mso-position-horizontal-relative:page;mso-position-vertical-relative:paragraph;z-index:10432" type="#_x0000_t202" filled="true" fillcolor="#7d8440" stroked="false">
            <v:textbox inset="0,0,0,0">
              <w:txbxContent>
                <w:p>
                  <w:pPr>
                    <w:spacing w:before="46"/>
                    <w:ind w:left="56" w:right="0" w:firstLine="0"/>
                    <w:jc w:val="left"/>
                    <w:rPr>
                      <w:b/>
                      <w:sz w:val="32"/>
                    </w:rPr>
                  </w:pPr>
                  <w:r>
                    <w:rPr>
                      <w:b/>
                      <w:color w:val="FFFFFF"/>
                      <w:w w:val="110"/>
                      <w:sz w:val="32"/>
                    </w:rPr>
                    <w:t>Indicator 5</w:t>
                  </w:r>
                </w:p>
              </w:txbxContent>
            </v:textbox>
            <v:fill type="solid"/>
            <w10:wrap type="none"/>
          </v:shape>
        </w:pict>
      </w:r>
      <w:r>
        <w:rPr>
          <w:color w:val="0F6161"/>
          <w:w w:val="105"/>
        </w:rPr>
        <w:t>Percentage of Cases that are Granted a Court Fee Waiver</w:t>
      </w:r>
    </w:p>
    <w:p>
      <w:pPr>
        <w:pStyle w:val="BodyText"/>
        <w:spacing w:before="6"/>
        <w:rPr>
          <w:sz w:val="6"/>
        </w:rPr>
      </w:pPr>
    </w:p>
    <w:p>
      <w:pPr>
        <w:spacing w:before="87" w:after="11"/>
        <w:ind w:left="1700" w:right="0" w:firstLine="0"/>
        <w:jc w:val="left"/>
        <w:rPr>
          <w:sz w:val="40"/>
        </w:rPr>
      </w:pPr>
      <w:r>
        <w:rPr>
          <w:color w:val="0F6161"/>
          <w:w w:val="105"/>
          <w:sz w:val="40"/>
        </w:rPr>
        <w:t>What has changed?</w:t>
      </w:r>
    </w:p>
    <w:p>
      <w:pPr>
        <w:tabs>
          <w:tab w:pos="3571" w:val="left" w:leader="none"/>
          <w:tab w:pos="5896" w:val="left" w:leader="none"/>
          <w:tab w:pos="8163" w:val="left" w:leader="none"/>
        </w:tabs>
        <w:spacing w:line="240" w:lineRule="auto"/>
        <w:ind w:left="1700" w:right="0" w:firstLine="0"/>
        <w:rPr>
          <w:sz w:val="20"/>
        </w:rPr>
      </w:pPr>
      <w:r>
        <w:rPr>
          <w:position w:val="146"/>
          <w:sz w:val="20"/>
        </w:rPr>
        <w:pict>
          <v:group style="width:79.4pt;height:22.7pt;mso-position-horizontal-relative:char;mso-position-vertical-relative:line" coordorigin="0,0" coordsize="1588,454">
            <v:shape style="position:absolute;left:0;top:0;width:1588;height:454" coordorigin="0,0" coordsize="1588,454" path="m1387,0l0,0,0,454,1387,454,1503,450,1562,429,1584,369,1587,254,1587,200,1584,84,1562,25,1503,3,1387,0xe" filled="true" fillcolor="#7d8440" stroked="false">
              <v:path arrowok="t"/>
              <v:fill type="solid"/>
            </v:shape>
            <v:shape style="position:absolute;left:0;top:0;width:1588;height:454" type="#_x0000_t202" filled="false" stroked="false">
              <v:textbox inset="0,0,0,0">
                <w:txbxContent>
                  <w:p>
                    <w:pPr>
                      <w:spacing w:before="16"/>
                      <w:ind w:left="56" w:right="0" w:firstLine="0"/>
                      <w:jc w:val="left"/>
                      <w:rPr>
                        <w:sz w:val="32"/>
                      </w:rPr>
                    </w:pPr>
                    <w:r>
                      <w:rPr>
                        <w:color w:val="FFFFFF"/>
                        <w:w w:val="110"/>
                        <w:sz w:val="32"/>
                      </w:rPr>
                      <w:t>Change 1</w:t>
                    </w:r>
                  </w:p>
                </w:txbxContent>
              </v:textbox>
              <w10:wrap type="none"/>
            </v:shape>
          </v:group>
        </w:pict>
      </w:r>
      <w:r>
        <w:rPr>
          <w:position w:val="146"/>
          <w:sz w:val="20"/>
        </w:rPr>
      </w:r>
      <w:r>
        <w:rPr>
          <w:position w:val="146"/>
          <w:sz w:val="20"/>
        </w:rPr>
        <w:tab/>
      </w:r>
      <w:r>
        <w:rPr>
          <w:sz w:val="20"/>
        </w:rPr>
        <w:pict>
          <v:group style="width:102.05pt;height:96.4pt;mso-position-horizontal-relative:char;mso-position-vertical-relative:line" coordorigin="0,0" coordsize="2041,1928">
            <v:shape style="position:absolute;left:0;top:0;width:2041;height:1928" coordorigin="0,0" coordsize="2041,1928" path="m1928,0l113,0,48,2,14,14,2,48,0,113,0,1814,2,1880,14,1913,48,1926,113,1928,1928,1928,1993,1926,2027,1913,2039,1880,2041,1814,2041,113,2039,48,2027,14,1993,2,1928,0xe" filled="true" fillcolor="#e07e26" stroked="false">
              <v:path arrowok="t"/>
              <v:fill type="solid"/>
            </v:shape>
            <v:shape style="position:absolute;left:296;top:240;width:1445;height:1445" type="#_x0000_t75" stroked="false">
              <v:imagedata r:id="rId41" o:title=""/>
            </v:shape>
          </v:group>
        </w:pict>
      </w:r>
      <w:r>
        <w:rPr>
          <w:sz w:val="20"/>
        </w:rPr>
      </w:r>
      <w:r>
        <w:rPr>
          <w:sz w:val="20"/>
        </w:rPr>
        <w:tab/>
      </w:r>
      <w:r>
        <w:rPr>
          <w:sz w:val="20"/>
        </w:rPr>
        <w:pict>
          <v:group style="width:102.05pt;height:107.75pt;mso-position-horizontal-relative:char;mso-position-vertical-relative:line" coordorigin="0,0" coordsize="2041,2155">
            <v:shape style="position:absolute;left:0;top:226;width:2041;height:1928" coordorigin="0,227" coordsize="2041,1928" path="m1928,227l113,227,48,229,14,241,2,275,0,340,0,2041,2,2106,14,2140,48,2153,113,2154,1928,2154,1993,2153,2027,2140,2039,2106,2041,2041,2041,340,2039,275,2027,241,1993,229,1928,227xe" filled="true" fillcolor="#d01c26" stroked="false">
              <v:path arrowok="t"/>
              <v:fill type="solid"/>
            </v:shape>
            <v:shape style="position:absolute;left:0;top:0;width:2041;height:2155" type="#_x0000_t202" filled="false" stroked="false">
              <v:textbox inset="0,0,0,0">
                <w:txbxContent>
                  <w:p>
                    <w:pPr>
                      <w:spacing w:before="78"/>
                      <w:ind w:left="222" w:right="0" w:firstLine="0"/>
                      <w:jc w:val="left"/>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b w:val="0"/>
                        <w:color w:val="FFFFFF"/>
                        <w:spacing w:val="-824"/>
                        <w:position w:val="33"/>
                        <w:sz w:val="130"/>
                      </w:rPr>
                      <w:t>3</w:t>
                    </w:r>
                    <w:r>
                      <w:rPr>
                        <w:rFonts w:ascii="Arial"/>
                        <w:b/>
                        <w:color w:val="FFFFFF"/>
                        <w:spacing w:val="-3"/>
                        <w:w w:val="93"/>
                        <w:sz w:val="21"/>
                      </w:rPr>
                      <w:t>r</w:t>
                    </w:r>
                    <w:r>
                      <w:rPr>
                        <w:rFonts w:ascii="Arial"/>
                        <w:b/>
                        <w:color w:val="FFFFFF"/>
                        <w:w w:val="88"/>
                        <w:sz w:val="21"/>
                      </w:rPr>
                      <w:t>ts</w:t>
                    </w:r>
                    <w:r>
                      <w:rPr>
                        <w:rFonts w:ascii="Arial"/>
                        <w:b/>
                        <w:color w:val="FFFFFF"/>
                        <w:spacing w:val="-6"/>
                        <w:sz w:val="21"/>
                      </w:rPr>
                      <w:t> </w:t>
                    </w:r>
                    <w:r>
                      <w:rPr>
                        <w:rFonts w:ascii="Arial"/>
                        <w:b/>
                        <w:color w:val="FFFFFF"/>
                        <w:spacing w:val="-4"/>
                        <w:w w:val="93"/>
                        <w:sz w:val="21"/>
                      </w:rPr>
                      <w:t>r</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69"/>
                      <w:ind w:left="205" w:right="203" w:firstLine="0"/>
                      <w:jc w:val="center"/>
                      <w:rPr>
                        <w:rFonts w:ascii="Arial"/>
                        <w:b/>
                        <w:sz w:val="14"/>
                      </w:rPr>
                    </w:pPr>
                    <w:r>
                      <w:rPr>
                        <w:rFonts w:ascii="Arial"/>
                        <w:b/>
                        <w:color w:val="FFFFFF"/>
                        <w:sz w:val="14"/>
                      </w:rPr>
                      <w:t>YEAR 1 BASELINE TREND DATA</w:t>
                    </w:r>
                  </w:p>
                </w:txbxContent>
              </v:textbox>
              <w10:wrap type="none"/>
            </v:shape>
          </v:group>
        </w:pict>
      </w:r>
      <w:r>
        <w:rPr>
          <w:sz w:val="20"/>
        </w:rPr>
      </w:r>
      <w:r>
        <w:rPr>
          <w:sz w:val="20"/>
        </w:rPr>
        <w:tab/>
      </w:r>
      <w:r>
        <w:rPr>
          <w:sz w:val="20"/>
        </w:rPr>
        <w:pict>
          <v:group style="width:102.05pt;height:107.75pt;mso-position-horizontal-relative:char;mso-position-vertical-relative:line" coordorigin="0,0" coordsize="2041,2155">
            <v:shape style="position:absolute;left:0;top:226;width:2041;height:1928" coordorigin="0,227" coordsize="2041,1928" path="m1928,227l113,227,48,229,14,241,2,275,0,340,0,2041,2,2106,14,2140,48,2153,113,2154,1928,2154,1993,2153,2027,2140,2039,2106,2041,2041,2041,340,2039,275,2027,241,1993,229,1928,227xe" filled="true" fillcolor="#5b9f42" stroked="false">
              <v:path arrowok="t"/>
              <v:fill type="solid"/>
            </v:shape>
            <v:shape style="position:absolute;left:0;top:0;width:2041;height:2155" type="#_x0000_t202" filled="false" stroked="false">
              <v:textbox inset="0,0,0,0">
                <w:txbxContent>
                  <w:p>
                    <w:pPr>
                      <w:spacing w:before="78"/>
                      <w:ind w:left="203" w:right="203" w:firstLine="0"/>
                      <w:jc w:val="center"/>
                      <w:rPr>
                        <w:rFonts w:ascii="Arial"/>
                        <w:b/>
                        <w:sz w:val="21"/>
                      </w:rPr>
                    </w:pPr>
                    <w:r>
                      <w:rPr>
                        <w:rFonts w:ascii="Arial"/>
                        <w:b/>
                        <w:color w:val="FFFFFF"/>
                        <w:spacing w:val="-91"/>
                        <w:w w:val="96"/>
                        <w:sz w:val="21"/>
                      </w:rPr>
                      <w:t>C</w:t>
                    </w:r>
                    <w:r>
                      <w:rPr>
                        <w:rFonts w:ascii="Engravers MT"/>
                        <w:b w:val="0"/>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w:t>
                    </w:r>
                    <w:r>
                      <w:rPr>
                        <w:rFonts w:ascii="Arial"/>
                        <w:b/>
                        <w:color w:val="FFFFFF"/>
                        <w:spacing w:val="-62"/>
                        <w:w w:val="93"/>
                        <w:sz w:val="21"/>
                      </w:rPr>
                      <w:t>r</w:t>
                    </w:r>
                    <w:r>
                      <w:rPr>
                        <w:rFonts w:ascii="Engravers MT"/>
                        <w:b w:val="0"/>
                        <w:color w:val="FFFFFF"/>
                        <w:spacing w:val="-783"/>
                        <w:position w:val="33"/>
                        <w:sz w:val="130"/>
                      </w:rPr>
                      <w:t>2</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211"/>
                      <w:ind w:left="205" w:right="203" w:firstLine="0"/>
                      <w:jc w:val="center"/>
                      <w:rPr>
                        <w:rFonts w:ascii="Arial"/>
                        <w:b/>
                        <w:sz w:val="14"/>
                      </w:rPr>
                    </w:pPr>
                    <w:r>
                      <w:rPr>
                        <w:rFonts w:ascii="Arial"/>
                        <w:b/>
                        <w:color w:val="FFFFFF"/>
                        <w:sz w:val="14"/>
                      </w:rPr>
                      <w:t>YEAR 7 TREND DATA</w:t>
                    </w:r>
                  </w:p>
                </w:txbxContent>
              </v:textbox>
              <w10:wrap type="none"/>
            </v:shape>
          </v:group>
        </w:pict>
      </w:r>
      <w:r>
        <w:rPr>
          <w:sz w:val="20"/>
        </w:rPr>
      </w:r>
    </w:p>
    <w:p>
      <w:pPr>
        <w:pStyle w:val="BodyText"/>
        <w:spacing w:before="10"/>
        <w:rPr>
          <w:sz w:val="14"/>
        </w:rPr>
      </w:pPr>
    </w:p>
    <w:p>
      <w:pPr>
        <w:pStyle w:val="BodyText"/>
        <w:spacing w:line="252" w:lineRule="auto" w:before="93"/>
        <w:ind w:left="1700" w:right="1917"/>
      </w:pPr>
      <w:r>
        <w:rPr>
          <w:b/>
          <w:color w:val="231F20"/>
          <w:w w:val="105"/>
        </w:rPr>
        <w:t>Year 1 baseline trend data</w:t>
      </w:r>
      <w:r>
        <w:rPr>
          <w:color w:val="231F20"/>
          <w:w w:val="105"/>
        </w:rPr>
        <w:t>: 3 courts could present data on the percentage of civil cases that were granted a court fee waiver for one or more jurisdictions.</w:t>
      </w:r>
    </w:p>
    <w:p>
      <w:pPr>
        <w:pStyle w:val="BodyText"/>
        <w:spacing w:line="252" w:lineRule="auto" w:before="172"/>
        <w:ind w:left="1700" w:right="1501"/>
      </w:pPr>
      <w:r>
        <w:rPr>
          <w:b/>
          <w:color w:val="231F20"/>
          <w:w w:val="105"/>
        </w:rPr>
        <w:t>Year 4 trend data</w:t>
      </w:r>
      <w:r>
        <w:rPr>
          <w:color w:val="231F20"/>
          <w:w w:val="105"/>
        </w:rPr>
        <w:t>: 12 courts could present data on the percentage of civil cases that were granted a court fee waiver for one or more jurisdictions.</w:t>
      </w:r>
    </w:p>
    <w:p>
      <w:pPr>
        <w:pStyle w:val="BodyText"/>
        <w:spacing w:line="252" w:lineRule="auto" w:before="172"/>
        <w:ind w:left="1700" w:right="1501"/>
      </w:pPr>
      <w:r>
        <w:rPr>
          <w:b/>
          <w:color w:val="231F20"/>
          <w:w w:val="105"/>
        </w:rPr>
        <w:t>Year 7 trend data</w:t>
      </w:r>
      <w:r>
        <w:rPr>
          <w:color w:val="231F20"/>
          <w:w w:val="105"/>
        </w:rPr>
        <w:t>: 12 courts could present data on the percentage of civil cases that were granted a court fee waiver for one or more jurisdictions.</w:t>
      </w:r>
    </w:p>
    <w:p>
      <w:pPr>
        <w:pStyle w:val="BodyText"/>
        <w:rPr>
          <w:sz w:val="20"/>
        </w:rPr>
      </w:pPr>
    </w:p>
    <w:p>
      <w:pPr>
        <w:pStyle w:val="BodyText"/>
        <w:spacing w:before="4"/>
        <w:rPr>
          <w:sz w:val="18"/>
        </w:rPr>
      </w:pPr>
    </w:p>
    <w:p>
      <w:pPr>
        <w:pStyle w:val="Heading7"/>
        <w:spacing w:before="1"/>
        <w:ind w:left="3571"/>
      </w:pPr>
      <w:r>
        <w:rPr/>
        <w:pict>
          <v:group style="position:absolute;margin-left:85.039398pt;margin-top:-5.461249pt;width:79.4pt;height:22.7pt;mso-position-horizontal-relative:page;mso-position-vertical-relative:paragraph;z-index:10384" coordorigin="1701,-109" coordsize="1588,454">
            <v:shape style="position:absolute;left:1700;top:-110;width:1588;height:454" coordorigin="1701,-109" coordsize="1588,454" path="m3088,-109l1701,-109,1701,344,3088,344,3204,341,3263,319,3285,260,3288,144,3288,91,3285,-25,3263,-84,3204,-106,3088,-109xe" filled="true" fillcolor="#7d8440" stroked="false">
              <v:path arrowok="t"/>
              <v:fill type="solid"/>
            </v:shape>
            <v:shape style="position:absolute;left:1700;top:-110;width:1588;height:454" type="#_x0000_t202" filled="false" stroked="false">
              <v:textbox inset="0,0,0,0">
                <w:txbxContent>
                  <w:p>
                    <w:pPr>
                      <w:spacing w:before="5"/>
                      <w:ind w:left="56" w:right="0" w:firstLine="0"/>
                      <w:jc w:val="left"/>
                      <w:rPr>
                        <w:sz w:val="32"/>
                      </w:rPr>
                    </w:pPr>
                    <w:r>
                      <w:rPr>
                        <w:color w:val="FFFFFF"/>
                        <w:w w:val="110"/>
                        <w:sz w:val="32"/>
                      </w:rPr>
                      <w:t>Change 2</w:t>
                    </w:r>
                  </w:p>
                </w:txbxContent>
              </v:textbox>
              <w10:wrap type="none"/>
            </v:shape>
            <w10:wrap type="none"/>
          </v:group>
        </w:pict>
      </w:r>
      <w:r>
        <w:rPr>
          <w:color w:val="231F20"/>
          <w:w w:val="105"/>
        </w:rPr>
        <w:t>More Court Annual Reports Include Court Fee Waiver Data</w:t>
      </w:r>
    </w:p>
    <w:p>
      <w:pPr>
        <w:pStyle w:val="BodyText"/>
        <w:spacing w:before="4"/>
        <w:rPr>
          <w:b/>
          <w:sz w:val="24"/>
        </w:rPr>
      </w:pPr>
    </w:p>
    <w:p>
      <w:pPr>
        <w:pStyle w:val="BodyText"/>
        <w:spacing w:line="252" w:lineRule="auto"/>
        <w:ind w:left="1700" w:right="1698"/>
        <w:jc w:val="both"/>
      </w:pPr>
      <w:r>
        <w:rPr>
          <w:color w:val="231F20"/>
          <w:w w:val="105"/>
        </w:rPr>
        <w:t>Most of the fourteen PJSI countries </w:t>
      </w:r>
      <w:r>
        <w:rPr>
          <w:color w:val="231F20"/>
          <w:spacing w:val="-3"/>
          <w:w w:val="105"/>
        </w:rPr>
        <w:t>have </w:t>
      </w:r>
      <w:r>
        <w:rPr>
          <w:color w:val="231F20"/>
          <w:w w:val="105"/>
        </w:rPr>
        <w:t>had a basic needs poverty line calculated for their </w:t>
      </w:r>
      <w:r>
        <w:rPr>
          <w:color w:val="231F20"/>
          <w:spacing w:val="-3"/>
          <w:w w:val="105"/>
        </w:rPr>
        <w:t>country. </w:t>
      </w:r>
      <w:r>
        <w:rPr>
          <w:color w:val="231F20"/>
          <w:w w:val="105"/>
        </w:rPr>
        <w:t>On average, a quarter of the population in each of these PJSI countries has an income that falls below the basic needs poverty line for their </w:t>
      </w:r>
      <w:r>
        <w:rPr>
          <w:color w:val="231F20"/>
          <w:spacing w:val="-3"/>
          <w:w w:val="105"/>
        </w:rPr>
        <w:t>country. </w:t>
      </w:r>
      <w:r>
        <w:rPr>
          <w:color w:val="231F20"/>
          <w:w w:val="105"/>
        </w:rPr>
        <w:t>There is a growing awareness in PJSI</w:t>
      </w:r>
      <w:r>
        <w:rPr>
          <w:color w:val="231F20"/>
          <w:spacing w:val="-4"/>
          <w:w w:val="105"/>
        </w:rPr>
        <w:t> </w:t>
      </w:r>
      <w:r>
        <w:rPr>
          <w:color w:val="231F20"/>
          <w:w w:val="105"/>
        </w:rPr>
        <w:t>courts</w:t>
      </w:r>
      <w:r>
        <w:rPr>
          <w:color w:val="231F20"/>
          <w:spacing w:val="-4"/>
          <w:w w:val="105"/>
        </w:rPr>
        <w:t> </w:t>
      </w:r>
      <w:r>
        <w:rPr>
          <w:color w:val="231F20"/>
          <w:w w:val="105"/>
        </w:rPr>
        <w:t>that</w:t>
      </w:r>
      <w:r>
        <w:rPr>
          <w:color w:val="231F20"/>
          <w:spacing w:val="-4"/>
          <w:w w:val="105"/>
        </w:rPr>
        <w:t> </w:t>
      </w:r>
      <w:r>
        <w:rPr>
          <w:color w:val="231F20"/>
          <w:w w:val="105"/>
        </w:rPr>
        <w:t>it</w:t>
      </w:r>
      <w:r>
        <w:rPr>
          <w:color w:val="231F20"/>
          <w:spacing w:val="-4"/>
          <w:w w:val="105"/>
        </w:rPr>
        <w:t> </w:t>
      </w:r>
      <w:r>
        <w:rPr>
          <w:color w:val="231F20"/>
          <w:w w:val="105"/>
        </w:rPr>
        <w:t>is</w:t>
      </w:r>
      <w:r>
        <w:rPr>
          <w:color w:val="231F20"/>
          <w:spacing w:val="-4"/>
          <w:w w:val="105"/>
        </w:rPr>
        <w:t> </w:t>
      </w:r>
      <w:r>
        <w:rPr>
          <w:color w:val="231F20"/>
          <w:w w:val="105"/>
        </w:rPr>
        <w:t>important</w:t>
      </w:r>
      <w:r>
        <w:rPr>
          <w:color w:val="231F20"/>
          <w:spacing w:val="-4"/>
          <w:w w:val="105"/>
        </w:rPr>
        <w:t> </w:t>
      </w:r>
      <w:r>
        <w:rPr>
          <w:color w:val="231F20"/>
          <w:w w:val="105"/>
        </w:rPr>
        <w:t>to</w:t>
      </w:r>
      <w:r>
        <w:rPr>
          <w:color w:val="231F20"/>
          <w:spacing w:val="-4"/>
          <w:w w:val="105"/>
        </w:rPr>
        <w:t> </w:t>
      </w:r>
      <w:r>
        <w:rPr>
          <w:color w:val="231F20"/>
          <w:w w:val="105"/>
        </w:rPr>
        <w:t>advertise</w:t>
      </w:r>
      <w:r>
        <w:rPr>
          <w:color w:val="231F20"/>
          <w:spacing w:val="-4"/>
          <w:w w:val="105"/>
        </w:rPr>
        <w:t> </w:t>
      </w:r>
      <w:r>
        <w:rPr>
          <w:color w:val="231F20"/>
          <w:w w:val="105"/>
        </w:rPr>
        <w:t>the</w:t>
      </w:r>
      <w:r>
        <w:rPr>
          <w:color w:val="231F20"/>
          <w:spacing w:val="-4"/>
          <w:w w:val="105"/>
        </w:rPr>
        <w:t> </w:t>
      </w:r>
      <w:r>
        <w:rPr>
          <w:color w:val="231F20"/>
          <w:w w:val="105"/>
        </w:rPr>
        <w:t>availability</w:t>
      </w:r>
      <w:r>
        <w:rPr>
          <w:color w:val="231F20"/>
          <w:spacing w:val="-4"/>
          <w:w w:val="105"/>
        </w:rPr>
        <w:t> </w:t>
      </w:r>
      <w:r>
        <w:rPr>
          <w:color w:val="231F20"/>
          <w:w w:val="105"/>
        </w:rPr>
        <w:t>of</w:t>
      </w:r>
      <w:r>
        <w:rPr>
          <w:color w:val="231F20"/>
          <w:spacing w:val="-4"/>
          <w:w w:val="105"/>
        </w:rPr>
        <w:t> </w:t>
      </w:r>
      <w:r>
        <w:rPr>
          <w:color w:val="231F20"/>
          <w:w w:val="105"/>
        </w:rPr>
        <w:t>court</w:t>
      </w:r>
      <w:r>
        <w:rPr>
          <w:color w:val="231F20"/>
          <w:spacing w:val="-4"/>
          <w:w w:val="105"/>
        </w:rPr>
        <w:t> </w:t>
      </w:r>
      <w:r>
        <w:rPr>
          <w:color w:val="231F20"/>
          <w:w w:val="105"/>
        </w:rPr>
        <w:t>fee</w:t>
      </w:r>
      <w:r>
        <w:rPr>
          <w:color w:val="231F20"/>
          <w:spacing w:val="-4"/>
          <w:w w:val="105"/>
        </w:rPr>
        <w:t> </w:t>
      </w:r>
      <w:r>
        <w:rPr>
          <w:color w:val="231F20"/>
          <w:w w:val="105"/>
        </w:rPr>
        <w:t>waivers</w:t>
      </w:r>
      <w:r>
        <w:rPr>
          <w:color w:val="231F20"/>
          <w:spacing w:val="-4"/>
          <w:w w:val="105"/>
        </w:rPr>
        <w:t> </w:t>
      </w:r>
      <w:r>
        <w:rPr>
          <w:color w:val="231F20"/>
          <w:w w:val="105"/>
        </w:rPr>
        <w:t>for</w:t>
      </w:r>
      <w:r>
        <w:rPr>
          <w:color w:val="231F20"/>
          <w:spacing w:val="-4"/>
          <w:w w:val="105"/>
        </w:rPr>
        <w:t> </w:t>
      </w:r>
      <w:r>
        <w:rPr>
          <w:color w:val="231F20"/>
          <w:spacing w:val="-3"/>
          <w:w w:val="105"/>
        </w:rPr>
        <w:t>client’s</w:t>
      </w:r>
      <w:r>
        <w:rPr>
          <w:color w:val="231F20"/>
          <w:spacing w:val="-4"/>
          <w:w w:val="105"/>
        </w:rPr>
        <w:t> </w:t>
      </w:r>
      <w:r>
        <w:rPr>
          <w:color w:val="231F20"/>
          <w:w w:val="105"/>
        </w:rPr>
        <w:t>facing poverty who need to bring certain civil cases to the courts. </w:t>
      </w:r>
      <w:r>
        <w:rPr>
          <w:color w:val="231F20"/>
          <w:spacing w:val="-4"/>
          <w:w w:val="105"/>
        </w:rPr>
        <w:t>The </w:t>
      </w:r>
      <w:r>
        <w:rPr>
          <w:color w:val="231F20"/>
          <w:w w:val="105"/>
        </w:rPr>
        <w:t>2017 Annual Report of the Republic of the Marshall Islands states</w:t>
      </w:r>
      <w:r>
        <w:rPr>
          <w:color w:val="231F20"/>
          <w:spacing w:val="40"/>
          <w:w w:val="105"/>
        </w:rPr>
        <w:t> </w:t>
      </w:r>
      <w:r>
        <w:rPr>
          <w:color w:val="231F20"/>
          <w:w w:val="105"/>
        </w:rPr>
        <w:t>that:</w:t>
      </w:r>
    </w:p>
    <w:p>
      <w:pPr>
        <w:pStyle w:val="BodyText"/>
        <w:spacing w:before="5"/>
        <w:rPr>
          <w:sz w:val="19"/>
        </w:rPr>
      </w:pPr>
    </w:p>
    <w:p>
      <w:pPr>
        <w:spacing w:before="0"/>
        <w:ind w:left="2040" w:right="0" w:firstLine="0"/>
        <w:jc w:val="left"/>
        <w:rPr>
          <w:rFonts w:ascii="Book Antiqua"/>
          <w:i/>
          <w:sz w:val="21"/>
        </w:rPr>
      </w:pPr>
      <w:r>
        <w:rPr>
          <w:rFonts w:ascii="Book Antiqua"/>
          <w:i/>
          <w:color w:val="231F20"/>
          <w:w w:val="110"/>
          <w:sz w:val="21"/>
        </w:rPr>
        <w:t>By rule and statute, fee waivers are available upon a showing of need. In 2017,</w:t>
      </w:r>
    </w:p>
    <w:p>
      <w:pPr>
        <w:spacing w:line="256" w:lineRule="auto" w:before="17"/>
        <w:ind w:left="2040" w:right="2292" w:firstLine="0"/>
        <w:jc w:val="left"/>
        <w:rPr>
          <w:rFonts w:ascii="Book Antiqua"/>
          <w:i/>
          <w:sz w:val="21"/>
        </w:rPr>
      </w:pPr>
      <w:r>
        <w:rPr>
          <w:rFonts w:ascii="Book Antiqua"/>
          <w:i/>
          <w:color w:val="231F20"/>
          <w:w w:val="110"/>
          <w:sz w:val="21"/>
        </w:rPr>
        <w:t>the</w:t>
      </w:r>
      <w:r>
        <w:rPr>
          <w:rFonts w:ascii="Book Antiqua"/>
          <w:i/>
          <w:color w:val="231F20"/>
          <w:spacing w:val="-19"/>
          <w:w w:val="110"/>
          <w:sz w:val="21"/>
        </w:rPr>
        <w:t> </w:t>
      </w:r>
      <w:r>
        <w:rPr>
          <w:rFonts w:ascii="Book Antiqua"/>
          <w:i/>
          <w:color w:val="231F20"/>
          <w:w w:val="110"/>
          <w:sz w:val="21"/>
        </w:rPr>
        <w:t>High</w:t>
      </w:r>
      <w:r>
        <w:rPr>
          <w:rFonts w:ascii="Book Antiqua"/>
          <w:i/>
          <w:color w:val="231F20"/>
          <w:spacing w:val="-19"/>
          <w:w w:val="110"/>
          <w:sz w:val="21"/>
        </w:rPr>
        <w:t> </w:t>
      </w:r>
      <w:r>
        <w:rPr>
          <w:rFonts w:ascii="Book Antiqua"/>
          <w:i/>
          <w:color w:val="231F20"/>
          <w:w w:val="110"/>
          <w:sz w:val="21"/>
        </w:rPr>
        <w:t>Court</w:t>
      </w:r>
      <w:r>
        <w:rPr>
          <w:rFonts w:ascii="Book Antiqua"/>
          <w:i/>
          <w:color w:val="231F20"/>
          <w:spacing w:val="-19"/>
          <w:w w:val="110"/>
          <w:sz w:val="21"/>
        </w:rPr>
        <w:t> </w:t>
      </w:r>
      <w:r>
        <w:rPr>
          <w:rFonts w:ascii="Book Antiqua"/>
          <w:i/>
          <w:color w:val="231F20"/>
          <w:w w:val="110"/>
          <w:sz w:val="21"/>
        </w:rPr>
        <w:t>continued</w:t>
      </w:r>
      <w:r>
        <w:rPr>
          <w:rFonts w:ascii="Book Antiqua"/>
          <w:i/>
          <w:color w:val="231F20"/>
          <w:spacing w:val="-19"/>
          <w:w w:val="110"/>
          <w:sz w:val="21"/>
        </w:rPr>
        <w:t> </w:t>
      </w:r>
      <w:r>
        <w:rPr>
          <w:rFonts w:ascii="Book Antiqua"/>
          <w:i/>
          <w:color w:val="231F20"/>
          <w:w w:val="110"/>
          <w:sz w:val="21"/>
        </w:rPr>
        <w:t>to</w:t>
      </w:r>
      <w:r>
        <w:rPr>
          <w:rFonts w:ascii="Book Antiqua"/>
          <w:i/>
          <w:color w:val="231F20"/>
          <w:spacing w:val="-19"/>
          <w:w w:val="110"/>
          <w:sz w:val="21"/>
        </w:rPr>
        <w:t> </w:t>
      </w:r>
      <w:r>
        <w:rPr>
          <w:rFonts w:ascii="Book Antiqua"/>
          <w:i/>
          <w:color w:val="231F20"/>
          <w:w w:val="110"/>
          <w:sz w:val="21"/>
        </w:rPr>
        <w:t>aggressively</w:t>
      </w:r>
      <w:r>
        <w:rPr>
          <w:rFonts w:ascii="Book Antiqua"/>
          <w:i/>
          <w:color w:val="231F20"/>
          <w:spacing w:val="-19"/>
          <w:w w:val="110"/>
          <w:sz w:val="21"/>
        </w:rPr>
        <w:t> </w:t>
      </w:r>
      <w:r>
        <w:rPr>
          <w:rFonts w:ascii="Book Antiqua"/>
          <w:i/>
          <w:color w:val="231F20"/>
          <w:w w:val="110"/>
          <w:sz w:val="21"/>
        </w:rPr>
        <w:t>publish</w:t>
      </w:r>
      <w:r>
        <w:rPr>
          <w:rFonts w:ascii="Book Antiqua"/>
          <w:i/>
          <w:color w:val="231F20"/>
          <w:spacing w:val="-19"/>
          <w:w w:val="110"/>
          <w:sz w:val="21"/>
        </w:rPr>
        <w:t> </w:t>
      </w:r>
      <w:r>
        <w:rPr>
          <w:rFonts w:ascii="Book Antiqua"/>
          <w:i/>
          <w:color w:val="231F20"/>
          <w:w w:val="110"/>
          <w:sz w:val="21"/>
        </w:rPr>
        <w:t>fee</w:t>
      </w:r>
      <w:r>
        <w:rPr>
          <w:rFonts w:ascii="Book Antiqua"/>
          <w:i/>
          <w:color w:val="231F20"/>
          <w:spacing w:val="-19"/>
          <w:w w:val="110"/>
          <w:sz w:val="21"/>
        </w:rPr>
        <w:t> </w:t>
      </w:r>
      <w:r>
        <w:rPr>
          <w:rFonts w:ascii="Book Antiqua"/>
          <w:i/>
          <w:color w:val="231F20"/>
          <w:w w:val="110"/>
          <w:sz w:val="21"/>
        </w:rPr>
        <w:t>waiver</w:t>
      </w:r>
      <w:r>
        <w:rPr>
          <w:rFonts w:ascii="Book Antiqua"/>
          <w:i/>
          <w:color w:val="231F20"/>
          <w:spacing w:val="-19"/>
          <w:w w:val="110"/>
          <w:sz w:val="21"/>
        </w:rPr>
        <w:t> </w:t>
      </w:r>
      <w:r>
        <w:rPr>
          <w:rFonts w:ascii="Book Antiqua"/>
          <w:i/>
          <w:color w:val="231F20"/>
          <w:w w:val="110"/>
          <w:sz w:val="21"/>
        </w:rPr>
        <w:t>rules,</w:t>
      </w:r>
      <w:r>
        <w:rPr>
          <w:rFonts w:ascii="Book Antiqua"/>
          <w:i/>
          <w:color w:val="231F20"/>
          <w:spacing w:val="-19"/>
          <w:w w:val="110"/>
          <w:sz w:val="21"/>
        </w:rPr>
        <w:t> </w:t>
      </w:r>
      <w:r>
        <w:rPr>
          <w:rFonts w:ascii="Book Antiqua"/>
          <w:i/>
          <w:color w:val="231F20"/>
          <w:spacing w:val="-3"/>
          <w:w w:val="110"/>
          <w:sz w:val="21"/>
        </w:rPr>
        <w:t>however,</w:t>
      </w:r>
      <w:r>
        <w:rPr>
          <w:rFonts w:ascii="Book Antiqua"/>
          <w:i/>
          <w:color w:val="231F20"/>
          <w:spacing w:val="-19"/>
          <w:w w:val="110"/>
          <w:sz w:val="21"/>
        </w:rPr>
        <w:t> </w:t>
      </w:r>
      <w:r>
        <w:rPr>
          <w:rFonts w:ascii="Book Antiqua"/>
          <w:i/>
          <w:color w:val="231F20"/>
          <w:w w:val="110"/>
          <w:sz w:val="21"/>
        </w:rPr>
        <w:t>no</w:t>
      </w:r>
      <w:r>
        <w:rPr>
          <w:rFonts w:ascii="Book Antiqua"/>
          <w:i/>
          <w:color w:val="231F20"/>
          <w:spacing w:val="-19"/>
          <w:w w:val="110"/>
          <w:sz w:val="21"/>
        </w:rPr>
        <w:t> </w:t>
      </w:r>
      <w:r>
        <w:rPr>
          <w:rFonts w:ascii="Book Antiqua"/>
          <w:i/>
          <w:color w:val="231F20"/>
          <w:w w:val="110"/>
          <w:sz w:val="21"/>
        </w:rPr>
        <w:t>one </w:t>
      </w:r>
      <w:r>
        <w:rPr>
          <w:rFonts w:ascii="Book Antiqua"/>
          <w:i/>
          <w:color w:val="231F20"/>
          <w:w w:val="110"/>
          <w:sz w:val="21"/>
        </w:rPr>
        <w:t>requested a fee waiver in a High Court civil</w:t>
      </w:r>
      <w:r>
        <w:rPr>
          <w:rFonts w:ascii="Book Antiqua"/>
          <w:i/>
          <w:color w:val="231F20"/>
          <w:spacing w:val="-22"/>
          <w:w w:val="110"/>
          <w:sz w:val="21"/>
        </w:rPr>
        <w:t> </w:t>
      </w:r>
      <w:r>
        <w:rPr>
          <w:rFonts w:ascii="Book Antiqua"/>
          <w:i/>
          <w:color w:val="231F20"/>
          <w:w w:val="110"/>
          <w:sz w:val="21"/>
        </w:rPr>
        <w:t>case.</w:t>
      </w:r>
    </w:p>
    <w:p>
      <w:pPr>
        <w:pStyle w:val="BodyText"/>
        <w:spacing w:before="4"/>
        <w:rPr>
          <w:rFonts w:ascii="Book Antiqua"/>
          <w:i/>
          <w:sz w:val="23"/>
        </w:rPr>
      </w:pPr>
    </w:p>
    <w:p>
      <w:pPr>
        <w:spacing w:line="256" w:lineRule="auto" w:before="0"/>
        <w:ind w:left="2040" w:right="2383" w:firstLine="0"/>
        <w:jc w:val="left"/>
        <w:rPr>
          <w:rFonts w:ascii="Book Antiqua"/>
          <w:i/>
          <w:sz w:val="21"/>
        </w:rPr>
      </w:pPr>
      <w:r>
        <w:rPr>
          <w:rFonts w:ascii="Book Antiqua"/>
          <w:i/>
          <w:color w:val="231F20"/>
          <w:spacing w:val="-4"/>
          <w:w w:val="105"/>
          <w:sz w:val="21"/>
        </w:rPr>
        <w:t>The </w:t>
      </w:r>
      <w:r>
        <w:rPr>
          <w:rFonts w:ascii="Book Antiqua"/>
          <w:i/>
          <w:color w:val="231F20"/>
          <w:w w:val="105"/>
          <w:sz w:val="21"/>
        </w:rPr>
        <w:t>filing fee for most types of High Court civil cases remained low: only $25. And  </w:t>
      </w:r>
      <w:r>
        <w:rPr>
          <w:rFonts w:ascii="Book Antiqua"/>
          <w:i/>
          <w:color w:val="231F20"/>
          <w:w w:val="105"/>
          <w:sz w:val="21"/>
        </w:rPr>
        <w:t>in 2016, the filing fee for child custody and support cases (usually filed by single mothers) was reduced from $25 to $5. </w:t>
      </w:r>
      <w:r>
        <w:rPr>
          <w:rFonts w:ascii="Book Antiqua"/>
          <w:i/>
          <w:color w:val="231F20"/>
          <w:spacing w:val="-11"/>
          <w:w w:val="105"/>
          <w:sz w:val="21"/>
        </w:rPr>
        <w:t>To </w:t>
      </w:r>
      <w:r>
        <w:rPr>
          <w:rFonts w:ascii="Book Antiqua"/>
          <w:i/>
          <w:color w:val="231F20"/>
          <w:w w:val="105"/>
          <w:sz w:val="21"/>
        </w:rPr>
        <w:t>off-set the low fees for most users, fees for admiralty cases, enforcement of foreign judgments, non-resident corporate cases, international adoptions, and citizenship cases are substantially </w:t>
      </w:r>
      <w:r>
        <w:rPr>
          <w:rFonts w:ascii="Book Antiqua"/>
          <w:i/>
          <w:color w:val="231F20"/>
          <w:spacing w:val="-3"/>
          <w:w w:val="105"/>
          <w:sz w:val="21"/>
        </w:rPr>
        <w:t>higher. </w:t>
      </w:r>
      <w:r>
        <w:rPr>
          <w:rFonts w:ascii="Book Antiqua"/>
          <w:i/>
          <w:color w:val="231F20"/>
          <w:w w:val="105"/>
          <w:sz w:val="21"/>
        </w:rPr>
        <w:t>Although, by rule and statute, fee waivers are available upon a showing of need, plaintiffs did not request a fee waiver in any of the 2017 District Court small claims cases. </w:t>
      </w:r>
      <w:r>
        <w:rPr>
          <w:rFonts w:ascii="Book Antiqua"/>
          <w:i/>
          <w:color w:val="231F20"/>
          <w:spacing w:val="-4"/>
          <w:w w:val="105"/>
          <w:sz w:val="21"/>
        </w:rPr>
        <w:t>The </w:t>
      </w:r>
      <w:r>
        <w:rPr>
          <w:rFonts w:ascii="Book Antiqua"/>
          <w:i/>
          <w:color w:val="231F20"/>
          <w:w w:val="105"/>
          <w:sz w:val="21"/>
        </w:rPr>
        <w:t>filing fee for small claims cases remains low at only $5</w:t>
      </w:r>
      <w:r>
        <w:rPr>
          <w:rFonts w:ascii="Book Antiqua"/>
          <w:i/>
          <w:color w:val="231F20"/>
          <w:spacing w:val="35"/>
          <w:w w:val="105"/>
          <w:sz w:val="21"/>
        </w:rPr>
        <w:t> </w:t>
      </w:r>
      <w:r>
        <w:rPr>
          <w:rFonts w:ascii="Book Antiqua"/>
          <w:i/>
          <w:color w:val="231F20"/>
          <w:w w:val="105"/>
          <w:sz w:val="21"/>
        </w:rPr>
        <w:t>dollars.</w:t>
      </w:r>
    </w:p>
    <w:p>
      <w:pPr>
        <w:spacing w:after="0" w:line="256" w:lineRule="auto"/>
        <w:jc w:val="left"/>
        <w:rPr>
          <w:rFonts w:ascii="Book Antiqua"/>
          <w:sz w:val="21"/>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6295">
            <wp:simplePos x="0" y="0"/>
            <wp:positionH relativeFrom="page">
              <wp:posOffset>0</wp:posOffset>
            </wp:positionH>
            <wp:positionV relativeFrom="paragraph">
              <wp:posOffset>373881</wp:posOffset>
            </wp:positionV>
            <wp:extent cx="7559992" cy="143992"/>
            <wp:effectExtent l="0" t="0" r="0" b="0"/>
            <wp:wrapNone/>
            <wp:docPr id="43" name="image39.png" descr=""/>
            <wp:cNvGraphicFramePr>
              <a:graphicFrameLocks noChangeAspect="1"/>
            </wp:cNvGraphicFramePr>
            <a:graphic>
              <a:graphicData uri="http://schemas.openxmlformats.org/drawingml/2006/picture">
                <pic:pic>
                  <pic:nvPicPr>
                    <pic:cNvPr id="44"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30</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12"/>
        <w:rPr>
          <w:b/>
          <w:sz w:val="14"/>
        </w:rPr>
      </w:pPr>
    </w:p>
    <w:p>
      <w:pPr>
        <w:pStyle w:val="BodyText"/>
        <w:spacing w:before="93"/>
        <w:ind w:left="1700"/>
      </w:pPr>
      <w:r>
        <w:rPr>
          <w:color w:val="231F20"/>
          <w:w w:val="105"/>
        </w:rPr>
        <w:t>The 2018 Annual Report for the Superior Courts of Tonga states that:</w:t>
      </w:r>
    </w:p>
    <w:p>
      <w:pPr>
        <w:spacing w:line="244" w:lineRule="auto" w:before="63"/>
        <w:ind w:left="2040" w:right="2060" w:firstLine="0"/>
        <w:jc w:val="left"/>
        <w:rPr>
          <w:rFonts w:ascii="Book Antiqua"/>
          <w:i/>
          <w:sz w:val="21"/>
        </w:rPr>
      </w:pPr>
      <w:r>
        <w:rPr>
          <w:rFonts w:ascii="Book Antiqua"/>
          <w:i/>
          <w:color w:val="231F20"/>
          <w:spacing w:val="-5"/>
          <w:w w:val="105"/>
          <w:sz w:val="21"/>
        </w:rPr>
        <w:t>There </w:t>
      </w:r>
      <w:r>
        <w:rPr>
          <w:rFonts w:ascii="Book Antiqua"/>
          <w:i/>
          <w:color w:val="231F20"/>
          <w:w w:val="105"/>
          <w:sz w:val="21"/>
        </w:rPr>
        <w:t>is </w:t>
      </w:r>
      <w:r>
        <w:rPr>
          <w:rFonts w:ascii="Book Antiqua"/>
          <w:i/>
          <w:color w:val="231F20"/>
          <w:spacing w:val="-3"/>
          <w:w w:val="105"/>
          <w:sz w:val="21"/>
        </w:rPr>
        <w:t>presently </w:t>
      </w:r>
      <w:r>
        <w:rPr>
          <w:rFonts w:ascii="Book Antiqua"/>
          <w:i/>
          <w:color w:val="231F20"/>
          <w:w w:val="105"/>
          <w:sz w:val="21"/>
        </w:rPr>
        <w:t>no </w:t>
      </w:r>
      <w:r>
        <w:rPr>
          <w:rFonts w:ascii="Book Antiqua"/>
          <w:i/>
          <w:color w:val="231F20"/>
          <w:spacing w:val="-3"/>
          <w:w w:val="105"/>
          <w:sz w:val="21"/>
        </w:rPr>
        <w:t>statutory authority </w:t>
      </w:r>
      <w:r>
        <w:rPr>
          <w:rFonts w:ascii="Book Antiqua"/>
          <w:i/>
          <w:color w:val="231F20"/>
          <w:w w:val="105"/>
          <w:sz w:val="21"/>
        </w:rPr>
        <w:t>to </w:t>
      </w:r>
      <w:r>
        <w:rPr>
          <w:rFonts w:ascii="Book Antiqua"/>
          <w:i/>
          <w:color w:val="231F20"/>
          <w:spacing w:val="-3"/>
          <w:w w:val="105"/>
          <w:sz w:val="21"/>
        </w:rPr>
        <w:t>grant </w:t>
      </w:r>
      <w:r>
        <w:rPr>
          <w:rFonts w:ascii="Book Antiqua"/>
          <w:i/>
          <w:color w:val="231F20"/>
          <w:w w:val="105"/>
          <w:sz w:val="21"/>
        </w:rPr>
        <w:t>fee </w:t>
      </w:r>
      <w:r>
        <w:rPr>
          <w:rFonts w:ascii="Book Antiqua"/>
          <w:i/>
          <w:color w:val="231F20"/>
          <w:spacing w:val="-4"/>
          <w:w w:val="105"/>
          <w:sz w:val="21"/>
        </w:rPr>
        <w:t>waivers. </w:t>
      </w:r>
      <w:r>
        <w:rPr>
          <w:rFonts w:ascii="Book Antiqua"/>
          <w:i/>
          <w:color w:val="231F20"/>
          <w:spacing w:val="-5"/>
          <w:w w:val="105"/>
          <w:sz w:val="21"/>
        </w:rPr>
        <w:t>There </w:t>
      </w:r>
      <w:r>
        <w:rPr>
          <w:rFonts w:ascii="Book Antiqua"/>
          <w:i/>
          <w:color w:val="231F20"/>
          <w:spacing w:val="-3"/>
          <w:w w:val="105"/>
          <w:sz w:val="21"/>
        </w:rPr>
        <w:t>were </w:t>
      </w:r>
      <w:r>
        <w:rPr>
          <w:rFonts w:ascii="Book Antiqua"/>
          <w:i/>
          <w:color w:val="231F20"/>
          <w:w w:val="105"/>
          <w:sz w:val="21"/>
        </w:rPr>
        <w:t>no </w:t>
      </w:r>
      <w:r>
        <w:rPr>
          <w:rFonts w:ascii="Book Antiqua"/>
          <w:i/>
          <w:color w:val="231F20"/>
          <w:spacing w:val="-3"/>
          <w:w w:val="105"/>
          <w:sz w:val="21"/>
        </w:rPr>
        <w:t>applications </w:t>
      </w:r>
      <w:r>
        <w:rPr>
          <w:rFonts w:ascii="Book Antiqua"/>
          <w:i/>
          <w:color w:val="231F20"/>
          <w:w w:val="105"/>
          <w:sz w:val="21"/>
        </w:rPr>
        <w:t>for fee </w:t>
      </w:r>
      <w:r>
        <w:rPr>
          <w:rFonts w:ascii="Book Antiqua"/>
          <w:i/>
          <w:color w:val="231F20"/>
          <w:spacing w:val="-4"/>
          <w:w w:val="105"/>
          <w:sz w:val="21"/>
        </w:rPr>
        <w:t>waivers </w:t>
      </w:r>
      <w:r>
        <w:rPr>
          <w:rFonts w:ascii="Book Antiqua"/>
          <w:i/>
          <w:color w:val="231F20"/>
          <w:w w:val="105"/>
          <w:sz w:val="21"/>
        </w:rPr>
        <w:t>in </w:t>
      </w:r>
      <w:r>
        <w:rPr>
          <w:rFonts w:ascii="Book Antiqua"/>
          <w:i/>
          <w:color w:val="231F20"/>
          <w:spacing w:val="-3"/>
          <w:w w:val="105"/>
          <w:sz w:val="21"/>
        </w:rPr>
        <w:t>this reporting period.</w:t>
      </w:r>
    </w:p>
    <w:p>
      <w:pPr>
        <w:spacing w:line="244" w:lineRule="auto" w:before="111"/>
        <w:ind w:left="2040" w:right="1917" w:firstLine="0"/>
        <w:jc w:val="left"/>
        <w:rPr>
          <w:rFonts w:ascii="Book Antiqua"/>
          <w:i/>
          <w:sz w:val="21"/>
        </w:rPr>
      </w:pPr>
      <w:r>
        <w:rPr>
          <w:rFonts w:ascii="Book Antiqua"/>
          <w:i/>
          <w:color w:val="231F20"/>
          <w:w w:val="105"/>
          <w:sz w:val="21"/>
        </w:rPr>
        <w:t>The fact that no applications were made for fee waivers should not be thought to indicate </w:t>
      </w:r>
      <w:r>
        <w:rPr>
          <w:rFonts w:ascii="Book Antiqua"/>
          <w:i/>
          <w:color w:val="231F20"/>
          <w:w w:val="105"/>
          <w:sz w:val="21"/>
        </w:rPr>
        <w:t>that there is no need for fee waivers. It is likely that no applications are made because it is understood that they cannot or will not be granted. There are certainly cases of hardship where fee waivers should be given and also good reasons why there should be a no fees regime in certain types of cases.</w:t>
      </w:r>
    </w:p>
    <w:p>
      <w:pPr>
        <w:spacing w:line="244" w:lineRule="auto" w:before="107"/>
        <w:ind w:left="2040" w:right="2060" w:firstLine="0"/>
        <w:jc w:val="left"/>
        <w:rPr>
          <w:rFonts w:ascii="Book Antiqua"/>
          <w:i/>
          <w:sz w:val="21"/>
        </w:rPr>
      </w:pPr>
      <w:r>
        <w:rPr>
          <w:rFonts w:ascii="Book Antiqua"/>
          <w:i/>
          <w:color w:val="231F20"/>
          <w:w w:val="110"/>
          <w:sz w:val="21"/>
        </w:rPr>
        <w:t>There is a proposal to amend the Court </w:t>
      </w:r>
      <w:r>
        <w:rPr>
          <w:rFonts w:ascii="Book Antiqua"/>
          <w:i/>
          <w:color w:val="231F20"/>
          <w:spacing w:val="-3"/>
          <w:w w:val="110"/>
          <w:sz w:val="21"/>
        </w:rPr>
        <w:t>Fees </w:t>
      </w:r>
      <w:r>
        <w:rPr>
          <w:rFonts w:ascii="Book Antiqua"/>
          <w:i/>
          <w:color w:val="231F20"/>
          <w:w w:val="110"/>
          <w:sz w:val="21"/>
        </w:rPr>
        <w:t>Act to make Court fees more equitable, </w:t>
      </w:r>
      <w:r>
        <w:rPr>
          <w:rFonts w:ascii="Book Antiqua"/>
          <w:i/>
          <w:color w:val="231F20"/>
          <w:w w:val="110"/>
          <w:sz w:val="21"/>
        </w:rPr>
        <w:t>increase</w:t>
      </w:r>
      <w:r>
        <w:rPr>
          <w:rFonts w:ascii="Book Antiqua"/>
          <w:i/>
          <w:color w:val="231F20"/>
          <w:spacing w:val="-16"/>
          <w:w w:val="110"/>
          <w:sz w:val="21"/>
        </w:rPr>
        <w:t> </w:t>
      </w:r>
      <w:r>
        <w:rPr>
          <w:rFonts w:ascii="Book Antiqua"/>
          <w:i/>
          <w:color w:val="231F20"/>
          <w:w w:val="110"/>
          <w:sz w:val="21"/>
        </w:rPr>
        <w:t>access</w:t>
      </w:r>
      <w:r>
        <w:rPr>
          <w:rFonts w:ascii="Book Antiqua"/>
          <w:i/>
          <w:color w:val="231F20"/>
          <w:spacing w:val="-16"/>
          <w:w w:val="110"/>
          <w:sz w:val="21"/>
        </w:rPr>
        <w:t> </w:t>
      </w:r>
      <w:r>
        <w:rPr>
          <w:rFonts w:ascii="Book Antiqua"/>
          <w:i/>
          <w:color w:val="231F20"/>
          <w:w w:val="110"/>
          <w:sz w:val="21"/>
        </w:rPr>
        <w:t>to</w:t>
      </w:r>
      <w:r>
        <w:rPr>
          <w:rFonts w:ascii="Book Antiqua"/>
          <w:i/>
          <w:color w:val="231F20"/>
          <w:spacing w:val="-16"/>
          <w:w w:val="110"/>
          <w:sz w:val="21"/>
        </w:rPr>
        <w:t> </w:t>
      </w:r>
      <w:r>
        <w:rPr>
          <w:rFonts w:ascii="Book Antiqua"/>
          <w:i/>
          <w:color w:val="231F20"/>
          <w:w w:val="110"/>
          <w:sz w:val="21"/>
        </w:rPr>
        <w:t>justice</w:t>
      </w:r>
      <w:r>
        <w:rPr>
          <w:rFonts w:ascii="Book Antiqua"/>
          <w:i/>
          <w:color w:val="231F20"/>
          <w:spacing w:val="-16"/>
          <w:w w:val="110"/>
          <w:sz w:val="21"/>
        </w:rPr>
        <w:t> </w:t>
      </w:r>
      <w:r>
        <w:rPr>
          <w:rFonts w:ascii="Book Antiqua"/>
          <w:i/>
          <w:color w:val="231F20"/>
          <w:w w:val="110"/>
          <w:sz w:val="21"/>
        </w:rPr>
        <w:t>for</w:t>
      </w:r>
      <w:r>
        <w:rPr>
          <w:rFonts w:ascii="Book Antiqua"/>
          <w:i/>
          <w:color w:val="231F20"/>
          <w:spacing w:val="-16"/>
          <w:w w:val="110"/>
          <w:sz w:val="21"/>
        </w:rPr>
        <w:t> </w:t>
      </w:r>
      <w:r>
        <w:rPr>
          <w:rFonts w:ascii="Book Antiqua"/>
          <w:i/>
          <w:color w:val="231F20"/>
          <w:w w:val="110"/>
          <w:sz w:val="21"/>
        </w:rPr>
        <w:t>disadvantaged</w:t>
      </w:r>
      <w:r>
        <w:rPr>
          <w:rFonts w:ascii="Book Antiqua"/>
          <w:i/>
          <w:color w:val="231F20"/>
          <w:spacing w:val="-16"/>
          <w:w w:val="110"/>
          <w:sz w:val="21"/>
        </w:rPr>
        <w:t> </w:t>
      </w:r>
      <w:r>
        <w:rPr>
          <w:rFonts w:ascii="Book Antiqua"/>
          <w:i/>
          <w:color w:val="231F20"/>
          <w:w w:val="110"/>
          <w:sz w:val="21"/>
        </w:rPr>
        <w:t>persons</w:t>
      </w:r>
      <w:r>
        <w:rPr>
          <w:rFonts w:ascii="Book Antiqua"/>
          <w:i/>
          <w:color w:val="231F20"/>
          <w:spacing w:val="-16"/>
          <w:w w:val="110"/>
          <w:sz w:val="21"/>
        </w:rPr>
        <w:t> </w:t>
      </w:r>
      <w:r>
        <w:rPr>
          <w:rFonts w:ascii="Book Antiqua"/>
          <w:i/>
          <w:color w:val="231F20"/>
          <w:w w:val="110"/>
          <w:sz w:val="21"/>
        </w:rPr>
        <w:t>and</w:t>
      </w:r>
      <w:r>
        <w:rPr>
          <w:rFonts w:ascii="Book Antiqua"/>
          <w:i/>
          <w:color w:val="231F20"/>
          <w:spacing w:val="-16"/>
          <w:w w:val="110"/>
          <w:sz w:val="21"/>
        </w:rPr>
        <w:t> </w:t>
      </w:r>
      <w:r>
        <w:rPr>
          <w:rFonts w:ascii="Book Antiqua"/>
          <w:i/>
          <w:color w:val="231F20"/>
          <w:w w:val="110"/>
          <w:sz w:val="21"/>
        </w:rPr>
        <w:t>to</w:t>
      </w:r>
      <w:r>
        <w:rPr>
          <w:rFonts w:ascii="Book Antiqua"/>
          <w:i/>
          <w:color w:val="231F20"/>
          <w:spacing w:val="-16"/>
          <w:w w:val="110"/>
          <w:sz w:val="21"/>
        </w:rPr>
        <w:t> </w:t>
      </w:r>
      <w:r>
        <w:rPr>
          <w:rFonts w:ascii="Book Antiqua"/>
          <w:i/>
          <w:color w:val="231F20"/>
          <w:w w:val="110"/>
          <w:sz w:val="21"/>
        </w:rPr>
        <w:t>allow</w:t>
      </w:r>
      <w:r>
        <w:rPr>
          <w:rFonts w:ascii="Book Antiqua"/>
          <w:i/>
          <w:color w:val="231F20"/>
          <w:spacing w:val="-16"/>
          <w:w w:val="110"/>
          <w:sz w:val="21"/>
        </w:rPr>
        <w:t> </w:t>
      </w:r>
      <w:r>
        <w:rPr>
          <w:rFonts w:ascii="Book Antiqua"/>
          <w:i/>
          <w:color w:val="231F20"/>
          <w:w w:val="110"/>
          <w:sz w:val="21"/>
        </w:rPr>
        <w:t>the</w:t>
      </w:r>
      <w:r>
        <w:rPr>
          <w:rFonts w:ascii="Book Antiqua"/>
          <w:i/>
          <w:color w:val="231F20"/>
          <w:spacing w:val="-16"/>
          <w:w w:val="110"/>
          <w:sz w:val="21"/>
        </w:rPr>
        <w:t> </w:t>
      </w:r>
      <w:r>
        <w:rPr>
          <w:rFonts w:ascii="Book Antiqua"/>
          <w:i/>
          <w:color w:val="231F20"/>
          <w:w w:val="110"/>
          <w:sz w:val="21"/>
        </w:rPr>
        <w:t>Lord</w:t>
      </w:r>
      <w:r>
        <w:rPr>
          <w:rFonts w:ascii="Book Antiqua"/>
          <w:i/>
          <w:color w:val="231F20"/>
          <w:spacing w:val="-16"/>
          <w:w w:val="110"/>
          <w:sz w:val="21"/>
        </w:rPr>
        <w:t> </w:t>
      </w:r>
      <w:r>
        <w:rPr>
          <w:rFonts w:ascii="Book Antiqua"/>
          <w:i/>
          <w:color w:val="231F20"/>
          <w:w w:val="110"/>
          <w:sz w:val="21"/>
        </w:rPr>
        <w:t>Chief</w:t>
      </w:r>
      <w:r>
        <w:rPr>
          <w:rFonts w:ascii="Book Antiqua"/>
          <w:i/>
          <w:color w:val="231F20"/>
          <w:spacing w:val="-16"/>
          <w:w w:val="110"/>
          <w:sz w:val="21"/>
        </w:rPr>
        <w:t> </w:t>
      </w:r>
      <w:r>
        <w:rPr>
          <w:rFonts w:ascii="Book Antiqua"/>
          <w:i/>
          <w:color w:val="231F20"/>
          <w:w w:val="110"/>
          <w:sz w:val="21"/>
        </w:rPr>
        <w:t>Justice to</w:t>
      </w:r>
      <w:r>
        <w:rPr>
          <w:rFonts w:ascii="Book Antiqua"/>
          <w:i/>
          <w:color w:val="231F20"/>
          <w:spacing w:val="-15"/>
          <w:w w:val="110"/>
          <w:sz w:val="21"/>
        </w:rPr>
        <w:t> </w:t>
      </w:r>
      <w:r>
        <w:rPr>
          <w:rFonts w:ascii="Book Antiqua"/>
          <w:i/>
          <w:color w:val="231F20"/>
          <w:w w:val="110"/>
          <w:sz w:val="21"/>
        </w:rPr>
        <w:t>grant</w:t>
      </w:r>
      <w:r>
        <w:rPr>
          <w:rFonts w:ascii="Book Antiqua"/>
          <w:i/>
          <w:color w:val="231F20"/>
          <w:spacing w:val="-15"/>
          <w:w w:val="110"/>
          <w:sz w:val="21"/>
        </w:rPr>
        <w:t> </w:t>
      </w:r>
      <w:r>
        <w:rPr>
          <w:rFonts w:ascii="Book Antiqua"/>
          <w:i/>
          <w:color w:val="231F20"/>
          <w:w w:val="110"/>
          <w:sz w:val="21"/>
        </w:rPr>
        <w:t>fee</w:t>
      </w:r>
      <w:r>
        <w:rPr>
          <w:rFonts w:ascii="Book Antiqua"/>
          <w:i/>
          <w:color w:val="231F20"/>
          <w:spacing w:val="-15"/>
          <w:w w:val="110"/>
          <w:sz w:val="21"/>
        </w:rPr>
        <w:t> </w:t>
      </w:r>
      <w:r>
        <w:rPr>
          <w:rFonts w:ascii="Book Antiqua"/>
          <w:i/>
          <w:color w:val="231F20"/>
          <w:w w:val="110"/>
          <w:sz w:val="21"/>
        </w:rPr>
        <w:t>waivers</w:t>
      </w:r>
      <w:r>
        <w:rPr>
          <w:rFonts w:ascii="Book Antiqua"/>
          <w:i/>
          <w:color w:val="231F20"/>
          <w:spacing w:val="-15"/>
          <w:w w:val="110"/>
          <w:sz w:val="21"/>
        </w:rPr>
        <w:t> </w:t>
      </w:r>
      <w:r>
        <w:rPr>
          <w:rFonts w:ascii="Book Antiqua"/>
          <w:i/>
          <w:color w:val="231F20"/>
          <w:w w:val="110"/>
          <w:sz w:val="21"/>
        </w:rPr>
        <w:t>in</w:t>
      </w:r>
      <w:r>
        <w:rPr>
          <w:rFonts w:ascii="Book Antiqua"/>
          <w:i/>
          <w:color w:val="231F20"/>
          <w:spacing w:val="-15"/>
          <w:w w:val="110"/>
          <w:sz w:val="21"/>
        </w:rPr>
        <w:t> </w:t>
      </w:r>
      <w:r>
        <w:rPr>
          <w:rFonts w:ascii="Book Antiqua"/>
          <w:i/>
          <w:color w:val="231F20"/>
          <w:w w:val="110"/>
          <w:sz w:val="21"/>
        </w:rPr>
        <w:t>the</w:t>
      </w:r>
      <w:r>
        <w:rPr>
          <w:rFonts w:ascii="Book Antiqua"/>
          <w:i/>
          <w:color w:val="231F20"/>
          <w:spacing w:val="-15"/>
          <w:w w:val="110"/>
          <w:sz w:val="21"/>
        </w:rPr>
        <w:t> </w:t>
      </w:r>
      <w:r>
        <w:rPr>
          <w:rFonts w:ascii="Book Antiqua"/>
          <w:i/>
          <w:color w:val="231F20"/>
          <w:w w:val="110"/>
          <w:sz w:val="21"/>
        </w:rPr>
        <w:t>exercise</w:t>
      </w:r>
      <w:r>
        <w:rPr>
          <w:rFonts w:ascii="Book Antiqua"/>
          <w:i/>
          <w:color w:val="231F20"/>
          <w:spacing w:val="-15"/>
          <w:w w:val="110"/>
          <w:sz w:val="21"/>
        </w:rPr>
        <w:t> </w:t>
      </w:r>
      <w:r>
        <w:rPr>
          <w:rFonts w:ascii="Book Antiqua"/>
          <w:i/>
          <w:color w:val="231F20"/>
          <w:w w:val="110"/>
          <w:sz w:val="21"/>
        </w:rPr>
        <w:t>of</w:t>
      </w:r>
      <w:r>
        <w:rPr>
          <w:rFonts w:ascii="Book Antiqua"/>
          <w:i/>
          <w:color w:val="231F20"/>
          <w:spacing w:val="-15"/>
          <w:w w:val="110"/>
          <w:sz w:val="21"/>
        </w:rPr>
        <w:t> </w:t>
      </w:r>
      <w:r>
        <w:rPr>
          <w:rFonts w:ascii="Book Antiqua"/>
          <w:i/>
          <w:color w:val="231F20"/>
          <w:w w:val="110"/>
          <w:sz w:val="21"/>
        </w:rPr>
        <w:t>his</w:t>
      </w:r>
      <w:r>
        <w:rPr>
          <w:rFonts w:ascii="Book Antiqua"/>
          <w:i/>
          <w:color w:val="231F20"/>
          <w:spacing w:val="-15"/>
          <w:w w:val="110"/>
          <w:sz w:val="21"/>
        </w:rPr>
        <w:t> </w:t>
      </w:r>
      <w:r>
        <w:rPr>
          <w:rFonts w:ascii="Book Antiqua"/>
          <w:i/>
          <w:color w:val="231F20"/>
          <w:w w:val="110"/>
          <w:sz w:val="21"/>
        </w:rPr>
        <w:t>discretion.</w:t>
      </w:r>
      <w:r>
        <w:rPr>
          <w:rFonts w:ascii="Book Antiqua"/>
          <w:i/>
          <w:color w:val="231F20"/>
          <w:spacing w:val="-15"/>
          <w:w w:val="110"/>
          <w:sz w:val="21"/>
        </w:rPr>
        <w:t> </w:t>
      </w:r>
      <w:r>
        <w:rPr>
          <w:rFonts w:ascii="Book Antiqua"/>
          <w:i/>
          <w:color w:val="231F20"/>
          <w:w w:val="110"/>
          <w:sz w:val="21"/>
        </w:rPr>
        <w:t>It</w:t>
      </w:r>
      <w:r>
        <w:rPr>
          <w:rFonts w:ascii="Book Antiqua"/>
          <w:i/>
          <w:color w:val="231F20"/>
          <w:spacing w:val="-15"/>
          <w:w w:val="110"/>
          <w:sz w:val="21"/>
        </w:rPr>
        <w:t> </w:t>
      </w:r>
      <w:r>
        <w:rPr>
          <w:rFonts w:ascii="Book Antiqua"/>
          <w:i/>
          <w:color w:val="231F20"/>
          <w:w w:val="110"/>
          <w:sz w:val="21"/>
        </w:rPr>
        <w:t>is</w:t>
      </w:r>
      <w:r>
        <w:rPr>
          <w:rFonts w:ascii="Book Antiqua"/>
          <w:i/>
          <w:color w:val="231F20"/>
          <w:spacing w:val="-15"/>
          <w:w w:val="110"/>
          <w:sz w:val="21"/>
        </w:rPr>
        <w:t> </w:t>
      </w:r>
      <w:r>
        <w:rPr>
          <w:rFonts w:ascii="Book Antiqua"/>
          <w:i/>
          <w:color w:val="231F20"/>
          <w:w w:val="110"/>
          <w:sz w:val="21"/>
        </w:rPr>
        <w:t>understood</w:t>
      </w:r>
      <w:r>
        <w:rPr>
          <w:rFonts w:ascii="Book Antiqua"/>
          <w:i/>
          <w:color w:val="231F20"/>
          <w:spacing w:val="-15"/>
          <w:w w:val="110"/>
          <w:sz w:val="21"/>
        </w:rPr>
        <w:t> </w:t>
      </w:r>
      <w:r>
        <w:rPr>
          <w:rFonts w:ascii="Book Antiqua"/>
          <w:i/>
          <w:color w:val="231F20"/>
          <w:w w:val="110"/>
          <w:sz w:val="21"/>
        </w:rPr>
        <w:t>the</w:t>
      </w:r>
      <w:r>
        <w:rPr>
          <w:rFonts w:ascii="Book Antiqua"/>
          <w:i/>
          <w:color w:val="231F20"/>
          <w:spacing w:val="-15"/>
          <w:w w:val="110"/>
          <w:sz w:val="21"/>
        </w:rPr>
        <w:t> </w:t>
      </w:r>
      <w:r>
        <w:rPr>
          <w:rFonts w:ascii="Book Antiqua"/>
          <w:i/>
          <w:color w:val="231F20"/>
          <w:w w:val="110"/>
          <w:sz w:val="21"/>
        </w:rPr>
        <w:t>proposals</w:t>
      </w:r>
      <w:r>
        <w:rPr>
          <w:rFonts w:ascii="Book Antiqua"/>
          <w:i/>
          <w:color w:val="231F20"/>
          <w:spacing w:val="-15"/>
          <w:w w:val="110"/>
          <w:sz w:val="21"/>
        </w:rPr>
        <w:t> </w:t>
      </w:r>
      <w:r>
        <w:rPr>
          <w:rFonts w:ascii="Book Antiqua"/>
          <w:i/>
          <w:color w:val="231F20"/>
          <w:w w:val="110"/>
          <w:sz w:val="21"/>
        </w:rPr>
        <w:t>are presently</w:t>
      </w:r>
      <w:r>
        <w:rPr>
          <w:rFonts w:ascii="Book Antiqua"/>
          <w:i/>
          <w:color w:val="231F20"/>
          <w:spacing w:val="-19"/>
          <w:w w:val="110"/>
          <w:sz w:val="21"/>
        </w:rPr>
        <w:t> </w:t>
      </w:r>
      <w:r>
        <w:rPr>
          <w:rFonts w:ascii="Book Antiqua"/>
          <w:i/>
          <w:color w:val="231F20"/>
          <w:w w:val="110"/>
          <w:sz w:val="21"/>
        </w:rPr>
        <w:t>with</w:t>
      </w:r>
      <w:r>
        <w:rPr>
          <w:rFonts w:ascii="Book Antiqua"/>
          <w:i/>
          <w:color w:val="231F20"/>
          <w:spacing w:val="-19"/>
          <w:w w:val="110"/>
          <w:sz w:val="21"/>
        </w:rPr>
        <w:t> </w:t>
      </w:r>
      <w:r>
        <w:rPr>
          <w:rFonts w:ascii="Book Antiqua"/>
          <w:i/>
          <w:color w:val="231F20"/>
          <w:w w:val="110"/>
          <w:sz w:val="21"/>
        </w:rPr>
        <w:t>the</w:t>
      </w:r>
      <w:r>
        <w:rPr>
          <w:rFonts w:ascii="Book Antiqua"/>
          <w:i/>
          <w:color w:val="231F20"/>
          <w:spacing w:val="-19"/>
          <w:w w:val="110"/>
          <w:sz w:val="21"/>
        </w:rPr>
        <w:t> </w:t>
      </w:r>
      <w:r>
        <w:rPr>
          <w:rFonts w:ascii="Book Antiqua"/>
          <w:i/>
          <w:color w:val="231F20"/>
          <w:w w:val="110"/>
          <w:sz w:val="21"/>
        </w:rPr>
        <w:t>Ministry</w:t>
      </w:r>
      <w:r>
        <w:rPr>
          <w:rFonts w:ascii="Book Antiqua"/>
          <w:i/>
          <w:color w:val="231F20"/>
          <w:spacing w:val="-19"/>
          <w:w w:val="110"/>
          <w:sz w:val="21"/>
        </w:rPr>
        <w:t> </w:t>
      </w:r>
      <w:r>
        <w:rPr>
          <w:rFonts w:ascii="Book Antiqua"/>
          <w:i/>
          <w:color w:val="231F20"/>
          <w:w w:val="110"/>
          <w:sz w:val="21"/>
        </w:rPr>
        <w:t>of</w:t>
      </w:r>
      <w:r>
        <w:rPr>
          <w:rFonts w:ascii="Book Antiqua"/>
          <w:i/>
          <w:color w:val="231F20"/>
          <w:spacing w:val="-19"/>
          <w:w w:val="110"/>
          <w:sz w:val="21"/>
        </w:rPr>
        <w:t> </w:t>
      </w:r>
      <w:r>
        <w:rPr>
          <w:rFonts w:ascii="Book Antiqua"/>
          <w:i/>
          <w:color w:val="231F20"/>
          <w:w w:val="110"/>
          <w:sz w:val="21"/>
        </w:rPr>
        <w:t>Justice</w:t>
      </w:r>
      <w:r>
        <w:rPr>
          <w:rFonts w:ascii="Book Antiqua"/>
          <w:i/>
          <w:color w:val="231F20"/>
          <w:spacing w:val="-19"/>
          <w:w w:val="110"/>
          <w:sz w:val="21"/>
        </w:rPr>
        <w:t> </w:t>
      </w:r>
      <w:r>
        <w:rPr>
          <w:rFonts w:ascii="Book Antiqua"/>
          <w:i/>
          <w:color w:val="231F20"/>
          <w:w w:val="110"/>
          <w:sz w:val="21"/>
        </w:rPr>
        <w:t>and</w:t>
      </w:r>
      <w:r>
        <w:rPr>
          <w:rFonts w:ascii="Book Antiqua"/>
          <w:i/>
          <w:color w:val="231F20"/>
          <w:spacing w:val="-19"/>
          <w:w w:val="110"/>
          <w:sz w:val="21"/>
        </w:rPr>
        <w:t> </w:t>
      </w:r>
      <w:r>
        <w:rPr>
          <w:rFonts w:ascii="Book Antiqua"/>
          <w:i/>
          <w:color w:val="231F20"/>
          <w:spacing w:val="-3"/>
          <w:w w:val="110"/>
          <w:sz w:val="21"/>
        </w:rPr>
        <w:t>have</w:t>
      </w:r>
      <w:r>
        <w:rPr>
          <w:rFonts w:ascii="Book Antiqua"/>
          <w:i/>
          <w:color w:val="231F20"/>
          <w:spacing w:val="-19"/>
          <w:w w:val="110"/>
          <w:sz w:val="21"/>
        </w:rPr>
        <w:t> </w:t>
      </w:r>
      <w:r>
        <w:rPr>
          <w:rFonts w:ascii="Book Antiqua"/>
          <w:i/>
          <w:color w:val="231F20"/>
          <w:w w:val="110"/>
          <w:sz w:val="21"/>
        </w:rPr>
        <w:t>been</w:t>
      </w:r>
      <w:r>
        <w:rPr>
          <w:rFonts w:ascii="Book Antiqua"/>
          <w:i/>
          <w:color w:val="231F20"/>
          <w:spacing w:val="-19"/>
          <w:w w:val="110"/>
          <w:sz w:val="21"/>
        </w:rPr>
        <w:t> </w:t>
      </w:r>
      <w:r>
        <w:rPr>
          <w:rFonts w:ascii="Book Antiqua"/>
          <w:i/>
          <w:color w:val="231F20"/>
          <w:w w:val="110"/>
          <w:sz w:val="21"/>
        </w:rPr>
        <w:t>for</w:t>
      </w:r>
      <w:r>
        <w:rPr>
          <w:rFonts w:ascii="Book Antiqua"/>
          <w:i/>
          <w:color w:val="231F20"/>
          <w:spacing w:val="-19"/>
          <w:w w:val="110"/>
          <w:sz w:val="21"/>
        </w:rPr>
        <w:t> </w:t>
      </w:r>
      <w:r>
        <w:rPr>
          <w:rFonts w:ascii="Book Antiqua"/>
          <w:i/>
          <w:color w:val="231F20"/>
          <w:w w:val="110"/>
          <w:sz w:val="21"/>
        </w:rPr>
        <w:t>some</w:t>
      </w:r>
      <w:r>
        <w:rPr>
          <w:rFonts w:ascii="Book Antiqua"/>
          <w:i/>
          <w:color w:val="231F20"/>
          <w:spacing w:val="-19"/>
          <w:w w:val="110"/>
          <w:sz w:val="21"/>
        </w:rPr>
        <w:t> </w:t>
      </w:r>
      <w:r>
        <w:rPr>
          <w:rFonts w:ascii="Book Antiqua"/>
          <w:i/>
          <w:color w:val="231F20"/>
          <w:w w:val="110"/>
          <w:sz w:val="21"/>
        </w:rPr>
        <w:t>time.</w:t>
      </w:r>
      <w:r>
        <w:rPr>
          <w:rFonts w:ascii="Book Antiqua"/>
          <w:i/>
          <w:color w:val="231F20"/>
          <w:spacing w:val="-29"/>
          <w:w w:val="110"/>
          <w:sz w:val="21"/>
        </w:rPr>
        <w:t> </w:t>
      </w:r>
      <w:r>
        <w:rPr>
          <w:rFonts w:ascii="Book Antiqua"/>
          <w:i/>
          <w:color w:val="231F20"/>
          <w:spacing w:val="-4"/>
          <w:w w:val="110"/>
          <w:sz w:val="21"/>
        </w:rPr>
        <w:t>The</w:t>
      </w:r>
      <w:r>
        <w:rPr>
          <w:rFonts w:ascii="Book Antiqua"/>
          <w:i/>
          <w:color w:val="231F20"/>
          <w:spacing w:val="-19"/>
          <w:w w:val="110"/>
          <w:sz w:val="21"/>
        </w:rPr>
        <w:t> </w:t>
      </w:r>
      <w:r>
        <w:rPr>
          <w:rFonts w:ascii="Book Antiqua"/>
          <w:i/>
          <w:color w:val="231F20"/>
          <w:w w:val="110"/>
          <w:sz w:val="21"/>
        </w:rPr>
        <w:t>introduction</w:t>
      </w:r>
      <w:r>
        <w:rPr>
          <w:rFonts w:ascii="Book Antiqua"/>
          <w:i/>
          <w:color w:val="231F20"/>
          <w:spacing w:val="-19"/>
          <w:w w:val="110"/>
          <w:sz w:val="21"/>
        </w:rPr>
        <w:t> </w:t>
      </w:r>
      <w:r>
        <w:rPr>
          <w:rFonts w:ascii="Book Antiqua"/>
          <w:i/>
          <w:color w:val="231F20"/>
          <w:w w:val="110"/>
          <w:sz w:val="21"/>
        </w:rPr>
        <w:t>of a new fee regime should be pursued as a matter of</w:t>
      </w:r>
      <w:r>
        <w:rPr>
          <w:rFonts w:ascii="Book Antiqua"/>
          <w:i/>
          <w:color w:val="231F20"/>
          <w:spacing w:val="-17"/>
          <w:w w:val="110"/>
          <w:sz w:val="21"/>
        </w:rPr>
        <w:t> </w:t>
      </w:r>
      <w:r>
        <w:rPr>
          <w:rFonts w:ascii="Book Antiqua"/>
          <w:i/>
          <w:color w:val="231F20"/>
          <w:spacing w:val="-4"/>
          <w:w w:val="110"/>
          <w:sz w:val="21"/>
        </w:rPr>
        <w:t>urgency.</w:t>
      </w:r>
    </w:p>
    <w:p>
      <w:pPr>
        <w:pStyle w:val="BodyText"/>
        <w:spacing w:before="2"/>
        <w:rPr>
          <w:rFonts w:ascii="Book Antiqua"/>
          <w:i/>
          <w:sz w:val="15"/>
        </w:rPr>
      </w:pPr>
    </w:p>
    <w:p>
      <w:pPr>
        <w:pStyle w:val="BodyText"/>
        <w:spacing w:before="93"/>
        <w:ind w:left="1700"/>
      </w:pPr>
      <w:r>
        <w:rPr>
          <w:color w:val="231F20"/>
          <w:w w:val="105"/>
        </w:rPr>
        <w:t>Percentage of cases that are granted a court fee waiver – 2011 Baseline Report</w:t>
      </w:r>
    </w:p>
    <w:p>
      <w:pPr>
        <w:pStyle w:val="BodyText"/>
        <w:spacing w:before="7"/>
        <w:rPr>
          <w:sz w:val="6"/>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225"/>
        <w:gridCol w:w="1066"/>
        <w:gridCol w:w="1361"/>
        <w:gridCol w:w="1361"/>
        <w:gridCol w:w="1093"/>
        <w:gridCol w:w="1261"/>
      </w:tblGrid>
      <w:tr>
        <w:trPr>
          <w:trHeight w:val="632" w:hRule="atLeast"/>
        </w:trPr>
        <w:tc>
          <w:tcPr>
            <w:tcW w:w="1124" w:type="dxa"/>
            <w:shd w:val="clear" w:color="auto" w:fill="92BAC2"/>
          </w:tcPr>
          <w:p>
            <w:pPr>
              <w:pStyle w:val="TableParagraph"/>
              <w:spacing w:before="75"/>
              <w:ind w:left="80"/>
              <w:rPr>
                <w:b/>
                <w:sz w:val="15"/>
              </w:rPr>
            </w:pPr>
            <w:r>
              <w:rPr>
                <w:b/>
                <w:color w:val="231F20"/>
                <w:w w:val="110"/>
                <w:sz w:val="15"/>
              </w:rPr>
              <w:t>Cook Islands</w:t>
            </w:r>
          </w:p>
        </w:tc>
        <w:tc>
          <w:tcPr>
            <w:tcW w:w="1225" w:type="dxa"/>
            <w:shd w:val="clear" w:color="auto" w:fill="92BAC2"/>
          </w:tcPr>
          <w:p>
            <w:pPr>
              <w:pStyle w:val="TableParagraph"/>
              <w:spacing w:line="223" w:lineRule="auto" w:before="85"/>
              <w:ind w:left="79" w:right="390"/>
              <w:rPr>
                <w:b/>
                <w:sz w:val="15"/>
              </w:rPr>
            </w:pPr>
            <w:r>
              <w:rPr>
                <w:b/>
                <w:color w:val="231F20"/>
                <w:w w:val="105"/>
                <w:sz w:val="15"/>
              </w:rPr>
              <w:t>Federated States of Micronesia</w:t>
            </w:r>
          </w:p>
        </w:tc>
        <w:tc>
          <w:tcPr>
            <w:tcW w:w="1066" w:type="dxa"/>
            <w:shd w:val="clear" w:color="auto" w:fill="92BAC2"/>
          </w:tcPr>
          <w:p>
            <w:pPr>
              <w:pStyle w:val="TableParagraph"/>
              <w:spacing w:line="223" w:lineRule="auto" w:before="85"/>
              <w:ind w:left="79" w:right="145"/>
              <w:rPr>
                <w:b/>
                <w:sz w:val="15"/>
              </w:rPr>
            </w:pPr>
            <w:r>
              <w:rPr>
                <w:b/>
                <w:color w:val="231F20"/>
                <w:w w:val="110"/>
                <w:sz w:val="15"/>
              </w:rPr>
              <w:t>Kiribati Islands</w:t>
            </w:r>
          </w:p>
        </w:tc>
        <w:tc>
          <w:tcPr>
            <w:tcW w:w="1361" w:type="dxa"/>
            <w:shd w:val="clear" w:color="auto" w:fill="92BAC2"/>
          </w:tcPr>
          <w:p>
            <w:pPr>
              <w:pStyle w:val="TableParagraph"/>
              <w:spacing w:before="75"/>
              <w:ind w:left="79"/>
              <w:rPr>
                <w:b/>
                <w:sz w:val="15"/>
              </w:rPr>
            </w:pPr>
            <w:r>
              <w:rPr>
                <w:b/>
                <w:color w:val="231F20"/>
                <w:w w:val="105"/>
                <w:sz w:val="15"/>
              </w:rPr>
              <w:t>Marshall Islands</w:t>
            </w:r>
          </w:p>
        </w:tc>
        <w:tc>
          <w:tcPr>
            <w:tcW w:w="1361" w:type="dxa"/>
            <w:shd w:val="clear" w:color="auto" w:fill="92BAC2"/>
          </w:tcPr>
          <w:p>
            <w:pPr>
              <w:pStyle w:val="TableParagraph"/>
              <w:spacing w:before="75"/>
              <w:ind w:left="78"/>
              <w:rPr>
                <w:b/>
                <w:sz w:val="15"/>
              </w:rPr>
            </w:pPr>
            <w:r>
              <w:rPr>
                <w:b/>
                <w:color w:val="231F20"/>
                <w:w w:val="110"/>
                <w:sz w:val="15"/>
              </w:rPr>
              <w:t>Nauru</w:t>
            </w:r>
          </w:p>
        </w:tc>
        <w:tc>
          <w:tcPr>
            <w:tcW w:w="1093" w:type="dxa"/>
            <w:shd w:val="clear" w:color="auto" w:fill="92BAC2"/>
          </w:tcPr>
          <w:p>
            <w:pPr>
              <w:pStyle w:val="TableParagraph"/>
              <w:spacing w:before="75"/>
              <w:ind w:left="78"/>
              <w:rPr>
                <w:b/>
                <w:sz w:val="15"/>
              </w:rPr>
            </w:pPr>
            <w:r>
              <w:rPr>
                <w:b/>
                <w:color w:val="231F20"/>
                <w:w w:val="110"/>
                <w:sz w:val="15"/>
              </w:rPr>
              <w:t>Niue</w:t>
            </w:r>
          </w:p>
        </w:tc>
        <w:tc>
          <w:tcPr>
            <w:tcW w:w="1261" w:type="dxa"/>
            <w:shd w:val="clear" w:color="auto" w:fill="92BAC2"/>
          </w:tcPr>
          <w:p>
            <w:pPr>
              <w:pStyle w:val="TableParagraph"/>
              <w:spacing w:before="75"/>
              <w:ind w:left="77"/>
              <w:rPr>
                <w:b/>
                <w:sz w:val="15"/>
              </w:rPr>
            </w:pPr>
            <w:r>
              <w:rPr>
                <w:b/>
                <w:color w:val="231F20"/>
                <w:w w:val="105"/>
                <w:sz w:val="15"/>
              </w:rPr>
              <w:t>Palau</w:t>
            </w:r>
          </w:p>
        </w:tc>
      </w:tr>
      <w:tr>
        <w:trPr>
          <w:trHeight w:val="996" w:hRule="atLeast"/>
        </w:trPr>
        <w:tc>
          <w:tcPr>
            <w:tcW w:w="1124" w:type="dxa"/>
            <w:shd w:val="clear" w:color="auto" w:fill="F2CDBE"/>
          </w:tcPr>
          <w:p>
            <w:pPr>
              <w:pStyle w:val="TableParagraph"/>
              <w:spacing w:line="223" w:lineRule="auto" w:before="84"/>
              <w:ind w:left="80"/>
              <w:rPr>
                <w:sz w:val="15"/>
              </w:rPr>
            </w:pPr>
            <w:r>
              <w:rPr>
                <w:color w:val="231F20"/>
                <w:w w:val="110"/>
                <w:sz w:val="15"/>
              </w:rPr>
              <w:t>Data unavailable</w:t>
            </w:r>
          </w:p>
        </w:tc>
        <w:tc>
          <w:tcPr>
            <w:tcW w:w="1225" w:type="dxa"/>
            <w:shd w:val="clear" w:color="auto" w:fill="F2CDBE"/>
          </w:tcPr>
          <w:p>
            <w:pPr>
              <w:pStyle w:val="TableParagraph"/>
              <w:spacing w:line="223" w:lineRule="auto" w:before="84"/>
              <w:ind w:left="79" w:right="82"/>
              <w:rPr>
                <w:sz w:val="15"/>
              </w:rPr>
            </w:pPr>
            <w:r>
              <w:rPr>
                <w:color w:val="231F20"/>
                <w:w w:val="110"/>
                <w:sz w:val="15"/>
              </w:rPr>
              <w:t>Data unavailable</w:t>
            </w:r>
          </w:p>
        </w:tc>
        <w:tc>
          <w:tcPr>
            <w:tcW w:w="1066" w:type="dxa"/>
            <w:shd w:val="clear" w:color="auto" w:fill="F2CDBE"/>
          </w:tcPr>
          <w:p>
            <w:pPr>
              <w:pStyle w:val="TableParagraph"/>
              <w:spacing w:line="223" w:lineRule="auto" w:before="84"/>
              <w:ind w:left="79" w:right="145"/>
              <w:rPr>
                <w:sz w:val="15"/>
              </w:rPr>
            </w:pPr>
            <w:r>
              <w:rPr>
                <w:color w:val="231F20"/>
                <w:w w:val="110"/>
                <w:sz w:val="15"/>
              </w:rPr>
              <w:t>Data unavailable</w:t>
            </w:r>
          </w:p>
        </w:tc>
        <w:tc>
          <w:tcPr>
            <w:tcW w:w="1361" w:type="dxa"/>
            <w:shd w:val="clear" w:color="auto" w:fill="F2CDBE"/>
          </w:tcPr>
          <w:p>
            <w:pPr>
              <w:pStyle w:val="TableParagraph"/>
              <w:spacing w:before="74"/>
              <w:ind w:left="79"/>
              <w:rPr>
                <w:sz w:val="15"/>
              </w:rPr>
            </w:pPr>
            <w:r>
              <w:rPr>
                <w:color w:val="231F20"/>
                <w:w w:val="110"/>
                <w:sz w:val="15"/>
              </w:rPr>
              <w:t>Data unavailable</w:t>
            </w:r>
          </w:p>
        </w:tc>
        <w:tc>
          <w:tcPr>
            <w:tcW w:w="1361" w:type="dxa"/>
            <w:shd w:val="clear" w:color="auto" w:fill="F2CDBE"/>
          </w:tcPr>
          <w:p>
            <w:pPr>
              <w:pStyle w:val="TableParagraph"/>
              <w:spacing w:line="177" w:lineRule="exact" w:before="75"/>
              <w:ind w:left="78"/>
              <w:rPr>
                <w:b/>
                <w:sz w:val="15"/>
              </w:rPr>
            </w:pPr>
            <w:r>
              <w:rPr>
                <w:b/>
                <w:color w:val="231F20"/>
                <w:w w:val="110"/>
                <w:sz w:val="15"/>
              </w:rPr>
              <w:t>Supreme Court</w:t>
            </w:r>
          </w:p>
          <w:p>
            <w:pPr>
              <w:pStyle w:val="TableParagraph"/>
              <w:spacing w:line="177" w:lineRule="exact"/>
              <w:ind w:left="78"/>
              <w:rPr>
                <w:sz w:val="15"/>
              </w:rPr>
            </w:pPr>
            <w:r>
              <w:rPr>
                <w:color w:val="231F20"/>
                <w:w w:val="110"/>
                <w:sz w:val="15"/>
              </w:rPr>
              <w:t>Data unavailable</w:t>
            </w:r>
          </w:p>
          <w:p>
            <w:pPr>
              <w:pStyle w:val="TableParagraph"/>
              <w:spacing w:line="177" w:lineRule="exact" w:before="43"/>
              <w:ind w:left="78"/>
              <w:rPr>
                <w:b/>
                <w:sz w:val="15"/>
              </w:rPr>
            </w:pPr>
            <w:r>
              <w:rPr>
                <w:b/>
                <w:color w:val="231F20"/>
                <w:w w:val="110"/>
                <w:sz w:val="15"/>
              </w:rPr>
              <w:t>Magistrates Court</w:t>
            </w:r>
          </w:p>
          <w:p>
            <w:pPr>
              <w:pStyle w:val="TableParagraph"/>
              <w:spacing w:line="177" w:lineRule="exact"/>
              <w:ind w:left="78"/>
              <w:rPr>
                <w:sz w:val="15"/>
              </w:rPr>
            </w:pPr>
            <w:r>
              <w:rPr>
                <w:color w:val="231F20"/>
                <w:w w:val="110"/>
                <w:sz w:val="15"/>
              </w:rPr>
              <w:t>Data unavailable</w:t>
            </w:r>
          </w:p>
        </w:tc>
        <w:tc>
          <w:tcPr>
            <w:tcW w:w="1093" w:type="dxa"/>
            <w:shd w:val="clear" w:color="auto" w:fill="F2CDBE"/>
          </w:tcPr>
          <w:p>
            <w:pPr>
              <w:pStyle w:val="TableParagraph"/>
              <w:spacing w:line="223" w:lineRule="auto" w:before="84"/>
              <w:ind w:left="78"/>
              <w:rPr>
                <w:sz w:val="15"/>
              </w:rPr>
            </w:pPr>
            <w:r>
              <w:rPr>
                <w:color w:val="231F20"/>
                <w:w w:val="110"/>
                <w:sz w:val="15"/>
              </w:rPr>
              <w:t>Data unavailable</w:t>
            </w:r>
          </w:p>
        </w:tc>
        <w:tc>
          <w:tcPr>
            <w:tcW w:w="1261" w:type="dxa"/>
            <w:shd w:val="clear" w:color="auto" w:fill="D8E3CE"/>
          </w:tcPr>
          <w:p>
            <w:pPr>
              <w:pStyle w:val="TableParagraph"/>
              <w:spacing w:line="223" w:lineRule="auto" w:before="85"/>
              <w:ind w:left="77" w:right="136"/>
              <w:rPr>
                <w:sz w:val="15"/>
              </w:rPr>
            </w:pPr>
            <w:r>
              <w:rPr>
                <w:b/>
                <w:color w:val="231F20"/>
                <w:w w:val="110"/>
                <w:sz w:val="15"/>
              </w:rPr>
              <w:t>Court of Common Pleas </w:t>
            </w:r>
            <w:r>
              <w:rPr>
                <w:color w:val="231F20"/>
                <w:w w:val="110"/>
                <w:sz w:val="15"/>
              </w:rPr>
              <w:t>0% (2010)</w:t>
            </w:r>
          </w:p>
        </w:tc>
      </w:tr>
      <w:tr>
        <w:trPr>
          <w:trHeight w:val="462" w:hRule="atLeast"/>
        </w:trPr>
        <w:tc>
          <w:tcPr>
            <w:tcW w:w="1124" w:type="dxa"/>
            <w:shd w:val="clear" w:color="auto" w:fill="92BAC2"/>
          </w:tcPr>
          <w:p>
            <w:pPr>
              <w:pStyle w:val="TableParagraph"/>
              <w:spacing w:line="223" w:lineRule="auto" w:before="85"/>
              <w:ind w:left="80"/>
              <w:rPr>
                <w:b/>
                <w:sz w:val="15"/>
              </w:rPr>
            </w:pPr>
            <w:r>
              <w:rPr>
                <w:b/>
                <w:color w:val="231F20"/>
                <w:w w:val="110"/>
                <w:sz w:val="15"/>
              </w:rPr>
              <w:t>Papua New Guinea</w:t>
            </w:r>
          </w:p>
        </w:tc>
        <w:tc>
          <w:tcPr>
            <w:tcW w:w="1225" w:type="dxa"/>
            <w:shd w:val="clear" w:color="auto" w:fill="92BAC2"/>
          </w:tcPr>
          <w:p>
            <w:pPr>
              <w:pStyle w:val="TableParagraph"/>
              <w:spacing w:before="75"/>
              <w:ind w:left="79"/>
              <w:rPr>
                <w:b/>
                <w:sz w:val="15"/>
              </w:rPr>
            </w:pPr>
            <w:r>
              <w:rPr>
                <w:b/>
                <w:color w:val="231F20"/>
                <w:w w:val="105"/>
                <w:sz w:val="15"/>
              </w:rPr>
              <w:t>Samoa</w:t>
            </w:r>
          </w:p>
        </w:tc>
        <w:tc>
          <w:tcPr>
            <w:tcW w:w="1066" w:type="dxa"/>
            <w:shd w:val="clear" w:color="auto" w:fill="92BAC2"/>
          </w:tcPr>
          <w:p>
            <w:pPr>
              <w:pStyle w:val="TableParagraph"/>
              <w:spacing w:line="223" w:lineRule="auto" w:before="85"/>
              <w:ind w:left="79" w:right="377"/>
              <w:rPr>
                <w:b/>
                <w:sz w:val="15"/>
              </w:rPr>
            </w:pPr>
            <w:r>
              <w:rPr>
                <w:b/>
                <w:color w:val="231F20"/>
                <w:w w:val="105"/>
                <w:sz w:val="15"/>
              </w:rPr>
              <w:t>Solomon </w:t>
            </w:r>
            <w:r>
              <w:rPr>
                <w:b/>
                <w:color w:val="231F20"/>
                <w:w w:val="110"/>
                <w:sz w:val="15"/>
              </w:rPr>
              <w:t>Islands</w:t>
            </w:r>
          </w:p>
        </w:tc>
        <w:tc>
          <w:tcPr>
            <w:tcW w:w="1361" w:type="dxa"/>
            <w:shd w:val="clear" w:color="auto" w:fill="92BAC2"/>
          </w:tcPr>
          <w:p>
            <w:pPr>
              <w:pStyle w:val="TableParagraph"/>
              <w:spacing w:before="75"/>
              <w:ind w:left="79"/>
              <w:rPr>
                <w:b/>
                <w:sz w:val="15"/>
              </w:rPr>
            </w:pPr>
            <w:r>
              <w:rPr>
                <w:b/>
                <w:color w:val="231F20"/>
                <w:w w:val="110"/>
                <w:sz w:val="15"/>
              </w:rPr>
              <w:t>Tokelau</w:t>
            </w:r>
          </w:p>
        </w:tc>
        <w:tc>
          <w:tcPr>
            <w:tcW w:w="1361" w:type="dxa"/>
            <w:shd w:val="clear" w:color="auto" w:fill="92BAC2"/>
          </w:tcPr>
          <w:p>
            <w:pPr>
              <w:pStyle w:val="TableParagraph"/>
              <w:spacing w:before="75"/>
              <w:ind w:left="78"/>
              <w:rPr>
                <w:b/>
                <w:sz w:val="15"/>
              </w:rPr>
            </w:pPr>
            <w:r>
              <w:rPr>
                <w:b/>
                <w:color w:val="231F20"/>
                <w:w w:val="110"/>
                <w:sz w:val="15"/>
              </w:rPr>
              <w:t>Tonga</w:t>
            </w:r>
          </w:p>
        </w:tc>
        <w:tc>
          <w:tcPr>
            <w:tcW w:w="1093" w:type="dxa"/>
            <w:shd w:val="clear" w:color="auto" w:fill="92BAC2"/>
          </w:tcPr>
          <w:p>
            <w:pPr>
              <w:pStyle w:val="TableParagraph"/>
              <w:spacing w:before="75"/>
              <w:ind w:left="78"/>
              <w:rPr>
                <w:b/>
                <w:sz w:val="15"/>
              </w:rPr>
            </w:pPr>
            <w:r>
              <w:rPr>
                <w:b/>
                <w:color w:val="231F20"/>
                <w:w w:val="110"/>
                <w:sz w:val="15"/>
              </w:rPr>
              <w:t>Tuvalu</w:t>
            </w:r>
          </w:p>
        </w:tc>
        <w:tc>
          <w:tcPr>
            <w:tcW w:w="1261" w:type="dxa"/>
            <w:shd w:val="clear" w:color="auto" w:fill="92BAC2"/>
          </w:tcPr>
          <w:p>
            <w:pPr>
              <w:pStyle w:val="TableParagraph"/>
              <w:spacing w:before="75"/>
              <w:ind w:left="77"/>
              <w:rPr>
                <w:b/>
                <w:sz w:val="15"/>
              </w:rPr>
            </w:pPr>
            <w:r>
              <w:rPr>
                <w:b/>
                <w:color w:val="231F20"/>
                <w:w w:val="105"/>
                <w:sz w:val="15"/>
              </w:rPr>
              <w:t>Vanuatu</w:t>
            </w:r>
          </w:p>
        </w:tc>
      </w:tr>
      <w:tr>
        <w:trPr>
          <w:trHeight w:val="1808" w:hRule="atLeast"/>
        </w:trPr>
        <w:tc>
          <w:tcPr>
            <w:tcW w:w="1124" w:type="dxa"/>
            <w:shd w:val="clear" w:color="auto" w:fill="F2CDBE"/>
          </w:tcPr>
          <w:p>
            <w:pPr>
              <w:pStyle w:val="TableParagraph"/>
              <w:spacing w:line="223" w:lineRule="auto" w:before="85"/>
              <w:ind w:left="80" w:right="116"/>
              <w:rPr>
                <w:sz w:val="15"/>
              </w:rPr>
            </w:pPr>
            <w:r>
              <w:rPr>
                <w:b/>
                <w:color w:val="231F20"/>
                <w:w w:val="110"/>
                <w:sz w:val="15"/>
              </w:rPr>
              <w:t>Supreme Court </w:t>
            </w:r>
            <w:r>
              <w:rPr>
                <w:color w:val="231F20"/>
                <w:w w:val="110"/>
                <w:sz w:val="15"/>
              </w:rPr>
              <w:t>Data unavailable</w:t>
            </w:r>
          </w:p>
          <w:p>
            <w:pPr>
              <w:pStyle w:val="TableParagraph"/>
              <w:spacing w:line="223" w:lineRule="auto" w:before="55"/>
              <w:ind w:left="80" w:right="270"/>
              <w:jc w:val="both"/>
              <w:rPr>
                <w:sz w:val="15"/>
              </w:rPr>
            </w:pPr>
            <w:r>
              <w:rPr>
                <w:b/>
                <w:color w:val="231F20"/>
                <w:spacing w:val="-2"/>
                <w:w w:val="105"/>
                <w:sz w:val="15"/>
              </w:rPr>
              <w:t>Magistrates </w:t>
            </w:r>
            <w:r>
              <w:rPr>
                <w:b/>
                <w:color w:val="231F20"/>
                <w:w w:val="110"/>
                <w:sz w:val="15"/>
              </w:rPr>
              <w:t>Court </w:t>
            </w:r>
            <w:r>
              <w:rPr>
                <w:color w:val="231F20"/>
                <w:spacing w:val="-4"/>
                <w:w w:val="110"/>
                <w:sz w:val="15"/>
              </w:rPr>
              <w:t>Data </w:t>
            </w:r>
            <w:r>
              <w:rPr>
                <w:color w:val="231F20"/>
                <w:spacing w:val="-5"/>
                <w:w w:val="110"/>
                <w:sz w:val="15"/>
              </w:rPr>
              <w:t>unavailable</w:t>
            </w:r>
          </w:p>
        </w:tc>
        <w:tc>
          <w:tcPr>
            <w:tcW w:w="1225" w:type="dxa"/>
            <w:shd w:val="clear" w:color="auto" w:fill="F2CDBE"/>
          </w:tcPr>
          <w:p>
            <w:pPr>
              <w:pStyle w:val="TableParagraph"/>
              <w:spacing w:line="223" w:lineRule="auto" w:before="84"/>
              <w:ind w:left="79" w:right="82"/>
              <w:rPr>
                <w:sz w:val="15"/>
              </w:rPr>
            </w:pPr>
            <w:r>
              <w:rPr>
                <w:color w:val="231F20"/>
                <w:w w:val="110"/>
                <w:sz w:val="15"/>
              </w:rPr>
              <w:t>Data unavailable</w:t>
            </w:r>
          </w:p>
        </w:tc>
        <w:tc>
          <w:tcPr>
            <w:tcW w:w="1066" w:type="dxa"/>
            <w:shd w:val="clear" w:color="auto" w:fill="F2CDBE"/>
          </w:tcPr>
          <w:p>
            <w:pPr>
              <w:pStyle w:val="TableParagraph"/>
              <w:spacing w:line="223" w:lineRule="auto" w:before="85"/>
              <w:ind w:left="79" w:right="145"/>
              <w:rPr>
                <w:sz w:val="15"/>
              </w:rPr>
            </w:pPr>
            <w:r>
              <w:rPr>
                <w:b/>
                <w:color w:val="231F20"/>
                <w:w w:val="110"/>
                <w:sz w:val="15"/>
              </w:rPr>
              <w:t>Appeal Court </w:t>
            </w:r>
            <w:r>
              <w:rPr>
                <w:color w:val="231F20"/>
                <w:w w:val="110"/>
                <w:sz w:val="15"/>
              </w:rPr>
              <w:t>Data unavailable</w:t>
            </w:r>
          </w:p>
          <w:p>
            <w:pPr>
              <w:pStyle w:val="TableParagraph"/>
              <w:spacing w:line="223" w:lineRule="auto" w:before="55"/>
              <w:ind w:left="79" w:right="145"/>
              <w:rPr>
                <w:sz w:val="15"/>
              </w:rPr>
            </w:pPr>
            <w:r>
              <w:rPr>
                <w:b/>
                <w:color w:val="231F20"/>
                <w:w w:val="110"/>
                <w:sz w:val="15"/>
              </w:rPr>
              <w:t>Supreme Court </w:t>
            </w:r>
            <w:r>
              <w:rPr>
                <w:color w:val="231F20"/>
                <w:w w:val="110"/>
                <w:sz w:val="15"/>
              </w:rPr>
              <w:t>Data unavailable</w:t>
            </w:r>
          </w:p>
          <w:p>
            <w:pPr>
              <w:pStyle w:val="TableParagraph"/>
              <w:spacing w:line="223" w:lineRule="auto" w:before="56"/>
              <w:ind w:left="79" w:right="212"/>
              <w:jc w:val="both"/>
              <w:rPr>
                <w:sz w:val="15"/>
              </w:rPr>
            </w:pPr>
            <w:r>
              <w:rPr>
                <w:b/>
                <w:color w:val="231F20"/>
                <w:spacing w:val="-2"/>
                <w:w w:val="105"/>
                <w:sz w:val="15"/>
              </w:rPr>
              <w:t>Magistrates </w:t>
            </w:r>
            <w:r>
              <w:rPr>
                <w:b/>
                <w:color w:val="231F20"/>
                <w:w w:val="110"/>
                <w:sz w:val="15"/>
              </w:rPr>
              <w:t>Court </w:t>
            </w:r>
            <w:r>
              <w:rPr>
                <w:color w:val="231F20"/>
                <w:spacing w:val="-4"/>
                <w:w w:val="110"/>
                <w:sz w:val="15"/>
              </w:rPr>
              <w:t>Data </w:t>
            </w:r>
            <w:r>
              <w:rPr>
                <w:color w:val="231F20"/>
                <w:spacing w:val="-5"/>
                <w:w w:val="110"/>
                <w:sz w:val="15"/>
              </w:rPr>
              <w:t>unavailable</w:t>
            </w:r>
          </w:p>
        </w:tc>
        <w:tc>
          <w:tcPr>
            <w:tcW w:w="1361" w:type="dxa"/>
            <w:shd w:val="clear" w:color="auto" w:fill="D8E3CE"/>
          </w:tcPr>
          <w:p>
            <w:pPr>
              <w:pStyle w:val="TableParagraph"/>
              <w:spacing w:before="74"/>
              <w:ind w:left="79"/>
              <w:rPr>
                <w:sz w:val="15"/>
              </w:rPr>
            </w:pPr>
            <w:r>
              <w:rPr>
                <w:color w:val="231F20"/>
                <w:w w:val="120"/>
                <w:sz w:val="15"/>
              </w:rPr>
              <w:t>100%</w:t>
            </w:r>
          </w:p>
        </w:tc>
        <w:tc>
          <w:tcPr>
            <w:tcW w:w="1361" w:type="dxa"/>
            <w:shd w:val="clear" w:color="auto" w:fill="F2CDBE"/>
          </w:tcPr>
          <w:p>
            <w:pPr>
              <w:pStyle w:val="TableParagraph"/>
              <w:spacing w:line="177" w:lineRule="exact" w:before="75"/>
              <w:ind w:left="78"/>
              <w:rPr>
                <w:b/>
                <w:sz w:val="15"/>
              </w:rPr>
            </w:pPr>
            <w:r>
              <w:rPr>
                <w:b/>
                <w:color w:val="231F20"/>
                <w:w w:val="110"/>
                <w:sz w:val="15"/>
              </w:rPr>
              <w:t>Supreme Court</w:t>
            </w:r>
          </w:p>
          <w:p>
            <w:pPr>
              <w:pStyle w:val="TableParagraph"/>
              <w:spacing w:line="177" w:lineRule="exact"/>
              <w:ind w:left="78"/>
              <w:rPr>
                <w:sz w:val="15"/>
              </w:rPr>
            </w:pPr>
            <w:r>
              <w:rPr>
                <w:color w:val="231F20"/>
                <w:w w:val="110"/>
                <w:sz w:val="15"/>
              </w:rPr>
              <w:t>Data unavailable</w:t>
            </w:r>
          </w:p>
          <w:p>
            <w:pPr>
              <w:pStyle w:val="TableParagraph"/>
              <w:spacing w:line="223" w:lineRule="auto" w:before="53"/>
              <w:ind w:left="78" w:right="476"/>
              <w:rPr>
                <w:b/>
                <w:sz w:val="15"/>
              </w:rPr>
            </w:pPr>
            <w:r>
              <w:rPr>
                <w:b/>
                <w:color w:val="231F20"/>
                <w:w w:val="105"/>
                <w:sz w:val="15"/>
              </w:rPr>
              <w:t>Magistrates </w:t>
            </w:r>
            <w:r>
              <w:rPr>
                <w:b/>
                <w:color w:val="231F20"/>
                <w:w w:val="110"/>
                <w:sz w:val="15"/>
              </w:rPr>
              <w:t>Court</w:t>
            </w:r>
          </w:p>
          <w:p>
            <w:pPr>
              <w:pStyle w:val="TableParagraph"/>
              <w:spacing w:line="173" w:lineRule="exact"/>
              <w:ind w:left="78"/>
              <w:rPr>
                <w:sz w:val="15"/>
              </w:rPr>
            </w:pPr>
            <w:r>
              <w:rPr>
                <w:color w:val="231F20"/>
                <w:w w:val="110"/>
                <w:sz w:val="15"/>
              </w:rPr>
              <w:t>Data unavailable</w:t>
            </w:r>
          </w:p>
        </w:tc>
        <w:tc>
          <w:tcPr>
            <w:tcW w:w="1093" w:type="dxa"/>
            <w:shd w:val="clear" w:color="auto" w:fill="D8E3CE"/>
          </w:tcPr>
          <w:p>
            <w:pPr>
              <w:pStyle w:val="TableParagraph"/>
              <w:spacing w:line="223" w:lineRule="auto" w:before="85"/>
              <w:ind w:left="78" w:right="208"/>
              <w:rPr>
                <w:sz w:val="15"/>
              </w:rPr>
            </w:pPr>
            <w:r>
              <w:rPr>
                <w:b/>
                <w:color w:val="231F20"/>
                <w:w w:val="105"/>
                <w:sz w:val="15"/>
              </w:rPr>
              <w:t>Magistrates </w:t>
            </w:r>
            <w:r>
              <w:rPr>
                <w:b/>
                <w:color w:val="231F20"/>
                <w:w w:val="110"/>
                <w:sz w:val="15"/>
              </w:rPr>
              <w:t>Court </w:t>
            </w:r>
            <w:r>
              <w:rPr>
                <w:color w:val="231F20"/>
                <w:w w:val="110"/>
                <w:sz w:val="15"/>
              </w:rPr>
              <w:t>0%</w:t>
            </w:r>
          </w:p>
          <w:p>
            <w:pPr>
              <w:pStyle w:val="TableParagraph"/>
              <w:spacing w:line="173" w:lineRule="exact"/>
              <w:ind w:left="78"/>
              <w:rPr>
                <w:sz w:val="15"/>
              </w:rPr>
            </w:pPr>
            <w:r>
              <w:rPr>
                <w:color w:val="231F20"/>
                <w:w w:val="110"/>
                <w:sz w:val="15"/>
              </w:rPr>
              <w:t>(2010)</w:t>
            </w:r>
          </w:p>
        </w:tc>
        <w:tc>
          <w:tcPr>
            <w:tcW w:w="1261" w:type="dxa"/>
            <w:shd w:val="clear" w:color="auto" w:fill="F2CDBE"/>
          </w:tcPr>
          <w:p>
            <w:pPr>
              <w:pStyle w:val="TableParagraph"/>
              <w:spacing w:before="74"/>
              <w:ind w:left="77"/>
              <w:rPr>
                <w:sz w:val="15"/>
              </w:rPr>
            </w:pPr>
            <w:r>
              <w:rPr>
                <w:color w:val="231F20"/>
                <w:w w:val="110"/>
                <w:sz w:val="15"/>
              </w:rPr>
              <w:t>Data unavailable</w:t>
            </w:r>
          </w:p>
        </w:tc>
      </w:tr>
    </w:tbl>
    <w:p>
      <w:pPr>
        <w:pStyle w:val="BodyText"/>
        <w:spacing w:before="191"/>
        <w:ind w:left="1700"/>
      </w:pPr>
      <w:r>
        <w:rPr>
          <w:color w:val="231F20"/>
          <w:w w:val="105"/>
        </w:rPr>
        <w:t>Percentage of cases that are granted a court fee waiver – Year 7 Trend Data</w:t>
      </w:r>
    </w:p>
    <w:p>
      <w:pPr>
        <w:pStyle w:val="BodyText"/>
        <w:spacing w:before="7"/>
        <w:rPr>
          <w:sz w:val="6"/>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67"/>
        <w:gridCol w:w="1225"/>
        <w:gridCol w:w="1066"/>
        <w:gridCol w:w="1286"/>
        <w:gridCol w:w="1398"/>
        <w:gridCol w:w="1092"/>
        <w:gridCol w:w="1260"/>
      </w:tblGrid>
      <w:tr>
        <w:trPr>
          <w:trHeight w:val="632" w:hRule="atLeast"/>
        </w:trPr>
        <w:tc>
          <w:tcPr>
            <w:tcW w:w="1167" w:type="dxa"/>
            <w:shd w:val="clear" w:color="auto" w:fill="92BAC2"/>
          </w:tcPr>
          <w:p>
            <w:pPr>
              <w:pStyle w:val="TableParagraph"/>
              <w:spacing w:before="75"/>
              <w:ind w:left="80"/>
              <w:rPr>
                <w:b/>
                <w:sz w:val="15"/>
              </w:rPr>
            </w:pPr>
            <w:r>
              <w:rPr>
                <w:b/>
                <w:color w:val="231F20"/>
                <w:w w:val="110"/>
                <w:sz w:val="15"/>
              </w:rPr>
              <w:t>Cook Islands</w:t>
            </w:r>
          </w:p>
        </w:tc>
        <w:tc>
          <w:tcPr>
            <w:tcW w:w="1225" w:type="dxa"/>
            <w:shd w:val="clear" w:color="auto" w:fill="92BAC2"/>
          </w:tcPr>
          <w:p>
            <w:pPr>
              <w:pStyle w:val="TableParagraph"/>
              <w:spacing w:line="223" w:lineRule="auto" w:before="85"/>
              <w:ind w:left="79" w:right="390"/>
              <w:rPr>
                <w:b/>
                <w:sz w:val="15"/>
              </w:rPr>
            </w:pPr>
            <w:r>
              <w:rPr>
                <w:b/>
                <w:color w:val="231F20"/>
                <w:w w:val="105"/>
                <w:sz w:val="15"/>
              </w:rPr>
              <w:t>Federated States of Micronesia</w:t>
            </w:r>
          </w:p>
        </w:tc>
        <w:tc>
          <w:tcPr>
            <w:tcW w:w="1066" w:type="dxa"/>
            <w:shd w:val="clear" w:color="auto" w:fill="92BAC2"/>
          </w:tcPr>
          <w:p>
            <w:pPr>
              <w:pStyle w:val="TableParagraph"/>
              <w:spacing w:line="223" w:lineRule="auto" w:before="85"/>
              <w:ind w:left="79" w:right="145"/>
              <w:rPr>
                <w:b/>
                <w:sz w:val="15"/>
              </w:rPr>
            </w:pPr>
            <w:r>
              <w:rPr>
                <w:b/>
                <w:color w:val="231F20"/>
                <w:w w:val="110"/>
                <w:sz w:val="15"/>
              </w:rPr>
              <w:t>Kiribati Islands</w:t>
            </w:r>
          </w:p>
        </w:tc>
        <w:tc>
          <w:tcPr>
            <w:tcW w:w="1286" w:type="dxa"/>
            <w:shd w:val="clear" w:color="auto" w:fill="92BAC2"/>
          </w:tcPr>
          <w:p>
            <w:pPr>
              <w:pStyle w:val="TableParagraph"/>
              <w:spacing w:before="75"/>
              <w:ind w:left="79"/>
              <w:rPr>
                <w:b/>
                <w:sz w:val="15"/>
              </w:rPr>
            </w:pPr>
            <w:r>
              <w:rPr>
                <w:b/>
                <w:color w:val="231F20"/>
                <w:w w:val="105"/>
                <w:sz w:val="15"/>
              </w:rPr>
              <w:t>Marshall Islands</w:t>
            </w:r>
          </w:p>
        </w:tc>
        <w:tc>
          <w:tcPr>
            <w:tcW w:w="1398" w:type="dxa"/>
            <w:shd w:val="clear" w:color="auto" w:fill="92BAC2"/>
          </w:tcPr>
          <w:p>
            <w:pPr>
              <w:pStyle w:val="TableParagraph"/>
              <w:spacing w:before="75"/>
              <w:ind w:left="79"/>
              <w:rPr>
                <w:b/>
                <w:sz w:val="15"/>
              </w:rPr>
            </w:pPr>
            <w:r>
              <w:rPr>
                <w:b/>
                <w:color w:val="231F20"/>
                <w:w w:val="110"/>
                <w:sz w:val="15"/>
              </w:rPr>
              <w:t>Nauru</w:t>
            </w:r>
          </w:p>
        </w:tc>
        <w:tc>
          <w:tcPr>
            <w:tcW w:w="1092" w:type="dxa"/>
            <w:shd w:val="clear" w:color="auto" w:fill="92BAC2"/>
          </w:tcPr>
          <w:p>
            <w:pPr>
              <w:pStyle w:val="TableParagraph"/>
              <w:spacing w:before="75"/>
              <w:ind w:left="79"/>
              <w:rPr>
                <w:b/>
                <w:sz w:val="15"/>
              </w:rPr>
            </w:pPr>
            <w:r>
              <w:rPr>
                <w:b/>
                <w:color w:val="231F20"/>
                <w:w w:val="110"/>
                <w:sz w:val="15"/>
              </w:rPr>
              <w:t>Niue</w:t>
            </w:r>
          </w:p>
        </w:tc>
        <w:tc>
          <w:tcPr>
            <w:tcW w:w="1260" w:type="dxa"/>
            <w:shd w:val="clear" w:color="auto" w:fill="92BAC2"/>
          </w:tcPr>
          <w:p>
            <w:pPr>
              <w:pStyle w:val="TableParagraph"/>
              <w:spacing w:before="75"/>
              <w:ind w:left="80"/>
              <w:rPr>
                <w:b/>
                <w:sz w:val="15"/>
              </w:rPr>
            </w:pPr>
            <w:r>
              <w:rPr>
                <w:b/>
                <w:color w:val="231F20"/>
                <w:w w:val="105"/>
                <w:sz w:val="15"/>
              </w:rPr>
              <w:t>Palau</w:t>
            </w:r>
          </w:p>
        </w:tc>
      </w:tr>
      <w:tr>
        <w:trPr>
          <w:trHeight w:val="1492" w:hRule="atLeast"/>
        </w:trPr>
        <w:tc>
          <w:tcPr>
            <w:tcW w:w="1167" w:type="dxa"/>
            <w:shd w:val="clear" w:color="auto" w:fill="D8E3CE"/>
          </w:tcPr>
          <w:p>
            <w:pPr>
              <w:pStyle w:val="TableParagraph"/>
              <w:spacing w:before="74"/>
              <w:ind w:left="80"/>
              <w:rPr>
                <w:sz w:val="15"/>
              </w:rPr>
            </w:pPr>
            <w:r>
              <w:rPr>
                <w:color w:val="231F20"/>
                <w:w w:val="120"/>
                <w:sz w:val="15"/>
              </w:rPr>
              <w:t>0%</w:t>
            </w:r>
          </w:p>
          <w:p>
            <w:pPr>
              <w:pStyle w:val="TableParagraph"/>
              <w:spacing w:line="223" w:lineRule="auto" w:before="54"/>
              <w:ind w:left="80" w:right="79"/>
              <w:rPr>
                <w:sz w:val="15"/>
              </w:rPr>
            </w:pPr>
            <w:r>
              <w:rPr>
                <w:color w:val="231F20"/>
                <w:spacing w:val="-4"/>
                <w:w w:val="110"/>
                <w:sz w:val="15"/>
              </w:rPr>
              <w:t>The </w:t>
            </w:r>
            <w:r>
              <w:rPr>
                <w:b/>
                <w:color w:val="231F20"/>
                <w:w w:val="110"/>
                <w:sz w:val="15"/>
              </w:rPr>
              <w:t>High Court </w:t>
            </w:r>
            <w:r>
              <w:rPr>
                <w:color w:val="231F20"/>
                <w:w w:val="110"/>
                <w:sz w:val="15"/>
              </w:rPr>
              <w:t>does</w:t>
            </w:r>
            <w:r>
              <w:rPr>
                <w:color w:val="231F20"/>
                <w:spacing w:val="-8"/>
                <w:w w:val="110"/>
                <w:sz w:val="15"/>
              </w:rPr>
              <w:t> </w:t>
            </w:r>
            <w:r>
              <w:rPr>
                <w:color w:val="231F20"/>
                <w:spacing w:val="-2"/>
                <w:w w:val="110"/>
                <w:sz w:val="15"/>
              </w:rPr>
              <w:t>not </w:t>
            </w:r>
            <w:r>
              <w:rPr>
                <w:color w:val="231F20"/>
                <w:spacing w:val="-4"/>
                <w:w w:val="110"/>
                <w:sz w:val="15"/>
              </w:rPr>
              <w:t>have </w:t>
            </w:r>
            <w:r>
              <w:rPr>
                <w:color w:val="231F20"/>
                <w:w w:val="110"/>
                <w:sz w:val="15"/>
              </w:rPr>
              <w:t>a </w:t>
            </w:r>
            <w:r>
              <w:rPr>
                <w:color w:val="231F20"/>
                <w:spacing w:val="-2"/>
                <w:w w:val="110"/>
                <w:sz w:val="15"/>
              </w:rPr>
              <w:t>formal </w:t>
            </w:r>
            <w:r>
              <w:rPr>
                <w:color w:val="231F20"/>
                <w:w w:val="110"/>
                <w:sz w:val="15"/>
              </w:rPr>
              <w:t>Court </w:t>
            </w:r>
            <w:r>
              <w:rPr>
                <w:color w:val="231F20"/>
                <w:spacing w:val="-2"/>
                <w:w w:val="110"/>
                <w:sz w:val="15"/>
              </w:rPr>
              <w:t>fee </w:t>
            </w:r>
            <w:r>
              <w:rPr>
                <w:color w:val="231F20"/>
                <w:spacing w:val="-3"/>
                <w:w w:val="110"/>
                <w:sz w:val="15"/>
              </w:rPr>
              <w:t>waiver</w:t>
            </w:r>
            <w:r>
              <w:rPr>
                <w:color w:val="231F20"/>
                <w:spacing w:val="6"/>
                <w:w w:val="110"/>
                <w:sz w:val="15"/>
              </w:rPr>
              <w:t> </w:t>
            </w:r>
            <w:r>
              <w:rPr>
                <w:color w:val="231F20"/>
                <w:spacing w:val="-3"/>
                <w:w w:val="110"/>
                <w:sz w:val="15"/>
              </w:rPr>
              <w:t>policy</w:t>
            </w:r>
          </w:p>
        </w:tc>
        <w:tc>
          <w:tcPr>
            <w:tcW w:w="1225" w:type="dxa"/>
            <w:shd w:val="clear" w:color="auto" w:fill="D8E3CE"/>
          </w:tcPr>
          <w:p>
            <w:pPr>
              <w:pStyle w:val="TableParagraph"/>
              <w:spacing w:before="74"/>
              <w:ind w:left="79"/>
              <w:rPr>
                <w:sz w:val="15"/>
              </w:rPr>
            </w:pPr>
            <w:r>
              <w:rPr>
                <w:color w:val="231F20"/>
                <w:w w:val="120"/>
                <w:sz w:val="15"/>
              </w:rPr>
              <w:t>100%</w:t>
            </w:r>
          </w:p>
          <w:p>
            <w:pPr>
              <w:pStyle w:val="TableParagraph"/>
              <w:spacing w:line="223" w:lineRule="auto" w:before="54"/>
              <w:ind w:left="79" w:right="102"/>
              <w:rPr>
                <w:sz w:val="15"/>
              </w:rPr>
            </w:pPr>
            <w:r>
              <w:rPr>
                <w:color w:val="231F20"/>
                <w:w w:val="110"/>
                <w:sz w:val="15"/>
              </w:rPr>
              <w:t>There are no fees for cases in the Supreme Court (except in bankruptcy matters).</w:t>
            </w:r>
          </w:p>
        </w:tc>
        <w:tc>
          <w:tcPr>
            <w:tcW w:w="1066" w:type="dxa"/>
            <w:shd w:val="clear" w:color="auto" w:fill="D8E3CE"/>
          </w:tcPr>
          <w:p>
            <w:pPr>
              <w:pStyle w:val="TableParagraph"/>
              <w:spacing w:line="223" w:lineRule="auto" w:before="85"/>
              <w:ind w:left="79" w:right="23"/>
              <w:rPr>
                <w:sz w:val="15"/>
              </w:rPr>
            </w:pPr>
            <w:r>
              <w:rPr>
                <w:b/>
                <w:color w:val="231F20"/>
                <w:w w:val="110"/>
                <w:sz w:val="15"/>
              </w:rPr>
              <w:t>Court of Appeal</w:t>
            </w:r>
            <w:r>
              <w:rPr>
                <w:color w:val="231F20"/>
                <w:w w:val="110"/>
                <w:sz w:val="15"/>
              </w:rPr>
              <w:t>: in 14% of cases the court fee was waived.</w:t>
            </w:r>
          </w:p>
        </w:tc>
        <w:tc>
          <w:tcPr>
            <w:tcW w:w="1286" w:type="dxa"/>
            <w:shd w:val="clear" w:color="auto" w:fill="D8E3CE"/>
          </w:tcPr>
          <w:p>
            <w:pPr>
              <w:pStyle w:val="TableParagraph"/>
              <w:spacing w:before="74"/>
              <w:ind w:left="79"/>
              <w:rPr>
                <w:sz w:val="15"/>
              </w:rPr>
            </w:pPr>
            <w:r>
              <w:rPr>
                <w:color w:val="231F20"/>
                <w:w w:val="120"/>
                <w:sz w:val="15"/>
              </w:rPr>
              <w:t>0%</w:t>
            </w:r>
          </w:p>
          <w:p>
            <w:pPr>
              <w:pStyle w:val="TableParagraph"/>
              <w:spacing w:line="223" w:lineRule="auto" w:before="54"/>
              <w:ind w:left="79" w:right="337"/>
              <w:rPr>
                <w:sz w:val="15"/>
              </w:rPr>
            </w:pPr>
            <w:r>
              <w:rPr>
                <w:color w:val="231F20"/>
                <w:w w:val="110"/>
                <w:sz w:val="15"/>
              </w:rPr>
              <w:t>In 2017, no applicant in a </w:t>
            </w:r>
            <w:r>
              <w:rPr>
                <w:color w:val="231F20"/>
                <w:spacing w:val="-3"/>
                <w:w w:val="110"/>
                <w:sz w:val="15"/>
              </w:rPr>
              <w:t>civil </w:t>
            </w:r>
            <w:r>
              <w:rPr>
                <w:color w:val="231F20"/>
                <w:spacing w:val="-2"/>
                <w:w w:val="110"/>
                <w:sz w:val="15"/>
              </w:rPr>
              <w:t>matter </w:t>
            </w:r>
            <w:r>
              <w:rPr>
                <w:color w:val="231F20"/>
                <w:w w:val="110"/>
                <w:sz w:val="15"/>
              </w:rPr>
              <w:t>requested a </w:t>
            </w:r>
            <w:r>
              <w:rPr>
                <w:color w:val="231F20"/>
                <w:spacing w:val="-3"/>
                <w:w w:val="110"/>
                <w:sz w:val="15"/>
              </w:rPr>
              <w:t>waiver </w:t>
            </w:r>
            <w:r>
              <w:rPr>
                <w:color w:val="231F20"/>
                <w:w w:val="110"/>
                <w:sz w:val="15"/>
              </w:rPr>
              <w:t>of </w:t>
            </w:r>
            <w:r>
              <w:rPr>
                <w:color w:val="231F20"/>
                <w:spacing w:val="-2"/>
                <w:w w:val="110"/>
                <w:sz w:val="15"/>
              </w:rPr>
              <w:t>the </w:t>
            </w:r>
            <w:r>
              <w:rPr>
                <w:color w:val="231F20"/>
                <w:w w:val="110"/>
                <w:sz w:val="15"/>
              </w:rPr>
              <w:t>court fee.</w:t>
            </w:r>
          </w:p>
        </w:tc>
        <w:tc>
          <w:tcPr>
            <w:tcW w:w="1398" w:type="dxa"/>
            <w:shd w:val="clear" w:color="auto" w:fill="F2CDBE"/>
          </w:tcPr>
          <w:p>
            <w:pPr>
              <w:pStyle w:val="TableParagraph"/>
              <w:spacing w:before="74"/>
              <w:ind w:left="79"/>
              <w:rPr>
                <w:sz w:val="15"/>
              </w:rPr>
            </w:pPr>
            <w:r>
              <w:rPr>
                <w:color w:val="231F20"/>
                <w:w w:val="110"/>
                <w:sz w:val="15"/>
              </w:rPr>
              <w:t>Data unavailable</w:t>
            </w:r>
          </w:p>
        </w:tc>
        <w:tc>
          <w:tcPr>
            <w:tcW w:w="1092" w:type="dxa"/>
            <w:shd w:val="clear" w:color="auto" w:fill="D8E3CE"/>
          </w:tcPr>
          <w:p>
            <w:pPr>
              <w:pStyle w:val="TableParagraph"/>
              <w:spacing w:before="74"/>
              <w:ind w:left="79"/>
              <w:rPr>
                <w:sz w:val="15"/>
              </w:rPr>
            </w:pPr>
            <w:r>
              <w:rPr>
                <w:color w:val="231F20"/>
                <w:w w:val="120"/>
                <w:sz w:val="15"/>
              </w:rPr>
              <w:t>0%</w:t>
            </w:r>
          </w:p>
        </w:tc>
        <w:tc>
          <w:tcPr>
            <w:tcW w:w="1260" w:type="dxa"/>
            <w:shd w:val="clear" w:color="auto" w:fill="D8E3CE"/>
          </w:tcPr>
          <w:p>
            <w:pPr>
              <w:pStyle w:val="TableParagraph"/>
              <w:spacing w:before="74"/>
              <w:ind w:left="80"/>
              <w:rPr>
                <w:sz w:val="15"/>
              </w:rPr>
            </w:pPr>
            <w:r>
              <w:rPr>
                <w:color w:val="231F20"/>
                <w:w w:val="120"/>
                <w:sz w:val="15"/>
              </w:rPr>
              <w:t>0%</w:t>
            </w:r>
          </w:p>
        </w:tc>
      </w:tr>
      <w:tr>
        <w:trPr>
          <w:trHeight w:val="462" w:hRule="atLeast"/>
        </w:trPr>
        <w:tc>
          <w:tcPr>
            <w:tcW w:w="1167" w:type="dxa"/>
            <w:shd w:val="clear" w:color="auto" w:fill="92BAC2"/>
          </w:tcPr>
          <w:p>
            <w:pPr>
              <w:pStyle w:val="TableParagraph"/>
              <w:spacing w:line="223" w:lineRule="auto" w:before="85"/>
              <w:ind w:left="80"/>
              <w:rPr>
                <w:b/>
                <w:sz w:val="15"/>
              </w:rPr>
            </w:pPr>
            <w:r>
              <w:rPr>
                <w:b/>
                <w:color w:val="231F20"/>
                <w:w w:val="110"/>
                <w:sz w:val="15"/>
              </w:rPr>
              <w:t>Papua New Guinea</w:t>
            </w:r>
          </w:p>
        </w:tc>
        <w:tc>
          <w:tcPr>
            <w:tcW w:w="1225" w:type="dxa"/>
            <w:shd w:val="clear" w:color="auto" w:fill="92BAC2"/>
          </w:tcPr>
          <w:p>
            <w:pPr>
              <w:pStyle w:val="TableParagraph"/>
              <w:spacing w:before="75"/>
              <w:ind w:left="79"/>
              <w:rPr>
                <w:b/>
                <w:sz w:val="15"/>
              </w:rPr>
            </w:pPr>
            <w:r>
              <w:rPr>
                <w:b/>
                <w:color w:val="231F20"/>
                <w:w w:val="105"/>
                <w:sz w:val="15"/>
              </w:rPr>
              <w:t>Samoa</w:t>
            </w:r>
          </w:p>
        </w:tc>
        <w:tc>
          <w:tcPr>
            <w:tcW w:w="1066" w:type="dxa"/>
            <w:shd w:val="clear" w:color="auto" w:fill="92BAC2"/>
          </w:tcPr>
          <w:p>
            <w:pPr>
              <w:pStyle w:val="TableParagraph"/>
              <w:spacing w:line="223" w:lineRule="auto" w:before="85"/>
              <w:ind w:left="79" w:right="377"/>
              <w:rPr>
                <w:b/>
                <w:sz w:val="15"/>
              </w:rPr>
            </w:pPr>
            <w:r>
              <w:rPr>
                <w:b/>
                <w:color w:val="231F20"/>
                <w:w w:val="105"/>
                <w:sz w:val="15"/>
              </w:rPr>
              <w:t>Solomon </w:t>
            </w:r>
            <w:r>
              <w:rPr>
                <w:b/>
                <w:color w:val="231F20"/>
                <w:w w:val="110"/>
                <w:sz w:val="15"/>
              </w:rPr>
              <w:t>Islands</w:t>
            </w:r>
          </w:p>
        </w:tc>
        <w:tc>
          <w:tcPr>
            <w:tcW w:w="1286" w:type="dxa"/>
            <w:shd w:val="clear" w:color="auto" w:fill="92BAC2"/>
          </w:tcPr>
          <w:p>
            <w:pPr>
              <w:pStyle w:val="TableParagraph"/>
              <w:spacing w:before="75"/>
              <w:ind w:left="79"/>
              <w:rPr>
                <w:b/>
                <w:sz w:val="15"/>
              </w:rPr>
            </w:pPr>
            <w:r>
              <w:rPr>
                <w:b/>
                <w:color w:val="231F20"/>
                <w:w w:val="110"/>
                <w:sz w:val="15"/>
              </w:rPr>
              <w:t>Tokelau</w:t>
            </w:r>
          </w:p>
        </w:tc>
        <w:tc>
          <w:tcPr>
            <w:tcW w:w="1398" w:type="dxa"/>
            <w:shd w:val="clear" w:color="auto" w:fill="92BAC2"/>
          </w:tcPr>
          <w:p>
            <w:pPr>
              <w:pStyle w:val="TableParagraph"/>
              <w:spacing w:before="75"/>
              <w:ind w:left="79"/>
              <w:rPr>
                <w:b/>
                <w:sz w:val="15"/>
              </w:rPr>
            </w:pPr>
            <w:r>
              <w:rPr>
                <w:b/>
                <w:color w:val="231F20"/>
                <w:w w:val="110"/>
                <w:sz w:val="15"/>
              </w:rPr>
              <w:t>Tonga</w:t>
            </w:r>
          </w:p>
        </w:tc>
        <w:tc>
          <w:tcPr>
            <w:tcW w:w="1092" w:type="dxa"/>
            <w:shd w:val="clear" w:color="auto" w:fill="92BAC2"/>
          </w:tcPr>
          <w:p>
            <w:pPr>
              <w:pStyle w:val="TableParagraph"/>
              <w:spacing w:before="75"/>
              <w:ind w:left="79"/>
              <w:rPr>
                <w:b/>
                <w:sz w:val="15"/>
              </w:rPr>
            </w:pPr>
            <w:r>
              <w:rPr>
                <w:b/>
                <w:color w:val="231F20"/>
                <w:w w:val="110"/>
                <w:sz w:val="15"/>
              </w:rPr>
              <w:t>Tuvalu</w:t>
            </w:r>
          </w:p>
        </w:tc>
        <w:tc>
          <w:tcPr>
            <w:tcW w:w="1260" w:type="dxa"/>
            <w:shd w:val="clear" w:color="auto" w:fill="92BAC2"/>
          </w:tcPr>
          <w:p>
            <w:pPr>
              <w:pStyle w:val="TableParagraph"/>
              <w:spacing w:before="75"/>
              <w:ind w:left="80"/>
              <w:rPr>
                <w:b/>
                <w:sz w:val="15"/>
              </w:rPr>
            </w:pPr>
            <w:r>
              <w:rPr>
                <w:b/>
                <w:color w:val="231F20"/>
                <w:w w:val="105"/>
                <w:sz w:val="15"/>
              </w:rPr>
              <w:t>Vanuatu</w:t>
            </w:r>
          </w:p>
        </w:tc>
      </w:tr>
      <w:tr>
        <w:trPr>
          <w:trHeight w:val="2531" w:hRule="atLeast"/>
        </w:trPr>
        <w:tc>
          <w:tcPr>
            <w:tcW w:w="1167" w:type="dxa"/>
            <w:shd w:val="clear" w:color="auto" w:fill="D8E3CE"/>
          </w:tcPr>
          <w:p>
            <w:pPr>
              <w:pStyle w:val="TableParagraph"/>
              <w:spacing w:line="223" w:lineRule="auto" w:before="85"/>
              <w:ind w:left="80" w:right="103"/>
              <w:rPr>
                <w:sz w:val="15"/>
              </w:rPr>
            </w:pPr>
            <w:r>
              <w:rPr>
                <w:b/>
                <w:color w:val="231F20"/>
                <w:w w:val="110"/>
                <w:sz w:val="15"/>
              </w:rPr>
              <w:t>National Court</w:t>
            </w:r>
            <w:r>
              <w:rPr>
                <w:color w:val="231F20"/>
                <w:w w:val="110"/>
                <w:sz w:val="15"/>
              </w:rPr>
              <w:t>: All cases in the Human Rights track are</w:t>
            </w:r>
          </w:p>
          <w:p>
            <w:pPr>
              <w:pStyle w:val="TableParagraph"/>
              <w:spacing w:line="223" w:lineRule="auto"/>
              <w:ind w:left="80" w:right="237"/>
              <w:rPr>
                <w:sz w:val="15"/>
              </w:rPr>
            </w:pPr>
            <w:r>
              <w:rPr>
                <w:color w:val="231F20"/>
                <w:w w:val="105"/>
                <w:sz w:val="15"/>
              </w:rPr>
              <w:t>filed without a court fee.</w:t>
            </w:r>
          </w:p>
          <w:p>
            <w:pPr>
              <w:pStyle w:val="TableParagraph"/>
              <w:spacing w:line="223" w:lineRule="auto"/>
              <w:ind w:left="80" w:right="85"/>
              <w:rPr>
                <w:sz w:val="15"/>
              </w:rPr>
            </w:pPr>
            <w:r>
              <w:rPr>
                <w:color w:val="231F20"/>
                <w:spacing w:val="-3"/>
                <w:w w:val="110"/>
                <w:sz w:val="15"/>
              </w:rPr>
              <w:t>These </w:t>
            </w:r>
            <w:r>
              <w:rPr>
                <w:color w:val="231F20"/>
                <w:w w:val="110"/>
                <w:sz w:val="15"/>
              </w:rPr>
              <w:t>cases comprised 6 % of cases filed in the</w:t>
            </w:r>
            <w:r>
              <w:rPr>
                <w:color w:val="231F20"/>
                <w:spacing w:val="-16"/>
                <w:w w:val="110"/>
                <w:sz w:val="15"/>
              </w:rPr>
              <w:t> </w:t>
            </w:r>
            <w:r>
              <w:rPr>
                <w:color w:val="231F20"/>
                <w:w w:val="110"/>
                <w:sz w:val="15"/>
              </w:rPr>
              <w:t>National Court in 2017.</w:t>
            </w:r>
          </w:p>
        </w:tc>
        <w:tc>
          <w:tcPr>
            <w:tcW w:w="1225" w:type="dxa"/>
            <w:shd w:val="clear" w:color="auto" w:fill="D8E3CE"/>
          </w:tcPr>
          <w:p>
            <w:pPr>
              <w:pStyle w:val="TableParagraph"/>
              <w:spacing w:line="223" w:lineRule="auto" w:before="85"/>
              <w:ind w:left="79" w:right="141"/>
              <w:rPr>
                <w:sz w:val="15"/>
              </w:rPr>
            </w:pPr>
            <w:r>
              <w:rPr>
                <w:b/>
                <w:color w:val="231F20"/>
                <w:w w:val="110"/>
                <w:sz w:val="15"/>
              </w:rPr>
              <w:t>Family Court</w:t>
            </w:r>
            <w:r>
              <w:rPr>
                <w:color w:val="231F20"/>
                <w:w w:val="110"/>
                <w:sz w:val="15"/>
              </w:rPr>
              <w:t>: no fees charged for an</w:t>
            </w:r>
          </w:p>
          <w:p>
            <w:pPr>
              <w:pStyle w:val="TableParagraph"/>
              <w:spacing w:line="223" w:lineRule="auto"/>
              <w:ind w:left="79" w:right="15"/>
              <w:rPr>
                <w:sz w:val="15"/>
              </w:rPr>
            </w:pPr>
            <w:r>
              <w:rPr>
                <w:color w:val="231F20"/>
                <w:w w:val="110"/>
                <w:sz w:val="15"/>
              </w:rPr>
              <w:t>application for a </w:t>
            </w:r>
            <w:r>
              <w:rPr>
                <w:color w:val="231F20"/>
                <w:w w:val="105"/>
                <w:sz w:val="15"/>
              </w:rPr>
              <w:t>protection order </w:t>
            </w:r>
            <w:r>
              <w:rPr>
                <w:color w:val="231F20"/>
                <w:w w:val="110"/>
                <w:sz w:val="15"/>
              </w:rPr>
              <w:t>or maintenance. No fee waivers granted in</w:t>
            </w:r>
          </w:p>
          <w:p>
            <w:pPr>
              <w:pStyle w:val="TableParagraph"/>
              <w:spacing w:line="223" w:lineRule="auto"/>
              <w:ind w:left="79" w:right="251"/>
              <w:rPr>
                <w:sz w:val="15"/>
              </w:rPr>
            </w:pPr>
            <w:r>
              <w:rPr>
                <w:color w:val="231F20"/>
                <w:w w:val="110"/>
                <w:sz w:val="15"/>
              </w:rPr>
              <w:t>any divorce or adoption </w:t>
            </w:r>
            <w:r>
              <w:rPr>
                <w:color w:val="231F20"/>
                <w:w w:val="105"/>
                <w:sz w:val="15"/>
              </w:rPr>
              <w:t>matters (0%).</w:t>
            </w:r>
          </w:p>
        </w:tc>
        <w:tc>
          <w:tcPr>
            <w:tcW w:w="1066" w:type="dxa"/>
            <w:shd w:val="clear" w:color="auto" w:fill="D8E3CE"/>
          </w:tcPr>
          <w:p>
            <w:pPr>
              <w:pStyle w:val="TableParagraph"/>
              <w:spacing w:line="223" w:lineRule="auto" w:before="85"/>
              <w:ind w:left="79" w:right="23"/>
              <w:rPr>
                <w:sz w:val="15"/>
              </w:rPr>
            </w:pPr>
            <w:r>
              <w:rPr>
                <w:b/>
                <w:color w:val="231F20"/>
                <w:w w:val="110"/>
                <w:sz w:val="15"/>
              </w:rPr>
              <w:t>Court of Appeal</w:t>
            </w:r>
            <w:r>
              <w:rPr>
                <w:color w:val="231F20"/>
                <w:w w:val="110"/>
                <w:sz w:val="15"/>
              </w:rPr>
              <w:t>: 1 fee</w:t>
            </w:r>
          </w:p>
          <w:p>
            <w:pPr>
              <w:pStyle w:val="TableParagraph"/>
              <w:spacing w:line="173" w:lineRule="exact"/>
              <w:ind w:left="79"/>
              <w:rPr>
                <w:sz w:val="15"/>
              </w:rPr>
            </w:pPr>
            <w:r>
              <w:rPr>
                <w:color w:val="231F20"/>
                <w:w w:val="110"/>
                <w:sz w:val="15"/>
              </w:rPr>
              <w:t>waiver (2%)</w:t>
            </w:r>
          </w:p>
        </w:tc>
        <w:tc>
          <w:tcPr>
            <w:tcW w:w="1286" w:type="dxa"/>
            <w:shd w:val="clear" w:color="auto" w:fill="D8E3CE"/>
          </w:tcPr>
          <w:p>
            <w:pPr>
              <w:pStyle w:val="TableParagraph"/>
              <w:spacing w:before="74"/>
              <w:ind w:left="79"/>
              <w:rPr>
                <w:sz w:val="15"/>
              </w:rPr>
            </w:pPr>
            <w:r>
              <w:rPr>
                <w:color w:val="231F20"/>
                <w:w w:val="120"/>
                <w:sz w:val="15"/>
              </w:rPr>
              <w:t>100%</w:t>
            </w:r>
          </w:p>
        </w:tc>
        <w:tc>
          <w:tcPr>
            <w:tcW w:w="1398" w:type="dxa"/>
            <w:shd w:val="clear" w:color="auto" w:fill="D8E3CE"/>
          </w:tcPr>
          <w:p>
            <w:pPr>
              <w:pStyle w:val="TableParagraph"/>
              <w:spacing w:line="177" w:lineRule="exact" w:before="74"/>
              <w:ind w:left="79"/>
              <w:rPr>
                <w:sz w:val="15"/>
              </w:rPr>
            </w:pPr>
            <w:r>
              <w:rPr>
                <w:color w:val="231F20"/>
                <w:w w:val="120"/>
                <w:sz w:val="15"/>
              </w:rPr>
              <w:t>0%</w:t>
            </w:r>
          </w:p>
          <w:p>
            <w:pPr>
              <w:pStyle w:val="TableParagraph"/>
              <w:spacing w:line="223" w:lineRule="auto" w:before="4"/>
              <w:ind w:left="79" w:right="68"/>
              <w:rPr>
                <w:sz w:val="15"/>
              </w:rPr>
            </w:pPr>
            <w:r>
              <w:rPr>
                <w:color w:val="231F20"/>
                <w:w w:val="110"/>
                <w:sz w:val="15"/>
              </w:rPr>
              <w:t>There is presently no statutory authority for the </w:t>
            </w:r>
            <w:r>
              <w:rPr>
                <w:color w:val="231F20"/>
                <w:w w:val="105"/>
                <w:sz w:val="15"/>
              </w:rPr>
              <w:t>Superior Courts to </w:t>
            </w:r>
            <w:r>
              <w:rPr>
                <w:color w:val="231F20"/>
                <w:w w:val="110"/>
                <w:sz w:val="15"/>
              </w:rPr>
              <w:t>grant fee waivers. There were no applications for fee waivers in this reporting period. The percentage of cases where fee waivers are given is therefore 0%.</w:t>
            </w:r>
          </w:p>
        </w:tc>
        <w:tc>
          <w:tcPr>
            <w:tcW w:w="1092" w:type="dxa"/>
            <w:shd w:val="clear" w:color="auto" w:fill="F2CDBE"/>
          </w:tcPr>
          <w:p>
            <w:pPr>
              <w:pStyle w:val="TableParagraph"/>
              <w:spacing w:line="223" w:lineRule="auto" w:before="84"/>
              <w:ind w:left="79"/>
              <w:rPr>
                <w:sz w:val="15"/>
              </w:rPr>
            </w:pPr>
            <w:r>
              <w:rPr>
                <w:color w:val="231F20"/>
                <w:w w:val="110"/>
                <w:sz w:val="15"/>
              </w:rPr>
              <w:t>Data unavailable</w:t>
            </w:r>
          </w:p>
        </w:tc>
        <w:tc>
          <w:tcPr>
            <w:tcW w:w="1260" w:type="dxa"/>
            <w:shd w:val="clear" w:color="auto" w:fill="D8E3CE"/>
          </w:tcPr>
          <w:p>
            <w:pPr>
              <w:pStyle w:val="TableParagraph"/>
              <w:spacing w:line="223" w:lineRule="auto" w:before="84"/>
              <w:ind w:left="80" w:right="117"/>
              <w:rPr>
                <w:sz w:val="15"/>
              </w:rPr>
            </w:pPr>
            <w:r>
              <w:rPr>
                <w:color w:val="231F20"/>
                <w:w w:val="105"/>
                <w:sz w:val="15"/>
              </w:rPr>
              <w:t>All </w:t>
            </w:r>
            <w:r>
              <w:rPr>
                <w:color w:val="231F20"/>
                <w:spacing w:val="-2"/>
                <w:w w:val="105"/>
                <w:sz w:val="15"/>
              </w:rPr>
              <w:t>family </w:t>
            </w:r>
            <w:r>
              <w:rPr>
                <w:color w:val="231F20"/>
                <w:w w:val="105"/>
                <w:sz w:val="15"/>
              </w:rPr>
              <w:t>protection orders issued </w:t>
            </w:r>
            <w:r>
              <w:rPr>
                <w:color w:val="231F20"/>
                <w:spacing w:val="-3"/>
                <w:w w:val="105"/>
                <w:sz w:val="15"/>
              </w:rPr>
              <w:t>by </w:t>
            </w:r>
            <w:r>
              <w:rPr>
                <w:color w:val="231F20"/>
                <w:w w:val="105"/>
                <w:sz w:val="15"/>
              </w:rPr>
              <w:t>the </w:t>
            </w:r>
            <w:r>
              <w:rPr>
                <w:color w:val="231F20"/>
                <w:spacing w:val="-3"/>
                <w:w w:val="105"/>
                <w:sz w:val="15"/>
              </w:rPr>
              <w:t>Magistrates </w:t>
            </w:r>
            <w:r>
              <w:rPr>
                <w:color w:val="231F20"/>
                <w:w w:val="105"/>
                <w:sz w:val="15"/>
              </w:rPr>
              <w:t>Court had </w:t>
            </w:r>
            <w:r>
              <w:rPr>
                <w:color w:val="231F20"/>
                <w:spacing w:val="-2"/>
                <w:w w:val="105"/>
                <w:sz w:val="15"/>
              </w:rPr>
              <w:t>the </w:t>
            </w:r>
            <w:r>
              <w:rPr>
                <w:color w:val="231F20"/>
                <w:w w:val="105"/>
                <w:sz w:val="15"/>
              </w:rPr>
              <w:t>fee </w:t>
            </w:r>
            <w:r>
              <w:rPr>
                <w:color w:val="231F20"/>
                <w:spacing w:val="-3"/>
                <w:w w:val="105"/>
                <w:sz w:val="15"/>
              </w:rPr>
              <w:t>waived: </w:t>
            </w:r>
            <w:r>
              <w:rPr>
                <w:color w:val="231F20"/>
                <w:w w:val="105"/>
                <w:sz w:val="15"/>
              </w:rPr>
              <w:t>this </w:t>
            </w:r>
            <w:r>
              <w:rPr>
                <w:color w:val="231F20"/>
                <w:spacing w:val="-3"/>
                <w:w w:val="105"/>
                <w:sz w:val="15"/>
              </w:rPr>
              <w:t>was </w:t>
            </w:r>
            <w:r>
              <w:rPr>
                <w:color w:val="231F20"/>
                <w:w w:val="105"/>
                <w:sz w:val="15"/>
              </w:rPr>
              <w:t>824 cases or 40% of </w:t>
            </w:r>
            <w:r>
              <w:rPr>
                <w:color w:val="231F20"/>
                <w:spacing w:val="-2"/>
                <w:w w:val="105"/>
                <w:sz w:val="15"/>
              </w:rPr>
              <w:t>all </w:t>
            </w:r>
            <w:r>
              <w:rPr>
                <w:color w:val="231F20"/>
                <w:spacing w:val="-3"/>
                <w:w w:val="105"/>
                <w:sz w:val="15"/>
              </w:rPr>
              <w:t>Magistrates </w:t>
            </w:r>
            <w:r>
              <w:rPr>
                <w:color w:val="231F20"/>
                <w:w w:val="105"/>
                <w:sz w:val="15"/>
              </w:rPr>
              <w:t>Court</w:t>
            </w:r>
            <w:r>
              <w:rPr>
                <w:color w:val="231F20"/>
                <w:spacing w:val="5"/>
                <w:w w:val="105"/>
                <w:sz w:val="15"/>
              </w:rPr>
              <w:t> </w:t>
            </w:r>
            <w:r>
              <w:rPr>
                <w:color w:val="231F20"/>
                <w:spacing w:val="-2"/>
                <w:w w:val="105"/>
                <w:sz w:val="15"/>
              </w:rPr>
              <w:t>cases.</w:t>
            </w:r>
          </w:p>
        </w:tc>
      </w:tr>
    </w:tbl>
    <w:p>
      <w:pPr>
        <w:spacing w:after="0" w:line="223" w:lineRule="auto"/>
        <w:rPr>
          <w:sz w:val="15"/>
        </w:rPr>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88920"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31</w:t>
      </w:r>
    </w:p>
    <w:p>
      <w:pPr>
        <w:pStyle w:val="BodyText"/>
        <w:rPr>
          <w:sz w:val="38"/>
        </w:rPr>
      </w:pPr>
    </w:p>
    <w:p>
      <w:pPr>
        <w:pStyle w:val="BodyText"/>
        <w:spacing w:before="6"/>
        <w:rPr>
          <w:sz w:val="53"/>
        </w:rPr>
      </w:pPr>
    </w:p>
    <w:p>
      <w:pPr>
        <w:pStyle w:val="Heading5"/>
        <w:spacing w:line="196" w:lineRule="auto"/>
        <w:ind w:right="1501"/>
      </w:pPr>
      <w:r>
        <w:rPr/>
        <w:pict>
          <v:shape style="position:absolute;margin-left:85.039001pt;margin-top:36.578777pt;width:425.2pt;height:44.8pt;mso-position-horizontal-relative:page;mso-position-vertical-relative:paragraph;z-index:10480;mso-wrap-distance-left:0;mso-wrap-distance-right:0" type="#_x0000_t202" filled="true" fillcolor="#dcdbca" stroked="false">
            <v:textbox inset="0,0,0,0">
              <w:txbxContent>
                <w:p>
                  <w:pPr>
                    <w:pStyle w:val="BodyText"/>
                    <w:spacing w:line="252" w:lineRule="auto" w:before="135"/>
                    <w:ind w:left="56"/>
                  </w:pPr>
                  <w:r>
                    <w:rPr>
                      <w:color w:val="231F20"/>
                      <w:w w:val="105"/>
                    </w:rPr>
                    <w:t>The result against this indicator is obtained by dividing the number of cases where a party receives legal aid by the total number of cases filed.</w:t>
                  </w:r>
                </w:p>
              </w:txbxContent>
            </v:textbox>
            <v:fill type="solid"/>
            <w10:wrap type="topAndBottom"/>
          </v:shape>
        </w:pict>
      </w:r>
      <w:r>
        <w:rPr/>
        <w:pict>
          <v:rect style="position:absolute;margin-left:85.039398pt;margin-top:35.578777pt;width:425.197pt;height:1pt;mso-position-horizontal-relative:page;mso-position-vertical-relative:paragraph;z-index:10768" filled="true" fillcolor="#0f6161" stroked="false">
            <v:fill type="solid"/>
            <w10:wrap type="none"/>
          </v:rect>
        </w:pict>
      </w:r>
      <w:r>
        <w:rPr/>
        <w:pict>
          <v:shape style="position:absolute;margin-left:85.039001pt;margin-top:-5.079123pt;width:93.55pt;height:40.7pt;mso-position-horizontal-relative:page;mso-position-vertical-relative:paragraph;z-index:10792" type="#_x0000_t202" filled="true" fillcolor="#7d8440" stroked="false">
            <v:textbox inset="0,0,0,0">
              <w:txbxContent>
                <w:p>
                  <w:pPr>
                    <w:spacing w:before="46"/>
                    <w:ind w:left="56" w:right="0" w:firstLine="0"/>
                    <w:jc w:val="left"/>
                    <w:rPr>
                      <w:b/>
                      <w:sz w:val="32"/>
                    </w:rPr>
                  </w:pPr>
                  <w:r>
                    <w:rPr>
                      <w:b/>
                      <w:color w:val="FFFFFF"/>
                      <w:w w:val="110"/>
                      <w:sz w:val="32"/>
                    </w:rPr>
                    <w:t>Indicator 7</w:t>
                  </w:r>
                </w:p>
              </w:txbxContent>
            </v:textbox>
            <v:fill type="solid"/>
            <w10:wrap type="none"/>
          </v:shape>
        </w:pict>
      </w:r>
      <w:r>
        <w:rPr>
          <w:color w:val="0F6161"/>
          <w:w w:val="105"/>
        </w:rPr>
        <w:t>Percentage of Cases Where a Party Receives Legal Aid</w:t>
      </w:r>
    </w:p>
    <w:p>
      <w:pPr>
        <w:pStyle w:val="BodyText"/>
        <w:spacing w:before="6"/>
        <w:rPr>
          <w:sz w:val="6"/>
        </w:rPr>
      </w:pPr>
    </w:p>
    <w:p>
      <w:pPr>
        <w:spacing w:before="87"/>
        <w:ind w:left="1700" w:right="0" w:firstLine="0"/>
        <w:jc w:val="left"/>
        <w:rPr>
          <w:sz w:val="40"/>
        </w:rPr>
      </w:pPr>
      <w:r>
        <w:rPr>
          <w:color w:val="0F6161"/>
          <w:w w:val="105"/>
          <w:sz w:val="40"/>
        </w:rPr>
        <w:t>What has changed?</w:t>
      </w:r>
    </w:p>
    <w:p>
      <w:pPr>
        <w:tabs>
          <w:tab w:pos="3571" w:val="left" w:leader="none"/>
          <w:tab w:pos="5896" w:val="left" w:leader="none"/>
          <w:tab w:pos="8163" w:val="left" w:leader="none"/>
        </w:tabs>
        <w:spacing w:line="240" w:lineRule="auto"/>
        <w:ind w:left="1700" w:right="0" w:firstLine="0"/>
        <w:rPr>
          <w:sz w:val="20"/>
        </w:rPr>
      </w:pPr>
      <w:r>
        <w:rPr>
          <w:position w:val="146"/>
          <w:sz w:val="20"/>
        </w:rPr>
        <w:pict>
          <v:group style="width:79.4pt;height:22.7pt;mso-position-horizontal-relative:char;mso-position-vertical-relative:line" coordorigin="0,0" coordsize="1588,454">
            <v:shape style="position:absolute;left:0;top:0;width:1588;height:454" coordorigin="0,0" coordsize="1588,454" path="m1387,0l0,0,0,454,1387,454,1503,450,1562,429,1584,369,1587,254,1587,200,1584,84,1562,25,1503,3,1387,0xe" filled="true" fillcolor="#7d8440" stroked="false">
              <v:path arrowok="t"/>
              <v:fill type="solid"/>
            </v:shape>
            <v:shape style="position:absolute;left:0;top:0;width:1588;height:454" type="#_x0000_t202" filled="false" stroked="false">
              <v:textbox inset="0,0,0,0">
                <w:txbxContent>
                  <w:p>
                    <w:pPr>
                      <w:spacing w:before="31"/>
                      <w:ind w:left="56" w:right="0" w:firstLine="0"/>
                      <w:jc w:val="left"/>
                      <w:rPr>
                        <w:sz w:val="32"/>
                      </w:rPr>
                    </w:pPr>
                    <w:r>
                      <w:rPr>
                        <w:color w:val="FFFFFF"/>
                        <w:w w:val="110"/>
                        <w:sz w:val="32"/>
                      </w:rPr>
                      <w:t>Change 1</w:t>
                    </w:r>
                  </w:p>
                </w:txbxContent>
              </v:textbox>
              <w10:wrap type="none"/>
            </v:shape>
          </v:group>
        </w:pict>
      </w:r>
      <w:r>
        <w:rPr>
          <w:position w:val="146"/>
          <w:sz w:val="20"/>
        </w:rPr>
      </w:r>
      <w:r>
        <w:rPr>
          <w:position w:val="146"/>
          <w:sz w:val="20"/>
        </w:rPr>
        <w:tab/>
      </w:r>
      <w:r>
        <w:rPr>
          <w:sz w:val="20"/>
        </w:rPr>
        <w:pict>
          <v:group style="width:102.05pt;height:96.4pt;mso-position-horizontal-relative:char;mso-position-vertical-relative:line" coordorigin="0,0" coordsize="2041,1928">
            <v:shape style="position:absolute;left:0;top:0;width:2041;height:1928" coordorigin="0,0" coordsize="2041,1928" path="m1928,0l113,0,48,2,14,14,2,48,0,113,0,1814,2,1880,14,1913,48,1926,113,1928,1928,1928,1993,1926,2027,1913,2039,1880,2041,1814,2041,113,2039,48,2027,14,1993,2,1928,0xe" filled="true" fillcolor="#929235" stroked="false">
              <v:path arrowok="t"/>
              <v:fill type="solid"/>
            </v:shape>
            <v:shape style="position:absolute;left:149;top:116;width:1743;height:1695" type="#_x0000_t75" stroked="false">
              <v:imagedata r:id="rId37" o:title=""/>
            </v:shape>
          </v:group>
        </w:pict>
      </w:r>
      <w:r>
        <w:rPr>
          <w:sz w:val="20"/>
        </w:rPr>
      </w:r>
      <w:r>
        <w:rPr>
          <w:sz w:val="20"/>
        </w:rPr>
        <w:tab/>
      </w:r>
      <w:r>
        <w:rPr>
          <w:sz w:val="20"/>
        </w:rPr>
        <w:pict>
          <v:group style="width:102.05pt;height:107.75pt;mso-position-horizontal-relative:char;mso-position-vertical-relative:line" coordorigin="0,0" coordsize="2041,2155">
            <v:shape style="position:absolute;left:0;top:226;width:2041;height:1928" coordorigin="0,227" coordsize="2041,1928" path="m1928,227l113,227,48,229,14,241,2,275,0,340,0,2041,2,2106,14,2140,48,2153,113,2154,1928,2154,1993,2153,2027,2140,2039,2106,2041,2041,2041,340,2039,275,2027,241,1993,229,1928,227xe" filled="true" fillcolor="#d01c26" stroked="false">
              <v:path arrowok="t"/>
              <v:fill type="solid"/>
            </v:shape>
            <v:shape style="position:absolute;left:0;top:0;width:2041;height:2155" type="#_x0000_t202" filled="false" stroked="false">
              <v:textbox inset="0,0,0,0">
                <w:txbxContent>
                  <w:p>
                    <w:pPr>
                      <w:spacing w:before="78"/>
                      <w:ind w:left="222" w:right="0" w:firstLine="0"/>
                      <w:jc w:val="left"/>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b w:val="0"/>
                        <w:color w:val="FFFFFF"/>
                        <w:spacing w:val="-824"/>
                        <w:position w:val="33"/>
                        <w:sz w:val="130"/>
                      </w:rPr>
                      <w:t>2</w:t>
                    </w:r>
                    <w:r>
                      <w:rPr>
                        <w:rFonts w:ascii="Arial"/>
                        <w:b/>
                        <w:color w:val="FFFFFF"/>
                        <w:spacing w:val="-3"/>
                        <w:w w:val="93"/>
                        <w:sz w:val="21"/>
                      </w:rPr>
                      <w:t>r</w:t>
                    </w:r>
                    <w:r>
                      <w:rPr>
                        <w:rFonts w:ascii="Arial"/>
                        <w:b/>
                        <w:color w:val="FFFFFF"/>
                        <w:w w:val="88"/>
                        <w:sz w:val="21"/>
                      </w:rPr>
                      <w:t>ts</w:t>
                    </w:r>
                    <w:r>
                      <w:rPr>
                        <w:rFonts w:ascii="Arial"/>
                        <w:b/>
                        <w:color w:val="FFFFFF"/>
                        <w:spacing w:val="-6"/>
                        <w:sz w:val="21"/>
                      </w:rPr>
                      <w:t> </w:t>
                    </w:r>
                    <w:r>
                      <w:rPr>
                        <w:rFonts w:ascii="Arial"/>
                        <w:b/>
                        <w:color w:val="FFFFFF"/>
                        <w:spacing w:val="-4"/>
                        <w:w w:val="93"/>
                        <w:sz w:val="21"/>
                      </w:rPr>
                      <w:t>r</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69"/>
                      <w:ind w:left="205" w:right="203" w:firstLine="0"/>
                      <w:jc w:val="center"/>
                      <w:rPr>
                        <w:rFonts w:ascii="Arial"/>
                        <w:b/>
                        <w:sz w:val="14"/>
                      </w:rPr>
                    </w:pPr>
                    <w:r>
                      <w:rPr>
                        <w:rFonts w:ascii="Arial"/>
                        <w:b/>
                        <w:color w:val="FFFFFF"/>
                        <w:sz w:val="14"/>
                      </w:rPr>
                      <w:t>YEAR 1 BASELINE TREND DATA</w:t>
                    </w:r>
                  </w:p>
                </w:txbxContent>
              </v:textbox>
              <w10:wrap type="none"/>
            </v:shape>
          </v:group>
        </w:pict>
      </w:r>
      <w:r>
        <w:rPr>
          <w:sz w:val="20"/>
        </w:rPr>
      </w:r>
      <w:r>
        <w:rPr>
          <w:sz w:val="20"/>
        </w:rPr>
        <w:tab/>
      </w:r>
      <w:r>
        <w:rPr>
          <w:sz w:val="20"/>
        </w:rPr>
        <w:pict>
          <v:group style="width:102.05pt;height:107.75pt;mso-position-horizontal-relative:char;mso-position-vertical-relative:line" coordorigin="0,0" coordsize="2041,2155">
            <v:shape style="position:absolute;left:0;top:226;width:2041;height:1928" coordorigin="0,227" coordsize="2041,1928" path="m1928,227l113,227,48,229,14,241,2,275,0,340,0,2041,2,2106,14,2140,48,2153,113,2154,1928,2154,1993,2153,2027,2140,2039,2106,2041,2041,2041,340,2039,275,2027,241,1993,229,1928,227xe" filled="true" fillcolor="#5b9f42" stroked="false">
              <v:path arrowok="t"/>
              <v:fill type="solid"/>
            </v:shape>
            <v:shape style="position:absolute;left:0;top:0;width:2041;height:2155" type="#_x0000_t202" filled="false" stroked="false">
              <v:textbox inset="0,0,0,0">
                <w:txbxContent>
                  <w:p>
                    <w:pPr>
                      <w:spacing w:before="78"/>
                      <w:ind w:left="203" w:right="203" w:firstLine="0"/>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b w:val="0"/>
                        <w:color w:val="FFFFFF"/>
                        <w:spacing w:val="-824"/>
                        <w:position w:val="33"/>
                        <w:sz w:val="130"/>
                      </w:rPr>
                      <w:t>8</w:t>
                    </w:r>
                    <w:r>
                      <w:rPr>
                        <w:rFonts w:ascii="Arial"/>
                        <w:b/>
                        <w:color w:val="FFFFFF"/>
                        <w:spacing w:val="-3"/>
                        <w:w w:val="93"/>
                        <w:sz w:val="21"/>
                      </w:rPr>
                      <w:t>r</w:t>
                    </w:r>
                    <w:r>
                      <w:rPr>
                        <w:rFonts w:ascii="Arial"/>
                        <w:b/>
                        <w:color w:val="FFFFFF"/>
                        <w:w w:val="88"/>
                        <w:sz w:val="21"/>
                      </w:rPr>
                      <w:t>ts</w:t>
                    </w:r>
                    <w:r>
                      <w:rPr>
                        <w:rFonts w:ascii="Arial"/>
                        <w:b/>
                        <w:color w:val="FFFFFF"/>
                        <w:spacing w:val="-6"/>
                        <w:sz w:val="21"/>
                      </w:rPr>
                      <w:t> </w:t>
                    </w:r>
                    <w:r>
                      <w:rPr>
                        <w:rFonts w:ascii="Arial"/>
                        <w:b/>
                        <w:color w:val="FFFFFF"/>
                        <w:spacing w:val="-4"/>
                        <w:w w:val="93"/>
                        <w:sz w:val="21"/>
                      </w:rPr>
                      <w:t>r</w:t>
                    </w:r>
                    <w:r>
                      <w:rPr>
                        <w:rFonts w:ascii="Arial"/>
                        <w:b/>
                        <w:color w:val="FFFFFF"/>
                        <w:w w:val="100"/>
                        <w:sz w:val="21"/>
                      </w:rPr>
                      <w:t>epo</w:t>
                    </w:r>
                    <w:r>
                      <w:rPr>
                        <w:rFonts w:ascii="Arial"/>
                        <w:b/>
                        <w:color w:val="FFFFFF"/>
                        <w:spacing w:val="-3"/>
                        <w:w w:val="100"/>
                        <w:sz w:val="21"/>
                      </w:rPr>
                      <w:t>r</w:t>
                    </w:r>
                    <w:r>
                      <w:rPr>
                        <w:rFonts w:ascii="Arial"/>
                        <w:b/>
                        <w:color w:val="FFFFFF"/>
                        <w:w w:val="99"/>
                        <w:sz w:val="21"/>
                      </w:rPr>
                      <w:t>ting</w:t>
                    </w:r>
                  </w:p>
                  <w:p>
                    <w:pPr>
                      <w:spacing w:before="211"/>
                      <w:ind w:left="205" w:right="203" w:firstLine="0"/>
                      <w:jc w:val="center"/>
                      <w:rPr>
                        <w:rFonts w:ascii="Arial"/>
                        <w:b/>
                        <w:sz w:val="14"/>
                      </w:rPr>
                    </w:pPr>
                    <w:r>
                      <w:rPr>
                        <w:rFonts w:ascii="Arial"/>
                        <w:b/>
                        <w:color w:val="FFFFFF"/>
                        <w:sz w:val="14"/>
                      </w:rPr>
                      <w:t>YEAR 7 TREND DATA</w:t>
                    </w:r>
                  </w:p>
                </w:txbxContent>
              </v:textbox>
              <w10:wrap type="none"/>
            </v:shape>
          </v:group>
        </w:pict>
      </w:r>
      <w:r>
        <w:rPr>
          <w:sz w:val="20"/>
        </w:rPr>
      </w:r>
    </w:p>
    <w:p>
      <w:pPr>
        <w:pStyle w:val="BodyText"/>
        <w:spacing w:before="4"/>
        <w:rPr>
          <w:sz w:val="20"/>
        </w:rPr>
      </w:pPr>
    </w:p>
    <w:p>
      <w:pPr>
        <w:spacing w:line="252" w:lineRule="auto" w:before="94"/>
        <w:ind w:left="1700" w:right="1501" w:firstLine="0"/>
        <w:jc w:val="left"/>
        <w:rPr>
          <w:sz w:val="21"/>
        </w:rPr>
      </w:pPr>
      <w:r>
        <w:rPr>
          <w:b/>
          <w:color w:val="231F20"/>
          <w:w w:val="105"/>
          <w:sz w:val="21"/>
        </w:rPr>
        <w:t>Year 1 baseline trend data</w:t>
      </w:r>
      <w:r>
        <w:rPr>
          <w:color w:val="231F20"/>
          <w:w w:val="105"/>
          <w:sz w:val="21"/>
        </w:rPr>
        <w:t>: 2 courts could calculate the percentage of cases in which parties receive legal aid.</w:t>
      </w:r>
    </w:p>
    <w:p>
      <w:pPr>
        <w:pStyle w:val="BodyText"/>
        <w:spacing w:line="252" w:lineRule="auto" w:before="171"/>
        <w:ind w:left="1700" w:right="1917"/>
      </w:pPr>
      <w:r>
        <w:rPr>
          <w:b/>
          <w:color w:val="231F20"/>
          <w:w w:val="105"/>
        </w:rPr>
        <w:t>Year 4 trend data</w:t>
      </w:r>
      <w:r>
        <w:rPr>
          <w:color w:val="231F20"/>
          <w:w w:val="105"/>
        </w:rPr>
        <w:t>: 8 courts could calculate the percentage of cases in which parties receive legal aid.</w:t>
      </w:r>
    </w:p>
    <w:p>
      <w:pPr>
        <w:pStyle w:val="BodyText"/>
        <w:spacing w:line="252" w:lineRule="auto" w:before="172"/>
        <w:ind w:left="1700" w:right="1917"/>
      </w:pPr>
      <w:r>
        <w:rPr>
          <w:b/>
          <w:color w:val="231F20"/>
          <w:w w:val="105"/>
        </w:rPr>
        <w:t>Year 7 trend data</w:t>
      </w:r>
      <w:r>
        <w:rPr>
          <w:color w:val="231F20"/>
          <w:w w:val="105"/>
        </w:rPr>
        <w:t>: 8 courts could calculate the percentage of cases in which parties receive legal aid.</w:t>
      </w:r>
    </w:p>
    <w:p>
      <w:pPr>
        <w:pStyle w:val="BodyText"/>
        <w:rPr>
          <w:sz w:val="20"/>
        </w:rPr>
      </w:pPr>
    </w:p>
    <w:p>
      <w:pPr>
        <w:pStyle w:val="BodyText"/>
        <w:spacing w:before="5"/>
        <w:rPr>
          <w:sz w:val="18"/>
        </w:rPr>
      </w:pPr>
    </w:p>
    <w:p>
      <w:pPr>
        <w:pStyle w:val="Heading7"/>
        <w:ind w:left="3571"/>
      </w:pPr>
      <w:r>
        <w:rPr/>
        <w:pict>
          <v:group style="position:absolute;margin-left:85.039398pt;margin-top:-5.511035pt;width:79.4pt;height:22.7pt;mso-position-horizontal-relative:page;mso-position-vertical-relative:paragraph;z-index:10744" coordorigin="1701,-110" coordsize="1588,454">
            <v:shape style="position:absolute;left:1700;top:-111;width:1588;height:454" coordorigin="1701,-110" coordsize="1588,454" path="m3088,-110l1701,-110,1701,343,3088,343,3204,340,3263,318,3285,259,3288,143,3288,90,3285,-26,3263,-85,3204,-107,3088,-110xe" filled="true" fillcolor="#7d8440" stroked="false">
              <v:path arrowok="t"/>
              <v:fill type="solid"/>
            </v:shape>
            <v:shape style="position:absolute;left:1700;top:-111;width:1588;height:454" type="#_x0000_t202" filled="false" stroked="false">
              <v:textbox inset="0,0,0,0">
                <w:txbxContent>
                  <w:p>
                    <w:pPr>
                      <w:spacing w:before="5"/>
                      <w:ind w:left="56" w:right="0" w:firstLine="0"/>
                      <w:jc w:val="left"/>
                      <w:rPr>
                        <w:sz w:val="32"/>
                      </w:rPr>
                    </w:pPr>
                    <w:r>
                      <w:rPr>
                        <w:color w:val="FFFFFF"/>
                        <w:w w:val="110"/>
                        <w:sz w:val="32"/>
                      </w:rPr>
                      <w:t>Change 2</w:t>
                    </w:r>
                  </w:p>
                </w:txbxContent>
              </v:textbox>
              <w10:wrap type="none"/>
            </v:shape>
            <w10:wrap type="none"/>
          </v:group>
        </w:pict>
      </w:r>
      <w:r>
        <w:rPr>
          <w:color w:val="231F20"/>
          <w:w w:val="105"/>
        </w:rPr>
        <w:t>Expansion of Services in Family Violence Cases – Tonga Example</w:t>
      </w:r>
    </w:p>
    <w:p>
      <w:pPr>
        <w:pStyle w:val="BodyText"/>
        <w:spacing w:before="4"/>
        <w:rPr>
          <w:b/>
          <w:sz w:val="24"/>
        </w:rPr>
      </w:pPr>
    </w:p>
    <w:p>
      <w:pPr>
        <w:spacing w:before="0"/>
        <w:ind w:left="1700" w:right="0" w:firstLine="0"/>
        <w:jc w:val="left"/>
        <w:rPr>
          <w:b/>
          <w:sz w:val="21"/>
        </w:rPr>
      </w:pPr>
      <w:r>
        <w:rPr>
          <w:b/>
          <w:color w:val="00403F"/>
          <w:w w:val="105"/>
          <w:sz w:val="21"/>
        </w:rPr>
        <w:t>Tonga  Family Protection Legal Aid Centre</w:t>
      </w:r>
    </w:p>
    <w:p>
      <w:pPr>
        <w:pStyle w:val="BodyText"/>
        <w:spacing w:line="252" w:lineRule="auto" w:before="127"/>
        <w:ind w:left="1700" w:right="1698"/>
        <w:jc w:val="both"/>
      </w:pPr>
      <w:r>
        <w:rPr>
          <w:color w:val="231F20"/>
          <w:spacing w:val="-6"/>
          <w:w w:val="105"/>
        </w:rPr>
        <w:t>Tonga’s </w:t>
      </w:r>
      <w:r>
        <w:rPr>
          <w:color w:val="231F20"/>
          <w:w w:val="105"/>
        </w:rPr>
        <w:t>new Family  Protection  Legal  Aid  Centre  (</w:t>
      </w:r>
      <w:hyperlink r:id="rId87">
        <w:r>
          <w:rPr>
            <w:b/>
            <w:color w:val="00403F"/>
            <w:w w:val="105"/>
          </w:rPr>
          <w:t>http://fplac.justice.gov.to/</w:t>
        </w:r>
        <w:r>
          <w:rPr>
            <w:color w:val="231F20"/>
            <w:w w:val="105"/>
          </w:rPr>
          <w:t>)</w:t>
        </w:r>
      </w:hyperlink>
      <w:r>
        <w:rPr>
          <w:color w:val="231F20"/>
          <w:w w:val="105"/>
        </w:rPr>
        <w:t>  opened  on</w:t>
      </w:r>
      <w:r>
        <w:rPr>
          <w:color w:val="231F20"/>
          <w:spacing w:val="48"/>
          <w:w w:val="105"/>
        </w:rPr>
        <w:t> </w:t>
      </w:r>
      <w:r>
        <w:rPr>
          <w:color w:val="231F20"/>
          <w:w w:val="105"/>
        </w:rPr>
        <w:t>12</w:t>
      </w:r>
      <w:r>
        <w:rPr>
          <w:color w:val="231F20"/>
          <w:spacing w:val="-4"/>
          <w:w w:val="105"/>
        </w:rPr>
        <w:t> </w:t>
      </w:r>
      <w:r>
        <w:rPr>
          <w:color w:val="231F20"/>
          <w:w w:val="105"/>
        </w:rPr>
        <w:t>March</w:t>
      </w:r>
      <w:r>
        <w:rPr>
          <w:color w:val="231F20"/>
          <w:spacing w:val="-4"/>
          <w:w w:val="105"/>
        </w:rPr>
        <w:t> </w:t>
      </w:r>
      <w:r>
        <w:rPr>
          <w:color w:val="231F20"/>
          <w:w w:val="105"/>
        </w:rPr>
        <w:t>2018</w:t>
      </w:r>
      <w:r>
        <w:rPr>
          <w:color w:val="231F20"/>
          <w:spacing w:val="-4"/>
          <w:w w:val="105"/>
        </w:rPr>
        <w:t> </w:t>
      </w:r>
      <w:r>
        <w:rPr>
          <w:color w:val="231F20"/>
          <w:w w:val="105"/>
        </w:rPr>
        <w:t>and</w:t>
      </w:r>
      <w:r>
        <w:rPr>
          <w:color w:val="231F20"/>
          <w:spacing w:val="-4"/>
          <w:w w:val="105"/>
        </w:rPr>
        <w:t> </w:t>
      </w:r>
      <w:r>
        <w:rPr>
          <w:color w:val="231F20"/>
          <w:w w:val="105"/>
        </w:rPr>
        <w:t>in</w:t>
      </w:r>
      <w:r>
        <w:rPr>
          <w:color w:val="231F20"/>
          <w:spacing w:val="-4"/>
          <w:w w:val="105"/>
        </w:rPr>
        <w:t> </w:t>
      </w:r>
      <w:r>
        <w:rPr>
          <w:color w:val="231F20"/>
          <w:w w:val="105"/>
        </w:rPr>
        <w:t>its</w:t>
      </w:r>
      <w:r>
        <w:rPr>
          <w:color w:val="231F20"/>
          <w:spacing w:val="-4"/>
          <w:w w:val="105"/>
        </w:rPr>
        <w:t> </w:t>
      </w:r>
      <w:r>
        <w:rPr>
          <w:color w:val="231F20"/>
          <w:w w:val="105"/>
        </w:rPr>
        <w:t>first</w:t>
      </w:r>
      <w:r>
        <w:rPr>
          <w:color w:val="231F20"/>
          <w:spacing w:val="-4"/>
          <w:w w:val="105"/>
        </w:rPr>
        <w:t> </w:t>
      </w:r>
      <w:r>
        <w:rPr>
          <w:color w:val="231F20"/>
          <w:w w:val="105"/>
        </w:rPr>
        <w:t>year</w:t>
      </w:r>
      <w:r>
        <w:rPr>
          <w:color w:val="231F20"/>
          <w:spacing w:val="-4"/>
          <w:w w:val="105"/>
        </w:rPr>
        <w:t> </w:t>
      </w:r>
      <w:r>
        <w:rPr>
          <w:color w:val="231F20"/>
          <w:w w:val="105"/>
        </w:rPr>
        <w:t>of</w:t>
      </w:r>
      <w:r>
        <w:rPr>
          <w:color w:val="231F20"/>
          <w:spacing w:val="-4"/>
          <w:w w:val="105"/>
        </w:rPr>
        <w:t> </w:t>
      </w:r>
      <w:r>
        <w:rPr>
          <w:color w:val="231F20"/>
          <w:w w:val="105"/>
        </w:rPr>
        <w:t>operation</w:t>
      </w:r>
      <w:r>
        <w:rPr>
          <w:color w:val="231F20"/>
          <w:spacing w:val="-4"/>
          <w:w w:val="105"/>
        </w:rPr>
        <w:t> </w:t>
      </w:r>
      <w:r>
        <w:rPr>
          <w:color w:val="231F20"/>
          <w:w w:val="105"/>
        </w:rPr>
        <w:t>provided</w:t>
      </w:r>
      <w:r>
        <w:rPr>
          <w:color w:val="231F20"/>
          <w:spacing w:val="-4"/>
          <w:w w:val="105"/>
        </w:rPr>
        <w:t> </w:t>
      </w:r>
      <w:r>
        <w:rPr>
          <w:color w:val="231F20"/>
          <w:w w:val="105"/>
        </w:rPr>
        <w:t>support</w:t>
      </w:r>
      <w:r>
        <w:rPr>
          <w:color w:val="231F20"/>
          <w:spacing w:val="-4"/>
          <w:w w:val="105"/>
        </w:rPr>
        <w:t> </w:t>
      </w:r>
      <w:r>
        <w:rPr>
          <w:color w:val="231F20"/>
          <w:w w:val="105"/>
        </w:rPr>
        <w:t>to</w:t>
      </w:r>
      <w:r>
        <w:rPr>
          <w:color w:val="231F20"/>
          <w:spacing w:val="-4"/>
          <w:w w:val="105"/>
        </w:rPr>
        <w:t> </w:t>
      </w:r>
      <w:r>
        <w:rPr>
          <w:color w:val="231F20"/>
          <w:w w:val="105"/>
        </w:rPr>
        <w:t>304</w:t>
      </w:r>
      <w:r>
        <w:rPr>
          <w:color w:val="231F20"/>
          <w:spacing w:val="-4"/>
          <w:w w:val="105"/>
        </w:rPr>
        <w:t> </w:t>
      </w:r>
      <w:r>
        <w:rPr>
          <w:color w:val="231F20"/>
          <w:w w:val="105"/>
        </w:rPr>
        <w:t>women,</w:t>
      </w:r>
      <w:r>
        <w:rPr>
          <w:color w:val="231F20"/>
          <w:spacing w:val="-4"/>
          <w:w w:val="105"/>
        </w:rPr>
        <w:t> </w:t>
      </w:r>
      <w:r>
        <w:rPr>
          <w:color w:val="231F20"/>
          <w:w w:val="105"/>
        </w:rPr>
        <w:t>men</w:t>
      </w:r>
      <w:r>
        <w:rPr>
          <w:color w:val="231F20"/>
          <w:spacing w:val="-4"/>
          <w:w w:val="105"/>
        </w:rPr>
        <w:t> </w:t>
      </w:r>
      <w:r>
        <w:rPr>
          <w:color w:val="231F20"/>
          <w:w w:val="105"/>
        </w:rPr>
        <w:t>and</w:t>
      </w:r>
      <w:r>
        <w:rPr>
          <w:color w:val="231F20"/>
          <w:spacing w:val="-4"/>
          <w:w w:val="105"/>
        </w:rPr>
        <w:t> </w:t>
      </w:r>
      <w:r>
        <w:rPr>
          <w:color w:val="231F20"/>
          <w:w w:val="105"/>
        </w:rPr>
        <w:t>their children seeking protection from</w:t>
      </w:r>
      <w:r>
        <w:rPr>
          <w:color w:val="231F20"/>
          <w:spacing w:val="30"/>
          <w:w w:val="105"/>
        </w:rPr>
        <w:t> </w:t>
      </w:r>
      <w:r>
        <w:rPr>
          <w:color w:val="231F20"/>
          <w:w w:val="105"/>
        </w:rPr>
        <w:t>violence.</w:t>
      </w:r>
    </w:p>
    <w:p>
      <w:pPr>
        <w:pStyle w:val="BodyText"/>
        <w:spacing w:before="10"/>
        <w:rPr>
          <w:sz w:val="17"/>
        </w:rPr>
      </w:pPr>
      <w:r>
        <w:rPr/>
        <w:drawing>
          <wp:anchor distT="0" distB="0" distL="0" distR="0" allowOverlap="1" layoutInCell="1" locked="0" behindDoc="0" simplePos="0" relativeHeight="10672">
            <wp:simplePos x="0" y="0"/>
            <wp:positionH relativeFrom="page">
              <wp:posOffset>1079995</wp:posOffset>
            </wp:positionH>
            <wp:positionV relativeFrom="paragraph">
              <wp:posOffset>163512</wp:posOffset>
            </wp:positionV>
            <wp:extent cx="5325682" cy="2840355"/>
            <wp:effectExtent l="0" t="0" r="0" b="0"/>
            <wp:wrapTopAndBottom/>
            <wp:docPr id="45" name="image70.jpeg" descr=""/>
            <wp:cNvGraphicFramePr>
              <a:graphicFrameLocks noChangeAspect="1"/>
            </wp:cNvGraphicFramePr>
            <a:graphic>
              <a:graphicData uri="http://schemas.openxmlformats.org/drawingml/2006/picture">
                <pic:pic>
                  <pic:nvPicPr>
                    <pic:cNvPr id="46" name="image70.jpeg"/>
                    <pic:cNvPicPr/>
                  </pic:nvPicPr>
                  <pic:blipFill>
                    <a:blip r:embed="rId88" cstate="print"/>
                    <a:stretch>
                      <a:fillRect/>
                    </a:stretch>
                  </pic:blipFill>
                  <pic:spPr>
                    <a:xfrm>
                      <a:off x="0" y="0"/>
                      <a:ext cx="5325682" cy="2840355"/>
                    </a:xfrm>
                    <a:prstGeom prst="rect">
                      <a:avLst/>
                    </a:prstGeom>
                  </pic:spPr>
                </pic:pic>
              </a:graphicData>
            </a:graphic>
          </wp:anchor>
        </w:drawing>
      </w:r>
    </w:p>
    <w:p>
      <w:pPr>
        <w:spacing w:after="0"/>
        <w:rPr>
          <w:sz w:val="17"/>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6655">
            <wp:simplePos x="0" y="0"/>
            <wp:positionH relativeFrom="page">
              <wp:posOffset>0</wp:posOffset>
            </wp:positionH>
            <wp:positionV relativeFrom="paragraph">
              <wp:posOffset>373881</wp:posOffset>
            </wp:positionV>
            <wp:extent cx="7559992" cy="143992"/>
            <wp:effectExtent l="0" t="0" r="0" b="0"/>
            <wp:wrapNone/>
            <wp:docPr id="47" name="image39.png" descr=""/>
            <wp:cNvGraphicFramePr>
              <a:graphicFrameLocks noChangeAspect="1"/>
            </wp:cNvGraphicFramePr>
            <a:graphic>
              <a:graphicData uri="http://schemas.openxmlformats.org/drawingml/2006/picture">
                <pic:pic>
                  <pic:nvPicPr>
                    <pic:cNvPr id="48"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32</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12"/>
        <w:rPr>
          <w:b/>
          <w:sz w:val="14"/>
        </w:rPr>
      </w:pPr>
    </w:p>
    <w:p>
      <w:pPr>
        <w:pStyle w:val="BodyText"/>
        <w:spacing w:line="252" w:lineRule="auto" w:before="93"/>
        <w:ind w:left="1700" w:right="1698"/>
        <w:jc w:val="both"/>
      </w:pPr>
      <w:r>
        <w:rPr>
          <w:color w:val="231F20"/>
          <w:spacing w:val="-4"/>
          <w:w w:val="105"/>
        </w:rPr>
        <w:t>The</w:t>
      </w:r>
      <w:r>
        <w:rPr>
          <w:color w:val="231F20"/>
          <w:spacing w:val="-5"/>
          <w:w w:val="105"/>
        </w:rPr>
        <w:t> </w:t>
      </w:r>
      <w:r>
        <w:rPr>
          <w:color w:val="231F20"/>
          <w:w w:val="105"/>
        </w:rPr>
        <w:t>Centre</w:t>
      </w:r>
      <w:r>
        <w:rPr>
          <w:color w:val="231F20"/>
          <w:spacing w:val="-5"/>
          <w:w w:val="105"/>
        </w:rPr>
        <w:t> </w:t>
      </w:r>
      <w:r>
        <w:rPr>
          <w:color w:val="231F20"/>
          <w:w w:val="105"/>
        </w:rPr>
        <w:t>has</w:t>
      </w:r>
      <w:r>
        <w:rPr>
          <w:color w:val="231F20"/>
          <w:spacing w:val="-5"/>
          <w:w w:val="105"/>
        </w:rPr>
        <w:t> </w:t>
      </w:r>
      <w:r>
        <w:rPr>
          <w:color w:val="231F20"/>
          <w:w w:val="105"/>
        </w:rPr>
        <w:t>produced</w:t>
      </w:r>
      <w:r>
        <w:rPr>
          <w:color w:val="231F20"/>
          <w:spacing w:val="-5"/>
          <w:w w:val="105"/>
        </w:rPr>
        <w:t> </w:t>
      </w:r>
      <w:r>
        <w:rPr>
          <w:color w:val="231F20"/>
          <w:w w:val="105"/>
        </w:rPr>
        <w:t>its</w:t>
      </w:r>
      <w:r>
        <w:rPr>
          <w:color w:val="231F20"/>
          <w:spacing w:val="-5"/>
          <w:w w:val="105"/>
        </w:rPr>
        <w:t> </w:t>
      </w:r>
      <w:r>
        <w:rPr>
          <w:color w:val="231F20"/>
          <w:w w:val="105"/>
        </w:rPr>
        <w:t>first</w:t>
      </w:r>
      <w:r>
        <w:rPr>
          <w:color w:val="231F20"/>
          <w:spacing w:val="-11"/>
          <w:w w:val="105"/>
        </w:rPr>
        <w:t> </w:t>
      </w:r>
      <w:r>
        <w:rPr>
          <w:color w:val="231F20"/>
          <w:w w:val="105"/>
        </w:rPr>
        <w:t>Annual</w:t>
      </w:r>
      <w:r>
        <w:rPr>
          <w:color w:val="231F20"/>
          <w:spacing w:val="-5"/>
          <w:w w:val="105"/>
        </w:rPr>
        <w:t> </w:t>
      </w:r>
      <w:r>
        <w:rPr>
          <w:color w:val="231F20"/>
          <w:w w:val="105"/>
        </w:rPr>
        <w:t>Report</w:t>
      </w:r>
      <w:r>
        <w:rPr>
          <w:color w:val="231F20"/>
          <w:spacing w:val="-5"/>
          <w:w w:val="105"/>
        </w:rPr>
        <w:t> </w:t>
      </w:r>
      <w:r>
        <w:rPr>
          <w:color w:val="231F20"/>
          <w:w w:val="105"/>
        </w:rPr>
        <w:t>for</w:t>
      </w:r>
      <w:r>
        <w:rPr>
          <w:color w:val="231F20"/>
          <w:spacing w:val="-5"/>
          <w:w w:val="105"/>
        </w:rPr>
        <w:t> </w:t>
      </w:r>
      <w:r>
        <w:rPr>
          <w:color w:val="231F20"/>
          <w:w w:val="105"/>
        </w:rPr>
        <w:t>2018</w:t>
      </w:r>
      <w:r>
        <w:rPr>
          <w:color w:val="231F20"/>
          <w:spacing w:val="-5"/>
          <w:w w:val="105"/>
        </w:rPr>
        <w:t> </w:t>
      </w:r>
      <w:r>
        <w:rPr>
          <w:color w:val="231F20"/>
          <w:w w:val="105"/>
        </w:rPr>
        <w:t>that</w:t>
      </w:r>
      <w:r>
        <w:rPr>
          <w:color w:val="231F20"/>
          <w:spacing w:val="-5"/>
          <w:w w:val="105"/>
        </w:rPr>
        <w:t> </w:t>
      </w:r>
      <w:r>
        <w:rPr>
          <w:color w:val="231F20"/>
          <w:w w:val="105"/>
        </w:rPr>
        <w:t>presents</w:t>
      </w:r>
      <w:r>
        <w:rPr>
          <w:color w:val="231F20"/>
          <w:spacing w:val="-5"/>
          <w:w w:val="105"/>
        </w:rPr>
        <w:t> </w:t>
      </w:r>
      <w:r>
        <w:rPr>
          <w:color w:val="231F20"/>
          <w:w w:val="105"/>
        </w:rPr>
        <w:t>a</w:t>
      </w:r>
      <w:r>
        <w:rPr>
          <w:color w:val="231F20"/>
          <w:spacing w:val="-5"/>
          <w:w w:val="105"/>
        </w:rPr>
        <w:t> </w:t>
      </w:r>
      <w:r>
        <w:rPr>
          <w:color w:val="231F20"/>
          <w:w w:val="105"/>
        </w:rPr>
        <w:t>comprehensive</w:t>
      </w:r>
      <w:r>
        <w:rPr>
          <w:color w:val="231F20"/>
          <w:spacing w:val="-5"/>
          <w:w w:val="105"/>
        </w:rPr>
        <w:t> </w:t>
      </w:r>
      <w:r>
        <w:rPr>
          <w:color w:val="231F20"/>
          <w:w w:val="105"/>
        </w:rPr>
        <w:t>outline of</w:t>
      </w:r>
      <w:r>
        <w:rPr>
          <w:color w:val="231F20"/>
          <w:spacing w:val="-5"/>
          <w:w w:val="105"/>
        </w:rPr>
        <w:t> </w:t>
      </w:r>
      <w:r>
        <w:rPr>
          <w:color w:val="231F20"/>
          <w:w w:val="105"/>
        </w:rPr>
        <w:t>its</w:t>
      </w:r>
      <w:r>
        <w:rPr>
          <w:color w:val="231F20"/>
          <w:spacing w:val="-5"/>
          <w:w w:val="105"/>
        </w:rPr>
        <w:t> </w:t>
      </w:r>
      <w:r>
        <w:rPr>
          <w:color w:val="231F20"/>
          <w:w w:val="105"/>
        </w:rPr>
        <w:t>work</w:t>
      </w:r>
      <w:r>
        <w:rPr>
          <w:color w:val="231F20"/>
          <w:spacing w:val="-5"/>
          <w:w w:val="105"/>
        </w:rPr>
        <w:t> </w:t>
      </w:r>
      <w:r>
        <w:rPr>
          <w:color w:val="231F20"/>
          <w:w w:val="105"/>
        </w:rPr>
        <w:t>including</w:t>
      </w:r>
      <w:r>
        <w:rPr>
          <w:color w:val="231F20"/>
          <w:spacing w:val="-5"/>
          <w:w w:val="105"/>
        </w:rPr>
        <w:t> </w:t>
      </w:r>
      <w:r>
        <w:rPr>
          <w:color w:val="231F20"/>
          <w:w w:val="105"/>
        </w:rPr>
        <w:t>age</w:t>
      </w:r>
      <w:r>
        <w:rPr>
          <w:color w:val="231F20"/>
          <w:spacing w:val="-5"/>
          <w:w w:val="105"/>
        </w:rPr>
        <w:t> </w:t>
      </w:r>
      <w:r>
        <w:rPr>
          <w:color w:val="231F20"/>
          <w:w w:val="105"/>
        </w:rPr>
        <w:t>and</w:t>
      </w:r>
      <w:r>
        <w:rPr>
          <w:color w:val="231F20"/>
          <w:spacing w:val="-5"/>
          <w:w w:val="105"/>
        </w:rPr>
        <w:t> </w:t>
      </w:r>
      <w:r>
        <w:rPr>
          <w:color w:val="231F20"/>
          <w:w w:val="105"/>
        </w:rPr>
        <w:t>sex</w:t>
      </w:r>
      <w:r>
        <w:rPr>
          <w:color w:val="231F20"/>
          <w:spacing w:val="-5"/>
          <w:w w:val="105"/>
        </w:rPr>
        <w:t> </w:t>
      </w:r>
      <w:r>
        <w:rPr>
          <w:color w:val="231F20"/>
          <w:w w:val="105"/>
        </w:rPr>
        <w:t>disaggregated</w:t>
      </w:r>
      <w:r>
        <w:rPr>
          <w:color w:val="231F20"/>
          <w:spacing w:val="-5"/>
          <w:w w:val="105"/>
        </w:rPr>
        <w:t> </w:t>
      </w:r>
      <w:r>
        <w:rPr>
          <w:color w:val="231F20"/>
          <w:w w:val="105"/>
        </w:rPr>
        <w:t>data</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clients</w:t>
      </w:r>
      <w:r>
        <w:rPr>
          <w:color w:val="231F20"/>
          <w:spacing w:val="-5"/>
          <w:w w:val="105"/>
        </w:rPr>
        <w:t> </w:t>
      </w:r>
      <w:r>
        <w:rPr>
          <w:color w:val="231F20"/>
          <w:w w:val="105"/>
        </w:rPr>
        <w:t>that</w:t>
      </w:r>
      <w:r>
        <w:rPr>
          <w:color w:val="231F20"/>
          <w:spacing w:val="-5"/>
          <w:w w:val="105"/>
        </w:rPr>
        <w:t> </w:t>
      </w:r>
      <w:r>
        <w:rPr>
          <w:color w:val="231F20"/>
          <w:w w:val="105"/>
        </w:rPr>
        <w:t>were</w:t>
      </w:r>
      <w:r>
        <w:rPr>
          <w:color w:val="231F20"/>
          <w:spacing w:val="-5"/>
          <w:w w:val="105"/>
        </w:rPr>
        <w:t> </w:t>
      </w:r>
      <w:r>
        <w:rPr>
          <w:color w:val="231F20"/>
          <w:w w:val="105"/>
        </w:rPr>
        <w:t>assisted.</w:t>
      </w:r>
      <w:r>
        <w:rPr>
          <w:color w:val="231F20"/>
          <w:spacing w:val="-5"/>
          <w:w w:val="105"/>
        </w:rPr>
        <w:t> </w:t>
      </w:r>
      <w:r>
        <w:rPr>
          <w:color w:val="231F20"/>
          <w:w w:val="105"/>
        </w:rPr>
        <w:t>Highlights from this 2018 Annual Report</w:t>
      </w:r>
      <w:r>
        <w:rPr>
          <w:color w:val="231F20"/>
          <w:spacing w:val="31"/>
          <w:w w:val="105"/>
        </w:rPr>
        <w:t> </w:t>
      </w:r>
      <w:r>
        <w:rPr>
          <w:color w:val="231F20"/>
          <w:w w:val="105"/>
        </w:rPr>
        <w:t>include:</w:t>
      </w:r>
    </w:p>
    <w:p>
      <w:pPr>
        <w:pStyle w:val="BodyText"/>
        <w:spacing w:before="116"/>
        <w:ind w:left="1700"/>
      </w:pPr>
      <w:r>
        <w:rPr>
          <w:rFonts w:ascii="Verdana"/>
          <w:color w:val="0F6161"/>
          <w:w w:val="105"/>
          <w:sz w:val="12"/>
        </w:rPr>
        <w:t>n </w:t>
      </w:r>
      <w:r>
        <w:rPr>
          <w:color w:val="231F20"/>
          <w:w w:val="105"/>
        </w:rPr>
        <w:t>275 of 304 clients of the Centre (or 91%) were women and girls.</w:t>
      </w:r>
    </w:p>
    <w:p>
      <w:pPr>
        <w:pStyle w:val="BodyText"/>
        <w:spacing w:line="252" w:lineRule="auto" w:before="127"/>
        <w:ind w:left="2040" w:right="1501" w:hanging="341"/>
      </w:pPr>
      <w:r>
        <w:rPr>
          <w:rFonts w:ascii="Verdana"/>
          <w:color w:val="0F6161"/>
          <w:w w:val="105"/>
          <w:sz w:val="12"/>
        </w:rPr>
        <w:t>n </w:t>
      </w:r>
      <w:r>
        <w:rPr>
          <w:color w:val="231F20"/>
          <w:w w:val="105"/>
        </w:rPr>
        <w:t>108 of 113 clients of the Centre (or 96%) that received assistance for protection orders were women</w:t>
      </w:r>
    </w:p>
    <w:p>
      <w:pPr>
        <w:pStyle w:val="BodyText"/>
        <w:spacing w:line="252" w:lineRule="auto" w:before="115"/>
        <w:ind w:left="2040" w:right="1917" w:hanging="341"/>
      </w:pPr>
      <w:r>
        <w:rPr>
          <w:rFonts w:ascii="Verdana"/>
          <w:color w:val="0F6161"/>
          <w:w w:val="105"/>
          <w:sz w:val="12"/>
        </w:rPr>
        <w:t>n </w:t>
      </w:r>
      <w:r>
        <w:rPr>
          <w:color w:val="231F20"/>
          <w:w w:val="105"/>
        </w:rPr>
        <w:t>18 of 21 clients (or 86%) who sought assistance with their emergency protection orders (EPOs) were granted these orders</w:t>
      </w:r>
    </w:p>
    <w:p>
      <w:pPr>
        <w:pStyle w:val="BodyText"/>
        <w:spacing w:line="252" w:lineRule="auto" w:before="115"/>
        <w:ind w:left="2040" w:right="1501" w:hanging="341"/>
      </w:pPr>
      <w:r>
        <w:rPr>
          <w:rFonts w:ascii="Verdana"/>
          <w:color w:val="0F6161"/>
          <w:w w:val="105"/>
          <w:sz w:val="12"/>
        </w:rPr>
        <w:t>n </w:t>
      </w:r>
      <w:r>
        <w:rPr>
          <w:color w:val="231F20"/>
          <w:w w:val="105"/>
        </w:rPr>
        <w:t>65 of 85 clients (76%) who sought assistance with their temporary protection orders (TPOs) were granted these orders</w:t>
      </w:r>
    </w:p>
    <w:p>
      <w:pPr>
        <w:pStyle w:val="BodyText"/>
        <w:spacing w:line="252" w:lineRule="auto" w:before="115"/>
        <w:ind w:left="2040" w:right="1501" w:hanging="341"/>
      </w:pPr>
      <w:r>
        <w:rPr>
          <w:rFonts w:ascii="Verdana"/>
          <w:color w:val="0F6161"/>
          <w:w w:val="105"/>
          <w:sz w:val="12"/>
        </w:rPr>
        <w:t>n </w:t>
      </w:r>
      <w:r>
        <w:rPr>
          <w:color w:val="231F20"/>
          <w:w w:val="105"/>
        </w:rPr>
        <w:t>5 of 5 clients (100%) who sought assistance with their final protection orders (FPOs) were granted these orders (one case was still pending)</w:t>
      </w:r>
    </w:p>
    <w:p>
      <w:pPr>
        <w:pStyle w:val="BodyText"/>
        <w:spacing w:line="252" w:lineRule="auto" w:before="115"/>
        <w:ind w:left="2040" w:right="1698" w:hanging="341"/>
        <w:jc w:val="both"/>
      </w:pPr>
      <w:r>
        <w:rPr>
          <w:rFonts w:ascii="Verdana"/>
          <w:color w:val="0F6161"/>
          <w:w w:val="105"/>
          <w:sz w:val="12"/>
        </w:rPr>
        <w:t>n </w:t>
      </w:r>
      <w:r>
        <w:rPr>
          <w:color w:val="231F20"/>
          <w:w w:val="105"/>
        </w:rPr>
        <w:t>31 other civil applications for writs of distress, restraining orders, affiliation orders, and permanent maintenance were filed in the Magistrate Civil and Criminal Court respectively during the reporting period. 3  applications  were  withdrawn  and  24  of  the  remaining 28 applications (or 86%) were</w:t>
      </w:r>
      <w:r>
        <w:rPr>
          <w:color w:val="231F20"/>
          <w:spacing w:val="37"/>
          <w:w w:val="105"/>
        </w:rPr>
        <w:t> </w:t>
      </w:r>
      <w:r>
        <w:rPr>
          <w:color w:val="231F20"/>
          <w:w w:val="105"/>
        </w:rPr>
        <w:t>granted.</w:t>
      </w:r>
    </w:p>
    <w:p>
      <w:pPr>
        <w:pStyle w:val="BodyText"/>
        <w:spacing w:line="252" w:lineRule="auto" w:before="117"/>
        <w:ind w:left="2040" w:right="1501" w:hanging="341"/>
      </w:pPr>
      <w:r>
        <w:rPr>
          <w:rFonts w:ascii="Verdana"/>
          <w:color w:val="0F6161"/>
          <w:w w:val="105"/>
          <w:sz w:val="12"/>
        </w:rPr>
        <w:t>n </w:t>
      </w:r>
      <w:r>
        <w:rPr>
          <w:color w:val="231F20"/>
          <w:w w:val="105"/>
        </w:rPr>
        <w:t>13 applications to the Supreme Court were made during this reporting period in family law related matters.</w:t>
      </w:r>
    </w:p>
    <w:p>
      <w:pPr>
        <w:pStyle w:val="BodyText"/>
        <w:spacing w:before="115"/>
        <w:ind w:left="1700"/>
      </w:pPr>
      <w:r>
        <w:rPr>
          <w:rFonts w:ascii="Verdana"/>
          <w:color w:val="0F6161"/>
          <w:w w:val="105"/>
          <w:sz w:val="12"/>
        </w:rPr>
        <w:t>n </w:t>
      </w:r>
      <w:r>
        <w:rPr>
          <w:color w:val="231F20"/>
          <w:w w:val="105"/>
        </w:rPr>
        <w:t>Data on the number of referrals from and to other social service providers in Tonga.</w:t>
      </w:r>
    </w:p>
    <w:p>
      <w:pPr>
        <w:pStyle w:val="BodyText"/>
        <w:spacing w:before="127"/>
        <w:ind w:left="1700"/>
      </w:pPr>
      <w:r>
        <w:rPr>
          <w:rFonts w:ascii="Verdana"/>
          <w:color w:val="0F6161"/>
          <w:w w:val="105"/>
          <w:sz w:val="12"/>
        </w:rPr>
        <w:t>n </w:t>
      </w:r>
      <w:r>
        <w:rPr>
          <w:color w:val="231F20"/>
          <w:w w:val="105"/>
        </w:rPr>
        <w:t>Information on a significant communications and outreach campaign.</w:t>
      </w:r>
    </w:p>
    <w:p>
      <w:pPr>
        <w:pStyle w:val="BodyText"/>
        <w:rPr>
          <w:sz w:val="24"/>
        </w:rPr>
      </w:pPr>
    </w:p>
    <w:p>
      <w:pPr>
        <w:pStyle w:val="BodyText"/>
        <w:spacing w:before="5"/>
        <w:rPr>
          <w:sz w:val="22"/>
        </w:rPr>
      </w:pPr>
    </w:p>
    <w:p>
      <w:pPr>
        <w:pStyle w:val="BodyText"/>
        <w:ind w:left="1700"/>
      </w:pPr>
      <w:r>
        <w:rPr>
          <w:color w:val="231F20"/>
          <w:w w:val="105"/>
        </w:rPr>
        <w:t>Percentage of cases where a party receives legal aid – 2011 Baseline Report</w:t>
      </w:r>
    </w:p>
    <w:p>
      <w:pPr>
        <w:pStyle w:val="BodyText"/>
        <w:spacing w:before="7"/>
        <w:rPr>
          <w:sz w:val="6"/>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225"/>
        <w:gridCol w:w="1066"/>
        <w:gridCol w:w="1361"/>
        <w:gridCol w:w="1361"/>
        <w:gridCol w:w="1093"/>
        <w:gridCol w:w="1261"/>
      </w:tblGrid>
      <w:tr>
        <w:trPr>
          <w:trHeight w:val="632" w:hRule="atLeast"/>
        </w:trPr>
        <w:tc>
          <w:tcPr>
            <w:tcW w:w="1124" w:type="dxa"/>
            <w:shd w:val="clear" w:color="auto" w:fill="92BAC2"/>
          </w:tcPr>
          <w:p>
            <w:pPr>
              <w:pStyle w:val="TableParagraph"/>
              <w:spacing w:before="75"/>
              <w:ind w:left="80"/>
              <w:rPr>
                <w:b/>
                <w:sz w:val="15"/>
              </w:rPr>
            </w:pPr>
            <w:r>
              <w:rPr>
                <w:b/>
                <w:color w:val="231F20"/>
                <w:w w:val="110"/>
                <w:sz w:val="15"/>
              </w:rPr>
              <w:t>Cook Islands</w:t>
            </w:r>
          </w:p>
        </w:tc>
        <w:tc>
          <w:tcPr>
            <w:tcW w:w="1225" w:type="dxa"/>
            <w:shd w:val="clear" w:color="auto" w:fill="92BAC2"/>
          </w:tcPr>
          <w:p>
            <w:pPr>
              <w:pStyle w:val="TableParagraph"/>
              <w:spacing w:line="223" w:lineRule="auto" w:before="85"/>
              <w:ind w:left="79" w:right="390"/>
              <w:rPr>
                <w:b/>
                <w:sz w:val="15"/>
              </w:rPr>
            </w:pPr>
            <w:r>
              <w:rPr>
                <w:b/>
                <w:color w:val="231F20"/>
                <w:w w:val="105"/>
                <w:sz w:val="15"/>
              </w:rPr>
              <w:t>Federated States of Micronesia</w:t>
            </w:r>
          </w:p>
        </w:tc>
        <w:tc>
          <w:tcPr>
            <w:tcW w:w="1066" w:type="dxa"/>
            <w:shd w:val="clear" w:color="auto" w:fill="92BAC2"/>
          </w:tcPr>
          <w:p>
            <w:pPr>
              <w:pStyle w:val="TableParagraph"/>
              <w:spacing w:line="223" w:lineRule="auto" w:before="85"/>
              <w:ind w:left="79" w:right="145"/>
              <w:rPr>
                <w:b/>
                <w:sz w:val="15"/>
              </w:rPr>
            </w:pPr>
            <w:r>
              <w:rPr>
                <w:b/>
                <w:color w:val="231F20"/>
                <w:w w:val="110"/>
                <w:sz w:val="15"/>
              </w:rPr>
              <w:t>Kiribati Islands</w:t>
            </w:r>
          </w:p>
        </w:tc>
        <w:tc>
          <w:tcPr>
            <w:tcW w:w="1361" w:type="dxa"/>
            <w:shd w:val="clear" w:color="auto" w:fill="92BAC2"/>
          </w:tcPr>
          <w:p>
            <w:pPr>
              <w:pStyle w:val="TableParagraph"/>
              <w:spacing w:before="75"/>
              <w:ind w:left="79"/>
              <w:rPr>
                <w:b/>
                <w:sz w:val="15"/>
              </w:rPr>
            </w:pPr>
            <w:r>
              <w:rPr>
                <w:b/>
                <w:color w:val="231F20"/>
                <w:w w:val="105"/>
                <w:sz w:val="15"/>
              </w:rPr>
              <w:t>Marshall Islands</w:t>
            </w:r>
          </w:p>
        </w:tc>
        <w:tc>
          <w:tcPr>
            <w:tcW w:w="1361" w:type="dxa"/>
            <w:shd w:val="clear" w:color="auto" w:fill="92BAC2"/>
          </w:tcPr>
          <w:p>
            <w:pPr>
              <w:pStyle w:val="TableParagraph"/>
              <w:spacing w:before="75"/>
              <w:ind w:left="78"/>
              <w:rPr>
                <w:b/>
                <w:sz w:val="15"/>
              </w:rPr>
            </w:pPr>
            <w:r>
              <w:rPr>
                <w:b/>
                <w:color w:val="231F20"/>
                <w:w w:val="110"/>
                <w:sz w:val="15"/>
              </w:rPr>
              <w:t>Nauru</w:t>
            </w:r>
          </w:p>
        </w:tc>
        <w:tc>
          <w:tcPr>
            <w:tcW w:w="1093" w:type="dxa"/>
            <w:shd w:val="clear" w:color="auto" w:fill="92BAC2"/>
          </w:tcPr>
          <w:p>
            <w:pPr>
              <w:pStyle w:val="TableParagraph"/>
              <w:spacing w:before="75"/>
              <w:ind w:left="78"/>
              <w:rPr>
                <w:b/>
                <w:sz w:val="15"/>
              </w:rPr>
            </w:pPr>
            <w:r>
              <w:rPr>
                <w:b/>
                <w:color w:val="231F20"/>
                <w:w w:val="110"/>
                <w:sz w:val="15"/>
              </w:rPr>
              <w:t>Niue</w:t>
            </w:r>
          </w:p>
        </w:tc>
        <w:tc>
          <w:tcPr>
            <w:tcW w:w="1261" w:type="dxa"/>
            <w:shd w:val="clear" w:color="auto" w:fill="92BAC2"/>
          </w:tcPr>
          <w:p>
            <w:pPr>
              <w:pStyle w:val="TableParagraph"/>
              <w:spacing w:before="75"/>
              <w:ind w:left="77"/>
              <w:rPr>
                <w:b/>
                <w:sz w:val="15"/>
              </w:rPr>
            </w:pPr>
            <w:r>
              <w:rPr>
                <w:b/>
                <w:color w:val="231F20"/>
                <w:w w:val="105"/>
                <w:sz w:val="15"/>
              </w:rPr>
              <w:t>Palau</w:t>
            </w:r>
          </w:p>
        </w:tc>
      </w:tr>
      <w:tr>
        <w:trPr>
          <w:trHeight w:val="1918" w:hRule="atLeast"/>
        </w:trPr>
        <w:tc>
          <w:tcPr>
            <w:tcW w:w="1124" w:type="dxa"/>
            <w:shd w:val="clear" w:color="auto" w:fill="F2CDBE"/>
          </w:tcPr>
          <w:p>
            <w:pPr>
              <w:pStyle w:val="TableParagraph"/>
              <w:spacing w:line="223" w:lineRule="auto" w:before="84"/>
              <w:ind w:left="80"/>
              <w:rPr>
                <w:sz w:val="15"/>
              </w:rPr>
            </w:pPr>
            <w:r>
              <w:rPr>
                <w:color w:val="231F20"/>
                <w:w w:val="110"/>
                <w:sz w:val="15"/>
              </w:rPr>
              <w:t>Data unavailable</w:t>
            </w:r>
          </w:p>
        </w:tc>
        <w:tc>
          <w:tcPr>
            <w:tcW w:w="1225" w:type="dxa"/>
            <w:shd w:val="clear" w:color="auto" w:fill="F2CDBE"/>
          </w:tcPr>
          <w:p>
            <w:pPr>
              <w:pStyle w:val="TableParagraph"/>
              <w:spacing w:line="223" w:lineRule="auto" w:before="84"/>
              <w:ind w:left="79" w:right="82"/>
              <w:rPr>
                <w:sz w:val="15"/>
              </w:rPr>
            </w:pPr>
            <w:r>
              <w:rPr>
                <w:color w:val="231F20"/>
                <w:w w:val="110"/>
                <w:sz w:val="15"/>
              </w:rPr>
              <w:t>Data unavailable</w:t>
            </w:r>
          </w:p>
        </w:tc>
        <w:tc>
          <w:tcPr>
            <w:tcW w:w="1066" w:type="dxa"/>
            <w:shd w:val="clear" w:color="auto" w:fill="F2CDBE"/>
          </w:tcPr>
          <w:p>
            <w:pPr>
              <w:pStyle w:val="TableParagraph"/>
              <w:spacing w:line="223" w:lineRule="auto" w:before="84"/>
              <w:ind w:left="79" w:right="145"/>
              <w:rPr>
                <w:sz w:val="15"/>
              </w:rPr>
            </w:pPr>
            <w:r>
              <w:rPr>
                <w:color w:val="231F20"/>
                <w:w w:val="110"/>
                <w:sz w:val="15"/>
              </w:rPr>
              <w:t>Data unavailable</w:t>
            </w:r>
          </w:p>
        </w:tc>
        <w:tc>
          <w:tcPr>
            <w:tcW w:w="1361" w:type="dxa"/>
            <w:shd w:val="clear" w:color="auto" w:fill="D8E3CE"/>
          </w:tcPr>
          <w:p>
            <w:pPr>
              <w:pStyle w:val="TableParagraph"/>
              <w:spacing w:line="177" w:lineRule="exact" w:before="75"/>
              <w:ind w:left="79"/>
              <w:rPr>
                <w:sz w:val="15"/>
              </w:rPr>
            </w:pPr>
            <w:r>
              <w:rPr>
                <w:b/>
                <w:color w:val="231F20"/>
                <w:w w:val="115"/>
                <w:sz w:val="15"/>
              </w:rPr>
              <w:t>High Court </w:t>
            </w:r>
            <w:r>
              <w:rPr>
                <w:color w:val="231F20"/>
                <w:w w:val="115"/>
                <w:sz w:val="15"/>
              </w:rPr>
              <w:t>59%</w:t>
            </w:r>
          </w:p>
          <w:p>
            <w:pPr>
              <w:pStyle w:val="TableParagraph"/>
              <w:spacing w:line="177" w:lineRule="exact"/>
              <w:ind w:left="79"/>
              <w:rPr>
                <w:sz w:val="15"/>
              </w:rPr>
            </w:pPr>
            <w:r>
              <w:rPr>
                <w:color w:val="231F20"/>
                <w:w w:val="110"/>
                <w:sz w:val="15"/>
              </w:rPr>
              <w:t>(2010)</w:t>
            </w:r>
          </w:p>
          <w:p>
            <w:pPr>
              <w:pStyle w:val="TableParagraph"/>
              <w:spacing w:line="223" w:lineRule="auto" w:before="53"/>
              <w:ind w:left="79" w:right="235"/>
              <w:rPr>
                <w:sz w:val="15"/>
              </w:rPr>
            </w:pPr>
            <w:r>
              <w:rPr>
                <w:color w:val="231F20"/>
                <w:w w:val="115"/>
                <w:sz w:val="15"/>
              </w:rPr>
              <w:t>In 84% of </w:t>
            </w:r>
            <w:r>
              <w:rPr>
                <w:color w:val="231F20"/>
                <w:w w:val="110"/>
                <w:sz w:val="15"/>
              </w:rPr>
              <w:t>criminal cases </w:t>
            </w:r>
            <w:r>
              <w:rPr>
                <w:color w:val="231F20"/>
                <w:w w:val="115"/>
                <w:sz w:val="15"/>
              </w:rPr>
              <w:t>and 100%</w:t>
            </w:r>
          </w:p>
          <w:p>
            <w:pPr>
              <w:pStyle w:val="TableParagraph"/>
              <w:spacing w:line="223" w:lineRule="auto"/>
              <w:ind w:left="79" w:right="119"/>
              <w:rPr>
                <w:sz w:val="15"/>
              </w:rPr>
            </w:pPr>
            <w:r>
              <w:rPr>
                <w:color w:val="231F20"/>
                <w:w w:val="110"/>
                <w:sz w:val="15"/>
              </w:rPr>
              <w:t>of </w:t>
            </w:r>
            <w:r>
              <w:rPr>
                <w:color w:val="231F20"/>
                <w:spacing w:val="-3"/>
                <w:w w:val="110"/>
                <w:sz w:val="15"/>
              </w:rPr>
              <w:t>juvenile </w:t>
            </w:r>
            <w:r>
              <w:rPr>
                <w:color w:val="231F20"/>
                <w:w w:val="110"/>
                <w:sz w:val="15"/>
              </w:rPr>
              <w:t>criminal cases the defendant </w:t>
            </w:r>
            <w:r>
              <w:rPr>
                <w:color w:val="231F20"/>
                <w:spacing w:val="-3"/>
                <w:w w:val="110"/>
                <w:sz w:val="15"/>
              </w:rPr>
              <w:t>received </w:t>
            </w:r>
            <w:r>
              <w:rPr>
                <w:color w:val="231F20"/>
                <w:w w:val="110"/>
                <w:sz w:val="15"/>
              </w:rPr>
              <w:t>legal </w:t>
            </w:r>
            <w:r>
              <w:rPr>
                <w:color w:val="231F20"/>
                <w:spacing w:val="-2"/>
                <w:w w:val="110"/>
                <w:sz w:val="15"/>
              </w:rPr>
              <w:t>aid (2010)</w:t>
            </w:r>
          </w:p>
        </w:tc>
        <w:tc>
          <w:tcPr>
            <w:tcW w:w="1361" w:type="dxa"/>
            <w:shd w:val="clear" w:color="auto" w:fill="F2CDBE"/>
          </w:tcPr>
          <w:p>
            <w:pPr>
              <w:pStyle w:val="TableParagraph"/>
              <w:spacing w:line="177" w:lineRule="exact" w:before="75"/>
              <w:ind w:left="78"/>
              <w:rPr>
                <w:b/>
                <w:sz w:val="15"/>
              </w:rPr>
            </w:pPr>
            <w:r>
              <w:rPr>
                <w:b/>
                <w:color w:val="231F20"/>
                <w:w w:val="110"/>
                <w:sz w:val="15"/>
              </w:rPr>
              <w:t>Supreme Court</w:t>
            </w:r>
          </w:p>
          <w:p>
            <w:pPr>
              <w:pStyle w:val="TableParagraph"/>
              <w:spacing w:line="177" w:lineRule="exact"/>
              <w:ind w:left="78"/>
              <w:rPr>
                <w:sz w:val="15"/>
              </w:rPr>
            </w:pPr>
            <w:r>
              <w:rPr>
                <w:color w:val="231F20"/>
                <w:w w:val="110"/>
                <w:sz w:val="15"/>
              </w:rPr>
              <w:t>Data unavailable</w:t>
            </w:r>
          </w:p>
          <w:p>
            <w:pPr>
              <w:pStyle w:val="TableParagraph"/>
              <w:spacing w:line="177" w:lineRule="exact" w:before="43"/>
              <w:ind w:left="78"/>
              <w:rPr>
                <w:b/>
                <w:sz w:val="15"/>
              </w:rPr>
            </w:pPr>
            <w:r>
              <w:rPr>
                <w:b/>
                <w:color w:val="231F20"/>
                <w:w w:val="110"/>
                <w:sz w:val="15"/>
              </w:rPr>
              <w:t>Magistrates Court</w:t>
            </w:r>
          </w:p>
          <w:p>
            <w:pPr>
              <w:pStyle w:val="TableParagraph"/>
              <w:spacing w:line="177" w:lineRule="exact"/>
              <w:ind w:left="78"/>
              <w:rPr>
                <w:sz w:val="15"/>
              </w:rPr>
            </w:pPr>
            <w:r>
              <w:rPr>
                <w:color w:val="231F20"/>
                <w:w w:val="110"/>
                <w:sz w:val="15"/>
              </w:rPr>
              <w:t>Data unavailable</w:t>
            </w:r>
          </w:p>
        </w:tc>
        <w:tc>
          <w:tcPr>
            <w:tcW w:w="1093" w:type="dxa"/>
            <w:shd w:val="clear" w:color="auto" w:fill="F2CDBE"/>
          </w:tcPr>
          <w:p>
            <w:pPr>
              <w:pStyle w:val="TableParagraph"/>
              <w:spacing w:line="223" w:lineRule="auto" w:before="84"/>
              <w:ind w:left="78"/>
              <w:rPr>
                <w:sz w:val="15"/>
              </w:rPr>
            </w:pPr>
            <w:r>
              <w:rPr>
                <w:color w:val="231F20"/>
                <w:w w:val="110"/>
                <w:sz w:val="15"/>
              </w:rPr>
              <w:t>Data unavailable</w:t>
            </w:r>
          </w:p>
        </w:tc>
        <w:tc>
          <w:tcPr>
            <w:tcW w:w="1261" w:type="dxa"/>
            <w:shd w:val="clear" w:color="auto" w:fill="F2CDBE"/>
          </w:tcPr>
          <w:p>
            <w:pPr>
              <w:pStyle w:val="TableParagraph"/>
              <w:spacing w:before="74"/>
              <w:ind w:left="77"/>
              <w:rPr>
                <w:sz w:val="15"/>
              </w:rPr>
            </w:pPr>
            <w:r>
              <w:rPr>
                <w:color w:val="231F20"/>
                <w:w w:val="110"/>
                <w:sz w:val="15"/>
              </w:rPr>
              <w:t>Data unavailable</w:t>
            </w:r>
          </w:p>
        </w:tc>
      </w:tr>
      <w:tr>
        <w:trPr>
          <w:trHeight w:val="462" w:hRule="atLeast"/>
        </w:trPr>
        <w:tc>
          <w:tcPr>
            <w:tcW w:w="1124" w:type="dxa"/>
            <w:shd w:val="clear" w:color="auto" w:fill="92BAC2"/>
          </w:tcPr>
          <w:p>
            <w:pPr>
              <w:pStyle w:val="TableParagraph"/>
              <w:spacing w:line="223" w:lineRule="auto" w:before="85"/>
              <w:ind w:left="80"/>
              <w:rPr>
                <w:b/>
                <w:sz w:val="15"/>
              </w:rPr>
            </w:pPr>
            <w:r>
              <w:rPr>
                <w:b/>
                <w:color w:val="231F20"/>
                <w:w w:val="110"/>
                <w:sz w:val="15"/>
              </w:rPr>
              <w:t>Papua New Guinea</w:t>
            </w:r>
          </w:p>
        </w:tc>
        <w:tc>
          <w:tcPr>
            <w:tcW w:w="1225" w:type="dxa"/>
            <w:shd w:val="clear" w:color="auto" w:fill="92BAC2"/>
          </w:tcPr>
          <w:p>
            <w:pPr>
              <w:pStyle w:val="TableParagraph"/>
              <w:spacing w:before="75"/>
              <w:ind w:left="79"/>
              <w:rPr>
                <w:b/>
                <w:sz w:val="15"/>
              </w:rPr>
            </w:pPr>
            <w:r>
              <w:rPr>
                <w:b/>
                <w:color w:val="231F20"/>
                <w:w w:val="105"/>
                <w:sz w:val="15"/>
              </w:rPr>
              <w:t>Samoa</w:t>
            </w:r>
          </w:p>
        </w:tc>
        <w:tc>
          <w:tcPr>
            <w:tcW w:w="1066" w:type="dxa"/>
            <w:shd w:val="clear" w:color="auto" w:fill="92BAC2"/>
          </w:tcPr>
          <w:p>
            <w:pPr>
              <w:pStyle w:val="TableParagraph"/>
              <w:spacing w:line="223" w:lineRule="auto" w:before="85"/>
              <w:ind w:left="79" w:right="377"/>
              <w:rPr>
                <w:b/>
                <w:sz w:val="15"/>
              </w:rPr>
            </w:pPr>
            <w:r>
              <w:rPr>
                <w:b/>
                <w:color w:val="231F20"/>
                <w:w w:val="105"/>
                <w:sz w:val="15"/>
              </w:rPr>
              <w:t>Solomon </w:t>
            </w:r>
            <w:r>
              <w:rPr>
                <w:b/>
                <w:color w:val="231F20"/>
                <w:w w:val="110"/>
                <w:sz w:val="15"/>
              </w:rPr>
              <w:t>Islands</w:t>
            </w:r>
          </w:p>
        </w:tc>
        <w:tc>
          <w:tcPr>
            <w:tcW w:w="1361" w:type="dxa"/>
            <w:shd w:val="clear" w:color="auto" w:fill="92BAC2"/>
          </w:tcPr>
          <w:p>
            <w:pPr>
              <w:pStyle w:val="TableParagraph"/>
              <w:spacing w:before="75"/>
              <w:ind w:left="79"/>
              <w:rPr>
                <w:b/>
                <w:sz w:val="15"/>
              </w:rPr>
            </w:pPr>
            <w:r>
              <w:rPr>
                <w:b/>
                <w:color w:val="231F20"/>
                <w:w w:val="110"/>
                <w:sz w:val="15"/>
              </w:rPr>
              <w:t>Tokelau</w:t>
            </w:r>
          </w:p>
        </w:tc>
        <w:tc>
          <w:tcPr>
            <w:tcW w:w="1361" w:type="dxa"/>
            <w:shd w:val="clear" w:color="auto" w:fill="92BAC2"/>
          </w:tcPr>
          <w:p>
            <w:pPr>
              <w:pStyle w:val="TableParagraph"/>
              <w:spacing w:before="75"/>
              <w:ind w:left="78"/>
              <w:rPr>
                <w:b/>
                <w:sz w:val="15"/>
              </w:rPr>
            </w:pPr>
            <w:r>
              <w:rPr>
                <w:b/>
                <w:color w:val="231F20"/>
                <w:w w:val="110"/>
                <w:sz w:val="15"/>
              </w:rPr>
              <w:t>Tonga</w:t>
            </w:r>
          </w:p>
        </w:tc>
        <w:tc>
          <w:tcPr>
            <w:tcW w:w="1093" w:type="dxa"/>
            <w:shd w:val="clear" w:color="auto" w:fill="92BAC2"/>
          </w:tcPr>
          <w:p>
            <w:pPr>
              <w:pStyle w:val="TableParagraph"/>
              <w:spacing w:before="75"/>
              <w:ind w:left="78"/>
              <w:rPr>
                <w:b/>
                <w:sz w:val="15"/>
              </w:rPr>
            </w:pPr>
            <w:r>
              <w:rPr>
                <w:b/>
                <w:color w:val="231F20"/>
                <w:w w:val="110"/>
                <w:sz w:val="15"/>
              </w:rPr>
              <w:t>Tuvalu</w:t>
            </w:r>
          </w:p>
        </w:tc>
        <w:tc>
          <w:tcPr>
            <w:tcW w:w="1261" w:type="dxa"/>
            <w:shd w:val="clear" w:color="auto" w:fill="92BAC2"/>
          </w:tcPr>
          <w:p>
            <w:pPr>
              <w:pStyle w:val="TableParagraph"/>
              <w:spacing w:before="75"/>
              <w:ind w:left="77"/>
              <w:rPr>
                <w:b/>
                <w:sz w:val="15"/>
              </w:rPr>
            </w:pPr>
            <w:r>
              <w:rPr>
                <w:b/>
                <w:color w:val="231F20"/>
                <w:w w:val="105"/>
                <w:sz w:val="15"/>
              </w:rPr>
              <w:t>Vanuatu</w:t>
            </w:r>
          </w:p>
        </w:tc>
      </w:tr>
      <w:tr>
        <w:trPr>
          <w:trHeight w:val="1808" w:hRule="atLeast"/>
        </w:trPr>
        <w:tc>
          <w:tcPr>
            <w:tcW w:w="1124" w:type="dxa"/>
            <w:shd w:val="clear" w:color="auto" w:fill="F2CDBE"/>
          </w:tcPr>
          <w:p>
            <w:pPr>
              <w:pStyle w:val="TableParagraph"/>
              <w:spacing w:line="223" w:lineRule="auto" w:before="85"/>
              <w:ind w:left="80" w:right="116"/>
              <w:rPr>
                <w:sz w:val="15"/>
              </w:rPr>
            </w:pPr>
            <w:r>
              <w:rPr>
                <w:b/>
                <w:color w:val="231F20"/>
                <w:w w:val="110"/>
                <w:sz w:val="15"/>
              </w:rPr>
              <w:t>Supreme Court </w:t>
            </w:r>
            <w:r>
              <w:rPr>
                <w:color w:val="231F20"/>
                <w:w w:val="110"/>
                <w:sz w:val="15"/>
              </w:rPr>
              <w:t>Data unavailable</w:t>
            </w:r>
          </w:p>
          <w:p>
            <w:pPr>
              <w:pStyle w:val="TableParagraph"/>
              <w:spacing w:line="223" w:lineRule="auto" w:before="55"/>
              <w:ind w:left="80" w:right="270"/>
              <w:jc w:val="both"/>
              <w:rPr>
                <w:sz w:val="15"/>
              </w:rPr>
            </w:pPr>
            <w:r>
              <w:rPr>
                <w:b/>
                <w:color w:val="231F20"/>
                <w:spacing w:val="-2"/>
                <w:w w:val="105"/>
                <w:sz w:val="15"/>
              </w:rPr>
              <w:t>Magistrates </w:t>
            </w:r>
            <w:r>
              <w:rPr>
                <w:b/>
                <w:color w:val="231F20"/>
                <w:w w:val="110"/>
                <w:sz w:val="15"/>
              </w:rPr>
              <w:t>Court </w:t>
            </w:r>
            <w:r>
              <w:rPr>
                <w:color w:val="231F20"/>
                <w:spacing w:val="-4"/>
                <w:w w:val="110"/>
                <w:sz w:val="15"/>
              </w:rPr>
              <w:t>Data </w:t>
            </w:r>
            <w:r>
              <w:rPr>
                <w:color w:val="231F20"/>
                <w:spacing w:val="-5"/>
                <w:w w:val="110"/>
                <w:sz w:val="15"/>
              </w:rPr>
              <w:t>unavailable</w:t>
            </w:r>
          </w:p>
        </w:tc>
        <w:tc>
          <w:tcPr>
            <w:tcW w:w="1225" w:type="dxa"/>
            <w:shd w:val="clear" w:color="auto" w:fill="F2CDBE"/>
          </w:tcPr>
          <w:p>
            <w:pPr>
              <w:pStyle w:val="TableParagraph"/>
              <w:spacing w:line="223" w:lineRule="auto" w:before="85"/>
              <w:ind w:left="79" w:right="251"/>
              <w:rPr>
                <w:sz w:val="15"/>
              </w:rPr>
            </w:pPr>
            <w:r>
              <w:rPr>
                <w:b/>
                <w:color w:val="231F20"/>
                <w:w w:val="110"/>
                <w:sz w:val="15"/>
              </w:rPr>
              <w:t>Supreme Court </w:t>
            </w:r>
            <w:r>
              <w:rPr>
                <w:color w:val="231F20"/>
                <w:w w:val="110"/>
                <w:sz w:val="15"/>
              </w:rPr>
              <w:t>Data unavailable</w:t>
            </w:r>
          </w:p>
          <w:p>
            <w:pPr>
              <w:pStyle w:val="TableParagraph"/>
              <w:spacing w:line="223" w:lineRule="auto" w:before="55"/>
              <w:ind w:left="79" w:right="371"/>
              <w:jc w:val="both"/>
              <w:rPr>
                <w:sz w:val="15"/>
              </w:rPr>
            </w:pPr>
            <w:r>
              <w:rPr>
                <w:b/>
                <w:color w:val="231F20"/>
                <w:spacing w:val="-2"/>
                <w:w w:val="105"/>
                <w:sz w:val="15"/>
              </w:rPr>
              <w:t>Magistrates </w:t>
            </w:r>
            <w:r>
              <w:rPr>
                <w:b/>
                <w:color w:val="231F20"/>
                <w:w w:val="110"/>
                <w:sz w:val="15"/>
              </w:rPr>
              <w:t>Court </w:t>
            </w:r>
            <w:r>
              <w:rPr>
                <w:color w:val="231F20"/>
                <w:spacing w:val="-4"/>
                <w:w w:val="110"/>
                <w:sz w:val="15"/>
              </w:rPr>
              <w:t>Data </w:t>
            </w:r>
            <w:r>
              <w:rPr>
                <w:color w:val="231F20"/>
                <w:spacing w:val="-5"/>
                <w:w w:val="110"/>
                <w:sz w:val="15"/>
              </w:rPr>
              <w:t>unavailable</w:t>
            </w:r>
          </w:p>
        </w:tc>
        <w:tc>
          <w:tcPr>
            <w:tcW w:w="1066" w:type="dxa"/>
            <w:shd w:val="clear" w:color="auto" w:fill="F2CDBE"/>
          </w:tcPr>
          <w:p>
            <w:pPr>
              <w:pStyle w:val="TableParagraph"/>
              <w:spacing w:line="223" w:lineRule="auto" w:before="85"/>
              <w:ind w:left="79" w:right="145"/>
              <w:rPr>
                <w:sz w:val="15"/>
              </w:rPr>
            </w:pPr>
            <w:r>
              <w:rPr>
                <w:b/>
                <w:color w:val="231F20"/>
                <w:w w:val="110"/>
                <w:sz w:val="15"/>
              </w:rPr>
              <w:t>Appeal Court </w:t>
            </w:r>
            <w:r>
              <w:rPr>
                <w:color w:val="231F20"/>
                <w:w w:val="110"/>
                <w:sz w:val="15"/>
              </w:rPr>
              <w:t>Data unavailable</w:t>
            </w:r>
          </w:p>
          <w:p>
            <w:pPr>
              <w:pStyle w:val="TableParagraph"/>
              <w:spacing w:line="223" w:lineRule="auto" w:before="55"/>
              <w:ind w:left="79" w:right="145"/>
              <w:rPr>
                <w:sz w:val="15"/>
              </w:rPr>
            </w:pPr>
            <w:r>
              <w:rPr>
                <w:b/>
                <w:color w:val="231F20"/>
                <w:w w:val="110"/>
                <w:sz w:val="15"/>
              </w:rPr>
              <w:t>Supreme Court </w:t>
            </w:r>
            <w:r>
              <w:rPr>
                <w:color w:val="231F20"/>
                <w:w w:val="110"/>
                <w:sz w:val="15"/>
              </w:rPr>
              <w:t>Data unavailable</w:t>
            </w:r>
          </w:p>
          <w:p>
            <w:pPr>
              <w:pStyle w:val="TableParagraph"/>
              <w:spacing w:line="223" w:lineRule="auto" w:before="56"/>
              <w:ind w:left="79" w:right="212"/>
              <w:jc w:val="both"/>
              <w:rPr>
                <w:sz w:val="15"/>
              </w:rPr>
            </w:pPr>
            <w:r>
              <w:rPr>
                <w:b/>
                <w:color w:val="231F20"/>
                <w:spacing w:val="-2"/>
                <w:w w:val="105"/>
                <w:sz w:val="15"/>
              </w:rPr>
              <w:t>Magistrates </w:t>
            </w:r>
            <w:r>
              <w:rPr>
                <w:b/>
                <w:color w:val="231F20"/>
                <w:w w:val="110"/>
                <w:sz w:val="15"/>
              </w:rPr>
              <w:t>Court </w:t>
            </w:r>
            <w:r>
              <w:rPr>
                <w:color w:val="231F20"/>
                <w:spacing w:val="-4"/>
                <w:w w:val="110"/>
                <w:sz w:val="15"/>
              </w:rPr>
              <w:t>Data </w:t>
            </w:r>
            <w:r>
              <w:rPr>
                <w:color w:val="231F20"/>
                <w:spacing w:val="-5"/>
                <w:w w:val="110"/>
                <w:sz w:val="15"/>
              </w:rPr>
              <w:t>unavailable</w:t>
            </w:r>
          </w:p>
        </w:tc>
        <w:tc>
          <w:tcPr>
            <w:tcW w:w="1361" w:type="dxa"/>
            <w:shd w:val="clear" w:color="auto" w:fill="D8E3CE"/>
          </w:tcPr>
          <w:p>
            <w:pPr>
              <w:pStyle w:val="TableParagraph"/>
              <w:spacing w:line="223" w:lineRule="auto" w:before="84"/>
              <w:ind w:left="79" w:right="156"/>
              <w:rPr>
                <w:sz w:val="15"/>
              </w:rPr>
            </w:pPr>
            <w:r>
              <w:rPr>
                <w:color w:val="231F20"/>
                <w:w w:val="110"/>
                <w:sz w:val="15"/>
              </w:rPr>
              <w:t>0% of parties receive legal aid </w:t>
            </w:r>
            <w:r>
              <w:rPr>
                <w:color w:val="231F20"/>
                <w:sz w:val="15"/>
              </w:rPr>
              <w:t>(parties represent </w:t>
            </w:r>
            <w:r>
              <w:rPr>
                <w:color w:val="231F20"/>
                <w:w w:val="110"/>
                <w:sz w:val="15"/>
              </w:rPr>
              <w:t>themselves)</w:t>
            </w:r>
          </w:p>
        </w:tc>
        <w:tc>
          <w:tcPr>
            <w:tcW w:w="1361" w:type="dxa"/>
            <w:shd w:val="clear" w:color="auto" w:fill="F2CDBE"/>
          </w:tcPr>
          <w:p>
            <w:pPr>
              <w:pStyle w:val="TableParagraph"/>
              <w:spacing w:line="177" w:lineRule="exact" w:before="75"/>
              <w:ind w:left="78"/>
              <w:rPr>
                <w:b/>
                <w:sz w:val="15"/>
              </w:rPr>
            </w:pPr>
            <w:r>
              <w:rPr>
                <w:b/>
                <w:color w:val="231F20"/>
                <w:w w:val="110"/>
                <w:sz w:val="15"/>
              </w:rPr>
              <w:t>Supreme Court</w:t>
            </w:r>
          </w:p>
          <w:p>
            <w:pPr>
              <w:pStyle w:val="TableParagraph"/>
              <w:spacing w:line="177" w:lineRule="exact"/>
              <w:ind w:left="78"/>
              <w:rPr>
                <w:sz w:val="15"/>
              </w:rPr>
            </w:pPr>
            <w:r>
              <w:rPr>
                <w:color w:val="231F20"/>
                <w:w w:val="110"/>
                <w:sz w:val="15"/>
              </w:rPr>
              <w:t>Data unavailable</w:t>
            </w:r>
          </w:p>
          <w:p>
            <w:pPr>
              <w:pStyle w:val="TableParagraph"/>
              <w:spacing w:line="223" w:lineRule="auto" w:before="53"/>
              <w:ind w:left="78" w:right="476"/>
              <w:rPr>
                <w:b/>
                <w:sz w:val="15"/>
              </w:rPr>
            </w:pPr>
            <w:r>
              <w:rPr>
                <w:b/>
                <w:color w:val="231F20"/>
                <w:w w:val="105"/>
                <w:sz w:val="15"/>
              </w:rPr>
              <w:t>Magistrates </w:t>
            </w:r>
            <w:r>
              <w:rPr>
                <w:b/>
                <w:color w:val="231F20"/>
                <w:w w:val="110"/>
                <w:sz w:val="15"/>
              </w:rPr>
              <w:t>Court</w:t>
            </w:r>
          </w:p>
          <w:p>
            <w:pPr>
              <w:pStyle w:val="TableParagraph"/>
              <w:spacing w:line="173" w:lineRule="exact"/>
              <w:ind w:left="78"/>
              <w:rPr>
                <w:sz w:val="15"/>
              </w:rPr>
            </w:pPr>
            <w:r>
              <w:rPr>
                <w:color w:val="231F20"/>
                <w:w w:val="110"/>
                <w:sz w:val="15"/>
              </w:rPr>
              <w:t>Data unavailable</w:t>
            </w:r>
          </w:p>
        </w:tc>
        <w:tc>
          <w:tcPr>
            <w:tcW w:w="1093" w:type="dxa"/>
            <w:shd w:val="clear" w:color="auto" w:fill="F2CDBE"/>
          </w:tcPr>
          <w:p>
            <w:pPr>
              <w:pStyle w:val="TableParagraph"/>
              <w:spacing w:line="223" w:lineRule="auto" w:before="84"/>
              <w:ind w:left="78"/>
              <w:rPr>
                <w:sz w:val="15"/>
              </w:rPr>
            </w:pPr>
            <w:r>
              <w:rPr>
                <w:color w:val="231F20"/>
                <w:w w:val="110"/>
                <w:sz w:val="15"/>
              </w:rPr>
              <w:t>Data unavailable</w:t>
            </w:r>
          </w:p>
        </w:tc>
        <w:tc>
          <w:tcPr>
            <w:tcW w:w="1261" w:type="dxa"/>
            <w:shd w:val="clear" w:color="auto" w:fill="F2CDBE"/>
          </w:tcPr>
          <w:p>
            <w:pPr>
              <w:pStyle w:val="TableParagraph"/>
              <w:spacing w:before="74"/>
              <w:ind w:left="77"/>
              <w:rPr>
                <w:sz w:val="15"/>
              </w:rPr>
            </w:pPr>
            <w:r>
              <w:rPr>
                <w:color w:val="231F20"/>
                <w:w w:val="110"/>
                <w:sz w:val="15"/>
              </w:rPr>
              <w:t>Data unavailable</w:t>
            </w:r>
          </w:p>
        </w:tc>
      </w:tr>
    </w:tbl>
    <w:p>
      <w:pPr>
        <w:spacing w:after="0"/>
        <w:rPr>
          <w:sz w:val="15"/>
        </w:rPr>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88776"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33</w:t>
      </w:r>
    </w:p>
    <w:p>
      <w:pPr>
        <w:pStyle w:val="BodyText"/>
        <w:spacing w:before="7"/>
        <w:rPr>
          <w:sz w:val="82"/>
        </w:rPr>
      </w:pPr>
    </w:p>
    <w:p>
      <w:pPr>
        <w:pStyle w:val="BodyText"/>
        <w:ind w:left="1700"/>
      </w:pPr>
      <w:r>
        <w:rPr>
          <w:color w:val="231F20"/>
          <w:w w:val="105"/>
        </w:rPr>
        <w:t>Percentage of cases where a party receives legal aid – Year 7 Trend Data</w:t>
      </w:r>
    </w:p>
    <w:p>
      <w:pPr>
        <w:pStyle w:val="BodyText"/>
        <w:spacing w:before="7"/>
        <w:rPr>
          <w:sz w:val="6"/>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225"/>
        <w:gridCol w:w="1066"/>
        <w:gridCol w:w="1361"/>
        <w:gridCol w:w="1173"/>
        <w:gridCol w:w="1092"/>
        <w:gridCol w:w="1454"/>
      </w:tblGrid>
      <w:tr>
        <w:trPr>
          <w:trHeight w:val="632" w:hRule="atLeast"/>
        </w:trPr>
        <w:tc>
          <w:tcPr>
            <w:tcW w:w="1124" w:type="dxa"/>
            <w:shd w:val="clear" w:color="auto" w:fill="92BAC2"/>
          </w:tcPr>
          <w:p>
            <w:pPr>
              <w:pStyle w:val="TableParagraph"/>
              <w:spacing w:before="75"/>
              <w:ind w:left="80"/>
              <w:rPr>
                <w:b/>
                <w:sz w:val="15"/>
              </w:rPr>
            </w:pPr>
            <w:r>
              <w:rPr>
                <w:b/>
                <w:color w:val="231F20"/>
                <w:w w:val="110"/>
                <w:sz w:val="15"/>
              </w:rPr>
              <w:t>Cook Islands</w:t>
            </w:r>
          </w:p>
        </w:tc>
        <w:tc>
          <w:tcPr>
            <w:tcW w:w="1225" w:type="dxa"/>
            <w:shd w:val="clear" w:color="auto" w:fill="92BAC2"/>
          </w:tcPr>
          <w:p>
            <w:pPr>
              <w:pStyle w:val="TableParagraph"/>
              <w:spacing w:line="223" w:lineRule="auto" w:before="85"/>
              <w:ind w:left="79" w:right="390"/>
              <w:rPr>
                <w:b/>
                <w:sz w:val="15"/>
              </w:rPr>
            </w:pPr>
            <w:r>
              <w:rPr>
                <w:b/>
                <w:color w:val="231F20"/>
                <w:w w:val="105"/>
                <w:sz w:val="15"/>
              </w:rPr>
              <w:t>Federated States of Micronesia</w:t>
            </w:r>
          </w:p>
        </w:tc>
        <w:tc>
          <w:tcPr>
            <w:tcW w:w="1066" w:type="dxa"/>
            <w:shd w:val="clear" w:color="auto" w:fill="92BAC2"/>
          </w:tcPr>
          <w:p>
            <w:pPr>
              <w:pStyle w:val="TableParagraph"/>
              <w:spacing w:line="223" w:lineRule="auto" w:before="85"/>
              <w:ind w:left="79" w:right="145"/>
              <w:rPr>
                <w:b/>
                <w:sz w:val="15"/>
              </w:rPr>
            </w:pPr>
            <w:r>
              <w:rPr>
                <w:b/>
                <w:color w:val="231F20"/>
                <w:w w:val="110"/>
                <w:sz w:val="15"/>
              </w:rPr>
              <w:t>Kiribati Islands</w:t>
            </w:r>
          </w:p>
        </w:tc>
        <w:tc>
          <w:tcPr>
            <w:tcW w:w="1361" w:type="dxa"/>
            <w:shd w:val="clear" w:color="auto" w:fill="92BAC2"/>
          </w:tcPr>
          <w:p>
            <w:pPr>
              <w:pStyle w:val="TableParagraph"/>
              <w:spacing w:before="75"/>
              <w:ind w:left="79"/>
              <w:rPr>
                <w:b/>
                <w:sz w:val="15"/>
              </w:rPr>
            </w:pPr>
            <w:r>
              <w:rPr>
                <w:b/>
                <w:color w:val="231F20"/>
                <w:w w:val="105"/>
                <w:sz w:val="15"/>
              </w:rPr>
              <w:t>Marshall Islands</w:t>
            </w:r>
          </w:p>
        </w:tc>
        <w:tc>
          <w:tcPr>
            <w:tcW w:w="1173" w:type="dxa"/>
            <w:shd w:val="clear" w:color="auto" w:fill="92BAC2"/>
          </w:tcPr>
          <w:p>
            <w:pPr>
              <w:pStyle w:val="TableParagraph"/>
              <w:spacing w:before="75"/>
              <w:ind w:left="78"/>
              <w:rPr>
                <w:b/>
                <w:sz w:val="15"/>
              </w:rPr>
            </w:pPr>
            <w:r>
              <w:rPr>
                <w:b/>
                <w:color w:val="231F20"/>
                <w:w w:val="110"/>
                <w:sz w:val="15"/>
              </w:rPr>
              <w:t>Nauru</w:t>
            </w:r>
          </w:p>
        </w:tc>
        <w:tc>
          <w:tcPr>
            <w:tcW w:w="1092" w:type="dxa"/>
            <w:shd w:val="clear" w:color="auto" w:fill="92BAC2"/>
          </w:tcPr>
          <w:p>
            <w:pPr>
              <w:pStyle w:val="TableParagraph"/>
              <w:spacing w:before="75"/>
              <w:ind w:left="78"/>
              <w:rPr>
                <w:b/>
                <w:sz w:val="15"/>
              </w:rPr>
            </w:pPr>
            <w:r>
              <w:rPr>
                <w:b/>
                <w:color w:val="231F20"/>
                <w:w w:val="110"/>
                <w:sz w:val="15"/>
              </w:rPr>
              <w:t>Niue</w:t>
            </w:r>
          </w:p>
        </w:tc>
        <w:tc>
          <w:tcPr>
            <w:tcW w:w="1454" w:type="dxa"/>
            <w:shd w:val="clear" w:color="auto" w:fill="92BAC2"/>
          </w:tcPr>
          <w:p>
            <w:pPr>
              <w:pStyle w:val="TableParagraph"/>
              <w:spacing w:before="75"/>
              <w:ind w:left="79"/>
              <w:rPr>
                <w:b/>
                <w:sz w:val="15"/>
              </w:rPr>
            </w:pPr>
            <w:r>
              <w:rPr>
                <w:b/>
                <w:color w:val="231F20"/>
                <w:w w:val="105"/>
                <w:sz w:val="15"/>
              </w:rPr>
              <w:t>Palau</w:t>
            </w:r>
          </w:p>
        </w:tc>
      </w:tr>
      <w:tr>
        <w:trPr>
          <w:trHeight w:val="4542" w:hRule="atLeast"/>
        </w:trPr>
        <w:tc>
          <w:tcPr>
            <w:tcW w:w="1124" w:type="dxa"/>
            <w:shd w:val="clear" w:color="auto" w:fill="F2CDBE"/>
          </w:tcPr>
          <w:p>
            <w:pPr>
              <w:pStyle w:val="TableParagraph"/>
              <w:spacing w:line="223" w:lineRule="auto" w:before="84"/>
              <w:ind w:left="80"/>
              <w:rPr>
                <w:sz w:val="15"/>
              </w:rPr>
            </w:pPr>
            <w:r>
              <w:rPr>
                <w:color w:val="231F20"/>
                <w:w w:val="110"/>
                <w:sz w:val="15"/>
              </w:rPr>
              <w:t>Data unavailable</w:t>
            </w:r>
          </w:p>
        </w:tc>
        <w:tc>
          <w:tcPr>
            <w:tcW w:w="1225" w:type="dxa"/>
            <w:shd w:val="clear" w:color="auto" w:fill="D8E3CE"/>
          </w:tcPr>
          <w:p>
            <w:pPr>
              <w:pStyle w:val="TableParagraph"/>
              <w:spacing w:line="177" w:lineRule="exact" w:before="74"/>
              <w:ind w:left="79"/>
              <w:rPr>
                <w:sz w:val="15"/>
              </w:rPr>
            </w:pPr>
            <w:r>
              <w:rPr>
                <w:color w:val="231F20"/>
                <w:w w:val="115"/>
                <w:sz w:val="15"/>
              </w:rPr>
              <w:t>In 2018 16% of</w:t>
            </w:r>
          </w:p>
          <w:p>
            <w:pPr>
              <w:pStyle w:val="TableParagraph"/>
              <w:spacing w:line="223" w:lineRule="auto" w:before="4"/>
              <w:ind w:left="79" w:right="176"/>
              <w:rPr>
                <w:sz w:val="15"/>
              </w:rPr>
            </w:pPr>
            <w:r>
              <w:rPr>
                <w:color w:val="231F20"/>
                <w:w w:val="105"/>
                <w:sz w:val="15"/>
              </w:rPr>
              <w:t>parties before the Supreme Court received legal aid.</w:t>
            </w:r>
          </w:p>
        </w:tc>
        <w:tc>
          <w:tcPr>
            <w:tcW w:w="1066" w:type="dxa"/>
            <w:shd w:val="clear" w:color="auto" w:fill="D8E3CE"/>
          </w:tcPr>
          <w:p>
            <w:pPr>
              <w:pStyle w:val="TableParagraph"/>
              <w:spacing w:line="223" w:lineRule="auto" w:before="85"/>
              <w:ind w:left="79" w:right="131"/>
              <w:rPr>
                <w:sz w:val="15"/>
              </w:rPr>
            </w:pPr>
            <w:r>
              <w:rPr>
                <w:b/>
                <w:color w:val="231F20"/>
                <w:w w:val="110"/>
                <w:sz w:val="15"/>
              </w:rPr>
              <w:t>High Court </w:t>
            </w:r>
            <w:r>
              <w:rPr>
                <w:color w:val="231F20"/>
                <w:w w:val="110"/>
                <w:sz w:val="15"/>
              </w:rPr>
              <w:t>In 1%  of </w:t>
            </w:r>
            <w:r>
              <w:rPr>
                <w:color w:val="231F20"/>
                <w:spacing w:val="-3"/>
                <w:w w:val="110"/>
                <w:sz w:val="15"/>
              </w:rPr>
              <w:t>civil </w:t>
            </w:r>
            <w:r>
              <w:rPr>
                <w:color w:val="231F20"/>
                <w:w w:val="110"/>
                <w:sz w:val="15"/>
              </w:rPr>
              <w:t>matters filed in 2014, one</w:t>
            </w:r>
            <w:r>
              <w:rPr>
                <w:color w:val="231F20"/>
                <w:spacing w:val="-11"/>
                <w:w w:val="110"/>
                <w:sz w:val="15"/>
              </w:rPr>
              <w:t> </w:t>
            </w:r>
            <w:r>
              <w:rPr>
                <w:color w:val="231F20"/>
                <w:w w:val="110"/>
                <w:sz w:val="15"/>
              </w:rPr>
              <w:t>or </w:t>
            </w:r>
            <w:r>
              <w:rPr>
                <w:color w:val="231F20"/>
                <w:w w:val="105"/>
                <w:sz w:val="15"/>
              </w:rPr>
              <w:t>more</w:t>
            </w:r>
            <w:r>
              <w:rPr>
                <w:color w:val="231F20"/>
                <w:spacing w:val="-6"/>
                <w:w w:val="105"/>
                <w:sz w:val="15"/>
              </w:rPr>
              <w:t> </w:t>
            </w:r>
            <w:r>
              <w:rPr>
                <w:color w:val="231F20"/>
                <w:w w:val="105"/>
                <w:sz w:val="15"/>
              </w:rPr>
              <w:t>parties</w:t>
            </w:r>
          </w:p>
          <w:p>
            <w:pPr>
              <w:pStyle w:val="TableParagraph"/>
              <w:spacing w:line="223" w:lineRule="auto"/>
              <w:ind w:left="79" w:right="23"/>
              <w:rPr>
                <w:sz w:val="15"/>
              </w:rPr>
            </w:pPr>
            <w:r>
              <w:rPr>
                <w:color w:val="231F20"/>
                <w:w w:val="110"/>
                <w:sz w:val="15"/>
              </w:rPr>
              <w:t>received legal aid.</w:t>
            </w:r>
          </w:p>
        </w:tc>
        <w:tc>
          <w:tcPr>
            <w:tcW w:w="1361" w:type="dxa"/>
            <w:shd w:val="clear" w:color="auto" w:fill="D8E3CE"/>
          </w:tcPr>
          <w:p>
            <w:pPr>
              <w:pStyle w:val="TableParagraph"/>
              <w:spacing w:line="223" w:lineRule="auto" w:before="85"/>
              <w:ind w:left="79" w:right="326"/>
              <w:rPr>
                <w:sz w:val="15"/>
              </w:rPr>
            </w:pPr>
            <w:r>
              <w:rPr>
                <w:b/>
                <w:color w:val="231F20"/>
                <w:w w:val="110"/>
                <w:sz w:val="15"/>
              </w:rPr>
              <w:t>High  Court</w:t>
            </w:r>
            <w:r>
              <w:rPr>
                <w:color w:val="231F20"/>
                <w:w w:val="110"/>
                <w:sz w:val="15"/>
              </w:rPr>
              <w:t>: In 71% of </w:t>
            </w:r>
            <w:r>
              <w:rPr>
                <w:color w:val="231F20"/>
                <w:spacing w:val="-3"/>
                <w:w w:val="110"/>
                <w:sz w:val="15"/>
              </w:rPr>
              <w:t>civil </w:t>
            </w:r>
            <w:r>
              <w:rPr>
                <w:color w:val="231F20"/>
                <w:w w:val="110"/>
                <w:sz w:val="15"/>
              </w:rPr>
              <w:t>matters</w:t>
            </w:r>
            <w:r>
              <w:rPr>
                <w:color w:val="231F20"/>
                <w:spacing w:val="-7"/>
                <w:w w:val="110"/>
                <w:sz w:val="15"/>
              </w:rPr>
              <w:t> </w:t>
            </w:r>
            <w:r>
              <w:rPr>
                <w:color w:val="231F20"/>
                <w:spacing w:val="-2"/>
                <w:w w:val="110"/>
                <w:sz w:val="15"/>
              </w:rPr>
              <w:t>and</w:t>
            </w:r>
          </w:p>
          <w:p>
            <w:pPr>
              <w:pStyle w:val="TableParagraph"/>
              <w:spacing w:line="223" w:lineRule="auto"/>
              <w:ind w:left="79" w:right="104"/>
              <w:rPr>
                <w:sz w:val="15"/>
              </w:rPr>
            </w:pPr>
            <w:r>
              <w:rPr>
                <w:color w:val="231F20"/>
                <w:w w:val="105"/>
                <w:sz w:val="15"/>
              </w:rPr>
              <w:t>40% of probate matters one or more parties </w:t>
            </w:r>
            <w:r>
              <w:rPr>
                <w:color w:val="231F20"/>
                <w:spacing w:val="-3"/>
                <w:w w:val="105"/>
                <w:sz w:val="15"/>
              </w:rPr>
              <w:t>received  </w:t>
            </w:r>
            <w:r>
              <w:rPr>
                <w:color w:val="231F20"/>
                <w:w w:val="105"/>
                <w:sz w:val="15"/>
              </w:rPr>
              <w:t>free legal  aid.  100% of all criminal defendants, including </w:t>
            </w:r>
            <w:r>
              <w:rPr>
                <w:color w:val="231F20"/>
                <w:spacing w:val="-3"/>
                <w:w w:val="105"/>
                <w:sz w:val="15"/>
              </w:rPr>
              <w:t>juvenile </w:t>
            </w:r>
            <w:r>
              <w:rPr>
                <w:color w:val="231F20"/>
                <w:w w:val="105"/>
                <w:sz w:val="15"/>
              </w:rPr>
              <w:t>defendants, appearing </w:t>
            </w:r>
            <w:r>
              <w:rPr>
                <w:color w:val="231F20"/>
                <w:spacing w:val="-2"/>
                <w:w w:val="105"/>
                <w:sz w:val="15"/>
              </w:rPr>
              <w:t>before </w:t>
            </w:r>
            <w:r>
              <w:rPr>
                <w:color w:val="231F20"/>
                <w:w w:val="105"/>
                <w:sz w:val="15"/>
              </w:rPr>
              <w:t>the court </w:t>
            </w:r>
            <w:r>
              <w:rPr>
                <w:color w:val="231F20"/>
                <w:spacing w:val="-3"/>
                <w:w w:val="105"/>
                <w:sz w:val="15"/>
              </w:rPr>
              <w:t>received </w:t>
            </w:r>
            <w:r>
              <w:rPr>
                <w:color w:val="231F20"/>
                <w:w w:val="105"/>
                <w:sz w:val="15"/>
              </w:rPr>
              <w:t>free legal</w:t>
            </w:r>
            <w:r>
              <w:rPr>
                <w:color w:val="231F20"/>
                <w:spacing w:val="8"/>
                <w:w w:val="105"/>
                <w:sz w:val="15"/>
              </w:rPr>
              <w:t> </w:t>
            </w:r>
            <w:r>
              <w:rPr>
                <w:color w:val="231F20"/>
                <w:w w:val="105"/>
                <w:sz w:val="15"/>
              </w:rPr>
              <w:t>aid.</w:t>
            </w:r>
          </w:p>
          <w:p>
            <w:pPr>
              <w:pStyle w:val="TableParagraph"/>
              <w:spacing w:line="223" w:lineRule="auto"/>
              <w:ind w:left="79" w:right="176"/>
              <w:rPr>
                <w:sz w:val="15"/>
              </w:rPr>
            </w:pPr>
            <w:r>
              <w:rPr>
                <w:b/>
                <w:color w:val="231F20"/>
                <w:w w:val="110"/>
                <w:sz w:val="15"/>
              </w:rPr>
              <w:t>District Court</w:t>
            </w:r>
            <w:r>
              <w:rPr>
                <w:color w:val="231F20"/>
                <w:w w:val="110"/>
                <w:sz w:val="15"/>
              </w:rPr>
              <w:t>: 16% of parties </w:t>
            </w:r>
            <w:r>
              <w:rPr>
                <w:color w:val="231F20"/>
                <w:w w:val="105"/>
                <w:sz w:val="15"/>
              </w:rPr>
              <w:t>in traffic</w:t>
            </w:r>
            <w:r>
              <w:rPr>
                <w:color w:val="231F20"/>
                <w:spacing w:val="-26"/>
                <w:w w:val="105"/>
                <w:sz w:val="15"/>
              </w:rPr>
              <w:t> </w:t>
            </w:r>
            <w:r>
              <w:rPr>
                <w:color w:val="231F20"/>
                <w:w w:val="105"/>
                <w:sz w:val="15"/>
              </w:rPr>
              <w:t>matters, </w:t>
            </w:r>
            <w:r>
              <w:rPr>
                <w:color w:val="231F20"/>
                <w:w w:val="110"/>
                <w:sz w:val="15"/>
              </w:rPr>
              <w:t>2% of parties in </w:t>
            </w:r>
            <w:r>
              <w:rPr>
                <w:color w:val="231F20"/>
                <w:w w:val="105"/>
                <w:sz w:val="15"/>
              </w:rPr>
              <w:t>criminal</w:t>
            </w:r>
            <w:r>
              <w:rPr>
                <w:color w:val="231F20"/>
                <w:spacing w:val="-3"/>
                <w:w w:val="105"/>
                <w:sz w:val="15"/>
              </w:rPr>
              <w:t> </w:t>
            </w:r>
            <w:r>
              <w:rPr>
                <w:color w:val="231F20"/>
                <w:w w:val="105"/>
                <w:sz w:val="15"/>
              </w:rPr>
              <w:t>matters,</w:t>
            </w:r>
          </w:p>
          <w:p>
            <w:pPr>
              <w:pStyle w:val="TableParagraph"/>
              <w:spacing w:line="223" w:lineRule="auto"/>
              <w:ind w:left="79" w:right="18"/>
              <w:rPr>
                <w:sz w:val="15"/>
              </w:rPr>
            </w:pPr>
            <w:r>
              <w:rPr>
                <w:color w:val="231F20"/>
                <w:w w:val="110"/>
                <w:sz w:val="15"/>
              </w:rPr>
              <w:t>including juvenile offenders, and 1% of parties in small claims matters received free legal aid</w:t>
            </w:r>
          </w:p>
        </w:tc>
        <w:tc>
          <w:tcPr>
            <w:tcW w:w="1173" w:type="dxa"/>
            <w:shd w:val="clear" w:color="auto" w:fill="F2CDBE"/>
          </w:tcPr>
          <w:p>
            <w:pPr>
              <w:pStyle w:val="TableParagraph"/>
              <w:spacing w:line="223" w:lineRule="auto" w:before="84"/>
              <w:ind w:left="78" w:right="22"/>
              <w:rPr>
                <w:sz w:val="15"/>
              </w:rPr>
            </w:pPr>
            <w:r>
              <w:rPr>
                <w:color w:val="231F20"/>
                <w:w w:val="110"/>
                <w:sz w:val="15"/>
              </w:rPr>
              <w:t>Data unavailable</w:t>
            </w:r>
          </w:p>
        </w:tc>
        <w:tc>
          <w:tcPr>
            <w:tcW w:w="1092" w:type="dxa"/>
            <w:shd w:val="clear" w:color="auto" w:fill="D8E3CE"/>
          </w:tcPr>
          <w:p>
            <w:pPr>
              <w:pStyle w:val="TableParagraph"/>
              <w:spacing w:line="223" w:lineRule="auto" w:before="84"/>
              <w:ind w:left="78" w:right="63"/>
              <w:rPr>
                <w:sz w:val="15"/>
              </w:rPr>
            </w:pPr>
            <w:r>
              <w:rPr>
                <w:color w:val="231F20"/>
                <w:w w:val="110"/>
                <w:sz w:val="15"/>
              </w:rPr>
              <w:t>0% of parties who brought cases before the High Court Land Division received legal aid.</w:t>
            </w:r>
          </w:p>
        </w:tc>
        <w:tc>
          <w:tcPr>
            <w:tcW w:w="1454" w:type="dxa"/>
            <w:shd w:val="clear" w:color="auto" w:fill="D8E3CE"/>
          </w:tcPr>
          <w:p>
            <w:pPr>
              <w:pStyle w:val="TableParagraph"/>
              <w:spacing w:line="177" w:lineRule="exact" w:before="75"/>
              <w:ind w:left="79"/>
              <w:rPr>
                <w:b/>
                <w:sz w:val="15"/>
              </w:rPr>
            </w:pPr>
            <w:r>
              <w:rPr>
                <w:b/>
                <w:color w:val="231F20"/>
                <w:w w:val="110"/>
                <w:sz w:val="15"/>
              </w:rPr>
              <w:t>Supreme Court</w:t>
            </w:r>
          </w:p>
          <w:p>
            <w:pPr>
              <w:pStyle w:val="TableParagraph"/>
              <w:spacing w:line="170" w:lineRule="exact"/>
              <w:ind w:left="79"/>
              <w:rPr>
                <w:sz w:val="15"/>
              </w:rPr>
            </w:pPr>
            <w:r>
              <w:rPr>
                <w:color w:val="231F20"/>
                <w:w w:val="110"/>
                <w:sz w:val="15"/>
              </w:rPr>
              <w:t>212 parties in</w:t>
            </w:r>
          </w:p>
          <w:p>
            <w:pPr>
              <w:pStyle w:val="TableParagraph"/>
              <w:spacing w:line="170" w:lineRule="exact"/>
              <w:ind w:left="79"/>
              <w:rPr>
                <w:sz w:val="15"/>
              </w:rPr>
            </w:pPr>
            <w:r>
              <w:rPr>
                <w:color w:val="231F20"/>
                <w:w w:val="110"/>
                <w:sz w:val="15"/>
              </w:rPr>
              <w:t>the 210 criminal</w:t>
            </w:r>
          </w:p>
          <w:p>
            <w:pPr>
              <w:pStyle w:val="TableParagraph"/>
              <w:spacing w:line="170" w:lineRule="exact"/>
              <w:ind w:left="79"/>
              <w:rPr>
                <w:sz w:val="15"/>
              </w:rPr>
            </w:pPr>
            <w:r>
              <w:rPr>
                <w:color w:val="231F20"/>
                <w:w w:val="110"/>
                <w:sz w:val="15"/>
              </w:rPr>
              <w:t>cases (100%),</w:t>
            </w:r>
          </w:p>
          <w:p>
            <w:pPr>
              <w:pStyle w:val="TableParagraph"/>
              <w:spacing w:line="223" w:lineRule="auto" w:before="3"/>
              <w:ind w:left="79" w:right="212"/>
              <w:rPr>
                <w:sz w:val="15"/>
              </w:rPr>
            </w:pPr>
            <w:r>
              <w:rPr>
                <w:color w:val="231F20"/>
                <w:w w:val="110"/>
                <w:sz w:val="15"/>
              </w:rPr>
              <w:t>and 170 parties in the 349 </w:t>
            </w:r>
            <w:r>
              <w:rPr>
                <w:color w:val="231F20"/>
                <w:spacing w:val="-3"/>
                <w:w w:val="110"/>
                <w:sz w:val="15"/>
              </w:rPr>
              <w:t>civil </w:t>
            </w:r>
            <w:r>
              <w:rPr>
                <w:color w:val="231F20"/>
                <w:w w:val="110"/>
                <w:sz w:val="15"/>
              </w:rPr>
              <w:t>cases </w:t>
            </w:r>
            <w:r>
              <w:rPr>
                <w:color w:val="231F20"/>
                <w:spacing w:val="-2"/>
                <w:w w:val="110"/>
                <w:sz w:val="15"/>
              </w:rPr>
              <w:t>(49%), </w:t>
            </w:r>
            <w:r>
              <w:rPr>
                <w:color w:val="231F20"/>
                <w:spacing w:val="-3"/>
                <w:w w:val="110"/>
                <w:sz w:val="15"/>
              </w:rPr>
              <w:t>received </w:t>
            </w:r>
            <w:r>
              <w:rPr>
                <w:color w:val="231F20"/>
                <w:w w:val="110"/>
                <w:sz w:val="15"/>
              </w:rPr>
              <w:t>legal </w:t>
            </w:r>
            <w:r>
              <w:rPr>
                <w:color w:val="231F20"/>
                <w:spacing w:val="-2"/>
                <w:w w:val="110"/>
                <w:sz w:val="15"/>
              </w:rPr>
              <w:t>aid</w:t>
            </w:r>
          </w:p>
          <w:p>
            <w:pPr>
              <w:pStyle w:val="TableParagraph"/>
              <w:spacing w:line="223" w:lineRule="auto"/>
              <w:ind w:left="79" w:right="104"/>
              <w:rPr>
                <w:sz w:val="15"/>
              </w:rPr>
            </w:pPr>
            <w:r>
              <w:rPr>
                <w:color w:val="231F20"/>
                <w:w w:val="110"/>
                <w:sz w:val="15"/>
              </w:rPr>
              <w:t>through the Public Defenders Office, MLSC or Court </w:t>
            </w:r>
            <w:r>
              <w:rPr>
                <w:color w:val="231F20"/>
                <w:w w:val="105"/>
                <w:sz w:val="15"/>
              </w:rPr>
              <w:t>appointed counsel.</w:t>
            </w:r>
          </w:p>
        </w:tc>
      </w:tr>
      <w:tr>
        <w:trPr>
          <w:trHeight w:val="462" w:hRule="atLeast"/>
        </w:trPr>
        <w:tc>
          <w:tcPr>
            <w:tcW w:w="1124" w:type="dxa"/>
            <w:shd w:val="clear" w:color="auto" w:fill="92BAC2"/>
          </w:tcPr>
          <w:p>
            <w:pPr>
              <w:pStyle w:val="TableParagraph"/>
              <w:spacing w:line="223" w:lineRule="auto" w:before="85"/>
              <w:ind w:left="80"/>
              <w:rPr>
                <w:b/>
                <w:sz w:val="15"/>
              </w:rPr>
            </w:pPr>
            <w:r>
              <w:rPr>
                <w:b/>
                <w:color w:val="231F20"/>
                <w:w w:val="110"/>
                <w:sz w:val="15"/>
              </w:rPr>
              <w:t>Papua New Guinea</w:t>
            </w:r>
          </w:p>
        </w:tc>
        <w:tc>
          <w:tcPr>
            <w:tcW w:w="1225" w:type="dxa"/>
            <w:shd w:val="clear" w:color="auto" w:fill="92BAC2"/>
          </w:tcPr>
          <w:p>
            <w:pPr>
              <w:pStyle w:val="TableParagraph"/>
              <w:spacing w:before="75"/>
              <w:ind w:left="79"/>
              <w:rPr>
                <w:b/>
                <w:sz w:val="15"/>
              </w:rPr>
            </w:pPr>
            <w:r>
              <w:rPr>
                <w:b/>
                <w:color w:val="231F20"/>
                <w:w w:val="105"/>
                <w:sz w:val="15"/>
              </w:rPr>
              <w:t>Samoa</w:t>
            </w:r>
          </w:p>
        </w:tc>
        <w:tc>
          <w:tcPr>
            <w:tcW w:w="1066" w:type="dxa"/>
            <w:shd w:val="clear" w:color="auto" w:fill="92BAC2"/>
          </w:tcPr>
          <w:p>
            <w:pPr>
              <w:pStyle w:val="TableParagraph"/>
              <w:spacing w:line="223" w:lineRule="auto" w:before="85"/>
              <w:ind w:left="79" w:right="377"/>
              <w:rPr>
                <w:b/>
                <w:sz w:val="15"/>
              </w:rPr>
            </w:pPr>
            <w:r>
              <w:rPr>
                <w:b/>
                <w:color w:val="231F20"/>
                <w:w w:val="105"/>
                <w:sz w:val="15"/>
              </w:rPr>
              <w:t>Solomon </w:t>
            </w:r>
            <w:r>
              <w:rPr>
                <w:b/>
                <w:color w:val="231F20"/>
                <w:w w:val="110"/>
                <w:sz w:val="15"/>
              </w:rPr>
              <w:t>Islands</w:t>
            </w:r>
          </w:p>
        </w:tc>
        <w:tc>
          <w:tcPr>
            <w:tcW w:w="1361" w:type="dxa"/>
            <w:shd w:val="clear" w:color="auto" w:fill="92BAC2"/>
          </w:tcPr>
          <w:p>
            <w:pPr>
              <w:pStyle w:val="TableParagraph"/>
              <w:spacing w:before="75"/>
              <w:ind w:left="79"/>
              <w:rPr>
                <w:b/>
                <w:sz w:val="15"/>
              </w:rPr>
            </w:pPr>
            <w:r>
              <w:rPr>
                <w:b/>
                <w:color w:val="231F20"/>
                <w:w w:val="110"/>
                <w:sz w:val="15"/>
              </w:rPr>
              <w:t>Tokelau</w:t>
            </w:r>
          </w:p>
        </w:tc>
        <w:tc>
          <w:tcPr>
            <w:tcW w:w="1173" w:type="dxa"/>
            <w:shd w:val="clear" w:color="auto" w:fill="92BAC2"/>
          </w:tcPr>
          <w:p>
            <w:pPr>
              <w:pStyle w:val="TableParagraph"/>
              <w:spacing w:before="75"/>
              <w:ind w:left="78"/>
              <w:rPr>
                <w:b/>
                <w:sz w:val="15"/>
              </w:rPr>
            </w:pPr>
            <w:r>
              <w:rPr>
                <w:b/>
                <w:color w:val="231F20"/>
                <w:w w:val="110"/>
                <w:sz w:val="15"/>
              </w:rPr>
              <w:t>Tonga</w:t>
            </w:r>
          </w:p>
        </w:tc>
        <w:tc>
          <w:tcPr>
            <w:tcW w:w="1092" w:type="dxa"/>
            <w:shd w:val="clear" w:color="auto" w:fill="92BAC2"/>
          </w:tcPr>
          <w:p>
            <w:pPr>
              <w:pStyle w:val="TableParagraph"/>
              <w:spacing w:before="75"/>
              <w:ind w:left="78"/>
              <w:rPr>
                <w:b/>
                <w:sz w:val="15"/>
              </w:rPr>
            </w:pPr>
            <w:r>
              <w:rPr>
                <w:b/>
                <w:color w:val="231F20"/>
                <w:w w:val="110"/>
                <w:sz w:val="15"/>
              </w:rPr>
              <w:t>Tuvalu</w:t>
            </w:r>
          </w:p>
        </w:tc>
        <w:tc>
          <w:tcPr>
            <w:tcW w:w="1454" w:type="dxa"/>
            <w:shd w:val="clear" w:color="auto" w:fill="92BAC2"/>
          </w:tcPr>
          <w:p>
            <w:pPr>
              <w:pStyle w:val="TableParagraph"/>
              <w:spacing w:before="75"/>
              <w:ind w:left="79"/>
              <w:rPr>
                <w:b/>
                <w:sz w:val="15"/>
              </w:rPr>
            </w:pPr>
            <w:r>
              <w:rPr>
                <w:b/>
                <w:color w:val="231F20"/>
                <w:w w:val="105"/>
                <w:sz w:val="15"/>
              </w:rPr>
              <w:t>Vanuatu</w:t>
            </w:r>
          </w:p>
        </w:tc>
      </w:tr>
      <w:tr>
        <w:trPr>
          <w:trHeight w:val="1346" w:hRule="atLeast"/>
        </w:trPr>
        <w:tc>
          <w:tcPr>
            <w:tcW w:w="1124" w:type="dxa"/>
            <w:shd w:val="clear" w:color="auto" w:fill="F2CDBE"/>
          </w:tcPr>
          <w:p>
            <w:pPr>
              <w:pStyle w:val="TableParagraph"/>
              <w:spacing w:line="223" w:lineRule="auto" w:before="84"/>
              <w:ind w:left="80"/>
              <w:rPr>
                <w:sz w:val="15"/>
              </w:rPr>
            </w:pPr>
            <w:r>
              <w:rPr>
                <w:color w:val="231F20"/>
                <w:w w:val="110"/>
                <w:sz w:val="15"/>
              </w:rPr>
              <w:t>Data unavailable</w:t>
            </w:r>
          </w:p>
        </w:tc>
        <w:tc>
          <w:tcPr>
            <w:tcW w:w="1225" w:type="dxa"/>
            <w:shd w:val="clear" w:color="auto" w:fill="D8E3CE"/>
          </w:tcPr>
          <w:p>
            <w:pPr>
              <w:pStyle w:val="TableParagraph"/>
              <w:spacing w:line="223" w:lineRule="auto" w:before="84"/>
              <w:ind w:left="79" w:right="72"/>
              <w:rPr>
                <w:sz w:val="15"/>
              </w:rPr>
            </w:pPr>
            <w:r>
              <w:rPr>
                <w:color w:val="231F20"/>
                <w:w w:val="110"/>
                <w:sz w:val="15"/>
              </w:rPr>
              <w:t>0% of parties appearing</w:t>
            </w:r>
            <w:r>
              <w:rPr>
                <w:color w:val="231F20"/>
                <w:spacing w:val="-16"/>
                <w:w w:val="110"/>
                <w:sz w:val="15"/>
              </w:rPr>
              <w:t> </w:t>
            </w:r>
            <w:r>
              <w:rPr>
                <w:color w:val="231F20"/>
                <w:w w:val="110"/>
                <w:sz w:val="15"/>
              </w:rPr>
              <w:t>in</w:t>
            </w:r>
            <w:r>
              <w:rPr>
                <w:color w:val="231F20"/>
                <w:spacing w:val="-16"/>
                <w:w w:val="110"/>
                <w:sz w:val="15"/>
              </w:rPr>
              <w:t> </w:t>
            </w:r>
            <w:r>
              <w:rPr>
                <w:color w:val="231F20"/>
                <w:spacing w:val="-2"/>
                <w:w w:val="110"/>
                <w:sz w:val="15"/>
              </w:rPr>
              <w:t>the </w:t>
            </w:r>
            <w:r>
              <w:rPr>
                <w:b/>
                <w:color w:val="231F20"/>
                <w:w w:val="110"/>
                <w:sz w:val="15"/>
              </w:rPr>
              <w:t>Family  Court </w:t>
            </w:r>
            <w:r>
              <w:rPr>
                <w:color w:val="231F20"/>
                <w:w w:val="110"/>
                <w:sz w:val="15"/>
              </w:rPr>
              <w:t>or </w:t>
            </w:r>
            <w:r>
              <w:rPr>
                <w:b/>
                <w:color w:val="231F20"/>
                <w:w w:val="110"/>
                <w:sz w:val="15"/>
              </w:rPr>
              <w:t>Family Violence Court </w:t>
            </w:r>
            <w:r>
              <w:rPr>
                <w:color w:val="231F20"/>
                <w:spacing w:val="-3"/>
                <w:w w:val="110"/>
                <w:sz w:val="15"/>
              </w:rPr>
              <w:t>receive </w:t>
            </w:r>
            <w:r>
              <w:rPr>
                <w:color w:val="231F20"/>
                <w:w w:val="110"/>
                <w:sz w:val="15"/>
              </w:rPr>
              <w:t>legal aid.</w:t>
            </w:r>
          </w:p>
        </w:tc>
        <w:tc>
          <w:tcPr>
            <w:tcW w:w="1066" w:type="dxa"/>
            <w:shd w:val="clear" w:color="auto" w:fill="F2CDBE"/>
          </w:tcPr>
          <w:p>
            <w:pPr>
              <w:pStyle w:val="TableParagraph"/>
              <w:spacing w:line="223" w:lineRule="auto" w:before="84"/>
              <w:ind w:left="79" w:right="145"/>
              <w:rPr>
                <w:sz w:val="15"/>
              </w:rPr>
            </w:pPr>
            <w:r>
              <w:rPr>
                <w:color w:val="231F20"/>
                <w:w w:val="110"/>
                <w:sz w:val="15"/>
              </w:rPr>
              <w:t>Data unavailable</w:t>
            </w:r>
          </w:p>
        </w:tc>
        <w:tc>
          <w:tcPr>
            <w:tcW w:w="1361" w:type="dxa"/>
            <w:shd w:val="clear" w:color="auto" w:fill="D8E3CE"/>
          </w:tcPr>
          <w:p>
            <w:pPr>
              <w:pStyle w:val="TableParagraph"/>
              <w:spacing w:before="74"/>
              <w:ind w:left="79"/>
              <w:rPr>
                <w:sz w:val="15"/>
              </w:rPr>
            </w:pPr>
            <w:r>
              <w:rPr>
                <w:color w:val="231F20"/>
                <w:w w:val="120"/>
                <w:sz w:val="15"/>
              </w:rPr>
              <w:t>0%</w:t>
            </w:r>
          </w:p>
          <w:p>
            <w:pPr>
              <w:pStyle w:val="TableParagraph"/>
              <w:spacing w:line="223" w:lineRule="auto" w:before="54"/>
              <w:ind w:left="79" w:right="235"/>
              <w:rPr>
                <w:sz w:val="15"/>
              </w:rPr>
            </w:pPr>
            <w:r>
              <w:rPr>
                <w:color w:val="231F20"/>
                <w:w w:val="110"/>
                <w:sz w:val="15"/>
              </w:rPr>
              <w:t>There is no provision for legal aid</w:t>
            </w:r>
          </w:p>
        </w:tc>
        <w:tc>
          <w:tcPr>
            <w:tcW w:w="1173" w:type="dxa"/>
            <w:shd w:val="clear" w:color="auto" w:fill="D8E3CE"/>
          </w:tcPr>
          <w:p>
            <w:pPr>
              <w:pStyle w:val="TableParagraph"/>
              <w:spacing w:before="74"/>
              <w:ind w:left="78"/>
              <w:rPr>
                <w:sz w:val="15"/>
              </w:rPr>
            </w:pPr>
            <w:r>
              <w:rPr>
                <w:color w:val="231F20"/>
                <w:w w:val="120"/>
                <w:sz w:val="15"/>
              </w:rPr>
              <w:t>0%</w:t>
            </w:r>
          </w:p>
          <w:p>
            <w:pPr>
              <w:pStyle w:val="TableParagraph"/>
              <w:spacing w:line="223" w:lineRule="auto" w:before="54"/>
              <w:ind w:left="78"/>
              <w:rPr>
                <w:sz w:val="15"/>
              </w:rPr>
            </w:pPr>
            <w:r>
              <w:rPr>
                <w:color w:val="231F20"/>
                <w:w w:val="110"/>
                <w:sz w:val="15"/>
              </w:rPr>
              <w:t>There is no provision for legal aid</w:t>
            </w:r>
          </w:p>
        </w:tc>
        <w:tc>
          <w:tcPr>
            <w:tcW w:w="1092" w:type="dxa"/>
            <w:shd w:val="clear" w:color="auto" w:fill="F2CDBE"/>
          </w:tcPr>
          <w:p>
            <w:pPr>
              <w:pStyle w:val="TableParagraph"/>
              <w:spacing w:line="223" w:lineRule="auto" w:before="84"/>
              <w:ind w:left="78"/>
              <w:rPr>
                <w:sz w:val="15"/>
              </w:rPr>
            </w:pPr>
            <w:r>
              <w:rPr>
                <w:color w:val="231F20"/>
                <w:w w:val="110"/>
                <w:sz w:val="15"/>
              </w:rPr>
              <w:t>Data unavailable</w:t>
            </w:r>
          </w:p>
        </w:tc>
        <w:tc>
          <w:tcPr>
            <w:tcW w:w="1454" w:type="dxa"/>
            <w:shd w:val="clear" w:color="auto" w:fill="F2CDBE"/>
          </w:tcPr>
          <w:p>
            <w:pPr>
              <w:pStyle w:val="TableParagraph"/>
              <w:spacing w:before="74"/>
              <w:ind w:left="79"/>
              <w:rPr>
                <w:sz w:val="15"/>
              </w:rPr>
            </w:pPr>
            <w:r>
              <w:rPr>
                <w:color w:val="231F20"/>
                <w:w w:val="110"/>
                <w:sz w:val="15"/>
              </w:rPr>
              <w:t>Data unavailable</w:t>
            </w:r>
          </w:p>
        </w:tc>
      </w:tr>
    </w:tbl>
    <w:p>
      <w:pPr>
        <w:spacing w:after="0"/>
        <w:rPr>
          <w:sz w:val="15"/>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6799">
            <wp:simplePos x="0" y="0"/>
            <wp:positionH relativeFrom="page">
              <wp:posOffset>0</wp:posOffset>
            </wp:positionH>
            <wp:positionV relativeFrom="paragraph">
              <wp:posOffset>373881</wp:posOffset>
            </wp:positionV>
            <wp:extent cx="7559992" cy="143992"/>
            <wp:effectExtent l="0" t="0" r="0" b="0"/>
            <wp:wrapNone/>
            <wp:docPr id="49" name="image39.png" descr=""/>
            <wp:cNvGraphicFramePr>
              <a:graphicFrameLocks noChangeAspect="1"/>
            </wp:cNvGraphicFramePr>
            <a:graphic>
              <a:graphicData uri="http://schemas.openxmlformats.org/drawingml/2006/picture">
                <pic:pic>
                  <pic:nvPicPr>
                    <pic:cNvPr id="50"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34</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8"/>
        <w:rPr>
          <w:b/>
          <w:sz w:val="19"/>
        </w:rPr>
      </w:pPr>
    </w:p>
    <w:p>
      <w:pPr>
        <w:pStyle w:val="Heading5"/>
        <w:spacing w:line="196" w:lineRule="auto" w:before="144"/>
        <w:ind w:right="2800"/>
        <w:jc w:val="both"/>
      </w:pPr>
      <w:r>
        <w:rPr/>
        <w:pict>
          <v:shape style="position:absolute;margin-left:85.039001pt;margin-top:59.778778pt;width:425.2pt;height:44.4pt;mso-position-horizontal-relative:page;mso-position-vertical-relative:paragraph;z-index:10864;mso-wrap-distance-left:0;mso-wrap-distance-right:0" type="#_x0000_t202" filled="true" fillcolor="#dcdbca" stroked="false">
            <v:textbox inset="0,0,0,0">
              <w:txbxContent>
                <w:p>
                  <w:pPr>
                    <w:pStyle w:val="BodyText"/>
                    <w:spacing w:line="252" w:lineRule="auto" w:before="135"/>
                    <w:ind w:left="56" w:right="403"/>
                  </w:pPr>
                  <w:r>
                    <w:rPr>
                      <w:color w:val="231F20"/>
                      <w:w w:val="105"/>
                    </w:rPr>
                    <w:t>To show results against this indicator a documented process for receiving and processing a complaint should be accessible to the public.</w:t>
                  </w:r>
                </w:p>
              </w:txbxContent>
            </v:textbox>
            <v:fill type="solid"/>
            <w10:wrap type="topAndBottom"/>
          </v:shape>
        </w:pict>
      </w:r>
      <w:r>
        <w:rPr/>
        <w:pict>
          <v:rect style="position:absolute;margin-left:85.039398pt;margin-top:58.778778pt;width:425.197pt;height:1pt;mso-position-horizontal-relative:page;mso-position-vertical-relative:paragraph;z-index:11128" filled="true" fillcolor="#0f6161" stroked="false">
            <v:fill type="solid"/>
            <w10:wrap type="none"/>
          </v:rect>
        </w:pict>
      </w:r>
      <w:r>
        <w:rPr/>
        <w:pict>
          <v:shape style="position:absolute;margin-left:85.039001pt;margin-top:2.120877pt;width:93.55pt;height:56.7pt;mso-position-horizontal-relative:page;mso-position-vertical-relative:paragraph;z-index:11224" type="#_x0000_t202" filled="true" fillcolor="#7d8440" stroked="false">
            <v:textbox inset="0,0,0,0">
              <w:txbxContent>
                <w:p>
                  <w:pPr>
                    <w:spacing w:before="46"/>
                    <w:ind w:left="56" w:right="0" w:firstLine="0"/>
                    <w:jc w:val="left"/>
                    <w:rPr>
                      <w:b/>
                      <w:sz w:val="32"/>
                    </w:rPr>
                  </w:pPr>
                  <w:r>
                    <w:rPr>
                      <w:b/>
                      <w:color w:val="FFFFFF"/>
                      <w:w w:val="110"/>
                      <w:sz w:val="32"/>
                    </w:rPr>
                    <w:t>Indicator 8</w:t>
                  </w:r>
                </w:p>
              </w:txbxContent>
            </v:textbox>
            <v:fill type="solid"/>
            <w10:wrap type="none"/>
          </v:shape>
        </w:pict>
      </w:r>
      <w:r>
        <w:rPr>
          <w:color w:val="0F6161"/>
          <w:w w:val="105"/>
        </w:rPr>
        <w:t>Documented Process for Receiving and Processing a Complaint That is Publicly Available</w:t>
      </w:r>
    </w:p>
    <w:p>
      <w:pPr>
        <w:pStyle w:val="BodyText"/>
        <w:spacing w:before="2"/>
        <w:rPr>
          <w:sz w:val="7"/>
        </w:rPr>
      </w:pPr>
    </w:p>
    <w:p>
      <w:pPr>
        <w:spacing w:before="87"/>
        <w:ind w:left="1700" w:right="0" w:firstLine="0"/>
        <w:jc w:val="left"/>
        <w:rPr>
          <w:sz w:val="40"/>
        </w:rPr>
      </w:pPr>
      <w:r>
        <w:rPr/>
        <w:pict>
          <v:group style="position:absolute;margin-left:294.803406pt;margin-top:26.74365pt;width:102.05pt;height:110.6pt;mso-position-horizontal-relative:page;mso-position-vertical-relative:paragraph;z-index:11104" coordorigin="5896,535" coordsize="2041,2212">
            <v:shape style="position:absolute;left:5896;top:818;width:2041;height:1928" coordorigin="5896,818" coordsize="2041,1928" path="m7824,818l6009,818,5944,820,5910,833,5898,866,5896,932,5896,2633,5898,2698,5910,2732,5944,2744,6009,2746,7824,2746,7889,2744,7923,2732,7935,2698,7937,2633,7937,932,7935,866,7923,833,7889,820,7824,818xe" filled="true" fillcolor="#d01c26" stroked="false">
              <v:path arrowok="t"/>
              <v:fill type="solid"/>
            </v:shape>
            <v:shape style="position:absolute;left:5944;top:1881;width:1960;height:246" type="#_x0000_t202" filled="false" stroked="false">
              <v:textbox inset="0,0,0,0">
                <w:txbxContent>
                  <w:p>
                    <w:pPr>
                      <w:spacing w:before="11"/>
                      <w:ind w:left="0" w:right="0" w:firstLine="0"/>
                      <w:jc w:val="left"/>
                      <w:rPr>
                        <w:rFonts w:ascii="Arial"/>
                        <w:b/>
                        <w:sz w:val="18"/>
                      </w:rPr>
                    </w:pPr>
                    <w:r>
                      <w:rPr>
                        <w:rFonts w:ascii="Arial"/>
                        <w:b/>
                        <w:color w:val="FFFFFF"/>
                        <w:spacing w:val="-9"/>
                        <w:sz w:val="18"/>
                      </w:rPr>
                      <w:t>Courts:</w:t>
                    </w:r>
                    <w:r>
                      <w:rPr>
                        <w:rFonts w:ascii="Arial"/>
                        <w:b/>
                        <w:color w:val="FFFFFF"/>
                        <w:spacing w:val="-38"/>
                        <w:sz w:val="18"/>
                      </w:rPr>
                      <w:t> </w:t>
                    </w:r>
                    <w:r>
                      <w:rPr>
                        <w:rFonts w:ascii="Arial"/>
                        <w:b/>
                        <w:color w:val="FFFFFF"/>
                        <w:spacing w:val="-8"/>
                        <w:sz w:val="18"/>
                      </w:rPr>
                      <w:t>judge</w:t>
                    </w:r>
                    <w:r>
                      <w:rPr>
                        <w:rFonts w:ascii="Arial"/>
                        <w:b/>
                        <w:color w:val="FFFFFF"/>
                        <w:spacing w:val="-38"/>
                        <w:sz w:val="18"/>
                      </w:rPr>
                      <w:t> </w:t>
                    </w:r>
                    <w:r>
                      <w:rPr>
                        <w:rFonts w:ascii="Arial"/>
                        <w:b/>
                        <w:color w:val="FFFFFF"/>
                        <w:sz w:val="18"/>
                      </w:rPr>
                      <w:t>&amp;</w:t>
                    </w:r>
                    <w:r>
                      <w:rPr>
                        <w:rFonts w:ascii="Arial"/>
                        <w:b/>
                        <w:color w:val="FFFFFF"/>
                        <w:spacing w:val="-38"/>
                        <w:sz w:val="18"/>
                      </w:rPr>
                      <w:t> </w:t>
                    </w:r>
                    <w:r>
                      <w:rPr>
                        <w:rFonts w:ascii="Arial"/>
                        <w:b/>
                        <w:color w:val="FFFFFF"/>
                        <w:spacing w:val="-8"/>
                        <w:sz w:val="18"/>
                      </w:rPr>
                      <w:t>court</w:t>
                    </w:r>
                    <w:r>
                      <w:rPr>
                        <w:rFonts w:ascii="Arial"/>
                        <w:b/>
                        <w:color w:val="FFFFFF"/>
                        <w:spacing w:val="-38"/>
                        <w:sz w:val="18"/>
                      </w:rPr>
                      <w:t> </w:t>
                    </w:r>
                    <w:r>
                      <w:rPr>
                        <w:rFonts w:ascii="Arial"/>
                        <w:b/>
                        <w:color w:val="FFFFFF"/>
                        <w:spacing w:val="-8"/>
                        <w:sz w:val="18"/>
                      </w:rPr>
                      <w:t>staff</w:t>
                    </w:r>
                  </w:p>
                </w:txbxContent>
              </v:textbox>
              <w10:wrap type="none"/>
            </v:shape>
            <v:shape style="position:absolute;left:6020;top:2081;width:1807;height:637" type="#_x0000_t202" filled="false" stroked="false">
              <v:textbox inset="0,0,0,0">
                <w:txbxContent>
                  <w:p>
                    <w:pPr>
                      <w:spacing w:before="11"/>
                      <w:ind w:left="0" w:right="0" w:firstLine="0"/>
                      <w:jc w:val="left"/>
                      <w:rPr>
                        <w:rFonts w:ascii="Arial"/>
                        <w:b/>
                        <w:sz w:val="18"/>
                      </w:rPr>
                    </w:pPr>
                    <w:r>
                      <w:rPr>
                        <w:rFonts w:ascii="Arial"/>
                        <w:b/>
                        <w:color w:val="FFFFFF"/>
                        <w:spacing w:val="-6"/>
                        <w:w w:val="95"/>
                        <w:sz w:val="18"/>
                      </w:rPr>
                      <w:t>complaints </w:t>
                    </w:r>
                    <w:r>
                      <w:rPr>
                        <w:rFonts w:ascii="Arial"/>
                        <w:b/>
                        <w:color w:val="FFFFFF"/>
                        <w:spacing w:val="-7"/>
                        <w:w w:val="95"/>
                        <w:sz w:val="18"/>
                      </w:rPr>
                      <w:t>procedures</w:t>
                    </w:r>
                  </w:p>
                  <w:p>
                    <w:pPr>
                      <w:spacing w:before="75"/>
                      <w:ind w:left="149" w:right="161" w:firstLine="0"/>
                      <w:jc w:val="center"/>
                      <w:rPr>
                        <w:rFonts w:ascii="Arial"/>
                        <w:b/>
                        <w:sz w:val="14"/>
                      </w:rPr>
                    </w:pPr>
                    <w:r>
                      <w:rPr>
                        <w:rFonts w:ascii="Arial"/>
                        <w:b/>
                        <w:color w:val="FFFFFF"/>
                        <w:w w:val="95"/>
                        <w:sz w:val="14"/>
                      </w:rPr>
                      <w:t>YEAR 1 BASELINE</w:t>
                    </w:r>
                    <w:r>
                      <w:rPr>
                        <w:rFonts w:ascii="Arial"/>
                        <w:b/>
                        <w:color w:val="FFFFFF"/>
                        <w:w w:val="93"/>
                        <w:sz w:val="14"/>
                      </w:rPr>
                      <w:t> </w:t>
                    </w:r>
                    <w:r>
                      <w:rPr>
                        <w:rFonts w:ascii="Arial"/>
                        <w:b/>
                        <w:color w:val="FFFFFF"/>
                        <w:sz w:val="14"/>
                      </w:rPr>
                      <w:t>TREND DATA</w:t>
                    </w:r>
                  </w:p>
                </w:txbxContent>
              </v:textbox>
              <w10:wrap type="none"/>
            </v:shape>
            <v:shape style="position:absolute;left:6496;top:534;width:38;height:1776" type="#_x0000_t202" filled="false" stroked="false">
              <v:textbox inset="0,0,0,0">
                <w:txbxContent>
                  <w:p>
                    <w:pPr>
                      <w:spacing w:before="81"/>
                      <w:ind w:left="0" w:right="0" w:firstLine="0"/>
                      <w:jc w:val="left"/>
                      <w:rPr>
                        <w:rFonts w:ascii="Engravers MT"/>
                        <w:b w:val="0"/>
                        <w:sz w:val="130"/>
                      </w:rPr>
                    </w:pPr>
                    <w:r>
                      <w:rPr>
                        <w:rFonts w:ascii="Engravers MT"/>
                        <w:b w:val="0"/>
                        <w:color w:val="FFFFFF"/>
                        <w:spacing w:val="-823"/>
                        <w:sz w:val="130"/>
                      </w:rPr>
                      <w:t>3</w:t>
                    </w:r>
                  </w:p>
                </w:txbxContent>
              </v:textbox>
              <w10:wrap type="none"/>
            </v:shape>
            <w10:wrap type="none"/>
          </v:group>
        </w:pict>
      </w:r>
      <w:r>
        <w:rPr/>
        <w:pict>
          <v:group style="position:absolute;margin-left:408.189209pt;margin-top:26.74365pt;width:102.05pt;height:110.6pt;mso-position-horizontal-relative:page;mso-position-vertical-relative:paragraph;z-index:11200" coordorigin="8164,535" coordsize="2041,2212">
            <v:shape style="position:absolute;left:8163;top:818;width:2041;height:1928" coordorigin="8164,818" coordsize="2041,1928" path="m10091,818l8277,818,8212,820,8178,833,8166,866,8164,932,8164,2633,8166,2698,8178,2732,8212,2744,8277,2746,10091,2746,10157,2744,10191,2732,10203,2698,10205,2633,10205,932,10203,866,10191,833,10157,820,10091,818xe" filled="true" fillcolor="#f7941d" stroked="false">
              <v:path arrowok="t"/>
              <v:fill type="solid"/>
            </v:shape>
            <v:shape style="position:absolute;left:8212;top:534;width:1960;height:1776" type="#_x0000_t202" filled="false" stroked="false">
              <v:textbox inset="0,0,0,0">
                <w:txbxContent>
                  <w:p>
                    <w:pPr>
                      <w:spacing w:before="85"/>
                      <w:ind w:left="0" w:right="0" w:firstLine="0"/>
                      <w:jc w:val="left"/>
                      <w:rPr>
                        <w:rFonts w:ascii="Arial"/>
                        <w:b/>
                        <w:sz w:val="18"/>
                      </w:rPr>
                    </w:pPr>
                    <w:r>
                      <w:rPr>
                        <w:rFonts w:ascii="Arial"/>
                        <w:b/>
                        <w:color w:val="FFFFFF"/>
                        <w:spacing w:val="-12"/>
                        <w:w w:val="96"/>
                        <w:sz w:val="18"/>
                      </w:rPr>
                      <w:t>C</w:t>
                    </w:r>
                    <w:r>
                      <w:rPr>
                        <w:rFonts w:ascii="Arial"/>
                        <w:b/>
                        <w:color w:val="FFFFFF"/>
                        <w:spacing w:val="-9"/>
                        <w:w w:val="96"/>
                        <w:sz w:val="18"/>
                      </w:rPr>
                      <w:t>ou</w:t>
                    </w:r>
                    <w:r>
                      <w:rPr>
                        <w:rFonts w:ascii="Arial"/>
                        <w:b/>
                        <w:color w:val="FFFFFF"/>
                        <w:spacing w:val="-12"/>
                        <w:w w:val="96"/>
                        <w:sz w:val="18"/>
                      </w:rPr>
                      <w:t>r</w:t>
                    </w:r>
                    <w:r>
                      <w:rPr>
                        <w:rFonts w:ascii="Arial"/>
                        <w:b/>
                        <w:color w:val="FFFFFF"/>
                        <w:spacing w:val="-9"/>
                        <w:w w:val="88"/>
                        <w:sz w:val="18"/>
                      </w:rPr>
                      <w:t>ts</w:t>
                    </w:r>
                    <w:r>
                      <w:rPr>
                        <w:rFonts w:ascii="Arial"/>
                        <w:b/>
                        <w:color w:val="FFFFFF"/>
                        <w:spacing w:val="-7"/>
                        <w:w w:val="88"/>
                        <w:sz w:val="18"/>
                      </w:rPr>
                      <w:t>:</w:t>
                    </w:r>
                    <w:r>
                      <w:rPr>
                        <w:rFonts w:ascii="Engravers MT"/>
                        <w:b w:val="0"/>
                        <w:color w:val="FFFFFF"/>
                        <w:spacing w:val="-823"/>
                        <w:position w:val="35"/>
                        <w:sz w:val="130"/>
                      </w:rPr>
                      <w:t>7</w:t>
                    </w:r>
                    <w:r>
                      <w:rPr>
                        <w:rFonts w:ascii="Arial"/>
                        <w:b/>
                        <w:color w:val="FFFFFF"/>
                        <w:spacing w:val="-9"/>
                        <w:w w:val="100"/>
                        <w:sz w:val="18"/>
                      </w:rPr>
                      <w:t>judg</w:t>
                    </w:r>
                    <w:r>
                      <w:rPr>
                        <w:rFonts w:ascii="Arial"/>
                        <w:b/>
                        <w:color w:val="FFFFFF"/>
                        <w:w w:val="100"/>
                        <w:sz w:val="18"/>
                      </w:rPr>
                      <w:t>e</w:t>
                    </w:r>
                    <w:r>
                      <w:rPr>
                        <w:rFonts w:ascii="Arial"/>
                        <w:b/>
                        <w:color w:val="FFFFFF"/>
                        <w:spacing w:val="-24"/>
                        <w:sz w:val="18"/>
                      </w:rPr>
                      <w:t> </w:t>
                    </w:r>
                    <w:r>
                      <w:rPr>
                        <w:rFonts w:ascii="Arial"/>
                        <w:b/>
                        <w:color w:val="FFFFFF"/>
                        <w:w w:val="102"/>
                        <w:sz w:val="18"/>
                      </w:rPr>
                      <w:t>&amp;</w:t>
                    </w:r>
                    <w:r>
                      <w:rPr>
                        <w:rFonts w:ascii="Arial"/>
                        <w:b/>
                        <w:color w:val="FFFFFF"/>
                        <w:spacing w:val="-24"/>
                        <w:sz w:val="18"/>
                      </w:rPr>
                      <w:t> </w:t>
                    </w:r>
                    <w:r>
                      <w:rPr>
                        <w:rFonts w:ascii="Arial"/>
                        <w:b/>
                        <w:color w:val="FFFFFF"/>
                        <w:spacing w:val="-9"/>
                        <w:w w:val="94"/>
                        <w:sz w:val="18"/>
                      </w:rPr>
                      <w:t>cou</w:t>
                    </w:r>
                    <w:r>
                      <w:rPr>
                        <w:rFonts w:ascii="Arial"/>
                        <w:b/>
                        <w:color w:val="FFFFFF"/>
                        <w:spacing w:val="-12"/>
                        <w:w w:val="94"/>
                        <w:sz w:val="18"/>
                      </w:rPr>
                      <w:t>r</w:t>
                    </w:r>
                    <w:r>
                      <w:rPr>
                        <w:rFonts w:ascii="Arial"/>
                        <w:b/>
                        <w:color w:val="FFFFFF"/>
                        <w:w w:val="102"/>
                        <w:sz w:val="18"/>
                      </w:rPr>
                      <w:t>t</w:t>
                    </w:r>
                    <w:r>
                      <w:rPr>
                        <w:rFonts w:ascii="Arial"/>
                        <w:b/>
                        <w:color w:val="FFFFFF"/>
                        <w:spacing w:val="-24"/>
                        <w:sz w:val="18"/>
                      </w:rPr>
                      <w:t> </w:t>
                    </w:r>
                    <w:r>
                      <w:rPr>
                        <w:rFonts w:ascii="Arial"/>
                        <w:b/>
                        <w:color w:val="FFFFFF"/>
                        <w:spacing w:val="-9"/>
                        <w:w w:val="93"/>
                        <w:sz w:val="18"/>
                      </w:rPr>
                      <w:t>sta</w:t>
                    </w:r>
                    <w:r>
                      <w:rPr>
                        <w:rFonts w:ascii="Arial"/>
                        <w:b/>
                        <w:color w:val="FFFFFF"/>
                        <w:spacing w:val="-13"/>
                        <w:w w:val="93"/>
                        <w:sz w:val="18"/>
                      </w:rPr>
                      <w:t>f</w:t>
                    </w:r>
                    <w:r>
                      <w:rPr>
                        <w:rFonts w:ascii="Arial"/>
                        <w:b/>
                        <w:color w:val="FFFFFF"/>
                        <w:w w:val="97"/>
                        <w:sz w:val="18"/>
                      </w:rPr>
                      <w:t>f</w:t>
                    </w:r>
                  </w:p>
                </w:txbxContent>
              </v:textbox>
              <w10:wrap type="none"/>
            </v:shape>
            <v:shape style="position:absolute;left:8288;top:2208;width:1807;height:477" type="#_x0000_t202" filled="false" stroked="false">
              <v:textbox inset="0,0,0,0">
                <w:txbxContent>
                  <w:p>
                    <w:pPr>
                      <w:spacing w:before="11"/>
                      <w:ind w:left="1" w:right="19" w:firstLine="0"/>
                      <w:jc w:val="center"/>
                      <w:rPr>
                        <w:rFonts w:ascii="Arial"/>
                        <w:b/>
                        <w:sz w:val="18"/>
                      </w:rPr>
                    </w:pPr>
                    <w:r>
                      <w:rPr>
                        <w:rFonts w:ascii="Arial"/>
                        <w:b/>
                        <w:color w:val="FFFFFF"/>
                        <w:spacing w:val="-6"/>
                        <w:w w:val="95"/>
                        <w:sz w:val="18"/>
                      </w:rPr>
                      <w:t>complaints </w:t>
                    </w:r>
                    <w:r>
                      <w:rPr>
                        <w:rFonts w:ascii="Arial"/>
                        <w:b/>
                        <w:color w:val="FFFFFF"/>
                        <w:spacing w:val="-7"/>
                        <w:w w:val="95"/>
                        <w:sz w:val="18"/>
                      </w:rPr>
                      <w:t>procedures</w:t>
                    </w:r>
                  </w:p>
                  <w:p>
                    <w:pPr>
                      <w:spacing w:before="75"/>
                      <w:ind w:left="151" w:right="161" w:firstLine="0"/>
                      <w:jc w:val="center"/>
                      <w:rPr>
                        <w:rFonts w:ascii="Arial"/>
                        <w:b/>
                        <w:sz w:val="14"/>
                      </w:rPr>
                    </w:pPr>
                    <w:r>
                      <w:rPr>
                        <w:rFonts w:ascii="Arial"/>
                        <w:b/>
                        <w:color w:val="FFFFFF"/>
                        <w:sz w:val="14"/>
                      </w:rPr>
                      <w:t>YEAR 7 TREND DATA</w:t>
                    </w:r>
                  </w:p>
                </w:txbxContent>
              </v:textbox>
              <w10:wrap type="none"/>
            </v:shape>
            <w10:wrap type="none"/>
          </v:group>
        </w:pict>
      </w:r>
      <w:r>
        <w:rPr>
          <w:color w:val="0F6161"/>
          <w:w w:val="105"/>
          <w:sz w:val="40"/>
        </w:rPr>
        <w:t>What has changed?</w:t>
      </w:r>
    </w:p>
    <w:p>
      <w:pPr>
        <w:pStyle w:val="BodyText"/>
        <w:spacing w:before="9"/>
        <w:rPr>
          <w:sz w:val="16"/>
        </w:rPr>
      </w:pPr>
      <w:r>
        <w:rPr/>
        <w:pict>
          <v:group style="position:absolute;margin-left:85.039398pt;margin-top:12.885576pt;width:79.4pt;height:22.7pt;mso-position-horizontal-relative:page;mso-position-vertical-relative:paragraph;z-index:10912;mso-wrap-distance-left:0;mso-wrap-distance-right:0" coordorigin="1701,258" coordsize="1588,454">
            <v:shape style="position:absolute;left:1700;top:257;width:1588;height:454" coordorigin="1701,258" coordsize="1588,454" path="m3088,258l1701,258,1701,711,3088,711,3204,708,3263,686,3285,627,3288,511,3288,458,3285,342,3263,283,3204,261,3088,258xe" filled="true" fillcolor="#7d8440" stroked="false">
              <v:path arrowok="t"/>
              <v:fill type="solid"/>
            </v:shape>
            <v:shape style="position:absolute;left:1700;top:257;width:1588;height:454" type="#_x0000_t202" filled="false" stroked="false">
              <v:textbox inset="0,0,0,0">
                <w:txbxContent>
                  <w:p>
                    <w:pPr>
                      <w:spacing w:before="11"/>
                      <w:ind w:left="56" w:right="0" w:firstLine="0"/>
                      <w:jc w:val="left"/>
                      <w:rPr>
                        <w:sz w:val="32"/>
                      </w:rPr>
                    </w:pPr>
                    <w:r>
                      <w:rPr>
                        <w:color w:val="FFFFFF"/>
                        <w:w w:val="110"/>
                        <w:sz w:val="32"/>
                      </w:rPr>
                      <w:t>Change 1</w:t>
                    </w:r>
                  </w:p>
                </w:txbxContent>
              </v:textbox>
              <w10:wrap type="none"/>
            </v:shape>
            <w10:wrap type="topAndBottom"/>
          </v:group>
        </w:pict>
      </w:r>
      <w:r>
        <w:rPr/>
        <w:pict>
          <v:group style="position:absolute;margin-left:178.582993pt;margin-top:12.176577pt;width:102.05pt;height:96.4pt;mso-position-horizontal-relative:page;mso-position-vertical-relative:paragraph;z-index:10936;mso-wrap-distance-left:0;mso-wrap-distance-right:0" coordorigin="3572,244" coordsize="2041,1928">
            <v:shape style="position:absolute;left:3571;top:243;width:2041;height:1928" coordorigin="3572,244" coordsize="2041,1928" path="m5499,244l3685,244,3619,245,3586,258,3573,291,3572,357,3572,2058,3573,2123,3586,2157,3619,2169,3685,2171,5499,2171,5565,2169,5598,2157,5611,2123,5613,2058,5613,357,5611,291,5598,258,5565,245,5499,244xe" filled="true" fillcolor="#0f6161" stroked="false">
              <v:path arrowok="t"/>
              <v:fill type="solid"/>
            </v:shape>
            <v:shape style="position:absolute;left:3812;top:441;width:1579;height:1542" type="#_x0000_t75" stroked="false">
              <v:imagedata r:id="rId38" o:title=""/>
            </v:shape>
            <w10:wrap type="topAndBottom"/>
          </v:group>
        </w:pict>
      </w:r>
    </w:p>
    <w:p>
      <w:pPr>
        <w:pStyle w:val="BodyText"/>
        <w:spacing w:before="11"/>
        <w:rPr>
          <w:sz w:val="14"/>
        </w:rPr>
      </w:pPr>
    </w:p>
    <w:p>
      <w:pPr>
        <w:pStyle w:val="BodyText"/>
        <w:spacing w:line="252" w:lineRule="auto" w:before="94"/>
        <w:ind w:left="1700" w:right="911"/>
      </w:pPr>
      <w:r>
        <w:rPr>
          <w:b/>
          <w:color w:val="231F20"/>
          <w:w w:val="105"/>
        </w:rPr>
        <w:t>Year 1 baseline trend data</w:t>
      </w:r>
      <w:r>
        <w:rPr>
          <w:color w:val="231F20"/>
          <w:w w:val="105"/>
        </w:rPr>
        <w:t>: 3 courts had a documented process for receiving and processing a complaint that is publicly available.</w:t>
      </w:r>
    </w:p>
    <w:p>
      <w:pPr>
        <w:pStyle w:val="BodyText"/>
        <w:spacing w:line="252" w:lineRule="auto" w:before="172"/>
        <w:ind w:left="1700" w:right="1633"/>
      </w:pPr>
      <w:r>
        <w:rPr>
          <w:b/>
          <w:color w:val="231F20"/>
          <w:w w:val="105"/>
        </w:rPr>
        <w:t>Year 4 trend data</w:t>
      </w:r>
      <w:r>
        <w:rPr>
          <w:color w:val="231F20"/>
          <w:w w:val="105"/>
        </w:rPr>
        <w:t>: 6 courts had a documented process for receiving and processing a complaint that is publicly available.</w:t>
      </w:r>
    </w:p>
    <w:p>
      <w:pPr>
        <w:pStyle w:val="BodyText"/>
        <w:spacing w:line="252" w:lineRule="auto" w:before="172"/>
        <w:ind w:left="1700" w:right="1633"/>
      </w:pPr>
      <w:r>
        <w:rPr>
          <w:b/>
          <w:color w:val="231F20"/>
          <w:w w:val="105"/>
        </w:rPr>
        <w:t>Year 7 trend data</w:t>
      </w:r>
      <w:r>
        <w:rPr>
          <w:color w:val="231F20"/>
          <w:w w:val="105"/>
        </w:rPr>
        <w:t>: 7 courts had a documented process for receiving and processing a complaint that is publicly available.</w:t>
      </w:r>
    </w:p>
    <w:p>
      <w:pPr>
        <w:pStyle w:val="BodyText"/>
        <w:spacing w:before="5"/>
        <w:rPr>
          <w:sz w:val="22"/>
        </w:rPr>
      </w:pPr>
    </w:p>
    <w:p>
      <w:pPr>
        <w:pStyle w:val="Heading7"/>
        <w:spacing w:before="195"/>
        <w:ind w:left="3571"/>
      </w:pPr>
      <w:r>
        <w:rPr/>
        <w:pict>
          <v:group style="position:absolute;margin-left:85.039398pt;margin-top:4.238856pt;width:79.4pt;height:22.7pt;mso-position-horizontal-relative:page;mso-position-vertical-relative:paragraph;z-index:11008" coordorigin="1701,85" coordsize="1588,454">
            <v:shape style="position:absolute;left:1700;top:84;width:1588;height:454" coordorigin="1701,85" coordsize="1588,454" path="m3088,85l1701,85,1701,538,3088,538,3204,535,3263,513,3285,454,3288,338,3288,285,3285,169,3263,110,3204,88,3088,85xe" filled="true" fillcolor="#7d8440" stroked="false">
              <v:path arrowok="t"/>
              <v:fill type="solid"/>
            </v:shape>
            <v:shape style="position:absolute;left:1700;top:84;width:1588;height:454" type="#_x0000_t202" filled="false" stroked="false">
              <v:textbox inset="0,0,0,0">
                <w:txbxContent>
                  <w:p>
                    <w:pPr>
                      <w:spacing w:before="5"/>
                      <w:ind w:left="56" w:right="0" w:firstLine="0"/>
                      <w:jc w:val="left"/>
                      <w:rPr>
                        <w:sz w:val="32"/>
                      </w:rPr>
                    </w:pPr>
                    <w:r>
                      <w:rPr>
                        <w:color w:val="FFFFFF"/>
                        <w:w w:val="110"/>
                        <w:sz w:val="32"/>
                      </w:rPr>
                      <w:t>Change 2</w:t>
                    </w:r>
                  </w:p>
                </w:txbxContent>
              </v:textbox>
              <w10:wrap type="none"/>
            </v:shape>
            <w10:wrap type="none"/>
          </v:group>
        </w:pict>
      </w:r>
      <w:r>
        <w:rPr>
          <w:color w:val="231F20"/>
          <w:w w:val="105"/>
        </w:rPr>
        <w:t>Improved Trend Data</w:t>
      </w:r>
    </w:p>
    <w:p>
      <w:pPr>
        <w:spacing w:line="252" w:lineRule="auto" w:before="183"/>
        <w:ind w:left="1700" w:right="1698" w:firstLine="0"/>
        <w:jc w:val="both"/>
        <w:rPr>
          <w:sz w:val="21"/>
        </w:rPr>
      </w:pPr>
      <w:r>
        <w:rPr>
          <w:b/>
          <w:color w:val="231F20"/>
          <w:w w:val="105"/>
          <w:sz w:val="21"/>
        </w:rPr>
        <w:t>Year 1 baseline trend data</w:t>
      </w:r>
      <w:r>
        <w:rPr>
          <w:color w:val="231F20"/>
          <w:w w:val="105"/>
          <w:sz w:val="21"/>
        </w:rPr>
        <w:t>: no court presented trends over 3-5 years of complaints received in relation to judicial officers.</w:t>
      </w:r>
    </w:p>
    <w:p>
      <w:pPr>
        <w:pStyle w:val="BodyText"/>
        <w:spacing w:line="252" w:lineRule="auto" w:before="172"/>
        <w:ind w:left="1700" w:right="1698"/>
        <w:jc w:val="both"/>
      </w:pPr>
      <w:r>
        <w:rPr>
          <w:b/>
          <w:color w:val="231F20"/>
          <w:w w:val="105"/>
        </w:rPr>
        <w:t>Year 7 trend data</w:t>
      </w:r>
      <w:r>
        <w:rPr>
          <w:color w:val="231F20"/>
          <w:w w:val="105"/>
        </w:rPr>
        <w:t>: Kiribati, the Republic of the Marshall Islands and the Republic of Palau presented trends over 3-5 years of complaints received in relation to judicial officers.</w:t>
      </w:r>
    </w:p>
    <w:p>
      <w:pPr>
        <w:pStyle w:val="BodyText"/>
        <w:spacing w:line="252" w:lineRule="auto" w:before="172"/>
        <w:ind w:left="1700" w:right="1698"/>
        <w:jc w:val="both"/>
      </w:pPr>
      <w:r>
        <w:rPr>
          <w:color w:val="231F20"/>
          <w:spacing w:val="-3"/>
          <w:w w:val="105"/>
        </w:rPr>
        <w:t>This </w:t>
      </w:r>
      <w:r>
        <w:rPr>
          <w:color w:val="231F20"/>
          <w:w w:val="105"/>
        </w:rPr>
        <w:t>allows the judicial leadership, court stakeholders and the public to see the number of complaints made in a year against judicial officers as a percentage of all the cases heard     each year and whether this changes over time. It also allows the courts to explain how these complaints are handled. </w:t>
      </w:r>
      <w:r>
        <w:rPr>
          <w:color w:val="231F20"/>
          <w:spacing w:val="-4"/>
          <w:w w:val="105"/>
        </w:rPr>
        <w:t>The </w:t>
      </w:r>
      <w:r>
        <w:rPr>
          <w:color w:val="231F20"/>
          <w:w w:val="105"/>
        </w:rPr>
        <w:t>judiciary of </w:t>
      </w:r>
      <w:r>
        <w:rPr>
          <w:color w:val="231F20"/>
          <w:spacing w:val="-4"/>
          <w:w w:val="105"/>
        </w:rPr>
        <w:t>Palau </w:t>
      </w:r>
      <w:r>
        <w:rPr>
          <w:color w:val="231F20"/>
          <w:w w:val="105"/>
        </w:rPr>
        <w:t>presented four years trend data on complaints received against its judicial officers in its 2017 Annual</w:t>
      </w:r>
      <w:r>
        <w:rPr>
          <w:color w:val="231F20"/>
          <w:spacing w:val="15"/>
          <w:w w:val="105"/>
        </w:rPr>
        <w:t> </w:t>
      </w:r>
      <w:r>
        <w:rPr>
          <w:color w:val="231F20"/>
          <w:w w:val="105"/>
        </w:rPr>
        <w:t>Report.</w:t>
      </w:r>
    </w:p>
    <w:p>
      <w:pPr>
        <w:spacing w:after="0" w:line="252" w:lineRule="auto"/>
        <w:jc w:val="both"/>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88368"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35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3"/>
        </w:rPr>
      </w:pPr>
    </w:p>
    <w:tbl>
      <w:tblPr>
        <w:tblW w:w="0" w:type="auto"/>
        <w:jc w:val="left"/>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5"/>
        <w:gridCol w:w="1150"/>
        <w:gridCol w:w="1055"/>
        <w:gridCol w:w="1906"/>
        <w:gridCol w:w="1802"/>
      </w:tblGrid>
      <w:tr>
        <w:trPr>
          <w:trHeight w:val="442" w:hRule="atLeast"/>
        </w:trPr>
        <w:tc>
          <w:tcPr>
            <w:tcW w:w="765" w:type="dxa"/>
            <w:tcBorders>
              <w:top w:val="single" w:sz="6" w:space="0" w:color="74855F"/>
              <w:bottom w:val="single" w:sz="6" w:space="0" w:color="74855F"/>
            </w:tcBorders>
            <w:shd w:val="clear" w:color="auto" w:fill="FFFFFF"/>
          </w:tcPr>
          <w:p>
            <w:pPr>
              <w:pStyle w:val="TableParagraph"/>
              <w:spacing w:line="144" w:lineRule="exact"/>
              <w:ind w:left="269"/>
              <w:rPr>
                <w:rFonts w:ascii="Arial"/>
                <w:b/>
                <w:sz w:val="13"/>
              </w:rPr>
            </w:pPr>
            <w:r>
              <w:rPr>
                <w:rFonts w:ascii="Arial"/>
                <w:b/>
                <w:color w:val="231F20"/>
                <w:sz w:val="13"/>
              </w:rPr>
              <w:t>Year</w:t>
            </w:r>
          </w:p>
        </w:tc>
        <w:tc>
          <w:tcPr>
            <w:tcW w:w="1150" w:type="dxa"/>
            <w:tcBorders>
              <w:top w:val="single" w:sz="6" w:space="0" w:color="74855F"/>
              <w:bottom w:val="single" w:sz="6" w:space="0" w:color="74855F"/>
            </w:tcBorders>
            <w:shd w:val="clear" w:color="auto" w:fill="FFFFFF"/>
          </w:tcPr>
          <w:p>
            <w:pPr>
              <w:pStyle w:val="TableParagraph"/>
              <w:spacing w:line="143" w:lineRule="exact"/>
              <w:ind w:left="216" w:firstLine="25"/>
              <w:rPr>
                <w:rFonts w:ascii="Arial"/>
                <w:b/>
                <w:sz w:val="13"/>
              </w:rPr>
            </w:pPr>
            <w:r>
              <w:rPr>
                <w:rFonts w:ascii="Arial"/>
                <w:b/>
                <w:color w:val="231F20"/>
                <w:sz w:val="13"/>
              </w:rPr>
              <w:t>Total Cases</w:t>
            </w:r>
          </w:p>
          <w:p>
            <w:pPr>
              <w:pStyle w:val="TableParagraph"/>
              <w:spacing w:line="148" w:lineRule="exact" w:before="3"/>
              <w:ind w:left="416" w:right="152" w:hanging="201"/>
              <w:rPr>
                <w:rFonts w:ascii="Arial"/>
                <w:b/>
                <w:sz w:val="13"/>
              </w:rPr>
            </w:pPr>
            <w:r>
              <w:rPr>
                <w:rFonts w:ascii="Arial"/>
                <w:b/>
                <w:color w:val="231F20"/>
                <w:sz w:val="13"/>
              </w:rPr>
              <w:t>Filed(</w:t>
            </w:r>
            <w:r>
              <w:rPr>
                <w:rFonts w:ascii="Arial"/>
                <w:b/>
                <w:color w:val="231F20"/>
                <w:sz w:val="11"/>
              </w:rPr>
              <w:t>all Case </w:t>
            </w:r>
            <w:r>
              <w:rPr>
                <w:rFonts w:ascii="Arial"/>
                <w:b/>
                <w:color w:val="231F20"/>
                <w:w w:val="105"/>
                <w:sz w:val="11"/>
              </w:rPr>
              <w:t>Types</w:t>
            </w:r>
            <w:r>
              <w:rPr>
                <w:rFonts w:ascii="Arial"/>
                <w:b/>
                <w:color w:val="231F20"/>
                <w:w w:val="105"/>
                <w:sz w:val="13"/>
              </w:rPr>
              <w:t>)</w:t>
            </w:r>
          </w:p>
        </w:tc>
        <w:tc>
          <w:tcPr>
            <w:tcW w:w="1055" w:type="dxa"/>
            <w:tcBorders>
              <w:top w:val="single" w:sz="6" w:space="0" w:color="74855F"/>
              <w:bottom w:val="single" w:sz="6" w:space="0" w:color="74855F"/>
            </w:tcBorders>
            <w:shd w:val="clear" w:color="auto" w:fill="FFFFFF"/>
          </w:tcPr>
          <w:p>
            <w:pPr>
              <w:pStyle w:val="TableParagraph"/>
              <w:ind w:left="157" w:firstLine="39"/>
              <w:rPr>
                <w:rFonts w:ascii="Arial"/>
                <w:b/>
                <w:sz w:val="13"/>
              </w:rPr>
            </w:pPr>
            <w:r>
              <w:rPr>
                <w:rFonts w:ascii="Arial"/>
                <w:b/>
                <w:color w:val="231F20"/>
                <w:sz w:val="13"/>
              </w:rPr>
              <w:t>Complaints against *JOs</w:t>
            </w:r>
          </w:p>
        </w:tc>
        <w:tc>
          <w:tcPr>
            <w:tcW w:w="1906" w:type="dxa"/>
            <w:tcBorders>
              <w:top w:val="single" w:sz="6" w:space="0" w:color="74855F"/>
              <w:bottom w:val="single" w:sz="6" w:space="0" w:color="74855F"/>
            </w:tcBorders>
            <w:shd w:val="clear" w:color="auto" w:fill="FFFFFF"/>
          </w:tcPr>
          <w:p>
            <w:pPr>
              <w:pStyle w:val="TableParagraph"/>
              <w:ind w:left="364" w:hanging="247"/>
              <w:rPr>
                <w:rFonts w:ascii="Arial"/>
                <w:b/>
                <w:sz w:val="13"/>
              </w:rPr>
            </w:pPr>
            <w:r>
              <w:rPr>
                <w:rFonts w:ascii="Arial"/>
                <w:b/>
                <w:color w:val="231F20"/>
                <w:sz w:val="13"/>
              </w:rPr>
              <w:t>Cases where no Complaint made against *JOs</w:t>
            </w:r>
          </w:p>
        </w:tc>
        <w:tc>
          <w:tcPr>
            <w:tcW w:w="1802" w:type="dxa"/>
            <w:tcBorders>
              <w:top w:val="single" w:sz="6" w:space="0" w:color="74855F"/>
              <w:bottom w:val="single" w:sz="6" w:space="0" w:color="74855F"/>
            </w:tcBorders>
            <w:shd w:val="clear" w:color="auto" w:fill="FFFFFF"/>
          </w:tcPr>
          <w:p>
            <w:pPr>
              <w:pStyle w:val="TableParagraph"/>
              <w:ind w:left="291" w:hanging="151"/>
              <w:rPr>
                <w:rFonts w:ascii="Arial"/>
                <w:b/>
                <w:sz w:val="13"/>
              </w:rPr>
            </w:pPr>
            <w:r>
              <w:rPr>
                <w:rFonts w:ascii="Arial"/>
                <w:b/>
                <w:color w:val="231F20"/>
                <w:sz w:val="13"/>
              </w:rPr>
              <w:t>Cases where Complaint made against *JOs</w:t>
            </w:r>
          </w:p>
        </w:tc>
      </w:tr>
      <w:tr>
        <w:trPr>
          <w:trHeight w:val="166" w:hRule="atLeast"/>
        </w:trPr>
        <w:tc>
          <w:tcPr>
            <w:tcW w:w="765" w:type="dxa"/>
            <w:tcBorders>
              <w:top w:val="single" w:sz="6" w:space="0" w:color="74855F"/>
            </w:tcBorders>
            <w:shd w:val="clear" w:color="auto" w:fill="FFFFFF"/>
          </w:tcPr>
          <w:p>
            <w:pPr>
              <w:pStyle w:val="TableParagraph"/>
              <w:spacing w:line="144" w:lineRule="exact"/>
              <w:ind w:left="63"/>
              <w:rPr>
                <w:rFonts w:ascii="Arial"/>
                <w:b/>
                <w:sz w:val="13"/>
              </w:rPr>
            </w:pPr>
            <w:r>
              <w:rPr>
                <w:rFonts w:ascii="Arial"/>
                <w:b/>
                <w:color w:val="231F20"/>
                <w:sz w:val="13"/>
              </w:rPr>
              <w:t>2014</w:t>
            </w:r>
          </w:p>
        </w:tc>
        <w:tc>
          <w:tcPr>
            <w:tcW w:w="1150" w:type="dxa"/>
            <w:tcBorders>
              <w:top w:val="single" w:sz="6" w:space="0" w:color="74855F"/>
            </w:tcBorders>
            <w:shd w:val="clear" w:color="auto" w:fill="FFFFFF"/>
          </w:tcPr>
          <w:p>
            <w:pPr>
              <w:pStyle w:val="TableParagraph"/>
              <w:spacing w:line="147" w:lineRule="exact"/>
              <w:ind w:left="319"/>
              <w:rPr>
                <w:rFonts w:ascii="Arial"/>
                <w:sz w:val="13"/>
              </w:rPr>
            </w:pPr>
            <w:r>
              <w:rPr>
                <w:rFonts w:ascii="Arial"/>
                <w:color w:val="231F20"/>
                <w:sz w:val="13"/>
              </w:rPr>
              <w:t>1983</w:t>
            </w:r>
          </w:p>
        </w:tc>
        <w:tc>
          <w:tcPr>
            <w:tcW w:w="1055" w:type="dxa"/>
            <w:tcBorders>
              <w:top w:val="single" w:sz="6" w:space="0" w:color="74855F"/>
            </w:tcBorders>
            <w:shd w:val="clear" w:color="auto" w:fill="FFFFFF"/>
          </w:tcPr>
          <w:p>
            <w:pPr>
              <w:pStyle w:val="TableParagraph"/>
              <w:spacing w:line="147" w:lineRule="exact"/>
              <w:ind w:left="368"/>
              <w:rPr>
                <w:rFonts w:ascii="Arial"/>
                <w:sz w:val="13"/>
              </w:rPr>
            </w:pPr>
            <w:r>
              <w:rPr>
                <w:rFonts w:ascii="Arial"/>
                <w:color w:val="231F20"/>
                <w:w w:val="98"/>
                <w:sz w:val="13"/>
              </w:rPr>
              <w:t>2</w:t>
            </w:r>
          </w:p>
        </w:tc>
        <w:tc>
          <w:tcPr>
            <w:tcW w:w="1906" w:type="dxa"/>
            <w:tcBorders>
              <w:top w:val="single" w:sz="6" w:space="0" w:color="74855F"/>
            </w:tcBorders>
            <w:shd w:val="clear" w:color="auto" w:fill="FFFFFF"/>
          </w:tcPr>
          <w:p>
            <w:pPr>
              <w:pStyle w:val="TableParagraph"/>
              <w:spacing w:line="147" w:lineRule="exact"/>
              <w:ind w:left="580"/>
              <w:rPr>
                <w:rFonts w:ascii="Arial"/>
                <w:sz w:val="13"/>
              </w:rPr>
            </w:pPr>
            <w:r>
              <w:rPr>
                <w:rFonts w:ascii="Arial"/>
                <w:color w:val="231F20"/>
                <w:sz w:val="13"/>
              </w:rPr>
              <w:t>99.90%</w:t>
            </w:r>
          </w:p>
        </w:tc>
        <w:tc>
          <w:tcPr>
            <w:tcW w:w="1802" w:type="dxa"/>
            <w:tcBorders>
              <w:top w:val="single" w:sz="6" w:space="0" w:color="74855F"/>
            </w:tcBorders>
            <w:shd w:val="clear" w:color="auto" w:fill="FFFFFF"/>
          </w:tcPr>
          <w:p>
            <w:pPr>
              <w:pStyle w:val="TableParagraph"/>
              <w:spacing w:line="147" w:lineRule="exact"/>
              <w:ind w:left="541"/>
              <w:rPr>
                <w:rFonts w:ascii="Arial"/>
                <w:sz w:val="13"/>
              </w:rPr>
            </w:pPr>
            <w:r>
              <w:rPr>
                <w:rFonts w:ascii="Arial"/>
                <w:color w:val="231F20"/>
                <w:sz w:val="13"/>
              </w:rPr>
              <w:t>0.10%</w:t>
            </w:r>
          </w:p>
        </w:tc>
      </w:tr>
      <w:tr>
        <w:trPr>
          <w:trHeight w:val="186" w:hRule="atLeast"/>
        </w:trPr>
        <w:tc>
          <w:tcPr>
            <w:tcW w:w="765" w:type="dxa"/>
            <w:shd w:val="clear" w:color="auto" w:fill="FFFFFF"/>
          </w:tcPr>
          <w:p>
            <w:pPr>
              <w:pStyle w:val="TableParagraph"/>
              <w:spacing w:before="14"/>
              <w:ind w:left="63"/>
              <w:rPr>
                <w:rFonts w:ascii="Arial"/>
                <w:b/>
                <w:sz w:val="13"/>
              </w:rPr>
            </w:pPr>
            <w:r>
              <w:rPr>
                <w:rFonts w:ascii="Arial"/>
                <w:b/>
                <w:color w:val="231F20"/>
                <w:sz w:val="13"/>
              </w:rPr>
              <w:t>2015</w:t>
            </w:r>
          </w:p>
        </w:tc>
        <w:tc>
          <w:tcPr>
            <w:tcW w:w="1150" w:type="dxa"/>
            <w:shd w:val="clear" w:color="auto" w:fill="FFFFFF"/>
          </w:tcPr>
          <w:p>
            <w:pPr>
              <w:pStyle w:val="TableParagraph"/>
              <w:spacing w:line="148" w:lineRule="exact" w:before="18"/>
              <w:ind w:left="319"/>
              <w:rPr>
                <w:rFonts w:ascii="Arial"/>
                <w:sz w:val="13"/>
              </w:rPr>
            </w:pPr>
            <w:r>
              <w:rPr>
                <w:rFonts w:ascii="Arial"/>
                <w:color w:val="231F20"/>
                <w:sz w:val="13"/>
              </w:rPr>
              <w:t>2002</w:t>
            </w:r>
          </w:p>
        </w:tc>
        <w:tc>
          <w:tcPr>
            <w:tcW w:w="1055" w:type="dxa"/>
            <w:shd w:val="clear" w:color="auto" w:fill="FFFFFF"/>
          </w:tcPr>
          <w:p>
            <w:pPr>
              <w:pStyle w:val="TableParagraph"/>
              <w:spacing w:line="148" w:lineRule="exact" w:before="18"/>
              <w:ind w:left="368"/>
              <w:rPr>
                <w:rFonts w:ascii="Arial"/>
                <w:sz w:val="13"/>
              </w:rPr>
            </w:pPr>
            <w:r>
              <w:rPr>
                <w:rFonts w:ascii="Arial"/>
                <w:color w:val="231F20"/>
                <w:w w:val="98"/>
                <w:sz w:val="13"/>
              </w:rPr>
              <w:t>2</w:t>
            </w:r>
          </w:p>
        </w:tc>
        <w:tc>
          <w:tcPr>
            <w:tcW w:w="1906" w:type="dxa"/>
            <w:shd w:val="clear" w:color="auto" w:fill="FFFFFF"/>
          </w:tcPr>
          <w:p>
            <w:pPr>
              <w:pStyle w:val="TableParagraph"/>
              <w:spacing w:line="148" w:lineRule="exact" w:before="18"/>
              <w:ind w:left="580"/>
              <w:rPr>
                <w:rFonts w:ascii="Arial"/>
                <w:sz w:val="13"/>
              </w:rPr>
            </w:pPr>
            <w:r>
              <w:rPr>
                <w:rFonts w:ascii="Arial"/>
                <w:color w:val="231F20"/>
                <w:sz w:val="13"/>
              </w:rPr>
              <w:t>99.90%</w:t>
            </w:r>
          </w:p>
        </w:tc>
        <w:tc>
          <w:tcPr>
            <w:tcW w:w="1802" w:type="dxa"/>
            <w:shd w:val="clear" w:color="auto" w:fill="FFFFFF"/>
          </w:tcPr>
          <w:p>
            <w:pPr>
              <w:pStyle w:val="TableParagraph"/>
              <w:spacing w:line="148" w:lineRule="exact" w:before="18"/>
              <w:ind w:left="541"/>
              <w:rPr>
                <w:rFonts w:ascii="Arial"/>
                <w:sz w:val="13"/>
              </w:rPr>
            </w:pPr>
            <w:r>
              <w:rPr>
                <w:rFonts w:ascii="Arial"/>
                <w:color w:val="231F20"/>
                <w:sz w:val="13"/>
              </w:rPr>
              <w:t>0.10%</w:t>
            </w:r>
          </w:p>
        </w:tc>
      </w:tr>
      <w:tr>
        <w:trPr>
          <w:trHeight w:val="185" w:hRule="atLeast"/>
        </w:trPr>
        <w:tc>
          <w:tcPr>
            <w:tcW w:w="765" w:type="dxa"/>
            <w:shd w:val="clear" w:color="auto" w:fill="FFFFFF"/>
          </w:tcPr>
          <w:p>
            <w:pPr>
              <w:pStyle w:val="TableParagraph"/>
              <w:spacing w:before="13"/>
              <w:ind w:left="63"/>
              <w:rPr>
                <w:rFonts w:ascii="Arial"/>
                <w:b/>
                <w:sz w:val="13"/>
              </w:rPr>
            </w:pPr>
            <w:r>
              <w:rPr>
                <w:rFonts w:ascii="Arial"/>
                <w:b/>
                <w:color w:val="231F20"/>
                <w:sz w:val="13"/>
              </w:rPr>
              <w:t>2016</w:t>
            </w:r>
          </w:p>
        </w:tc>
        <w:tc>
          <w:tcPr>
            <w:tcW w:w="1150" w:type="dxa"/>
            <w:shd w:val="clear" w:color="auto" w:fill="FFFFFF"/>
          </w:tcPr>
          <w:p>
            <w:pPr>
              <w:pStyle w:val="TableParagraph"/>
              <w:spacing w:line="148" w:lineRule="exact" w:before="17"/>
              <w:ind w:left="319"/>
              <w:rPr>
                <w:rFonts w:ascii="Arial"/>
                <w:sz w:val="13"/>
              </w:rPr>
            </w:pPr>
            <w:r>
              <w:rPr>
                <w:rFonts w:ascii="Arial"/>
                <w:color w:val="231F20"/>
                <w:sz w:val="13"/>
              </w:rPr>
              <w:t>1827</w:t>
            </w:r>
          </w:p>
        </w:tc>
        <w:tc>
          <w:tcPr>
            <w:tcW w:w="1055" w:type="dxa"/>
            <w:shd w:val="clear" w:color="auto" w:fill="FFFFFF"/>
          </w:tcPr>
          <w:p>
            <w:pPr>
              <w:pStyle w:val="TableParagraph"/>
              <w:spacing w:line="148" w:lineRule="exact" w:before="17"/>
              <w:ind w:left="368"/>
              <w:rPr>
                <w:rFonts w:ascii="Arial"/>
                <w:sz w:val="13"/>
              </w:rPr>
            </w:pPr>
            <w:r>
              <w:rPr>
                <w:rFonts w:ascii="Arial"/>
                <w:color w:val="231F20"/>
                <w:w w:val="98"/>
                <w:sz w:val="13"/>
              </w:rPr>
              <w:t>0</w:t>
            </w:r>
          </w:p>
        </w:tc>
        <w:tc>
          <w:tcPr>
            <w:tcW w:w="1906" w:type="dxa"/>
            <w:shd w:val="clear" w:color="auto" w:fill="FFFFFF"/>
          </w:tcPr>
          <w:p>
            <w:pPr>
              <w:pStyle w:val="TableParagraph"/>
              <w:spacing w:line="148" w:lineRule="exact" w:before="17"/>
              <w:ind w:left="544"/>
              <w:rPr>
                <w:rFonts w:ascii="Arial"/>
                <w:sz w:val="13"/>
              </w:rPr>
            </w:pPr>
            <w:r>
              <w:rPr>
                <w:rFonts w:ascii="Arial"/>
                <w:color w:val="231F20"/>
                <w:sz w:val="13"/>
              </w:rPr>
              <w:t>100.00%</w:t>
            </w:r>
          </w:p>
        </w:tc>
        <w:tc>
          <w:tcPr>
            <w:tcW w:w="1802" w:type="dxa"/>
            <w:shd w:val="clear" w:color="auto" w:fill="FFFFFF"/>
          </w:tcPr>
          <w:p>
            <w:pPr>
              <w:pStyle w:val="TableParagraph"/>
              <w:spacing w:line="148" w:lineRule="exact" w:before="17"/>
              <w:ind w:left="541"/>
              <w:rPr>
                <w:rFonts w:ascii="Arial"/>
                <w:sz w:val="13"/>
              </w:rPr>
            </w:pPr>
            <w:r>
              <w:rPr>
                <w:rFonts w:ascii="Arial"/>
                <w:color w:val="231F20"/>
                <w:sz w:val="13"/>
              </w:rPr>
              <w:t>0.00%</w:t>
            </w:r>
          </w:p>
        </w:tc>
      </w:tr>
      <w:tr>
        <w:trPr>
          <w:trHeight w:val="166" w:hRule="atLeast"/>
        </w:trPr>
        <w:tc>
          <w:tcPr>
            <w:tcW w:w="765" w:type="dxa"/>
            <w:shd w:val="clear" w:color="auto" w:fill="FFFFFF"/>
          </w:tcPr>
          <w:p>
            <w:pPr>
              <w:pStyle w:val="TableParagraph"/>
              <w:spacing w:line="133" w:lineRule="exact" w:before="13"/>
              <w:ind w:left="63"/>
              <w:rPr>
                <w:rFonts w:ascii="Arial"/>
                <w:b/>
                <w:sz w:val="13"/>
              </w:rPr>
            </w:pPr>
            <w:r>
              <w:rPr>
                <w:rFonts w:ascii="Arial"/>
                <w:b/>
                <w:color w:val="231F20"/>
                <w:sz w:val="13"/>
              </w:rPr>
              <w:t>2017</w:t>
            </w:r>
          </w:p>
        </w:tc>
        <w:tc>
          <w:tcPr>
            <w:tcW w:w="1150" w:type="dxa"/>
            <w:shd w:val="clear" w:color="auto" w:fill="FFFFFF"/>
          </w:tcPr>
          <w:p>
            <w:pPr>
              <w:pStyle w:val="TableParagraph"/>
              <w:spacing w:line="129" w:lineRule="exact" w:before="17"/>
              <w:ind w:left="319"/>
              <w:rPr>
                <w:rFonts w:ascii="Arial"/>
                <w:sz w:val="13"/>
              </w:rPr>
            </w:pPr>
            <w:r>
              <w:rPr>
                <w:rFonts w:ascii="Arial"/>
                <w:color w:val="231F20"/>
                <w:sz w:val="13"/>
              </w:rPr>
              <w:t>3115</w:t>
            </w:r>
          </w:p>
        </w:tc>
        <w:tc>
          <w:tcPr>
            <w:tcW w:w="1055" w:type="dxa"/>
            <w:shd w:val="clear" w:color="auto" w:fill="FFFFFF"/>
          </w:tcPr>
          <w:p>
            <w:pPr>
              <w:pStyle w:val="TableParagraph"/>
              <w:spacing w:line="129" w:lineRule="exact" w:before="17"/>
              <w:ind w:left="368"/>
              <w:rPr>
                <w:rFonts w:ascii="Arial"/>
                <w:sz w:val="13"/>
              </w:rPr>
            </w:pPr>
            <w:r>
              <w:rPr>
                <w:rFonts w:ascii="Arial"/>
                <w:color w:val="231F20"/>
                <w:w w:val="98"/>
                <w:sz w:val="13"/>
              </w:rPr>
              <w:t>0</w:t>
            </w:r>
          </w:p>
        </w:tc>
        <w:tc>
          <w:tcPr>
            <w:tcW w:w="1906" w:type="dxa"/>
            <w:shd w:val="clear" w:color="auto" w:fill="FFFFFF"/>
          </w:tcPr>
          <w:p>
            <w:pPr>
              <w:pStyle w:val="TableParagraph"/>
              <w:spacing w:line="129" w:lineRule="exact" w:before="17"/>
              <w:ind w:left="544"/>
              <w:rPr>
                <w:rFonts w:ascii="Arial"/>
                <w:sz w:val="13"/>
              </w:rPr>
            </w:pPr>
            <w:r>
              <w:rPr>
                <w:rFonts w:ascii="Arial"/>
                <w:color w:val="231F20"/>
                <w:sz w:val="13"/>
              </w:rPr>
              <w:t>100.00%</w:t>
            </w:r>
          </w:p>
        </w:tc>
        <w:tc>
          <w:tcPr>
            <w:tcW w:w="1802" w:type="dxa"/>
            <w:shd w:val="clear" w:color="auto" w:fill="FFFFFF"/>
          </w:tcPr>
          <w:p>
            <w:pPr>
              <w:pStyle w:val="TableParagraph"/>
              <w:spacing w:line="129" w:lineRule="exact" w:before="17"/>
              <w:ind w:left="541"/>
              <w:rPr>
                <w:rFonts w:ascii="Arial"/>
                <w:sz w:val="13"/>
              </w:rPr>
            </w:pPr>
            <w:r>
              <w:rPr>
                <w:rFonts w:ascii="Arial"/>
                <w:color w:val="231F20"/>
                <w:sz w:val="13"/>
              </w:rPr>
              <w:t>0.00%</w:t>
            </w:r>
          </w:p>
        </w:tc>
      </w:tr>
    </w:tbl>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6"/>
        <w:rPr>
          <w:sz w:val="25"/>
        </w:rPr>
      </w:pPr>
    </w:p>
    <w:p>
      <w:pPr>
        <w:pStyle w:val="Heading7"/>
        <w:ind w:left="3571"/>
      </w:pPr>
      <w:r>
        <w:rPr/>
        <w:pict>
          <v:group style="position:absolute;margin-left:85.039398pt;margin-top:-6.123255pt;width:79.4pt;height:22.7pt;mso-position-horizontal-relative:page;mso-position-vertical-relative:paragraph;z-index:11296" coordorigin="1701,-122" coordsize="1588,454">
            <v:shape style="position:absolute;left:1700;top:-123;width:1588;height:454" coordorigin="1701,-122" coordsize="1588,454" path="m3088,-122l1701,-122,1701,331,3088,331,3204,328,3263,306,3285,247,3288,131,3288,78,3285,-38,3263,-97,3204,-119,3088,-122xe" filled="true" fillcolor="#7d8440" stroked="false">
              <v:path arrowok="t"/>
              <v:fill type="solid"/>
            </v:shape>
            <v:shape style="position:absolute;left:1700;top:-123;width:1588;height:454" type="#_x0000_t202" filled="false" stroked="false">
              <v:textbox inset="0,0,0,0">
                <w:txbxContent>
                  <w:p>
                    <w:pPr>
                      <w:spacing w:before="17"/>
                      <w:ind w:left="56" w:right="0" w:firstLine="0"/>
                      <w:jc w:val="left"/>
                      <w:rPr>
                        <w:sz w:val="32"/>
                      </w:rPr>
                    </w:pPr>
                    <w:r>
                      <w:rPr>
                        <w:color w:val="FFFFFF"/>
                        <w:w w:val="110"/>
                        <w:sz w:val="32"/>
                      </w:rPr>
                      <w:t>Change 3</w:t>
                    </w:r>
                  </w:p>
                </w:txbxContent>
              </v:textbox>
              <w10:wrap type="none"/>
            </v:shape>
            <w10:wrap type="none"/>
          </v:group>
        </w:pict>
      </w:r>
      <w:r>
        <w:rPr/>
        <w:pict>
          <v:group style="position:absolute;margin-left:83.791pt;margin-top:-231.02536pt;width:436.35pt;height:186.85pt;mso-position-horizontal-relative:page;mso-position-vertical-relative:paragraph;z-index:-188248" coordorigin="1676,-4621" coordsize="8727,3737">
            <v:rect style="position:absolute;left:1675;top:-4621;width:8727;height:3737" filled="true" fillcolor="#231f20" stroked="false">
              <v:fill opacity="36044f" type="solid"/>
            </v:rect>
            <v:rect style="position:absolute;left:1705;top:-4597;width:8494;height:3505" filled="true" fillcolor="#ffffff" stroked="false">
              <v:fill type="solid"/>
            </v:rect>
            <v:rect style="position:absolute;left:1705;top:-4597;width:8494;height:3505" filled="false" stroked="true" strokeweight=".5pt" strokecolor="#6d6e71">
              <v:stroke dashstyle="solid"/>
            </v:rect>
            <v:shape style="position:absolute;left:1969;top:-2323;width:7826;height:1030" type="#_x0000_t202" filled="false" stroked="false">
              <v:textbox inset="0,0,0,0">
                <w:txbxContent>
                  <w:p>
                    <w:pPr>
                      <w:tabs>
                        <w:tab w:pos="6687" w:val="left" w:leader="none"/>
                      </w:tabs>
                      <w:spacing w:before="1"/>
                      <w:ind w:left="0" w:right="0" w:firstLine="0"/>
                      <w:jc w:val="left"/>
                      <w:rPr>
                        <w:rFonts w:ascii="Arial" w:hAnsi="Arial"/>
                        <w:i/>
                        <w:sz w:val="11"/>
                      </w:rPr>
                    </w:pPr>
                    <w:r>
                      <w:rPr>
                        <w:rFonts w:ascii="Arial" w:hAnsi="Arial"/>
                        <w:i/>
                        <w:color w:val="231F20"/>
                        <w:w w:val="104"/>
                        <w:sz w:val="11"/>
                        <w:u w:val="single" w:color="74855F"/>
                      </w:rPr>
                      <w:t> </w:t>
                    </w:r>
                    <w:r>
                      <w:rPr>
                        <w:rFonts w:ascii="Arial" w:hAnsi="Arial"/>
                        <w:i/>
                        <w:color w:val="231F20"/>
                        <w:sz w:val="11"/>
                        <w:u w:val="single" w:color="74855F"/>
                      </w:rPr>
                      <w:t> </w:t>
                    </w:r>
                    <w:r>
                      <w:rPr>
                        <w:rFonts w:ascii="Arial" w:hAnsi="Arial"/>
                        <w:i/>
                        <w:color w:val="231F20"/>
                        <w:spacing w:val="-6"/>
                        <w:sz w:val="11"/>
                        <w:u w:val="single" w:color="74855F"/>
                      </w:rPr>
                      <w:t> </w:t>
                    </w:r>
                    <w:r>
                      <w:rPr>
                        <w:rFonts w:ascii="Arial" w:hAnsi="Arial"/>
                        <w:i/>
                        <w:color w:val="231F20"/>
                        <w:w w:val="105"/>
                        <w:sz w:val="11"/>
                        <w:u w:val="single" w:color="74855F"/>
                      </w:rPr>
                      <w:t>*JO</w:t>
                    </w:r>
                    <w:r>
                      <w:rPr>
                        <w:rFonts w:ascii="Arial" w:hAnsi="Arial"/>
                        <w:i/>
                        <w:color w:val="231F20"/>
                        <w:spacing w:val="-6"/>
                        <w:w w:val="105"/>
                        <w:sz w:val="11"/>
                        <w:u w:val="single" w:color="74855F"/>
                      </w:rPr>
                      <w:t> </w:t>
                    </w:r>
                    <w:r>
                      <w:rPr>
                        <w:rFonts w:ascii="Arial" w:hAnsi="Arial"/>
                        <w:i/>
                        <w:color w:val="231F20"/>
                        <w:w w:val="105"/>
                        <w:sz w:val="11"/>
                        <w:u w:val="single" w:color="74855F"/>
                      </w:rPr>
                      <w:t>–</w:t>
                    </w:r>
                    <w:r>
                      <w:rPr>
                        <w:rFonts w:ascii="Arial" w:hAnsi="Arial"/>
                        <w:i/>
                        <w:color w:val="231F20"/>
                        <w:spacing w:val="-8"/>
                        <w:w w:val="105"/>
                        <w:sz w:val="11"/>
                        <w:u w:val="single" w:color="74855F"/>
                      </w:rPr>
                      <w:t> </w:t>
                    </w:r>
                    <w:r>
                      <w:rPr>
                        <w:rFonts w:ascii="Arial" w:hAnsi="Arial"/>
                        <w:i/>
                        <w:color w:val="231F20"/>
                        <w:w w:val="105"/>
                        <w:sz w:val="11"/>
                        <w:u w:val="single" w:color="74855F"/>
                      </w:rPr>
                      <w:t>Judicial</w:t>
                    </w:r>
                    <w:r>
                      <w:rPr>
                        <w:rFonts w:ascii="Arial" w:hAnsi="Arial"/>
                        <w:i/>
                        <w:color w:val="231F20"/>
                        <w:spacing w:val="-7"/>
                        <w:w w:val="105"/>
                        <w:sz w:val="11"/>
                        <w:u w:val="single" w:color="74855F"/>
                      </w:rPr>
                      <w:t> </w:t>
                    </w:r>
                    <w:r>
                      <w:rPr>
                        <w:rFonts w:ascii="Arial" w:hAnsi="Arial"/>
                        <w:i/>
                        <w:color w:val="231F20"/>
                        <w:w w:val="105"/>
                        <w:sz w:val="11"/>
                        <w:u w:val="single" w:color="74855F"/>
                      </w:rPr>
                      <w:t>Officers</w:t>
                    </w:r>
                    <w:r>
                      <w:rPr>
                        <w:rFonts w:ascii="Arial" w:hAnsi="Arial"/>
                        <w:i/>
                        <w:color w:val="231F20"/>
                        <w:spacing w:val="-5"/>
                        <w:w w:val="105"/>
                        <w:sz w:val="11"/>
                        <w:u w:val="single" w:color="74855F"/>
                      </w:rPr>
                      <w:t> </w:t>
                    </w:r>
                    <w:r>
                      <w:rPr>
                        <w:rFonts w:ascii="Arial" w:hAnsi="Arial"/>
                        <w:i/>
                        <w:color w:val="231F20"/>
                        <w:w w:val="105"/>
                        <w:sz w:val="11"/>
                        <w:u w:val="single" w:color="74855F"/>
                      </w:rPr>
                      <w:t>–</w:t>
                    </w:r>
                    <w:r>
                      <w:rPr>
                        <w:rFonts w:ascii="Arial" w:hAnsi="Arial"/>
                        <w:i/>
                        <w:color w:val="231F20"/>
                        <w:spacing w:val="-8"/>
                        <w:w w:val="105"/>
                        <w:sz w:val="11"/>
                        <w:u w:val="single" w:color="74855F"/>
                      </w:rPr>
                      <w:t> </w:t>
                    </w:r>
                    <w:r>
                      <w:rPr>
                        <w:rFonts w:ascii="Arial" w:hAnsi="Arial"/>
                        <w:i/>
                        <w:color w:val="231F20"/>
                        <w:w w:val="105"/>
                        <w:sz w:val="11"/>
                        <w:u w:val="single" w:color="74855F"/>
                      </w:rPr>
                      <w:t>Judges</w:t>
                    </w:r>
                    <w:r>
                      <w:rPr>
                        <w:rFonts w:ascii="Arial" w:hAnsi="Arial"/>
                        <w:i/>
                        <w:color w:val="231F20"/>
                        <w:sz w:val="11"/>
                        <w:u w:val="single" w:color="74855F"/>
                      </w:rPr>
                      <w:tab/>
                    </w:r>
                  </w:p>
                  <w:p>
                    <w:pPr>
                      <w:spacing w:line="240" w:lineRule="auto" w:before="10"/>
                      <w:rPr>
                        <w:rFonts w:ascii="Times New Roman"/>
                        <w:sz w:val="16"/>
                      </w:rPr>
                    </w:pPr>
                  </w:p>
                  <w:p>
                    <w:pPr>
                      <w:spacing w:before="0"/>
                      <w:ind w:left="87" w:right="0" w:firstLine="0"/>
                      <w:jc w:val="left"/>
                      <w:rPr>
                        <w:rFonts w:ascii="Arial"/>
                        <w:sz w:val="15"/>
                      </w:rPr>
                    </w:pPr>
                    <w:r>
                      <w:rPr>
                        <w:rFonts w:ascii="Arial"/>
                        <w:color w:val="231F20"/>
                        <w:w w:val="105"/>
                        <w:sz w:val="15"/>
                      </w:rPr>
                      <w:t>There were no cases filed against a judicial officer in 2017.</w:t>
                    </w:r>
                  </w:p>
                  <w:p>
                    <w:pPr>
                      <w:spacing w:line="240" w:lineRule="auto" w:before="6"/>
                      <w:rPr>
                        <w:rFonts w:ascii="Times New Roman"/>
                        <w:sz w:val="15"/>
                      </w:rPr>
                    </w:pPr>
                  </w:p>
                  <w:p>
                    <w:pPr>
                      <w:spacing w:line="252" w:lineRule="auto" w:before="0"/>
                      <w:ind w:left="87" w:right="0" w:firstLine="0"/>
                      <w:jc w:val="left"/>
                      <w:rPr>
                        <w:rFonts w:ascii="Arial"/>
                        <w:sz w:val="15"/>
                      </w:rPr>
                    </w:pPr>
                    <w:r>
                      <w:rPr>
                        <w:rFonts w:ascii="Arial"/>
                        <w:color w:val="231F20"/>
                        <w:w w:val="105"/>
                        <w:sz w:val="15"/>
                      </w:rPr>
                      <w:t>There were 2 complaints made against Judiciary staff in 2017. Cases were filed against the court employee involved and were later dismissed for lack of jurisdiction.</w:t>
                    </w:r>
                  </w:p>
                </w:txbxContent>
              </v:textbox>
              <w10:wrap type="none"/>
            </v:shape>
            <v:shape style="position:absolute;left:2057;top:-4479;width:7734;height:853" type="#_x0000_t202" filled="false" stroked="false">
              <v:textbox inset="0,0,0,0">
                <w:txbxContent>
                  <w:p>
                    <w:pPr>
                      <w:spacing w:line="224" w:lineRule="exact" w:before="0"/>
                      <w:ind w:left="0" w:right="0" w:firstLine="0"/>
                      <w:jc w:val="left"/>
                      <w:rPr>
                        <w:rFonts w:ascii="Arial"/>
                        <w:b/>
                        <w:sz w:val="20"/>
                      </w:rPr>
                    </w:pPr>
                    <w:r>
                      <w:rPr>
                        <w:rFonts w:ascii="Arial"/>
                        <w:b/>
                        <w:color w:val="4A7A89"/>
                        <w:sz w:val="20"/>
                      </w:rPr>
                      <w:t>VIII. Accountability: Code of Conduct and Complaints</w:t>
                    </w:r>
                  </w:p>
                  <w:p>
                    <w:pPr>
                      <w:spacing w:line="252" w:lineRule="auto" w:before="93"/>
                      <w:ind w:left="0" w:right="18" w:firstLine="0"/>
                      <w:jc w:val="both"/>
                      <w:rPr>
                        <w:rFonts w:ascii="Arial" w:hAnsi="Arial"/>
                        <w:sz w:val="15"/>
                      </w:rPr>
                    </w:pPr>
                    <w:r>
                      <w:rPr>
                        <w:rFonts w:ascii="Arial" w:hAnsi="Arial"/>
                        <w:color w:val="231F20"/>
                        <w:w w:val="105"/>
                        <w:sz w:val="15"/>
                      </w:rPr>
                      <w:t>The Judiciary’s Code of Judicial Conduct was promulgated on March 1, 2011 by the Palau Supreme Court and amended on March 9, 2011. A copy of the Judicial Code of Conduct can be retrieved from the Palau Judiciary website: </w:t>
                    </w:r>
                    <w:hyperlink r:id="rId89">
                      <w:r>
                        <w:rPr>
                          <w:rFonts w:ascii="Arial" w:hAnsi="Arial"/>
                          <w:color w:val="001F5F"/>
                          <w:w w:val="105"/>
                          <w:sz w:val="15"/>
                          <w:u w:val="single" w:color="001F5F"/>
                        </w:rPr>
                        <w:t>http://wwww.palausupremecourt.net</w:t>
                      </w:r>
                      <w:r>
                        <w:rPr>
                          <w:rFonts w:ascii="Arial" w:hAnsi="Arial"/>
                          <w:color w:val="001F5F"/>
                          <w:w w:val="105"/>
                          <w:sz w:val="15"/>
                        </w:rPr>
                        <w:t>, </w:t>
                      </w:r>
                    </w:hyperlink>
                    <w:r>
                      <w:rPr>
                        <w:rFonts w:ascii="Arial" w:hAnsi="Arial"/>
                        <w:i/>
                        <w:color w:val="231F20"/>
                        <w:w w:val="105"/>
                        <w:sz w:val="15"/>
                      </w:rPr>
                      <w:t>Rules &amp; Other Publications, Judicial Code of Conduct</w:t>
                    </w:r>
                    <w:r>
                      <w:rPr>
                        <w:rFonts w:ascii="Arial" w:hAnsi="Arial"/>
                        <w:color w:val="231F20"/>
                        <w:w w:val="105"/>
                        <w:sz w:val="15"/>
                      </w:rPr>
                      <w:t>.</w:t>
                    </w:r>
                  </w:p>
                </w:txbxContent>
              </v:textbox>
              <w10:wrap type="none"/>
            </v:shape>
            <w10:wrap type="none"/>
          </v:group>
        </w:pict>
      </w:r>
      <w:r>
        <w:rPr>
          <w:color w:val="231F20"/>
          <w:w w:val="105"/>
        </w:rPr>
        <w:t>Greater Transparency of Outcomes</w:t>
      </w:r>
    </w:p>
    <w:p>
      <w:pPr>
        <w:pStyle w:val="BodyText"/>
        <w:spacing w:line="252" w:lineRule="auto" w:before="184"/>
        <w:ind w:left="1700" w:right="1917"/>
      </w:pPr>
      <w:r>
        <w:rPr>
          <w:color w:val="231F20"/>
          <w:spacing w:val="-4"/>
          <w:w w:val="105"/>
        </w:rPr>
        <w:t>The  </w:t>
      </w:r>
      <w:r>
        <w:rPr>
          <w:color w:val="231F20"/>
          <w:w w:val="105"/>
        </w:rPr>
        <w:t>PNG 2016 Report of the Judges presented for the first time details on how each of the    52 complaints received were handled (see</w:t>
      </w:r>
      <w:r>
        <w:rPr>
          <w:color w:val="231F20"/>
          <w:spacing w:val="43"/>
          <w:w w:val="105"/>
        </w:rPr>
        <w:t> </w:t>
      </w:r>
      <w:r>
        <w:rPr>
          <w:color w:val="231F20"/>
          <w:w w:val="105"/>
        </w:rPr>
        <w:t>below).</w:t>
      </w:r>
    </w:p>
    <w:p>
      <w:pPr>
        <w:pStyle w:val="BodyText"/>
        <w:spacing w:before="3"/>
        <w:rPr>
          <w:sz w:val="18"/>
        </w:rPr>
      </w:pPr>
    </w:p>
    <w:p>
      <w:pPr>
        <w:spacing w:line="297" w:lineRule="auto" w:before="0"/>
        <w:ind w:left="1700" w:right="6159" w:firstLine="0"/>
        <w:jc w:val="left"/>
        <w:rPr>
          <w:rFonts w:ascii="Times New Roman"/>
          <w:sz w:val="18"/>
        </w:rPr>
      </w:pPr>
      <w:r>
        <w:rPr>
          <w:rFonts w:ascii="Times New Roman"/>
          <w:color w:val="231F20"/>
          <w:sz w:val="18"/>
        </w:rPr>
        <w:t>18.18 JUDICIARY COMPLAINTS PROCEDURE 2016 Annual statistical Report</w:t>
      </w:r>
    </w:p>
    <w:p>
      <w:pPr>
        <w:spacing w:before="62"/>
        <w:ind w:left="1700" w:right="0" w:firstLine="0"/>
        <w:jc w:val="left"/>
        <w:rPr>
          <w:rFonts w:ascii="Times New Roman" w:hAnsi="Times New Roman"/>
          <w:sz w:val="14"/>
        </w:rPr>
      </w:pPr>
      <w:r>
        <w:rPr>
          <w:rFonts w:ascii="Times New Roman" w:hAnsi="Times New Roman"/>
          <w:color w:val="231F20"/>
          <w:sz w:val="14"/>
        </w:rPr>
        <w:t>NATIONAL JUDICIARY SERVICES – JUDICIAL COMPLAINTS PROCESS – REPORT 2016</w:t>
      </w:r>
    </w:p>
    <w:p>
      <w:pPr>
        <w:pStyle w:val="BodyText"/>
        <w:spacing w:before="2" w:after="1"/>
        <w:rPr>
          <w:rFonts w:ascii="Times New Roman"/>
          <w:sz w:val="9"/>
        </w:rPr>
      </w:pPr>
    </w:p>
    <w:tbl>
      <w:tblPr>
        <w:tblW w:w="0" w:type="auto"/>
        <w:jc w:val="left"/>
        <w:tblInd w:w="17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92"/>
        <w:gridCol w:w="760"/>
        <w:gridCol w:w="773"/>
        <w:gridCol w:w="773"/>
        <w:gridCol w:w="721"/>
        <w:gridCol w:w="787"/>
        <w:gridCol w:w="890"/>
        <w:gridCol w:w="895"/>
        <w:gridCol w:w="891"/>
        <w:gridCol w:w="822"/>
        <w:gridCol w:w="788"/>
      </w:tblGrid>
      <w:tr>
        <w:trPr>
          <w:trHeight w:val="1526" w:hRule="atLeast"/>
        </w:trPr>
        <w:tc>
          <w:tcPr>
            <w:tcW w:w="392" w:type="dxa"/>
            <w:tcBorders>
              <w:bottom w:val="single" w:sz="4" w:space="0" w:color="231F20"/>
              <w:right w:val="single" w:sz="4" w:space="0" w:color="231F20"/>
            </w:tcBorders>
          </w:tcPr>
          <w:p>
            <w:pPr>
              <w:pStyle w:val="TableParagraph"/>
              <w:spacing w:before="41"/>
              <w:ind w:right="74"/>
              <w:jc w:val="center"/>
              <w:rPr>
                <w:rFonts w:ascii="Times New Roman"/>
                <w:sz w:val="14"/>
              </w:rPr>
            </w:pPr>
            <w:r>
              <w:rPr>
                <w:rFonts w:ascii="Times New Roman"/>
                <w:color w:val="231F20"/>
                <w:sz w:val="14"/>
              </w:rPr>
              <w:t>Year</w:t>
            </w:r>
          </w:p>
        </w:tc>
        <w:tc>
          <w:tcPr>
            <w:tcW w:w="760" w:type="dxa"/>
            <w:tcBorders>
              <w:left w:val="single" w:sz="4" w:space="0" w:color="231F20"/>
              <w:bottom w:val="single" w:sz="4" w:space="0" w:color="231F20"/>
              <w:right w:val="single" w:sz="4" w:space="0" w:color="231F20"/>
            </w:tcBorders>
          </w:tcPr>
          <w:p>
            <w:pPr>
              <w:pStyle w:val="TableParagraph"/>
              <w:spacing w:before="41"/>
              <w:ind w:left="33" w:right="51"/>
              <w:rPr>
                <w:rFonts w:ascii="Times New Roman"/>
                <w:sz w:val="14"/>
              </w:rPr>
            </w:pPr>
            <w:r>
              <w:rPr>
                <w:rFonts w:ascii="Times New Roman"/>
                <w:color w:val="231F20"/>
                <w:sz w:val="14"/>
              </w:rPr>
              <w:t>Total Complaints</w:t>
            </w:r>
          </w:p>
        </w:tc>
        <w:tc>
          <w:tcPr>
            <w:tcW w:w="773" w:type="dxa"/>
            <w:tcBorders>
              <w:left w:val="single" w:sz="4" w:space="0" w:color="231F20"/>
              <w:bottom w:val="single" w:sz="4" w:space="0" w:color="231F20"/>
              <w:right w:val="single" w:sz="4" w:space="0" w:color="231F20"/>
            </w:tcBorders>
          </w:tcPr>
          <w:p>
            <w:pPr>
              <w:pStyle w:val="TableParagraph"/>
              <w:spacing w:before="41"/>
              <w:ind w:left="32" w:right="119"/>
              <w:rPr>
                <w:rFonts w:ascii="Times New Roman"/>
                <w:sz w:val="14"/>
              </w:rPr>
            </w:pPr>
            <w:r>
              <w:rPr>
                <w:rFonts w:ascii="Times New Roman"/>
                <w:color w:val="231F20"/>
                <w:sz w:val="14"/>
              </w:rPr>
              <w:t>Staff Category</w:t>
            </w:r>
          </w:p>
        </w:tc>
        <w:tc>
          <w:tcPr>
            <w:tcW w:w="773" w:type="dxa"/>
            <w:tcBorders>
              <w:left w:val="single" w:sz="4" w:space="0" w:color="231F20"/>
              <w:bottom w:val="single" w:sz="4" w:space="0" w:color="231F20"/>
              <w:right w:val="single" w:sz="4" w:space="0" w:color="231F20"/>
            </w:tcBorders>
          </w:tcPr>
          <w:p>
            <w:pPr>
              <w:pStyle w:val="TableParagraph"/>
              <w:spacing w:before="41"/>
              <w:ind w:left="32" w:right="119"/>
              <w:rPr>
                <w:rFonts w:ascii="Times New Roman"/>
                <w:sz w:val="14"/>
              </w:rPr>
            </w:pPr>
            <w:r>
              <w:rPr>
                <w:rFonts w:ascii="Times New Roman"/>
                <w:color w:val="231F20"/>
                <w:sz w:val="14"/>
              </w:rPr>
              <w:t>Complaint type</w:t>
            </w:r>
          </w:p>
        </w:tc>
        <w:tc>
          <w:tcPr>
            <w:tcW w:w="721" w:type="dxa"/>
            <w:tcBorders>
              <w:left w:val="single" w:sz="4" w:space="0" w:color="231F20"/>
              <w:bottom w:val="single" w:sz="4" w:space="0" w:color="231F20"/>
              <w:right w:val="single" w:sz="4" w:space="0" w:color="231F20"/>
            </w:tcBorders>
          </w:tcPr>
          <w:p>
            <w:pPr>
              <w:pStyle w:val="TableParagraph"/>
              <w:spacing w:before="41"/>
              <w:ind w:left="33" w:right="12"/>
              <w:rPr>
                <w:rFonts w:ascii="Times New Roman"/>
                <w:sz w:val="14"/>
              </w:rPr>
            </w:pPr>
            <w:r>
              <w:rPr>
                <w:rFonts w:ascii="Times New Roman"/>
                <w:color w:val="231F20"/>
                <w:sz w:val="14"/>
              </w:rPr>
              <w:t>Number of Complaints</w:t>
            </w:r>
          </w:p>
        </w:tc>
        <w:tc>
          <w:tcPr>
            <w:tcW w:w="787" w:type="dxa"/>
            <w:tcBorders>
              <w:left w:val="single" w:sz="4" w:space="0" w:color="231F20"/>
              <w:bottom w:val="single" w:sz="4" w:space="0" w:color="231F20"/>
              <w:right w:val="single" w:sz="4" w:space="0" w:color="231F20"/>
            </w:tcBorders>
          </w:tcPr>
          <w:p>
            <w:pPr>
              <w:pStyle w:val="TableParagraph"/>
              <w:spacing w:before="41"/>
              <w:ind w:left="33"/>
              <w:rPr>
                <w:rFonts w:ascii="Times New Roman"/>
                <w:sz w:val="14"/>
              </w:rPr>
            </w:pPr>
            <w:r>
              <w:rPr>
                <w:rFonts w:ascii="Times New Roman"/>
                <w:color w:val="231F20"/>
                <w:sz w:val="14"/>
              </w:rPr>
              <w:t>Investigated </w:t>
            </w:r>
            <w:r>
              <w:rPr>
                <w:rFonts w:ascii="Times New Roman"/>
                <w:color w:val="231F20"/>
                <w:w w:val="105"/>
                <w:sz w:val="14"/>
              </w:rPr>
              <w:t>or not </w:t>
            </w:r>
            <w:r>
              <w:rPr>
                <w:rFonts w:ascii="Times New Roman"/>
                <w:color w:val="231F20"/>
                <w:sz w:val="14"/>
              </w:rPr>
              <w:t>investigated</w:t>
            </w:r>
          </w:p>
        </w:tc>
        <w:tc>
          <w:tcPr>
            <w:tcW w:w="890" w:type="dxa"/>
            <w:tcBorders>
              <w:left w:val="single" w:sz="4" w:space="0" w:color="231F20"/>
              <w:bottom w:val="single" w:sz="4" w:space="0" w:color="231F20"/>
              <w:right w:val="single" w:sz="4" w:space="0" w:color="231F20"/>
            </w:tcBorders>
          </w:tcPr>
          <w:p>
            <w:pPr>
              <w:pStyle w:val="TableParagraph"/>
              <w:spacing w:before="41"/>
              <w:ind w:left="34" w:right="173"/>
              <w:rPr>
                <w:rFonts w:ascii="Times New Roman"/>
                <w:sz w:val="14"/>
              </w:rPr>
            </w:pPr>
            <w:r>
              <w:rPr>
                <w:rFonts w:ascii="Times New Roman"/>
                <w:color w:val="231F20"/>
                <w:sz w:val="14"/>
              </w:rPr>
              <w:t>Allowed or dismissed by JCC Secretariat</w:t>
            </w:r>
          </w:p>
        </w:tc>
        <w:tc>
          <w:tcPr>
            <w:tcW w:w="895" w:type="dxa"/>
            <w:tcBorders>
              <w:left w:val="single" w:sz="4" w:space="0" w:color="231F20"/>
              <w:bottom w:val="single" w:sz="4" w:space="0" w:color="231F20"/>
              <w:right w:val="single" w:sz="4" w:space="0" w:color="231F20"/>
            </w:tcBorders>
          </w:tcPr>
          <w:p>
            <w:pPr>
              <w:pStyle w:val="TableParagraph"/>
              <w:spacing w:before="41"/>
              <w:ind w:left="34"/>
              <w:rPr>
                <w:rFonts w:ascii="Times New Roman"/>
                <w:sz w:val="14"/>
              </w:rPr>
            </w:pPr>
            <w:r>
              <w:rPr>
                <w:rFonts w:ascii="Times New Roman"/>
                <w:color w:val="231F20"/>
                <w:sz w:val="14"/>
              </w:rPr>
              <w:t>Allowed or dismissed by JCC</w:t>
            </w:r>
          </w:p>
        </w:tc>
        <w:tc>
          <w:tcPr>
            <w:tcW w:w="891" w:type="dxa"/>
            <w:tcBorders>
              <w:left w:val="single" w:sz="4" w:space="0" w:color="231F20"/>
              <w:bottom w:val="single" w:sz="4" w:space="0" w:color="231F20"/>
              <w:right w:val="single" w:sz="4" w:space="0" w:color="231F20"/>
            </w:tcBorders>
          </w:tcPr>
          <w:p>
            <w:pPr>
              <w:pStyle w:val="TableParagraph"/>
              <w:spacing w:before="41"/>
              <w:ind w:left="35" w:right="17"/>
              <w:rPr>
                <w:rFonts w:ascii="Times New Roman"/>
                <w:sz w:val="14"/>
              </w:rPr>
            </w:pPr>
            <w:r>
              <w:rPr>
                <w:rFonts w:ascii="Times New Roman"/>
                <w:color w:val="231F20"/>
                <w:sz w:val="14"/>
              </w:rPr>
              <w:t>Dismissed or allowed by Disciplinary Authority (Chief Justice, Secretary (NJSS)</w:t>
            </w:r>
          </w:p>
          <w:p>
            <w:pPr>
              <w:pStyle w:val="TableParagraph"/>
              <w:spacing w:line="154" w:lineRule="exact"/>
              <w:ind w:left="35"/>
              <w:rPr>
                <w:rFonts w:ascii="Times New Roman"/>
                <w:sz w:val="14"/>
              </w:rPr>
            </w:pPr>
            <w:r>
              <w:rPr>
                <w:rFonts w:ascii="Times New Roman"/>
                <w:color w:val="231F20"/>
                <w:sz w:val="14"/>
              </w:rPr>
              <w:t>Registrar)</w:t>
            </w:r>
          </w:p>
        </w:tc>
        <w:tc>
          <w:tcPr>
            <w:tcW w:w="822" w:type="dxa"/>
            <w:tcBorders>
              <w:left w:val="single" w:sz="4" w:space="0" w:color="231F20"/>
              <w:bottom w:val="single" w:sz="4" w:space="0" w:color="231F20"/>
              <w:right w:val="single" w:sz="4" w:space="0" w:color="231F20"/>
            </w:tcBorders>
          </w:tcPr>
          <w:p>
            <w:pPr>
              <w:pStyle w:val="TableParagraph"/>
              <w:spacing w:before="41"/>
              <w:ind w:left="36" w:right="99"/>
              <w:rPr>
                <w:rFonts w:ascii="Times New Roman"/>
                <w:sz w:val="14"/>
              </w:rPr>
            </w:pPr>
            <w:r>
              <w:rPr>
                <w:rFonts w:ascii="Times New Roman"/>
                <w:color w:val="231F20"/>
                <w:sz w:val="14"/>
              </w:rPr>
              <w:t>Final </w:t>
            </w:r>
            <w:r>
              <w:rPr>
                <w:rFonts w:ascii="Times New Roman"/>
                <w:color w:val="231F20"/>
                <w:spacing w:val="-3"/>
                <w:sz w:val="14"/>
              </w:rPr>
              <w:t>Outcome  </w:t>
            </w:r>
            <w:r>
              <w:rPr>
                <w:rFonts w:ascii="Times New Roman"/>
                <w:color w:val="231F20"/>
                <w:sz w:val="14"/>
              </w:rPr>
              <w:t>by internal </w:t>
            </w:r>
            <w:r>
              <w:rPr>
                <w:rFonts w:ascii="Times New Roman"/>
                <w:color w:val="231F20"/>
                <w:spacing w:val="-2"/>
                <w:sz w:val="14"/>
              </w:rPr>
              <w:t>Disciplinary </w:t>
            </w:r>
            <w:r>
              <w:rPr>
                <w:rFonts w:ascii="Times New Roman"/>
                <w:color w:val="231F20"/>
                <w:spacing w:val="-3"/>
                <w:sz w:val="14"/>
              </w:rPr>
              <w:t>Authority</w:t>
            </w:r>
          </w:p>
          <w:p>
            <w:pPr>
              <w:pStyle w:val="TableParagraph"/>
              <w:spacing w:line="237" w:lineRule="auto"/>
              <w:ind w:left="36" w:right="-6"/>
              <w:rPr>
                <w:rFonts w:ascii="Times New Roman"/>
                <w:sz w:val="14"/>
              </w:rPr>
            </w:pPr>
            <w:r>
              <w:rPr>
                <w:rFonts w:ascii="Times New Roman"/>
                <w:color w:val="231F20"/>
                <w:sz w:val="14"/>
              </w:rPr>
              <w:t>(Chief</w:t>
            </w:r>
            <w:r>
              <w:rPr>
                <w:rFonts w:ascii="Times New Roman"/>
                <w:color w:val="231F20"/>
                <w:spacing w:val="-23"/>
                <w:sz w:val="14"/>
              </w:rPr>
              <w:t> </w:t>
            </w:r>
            <w:r>
              <w:rPr>
                <w:rFonts w:ascii="Times New Roman"/>
                <w:color w:val="231F20"/>
                <w:spacing w:val="-3"/>
                <w:sz w:val="14"/>
              </w:rPr>
              <w:t>Justice, </w:t>
            </w:r>
            <w:r>
              <w:rPr>
                <w:rFonts w:ascii="Times New Roman"/>
                <w:color w:val="231F20"/>
                <w:sz w:val="14"/>
              </w:rPr>
              <w:t>Secretary</w:t>
            </w:r>
          </w:p>
          <w:p>
            <w:pPr>
              <w:pStyle w:val="TableParagraph"/>
              <w:spacing w:line="160" w:lineRule="exact"/>
              <w:ind w:left="36"/>
              <w:rPr>
                <w:rFonts w:ascii="Times New Roman" w:hAnsi="Times New Roman"/>
                <w:sz w:val="14"/>
              </w:rPr>
            </w:pPr>
            <w:r>
              <w:rPr>
                <w:rFonts w:ascii="Times New Roman" w:hAnsi="Times New Roman"/>
                <w:color w:val="231F20"/>
                <w:sz w:val="14"/>
              </w:rPr>
              <w:t>– NJSS,</w:t>
            </w:r>
          </w:p>
          <w:p>
            <w:pPr>
              <w:pStyle w:val="TableParagraph"/>
              <w:spacing w:line="160" w:lineRule="exact"/>
              <w:ind w:left="36"/>
              <w:rPr>
                <w:rFonts w:ascii="Times New Roman"/>
                <w:sz w:val="14"/>
              </w:rPr>
            </w:pPr>
            <w:r>
              <w:rPr>
                <w:rFonts w:ascii="Times New Roman"/>
                <w:color w:val="231F20"/>
                <w:sz w:val="14"/>
              </w:rPr>
              <w:t>Registrar</w:t>
            </w:r>
          </w:p>
        </w:tc>
        <w:tc>
          <w:tcPr>
            <w:tcW w:w="788" w:type="dxa"/>
            <w:tcBorders>
              <w:left w:val="single" w:sz="4" w:space="0" w:color="231F20"/>
              <w:bottom w:val="single" w:sz="4" w:space="0" w:color="231F20"/>
            </w:tcBorders>
          </w:tcPr>
          <w:p>
            <w:pPr>
              <w:pStyle w:val="TableParagraph"/>
              <w:spacing w:before="41"/>
              <w:ind w:left="36" w:right="99"/>
              <w:rPr>
                <w:rFonts w:ascii="Times New Roman"/>
                <w:sz w:val="14"/>
              </w:rPr>
            </w:pPr>
            <w:r>
              <w:rPr>
                <w:rFonts w:ascii="Times New Roman"/>
                <w:color w:val="231F20"/>
                <w:sz w:val="14"/>
              </w:rPr>
              <w:t>Outcome by referred External</w:t>
            </w:r>
          </w:p>
          <w:p>
            <w:pPr>
              <w:pStyle w:val="TableParagraph"/>
              <w:spacing w:line="237" w:lineRule="auto"/>
              <w:ind w:left="36" w:right="25"/>
              <w:rPr>
                <w:rFonts w:ascii="Times New Roman"/>
                <w:sz w:val="14"/>
              </w:rPr>
            </w:pPr>
            <w:r>
              <w:rPr>
                <w:rFonts w:ascii="Times New Roman"/>
                <w:color w:val="231F20"/>
                <w:w w:val="95"/>
                <w:sz w:val="14"/>
              </w:rPr>
              <w:t>Disciplinary </w:t>
            </w:r>
            <w:r>
              <w:rPr>
                <w:rFonts w:ascii="Times New Roman"/>
                <w:color w:val="231F20"/>
                <w:sz w:val="14"/>
              </w:rPr>
              <w:t>Authority (eg; JLSC,</w:t>
            </w:r>
          </w:p>
          <w:p>
            <w:pPr>
              <w:pStyle w:val="TableParagraph"/>
              <w:ind w:left="36" w:right="25"/>
              <w:rPr>
                <w:rFonts w:ascii="Times New Roman"/>
                <w:sz w:val="14"/>
              </w:rPr>
            </w:pPr>
            <w:r>
              <w:rPr>
                <w:rFonts w:ascii="Times New Roman"/>
                <w:color w:val="231F20"/>
                <w:sz w:val="14"/>
              </w:rPr>
              <w:t>Police, OC or NEC)</w:t>
            </w:r>
          </w:p>
        </w:tc>
      </w:tr>
      <w:tr>
        <w:trPr>
          <w:trHeight w:val="278" w:hRule="atLeast"/>
        </w:trPr>
        <w:tc>
          <w:tcPr>
            <w:tcW w:w="392" w:type="dxa"/>
            <w:tcBorders>
              <w:top w:val="single" w:sz="4" w:space="0" w:color="231F20"/>
              <w:bottom w:val="single" w:sz="4" w:space="0" w:color="231F20"/>
              <w:right w:val="single" w:sz="4" w:space="0" w:color="231F20"/>
            </w:tcBorders>
            <w:shd w:val="clear" w:color="auto" w:fill="F7EC0E"/>
          </w:tcPr>
          <w:p>
            <w:pPr>
              <w:pStyle w:val="TableParagraph"/>
              <w:spacing w:before="46"/>
              <w:ind w:right="49"/>
              <w:jc w:val="center"/>
              <w:rPr>
                <w:rFonts w:ascii="Times New Roman"/>
                <w:sz w:val="14"/>
              </w:rPr>
            </w:pPr>
            <w:r>
              <w:rPr>
                <w:rFonts w:ascii="Times New Roman"/>
                <w:color w:val="231F20"/>
                <w:sz w:val="14"/>
              </w:rPr>
              <w:t>2016</w:t>
            </w:r>
          </w:p>
        </w:tc>
        <w:tc>
          <w:tcPr>
            <w:tcW w:w="760" w:type="dxa"/>
            <w:tcBorders>
              <w:top w:val="single" w:sz="4" w:space="0" w:color="231F20"/>
              <w:left w:val="single" w:sz="4" w:space="0" w:color="231F20"/>
              <w:bottom w:val="single" w:sz="4" w:space="0" w:color="231F20"/>
              <w:right w:val="single" w:sz="4" w:space="0" w:color="231F20"/>
            </w:tcBorders>
            <w:shd w:val="clear" w:color="auto" w:fill="F7EC0E"/>
          </w:tcPr>
          <w:p>
            <w:pPr>
              <w:pStyle w:val="TableParagraph"/>
              <w:rPr>
                <w:rFonts w:ascii="Times New Roman"/>
                <w:sz w:val="14"/>
              </w:rPr>
            </w:pPr>
          </w:p>
        </w:tc>
        <w:tc>
          <w:tcPr>
            <w:tcW w:w="773" w:type="dxa"/>
            <w:tcBorders>
              <w:top w:val="single" w:sz="4" w:space="0" w:color="231F20"/>
              <w:left w:val="single" w:sz="4" w:space="0" w:color="231F20"/>
              <w:bottom w:val="single" w:sz="4" w:space="0" w:color="231F20"/>
              <w:right w:val="single" w:sz="4" w:space="0" w:color="231F20"/>
            </w:tcBorders>
            <w:shd w:val="clear" w:color="auto" w:fill="F7EC0E"/>
          </w:tcPr>
          <w:p>
            <w:pPr>
              <w:pStyle w:val="TableParagraph"/>
              <w:rPr>
                <w:rFonts w:ascii="Times New Roman"/>
                <w:sz w:val="14"/>
              </w:rPr>
            </w:pPr>
          </w:p>
        </w:tc>
        <w:tc>
          <w:tcPr>
            <w:tcW w:w="773" w:type="dxa"/>
            <w:tcBorders>
              <w:top w:val="single" w:sz="4" w:space="0" w:color="231F20"/>
              <w:left w:val="single" w:sz="4" w:space="0" w:color="231F20"/>
              <w:bottom w:val="single" w:sz="4" w:space="0" w:color="231F20"/>
              <w:right w:val="single" w:sz="4" w:space="0" w:color="231F20"/>
            </w:tcBorders>
            <w:shd w:val="clear" w:color="auto" w:fill="F7EC0E"/>
          </w:tcPr>
          <w:p>
            <w:pPr>
              <w:pStyle w:val="TableParagraph"/>
              <w:rPr>
                <w:rFonts w:ascii="Times New Roman"/>
                <w:sz w:val="14"/>
              </w:rPr>
            </w:pPr>
          </w:p>
        </w:tc>
        <w:tc>
          <w:tcPr>
            <w:tcW w:w="721" w:type="dxa"/>
            <w:tcBorders>
              <w:top w:val="single" w:sz="4" w:space="0" w:color="231F20"/>
              <w:left w:val="single" w:sz="4" w:space="0" w:color="231F20"/>
              <w:bottom w:val="single" w:sz="4" w:space="0" w:color="231F20"/>
              <w:right w:val="single" w:sz="4" w:space="0" w:color="231F20"/>
            </w:tcBorders>
            <w:shd w:val="clear" w:color="auto" w:fill="F7EC0E"/>
          </w:tcPr>
          <w:p>
            <w:pPr>
              <w:pStyle w:val="TableParagraph"/>
              <w:rPr>
                <w:rFonts w:ascii="Times New Roman"/>
                <w:sz w:val="14"/>
              </w:rPr>
            </w:pPr>
          </w:p>
        </w:tc>
        <w:tc>
          <w:tcPr>
            <w:tcW w:w="787" w:type="dxa"/>
            <w:tcBorders>
              <w:top w:val="single" w:sz="4" w:space="0" w:color="231F20"/>
              <w:left w:val="single" w:sz="4" w:space="0" w:color="231F20"/>
              <w:bottom w:val="single" w:sz="4" w:space="0" w:color="231F20"/>
              <w:right w:val="single" w:sz="4" w:space="0" w:color="231F20"/>
            </w:tcBorders>
            <w:shd w:val="clear" w:color="auto" w:fill="F7EC0E"/>
          </w:tcPr>
          <w:p>
            <w:pPr>
              <w:pStyle w:val="TableParagraph"/>
              <w:rPr>
                <w:rFonts w:ascii="Times New Roman"/>
                <w:sz w:val="14"/>
              </w:rPr>
            </w:pPr>
          </w:p>
        </w:tc>
        <w:tc>
          <w:tcPr>
            <w:tcW w:w="890" w:type="dxa"/>
            <w:tcBorders>
              <w:top w:val="single" w:sz="4" w:space="0" w:color="231F20"/>
              <w:left w:val="single" w:sz="4" w:space="0" w:color="231F20"/>
              <w:bottom w:val="single" w:sz="4" w:space="0" w:color="231F20"/>
              <w:right w:val="single" w:sz="4" w:space="0" w:color="231F20"/>
            </w:tcBorders>
            <w:shd w:val="clear" w:color="auto" w:fill="F7EC0E"/>
          </w:tcPr>
          <w:p>
            <w:pPr>
              <w:pStyle w:val="TableParagraph"/>
              <w:rPr>
                <w:rFonts w:ascii="Times New Roman"/>
                <w:sz w:val="14"/>
              </w:rPr>
            </w:pPr>
          </w:p>
        </w:tc>
        <w:tc>
          <w:tcPr>
            <w:tcW w:w="895" w:type="dxa"/>
            <w:tcBorders>
              <w:top w:val="single" w:sz="4" w:space="0" w:color="231F20"/>
              <w:left w:val="single" w:sz="4" w:space="0" w:color="231F20"/>
              <w:bottom w:val="single" w:sz="4" w:space="0" w:color="231F20"/>
              <w:right w:val="single" w:sz="4" w:space="0" w:color="231F20"/>
            </w:tcBorders>
            <w:shd w:val="clear" w:color="auto" w:fill="F7EC0E"/>
          </w:tcPr>
          <w:p>
            <w:pPr>
              <w:pStyle w:val="TableParagraph"/>
              <w:rPr>
                <w:rFonts w:ascii="Times New Roman"/>
                <w:sz w:val="14"/>
              </w:rPr>
            </w:pPr>
          </w:p>
        </w:tc>
        <w:tc>
          <w:tcPr>
            <w:tcW w:w="891" w:type="dxa"/>
            <w:tcBorders>
              <w:top w:val="single" w:sz="4" w:space="0" w:color="231F20"/>
              <w:left w:val="single" w:sz="4" w:space="0" w:color="231F20"/>
              <w:bottom w:val="single" w:sz="4" w:space="0" w:color="231F20"/>
              <w:right w:val="single" w:sz="4" w:space="0" w:color="231F20"/>
            </w:tcBorders>
            <w:shd w:val="clear" w:color="auto" w:fill="F7EC0E"/>
          </w:tcPr>
          <w:p>
            <w:pPr>
              <w:pStyle w:val="TableParagraph"/>
              <w:rPr>
                <w:rFonts w:ascii="Times New Roman"/>
                <w:sz w:val="14"/>
              </w:rPr>
            </w:pPr>
          </w:p>
        </w:tc>
        <w:tc>
          <w:tcPr>
            <w:tcW w:w="822" w:type="dxa"/>
            <w:tcBorders>
              <w:top w:val="single" w:sz="4" w:space="0" w:color="231F20"/>
              <w:left w:val="single" w:sz="4" w:space="0" w:color="231F20"/>
              <w:bottom w:val="single" w:sz="4" w:space="0" w:color="231F20"/>
              <w:right w:val="single" w:sz="4" w:space="0" w:color="231F20"/>
            </w:tcBorders>
            <w:shd w:val="clear" w:color="auto" w:fill="F7EC0E"/>
          </w:tcPr>
          <w:p>
            <w:pPr>
              <w:pStyle w:val="TableParagraph"/>
              <w:rPr>
                <w:rFonts w:ascii="Times New Roman"/>
                <w:sz w:val="14"/>
              </w:rPr>
            </w:pPr>
          </w:p>
        </w:tc>
        <w:tc>
          <w:tcPr>
            <w:tcW w:w="788" w:type="dxa"/>
            <w:tcBorders>
              <w:top w:val="single" w:sz="4" w:space="0" w:color="231F20"/>
              <w:left w:val="single" w:sz="4" w:space="0" w:color="231F20"/>
              <w:bottom w:val="single" w:sz="4" w:space="0" w:color="231F20"/>
            </w:tcBorders>
            <w:shd w:val="clear" w:color="auto" w:fill="F7EC0E"/>
          </w:tcPr>
          <w:p>
            <w:pPr>
              <w:pStyle w:val="TableParagraph"/>
              <w:rPr>
                <w:rFonts w:ascii="Times New Roman"/>
                <w:sz w:val="14"/>
              </w:rPr>
            </w:pPr>
          </w:p>
        </w:tc>
      </w:tr>
      <w:tr>
        <w:trPr>
          <w:trHeight w:val="1347" w:hRule="atLeast"/>
        </w:trPr>
        <w:tc>
          <w:tcPr>
            <w:tcW w:w="392" w:type="dxa"/>
            <w:vMerge w:val="restart"/>
            <w:tcBorders>
              <w:top w:val="single" w:sz="4" w:space="0" w:color="231F20"/>
              <w:right w:val="single" w:sz="4" w:space="0" w:color="231F20"/>
            </w:tcBorders>
            <w:shd w:val="clear" w:color="auto" w:fill="F9D0B2"/>
          </w:tcPr>
          <w:p>
            <w:pPr>
              <w:pStyle w:val="TableParagraph"/>
              <w:rPr>
                <w:rFonts w:ascii="Times New Roman"/>
                <w:sz w:val="14"/>
              </w:rPr>
            </w:pPr>
          </w:p>
        </w:tc>
        <w:tc>
          <w:tcPr>
            <w:tcW w:w="760" w:type="dxa"/>
            <w:vMerge w:val="restart"/>
            <w:tcBorders>
              <w:top w:val="single" w:sz="4" w:space="0" w:color="231F20"/>
              <w:left w:val="single" w:sz="4" w:space="0" w:color="231F20"/>
              <w:right w:val="single" w:sz="4" w:space="0" w:color="231F20"/>
            </w:tcBorders>
            <w:shd w:val="clear" w:color="auto" w:fill="F9D0B2"/>
          </w:tcPr>
          <w:p>
            <w:pPr>
              <w:pStyle w:val="TableParagraph"/>
              <w:spacing w:line="160" w:lineRule="exact" w:before="46"/>
              <w:ind w:left="33"/>
              <w:rPr>
                <w:rFonts w:ascii="Times New Roman"/>
                <w:sz w:val="14"/>
              </w:rPr>
            </w:pPr>
            <w:r>
              <w:rPr>
                <w:rFonts w:ascii="Times New Roman"/>
                <w:color w:val="231F20"/>
                <w:sz w:val="14"/>
              </w:rPr>
              <w:t>52</w:t>
            </w:r>
          </w:p>
          <w:p>
            <w:pPr>
              <w:pStyle w:val="TableParagraph"/>
              <w:ind w:left="33" w:right="16"/>
              <w:rPr>
                <w:rFonts w:ascii="Times New Roman"/>
                <w:sz w:val="14"/>
              </w:rPr>
            </w:pPr>
            <w:r>
              <w:rPr>
                <w:rFonts w:ascii="Times New Roman"/>
                <w:color w:val="231F20"/>
                <w:sz w:val="14"/>
              </w:rPr>
              <w:t>Total Complaints (including 4 complaints carry over from 2015)</w:t>
            </w:r>
          </w:p>
        </w:tc>
        <w:tc>
          <w:tcPr>
            <w:tcW w:w="773" w:type="dxa"/>
            <w:vMerge w:val="restart"/>
            <w:tcBorders>
              <w:top w:val="single" w:sz="4" w:space="0" w:color="231F20"/>
              <w:left w:val="single" w:sz="4" w:space="0" w:color="231F20"/>
              <w:right w:val="single" w:sz="4" w:space="0" w:color="231F20"/>
            </w:tcBorders>
            <w:shd w:val="clear" w:color="auto" w:fill="F9D0B2"/>
          </w:tcPr>
          <w:p>
            <w:pPr>
              <w:pStyle w:val="TableParagraph"/>
              <w:spacing w:before="46"/>
              <w:ind w:left="32" w:right="112"/>
              <w:rPr>
                <w:rFonts w:ascii="Times New Roman"/>
                <w:sz w:val="14"/>
              </w:rPr>
            </w:pPr>
            <w:r>
              <w:rPr>
                <w:rFonts w:ascii="Times New Roman"/>
                <w:color w:val="231F20"/>
                <w:w w:val="95"/>
                <w:sz w:val="14"/>
              </w:rPr>
              <w:t>JUDICIAL </w:t>
            </w:r>
            <w:r>
              <w:rPr>
                <w:rFonts w:ascii="Times New Roman"/>
                <w:color w:val="231F20"/>
                <w:sz w:val="14"/>
              </w:rPr>
              <w:t>18</w:t>
            </w:r>
          </w:p>
          <w:p>
            <w:pPr>
              <w:pStyle w:val="TableParagraph"/>
              <w:spacing w:line="159" w:lineRule="exact"/>
              <w:ind w:left="32"/>
              <w:rPr>
                <w:rFonts w:ascii="Times New Roman"/>
                <w:sz w:val="14"/>
              </w:rPr>
            </w:pPr>
            <w:r>
              <w:rPr>
                <w:rFonts w:ascii="Times New Roman"/>
                <w:color w:val="231F20"/>
                <w:sz w:val="14"/>
              </w:rPr>
              <w:t>complaints</w:t>
            </w:r>
          </w:p>
        </w:tc>
        <w:tc>
          <w:tcPr>
            <w:tcW w:w="773" w:type="dxa"/>
            <w:tcBorders>
              <w:top w:val="single" w:sz="4" w:space="0" w:color="231F20"/>
              <w:left w:val="single" w:sz="4" w:space="0" w:color="231F20"/>
              <w:bottom w:val="single" w:sz="4" w:space="0" w:color="231F20"/>
              <w:right w:val="single" w:sz="4" w:space="0" w:color="231F20"/>
            </w:tcBorders>
            <w:shd w:val="clear" w:color="auto" w:fill="F9D0B2"/>
          </w:tcPr>
          <w:p>
            <w:pPr>
              <w:pStyle w:val="TableParagraph"/>
              <w:spacing w:before="46"/>
              <w:ind w:left="32"/>
              <w:rPr>
                <w:rFonts w:ascii="Times New Roman"/>
                <w:sz w:val="14"/>
              </w:rPr>
            </w:pPr>
            <w:r>
              <w:rPr>
                <w:rFonts w:ascii="Times New Roman"/>
                <w:color w:val="231F20"/>
                <w:sz w:val="14"/>
              </w:rPr>
              <w:t>Delayed judgement</w:t>
            </w:r>
          </w:p>
        </w:tc>
        <w:tc>
          <w:tcPr>
            <w:tcW w:w="721" w:type="dxa"/>
            <w:tcBorders>
              <w:top w:val="single" w:sz="4" w:space="0" w:color="231F20"/>
              <w:left w:val="single" w:sz="4" w:space="0" w:color="231F20"/>
              <w:bottom w:val="single" w:sz="4" w:space="0" w:color="231F20"/>
              <w:right w:val="single" w:sz="4" w:space="0" w:color="231F20"/>
            </w:tcBorders>
            <w:shd w:val="clear" w:color="auto" w:fill="F9D0B2"/>
          </w:tcPr>
          <w:p>
            <w:pPr>
              <w:pStyle w:val="TableParagraph"/>
              <w:spacing w:before="46"/>
              <w:ind w:left="33"/>
              <w:rPr>
                <w:rFonts w:ascii="Times New Roman"/>
                <w:sz w:val="14"/>
              </w:rPr>
            </w:pPr>
            <w:r>
              <w:rPr>
                <w:rFonts w:ascii="Times New Roman"/>
                <w:color w:val="231F20"/>
                <w:w w:val="96"/>
                <w:sz w:val="14"/>
              </w:rPr>
              <w:t>6</w:t>
            </w:r>
          </w:p>
        </w:tc>
        <w:tc>
          <w:tcPr>
            <w:tcW w:w="787" w:type="dxa"/>
            <w:tcBorders>
              <w:top w:val="single" w:sz="4" w:space="0" w:color="231F20"/>
              <w:left w:val="single" w:sz="4" w:space="0" w:color="231F20"/>
              <w:bottom w:val="single" w:sz="4" w:space="0" w:color="231F20"/>
              <w:right w:val="single" w:sz="4" w:space="0" w:color="231F20"/>
            </w:tcBorders>
            <w:shd w:val="clear" w:color="auto" w:fill="F9D0B2"/>
          </w:tcPr>
          <w:p>
            <w:pPr>
              <w:pStyle w:val="TableParagraph"/>
              <w:spacing w:before="46"/>
              <w:ind w:left="33"/>
              <w:rPr>
                <w:rFonts w:ascii="Times New Roman"/>
                <w:sz w:val="14"/>
              </w:rPr>
            </w:pPr>
            <w:r>
              <w:rPr>
                <w:rFonts w:ascii="Times New Roman"/>
                <w:color w:val="231F20"/>
                <w:sz w:val="14"/>
              </w:rPr>
              <w:t>Only 5 investigated</w:t>
            </w:r>
          </w:p>
        </w:tc>
        <w:tc>
          <w:tcPr>
            <w:tcW w:w="890" w:type="dxa"/>
            <w:tcBorders>
              <w:top w:val="single" w:sz="4" w:space="0" w:color="231F20"/>
              <w:left w:val="single" w:sz="4" w:space="0" w:color="231F20"/>
              <w:bottom w:val="single" w:sz="4" w:space="0" w:color="231F20"/>
              <w:right w:val="single" w:sz="4" w:space="0" w:color="231F20"/>
            </w:tcBorders>
            <w:shd w:val="clear" w:color="auto" w:fill="F9D0B2"/>
          </w:tcPr>
          <w:p>
            <w:pPr>
              <w:pStyle w:val="TableParagraph"/>
              <w:spacing w:line="237" w:lineRule="auto" w:before="47"/>
              <w:ind w:left="34" w:right="8"/>
              <w:rPr>
                <w:rFonts w:ascii="Times New Roman"/>
                <w:sz w:val="14"/>
              </w:rPr>
            </w:pPr>
            <w:r>
              <w:rPr>
                <w:rFonts w:ascii="Times New Roman"/>
                <w:color w:val="231F20"/>
                <w:sz w:val="14"/>
              </w:rPr>
              <w:t>3 </w:t>
            </w:r>
            <w:r>
              <w:rPr>
                <w:rFonts w:ascii="Times New Roman"/>
                <w:color w:val="231F20"/>
                <w:spacing w:val="-3"/>
                <w:sz w:val="14"/>
              </w:rPr>
              <w:t>dismissed by </w:t>
            </w:r>
            <w:r>
              <w:rPr>
                <w:rFonts w:ascii="Times New Roman"/>
                <w:color w:val="231F20"/>
                <w:spacing w:val="-2"/>
                <w:sz w:val="14"/>
              </w:rPr>
              <w:t>JCC </w:t>
            </w:r>
            <w:r>
              <w:rPr>
                <w:rFonts w:ascii="Times New Roman"/>
                <w:color w:val="231F20"/>
                <w:spacing w:val="-3"/>
                <w:sz w:val="14"/>
              </w:rPr>
              <w:t>Secretariat </w:t>
            </w:r>
            <w:r>
              <w:rPr>
                <w:rFonts w:ascii="Times New Roman"/>
                <w:color w:val="231F20"/>
                <w:sz w:val="14"/>
              </w:rPr>
              <w:t>as </w:t>
            </w:r>
            <w:r>
              <w:rPr>
                <w:rFonts w:ascii="Times New Roman"/>
                <w:color w:val="231F20"/>
                <w:spacing w:val="-5"/>
                <w:sz w:val="14"/>
              </w:rPr>
              <w:t>complaints </w:t>
            </w:r>
            <w:r>
              <w:rPr>
                <w:rFonts w:ascii="Times New Roman"/>
                <w:color w:val="231F20"/>
                <w:spacing w:val="-4"/>
                <w:sz w:val="14"/>
              </w:rPr>
              <w:t>forms </w:t>
            </w:r>
            <w:r>
              <w:rPr>
                <w:rFonts w:ascii="Times New Roman"/>
                <w:color w:val="231F20"/>
                <w:spacing w:val="-3"/>
                <w:sz w:val="14"/>
              </w:rPr>
              <w:t>not </w:t>
            </w:r>
            <w:r>
              <w:rPr>
                <w:rFonts w:ascii="Times New Roman"/>
                <w:color w:val="231F20"/>
                <w:spacing w:val="-4"/>
                <w:sz w:val="14"/>
              </w:rPr>
              <w:t>properly </w:t>
            </w:r>
            <w:r>
              <w:rPr>
                <w:rFonts w:ascii="Times New Roman"/>
                <w:color w:val="231F20"/>
                <w:sz w:val="14"/>
              </w:rPr>
              <w:t>filled </w:t>
            </w:r>
            <w:r>
              <w:rPr>
                <w:rFonts w:ascii="Times New Roman"/>
                <w:color w:val="231F20"/>
                <w:spacing w:val="-3"/>
                <w:sz w:val="14"/>
              </w:rPr>
              <w:t>and not </w:t>
            </w:r>
            <w:r>
              <w:rPr>
                <w:rFonts w:ascii="Times New Roman"/>
                <w:color w:val="231F20"/>
                <w:spacing w:val="-4"/>
                <w:sz w:val="14"/>
              </w:rPr>
              <w:t>properly particularised</w:t>
            </w:r>
          </w:p>
        </w:tc>
        <w:tc>
          <w:tcPr>
            <w:tcW w:w="895" w:type="dxa"/>
            <w:tcBorders>
              <w:top w:val="single" w:sz="4" w:space="0" w:color="231F20"/>
              <w:left w:val="single" w:sz="4" w:space="0" w:color="231F20"/>
              <w:bottom w:val="single" w:sz="4" w:space="0" w:color="231F20"/>
              <w:right w:val="single" w:sz="4" w:space="0" w:color="231F20"/>
            </w:tcBorders>
            <w:shd w:val="clear" w:color="auto" w:fill="F9D0B2"/>
          </w:tcPr>
          <w:p>
            <w:pPr>
              <w:pStyle w:val="TableParagraph"/>
              <w:spacing w:line="160" w:lineRule="exact" w:before="46"/>
              <w:ind w:left="34"/>
              <w:rPr>
                <w:rFonts w:ascii="Times New Roman"/>
                <w:sz w:val="14"/>
              </w:rPr>
            </w:pPr>
            <w:r>
              <w:rPr>
                <w:rFonts w:ascii="Times New Roman"/>
                <w:color w:val="231F20"/>
                <w:sz w:val="14"/>
              </w:rPr>
              <w:t>Allowed 3</w:t>
            </w:r>
          </w:p>
          <w:p>
            <w:pPr>
              <w:pStyle w:val="TableParagraph"/>
              <w:ind w:left="34" w:right="104"/>
              <w:rPr>
                <w:rFonts w:ascii="Times New Roman"/>
                <w:sz w:val="14"/>
              </w:rPr>
            </w:pPr>
            <w:r>
              <w:rPr>
                <w:rFonts w:ascii="Times New Roman"/>
                <w:color w:val="231F20"/>
                <w:sz w:val="14"/>
              </w:rPr>
              <w:t>Dismissed 2 as</w:t>
            </w:r>
          </w:p>
          <w:p>
            <w:pPr>
              <w:pStyle w:val="TableParagraph"/>
              <w:ind w:left="34" w:right="104"/>
              <w:rPr>
                <w:rFonts w:ascii="Times New Roman"/>
                <w:sz w:val="14"/>
              </w:rPr>
            </w:pPr>
            <w:r>
              <w:rPr>
                <w:rFonts w:ascii="Times New Roman"/>
                <w:color w:val="231F20"/>
                <w:w w:val="95"/>
                <w:sz w:val="14"/>
              </w:rPr>
              <w:t>decisions </w:t>
            </w:r>
            <w:r>
              <w:rPr>
                <w:rFonts w:ascii="Times New Roman"/>
                <w:color w:val="231F20"/>
                <w:sz w:val="14"/>
              </w:rPr>
              <w:t>were </w:t>
            </w:r>
            <w:r>
              <w:rPr>
                <w:rFonts w:ascii="Times New Roman"/>
                <w:color w:val="231F20"/>
                <w:w w:val="95"/>
                <w:sz w:val="14"/>
              </w:rPr>
              <w:t>delivered</w:t>
            </w:r>
          </w:p>
        </w:tc>
        <w:tc>
          <w:tcPr>
            <w:tcW w:w="891" w:type="dxa"/>
            <w:tcBorders>
              <w:top w:val="single" w:sz="4" w:space="0" w:color="231F20"/>
              <w:left w:val="single" w:sz="4" w:space="0" w:color="231F20"/>
              <w:bottom w:val="single" w:sz="4" w:space="0" w:color="231F20"/>
              <w:right w:val="single" w:sz="4" w:space="0" w:color="231F20"/>
            </w:tcBorders>
            <w:shd w:val="clear" w:color="auto" w:fill="F9D0B2"/>
          </w:tcPr>
          <w:p>
            <w:pPr>
              <w:pStyle w:val="TableParagraph"/>
              <w:spacing w:before="46"/>
              <w:ind w:left="35" w:right="68"/>
              <w:rPr>
                <w:rFonts w:ascii="Times New Roman"/>
                <w:sz w:val="14"/>
              </w:rPr>
            </w:pPr>
            <w:r>
              <w:rPr>
                <w:rFonts w:ascii="Times New Roman"/>
                <w:color w:val="231F20"/>
                <w:sz w:val="14"/>
              </w:rPr>
              <w:t>Allowed by Chief Justice 3</w:t>
            </w:r>
          </w:p>
        </w:tc>
        <w:tc>
          <w:tcPr>
            <w:tcW w:w="822" w:type="dxa"/>
            <w:tcBorders>
              <w:top w:val="single" w:sz="4" w:space="0" w:color="231F20"/>
              <w:left w:val="single" w:sz="4" w:space="0" w:color="231F20"/>
              <w:bottom w:val="single" w:sz="4" w:space="0" w:color="231F20"/>
              <w:right w:val="single" w:sz="4" w:space="0" w:color="231F20"/>
            </w:tcBorders>
            <w:shd w:val="clear" w:color="auto" w:fill="F9D0B2"/>
          </w:tcPr>
          <w:p>
            <w:pPr>
              <w:pStyle w:val="TableParagraph"/>
              <w:spacing w:line="237" w:lineRule="auto" w:before="47"/>
              <w:ind w:left="36"/>
              <w:rPr>
                <w:rFonts w:ascii="Times New Roman"/>
                <w:sz w:val="14"/>
              </w:rPr>
            </w:pPr>
            <w:r>
              <w:rPr>
                <w:rFonts w:ascii="Times New Roman"/>
                <w:color w:val="231F20"/>
                <w:sz w:val="14"/>
              </w:rPr>
              <w:t>Respective Judges delivered judgements upon receiving letters from Chief Justice</w:t>
            </w:r>
          </w:p>
        </w:tc>
        <w:tc>
          <w:tcPr>
            <w:tcW w:w="788" w:type="dxa"/>
            <w:tcBorders>
              <w:top w:val="single" w:sz="4" w:space="0" w:color="231F20"/>
              <w:left w:val="single" w:sz="4" w:space="0" w:color="231F20"/>
              <w:bottom w:val="single" w:sz="4" w:space="0" w:color="231F20"/>
            </w:tcBorders>
            <w:shd w:val="clear" w:color="auto" w:fill="F9D0B2"/>
          </w:tcPr>
          <w:p>
            <w:pPr>
              <w:pStyle w:val="TableParagraph"/>
              <w:spacing w:before="46"/>
              <w:ind w:left="36"/>
              <w:rPr>
                <w:rFonts w:ascii="Times New Roman"/>
                <w:sz w:val="14"/>
              </w:rPr>
            </w:pPr>
            <w:r>
              <w:rPr>
                <w:rFonts w:ascii="Times New Roman"/>
                <w:color w:val="231F20"/>
                <w:sz w:val="14"/>
              </w:rPr>
              <w:t>Complaints</w:t>
            </w:r>
          </w:p>
        </w:tc>
      </w:tr>
      <w:tr>
        <w:trPr>
          <w:trHeight w:val="982" w:hRule="atLeast"/>
        </w:trPr>
        <w:tc>
          <w:tcPr>
            <w:tcW w:w="392" w:type="dxa"/>
            <w:vMerge/>
            <w:tcBorders>
              <w:top w:val="nil"/>
              <w:right w:val="single" w:sz="4" w:space="0" w:color="231F20"/>
            </w:tcBorders>
            <w:shd w:val="clear" w:color="auto" w:fill="F9D0B2"/>
          </w:tcPr>
          <w:p>
            <w:pPr>
              <w:rPr>
                <w:sz w:val="2"/>
                <w:szCs w:val="2"/>
              </w:rPr>
            </w:pPr>
          </w:p>
        </w:tc>
        <w:tc>
          <w:tcPr>
            <w:tcW w:w="760" w:type="dxa"/>
            <w:vMerge/>
            <w:tcBorders>
              <w:top w:val="nil"/>
              <w:left w:val="single" w:sz="4" w:space="0" w:color="231F20"/>
              <w:right w:val="single" w:sz="4" w:space="0" w:color="231F20"/>
            </w:tcBorders>
            <w:shd w:val="clear" w:color="auto" w:fill="F9D0B2"/>
          </w:tcPr>
          <w:p>
            <w:pPr>
              <w:rPr>
                <w:sz w:val="2"/>
                <w:szCs w:val="2"/>
              </w:rPr>
            </w:pPr>
          </w:p>
        </w:tc>
        <w:tc>
          <w:tcPr>
            <w:tcW w:w="773" w:type="dxa"/>
            <w:vMerge/>
            <w:tcBorders>
              <w:top w:val="nil"/>
              <w:left w:val="single" w:sz="4" w:space="0" w:color="231F20"/>
              <w:right w:val="single" w:sz="4" w:space="0" w:color="231F20"/>
            </w:tcBorders>
            <w:shd w:val="clear" w:color="auto" w:fill="F9D0B2"/>
          </w:tcPr>
          <w:p>
            <w:pPr>
              <w:rPr>
                <w:sz w:val="2"/>
                <w:szCs w:val="2"/>
              </w:rPr>
            </w:pPr>
          </w:p>
        </w:tc>
        <w:tc>
          <w:tcPr>
            <w:tcW w:w="773" w:type="dxa"/>
            <w:tcBorders>
              <w:top w:val="single" w:sz="4" w:space="0" w:color="231F20"/>
              <w:left w:val="single" w:sz="4" w:space="0" w:color="231F20"/>
              <w:right w:val="single" w:sz="4" w:space="0" w:color="231F20"/>
            </w:tcBorders>
            <w:shd w:val="clear" w:color="auto" w:fill="F9D0B2"/>
          </w:tcPr>
          <w:p>
            <w:pPr>
              <w:pStyle w:val="TableParagraph"/>
              <w:spacing w:before="119"/>
              <w:ind w:left="32"/>
              <w:rPr>
                <w:rFonts w:ascii="Times New Roman"/>
                <w:sz w:val="14"/>
              </w:rPr>
            </w:pPr>
            <w:r>
              <w:rPr>
                <w:rFonts w:ascii="Times New Roman"/>
                <w:color w:val="231F20"/>
                <w:spacing w:val="-4"/>
                <w:sz w:val="14"/>
              </w:rPr>
              <w:t>Dubious circumstance </w:t>
            </w:r>
            <w:r>
              <w:rPr>
                <w:rFonts w:ascii="Times New Roman"/>
                <w:color w:val="231F20"/>
                <w:sz w:val="14"/>
              </w:rPr>
              <w:t>in </w:t>
            </w:r>
            <w:r>
              <w:rPr>
                <w:rFonts w:ascii="Times New Roman"/>
                <w:color w:val="231F20"/>
                <w:spacing w:val="-3"/>
                <w:sz w:val="14"/>
              </w:rPr>
              <w:t>acquiring land</w:t>
            </w:r>
          </w:p>
        </w:tc>
        <w:tc>
          <w:tcPr>
            <w:tcW w:w="721" w:type="dxa"/>
            <w:tcBorders>
              <w:top w:val="single" w:sz="4" w:space="0" w:color="231F20"/>
              <w:left w:val="single" w:sz="4" w:space="0" w:color="231F20"/>
              <w:right w:val="single" w:sz="4" w:space="0" w:color="231F20"/>
            </w:tcBorders>
            <w:shd w:val="clear" w:color="auto" w:fill="F9D0B2"/>
          </w:tcPr>
          <w:p>
            <w:pPr>
              <w:pStyle w:val="TableParagraph"/>
              <w:spacing w:before="119"/>
              <w:ind w:left="33"/>
              <w:rPr>
                <w:rFonts w:ascii="Times New Roman"/>
                <w:sz w:val="14"/>
              </w:rPr>
            </w:pPr>
            <w:r>
              <w:rPr>
                <w:rFonts w:ascii="Times New Roman"/>
                <w:color w:val="231F20"/>
                <w:w w:val="96"/>
                <w:sz w:val="14"/>
              </w:rPr>
              <w:t>1</w:t>
            </w:r>
          </w:p>
        </w:tc>
        <w:tc>
          <w:tcPr>
            <w:tcW w:w="787" w:type="dxa"/>
            <w:tcBorders>
              <w:top w:val="single" w:sz="4" w:space="0" w:color="231F20"/>
              <w:left w:val="single" w:sz="4" w:space="0" w:color="231F20"/>
              <w:right w:val="single" w:sz="4" w:space="0" w:color="231F20"/>
            </w:tcBorders>
            <w:shd w:val="clear" w:color="auto" w:fill="F9D0B2"/>
          </w:tcPr>
          <w:p>
            <w:pPr>
              <w:pStyle w:val="TableParagraph"/>
              <w:spacing w:before="119"/>
              <w:ind w:left="33"/>
              <w:rPr>
                <w:rFonts w:ascii="Times New Roman"/>
                <w:sz w:val="14"/>
              </w:rPr>
            </w:pPr>
            <w:r>
              <w:rPr>
                <w:rFonts w:ascii="Times New Roman"/>
                <w:color w:val="231F20"/>
                <w:w w:val="105"/>
                <w:sz w:val="14"/>
              </w:rPr>
              <w:t>Not </w:t>
            </w:r>
            <w:r>
              <w:rPr>
                <w:rFonts w:ascii="Times New Roman"/>
                <w:color w:val="231F20"/>
                <w:sz w:val="14"/>
              </w:rPr>
              <w:t>investigated</w:t>
            </w:r>
          </w:p>
        </w:tc>
        <w:tc>
          <w:tcPr>
            <w:tcW w:w="890" w:type="dxa"/>
            <w:tcBorders>
              <w:top w:val="single" w:sz="4" w:space="0" w:color="231F20"/>
              <w:left w:val="single" w:sz="4" w:space="0" w:color="231F20"/>
              <w:right w:val="single" w:sz="4" w:space="0" w:color="231F20"/>
            </w:tcBorders>
            <w:shd w:val="clear" w:color="auto" w:fill="F9D0B2"/>
          </w:tcPr>
          <w:p>
            <w:pPr>
              <w:pStyle w:val="TableParagraph"/>
              <w:spacing w:before="119"/>
              <w:ind w:left="34" w:right="8"/>
              <w:rPr>
                <w:rFonts w:ascii="Times New Roman"/>
                <w:sz w:val="14"/>
              </w:rPr>
            </w:pPr>
            <w:r>
              <w:rPr>
                <w:rFonts w:ascii="Times New Roman"/>
                <w:color w:val="231F20"/>
                <w:sz w:val="14"/>
              </w:rPr>
              <w:t>Submitted to JCC</w:t>
            </w:r>
          </w:p>
        </w:tc>
        <w:tc>
          <w:tcPr>
            <w:tcW w:w="895" w:type="dxa"/>
            <w:tcBorders>
              <w:top w:val="single" w:sz="4" w:space="0" w:color="231F20"/>
              <w:left w:val="single" w:sz="4" w:space="0" w:color="231F20"/>
              <w:right w:val="single" w:sz="4" w:space="0" w:color="231F20"/>
            </w:tcBorders>
            <w:shd w:val="clear" w:color="auto" w:fill="F9D0B2"/>
          </w:tcPr>
          <w:p>
            <w:pPr>
              <w:pStyle w:val="TableParagraph"/>
              <w:spacing w:before="111"/>
              <w:ind w:left="34" w:right="49"/>
              <w:rPr>
                <w:rFonts w:ascii="Times New Roman" w:hAnsi="Times New Roman"/>
                <w:sz w:val="14"/>
              </w:rPr>
            </w:pPr>
            <w:r>
              <w:rPr>
                <w:rFonts w:ascii="Times New Roman" w:hAnsi="Times New Roman"/>
                <w:color w:val="231F20"/>
                <w:sz w:val="14"/>
              </w:rPr>
              <w:t>Dismissed by JCC as it was outside JCC’s jurisdiction to deal with it.</w:t>
            </w:r>
          </w:p>
        </w:tc>
        <w:tc>
          <w:tcPr>
            <w:tcW w:w="891" w:type="dxa"/>
            <w:tcBorders>
              <w:top w:val="single" w:sz="4" w:space="0" w:color="231F20"/>
              <w:left w:val="single" w:sz="4" w:space="0" w:color="231F20"/>
              <w:right w:val="single" w:sz="4" w:space="0" w:color="231F20"/>
            </w:tcBorders>
            <w:shd w:val="clear" w:color="auto" w:fill="F9D0B2"/>
          </w:tcPr>
          <w:p>
            <w:pPr>
              <w:pStyle w:val="TableParagraph"/>
              <w:rPr>
                <w:rFonts w:ascii="Times New Roman"/>
                <w:sz w:val="14"/>
              </w:rPr>
            </w:pPr>
          </w:p>
        </w:tc>
        <w:tc>
          <w:tcPr>
            <w:tcW w:w="822" w:type="dxa"/>
            <w:tcBorders>
              <w:top w:val="single" w:sz="4" w:space="0" w:color="231F20"/>
              <w:left w:val="single" w:sz="4" w:space="0" w:color="231F20"/>
              <w:right w:val="single" w:sz="4" w:space="0" w:color="231F20"/>
            </w:tcBorders>
            <w:shd w:val="clear" w:color="auto" w:fill="F9D0B2"/>
          </w:tcPr>
          <w:p>
            <w:pPr>
              <w:pStyle w:val="TableParagraph"/>
              <w:rPr>
                <w:rFonts w:ascii="Times New Roman"/>
                <w:sz w:val="14"/>
              </w:rPr>
            </w:pPr>
          </w:p>
        </w:tc>
        <w:tc>
          <w:tcPr>
            <w:tcW w:w="788" w:type="dxa"/>
            <w:tcBorders>
              <w:top w:val="single" w:sz="4" w:space="0" w:color="231F20"/>
              <w:left w:val="single" w:sz="4" w:space="0" w:color="231F20"/>
            </w:tcBorders>
            <w:shd w:val="clear" w:color="auto" w:fill="F9D0B2"/>
          </w:tcPr>
          <w:p>
            <w:pPr>
              <w:pStyle w:val="TableParagraph"/>
              <w:rPr>
                <w:rFonts w:ascii="Times New Roman"/>
                <w:sz w:val="14"/>
              </w:rPr>
            </w:pPr>
          </w:p>
        </w:tc>
      </w:tr>
    </w:tbl>
    <w:p>
      <w:pPr>
        <w:spacing w:after="0"/>
        <w:rPr>
          <w:rFonts w:ascii="Times New Roman"/>
          <w:sz w:val="14"/>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7231">
            <wp:simplePos x="0" y="0"/>
            <wp:positionH relativeFrom="page">
              <wp:posOffset>0</wp:posOffset>
            </wp:positionH>
            <wp:positionV relativeFrom="paragraph">
              <wp:posOffset>373881</wp:posOffset>
            </wp:positionV>
            <wp:extent cx="7559992" cy="143992"/>
            <wp:effectExtent l="0" t="0" r="0" b="0"/>
            <wp:wrapNone/>
            <wp:docPr id="51" name="image39.png" descr=""/>
            <wp:cNvGraphicFramePr>
              <a:graphicFrameLocks noChangeAspect="1"/>
            </wp:cNvGraphicFramePr>
            <a:graphic>
              <a:graphicData uri="http://schemas.openxmlformats.org/drawingml/2006/picture">
                <pic:pic>
                  <pic:nvPicPr>
                    <pic:cNvPr id="52"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36</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12"/>
        <w:rPr>
          <w:b/>
          <w:sz w:val="14"/>
        </w:rPr>
      </w:pPr>
    </w:p>
    <w:p>
      <w:pPr>
        <w:pStyle w:val="BodyText"/>
        <w:spacing w:line="252" w:lineRule="auto" w:before="93"/>
        <w:ind w:left="1700" w:right="1917"/>
      </w:pPr>
      <w:r>
        <w:rPr>
          <w:color w:val="231F20"/>
          <w:w w:val="105"/>
        </w:rPr>
        <w:t>Documented process for receiving and processing a complaint that is publicly available – 2011 Baseline Report</w:t>
      </w:r>
    </w:p>
    <w:p>
      <w:pPr>
        <w:pStyle w:val="BodyText"/>
        <w:spacing w:before="7"/>
        <w:rPr>
          <w:sz w:val="5"/>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225"/>
        <w:gridCol w:w="1066"/>
        <w:gridCol w:w="1361"/>
        <w:gridCol w:w="1361"/>
        <w:gridCol w:w="1093"/>
        <w:gridCol w:w="1261"/>
      </w:tblGrid>
      <w:tr>
        <w:trPr>
          <w:trHeight w:val="632" w:hRule="atLeast"/>
        </w:trPr>
        <w:tc>
          <w:tcPr>
            <w:tcW w:w="1124" w:type="dxa"/>
            <w:shd w:val="clear" w:color="auto" w:fill="92BAC2"/>
          </w:tcPr>
          <w:p>
            <w:pPr>
              <w:pStyle w:val="TableParagraph"/>
              <w:spacing w:before="75"/>
              <w:ind w:left="80"/>
              <w:rPr>
                <w:b/>
                <w:sz w:val="15"/>
              </w:rPr>
            </w:pPr>
            <w:r>
              <w:rPr>
                <w:b/>
                <w:color w:val="231F20"/>
                <w:w w:val="110"/>
                <w:sz w:val="15"/>
              </w:rPr>
              <w:t>Cook Islands</w:t>
            </w:r>
          </w:p>
        </w:tc>
        <w:tc>
          <w:tcPr>
            <w:tcW w:w="1225" w:type="dxa"/>
            <w:shd w:val="clear" w:color="auto" w:fill="92BAC2"/>
          </w:tcPr>
          <w:p>
            <w:pPr>
              <w:pStyle w:val="TableParagraph"/>
              <w:spacing w:line="223" w:lineRule="auto" w:before="85"/>
              <w:ind w:left="79" w:right="390"/>
              <w:rPr>
                <w:b/>
                <w:sz w:val="15"/>
              </w:rPr>
            </w:pPr>
            <w:r>
              <w:rPr>
                <w:b/>
                <w:color w:val="231F20"/>
                <w:w w:val="105"/>
                <w:sz w:val="15"/>
              </w:rPr>
              <w:t>Federated States of Micronesia</w:t>
            </w:r>
          </w:p>
        </w:tc>
        <w:tc>
          <w:tcPr>
            <w:tcW w:w="1066" w:type="dxa"/>
            <w:shd w:val="clear" w:color="auto" w:fill="92BAC2"/>
          </w:tcPr>
          <w:p>
            <w:pPr>
              <w:pStyle w:val="TableParagraph"/>
              <w:spacing w:line="223" w:lineRule="auto" w:before="85"/>
              <w:ind w:left="79" w:right="145"/>
              <w:rPr>
                <w:b/>
                <w:sz w:val="15"/>
              </w:rPr>
            </w:pPr>
            <w:r>
              <w:rPr>
                <w:b/>
                <w:color w:val="231F20"/>
                <w:w w:val="110"/>
                <w:sz w:val="15"/>
              </w:rPr>
              <w:t>Kiribati Islands</w:t>
            </w:r>
          </w:p>
        </w:tc>
        <w:tc>
          <w:tcPr>
            <w:tcW w:w="1361" w:type="dxa"/>
            <w:shd w:val="clear" w:color="auto" w:fill="92BAC2"/>
          </w:tcPr>
          <w:p>
            <w:pPr>
              <w:pStyle w:val="TableParagraph"/>
              <w:spacing w:before="75"/>
              <w:ind w:left="79"/>
              <w:rPr>
                <w:b/>
                <w:sz w:val="15"/>
              </w:rPr>
            </w:pPr>
            <w:r>
              <w:rPr>
                <w:b/>
                <w:color w:val="231F20"/>
                <w:w w:val="105"/>
                <w:sz w:val="15"/>
              </w:rPr>
              <w:t>Marshall Islands</w:t>
            </w:r>
          </w:p>
        </w:tc>
        <w:tc>
          <w:tcPr>
            <w:tcW w:w="1361" w:type="dxa"/>
            <w:shd w:val="clear" w:color="auto" w:fill="92BAC2"/>
          </w:tcPr>
          <w:p>
            <w:pPr>
              <w:pStyle w:val="TableParagraph"/>
              <w:spacing w:before="75"/>
              <w:ind w:left="78"/>
              <w:rPr>
                <w:b/>
                <w:sz w:val="15"/>
              </w:rPr>
            </w:pPr>
            <w:r>
              <w:rPr>
                <w:b/>
                <w:color w:val="231F20"/>
                <w:w w:val="110"/>
                <w:sz w:val="15"/>
              </w:rPr>
              <w:t>Nauru</w:t>
            </w:r>
          </w:p>
        </w:tc>
        <w:tc>
          <w:tcPr>
            <w:tcW w:w="1093" w:type="dxa"/>
            <w:shd w:val="clear" w:color="auto" w:fill="92BAC2"/>
          </w:tcPr>
          <w:p>
            <w:pPr>
              <w:pStyle w:val="TableParagraph"/>
              <w:spacing w:before="75"/>
              <w:ind w:left="78"/>
              <w:rPr>
                <w:b/>
                <w:sz w:val="15"/>
              </w:rPr>
            </w:pPr>
            <w:r>
              <w:rPr>
                <w:b/>
                <w:color w:val="231F20"/>
                <w:w w:val="110"/>
                <w:sz w:val="15"/>
              </w:rPr>
              <w:t>Niue</w:t>
            </w:r>
          </w:p>
        </w:tc>
        <w:tc>
          <w:tcPr>
            <w:tcW w:w="1261" w:type="dxa"/>
            <w:shd w:val="clear" w:color="auto" w:fill="92BAC2"/>
          </w:tcPr>
          <w:p>
            <w:pPr>
              <w:pStyle w:val="TableParagraph"/>
              <w:spacing w:before="75"/>
              <w:ind w:left="77"/>
              <w:rPr>
                <w:b/>
                <w:sz w:val="15"/>
              </w:rPr>
            </w:pPr>
            <w:r>
              <w:rPr>
                <w:b/>
                <w:color w:val="231F20"/>
                <w:w w:val="105"/>
                <w:sz w:val="15"/>
              </w:rPr>
              <w:t>Palau</w:t>
            </w:r>
          </w:p>
        </w:tc>
      </w:tr>
      <w:tr>
        <w:trPr>
          <w:trHeight w:val="3462" w:hRule="atLeast"/>
        </w:trPr>
        <w:tc>
          <w:tcPr>
            <w:tcW w:w="1124" w:type="dxa"/>
            <w:shd w:val="clear" w:color="auto" w:fill="F2CDBE"/>
          </w:tcPr>
          <w:p>
            <w:pPr>
              <w:pStyle w:val="TableParagraph"/>
              <w:spacing w:line="223" w:lineRule="auto" w:before="84"/>
              <w:ind w:left="80"/>
              <w:rPr>
                <w:sz w:val="15"/>
              </w:rPr>
            </w:pPr>
            <w:r>
              <w:rPr>
                <w:color w:val="231F20"/>
                <w:w w:val="110"/>
                <w:sz w:val="15"/>
              </w:rPr>
              <w:t>Data unavailable</w:t>
            </w:r>
          </w:p>
        </w:tc>
        <w:tc>
          <w:tcPr>
            <w:tcW w:w="1225" w:type="dxa"/>
            <w:shd w:val="clear" w:color="auto" w:fill="F2CDBE"/>
          </w:tcPr>
          <w:p>
            <w:pPr>
              <w:pStyle w:val="TableParagraph"/>
              <w:spacing w:line="223" w:lineRule="auto" w:before="84"/>
              <w:ind w:left="79" w:right="82"/>
              <w:rPr>
                <w:sz w:val="15"/>
              </w:rPr>
            </w:pPr>
            <w:r>
              <w:rPr>
                <w:color w:val="231F20"/>
                <w:w w:val="110"/>
                <w:sz w:val="15"/>
              </w:rPr>
              <w:t>Data unavailable</w:t>
            </w:r>
          </w:p>
        </w:tc>
        <w:tc>
          <w:tcPr>
            <w:tcW w:w="1066" w:type="dxa"/>
            <w:shd w:val="clear" w:color="auto" w:fill="D8E3CE"/>
          </w:tcPr>
          <w:p>
            <w:pPr>
              <w:pStyle w:val="TableParagraph"/>
              <w:spacing w:line="223" w:lineRule="auto" w:before="84"/>
              <w:ind w:left="79" w:right="145"/>
              <w:rPr>
                <w:sz w:val="15"/>
              </w:rPr>
            </w:pPr>
            <w:r>
              <w:rPr>
                <w:color w:val="231F20"/>
                <w:w w:val="110"/>
                <w:sz w:val="15"/>
              </w:rPr>
              <w:t>Complaints Handling Process included</w:t>
            </w:r>
          </w:p>
          <w:p>
            <w:pPr>
              <w:pStyle w:val="TableParagraph"/>
              <w:spacing w:line="223" w:lineRule="auto"/>
              <w:ind w:left="79" w:right="145"/>
              <w:rPr>
                <w:b/>
                <w:sz w:val="15"/>
              </w:rPr>
            </w:pPr>
            <w:r>
              <w:rPr>
                <w:color w:val="231F20"/>
                <w:w w:val="110"/>
                <w:sz w:val="15"/>
              </w:rPr>
              <w:t>in the new </w:t>
            </w:r>
            <w:r>
              <w:rPr>
                <w:b/>
                <w:color w:val="231F20"/>
                <w:w w:val="110"/>
                <w:sz w:val="15"/>
              </w:rPr>
              <w:t>Judicial Code of Conduct</w:t>
            </w:r>
          </w:p>
        </w:tc>
        <w:tc>
          <w:tcPr>
            <w:tcW w:w="1361" w:type="dxa"/>
            <w:shd w:val="clear" w:color="auto" w:fill="D8E3CE"/>
          </w:tcPr>
          <w:p>
            <w:pPr>
              <w:pStyle w:val="TableParagraph"/>
              <w:spacing w:line="223" w:lineRule="auto" w:before="84"/>
              <w:ind w:left="79" w:right="119"/>
              <w:rPr>
                <w:sz w:val="15"/>
              </w:rPr>
            </w:pPr>
            <w:r>
              <w:rPr>
                <w:color w:val="231F20"/>
                <w:w w:val="110"/>
                <w:sz w:val="15"/>
              </w:rPr>
              <w:t>Accountability section in the </w:t>
            </w:r>
            <w:r>
              <w:rPr>
                <w:b/>
                <w:color w:val="231F20"/>
                <w:w w:val="110"/>
                <w:sz w:val="15"/>
              </w:rPr>
              <w:t>RMI Code of Judicial Conduct </w:t>
            </w:r>
            <w:r>
              <w:rPr>
                <w:color w:val="231F20"/>
                <w:w w:val="110"/>
                <w:sz w:val="15"/>
              </w:rPr>
              <w:t>applies to all courts</w:t>
            </w:r>
          </w:p>
        </w:tc>
        <w:tc>
          <w:tcPr>
            <w:tcW w:w="1361" w:type="dxa"/>
            <w:shd w:val="clear" w:color="auto" w:fill="F2CDBE"/>
          </w:tcPr>
          <w:p>
            <w:pPr>
              <w:pStyle w:val="TableParagraph"/>
              <w:spacing w:line="177" w:lineRule="exact" w:before="75"/>
              <w:ind w:left="78"/>
              <w:rPr>
                <w:b/>
                <w:sz w:val="15"/>
              </w:rPr>
            </w:pPr>
            <w:r>
              <w:rPr>
                <w:b/>
                <w:color w:val="231F20"/>
                <w:w w:val="110"/>
                <w:sz w:val="15"/>
              </w:rPr>
              <w:t>Supreme Court</w:t>
            </w:r>
          </w:p>
          <w:p>
            <w:pPr>
              <w:pStyle w:val="TableParagraph"/>
              <w:spacing w:line="177" w:lineRule="exact"/>
              <w:ind w:left="78"/>
              <w:rPr>
                <w:sz w:val="15"/>
              </w:rPr>
            </w:pPr>
            <w:r>
              <w:rPr>
                <w:color w:val="231F20"/>
                <w:w w:val="110"/>
                <w:sz w:val="15"/>
              </w:rPr>
              <w:t>Data unavailable</w:t>
            </w:r>
          </w:p>
          <w:p>
            <w:pPr>
              <w:pStyle w:val="TableParagraph"/>
              <w:spacing w:line="177" w:lineRule="exact" w:before="43"/>
              <w:ind w:left="78"/>
              <w:rPr>
                <w:b/>
                <w:sz w:val="15"/>
              </w:rPr>
            </w:pPr>
            <w:r>
              <w:rPr>
                <w:b/>
                <w:color w:val="231F20"/>
                <w:w w:val="110"/>
                <w:sz w:val="15"/>
              </w:rPr>
              <w:t>Magistrates Court</w:t>
            </w:r>
          </w:p>
          <w:p>
            <w:pPr>
              <w:pStyle w:val="TableParagraph"/>
              <w:spacing w:line="177" w:lineRule="exact"/>
              <w:ind w:left="78"/>
              <w:rPr>
                <w:sz w:val="15"/>
              </w:rPr>
            </w:pPr>
            <w:r>
              <w:rPr>
                <w:color w:val="231F20"/>
                <w:w w:val="110"/>
                <w:sz w:val="15"/>
              </w:rPr>
              <w:t>Data unavailable</w:t>
            </w:r>
          </w:p>
        </w:tc>
        <w:tc>
          <w:tcPr>
            <w:tcW w:w="1093" w:type="dxa"/>
            <w:shd w:val="clear" w:color="auto" w:fill="F5E3B9"/>
          </w:tcPr>
          <w:p>
            <w:pPr>
              <w:pStyle w:val="TableParagraph"/>
              <w:spacing w:line="223" w:lineRule="auto" w:before="84"/>
              <w:ind w:left="78" w:right="60"/>
              <w:rPr>
                <w:sz w:val="15"/>
              </w:rPr>
            </w:pPr>
            <w:r>
              <w:rPr>
                <w:color w:val="231F20"/>
                <w:w w:val="110"/>
                <w:sz w:val="15"/>
              </w:rPr>
              <w:t>A Complaints Handling Ombudsman </w:t>
            </w:r>
            <w:r>
              <w:rPr>
                <w:color w:val="231F20"/>
                <w:spacing w:val="-3"/>
                <w:w w:val="110"/>
                <w:sz w:val="15"/>
              </w:rPr>
              <w:t>Backed </w:t>
            </w:r>
            <w:r>
              <w:rPr>
                <w:color w:val="231F20"/>
                <w:w w:val="110"/>
                <w:sz w:val="15"/>
              </w:rPr>
              <w:t>Service </w:t>
            </w:r>
            <w:r>
              <w:rPr>
                <w:color w:val="231F20"/>
                <w:spacing w:val="-3"/>
                <w:w w:val="110"/>
                <w:sz w:val="15"/>
              </w:rPr>
              <w:t>was </w:t>
            </w:r>
            <w:r>
              <w:rPr>
                <w:color w:val="231F20"/>
                <w:w w:val="110"/>
                <w:sz w:val="15"/>
              </w:rPr>
              <w:t>implemented in </w:t>
            </w:r>
            <w:r>
              <w:rPr>
                <w:color w:val="231F20"/>
                <w:spacing w:val="-3"/>
                <w:w w:val="110"/>
                <w:sz w:val="15"/>
              </w:rPr>
              <w:t>February </w:t>
            </w:r>
            <w:r>
              <w:rPr>
                <w:color w:val="231F20"/>
                <w:w w:val="110"/>
                <w:sz w:val="15"/>
              </w:rPr>
              <w:t>2010 </w:t>
            </w:r>
            <w:r>
              <w:rPr>
                <w:color w:val="231F20"/>
                <w:spacing w:val="-2"/>
                <w:w w:val="110"/>
                <w:sz w:val="15"/>
              </w:rPr>
              <w:t>and </w:t>
            </w:r>
            <w:r>
              <w:rPr>
                <w:color w:val="231F20"/>
                <w:w w:val="110"/>
                <w:sz w:val="15"/>
              </w:rPr>
              <w:t>applies to court</w:t>
            </w:r>
            <w:r>
              <w:rPr>
                <w:color w:val="231F20"/>
                <w:spacing w:val="-20"/>
                <w:w w:val="110"/>
                <w:sz w:val="15"/>
              </w:rPr>
              <w:t> </w:t>
            </w:r>
            <w:r>
              <w:rPr>
                <w:color w:val="231F20"/>
                <w:w w:val="110"/>
                <w:sz w:val="15"/>
              </w:rPr>
              <w:t>stall,</w:t>
            </w:r>
            <w:r>
              <w:rPr>
                <w:color w:val="231F20"/>
                <w:spacing w:val="-20"/>
                <w:w w:val="110"/>
                <w:sz w:val="15"/>
              </w:rPr>
              <w:t> </w:t>
            </w:r>
            <w:r>
              <w:rPr>
                <w:color w:val="231F20"/>
                <w:spacing w:val="-2"/>
                <w:w w:val="110"/>
                <w:sz w:val="15"/>
              </w:rPr>
              <w:t>but </w:t>
            </w:r>
            <w:r>
              <w:rPr>
                <w:color w:val="231F20"/>
                <w:w w:val="110"/>
                <w:sz w:val="15"/>
              </w:rPr>
              <w:t>not judicial officers</w:t>
            </w:r>
          </w:p>
        </w:tc>
        <w:tc>
          <w:tcPr>
            <w:tcW w:w="1261" w:type="dxa"/>
            <w:shd w:val="clear" w:color="auto" w:fill="D8E3CE"/>
          </w:tcPr>
          <w:p>
            <w:pPr>
              <w:pStyle w:val="TableParagraph"/>
              <w:spacing w:line="223" w:lineRule="auto" w:before="84"/>
              <w:ind w:left="77" w:right="256"/>
              <w:rPr>
                <w:sz w:val="15"/>
              </w:rPr>
            </w:pPr>
            <w:r>
              <w:rPr>
                <w:color w:val="231F20"/>
                <w:spacing w:val="-4"/>
                <w:w w:val="110"/>
                <w:sz w:val="15"/>
              </w:rPr>
              <w:t>The </w:t>
            </w:r>
            <w:r>
              <w:rPr>
                <w:color w:val="231F20"/>
                <w:w w:val="110"/>
                <w:sz w:val="15"/>
              </w:rPr>
              <w:t>Republic of </w:t>
            </w:r>
            <w:r>
              <w:rPr>
                <w:color w:val="231F20"/>
                <w:spacing w:val="-5"/>
                <w:w w:val="110"/>
                <w:sz w:val="15"/>
              </w:rPr>
              <w:t>Palau </w:t>
            </w:r>
            <w:r>
              <w:rPr>
                <w:b/>
                <w:color w:val="231F20"/>
                <w:w w:val="110"/>
                <w:sz w:val="15"/>
              </w:rPr>
              <w:t>Code of Judicial Conduct </w:t>
            </w:r>
            <w:r>
              <w:rPr>
                <w:b/>
                <w:color w:val="231F20"/>
                <w:spacing w:val="-3"/>
                <w:w w:val="110"/>
                <w:sz w:val="15"/>
              </w:rPr>
              <w:t>2011 </w:t>
            </w:r>
            <w:r>
              <w:rPr>
                <w:color w:val="231F20"/>
                <w:spacing w:val="-3"/>
                <w:w w:val="110"/>
                <w:sz w:val="15"/>
              </w:rPr>
              <w:t>was </w:t>
            </w:r>
            <w:r>
              <w:rPr>
                <w:color w:val="231F20"/>
                <w:w w:val="110"/>
                <w:sz w:val="15"/>
              </w:rPr>
              <w:t>promulgated </w:t>
            </w:r>
            <w:r>
              <w:rPr>
                <w:color w:val="231F20"/>
                <w:spacing w:val="-3"/>
                <w:w w:val="110"/>
                <w:sz w:val="15"/>
              </w:rPr>
              <w:t>by </w:t>
            </w:r>
            <w:r>
              <w:rPr>
                <w:color w:val="231F20"/>
                <w:w w:val="110"/>
                <w:sz w:val="15"/>
              </w:rPr>
              <w:t>the</w:t>
            </w:r>
            <w:r>
              <w:rPr>
                <w:color w:val="231F20"/>
                <w:spacing w:val="1"/>
                <w:w w:val="110"/>
                <w:sz w:val="15"/>
              </w:rPr>
              <w:t> </w:t>
            </w:r>
            <w:r>
              <w:rPr>
                <w:color w:val="231F20"/>
                <w:spacing w:val="-5"/>
                <w:w w:val="110"/>
                <w:sz w:val="15"/>
              </w:rPr>
              <w:t>Palau</w:t>
            </w:r>
          </w:p>
          <w:p>
            <w:pPr>
              <w:pStyle w:val="TableParagraph"/>
              <w:spacing w:line="223" w:lineRule="auto"/>
              <w:ind w:left="77"/>
              <w:rPr>
                <w:sz w:val="15"/>
              </w:rPr>
            </w:pPr>
            <w:r>
              <w:rPr>
                <w:b/>
                <w:color w:val="231F20"/>
                <w:w w:val="110"/>
                <w:sz w:val="15"/>
              </w:rPr>
              <w:t>Supreme Court </w:t>
            </w:r>
            <w:r>
              <w:rPr>
                <w:color w:val="231F20"/>
                <w:w w:val="110"/>
                <w:sz w:val="15"/>
              </w:rPr>
              <w:t>March 1, 2011, and amended March 9,</w:t>
            </w:r>
          </w:p>
          <w:p>
            <w:pPr>
              <w:pStyle w:val="TableParagraph"/>
              <w:spacing w:line="223" w:lineRule="auto"/>
              <w:ind w:left="77"/>
              <w:rPr>
                <w:sz w:val="15"/>
              </w:rPr>
            </w:pPr>
            <w:r>
              <w:rPr>
                <w:color w:val="231F20"/>
                <w:w w:val="110"/>
                <w:sz w:val="15"/>
              </w:rPr>
              <w:t>2011, and is available on the Palau Judiciary website</w:t>
            </w:r>
          </w:p>
          <w:p>
            <w:pPr>
              <w:pStyle w:val="TableParagraph"/>
              <w:spacing w:line="223" w:lineRule="auto" w:before="53"/>
              <w:ind w:left="77" w:right="126"/>
              <w:rPr>
                <w:sz w:val="15"/>
              </w:rPr>
            </w:pPr>
            <w:r>
              <w:rPr>
                <w:color w:val="231F20"/>
                <w:spacing w:val="-5"/>
                <w:w w:val="110"/>
                <w:sz w:val="15"/>
              </w:rPr>
              <w:t>Part </w:t>
            </w:r>
            <w:r>
              <w:rPr>
                <w:color w:val="231F20"/>
                <w:w w:val="110"/>
                <w:sz w:val="15"/>
              </w:rPr>
              <w:t>7 of </w:t>
            </w:r>
            <w:r>
              <w:rPr>
                <w:color w:val="231F20"/>
                <w:spacing w:val="-2"/>
                <w:w w:val="110"/>
                <w:sz w:val="15"/>
              </w:rPr>
              <w:t>the </w:t>
            </w:r>
            <w:r>
              <w:rPr>
                <w:b/>
                <w:color w:val="231F20"/>
                <w:w w:val="110"/>
                <w:sz w:val="15"/>
              </w:rPr>
              <w:t>Code </w:t>
            </w:r>
            <w:r>
              <w:rPr>
                <w:color w:val="231F20"/>
                <w:w w:val="110"/>
                <w:sz w:val="15"/>
              </w:rPr>
              <w:t>deals </w:t>
            </w:r>
            <w:r>
              <w:rPr>
                <w:color w:val="231F20"/>
                <w:w w:val="105"/>
                <w:sz w:val="15"/>
              </w:rPr>
              <w:t>with complaints </w:t>
            </w:r>
            <w:r>
              <w:rPr>
                <w:color w:val="231F20"/>
                <w:w w:val="110"/>
                <w:sz w:val="15"/>
              </w:rPr>
              <w:t>against</w:t>
            </w:r>
            <w:r>
              <w:rPr>
                <w:color w:val="231F20"/>
                <w:spacing w:val="-5"/>
                <w:w w:val="110"/>
                <w:sz w:val="15"/>
              </w:rPr>
              <w:t> </w:t>
            </w:r>
            <w:r>
              <w:rPr>
                <w:color w:val="231F20"/>
                <w:spacing w:val="-2"/>
                <w:w w:val="110"/>
                <w:sz w:val="15"/>
              </w:rPr>
              <w:t>judges</w:t>
            </w:r>
          </w:p>
        </w:tc>
      </w:tr>
      <w:tr>
        <w:trPr>
          <w:trHeight w:val="462" w:hRule="atLeast"/>
        </w:trPr>
        <w:tc>
          <w:tcPr>
            <w:tcW w:w="1124" w:type="dxa"/>
            <w:shd w:val="clear" w:color="auto" w:fill="92BAC2"/>
          </w:tcPr>
          <w:p>
            <w:pPr>
              <w:pStyle w:val="TableParagraph"/>
              <w:spacing w:line="223" w:lineRule="auto" w:before="85"/>
              <w:ind w:left="80"/>
              <w:rPr>
                <w:b/>
                <w:sz w:val="15"/>
              </w:rPr>
            </w:pPr>
            <w:r>
              <w:rPr>
                <w:b/>
                <w:color w:val="231F20"/>
                <w:w w:val="110"/>
                <w:sz w:val="15"/>
              </w:rPr>
              <w:t>Papua New Guinea</w:t>
            </w:r>
          </w:p>
        </w:tc>
        <w:tc>
          <w:tcPr>
            <w:tcW w:w="1225" w:type="dxa"/>
            <w:shd w:val="clear" w:color="auto" w:fill="92BAC2"/>
          </w:tcPr>
          <w:p>
            <w:pPr>
              <w:pStyle w:val="TableParagraph"/>
              <w:spacing w:before="75"/>
              <w:ind w:left="79"/>
              <w:rPr>
                <w:b/>
                <w:sz w:val="15"/>
              </w:rPr>
            </w:pPr>
            <w:r>
              <w:rPr>
                <w:b/>
                <w:color w:val="231F20"/>
                <w:w w:val="105"/>
                <w:sz w:val="15"/>
              </w:rPr>
              <w:t>Samoa</w:t>
            </w:r>
          </w:p>
        </w:tc>
        <w:tc>
          <w:tcPr>
            <w:tcW w:w="1066" w:type="dxa"/>
            <w:shd w:val="clear" w:color="auto" w:fill="92BAC2"/>
          </w:tcPr>
          <w:p>
            <w:pPr>
              <w:pStyle w:val="TableParagraph"/>
              <w:spacing w:line="223" w:lineRule="auto" w:before="85"/>
              <w:ind w:left="79" w:right="377"/>
              <w:rPr>
                <w:b/>
                <w:sz w:val="15"/>
              </w:rPr>
            </w:pPr>
            <w:r>
              <w:rPr>
                <w:b/>
                <w:color w:val="231F20"/>
                <w:w w:val="105"/>
                <w:sz w:val="15"/>
              </w:rPr>
              <w:t>Solomon </w:t>
            </w:r>
            <w:r>
              <w:rPr>
                <w:b/>
                <w:color w:val="231F20"/>
                <w:w w:val="110"/>
                <w:sz w:val="15"/>
              </w:rPr>
              <w:t>Islands</w:t>
            </w:r>
          </w:p>
        </w:tc>
        <w:tc>
          <w:tcPr>
            <w:tcW w:w="1361" w:type="dxa"/>
            <w:shd w:val="clear" w:color="auto" w:fill="92BAC2"/>
          </w:tcPr>
          <w:p>
            <w:pPr>
              <w:pStyle w:val="TableParagraph"/>
              <w:spacing w:before="75"/>
              <w:ind w:left="79"/>
              <w:rPr>
                <w:b/>
                <w:sz w:val="15"/>
              </w:rPr>
            </w:pPr>
            <w:r>
              <w:rPr>
                <w:b/>
                <w:color w:val="231F20"/>
                <w:w w:val="110"/>
                <w:sz w:val="15"/>
              </w:rPr>
              <w:t>Tokelau</w:t>
            </w:r>
          </w:p>
        </w:tc>
        <w:tc>
          <w:tcPr>
            <w:tcW w:w="1361" w:type="dxa"/>
            <w:shd w:val="clear" w:color="auto" w:fill="92BAC2"/>
          </w:tcPr>
          <w:p>
            <w:pPr>
              <w:pStyle w:val="TableParagraph"/>
              <w:spacing w:before="75"/>
              <w:ind w:left="78"/>
              <w:rPr>
                <w:b/>
                <w:sz w:val="15"/>
              </w:rPr>
            </w:pPr>
            <w:r>
              <w:rPr>
                <w:b/>
                <w:color w:val="231F20"/>
                <w:w w:val="110"/>
                <w:sz w:val="15"/>
              </w:rPr>
              <w:t>Tonga</w:t>
            </w:r>
          </w:p>
        </w:tc>
        <w:tc>
          <w:tcPr>
            <w:tcW w:w="1093" w:type="dxa"/>
            <w:shd w:val="clear" w:color="auto" w:fill="92BAC2"/>
          </w:tcPr>
          <w:p>
            <w:pPr>
              <w:pStyle w:val="TableParagraph"/>
              <w:spacing w:before="75"/>
              <w:ind w:left="78"/>
              <w:rPr>
                <w:b/>
                <w:sz w:val="15"/>
              </w:rPr>
            </w:pPr>
            <w:r>
              <w:rPr>
                <w:b/>
                <w:color w:val="231F20"/>
                <w:w w:val="110"/>
                <w:sz w:val="15"/>
              </w:rPr>
              <w:t>Tuvalu</w:t>
            </w:r>
          </w:p>
        </w:tc>
        <w:tc>
          <w:tcPr>
            <w:tcW w:w="1261" w:type="dxa"/>
            <w:shd w:val="clear" w:color="auto" w:fill="92BAC2"/>
          </w:tcPr>
          <w:p>
            <w:pPr>
              <w:pStyle w:val="TableParagraph"/>
              <w:spacing w:before="75"/>
              <w:ind w:left="77"/>
              <w:rPr>
                <w:b/>
                <w:sz w:val="15"/>
              </w:rPr>
            </w:pPr>
            <w:r>
              <w:rPr>
                <w:b/>
                <w:color w:val="231F20"/>
                <w:w w:val="105"/>
                <w:sz w:val="15"/>
              </w:rPr>
              <w:t>Vanuatu</w:t>
            </w:r>
          </w:p>
        </w:tc>
      </w:tr>
      <w:tr>
        <w:trPr>
          <w:trHeight w:val="1943" w:hRule="atLeast"/>
        </w:trPr>
        <w:tc>
          <w:tcPr>
            <w:tcW w:w="1124" w:type="dxa"/>
            <w:shd w:val="clear" w:color="auto" w:fill="F2CDBE"/>
          </w:tcPr>
          <w:p>
            <w:pPr>
              <w:pStyle w:val="TableParagraph"/>
              <w:spacing w:line="223" w:lineRule="auto" w:before="85"/>
              <w:ind w:left="80"/>
              <w:rPr>
                <w:b/>
                <w:sz w:val="15"/>
              </w:rPr>
            </w:pPr>
            <w:r>
              <w:rPr>
                <w:b/>
                <w:color w:val="231F20"/>
                <w:w w:val="105"/>
                <w:sz w:val="15"/>
              </w:rPr>
              <w:t>Supreme and Magistrates Court</w:t>
            </w:r>
          </w:p>
          <w:p>
            <w:pPr>
              <w:pStyle w:val="TableParagraph"/>
              <w:spacing w:line="223" w:lineRule="auto" w:before="55"/>
              <w:ind w:left="80" w:right="209"/>
              <w:rPr>
                <w:sz w:val="15"/>
              </w:rPr>
            </w:pPr>
            <w:r>
              <w:rPr>
                <w:color w:val="231F20"/>
                <w:w w:val="110"/>
                <w:sz w:val="15"/>
              </w:rPr>
              <w:t>There is not a policy for</w:t>
            </w:r>
          </w:p>
          <w:p>
            <w:pPr>
              <w:pStyle w:val="TableParagraph"/>
              <w:spacing w:line="223" w:lineRule="auto"/>
              <w:ind w:left="80" w:right="73"/>
              <w:rPr>
                <w:sz w:val="15"/>
              </w:rPr>
            </w:pPr>
            <w:r>
              <w:rPr>
                <w:color w:val="231F20"/>
                <w:w w:val="110"/>
                <w:sz w:val="15"/>
              </w:rPr>
              <w:t>receiving and processing a </w:t>
            </w:r>
            <w:r>
              <w:rPr>
                <w:color w:val="231F20"/>
                <w:w w:val="105"/>
                <w:sz w:val="15"/>
              </w:rPr>
              <w:t>complaint that </w:t>
            </w:r>
            <w:r>
              <w:rPr>
                <w:color w:val="231F20"/>
                <w:w w:val="110"/>
                <w:sz w:val="15"/>
              </w:rPr>
              <w:t>is publicly available</w:t>
            </w:r>
          </w:p>
        </w:tc>
        <w:tc>
          <w:tcPr>
            <w:tcW w:w="1225" w:type="dxa"/>
            <w:shd w:val="clear" w:color="auto" w:fill="F2CDBE"/>
          </w:tcPr>
          <w:p>
            <w:pPr>
              <w:pStyle w:val="TableParagraph"/>
              <w:spacing w:line="223" w:lineRule="auto" w:before="84"/>
              <w:ind w:left="79" w:right="82"/>
              <w:rPr>
                <w:sz w:val="15"/>
              </w:rPr>
            </w:pPr>
            <w:r>
              <w:rPr>
                <w:color w:val="231F20"/>
                <w:w w:val="110"/>
                <w:sz w:val="15"/>
              </w:rPr>
              <w:t>Data unavailable</w:t>
            </w:r>
          </w:p>
        </w:tc>
        <w:tc>
          <w:tcPr>
            <w:tcW w:w="1066" w:type="dxa"/>
            <w:shd w:val="clear" w:color="auto" w:fill="F2CDBE"/>
          </w:tcPr>
          <w:p>
            <w:pPr>
              <w:pStyle w:val="TableParagraph"/>
              <w:spacing w:line="223" w:lineRule="auto" w:before="85"/>
              <w:ind w:left="79" w:right="189"/>
              <w:rPr>
                <w:sz w:val="15"/>
              </w:rPr>
            </w:pPr>
            <w:r>
              <w:rPr>
                <w:b/>
                <w:color w:val="231F20"/>
                <w:w w:val="110"/>
                <w:sz w:val="15"/>
              </w:rPr>
              <w:t>High Court </w:t>
            </w:r>
            <w:r>
              <w:rPr>
                <w:color w:val="231F20"/>
                <w:w w:val="110"/>
                <w:sz w:val="15"/>
              </w:rPr>
              <w:t>Data unavailable</w:t>
            </w:r>
          </w:p>
        </w:tc>
        <w:tc>
          <w:tcPr>
            <w:tcW w:w="1361" w:type="dxa"/>
            <w:shd w:val="clear" w:color="auto" w:fill="F2CDBE"/>
          </w:tcPr>
          <w:p>
            <w:pPr>
              <w:pStyle w:val="TableParagraph"/>
              <w:spacing w:before="74"/>
              <w:ind w:left="79"/>
              <w:rPr>
                <w:sz w:val="15"/>
              </w:rPr>
            </w:pPr>
            <w:r>
              <w:rPr>
                <w:color w:val="231F20"/>
                <w:w w:val="110"/>
                <w:sz w:val="15"/>
              </w:rPr>
              <w:t>Data unavailable</w:t>
            </w:r>
          </w:p>
        </w:tc>
        <w:tc>
          <w:tcPr>
            <w:tcW w:w="1361" w:type="dxa"/>
            <w:shd w:val="clear" w:color="auto" w:fill="F2CDBE"/>
          </w:tcPr>
          <w:p>
            <w:pPr>
              <w:pStyle w:val="TableParagraph"/>
              <w:spacing w:line="177" w:lineRule="exact" w:before="75"/>
              <w:ind w:left="78"/>
              <w:rPr>
                <w:b/>
                <w:sz w:val="15"/>
              </w:rPr>
            </w:pPr>
            <w:r>
              <w:rPr>
                <w:b/>
                <w:color w:val="231F20"/>
                <w:w w:val="110"/>
                <w:sz w:val="15"/>
              </w:rPr>
              <w:t>Supreme Court</w:t>
            </w:r>
          </w:p>
          <w:p>
            <w:pPr>
              <w:pStyle w:val="TableParagraph"/>
              <w:spacing w:line="177" w:lineRule="exact"/>
              <w:ind w:left="78"/>
              <w:rPr>
                <w:sz w:val="15"/>
              </w:rPr>
            </w:pPr>
            <w:r>
              <w:rPr>
                <w:color w:val="231F20"/>
                <w:w w:val="110"/>
                <w:sz w:val="15"/>
              </w:rPr>
              <w:t>Data unavailable</w:t>
            </w:r>
          </w:p>
          <w:p>
            <w:pPr>
              <w:pStyle w:val="TableParagraph"/>
              <w:spacing w:line="223" w:lineRule="auto" w:before="53"/>
              <w:ind w:left="78" w:right="476"/>
              <w:rPr>
                <w:b/>
                <w:sz w:val="15"/>
              </w:rPr>
            </w:pPr>
            <w:r>
              <w:rPr>
                <w:b/>
                <w:color w:val="231F20"/>
                <w:w w:val="105"/>
                <w:sz w:val="15"/>
              </w:rPr>
              <w:t>Magistrates </w:t>
            </w:r>
            <w:r>
              <w:rPr>
                <w:b/>
                <w:color w:val="231F20"/>
                <w:w w:val="110"/>
                <w:sz w:val="15"/>
              </w:rPr>
              <w:t>Court</w:t>
            </w:r>
          </w:p>
          <w:p>
            <w:pPr>
              <w:pStyle w:val="TableParagraph"/>
              <w:spacing w:line="173" w:lineRule="exact"/>
              <w:ind w:left="78"/>
              <w:rPr>
                <w:sz w:val="15"/>
              </w:rPr>
            </w:pPr>
            <w:r>
              <w:rPr>
                <w:color w:val="231F20"/>
                <w:w w:val="110"/>
                <w:sz w:val="15"/>
              </w:rPr>
              <w:t>Data unavailable</w:t>
            </w:r>
          </w:p>
        </w:tc>
        <w:tc>
          <w:tcPr>
            <w:tcW w:w="1093" w:type="dxa"/>
            <w:shd w:val="clear" w:color="auto" w:fill="F2CDBE"/>
          </w:tcPr>
          <w:p>
            <w:pPr>
              <w:pStyle w:val="TableParagraph"/>
              <w:spacing w:line="223" w:lineRule="auto" w:before="84"/>
              <w:ind w:left="78" w:right="266"/>
              <w:rPr>
                <w:sz w:val="15"/>
              </w:rPr>
            </w:pPr>
            <w:r>
              <w:rPr>
                <w:color w:val="231F20"/>
                <w:spacing w:val="-4"/>
                <w:w w:val="110"/>
                <w:sz w:val="15"/>
              </w:rPr>
              <w:t>The </w:t>
            </w:r>
            <w:r>
              <w:rPr>
                <w:color w:val="231F20"/>
                <w:w w:val="110"/>
                <w:sz w:val="15"/>
              </w:rPr>
              <w:t>court does </w:t>
            </w:r>
            <w:r>
              <w:rPr>
                <w:color w:val="231F20"/>
                <w:spacing w:val="-2"/>
                <w:w w:val="110"/>
                <w:sz w:val="15"/>
              </w:rPr>
              <w:t>not </w:t>
            </w:r>
            <w:r>
              <w:rPr>
                <w:color w:val="231F20"/>
                <w:spacing w:val="-4"/>
                <w:w w:val="110"/>
                <w:sz w:val="15"/>
              </w:rPr>
              <w:t>have </w:t>
            </w:r>
            <w:r>
              <w:rPr>
                <w:color w:val="231F20"/>
                <w:spacing w:val="-3"/>
                <w:w w:val="110"/>
                <w:sz w:val="15"/>
              </w:rPr>
              <w:t>such </w:t>
            </w:r>
            <w:r>
              <w:rPr>
                <w:color w:val="231F20"/>
                <w:w w:val="110"/>
                <w:sz w:val="15"/>
              </w:rPr>
              <w:t>a </w:t>
            </w:r>
            <w:r>
              <w:rPr>
                <w:color w:val="231F20"/>
                <w:spacing w:val="-3"/>
                <w:w w:val="110"/>
                <w:sz w:val="15"/>
              </w:rPr>
              <w:t>policy</w:t>
            </w:r>
            <w:r>
              <w:rPr>
                <w:color w:val="231F20"/>
                <w:spacing w:val="12"/>
                <w:w w:val="110"/>
                <w:sz w:val="15"/>
              </w:rPr>
              <w:t> </w:t>
            </w:r>
            <w:r>
              <w:rPr>
                <w:color w:val="231F20"/>
                <w:spacing w:val="-2"/>
                <w:w w:val="110"/>
                <w:sz w:val="15"/>
              </w:rPr>
              <w:t>for</w:t>
            </w:r>
          </w:p>
          <w:p>
            <w:pPr>
              <w:pStyle w:val="TableParagraph"/>
              <w:spacing w:line="223" w:lineRule="auto"/>
              <w:ind w:left="78"/>
              <w:rPr>
                <w:sz w:val="15"/>
              </w:rPr>
            </w:pPr>
            <w:r>
              <w:rPr>
                <w:color w:val="231F20"/>
                <w:w w:val="110"/>
                <w:sz w:val="15"/>
              </w:rPr>
              <w:t>receiving and processing complaints</w:t>
            </w:r>
          </w:p>
        </w:tc>
        <w:tc>
          <w:tcPr>
            <w:tcW w:w="1261" w:type="dxa"/>
            <w:shd w:val="clear" w:color="auto" w:fill="F2CDBE"/>
          </w:tcPr>
          <w:p>
            <w:pPr>
              <w:pStyle w:val="TableParagraph"/>
              <w:spacing w:line="223" w:lineRule="auto" w:before="85"/>
              <w:ind w:left="77"/>
              <w:rPr>
                <w:sz w:val="15"/>
              </w:rPr>
            </w:pPr>
            <w:r>
              <w:rPr>
                <w:b/>
                <w:color w:val="231F20"/>
                <w:w w:val="110"/>
                <w:sz w:val="15"/>
              </w:rPr>
              <w:t>Supreme Court </w:t>
            </w:r>
            <w:r>
              <w:rPr>
                <w:color w:val="231F20"/>
                <w:w w:val="110"/>
                <w:sz w:val="15"/>
              </w:rPr>
              <w:t>No document exists</w:t>
            </w:r>
          </w:p>
          <w:p>
            <w:pPr>
              <w:pStyle w:val="TableParagraph"/>
              <w:spacing w:line="177" w:lineRule="exact" w:before="45"/>
              <w:ind w:left="77"/>
              <w:rPr>
                <w:b/>
                <w:sz w:val="15"/>
              </w:rPr>
            </w:pPr>
            <w:r>
              <w:rPr>
                <w:b/>
                <w:color w:val="231F20"/>
                <w:w w:val="110"/>
                <w:sz w:val="15"/>
              </w:rPr>
              <w:t>Appeal Court</w:t>
            </w:r>
          </w:p>
          <w:p>
            <w:pPr>
              <w:pStyle w:val="TableParagraph"/>
              <w:spacing w:line="177" w:lineRule="exact"/>
              <w:ind w:left="77"/>
              <w:rPr>
                <w:sz w:val="15"/>
              </w:rPr>
            </w:pPr>
            <w:r>
              <w:rPr>
                <w:color w:val="231F20"/>
                <w:w w:val="110"/>
                <w:sz w:val="15"/>
              </w:rPr>
              <w:t>Data unavailable</w:t>
            </w:r>
          </w:p>
          <w:p>
            <w:pPr>
              <w:pStyle w:val="TableParagraph"/>
              <w:spacing w:line="177" w:lineRule="exact" w:before="44"/>
              <w:ind w:left="77"/>
              <w:rPr>
                <w:b/>
                <w:sz w:val="15"/>
              </w:rPr>
            </w:pPr>
            <w:r>
              <w:rPr>
                <w:b/>
                <w:color w:val="231F20"/>
                <w:w w:val="110"/>
                <w:sz w:val="15"/>
              </w:rPr>
              <w:t>Island Court</w:t>
            </w:r>
          </w:p>
          <w:p>
            <w:pPr>
              <w:pStyle w:val="TableParagraph"/>
              <w:spacing w:line="177" w:lineRule="exact"/>
              <w:ind w:left="77"/>
              <w:rPr>
                <w:sz w:val="15"/>
              </w:rPr>
            </w:pPr>
            <w:r>
              <w:rPr>
                <w:color w:val="231F20"/>
                <w:w w:val="110"/>
                <w:sz w:val="15"/>
              </w:rPr>
              <w:t>Data unavailable</w:t>
            </w:r>
          </w:p>
        </w:tc>
      </w:tr>
    </w:tbl>
    <w:p>
      <w:pPr>
        <w:spacing w:after="0" w:line="177" w:lineRule="exact"/>
        <w:rPr>
          <w:sz w:val="15"/>
        </w:rPr>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88200"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37</w:t>
      </w:r>
    </w:p>
    <w:p>
      <w:pPr>
        <w:pStyle w:val="BodyText"/>
        <w:spacing w:before="7"/>
        <w:rPr>
          <w:sz w:val="82"/>
        </w:rPr>
      </w:pPr>
    </w:p>
    <w:p>
      <w:pPr>
        <w:pStyle w:val="BodyText"/>
        <w:spacing w:line="252" w:lineRule="auto"/>
        <w:ind w:left="1700" w:right="1917"/>
      </w:pPr>
      <w:r>
        <w:rPr>
          <w:color w:val="231F20"/>
          <w:w w:val="105"/>
        </w:rPr>
        <w:t>Documented process for receiving and processing a complaint that is publicly available – Year 7 Trend Data</w:t>
      </w:r>
    </w:p>
    <w:p>
      <w:pPr>
        <w:pStyle w:val="BodyText"/>
        <w:spacing w:before="7"/>
        <w:rPr>
          <w:sz w:val="5"/>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225"/>
        <w:gridCol w:w="1173"/>
        <w:gridCol w:w="1361"/>
        <w:gridCol w:w="1173"/>
        <w:gridCol w:w="1092"/>
        <w:gridCol w:w="1347"/>
      </w:tblGrid>
      <w:tr>
        <w:trPr>
          <w:trHeight w:val="632" w:hRule="atLeast"/>
        </w:trPr>
        <w:tc>
          <w:tcPr>
            <w:tcW w:w="1124" w:type="dxa"/>
            <w:shd w:val="clear" w:color="auto" w:fill="92BAC2"/>
          </w:tcPr>
          <w:p>
            <w:pPr>
              <w:pStyle w:val="TableParagraph"/>
              <w:spacing w:before="75"/>
              <w:ind w:left="80"/>
              <w:rPr>
                <w:b/>
                <w:sz w:val="15"/>
              </w:rPr>
            </w:pPr>
            <w:r>
              <w:rPr>
                <w:b/>
                <w:color w:val="231F20"/>
                <w:w w:val="110"/>
                <w:sz w:val="15"/>
              </w:rPr>
              <w:t>Cook Islands</w:t>
            </w:r>
          </w:p>
        </w:tc>
        <w:tc>
          <w:tcPr>
            <w:tcW w:w="1225" w:type="dxa"/>
            <w:shd w:val="clear" w:color="auto" w:fill="92BAC2"/>
          </w:tcPr>
          <w:p>
            <w:pPr>
              <w:pStyle w:val="TableParagraph"/>
              <w:spacing w:line="223" w:lineRule="auto" w:before="85"/>
              <w:ind w:left="79" w:right="390"/>
              <w:rPr>
                <w:b/>
                <w:sz w:val="15"/>
              </w:rPr>
            </w:pPr>
            <w:r>
              <w:rPr>
                <w:b/>
                <w:color w:val="231F20"/>
                <w:w w:val="105"/>
                <w:sz w:val="15"/>
              </w:rPr>
              <w:t>Federated States of Micronesia</w:t>
            </w:r>
          </w:p>
        </w:tc>
        <w:tc>
          <w:tcPr>
            <w:tcW w:w="1173" w:type="dxa"/>
            <w:shd w:val="clear" w:color="auto" w:fill="92BAC2"/>
          </w:tcPr>
          <w:p>
            <w:pPr>
              <w:pStyle w:val="TableParagraph"/>
              <w:spacing w:before="75"/>
              <w:ind w:left="79"/>
              <w:rPr>
                <w:b/>
                <w:sz w:val="15"/>
              </w:rPr>
            </w:pPr>
            <w:r>
              <w:rPr>
                <w:b/>
                <w:color w:val="231F20"/>
                <w:w w:val="110"/>
                <w:sz w:val="15"/>
              </w:rPr>
              <w:t>Kiribati Islands</w:t>
            </w:r>
          </w:p>
        </w:tc>
        <w:tc>
          <w:tcPr>
            <w:tcW w:w="1361" w:type="dxa"/>
            <w:shd w:val="clear" w:color="auto" w:fill="92BAC2"/>
          </w:tcPr>
          <w:p>
            <w:pPr>
              <w:pStyle w:val="TableParagraph"/>
              <w:spacing w:before="75"/>
              <w:ind w:left="79"/>
              <w:rPr>
                <w:b/>
                <w:sz w:val="15"/>
              </w:rPr>
            </w:pPr>
            <w:r>
              <w:rPr>
                <w:b/>
                <w:color w:val="231F20"/>
                <w:w w:val="105"/>
                <w:sz w:val="15"/>
              </w:rPr>
              <w:t>Marshall Islands</w:t>
            </w:r>
          </w:p>
        </w:tc>
        <w:tc>
          <w:tcPr>
            <w:tcW w:w="1173" w:type="dxa"/>
            <w:shd w:val="clear" w:color="auto" w:fill="92BAC2"/>
          </w:tcPr>
          <w:p>
            <w:pPr>
              <w:pStyle w:val="TableParagraph"/>
              <w:spacing w:before="75"/>
              <w:ind w:left="78"/>
              <w:rPr>
                <w:b/>
                <w:sz w:val="15"/>
              </w:rPr>
            </w:pPr>
            <w:r>
              <w:rPr>
                <w:b/>
                <w:color w:val="231F20"/>
                <w:w w:val="110"/>
                <w:sz w:val="15"/>
              </w:rPr>
              <w:t>Nauru</w:t>
            </w:r>
          </w:p>
        </w:tc>
        <w:tc>
          <w:tcPr>
            <w:tcW w:w="1092" w:type="dxa"/>
            <w:shd w:val="clear" w:color="auto" w:fill="92BAC2"/>
          </w:tcPr>
          <w:p>
            <w:pPr>
              <w:pStyle w:val="TableParagraph"/>
              <w:spacing w:before="75"/>
              <w:ind w:left="78"/>
              <w:rPr>
                <w:b/>
                <w:sz w:val="15"/>
              </w:rPr>
            </w:pPr>
            <w:r>
              <w:rPr>
                <w:b/>
                <w:color w:val="231F20"/>
                <w:w w:val="110"/>
                <w:sz w:val="15"/>
              </w:rPr>
              <w:t>Niue</w:t>
            </w:r>
          </w:p>
        </w:tc>
        <w:tc>
          <w:tcPr>
            <w:tcW w:w="1347" w:type="dxa"/>
            <w:shd w:val="clear" w:color="auto" w:fill="92BAC2"/>
          </w:tcPr>
          <w:p>
            <w:pPr>
              <w:pStyle w:val="TableParagraph"/>
              <w:spacing w:before="75"/>
              <w:ind w:left="79"/>
              <w:rPr>
                <w:b/>
                <w:sz w:val="15"/>
              </w:rPr>
            </w:pPr>
            <w:r>
              <w:rPr>
                <w:b/>
                <w:color w:val="231F20"/>
                <w:w w:val="105"/>
                <w:sz w:val="15"/>
              </w:rPr>
              <w:t>Palau</w:t>
            </w:r>
          </w:p>
        </w:tc>
      </w:tr>
      <w:tr>
        <w:trPr>
          <w:trHeight w:val="4287" w:hRule="atLeast"/>
        </w:trPr>
        <w:tc>
          <w:tcPr>
            <w:tcW w:w="1124" w:type="dxa"/>
            <w:shd w:val="clear" w:color="auto" w:fill="D8E3CE"/>
          </w:tcPr>
          <w:p>
            <w:pPr>
              <w:pStyle w:val="TableParagraph"/>
              <w:spacing w:line="223" w:lineRule="auto" w:before="84"/>
              <w:ind w:left="80" w:right="190"/>
              <w:rPr>
                <w:sz w:val="15"/>
              </w:rPr>
            </w:pPr>
            <w:r>
              <w:rPr>
                <w:color w:val="231F20"/>
                <w:w w:val="110"/>
                <w:sz w:val="15"/>
              </w:rPr>
              <w:t>The existing </w:t>
            </w:r>
            <w:r>
              <w:rPr>
                <w:color w:val="231F20"/>
                <w:w w:val="105"/>
                <w:sz w:val="15"/>
              </w:rPr>
              <w:t>procedures </w:t>
            </w:r>
            <w:r>
              <w:rPr>
                <w:color w:val="231F20"/>
                <w:w w:val="110"/>
                <w:sz w:val="15"/>
              </w:rPr>
              <w:t>of the Court to address complaints</w:t>
            </w:r>
          </w:p>
          <w:p>
            <w:pPr>
              <w:pStyle w:val="TableParagraph"/>
              <w:spacing w:line="223" w:lineRule="auto"/>
              <w:ind w:left="80" w:right="117"/>
              <w:rPr>
                <w:sz w:val="15"/>
              </w:rPr>
            </w:pPr>
            <w:r>
              <w:rPr>
                <w:color w:val="231F20"/>
                <w:w w:val="105"/>
                <w:sz w:val="15"/>
              </w:rPr>
              <w:t>against </w:t>
            </w:r>
            <w:r>
              <w:rPr>
                <w:color w:val="231F20"/>
                <w:spacing w:val="-3"/>
                <w:w w:val="105"/>
                <w:sz w:val="15"/>
              </w:rPr>
              <w:t>Judges </w:t>
            </w:r>
            <w:r>
              <w:rPr>
                <w:color w:val="231F20"/>
                <w:w w:val="105"/>
                <w:sz w:val="15"/>
              </w:rPr>
              <w:t>and  </w:t>
            </w:r>
            <w:r>
              <w:rPr>
                <w:color w:val="231F20"/>
                <w:spacing w:val="-3"/>
                <w:w w:val="105"/>
                <w:sz w:val="15"/>
              </w:rPr>
              <w:t>Justices </w:t>
            </w:r>
            <w:r>
              <w:rPr>
                <w:color w:val="231F20"/>
                <w:w w:val="105"/>
                <w:sz w:val="15"/>
              </w:rPr>
              <w:t>of the </w:t>
            </w:r>
            <w:r>
              <w:rPr>
                <w:color w:val="231F20"/>
                <w:spacing w:val="-4"/>
                <w:w w:val="105"/>
                <w:sz w:val="15"/>
              </w:rPr>
              <w:t>Peace have </w:t>
            </w:r>
            <w:r>
              <w:rPr>
                <w:color w:val="231F20"/>
                <w:w w:val="105"/>
                <w:sz w:val="15"/>
              </w:rPr>
              <w:t>been reduced to writing</w:t>
            </w:r>
            <w:r>
              <w:rPr>
                <w:color w:val="231F20"/>
                <w:spacing w:val="5"/>
                <w:w w:val="105"/>
                <w:sz w:val="15"/>
              </w:rPr>
              <w:t> </w:t>
            </w:r>
            <w:r>
              <w:rPr>
                <w:color w:val="231F20"/>
                <w:w w:val="105"/>
                <w:sz w:val="15"/>
              </w:rPr>
              <w:t>in</w:t>
            </w:r>
          </w:p>
          <w:p>
            <w:pPr>
              <w:pStyle w:val="TableParagraph"/>
              <w:spacing w:line="165" w:lineRule="exact"/>
              <w:ind w:left="80"/>
              <w:rPr>
                <w:sz w:val="15"/>
              </w:rPr>
            </w:pPr>
            <w:r>
              <w:rPr>
                <w:color w:val="231F20"/>
                <w:w w:val="110"/>
                <w:sz w:val="15"/>
              </w:rPr>
              <w:t>the 2011-</w:t>
            </w:r>
          </w:p>
          <w:p>
            <w:pPr>
              <w:pStyle w:val="TableParagraph"/>
              <w:spacing w:line="223" w:lineRule="auto" w:before="2"/>
              <w:ind w:left="80" w:right="169"/>
              <w:rPr>
                <w:sz w:val="15"/>
              </w:rPr>
            </w:pPr>
            <w:r>
              <w:rPr>
                <w:color w:val="231F20"/>
                <w:w w:val="110"/>
                <w:sz w:val="15"/>
              </w:rPr>
              <w:t>2012 Annual Report.</w:t>
            </w:r>
          </w:p>
        </w:tc>
        <w:tc>
          <w:tcPr>
            <w:tcW w:w="1225" w:type="dxa"/>
            <w:shd w:val="clear" w:color="auto" w:fill="D8E3CE"/>
          </w:tcPr>
          <w:p>
            <w:pPr>
              <w:pStyle w:val="TableParagraph"/>
              <w:spacing w:line="223" w:lineRule="auto" w:before="84"/>
              <w:ind w:left="79" w:right="189"/>
              <w:rPr>
                <w:sz w:val="15"/>
              </w:rPr>
            </w:pPr>
            <w:r>
              <w:rPr>
                <w:color w:val="231F20"/>
                <w:w w:val="105"/>
                <w:sz w:val="15"/>
              </w:rPr>
              <w:t>The Annual Report mentioned that two General Court Orders were</w:t>
            </w:r>
          </w:p>
          <w:p>
            <w:pPr>
              <w:pStyle w:val="TableParagraph"/>
              <w:spacing w:line="223" w:lineRule="auto"/>
              <w:ind w:left="79" w:right="132"/>
              <w:rPr>
                <w:sz w:val="15"/>
              </w:rPr>
            </w:pPr>
            <w:r>
              <w:rPr>
                <w:color w:val="231F20"/>
                <w:w w:val="105"/>
                <w:sz w:val="15"/>
              </w:rPr>
              <w:t>promulgated in </w:t>
            </w:r>
            <w:r>
              <w:rPr>
                <w:color w:val="231F20"/>
                <w:w w:val="110"/>
                <w:sz w:val="15"/>
              </w:rPr>
              <w:t>2017 on:</w:t>
            </w:r>
          </w:p>
          <w:p>
            <w:pPr>
              <w:pStyle w:val="TableParagraph"/>
              <w:numPr>
                <w:ilvl w:val="0"/>
                <w:numId w:val="3"/>
              </w:numPr>
              <w:tabs>
                <w:tab w:pos="214" w:val="left" w:leader="none"/>
              </w:tabs>
              <w:spacing w:line="223" w:lineRule="auto" w:before="26" w:after="0"/>
              <w:ind w:left="249" w:right="310" w:hanging="170"/>
              <w:jc w:val="left"/>
              <w:rPr>
                <w:sz w:val="15"/>
              </w:rPr>
            </w:pPr>
            <w:r>
              <w:rPr>
                <w:color w:val="231F20"/>
                <w:w w:val="110"/>
                <w:sz w:val="15"/>
              </w:rPr>
              <w:t>the Code of</w:t>
            </w:r>
            <w:r>
              <w:rPr>
                <w:color w:val="231F20"/>
                <w:spacing w:val="6"/>
                <w:w w:val="110"/>
                <w:sz w:val="15"/>
              </w:rPr>
              <w:t> </w:t>
            </w:r>
            <w:r>
              <w:rPr>
                <w:color w:val="231F20"/>
                <w:spacing w:val="-3"/>
                <w:w w:val="110"/>
                <w:sz w:val="15"/>
              </w:rPr>
              <w:t>Judicial</w:t>
            </w:r>
          </w:p>
          <w:p>
            <w:pPr>
              <w:pStyle w:val="TableParagraph"/>
              <w:spacing w:line="223" w:lineRule="auto"/>
              <w:ind w:left="249" w:right="82"/>
              <w:rPr>
                <w:sz w:val="15"/>
              </w:rPr>
            </w:pPr>
            <w:r>
              <w:rPr>
                <w:color w:val="231F20"/>
                <w:w w:val="105"/>
                <w:sz w:val="15"/>
              </w:rPr>
              <w:t>Conduct for the Supreme Court of the Federated States of Micronesia.</w:t>
            </w:r>
          </w:p>
          <w:p>
            <w:pPr>
              <w:pStyle w:val="TableParagraph"/>
              <w:numPr>
                <w:ilvl w:val="0"/>
                <w:numId w:val="3"/>
              </w:numPr>
              <w:tabs>
                <w:tab w:pos="214" w:val="left" w:leader="none"/>
              </w:tabs>
              <w:spacing w:line="223" w:lineRule="auto" w:before="55" w:after="0"/>
              <w:ind w:left="249" w:right="99" w:hanging="170"/>
              <w:jc w:val="left"/>
              <w:rPr>
                <w:sz w:val="15"/>
              </w:rPr>
            </w:pPr>
            <w:r>
              <w:rPr>
                <w:color w:val="231F20"/>
                <w:w w:val="105"/>
                <w:sz w:val="15"/>
              </w:rPr>
              <w:t>Code of Ethics for </w:t>
            </w:r>
            <w:r>
              <w:rPr>
                <w:color w:val="231F20"/>
                <w:spacing w:val="-2"/>
                <w:w w:val="105"/>
                <w:sz w:val="15"/>
              </w:rPr>
              <w:t>the </w:t>
            </w:r>
            <w:r>
              <w:rPr>
                <w:color w:val="231F20"/>
                <w:spacing w:val="-3"/>
                <w:w w:val="105"/>
                <w:sz w:val="15"/>
              </w:rPr>
              <w:t>Employees </w:t>
            </w:r>
            <w:r>
              <w:rPr>
                <w:color w:val="231F20"/>
                <w:w w:val="105"/>
                <w:sz w:val="15"/>
              </w:rPr>
              <w:t>of the Supreme Court of </w:t>
            </w:r>
            <w:r>
              <w:rPr>
                <w:color w:val="231F20"/>
                <w:spacing w:val="-2"/>
                <w:w w:val="105"/>
                <w:sz w:val="15"/>
              </w:rPr>
              <w:t>the </w:t>
            </w:r>
            <w:r>
              <w:rPr>
                <w:color w:val="231F20"/>
                <w:spacing w:val="-3"/>
                <w:w w:val="105"/>
                <w:sz w:val="15"/>
              </w:rPr>
              <w:t>Federated </w:t>
            </w:r>
            <w:r>
              <w:rPr>
                <w:color w:val="231F20"/>
                <w:w w:val="105"/>
                <w:sz w:val="15"/>
              </w:rPr>
              <w:t>States of Micronesia.</w:t>
            </w:r>
          </w:p>
        </w:tc>
        <w:tc>
          <w:tcPr>
            <w:tcW w:w="1173" w:type="dxa"/>
            <w:shd w:val="clear" w:color="auto" w:fill="D8E3CE"/>
          </w:tcPr>
          <w:p>
            <w:pPr>
              <w:pStyle w:val="TableParagraph"/>
              <w:spacing w:line="223" w:lineRule="auto" w:before="84"/>
              <w:ind w:left="79" w:right="22"/>
              <w:rPr>
                <w:b/>
                <w:sz w:val="15"/>
              </w:rPr>
            </w:pPr>
            <w:r>
              <w:rPr>
                <w:color w:val="231F20"/>
                <w:w w:val="110"/>
                <w:sz w:val="15"/>
              </w:rPr>
              <w:t>Complaints Handling Process included in the new </w:t>
            </w:r>
            <w:r>
              <w:rPr>
                <w:b/>
                <w:color w:val="231F20"/>
                <w:w w:val="110"/>
                <w:sz w:val="15"/>
              </w:rPr>
              <w:t>Judicial Code of Conduct</w:t>
            </w:r>
          </w:p>
        </w:tc>
        <w:tc>
          <w:tcPr>
            <w:tcW w:w="1361" w:type="dxa"/>
            <w:shd w:val="clear" w:color="auto" w:fill="D8E3CE"/>
          </w:tcPr>
          <w:p>
            <w:pPr>
              <w:pStyle w:val="TableParagraph"/>
              <w:spacing w:line="223" w:lineRule="auto" w:before="84"/>
              <w:ind w:left="79" w:right="99"/>
              <w:rPr>
                <w:b/>
                <w:sz w:val="15"/>
              </w:rPr>
            </w:pPr>
            <w:r>
              <w:rPr>
                <w:color w:val="231F20"/>
                <w:w w:val="110"/>
                <w:sz w:val="15"/>
              </w:rPr>
              <w:t>Complaints handling process included in the accountability section of the </w:t>
            </w:r>
            <w:r>
              <w:rPr>
                <w:b/>
                <w:color w:val="231F20"/>
                <w:w w:val="110"/>
                <w:sz w:val="15"/>
              </w:rPr>
              <w:t>RMI Code of Judicial Conduct</w:t>
            </w:r>
          </w:p>
        </w:tc>
        <w:tc>
          <w:tcPr>
            <w:tcW w:w="1173" w:type="dxa"/>
            <w:shd w:val="clear" w:color="auto" w:fill="F2CDBE"/>
          </w:tcPr>
          <w:p>
            <w:pPr>
              <w:pStyle w:val="TableParagraph"/>
              <w:spacing w:line="223" w:lineRule="auto" w:before="84"/>
              <w:ind w:left="78" w:right="22"/>
              <w:rPr>
                <w:sz w:val="15"/>
              </w:rPr>
            </w:pPr>
            <w:r>
              <w:rPr>
                <w:color w:val="231F20"/>
                <w:w w:val="110"/>
                <w:sz w:val="15"/>
              </w:rPr>
              <w:t>Data unavailable</w:t>
            </w:r>
          </w:p>
        </w:tc>
        <w:tc>
          <w:tcPr>
            <w:tcW w:w="1092" w:type="dxa"/>
            <w:shd w:val="clear" w:color="auto" w:fill="F2CDBE"/>
          </w:tcPr>
          <w:p>
            <w:pPr>
              <w:pStyle w:val="TableParagraph"/>
              <w:spacing w:line="223" w:lineRule="auto" w:before="84"/>
              <w:ind w:left="78"/>
              <w:rPr>
                <w:sz w:val="15"/>
              </w:rPr>
            </w:pPr>
            <w:r>
              <w:rPr>
                <w:color w:val="231F20"/>
                <w:w w:val="110"/>
                <w:sz w:val="15"/>
              </w:rPr>
              <w:t>There is no complaint handling process</w:t>
            </w:r>
          </w:p>
          <w:p>
            <w:pPr>
              <w:pStyle w:val="TableParagraph"/>
              <w:spacing w:line="223" w:lineRule="auto"/>
              <w:ind w:left="78"/>
              <w:rPr>
                <w:sz w:val="15"/>
              </w:rPr>
            </w:pPr>
            <w:r>
              <w:rPr>
                <w:color w:val="231F20"/>
                <w:w w:val="110"/>
                <w:sz w:val="15"/>
              </w:rPr>
              <w:t>for Judicial Officers.</w:t>
            </w:r>
          </w:p>
          <w:p>
            <w:pPr>
              <w:pStyle w:val="TableParagraph"/>
              <w:spacing w:line="223" w:lineRule="auto" w:before="55"/>
              <w:ind w:left="78" w:right="138"/>
              <w:rPr>
                <w:sz w:val="15"/>
              </w:rPr>
            </w:pPr>
            <w:r>
              <w:rPr>
                <w:color w:val="231F20"/>
                <w:w w:val="110"/>
                <w:sz w:val="15"/>
              </w:rPr>
              <w:t>There is a complaint handling process that is applied to the public servants working in the Niue </w:t>
            </w:r>
            <w:r>
              <w:rPr>
                <w:b/>
                <w:color w:val="231F20"/>
                <w:w w:val="110"/>
                <w:sz w:val="15"/>
              </w:rPr>
              <w:t>High Court</w:t>
            </w:r>
            <w:r>
              <w:rPr>
                <w:color w:val="231F20"/>
                <w:w w:val="110"/>
                <w:sz w:val="15"/>
              </w:rPr>
              <w:t>.</w:t>
            </w:r>
          </w:p>
        </w:tc>
        <w:tc>
          <w:tcPr>
            <w:tcW w:w="1347" w:type="dxa"/>
            <w:shd w:val="clear" w:color="auto" w:fill="D8E3CE"/>
          </w:tcPr>
          <w:p>
            <w:pPr>
              <w:pStyle w:val="TableParagraph"/>
              <w:spacing w:line="223" w:lineRule="auto" w:before="84"/>
              <w:ind w:left="79" w:right="184"/>
              <w:rPr>
                <w:sz w:val="15"/>
              </w:rPr>
            </w:pPr>
            <w:r>
              <w:rPr>
                <w:color w:val="231F20"/>
                <w:w w:val="110"/>
                <w:sz w:val="15"/>
              </w:rPr>
              <w:t>Part 7 of the </w:t>
            </w:r>
            <w:r>
              <w:rPr>
                <w:b/>
                <w:color w:val="231F20"/>
                <w:w w:val="110"/>
                <w:sz w:val="15"/>
              </w:rPr>
              <w:t>Republic of Palau Judicial Code of Conduct </w:t>
            </w:r>
            <w:r>
              <w:rPr>
                <w:color w:val="231F20"/>
                <w:w w:val="110"/>
                <w:sz w:val="15"/>
              </w:rPr>
              <w:t>deals </w:t>
            </w:r>
            <w:r>
              <w:rPr>
                <w:color w:val="231F20"/>
                <w:w w:val="105"/>
                <w:sz w:val="15"/>
              </w:rPr>
              <w:t>with complaints </w:t>
            </w:r>
            <w:r>
              <w:rPr>
                <w:color w:val="231F20"/>
                <w:w w:val="110"/>
                <w:sz w:val="15"/>
              </w:rPr>
              <w:t>against judges</w:t>
            </w:r>
          </w:p>
        </w:tc>
      </w:tr>
      <w:tr>
        <w:trPr>
          <w:trHeight w:val="462" w:hRule="atLeast"/>
        </w:trPr>
        <w:tc>
          <w:tcPr>
            <w:tcW w:w="1124" w:type="dxa"/>
            <w:shd w:val="clear" w:color="auto" w:fill="92BAC2"/>
          </w:tcPr>
          <w:p>
            <w:pPr>
              <w:pStyle w:val="TableParagraph"/>
              <w:spacing w:line="223" w:lineRule="auto" w:before="85"/>
              <w:ind w:left="80"/>
              <w:rPr>
                <w:b/>
                <w:sz w:val="15"/>
              </w:rPr>
            </w:pPr>
            <w:r>
              <w:rPr>
                <w:b/>
                <w:color w:val="231F20"/>
                <w:w w:val="110"/>
                <w:sz w:val="15"/>
              </w:rPr>
              <w:t>Papua New Guinea</w:t>
            </w:r>
          </w:p>
        </w:tc>
        <w:tc>
          <w:tcPr>
            <w:tcW w:w="1225" w:type="dxa"/>
            <w:shd w:val="clear" w:color="auto" w:fill="92BAC2"/>
          </w:tcPr>
          <w:p>
            <w:pPr>
              <w:pStyle w:val="TableParagraph"/>
              <w:spacing w:before="75"/>
              <w:ind w:left="79"/>
              <w:rPr>
                <w:b/>
                <w:sz w:val="15"/>
              </w:rPr>
            </w:pPr>
            <w:r>
              <w:rPr>
                <w:b/>
                <w:color w:val="231F20"/>
                <w:w w:val="105"/>
                <w:sz w:val="15"/>
              </w:rPr>
              <w:t>Samoa</w:t>
            </w:r>
          </w:p>
        </w:tc>
        <w:tc>
          <w:tcPr>
            <w:tcW w:w="1173" w:type="dxa"/>
            <w:shd w:val="clear" w:color="auto" w:fill="92BAC2"/>
          </w:tcPr>
          <w:p>
            <w:pPr>
              <w:pStyle w:val="TableParagraph"/>
              <w:spacing w:line="223" w:lineRule="auto" w:before="85"/>
              <w:ind w:left="79" w:right="484"/>
              <w:rPr>
                <w:b/>
                <w:sz w:val="15"/>
              </w:rPr>
            </w:pPr>
            <w:r>
              <w:rPr>
                <w:b/>
                <w:color w:val="231F20"/>
                <w:w w:val="105"/>
                <w:sz w:val="15"/>
              </w:rPr>
              <w:t>Solomon </w:t>
            </w:r>
            <w:r>
              <w:rPr>
                <w:b/>
                <w:color w:val="231F20"/>
                <w:w w:val="110"/>
                <w:sz w:val="15"/>
              </w:rPr>
              <w:t>Islands</w:t>
            </w:r>
          </w:p>
        </w:tc>
        <w:tc>
          <w:tcPr>
            <w:tcW w:w="1361" w:type="dxa"/>
            <w:shd w:val="clear" w:color="auto" w:fill="92BAC2"/>
          </w:tcPr>
          <w:p>
            <w:pPr>
              <w:pStyle w:val="TableParagraph"/>
              <w:spacing w:before="75"/>
              <w:ind w:left="79"/>
              <w:rPr>
                <w:b/>
                <w:sz w:val="15"/>
              </w:rPr>
            </w:pPr>
            <w:r>
              <w:rPr>
                <w:b/>
                <w:color w:val="231F20"/>
                <w:w w:val="110"/>
                <w:sz w:val="15"/>
              </w:rPr>
              <w:t>Tokelau</w:t>
            </w:r>
          </w:p>
        </w:tc>
        <w:tc>
          <w:tcPr>
            <w:tcW w:w="1173" w:type="dxa"/>
            <w:shd w:val="clear" w:color="auto" w:fill="92BAC2"/>
          </w:tcPr>
          <w:p>
            <w:pPr>
              <w:pStyle w:val="TableParagraph"/>
              <w:spacing w:before="75"/>
              <w:ind w:left="78"/>
              <w:rPr>
                <w:b/>
                <w:sz w:val="15"/>
              </w:rPr>
            </w:pPr>
            <w:r>
              <w:rPr>
                <w:b/>
                <w:color w:val="231F20"/>
                <w:w w:val="110"/>
                <w:sz w:val="15"/>
              </w:rPr>
              <w:t>Tonga</w:t>
            </w:r>
          </w:p>
        </w:tc>
        <w:tc>
          <w:tcPr>
            <w:tcW w:w="1092" w:type="dxa"/>
            <w:shd w:val="clear" w:color="auto" w:fill="92BAC2"/>
          </w:tcPr>
          <w:p>
            <w:pPr>
              <w:pStyle w:val="TableParagraph"/>
              <w:spacing w:before="75"/>
              <w:ind w:left="78"/>
              <w:rPr>
                <w:b/>
                <w:sz w:val="15"/>
              </w:rPr>
            </w:pPr>
            <w:r>
              <w:rPr>
                <w:b/>
                <w:color w:val="231F20"/>
                <w:w w:val="110"/>
                <w:sz w:val="15"/>
              </w:rPr>
              <w:t>Tuvalu</w:t>
            </w:r>
          </w:p>
        </w:tc>
        <w:tc>
          <w:tcPr>
            <w:tcW w:w="1347" w:type="dxa"/>
            <w:shd w:val="clear" w:color="auto" w:fill="92BAC2"/>
          </w:tcPr>
          <w:p>
            <w:pPr>
              <w:pStyle w:val="TableParagraph"/>
              <w:spacing w:before="75"/>
              <w:ind w:left="79"/>
              <w:rPr>
                <w:b/>
                <w:sz w:val="15"/>
              </w:rPr>
            </w:pPr>
            <w:r>
              <w:rPr>
                <w:b/>
                <w:color w:val="231F20"/>
                <w:w w:val="105"/>
                <w:sz w:val="15"/>
              </w:rPr>
              <w:t>Vanuatu</w:t>
            </w:r>
          </w:p>
        </w:tc>
      </w:tr>
      <w:tr>
        <w:trPr>
          <w:trHeight w:val="4064" w:hRule="atLeast"/>
        </w:trPr>
        <w:tc>
          <w:tcPr>
            <w:tcW w:w="1124" w:type="dxa"/>
            <w:shd w:val="clear" w:color="auto" w:fill="D8E3CE"/>
          </w:tcPr>
          <w:p>
            <w:pPr>
              <w:pStyle w:val="TableParagraph"/>
              <w:spacing w:line="223" w:lineRule="auto" w:before="84"/>
              <w:ind w:left="80"/>
              <w:rPr>
                <w:sz w:val="15"/>
              </w:rPr>
            </w:pPr>
            <w:r>
              <w:rPr>
                <w:color w:val="231F20"/>
                <w:w w:val="110"/>
                <w:sz w:val="15"/>
              </w:rPr>
              <w:t>Complaints handling process included</w:t>
            </w:r>
          </w:p>
          <w:p>
            <w:pPr>
              <w:pStyle w:val="TableParagraph"/>
              <w:spacing w:line="223" w:lineRule="auto"/>
              <w:ind w:left="80" w:right="146"/>
              <w:rPr>
                <w:sz w:val="15"/>
              </w:rPr>
            </w:pPr>
            <w:r>
              <w:rPr>
                <w:color w:val="231F20"/>
                <w:w w:val="110"/>
                <w:sz w:val="15"/>
              </w:rPr>
              <w:t>in the </w:t>
            </w:r>
            <w:r>
              <w:rPr>
                <w:color w:val="231F20"/>
                <w:spacing w:val="-2"/>
                <w:w w:val="110"/>
                <w:sz w:val="15"/>
              </w:rPr>
              <w:t>new </w:t>
            </w:r>
            <w:r>
              <w:rPr>
                <w:b/>
                <w:color w:val="231F20"/>
                <w:w w:val="110"/>
                <w:sz w:val="15"/>
              </w:rPr>
              <w:t>Judiciary Complaints Procedure </w:t>
            </w:r>
            <w:r>
              <w:rPr>
                <w:color w:val="231F20"/>
                <w:spacing w:val="-3"/>
                <w:w w:val="110"/>
                <w:sz w:val="15"/>
              </w:rPr>
              <w:t>(March </w:t>
            </w:r>
            <w:r>
              <w:rPr>
                <w:color w:val="231F20"/>
                <w:w w:val="110"/>
                <w:sz w:val="15"/>
              </w:rPr>
              <w:t>2014) </w:t>
            </w:r>
            <w:r>
              <w:rPr>
                <w:color w:val="231F20"/>
                <w:spacing w:val="-3"/>
                <w:w w:val="110"/>
                <w:sz w:val="15"/>
              </w:rPr>
              <w:t>covering  </w:t>
            </w:r>
            <w:r>
              <w:rPr>
                <w:color w:val="231F20"/>
                <w:w w:val="110"/>
                <w:sz w:val="15"/>
              </w:rPr>
              <w:t>both judicial officers </w:t>
            </w:r>
            <w:r>
              <w:rPr>
                <w:color w:val="231F20"/>
                <w:spacing w:val="-2"/>
                <w:w w:val="110"/>
                <w:sz w:val="15"/>
              </w:rPr>
              <w:t>and </w:t>
            </w:r>
            <w:r>
              <w:rPr>
                <w:color w:val="231F20"/>
                <w:w w:val="110"/>
                <w:sz w:val="15"/>
              </w:rPr>
              <w:t>court staff. A summary of proceedings before </w:t>
            </w:r>
            <w:r>
              <w:rPr>
                <w:color w:val="231F20"/>
                <w:spacing w:val="-2"/>
                <w:w w:val="110"/>
                <w:sz w:val="15"/>
              </w:rPr>
              <w:t>the </w:t>
            </w:r>
            <w:r>
              <w:rPr>
                <w:color w:val="231F20"/>
                <w:w w:val="105"/>
                <w:sz w:val="15"/>
              </w:rPr>
              <w:t>Committee in </w:t>
            </w:r>
            <w:r>
              <w:rPr>
                <w:color w:val="231F20"/>
                <w:w w:val="110"/>
                <w:sz w:val="15"/>
              </w:rPr>
              <w:t>2017</w:t>
            </w:r>
            <w:r>
              <w:rPr>
                <w:color w:val="231F20"/>
                <w:spacing w:val="-22"/>
                <w:w w:val="110"/>
                <w:sz w:val="15"/>
              </w:rPr>
              <w:t> </w:t>
            </w:r>
            <w:r>
              <w:rPr>
                <w:color w:val="231F20"/>
                <w:w w:val="110"/>
                <w:sz w:val="15"/>
              </w:rPr>
              <w:t>appears in the </w:t>
            </w:r>
            <w:r>
              <w:rPr>
                <w:color w:val="231F20"/>
                <w:spacing w:val="-2"/>
                <w:w w:val="110"/>
                <w:sz w:val="15"/>
              </w:rPr>
              <w:t>Annual </w:t>
            </w:r>
            <w:r>
              <w:rPr>
                <w:color w:val="231F20"/>
                <w:w w:val="110"/>
                <w:sz w:val="15"/>
              </w:rPr>
              <w:t>Report.</w:t>
            </w:r>
          </w:p>
        </w:tc>
        <w:tc>
          <w:tcPr>
            <w:tcW w:w="1225" w:type="dxa"/>
            <w:shd w:val="clear" w:color="auto" w:fill="F2CDBE"/>
          </w:tcPr>
          <w:p>
            <w:pPr>
              <w:pStyle w:val="TableParagraph"/>
              <w:spacing w:line="223" w:lineRule="auto" w:before="84"/>
              <w:ind w:left="79" w:right="82"/>
              <w:rPr>
                <w:sz w:val="15"/>
              </w:rPr>
            </w:pPr>
            <w:r>
              <w:rPr>
                <w:color w:val="231F20"/>
                <w:w w:val="110"/>
                <w:sz w:val="15"/>
              </w:rPr>
              <w:t>There is no complaint handling process</w:t>
            </w:r>
          </w:p>
          <w:p>
            <w:pPr>
              <w:pStyle w:val="TableParagraph"/>
              <w:spacing w:line="223" w:lineRule="auto"/>
              <w:ind w:left="79" w:right="82"/>
              <w:rPr>
                <w:sz w:val="15"/>
              </w:rPr>
            </w:pPr>
            <w:r>
              <w:rPr>
                <w:color w:val="231F20"/>
                <w:w w:val="110"/>
                <w:sz w:val="15"/>
              </w:rPr>
              <w:t>for Judicial Officers.</w:t>
            </w:r>
          </w:p>
          <w:p>
            <w:pPr>
              <w:pStyle w:val="TableParagraph"/>
              <w:spacing w:line="223" w:lineRule="auto" w:before="55"/>
              <w:ind w:left="79" w:right="44"/>
              <w:rPr>
                <w:sz w:val="15"/>
              </w:rPr>
            </w:pPr>
            <w:r>
              <w:rPr>
                <w:color w:val="231F20"/>
                <w:w w:val="110"/>
                <w:sz w:val="15"/>
              </w:rPr>
              <w:t>There is a complaint handling process that is applied to the public servants working in the Court under the Public Services Act 2004.</w:t>
            </w:r>
          </w:p>
        </w:tc>
        <w:tc>
          <w:tcPr>
            <w:tcW w:w="1173" w:type="dxa"/>
            <w:shd w:val="clear" w:color="auto" w:fill="F2CDBE"/>
          </w:tcPr>
          <w:p>
            <w:pPr>
              <w:pStyle w:val="TableParagraph"/>
              <w:spacing w:line="223" w:lineRule="auto" w:before="84"/>
              <w:ind w:left="79" w:right="22"/>
              <w:rPr>
                <w:sz w:val="15"/>
              </w:rPr>
            </w:pPr>
            <w:r>
              <w:rPr>
                <w:color w:val="231F20"/>
                <w:w w:val="110"/>
                <w:sz w:val="15"/>
              </w:rPr>
              <w:t>There is no complaint handling process</w:t>
            </w:r>
          </w:p>
          <w:p>
            <w:pPr>
              <w:pStyle w:val="TableParagraph"/>
              <w:spacing w:line="223" w:lineRule="auto"/>
              <w:ind w:left="79" w:right="291"/>
              <w:rPr>
                <w:sz w:val="15"/>
              </w:rPr>
            </w:pPr>
            <w:r>
              <w:rPr>
                <w:color w:val="231F20"/>
                <w:w w:val="110"/>
                <w:sz w:val="15"/>
              </w:rPr>
              <w:t>for Judicial Officers. The new</w:t>
            </w:r>
          </w:p>
          <w:p>
            <w:pPr>
              <w:pStyle w:val="TableParagraph"/>
              <w:spacing w:line="223" w:lineRule="auto"/>
              <w:ind w:left="79" w:right="22"/>
              <w:rPr>
                <w:sz w:val="15"/>
              </w:rPr>
            </w:pPr>
            <w:r>
              <w:rPr>
                <w:color w:val="231F20"/>
                <w:w w:val="110"/>
                <w:sz w:val="15"/>
              </w:rPr>
              <w:t>Ombudsman Act 2017</w:t>
            </w:r>
          </w:p>
          <w:p>
            <w:pPr>
              <w:pStyle w:val="TableParagraph"/>
              <w:spacing w:line="223" w:lineRule="auto"/>
              <w:ind w:left="79" w:right="62"/>
              <w:rPr>
                <w:sz w:val="15"/>
              </w:rPr>
            </w:pPr>
            <w:r>
              <w:rPr>
                <w:color w:val="231F20"/>
                <w:w w:val="105"/>
                <w:sz w:val="15"/>
              </w:rPr>
              <w:t>allows complaints to be made in relation to the administrative conduct of public servants.</w:t>
            </w:r>
          </w:p>
        </w:tc>
        <w:tc>
          <w:tcPr>
            <w:tcW w:w="1361" w:type="dxa"/>
            <w:shd w:val="clear" w:color="auto" w:fill="F2CDBE"/>
          </w:tcPr>
          <w:p>
            <w:pPr>
              <w:pStyle w:val="TableParagraph"/>
              <w:spacing w:line="223" w:lineRule="auto" w:before="84"/>
              <w:ind w:left="79" w:right="136"/>
              <w:rPr>
                <w:sz w:val="15"/>
              </w:rPr>
            </w:pPr>
            <w:r>
              <w:rPr>
                <w:color w:val="231F20"/>
                <w:w w:val="105"/>
                <w:sz w:val="15"/>
              </w:rPr>
              <w:t>At present, there is no established complaint handling mechanism</w:t>
            </w:r>
          </w:p>
          <w:p>
            <w:pPr>
              <w:pStyle w:val="TableParagraph"/>
              <w:spacing w:line="223" w:lineRule="auto"/>
              <w:ind w:left="79" w:right="235"/>
              <w:rPr>
                <w:sz w:val="15"/>
              </w:rPr>
            </w:pPr>
            <w:r>
              <w:rPr>
                <w:color w:val="231F20"/>
                <w:w w:val="105"/>
                <w:sz w:val="15"/>
              </w:rPr>
              <w:t>for the Tokelau Judiciary</w:t>
            </w:r>
          </w:p>
        </w:tc>
        <w:tc>
          <w:tcPr>
            <w:tcW w:w="1173" w:type="dxa"/>
            <w:shd w:val="clear" w:color="auto" w:fill="D8E3CE"/>
          </w:tcPr>
          <w:p>
            <w:pPr>
              <w:pStyle w:val="TableParagraph"/>
              <w:spacing w:line="223" w:lineRule="auto" w:before="84"/>
              <w:ind w:left="78" w:right="261"/>
              <w:rPr>
                <w:sz w:val="15"/>
              </w:rPr>
            </w:pPr>
            <w:r>
              <w:rPr>
                <w:color w:val="231F20"/>
                <w:spacing w:val="-3"/>
                <w:w w:val="105"/>
                <w:sz w:val="15"/>
              </w:rPr>
              <w:t>There </w:t>
            </w:r>
            <w:r>
              <w:rPr>
                <w:color w:val="231F20"/>
                <w:spacing w:val="-2"/>
                <w:w w:val="105"/>
                <w:sz w:val="15"/>
              </w:rPr>
              <w:t>are documented </w:t>
            </w:r>
            <w:r>
              <w:rPr>
                <w:color w:val="231F20"/>
                <w:w w:val="105"/>
                <w:sz w:val="15"/>
              </w:rPr>
              <w:t>processes for handling complaints</w:t>
            </w:r>
          </w:p>
          <w:p>
            <w:pPr>
              <w:pStyle w:val="TableParagraph"/>
              <w:spacing w:line="223" w:lineRule="auto"/>
              <w:ind w:left="78"/>
              <w:rPr>
                <w:sz w:val="15"/>
              </w:rPr>
            </w:pPr>
            <w:r>
              <w:rPr>
                <w:color w:val="231F20"/>
                <w:w w:val="110"/>
                <w:sz w:val="15"/>
              </w:rPr>
              <w:t>against Judicial Officers.</w:t>
            </w:r>
          </w:p>
          <w:p>
            <w:pPr>
              <w:pStyle w:val="TableParagraph"/>
              <w:spacing w:line="223" w:lineRule="auto" w:before="55"/>
              <w:ind w:left="78" w:right="153"/>
              <w:rPr>
                <w:sz w:val="15"/>
              </w:rPr>
            </w:pPr>
            <w:r>
              <w:rPr>
                <w:color w:val="231F20"/>
                <w:spacing w:val="-4"/>
                <w:w w:val="105"/>
                <w:sz w:val="15"/>
              </w:rPr>
              <w:t>Formal </w:t>
            </w:r>
            <w:r>
              <w:rPr>
                <w:color w:val="231F20"/>
                <w:w w:val="105"/>
                <w:sz w:val="15"/>
              </w:rPr>
              <w:t>complaints  are made to the </w:t>
            </w:r>
            <w:r>
              <w:rPr>
                <w:color w:val="231F20"/>
                <w:spacing w:val="-3"/>
                <w:w w:val="105"/>
                <w:sz w:val="15"/>
              </w:rPr>
              <w:t>Judicial </w:t>
            </w:r>
            <w:r>
              <w:rPr>
                <w:color w:val="231F20"/>
                <w:spacing w:val="-2"/>
                <w:w w:val="105"/>
                <w:sz w:val="15"/>
              </w:rPr>
              <w:t>Appointments </w:t>
            </w:r>
            <w:r>
              <w:rPr>
                <w:color w:val="231F20"/>
                <w:w w:val="105"/>
                <w:sz w:val="15"/>
              </w:rPr>
              <w:t>and Discipline </w:t>
            </w:r>
            <w:r>
              <w:rPr>
                <w:color w:val="231F20"/>
                <w:spacing w:val="-4"/>
                <w:w w:val="105"/>
                <w:sz w:val="15"/>
              </w:rPr>
              <w:t>Panel. </w:t>
            </w:r>
            <w:r>
              <w:rPr>
                <w:color w:val="231F20"/>
                <w:spacing w:val="-5"/>
                <w:w w:val="105"/>
                <w:sz w:val="15"/>
              </w:rPr>
              <w:t>The </w:t>
            </w:r>
            <w:r>
              <w:rPr>
                <w:color w:val="231F20"/>
                <w:w w:val="105"/>
                <w:sz w:val="15"/>
              </w:rPr>
              <w:t>procedures </w:t>
            </w:r>
            <w:r>
              <w:rPr>
                <w:color w:val="231F20"/>
                <w:spacing w:val="-3"/>
                <w:w w:val="105"/>
                <w:sz w:val="15"/>
              </w:rPr>
              <w:t>by which such </w:t>
            </w:r>
            <w:r>
              <w:rPr>
                <w:color w:val="231F20"/>
                <w:w w:val="105"/>
                <w:sz w:val="15"/>
              </w:rPr>
              <w:t>complaints  are handled are set out in the Discipline Procedure Order</w:t>
            </w:r>
            <w:r>
              <w:rPr>
                <w:color w:val="231F20"/>
                <w:spacing w:val="10"/>
                <w:w w:val="105"/>
                <w:sz w:val="15"/>
              </w:rPr>
              <w:t> </w:t>
            </w:r>
            <w:r>
              <w:rPr>
                <w:color w:val="231F20"/>
                <w:w w:val="105"/>
                <w:sz w:val="15"/>
              </w:rPr>
              <w:t>2017.</w:t>
            </w:r>
          </w:p>
        </w:tc>
        <w:tc>
          <w:tcPr>
            <w:tcW w:w="1092" w:type="dxa"/>
            <w:shd w:val="clear" w:color="auto" w:fill="F2CDBE"/>
          </w:tcPr>
          <w:p>
            <w:pPr>
              <w:pStyle w:val="TableParagraph"/>
              <w:spacing w:line="223" w:lineRule="auto" w:before="84"/>
              <w:ind w:left="78"/>
              <w:rPr>
                <w:sz w:val="15"/>
              </w:rPr>
            </w:pPr>
            <w:r>
              <w:rPr>
                <w:color w:val="231F20"/>
                <w:w w:val="110"/>
                <w:sz w:val="15"/>
              </w:rPr>
              <w:t>Data unavailable</w:t>
            </w:r>
          </w:p>
        </w:tc>
        <w:tc>
          <w:tcPr>
            <w:tcW w:w="1347" w:type="dxa"/>
            <w:shd w:val="clear" w:color="auto" w:fill="F2CDBE"/>
          </w:tcPr>
          <w:p>
            <w:pPr>
              <w:pStyle w:val="TableParagraph"/>
              <w:spacing w:line="235" w:lineRule="auto" w:before="77"/>
              <w:ind w:left="79" w:right="76"/>
              <w:rPr>
                <w:sz w:val="15"/>
              </w:rPr>
            </w:pPr>
            <w:r>
              <w:rPr>
                <w:color w:val="231F20"/>
                <w:w w:val="110"/>
                <w:sz w:val="15"/>
              </w:rPr>
              <w:t>A Complaint Procedure has been drafted and consultations with judicial officers have </w:t>
            </w:r>
            <w:r>
              <w:rPr>
                <w:color w:val="231F20"/>
                <w:w w:val="105"/>
                <w:sz w:val="15"/>
              </w:rPr>
              <w:t>been undertaken, </w:t>
            </w:r>
            <w:r>
              <w:rPr>
                <w:color w:val="231F20"/>
                <w:w w:val="110"/>
                <w:sz w:val="15"/>
              </w:rPr>
              <w:t>however it is yet to be officially launched.</w:t>
            </w:r>
          </w:p>
        </w:tc>
      </w:tr>
    </w:tbl>
    <w:p>
      <w:pPr>
        <w:spacing w:after="0" w:line="235" w:lineRule="auto"/>
        <w:rPr>
          <w:sz w:val="15"/>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7615">
            <wp:simplePos x="0" y="0"/>
            <wp:positionH relativeFrom="page">
              <wp:posOffset>0</wp:posOffset>
            </wp:positionH>
            <wp:positionV relativeFrom="paragraph">
              <wp:posOffset>373881</wp:posOffset>
            </wp:positionV>
            <wp:extent cx="7559992" cy="143992"/>
            <wp:effectExtent l="0" t="0" r="0" b="0"/>
            <wp:wrapNone/>
            <wp:docPr id="53" name="image39.png" descr=""/>
            <wp:cNvGraphicFramePr>
              <a:graphicFrameLocks noChangeAspect="1"/>
            </wp:cNvGraphicFramePr>
            <a:graphic>
              <a:graphicData uri="http://schemas.openxmlformats.org/drawingml/2006/picture">
                <pic:pic>
                  <pic:nvPicPr>
                    <pic:cNvPr id="54"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38</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7"/>
        <w:rPr>
          <w:b/>
          <w:sz w:val="19"/>
        </w:rPr>
      </w:pPr>
    </w:p>
    <w:p>
      <w:pPr>
        <w:pStyle w:val="Heading5"/>
        <w:spacing w:line="196" w:lineRule="auto" w:before="145"/>
        <w:ind w:right="2292" w:hanging="1985"/>
      </w:pPr>
      <w:r>
        <w:rPr/>
        <w:pict>
          <v:shape style="position:absolute;margin-left:85.039001pt;margin-top:59.828777pt;width:425.2pt;height:41.6pt;mso-position-horizontal-relative:page;mso-position-vertical-relative:paragraph;z-index:11440;mso-wrap-distance-left:0;mso-wrap-distance-right:0" type="#_x0000_t202" filled="true" fillcolor="#dcdbca" stroked="false">
            <v:textbox inset="0,0,0,0">
              <w:txbxContent>
                <w:p>
                  <w:pPr>
                    <w:pStyle w:val="BodyText"/>
                    <w:spacing w:line="252" w:lineRule="auto" w:before="135"/>
                    <w:ind w:left="56" w:right="403"/>
                  </w:pPr>
                  <w:r>
                    <w:rPr>
                      <w:color w:val="231F20"/>
                      <w:spacing w:val="-3"/>
                    </w:rPr>
                    <w:t>This </w:t>
                  </w:r>
                  <w:r>
                    <w:rPr>
                      <w:color w:val="231F20"/>
                    </w:rPr>
                    <w:t>indicator is demonstrated through the publication of an annual report in the year immediately</w:t>
                  </w:r>
                  <w:r>
                    <w:rPr>
                      <w:color w:val="231F20"/>
                      <w:spacing w:val="12"/>
                    </w:rPr>
                    <w:t> </w:t>
                  </w:r>
                  <w:r>
                    <w:rPr>
                      <w:color w:val="231F20"/>
                    </w:rPr>
                    <w:t>following</w:t>
                  </w:r>
                  <w:r>
                    <w:rPr>
                      <w:color w:val="231F20"/>
                      <w:spacing w:val="12"/>
                    </w:rPr>
                    <w:t> </w:t>
                  </w:r>
                  <w:r>
                    <w:rPr>
                      <w:color w:val="231F20"/>
                    </w:rPr>
                    <w:t>the</w:t>
                  </w:r>
                  <w:r>
                    <w:rPr>
                      <w:color w:val="231F20"/>
                      <w:spacing w:val="12"/>
                    </w:rPr>
                    <w:t> </w:t>
                  </w:r>
                  <w:r>
                    <w:rPr>
                      <w:color w:val="231F20"/>
                    </w:rPr>
                    <w:t>year</w:t>
                  </w:r>
                  <w:r>
                    <w:rPr>
                      <w:color w:val="231F20"/>
                      <w:spacing w:val="12"/>
                    </w:rPr>
                    <w:t> </w:t>
                  </w:r>
                  <w:r>
                    <w:rPr>
                      <w:color w:val="231F20"/>
                    </w:rPr>
                    <w:t>that</w:t>
                  </w:r>
                  <w:r>
                    <w:rPr>
                      <w:color w:val="231F20"/>
                      <w:spacing w:val="12"/>
                    </w:rPr>
                    <w:t> </w:t>
                  </w:r>
                  <w:r>
                    <w:rPr>
                      <w:color w:val="231F20"/>
                    </w:rPr>
                    <w:t>is</w:t>
                  </w:r>
                  <w:r>
                    <w:rPr>
                      <w:color w:val="231F20"/>
                      <w:spacing w:val="12"/>
                    </w:rPr>
                    <w:t> </w:t>
                  </w:r>
                  <w:r>
                    <w:rPr>
                      <w:color w:val="231F20"/>
                    </w:rPr>
                    <w:t>the</w:t>
                  </w:r>
                  <w:r>
                    <w:rPr>
                      <w:color w:val="231F20"/>
                      <w:spacing w:val="12"/>
                    </w:rPr>
                    <w:t> </w:t>
                  </w:r>
                  <w:r>
                    <w:rPr>
                      <w:color w:val="231F20"/>
                    </w:rPr>
                    <w:t>subject</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annual</w:t>
                  </w:r>
                  <w:r>
                    <w:rPr>
                      <w:color w:val="231F20"/>
                      <w:spacing w:val="12"/>
                    </w:rPr>
                    <w:t> </w:t>
                  </w:r>
                  <w:r>
                    <w:rPr>
                      <w:color w:val="231F20"/>
                    </w:rPr>
                    <w:t>report.</w:t>
                  </w:r>
                </w:p>
              </w:txbxContent>
            </v:textbox>
            <v:fill type="solid"/>
            <w10:wrap type="topAndBottom"/>
          </v:shape>
        </w:pict>
      </w:r>
      <w:r>
        <w:rPr/>
        <w:pict>
          <v:rect style="position:absolute;margin-left:85.039398pt;margin-top:58.828777pt;width:425.197pt;height:1pt;mso-position-horizontal-relative:page;mso-position-vertical-relative:paragraph;z-index:11800" filled="true" fillcolor="#0f6161" stroked="false">
            <v:fill type="solid"/>
            <w10:wrap type="none"/>
          </v:rect>
        </w:pict>
      </w:r>
      <w:r>
        <w:rPr>
          <w:b/>
          <w:color w:val="FFFFFF"/>
          <w:w w:val="122"/>
          <w:shd w:fill="7D8440" w:color="auto" w:val="clear"/>
        </w:rPr>
        <w:t> </w:t>
      </w:r>
      <w:r>
        <w:rPr>
          <w:b/>
          <w:color w:val="FFFFFF"/>
          <w:w w:val="105"/>
          <w:shd w:fill="7D8440" w:color="auto" w:val="clear"/>
        </w:rPr>
        <w:t>Indicator 13</w:t>
      </w:r>
      <w:r>
        <w:rPr>
          <w:b/>
          <w:color w:val="FFFFFF"/>
          <w:w w:val="105"/>
        </w:rPr>
        <w:t> </w:t>
      </w:r>
      <w:r>
        <w:rPr>
          <w:color w:val="0F6161"/>
          <w:w w:val="105"/>
        </w:rPr>
        <w:t>Court produces or contributes to an Annual Report that is publicly available in the following year</w:t>
      </w:r>
    </w:p>
    <w:p>
      <w:pPr>
        <w:pStyle w:val="BodyText"/>
        <w:spacing w:before="10"/>
        <w:rPr>
          <w:sz w:val="11"/>
        </w:rPr>
      </w:pPr>
    </w:p>
    <w:p>
      <w:pPr>
        <w:spacing w:before="87"/>
        <w:ind w:left="1700" w:right="0" w:firstLine="0"/>
        <w:jc w:val="left"/>
        <w:rPr>
          <w:sz w:val="40"/>
        </w:rPr>
      </w:pPr>
      <w:r>
        <w:rPr/>
        <w:pict>
          <v:group style="position:absolute;margin-left:85.039398pt;margin-top:42.33445pt;width:79.4pt;height:22.7pt;mso-position-horizontal-relative:page;mso-position-vertical-relative:paragraph;z-index:11488;mso-wrap-distance-left:0;mso-wrap-distance-right:0" coordorigin="1701,847" coordsize="1588,454">
            <v:shape style="position:absolute;left:1700;top:846;width:1588;height:454" coordorigin="1701,847" coordsize="1588,454" path="m3088,847l1701,847,1701,1300,3088,1300,3204,1297,3263,1275,3285,1216,3288,1100,3288,1047,3285,931,3263,872,3204,850,3088,847xe" filled="true" fillcolor="#7d8440" stroked="false">
              <v:path arrowok="t"/>
              <v:fill type="solid"/>
            </v:shape>
            <v:shape style="position:absolute;left:1700;top:846;width:1588;height:454" type="#_x0000_t202" filled="false" stroked="false">
              <v:textbox inset="0,0,0,0">
                <w:txbxContent>
                  <w:p>
                    <w:pPr>
                      <w:spacing w:line="387" w:lineRule="exact" w:before="0"/>
                      <w:ind w:left="56" w:right="0" w:firstLine="0"/>
                      <w:jc w:val="left"/>
                      <w:rPr>
                        <w:sz w:val="32"/>
                      </w:rPr>
                    </w:pPr>
                    <w:r>
                      <w:rPr>
                        <w:color w:val="FFFFFF"/>
                        <w:w w:val="110"/>
                        <w:sz w:val="32"/>
                      </w:rPr>
                      <w:t>Change 1</w:t>
                    </w:r>
                  </w:p>
                </w:txbxContent>
              </v:textbox>
              <w10:wrap type="none"/>
            </v:shape>
            <w10:wrap type="topAndBottom"/>
          </v:group>
        </w:pict>
      </w:r>
      <w:r>
        <w:rPr/>
        <w:pict>
          <v:group style="position:absolute;margin-left:178.582993pt;margin-top:45.168949pt;width:102.05pt;height:96.4pt;mso-position-horizontal-relative:page;mso-position-vertical-relative:paragraph;z-index:11512;mso-wrap-distance-left:0;mso-wrap-distance-right:0" coordorigin="3572,903" coordsize="2041,1928">
            <v:shape style="position:absolute;left:3571;top:903;width:2041;height:1928" coordorigin="3572,903" coordsize="2041,1928" path="m5499,903l3685,903,3619,905,3586,918,3573,951,3572,1017,3572,2718,3573,2783,3586,2817,3619,2829,3685,2831,5499,2831,5565,2829,5598,2817,5611,2783,5613,2718,5613,1017,5611,951,5598,918,5565,905,5499,903xe" filled="true" fillcolor="#ef3a4c" stroked="false">
              <v:path arrowok="t"/>
              <v:fill type="solid"/>
            </v:shape>
            <v:shape style="position:absolute;left:3784;top:1059;width:1600;height:1600" type="#_x0000_t75" stroked="false">
              <v:imagedata r:id="rId30" o:title=""/>
            </v:shape>
            <w10:wrap type="topAndBottom"/>
          </v:group>
        </w:pict>
      </w:r>
      <w:r>
        <w:rPr/>
        <w:pict>
          <v:group style="position:absolute;margin-left:294.803406pt;margin-top:30.995649pt;width:102.05pt;height:110.6pt;mso-position-horizontal-relative:page;mso-position-vertical-relative:paragraph;z-index:11632;mso-wrap-distance-left:0;mso-wrap-distance-right:0" coordorigin="5896,620" coordsize="2041,2212">
            <v:shape style="position:absolute;left:5896;top:903;width:2041;height:1928" coordorigin="5896,903" coordsize="2041,1928" path="m7824,903l6009,903,5944,905,5910,918,5898,951,5896,1017,5896,2718,5898,2783,5910,2817,5944,2829,6009,2831,7824,2831,7889,2829,7923,2817,7935,2783,7937,2718,7937,1017,7935,951,7923,918,7889,905,7824,903xe" filled="true" fillcolor="#d01c26" stroked="false">
              <v:path arrowok="t"/>
              <v:fill type="solid"/>
            </v:shape>
            <v:shape style="position:absolute;left:6111;top:1966;width:1621;height:246" type="#_x0000_t202" filled="false" stroked="false">
              <v:textbox inset="0,0,0,0">
                <w:txbxContent>
                  <w:p>
                    <w:pPr>
                      <w:spacing w:before="11"/>
                      <w:ind w:left="0" w:right="0" w:firstLine="0"/>
                      <w:jc w:val="left"/>
                      <w:rPr>
                        <w:rFonts w:ascii="Arial"/>
                        <w:b/>
                        <w:sz w:val="18"/>
                      </w:rPr>
                    </w:pPr>
                    <w:r>
                      <w:rPr>
                        <w:rFonts w:ascii="Arial"/>
                        <w:b/>
                        <w:color w:val="FFFFFF"/>
                        <w:spacing w:val="-9"/>
                        <w:w w:val="95"/>
                        <w:sz w:val="18"/>
                      </w:rPr>
                      <w:t>Court </w:t>
                    </w:r>
                    <w:r>
                      <w:rPr>
                        <w:rFonts w:ascii="Arial"/>
                        <w:b/>
                        <w:color w:val="FFFFFF"/>
                        <w:spacing w:val="-8"/>
                        <w:w w:val="95"/>
                        <w:sz w:val="18"/>
                      </w:rPr>
                      <w:t>Annual </w:t>
                    </w:r>
                    <w:r>
                      <w:rPr>
                        <w:rFonts w:ascii="Arial"/>
                        <w:b/>
                        <w:color w:val="FFFFFF"/>
                        <w:spacing w:val="-10"/>
                        <w:w w:val="95"/>
                        <w:sz w:val="18"/>
                      </w:rPr>
                      <w:t>Reports</w:t>
                    </w:r>
                  </w:p>
                </w:txbxContent>
              </v:textbox>
              <w10:wrap type="none"/>
            </v:shape>
            <v:shape style="position:absolute;left:6496;top:619;width:86;height:1776" type="#_x0000_t202" filled="false" stroked="false">
              <v:textbox inset="0,0,0,0">
                <w:txbxContent>
                  <w:p>
                    <w:pPr>
                      <w:spacing w:before="81"/>
                      <w:ind w:left="0" w:right="0" w:firstLine="0"/>
                      <w:jc w:val="left"/>
                      <w:rPr>
                        <w:rFonts w:ascii="Engravers MT"/>
                        <w:b w:val="0"/>
                        <w:sz w:val="130"/>
                      </w:rPr>
                    </w:pPr>
                    <w:r>
                      <w:rPr>
                        <w:rFonts w:ascii="Engravers MT"/>
                        <w:b w:val="0"/>
                        <w:color w:val="FFFFFF"/>
                        <w:spacing w:val="-775"/>
                        <w:sz w:val="130"/>
                      </w:rPr>
                      <w:t>1</w:t>
                    </w:r>
                  </w:p>
                </w:txbxContent>
              </v:textbox>
              <w10:wrap type="none"/>
            </v:shape>
            <v:shape style="position:absolute;left:6679;top:2166;width:486;height:246" type="#_x0000_t202" filled="false" stroked="false">
              <v:textbox inset="0,0,0,0">
                <w:txbxContent>
                  <w:p>
                    <w:pPr>
                      <w:spacing w:before="11"/>
                      <w:ind w:left="0" w:right="0" w:firstLine="0"/>
                      <w:jc w:val="left"/>
                      <w:rPr>
                        <w:rFonts w:ascii="Arial"/>
                        <w:b/>
                        <w:sz w:val="18"/>
                      </w:rPr>
                    </w:pPr>
                    <w:r>
                      <w:rPr>
                        <w:rFonts w:ascii="Arial"/>
                        <w:b/>
                        <w:color w:val="FFFFFF"/>
                        <w:spacing w:val="-9"/>
                        <w:sz w:val="18"/>
                      </w:rPr>
                      <w:t>online</w:t>
                    </w:r>
                  </w:p>
                </w:txbxContent>
              </v:textbox>
              <w10:wrap type="none"/>
            </v:shape>
            <v:shape style="position:absolute;left:6328;top:2451;width:1196;height:352" type="#_x0000_t202" filled="false" stroked="false">
              <v:textbox inset="0,0,0,0">
                <w:txbxContent>
                  <w:p>
                    <w:pPr>
                      <w:spacing w:before="8"/>
                      <w:ind w:left="154" w:right="-13" w:hanging="155"/>
                      <w:jc w:val="left"/>
                      <w:rPr>
                        <w:rFonts w:ascii="Arial"/>
                        <w:b/>
                        <w:sz w:val="14"/>
                      </w:rPr>
                    </w:pPr>
                    <w:r>
                      <w:rPr>
                        <w:rFonts w:ascii="Arial"/>
                        <w:b/>
                        <w:color w:val="FFFFFF"/>
                        <w:w w:val="95"/>
                        <w:sz w:val="14"/>
                      </w:rPr>
                      <w:t>YEAR 1 BASELINE </w:t>
                    </w:r>
                    <w:r>
                      <w:rPr>
                        <w:rFonts w:ascii="Arial"/>
                        <w:b/>
                        <w:color w:val="FFFFFF"/>
                        <w:sz w:val="14"/>
                      </w:rPr>
                      <w:t>TREND DATA</w:t>
                    </w:r>
                  </w:p>
                </w:txbxContent>
              </v:textbox>
              <w10:wrap type="none"/>
            </v:shape>
            <w10:wrap type="topAndBottom"/>
          </v:group>
        </w:pict>
      </w:r>
      <w:r>
        <w:rPr/>
        <w:pict>
          <v:group style="position:absolute;margin-left:408.189209pt;margin-top:30.995649pt;width:102.05pt;height:110.6pt;mso-position-horizontal-relative:page;mso-position-vertical-relative:paragraph;z-index:11704;mso-wrap-distance-left:0;mso-wrap-distance-right:0" coordorigin="8164,620" coordsize="2041,2212">
            <v:shape style="position:absolute;left:8163;top:903;width:2041;height:1928" coordorigin="8164,903" coordsize="2041,1928" path="m10091,903l8277,903,8212,905,8178,918,8166,951,8164,1017,8164,2718,8166,2783,8178,2817,8212,2829,8277,2831,10091,2831,10157,2829,10191,2817,10203,2783,10205,2718,10205,1017,10203,951,10191,918,10157,905,10091,903xe" filled="true" fillcolor="#f7941d" stroked="false">
              <v:path arrowok="t"/>
              <v:fill type="solid"/>
            </v:shape>
            <v:shape style="position:absolute;left:8344;top:619;width:1692;height:1776" type="#_x0000_t202" filled="false" stroked="false">
              <v:textbox inset="0,0,0,0">
                <w:txbxContent>
                  <w:p>
                    <w:pPr>
                      <w:spacing w:before="85"/>
                      <w:ind w:left="0" w:right="0" w:firstLine="0"/>
                      <w:jc w:val="left"/>
                      <w:rPr>
                        <w:rFonts w:ascii="Arial"/>
                        <w:b/>
                        <w:sz w:val="18"/>
                      </w:rPr>
                    </w:pPr>
                    <w:r>
                      <w:rPr>
                        <w:rFonts w:ascii="Arial"/>
                        <w:b/>
                        <w:color w:val="FFFFFF"/>
                        <w:spacing w:val="-12"/>
                        <w:w w:val="96"/>
                        <w:sz w:val="18"/>
                      </w:rPr>
                      <w:t>C</w:t>
                    </w:r>
                    <w:r>
                      <w:rPr>
                        <w:rFonts w:ascii="Arial"/>
                        <w:b/>
                        <w:color w:val="FFFFFF"/>
                        <w:spacing w:val="-9"/>
                        <w:w w:val="96"/>
                        <w:sz w:val="18"/>
                      </w:rPr>
                      <w:t>ou</w:t>
                    </w:r>
                    <w:r>
                      <w:rPr>
                        <w:rFonts w:ascii="Arial"/>
                        <w:b/>
                        <w:color w:val="FFFFFF"/>
                        <w:spacing w:val="-12"/>
                        <w:w w:val="96"/>
                        <w:sz w:val="18"/>
                      </w:rPr>
                      <w:t>r</w:t>
                    </w:r>
                    <w:r>
                      <w:rPr>
                        <w:rFonts w:ascii="Arial"/>
                        <w:b/>
                        <w:color w:val="FFFFFF"/>
                        <w:spacing w:val="-9"/>
                        <w:w w:val="102"/>
                        <w:sz w:val="18"/>
                      </w:rPr>
                      <w:t>t</w:t>
                    </w:r>
                    <w:r>
                      <w:rPr>
                        <w:rFonts w:ascii="Arial"/>
                        <w:b/>
                        <w:color w:val="FFFFFF"/>
                        <w:spacing w:val="-78"/>
                        <w:w w:val="79"/>
                        <w:sz w:val="18"/>
                      </w:rPr>
                      <w:t>s</w:t>
                    </w:r>
                    <w:r>
                      <w:rPr>
                        <w:rFonts w:ascii="Engravers MT"/>
                        <w:b w:val="0"/>
                        <w:color w:val="FFFFFF"/>
                        <w:spacing w:val="-740"/>
                        <w:position w:val="35"/>
                        <w:sz w:val="130"/>
                      </w:rPr>
                      <w:t>6</w:t>
                    </w:r>
                    <w:r>
                      <w:rPr>
                        <w:rFonts w:ascii="Arial"/>
                        <w:b/>
                        <w:color w:val="FFFFFF"/>
                        <w:spacing w:val="-9"/>
                        <w:w w:val="96"/>
                        <w:sz w:val="18"/>
                      </w:rPr>
                      <w:t>Annua</w:t>
                    </w:r>
                    <w:r>
                      <w:rPr>
                        <w:rFonts w:ascii="Arial"/>
                        <w:b/>
                        <w:color w:val="FFFFFF"/>
                        <w:w w:val="96"/>
                        <w:sz w:val="18"/>
                      </w:rPr>
                      <w:t>l</w:t>
                    </w:r>
                    <w:r>
                      <w:rPr>
                        <w:rFonts w:ascii="Arial"/>
                        <w:b/>
                        <w:color w:val="FFFFFF"/>
                        <w:spacing w:val="-24"/>
                        <w:sz w:val="18"/>
                      </w:rPr>
                      <w:t> </w:t>
                    </w:r>
                    <w:r>
                      <w:rPr>
                        <w:rFonts w:ascii="Arial"/>
                        <w:b/>
                        <w:color w:val="FFFFFF"/>
                        <w:spacing w:val="-12"/>
                        <w:w w:val="87"/>
                        <w:sz w:val="18"/>
                      </w:rPr>
                      <w:t>R</w:t>
                    </w:r>
                    <w:r>
                      <w:rPr>
                        <w:rFonts w:ascii="Arial"/>
                        <w:b/>
                        <w:color w:val="FFFFFF"/>
                        <w:spacing w:val="-9"/>
                        <w:w w:val="100"/>
                        <w:sz w:val="18"/>
                      </w:rPr>
                      <w:t>epo</w:t>
                    </w:r>
                    <w:r>
                      <w:rPr>
                        <w:rFonts w:ascii="Arial"/>
                        <w:b/>
                        <w:color w:val="FFFFFF"/>
                        <w:spacing w:val="-12"/>
                        <w:w w:val="100"/>
                        <w:sz w:val="18"/>
                      </w:rPr>
                      <w:t>r</w:t>
                    </w:r>
                    <w:r>
                      <w:rPr>
                        <w:rFonts w:ascii="Arial"/>
                        <w:b/>
                        <w:color w:val="FFFFFF"/>
                        <w:spacing w:val="-9"/>
                        <w:w w:val="88"/>
                        <w:sz w:val="18"/>
                      </w:rPr>
                      <w:t>ts</w:t>
                    </w:r>
                  </w:p>
                </w:txbxContent>
              </v:textbox>
              <w10:wrap type="none"/>
            </v:shape>
            <v:shape style="position:absolute;left:8495;top:2293;width:1400;height:477" type="#_x0000_t202" filled="false" stroked="false">
              <v:textbox inset="0,0,0,0">
                <w:txbxContent>
                  <w:p>
                    <w:pPr>
                      <w:spacing w:before="11"/>
                      <w:ind w:left="400" w:right="429" w:firstLine="0"/>
                      <w:jc w:val="center"/>
                      <w:rPr>
                        <w:rFonts w:ascii="Arial"/>
                        <w:b/>
                        <w:sz w:val="18"/>
                      </w:rPr>
                    </w:pPr>
                    <w:r>
                      <w:rPr>
                        <w:rFonts w:ascii="Arial"/>
                        <w:b/>
                        <w:color w:val="FFFFFF"/>
                        <w:sz w:val="18"/>
                      </w:rPr>
                      <w:t>online</w:t>
                    </w:r>
                  </w:p>
                  <w:p>
                    <w:pPr>
                      <w:spacing w:before="75"/>
                      <w:ind w:left="-1" w:right="18" w:firstLine="0"/>
                      <w:jc w:val="center"/>
                      <w:rPr>
                        <w:rFonts w:ascii="Arial"/>
                        <w:b/>
                        <w:sz w:val="14"/>
                      </w:rPr>
                    </w:pPr>
                    <w:r>
                      <w:rPr>
                        <w:rFonts w:ascii="Arial"/>
                        <w:b/>
                        <w:color w:val="FFFFFF"/>
                        <w:sz w:val="14"/>
                      </w:rPr>
                      <w:t>YEAR</w:t>
                    </w:r>
                    <w:r>
                      <w:rPr>
                        <w:rFonts w:ascii="Arial"/>
                        <w:b/>
                        <w:color w:val="FFFFFF"/>
                        <w:spacing w:val="-17"/>
                        <w:sz w:val="14"/>
                      </w:rPr>
                      <w:t> </w:t>
                    </w:r>
                    <w:r>
                      <w:rPr>
                        <w:rFonts w:ascii="Arial"/>
                        <w:b/>
                        <w:color w:val="FFFFFF"/>
                        <w:sz w:val="14"/>
                      </w:rPr>
                      <w:t>7</w:t>
                    </w:r>
                    <w:r>
                      <w:rPr>
                        <w:rFonts w:ascii="Arial"/>
                        <w:b/>
                        <w:color w:val="FFFFFF"/>
                        <w:spacing w:val="-20"/>
                        <w:sz w:val="14"/>
                      </w:rPr>
                      <w:t> </w:t>
                    </w:r>
                    <w:r>
                      <w:rPr>
                        <w:rFonts w:ascii="Arial"/>
                        <w:b/>
                        <w:color w:val="FFFFFF"/>
                        <w:sz w:val="14"/>
                      </w:rPr>
                      <w:t>TREND</w:t>
                    </w:r>
                    <w:r>
                      <w:rPr>
                        <w:rFonts w:ascii="Arial"/>
                        <w:b/>
                        <w:color w:val="FFFFFF"/>
                        <w:spacing w:val="-17"/>
                        <w:sz w:val="14"/>
                      </w:rPr>
                      <w:t> </w:t>
                    </w:r>
                    <w:r>
                      <w:rPr>
                        <w:rFonts w:ascii="Arial"/>
                        <w:b/>
                        <w:color w:val="FFFFFF"/>
                        <w:spacing w:val="-6"/>
                        <w:sz w:val="14"/>
                      </w:rPr>
                      <w:t>DATA</w:t>
                    </w:r>
                  </w:p>
                </w:txbxContent>
              </v:textbox>
              <w10:wrap type="none"/>
            </v:shape>
            <w10:wrap type="topAndBottom"/>
          </v:group>
        </w:pict>
      </w:r>
      <w:r>
        <w:rPr>
          <w:color w:val="0F6161"/>
          <w:w w:val="105"/>
          <w:sz w:val="40"/>
        </w:rPr>
        <w:t>What has changed?</w:t>
      </w:r>
    </w:p>
    <w:p>
      <w:pPr>
        <w:pStyle w:val="BodyText"/>
        <w:spacing w:before="9"/>
        <w:rPr>
          <w:sz w:val="13"/>
        </w:rPr>
      </w:pPr>
    </w:p>
    <w:p>
      <w:pPr>
        <w:spacing w:line="252" w:lineRule="auto" w:before="94"/>
        <w:ind w:left="1700" w:right="1917" w:firstLine="0"/>
        <w:jc w:val="left"/>
        <w:rPr>
          <w:sz w:val="21"/>
        </w:rPr>
      </w:pPr>
      <w:r>
        <w:rPr>
          <w:b/>
          <w:color w:val="231F20"/>
          <w:w w:val="105"/>
          <w:sz w:val="21"/>
        </w:rPr>
        <w:t>Year 1 baseline trend data</w:t>
      </w:r>
      <w:r>
        <w:rPr>
          <w:color w:val="231F20"/>
          <w:w w:val="105"/>
          <w:sz w:val="21"/>
        </w:rPr>
        <w:t>: 1 court published an Annual Report that was accessible to the public online in the following years.</w:t>
      </w:r>
    </w:p>
    <w:p>
      <w:pPr>
        <w:pStyle w:val="BodyText"/>
        <w:spacing w:line="252" w:lineRule="auto" w:before="172"/>
        <w:ind w:left="1700" w:right="1917"/>
      </w:pPr>
      <w:r>
        <w:rPr>
          <w:b/>
          <w:color w:val="231F20"/>
          <w:w w:val="105"/>
        </w:rPr>
        <w:t>Year 4 trend data</w:t>
      </w:r>
      <w:r>
        <w:rPr>
          <w:color w:val="231F20"/>
          <w:w w:val="105"/>
        </w:rPr>
        <w:t>: 10 courts published an Annual Report that was accessible to the public online in the following year.</w:t>
      </w:r>
    </w:p>
    <w:p>
      <w:pPr>
        <w:pStyle w:val="BodyText"/>
        <w:spacing w:line="252" w:lineRule="auto" w:before="172"/>
        <w:ind w:left="1700" w:right="1633"/>
      </w:pPr>
      <w:r>
        <w:rPr>
          <w:b/>
          <w:color w:val="231F20"/>
          <w:w w:val="105"/>
        </w:rPr>
        <w:t>Year 7 trend data</w:t>
      </w:r>
      <w:r>
        <w:rPr>
          <w:color w:val="231F20"/>
          <w:w w:val="105"/>
        </w:rPr>
        <w:t>: 6 courts published an Annual Report that was accessible to the public online in the following year.</w:t>
      </w:r>
    </w:p>
    <w:p>
      <w:pPr>
        <w:pStyle w:val="BodyText"/>
        <w:spacing w:before="12"/>
        <w:rPr>
          <w:sz w:val="24"/>
        </w:rPr>
      </w:pPr>
      <w:r>
        <w:rPr/>
        <w:pict>
          <v:group style="position:absolute;margin-left:85.039398pt;margin-top:17.200817pt;width:79.4pt;height:22.7pt;mso-position-horizontal-relative:page;mso-position-vertical-relative:paragraph;z-index:11752;mso-wrap-distance-left:0;mso-wrap-distance-right:0" coordorigin="1701,344" coordsize="1588,454">
            <v:shape style="position:absolute;left:1700;top:344;width:1588;height:454" coordorigin="1701,344" coordsize="1588,454" path="m3088,344l1701,344,1701,798,3088,798,3204,794,3263,773,3285,713,3288,598,3288,544,3285,428,3263,369,3204,347,3088,344xe" filled="true" fillcolor="#7d8440" stroked="false">
              <v:path arrowok="t"/>
              <v:fill type="solid"/>
            </v:shape>
            <v:shape style="position:absolute;left:1700;top:344;width:1588;height:454" type="#_x0000_t202" filled="false" stroked="false">
              <v:textbox inset="0,0,0,0">
                <w:txbxContent>
                  <w:p>
                    <w:pPr>
                      <w:spacing w:before="19"/>
                      <w:ind w:left="56" w:right="0" w:firstLine="0"/>
                      <w:jc w:val="left"/>
                      <w:rPr>
                        <w:sz w:val="32"/>
                      </w:rPr>
                    </w:pPr>
                    <w:r>
                      <w:rPr>
                        <w:color w:val="FFFFFF"/>
                        <w:w w:val="110"/>
                        <w:sz w:val="32"/>
                      </w:rPr>
                      <w:t>Change 2</w:t>
                    </w:r>
                  </w:p>
                </w:txbxContent>
              </v:textbox>
              <w10:wrap type="none"/>
            </v:shape>
            <w10:wrap type="topAndBottom"/>
          </v:group>
        </w:pict>
      </w:r>
    </w:p>
    <w:p>
      <w:pPr>
        <w:pStyle w:val="BodyText"/>
        <w:spacing w:line="252" w:lineRule="auto" w:before="82"/>
        <w:ind w:left="1700" w:right="1696"/>
        <w:jc w:val="both"/>
      </w:pPr>
      <w:r>
        <w:rPr>
          <w:color w:val="231F20"/>
          <w:spacing w:val="-3"/>
          <w:w w:val="105"/>
        </w:rPr>
        <w:t>The </w:t>
      </w:r>
      <w:r>
        <w:rPr>
          <w:color w:val="231F20"/>
          <w:w w:val="105"/>
        </w:rPr>
        <w:t>depth and quality of court performance reporting has improved significantly since the PJDP Baseline Report with more PJSI partner courts using the tools developed over the last eight</w:t>
      </w:r>
      <w:r>
        <w:rPr>
          <w:color w:val="231F20"/>
          <w:spacing w:val="13"/>
          <w:w w:val="105"/>
        </w:rPr>
        <w:t> </w:t>
      </w:r>
      <w:r>
        <w:rPr>
          <w:color w:val="231F20"/>
          <w:w w:val="105"/>
        </w:rPr>
        <w:t>years</w:t>
      </w:r>
      <w:r>
        <w:rPr>
          <w:color w:val="231F20"/>
          <w:spacing w:val="13"/>
          <w:w w:val="105"/>
        </w:rPr>
        <w:t> </w:t>
      </w:r>
      <w:r>
        <w:rPr>
          <w:color w:val="231F20"/>
          <w:w w:val="105"/>
        </w:rPr>
        <w:t>to</w:t>
      </w:r>
      <w:r>
        <w:rPr>
          <w:color w:val="231F20"/>
          <w:spacing w:val="13"/>
          <w:w w:val="105"/>
        </w:rPr>
        <w:t> </w:t>
      </w:r>
      <w:r>
        <w:rPr>
          <w:color w:val="231F20"/>
          <w:w w:val="105"/>
        </w:rPr>
        <w:t>show</w:t>
      </w:r>
      <w:r>
        <w:rPr>
          <w:color w:val="231F20"/>
          <w:spacing w:val="13"/>
          <w:w w:val="105"/>
        </w:rPr>
        <w:t> </w:t>
      </w:r>
      <w:r>
        <w:rPr>
          <w:color w:val="231F20"/>
          <w:w w:val="105"/>
        </w:rPr>
        <w:t>trends</w:t>
      </w:r>
      <w:r>
        <w:rPr>
          <w:color w:val="231F20"/>
          <w:spacing w:val="13"/>
          <w:w w:val="105"/>
        </w:rPr>
        <w:t> </w:t>
      </w:r>
      <w:r>
        <w:rPr>
          <w:color w:val="231F20"/>
          <w:w w:val="105"/>
        </w:rPr>
        <w:t>against</w:t>
      </w:r>
      <w:r>
        <w:rPr>
          <w:color w:val="231F20"/>
          <w:spacing w:val="13"/>
          <w:w w:val="105"/>
        </w:rPr>
        <w:t> </w:t>
      </w:r>
      <w:r>
        <w:rPr>
          <w:color w:val="231F20"/>
          <w:w w:val="105"/>
        </w:rPr>
        <w:t>the</w:t>
      </w:r>
      <w:r>
        <w:rPr>
          <w:color w:val="231F20"/>
          <w:spacing w:val="13"/>
          <w:w w:val="105"/>
        </w:rPr>
        <w:t> </w:t>
      </w:r>
      <w:r>
        <w:rPr>
          <w:color w:val="231F20"/>
          <w:w w:val="105"/>
        </w:rPr>
        <w:t>15</w:t>
      </w:r>
      <w:r>
        <w:rPr>
          <w:color w:val="231F20"/>
          <w:spacing w:val="13"/>
          <w:w w:val="105"/>
        </w:rPr>
        <w:t> </w:t>
      </w:r>
      <w:r>
        <w:rPr>
          <w:color w:val="231F20"/>
          <w:w w:val="105"/>
        </w:rPr>
        <w:t>Cook</w:t>
      </w:r>
      <w:r>
        <w:rPr>
          <w:color w:val="231F20"/>
          <w:spacing w:val="13"/>
          <w:w w:val="105"/>
        </w:rPr>
        <w:t> </w:t>
      </w:r>
      <w:r>
        <w:rPr>
          <w:color w:val="231F20"/>
          <w:w w:val="105"/>
        </w:rPr>
        <w:t>Island</w:t>
      </w:r>
      <w:r>
        <w:rPr>
          <w:color w:val="231F20"/>
          <w:spacing w:val="13"/>
          <w:w w:val="105"/>
        </w:rPr>
        <w:t> </w:t>
      </w:r>
      <w:r>
        <w:rPr>
          <w:color w:val="231F20"/>
          <w:w w:val="105"/>
        </w:rPr>
        <w:t>Indicators</w:t>
      </w:r>
      <w:r>
        <w:rPr>
          <w:color w:val="231F20"/>
          <w:spacing w:val="13"/>
          <w:w w:val="105"/>
        </w:rPr>
        <w:t> </w:t>
      </w:r>
      <w:r>
        <w:rPr>
          <w:color w:val="231F20"/>
          <w:w w:val="105"/>
        </w:rPr>
        <w:t>on</w:t>
      </w:r>
      <w:r>
        <w:rPr>
          <w:color w:val="231F20"/>
          <w:spacing w:val="13"/>
          <w:w w:val="105"/>
        </w:rPr>
        <w:t> </w:t>
      </w:r>
      <w:r>
        <w:rPr>
          <w:color w:val="231F20"/>
          <w:w w:val="105"/>
        </w:rPr>
        <w:t>court</w:t>
      </w:r>
      <w:r>
        <w:rPr>
          <w:color w:val="231F20"/>
          <w:spacing w:val="13"/>
          <w:w w:val="105"/>
        </w:rPr>
        <w:t> </w:t>
      </w:r>
      <w:r>
        <w:rPr>
          <w:color w:val="231F20"/>
          <w:w w:val="105"/>
        </w:rPr>
        <w:t>performance.</w:t>
      </w:r>
    </w:p>
    <w:p>
      <w:pPr>
        <w:spacing w:after="0" w:line="252" w:lineRule="auto"/>
        <w:jc w:val="both"/>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87648"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39</w:t>
      </w:r>
    </w:p>
    <w:p>
      <w:pPr>
        <w:pStyle w:val="BodyText"/>
        <w:rPr>
          <w:sz w:val="20"/>
        </w:rPr>
      </w:pPr>
    </w:p>
    <w:p>
      <w:pPr>
        <w:pStyle w:val="BodyText"/>
        <w:rPr>
          <w:sz w:val="20"/>
        </w:rPr>
      </w:pPr>
    </w:p>
    <w:p>
      <w:pPr>
        <w:pStyle w:val="BodyText"/>
        <w:rPr>
          <w:sz w:val="20"/>
        </w:rPr>
      </w:pPr>
    </w:p>
    <w:p>
      <w:pPr>
        <w:pStyle w:val="BodyText"/>
        <w:spacing w:before="2"/>
      </w:pPr>
      <w:r>
        <w:rPr/>
        <w:pict>
          <v:shape style="position:absolute;margin-left:85.039001pt;margin-top:14.154031pt;width:425.2pt;height:14.2pt;mso-position-horizontal-relative:page;mso-position-vertical-relative:paragraph;z-index:11824;mso-wrap-distance-left:0;mso-wrap-distance-right:0" type="#_x0000_t202" filled="true" fillcolor="#f2cdbe" stroked="false">
            <v:textbox inset="0,0,0,0">
              <w:txbxContent>
                <w:p>
                  <w:pPr>
                    <w:spacing w:before="42"/>
                    <w:ind w:left="170" w:right="0" w:firstLine="0"/>
                    <w:jc w:val="left"/>
                    <w:rPr>
                      <w:sz w:val="15"/>
                    </w:rPr>
                  </w:pPr>
                  <w:r>
                    <w:rPr>
                      <w:color w:val="231F20"/>
                      <w:w w:val="105"/>
                      <w:sz w:val="15"/>
                    </w:rPr>
                    <w:t>Does not produce an annual report for the previous year</w:t>
                  </w:r>
                </w:p>
              </w:txbxContent>
            </v:textbox>
            <v:fill type="solid"/>
            <w10:wrap type="topAndBottom"/>
          </v:shape>
        </w:pict>
      </w:r>
    </w:p>
    <w:p>
      <w:pPr>
        <w:pStyle w:val="BodyText"/>
        <w:spacing w:before="5"/>
        <w:rPr>
          <w:sz w:val="3"/>
        </w:rPr>
      </w:pPr>
    </w:p>
    <w:p>
      <w:pPr>
        <w:pStyle w:val="BodyText"/>
        <w:ind w:left="1700"/>
        <w:rPr>
          <w:sz w:val="20"/>
        </w:rPr>
      </w:pPr>
      <w:r>
        <w:rPr>
          <w:sz w:val="20"/>
        </w:rPr>
        <w:pict>
          <v:shape style="width:425.2pt;height:14.2pt;mso-position-horizontal-relative:char;mso-position-vertical-relative:line" type="#_x0000_t202" filled="true" fillcolor="#d8e3ce" stroked="false">
            <w10:anchorlock/>
            <v:textbox inset="0,0,0,0">
              <w:txbxContent>
                <w:p>
                  <w:pPr>
                    <w:spacing w:before="42"/>
                    <w:ind w:left="170" w:right="0" w:firstLine="0"/>
                    <w:jc w:val="left"/>
                    <w:rPr>
                      <w:sz w:val="15"/>
                    </w:rPr>
                  </w:pPr>
                  <w:r>
                    <w:rPr>
                      <w:color w:val="231F20"/>
                      <w:w w:val="110"/>
                      <w:sz w:val="15"/>
                    </w:rPr>
                    <w:t>Annual report is publicly available for the previous year</w:t>
                  </w:r>
                </w:p>
              </w:txbxContent>
            </v:textbox>
            <v:fill type="solid"/>
          </v:shape>
        </w:pict>
      </w:r>
      <w:r>
        <w:rPr>
          <w:sz w:val="20"/>
        </w:rPr>
      </w:r>
    </w:p>
    <w:p>
      <w:pPr>
        <w:pStyle w:val="BodyText"/>
        <w:spacing w:before="3"/>
        <w:rPr>
          <w:sz w:val="3"/>
        </w:rPr>
      </w:pPr>
    </w:p>
    <w:p>
      <w:pPr>
        <w:pStyle w:val="BodyText"/>
        <w:ind w:left="1700"/>
        <w:rPr>
          <w:sz w:val="20"/>
        </w:rPr>
      </w:pPr>
      <w:r>
        <w:rPr>
          <w:sz w:val="20"/>
        </w:rPr>
        <w:pict>
          <v:shape style="width:425.2pt;height:22.7pt;mso-position-horizontal-relative:char;mso-position-vertical-relative:line" type="#_x0000_t202" filled="true" fillcolor="#f5e3b9" stroked="false">
            <w10:anchorlock/>
            <v:textbox inset="0,0,0,0">
              <w:txbxContent>
                <w:p>
                  <w:pPr>
                    <w:spacing w:line="223" w:lineRule="auto" w:before="52"/>
                    <w:ind w:left="170" w:right="403" w:firstLine="0"/>
                    <w:jc w:val="left"/>
                    <w:rPr>
                      <w:sz w:val="15"/>
                    </w:rPr>
                  </w:pPr>
                  <w:r>
                    <w:rPr>
                      <w:color w:val="231F20"/>
                      <w:w w:val="105"/>
                      <w:sz w:val="15"/>
                    </w:rPr>
                    <w:t>Court produces an Annual Report but it is not clear how the public can access it/or there is not an Annual Report for the previous reporting period</w:t>
                  </w:r>
                </w:p>
              </w:txbxContent>
            </v:textbox>
            <v:fill type="solid"/>
          </v:shape>
        </w:pict>
      </w:r>
      <w:r>
        <w:rPr>
          <w:sz w:val="20"/>
        </w:rPr>
      </w:r>
    </w:p>
    <w:p>
      <w:pPr>
        <w:pStyle w:val="BodyText"/>
        <w:spacing w:line="252" w:lineRule="auto" w:before="307"/>
        <w:ind w:left="1700" w:right="1917"/>
      </w:pPr>
      <w:r>
        <w:rPr/>
        <w:pict>
          <v:shape style="position:absolute;margin-left:202.425201pt;margin-top:96.254639pt;width:57.35pt;height:111.2pt;mso-position-horizontal-relative:page;mso-position-vertical-relative:paragraph;z-index:-187720" type="#_x0000_t202" filled="false" stroked="false">
            <v:textbox inset="0,0,0,0">
              <w:txbxContent>
                <w:p>
                  <w:pPr>
                    <w:spacing w:line="223" w:lineRule="auto" w:before="9"/>
                    <w:ind w:left="0" w:right="0" w:firstLine="0"/>
                    <w:jc w:val="left"/>
                    <w:rPr>
                      <w:sz w:val="15"/>
                    </w:rPr>
                  </w:pPr>
                  <w:r>
                    <w:rPr>
                      <w:color w:val="231F20"/>
                      <w:spacing w:val="-3"/>
                      <w:w w:val="105"/>
                      <w:sz w:val="15"/>
                    </w:rPr>
                    <w:t>Hardcopy </w:t>
                  </w:r>
                  <w:r>
                    <w:rPr>
                      <w:color w:val="231F20"/>
                      <w:w w:val="105"/>
                      <w:sz w:val="15"/>
                    </w:rPr>
                    <w:t>Chief </w:t>
                  </w:r>
                  <w:r>
                    <w:rPr>
                      <w:color w:val="231F20"/>
                      <w:spacing w:val="-3"/>
                      <w:w w:val="105"/>
                      <w:sz w:val="15"/>
                    </w:rPr>
                    <w:t>Justice </w:t>
                  </w:r>
                  <w:r>
                    <w:rPr>
                      <w:color w:val="231F20"/>
                      <w:w w:val="105"/>
                      <w:sz w:val="15"/>
                    </w:rPr>
                    <w:t>of Kiribati presents a </w:t>
                  </w:r>
                  <w:r>
                    <w:rPr>
                      <w:color w:val="231F20"/>
                      <w:spacing w:val="-3"/>
                      <w:w w:val="105"/>
                      <w:sz w:val="15"/>
                    </w:rPr>
                    <w:t>speech </w:t>
                  </w:r>
                  <w:r>
                    <w:rPr>
                      <w:color w:val="231F20"/>
                      <w:w w:val="105"/>
                      <w:sz w:val="15"/>
                    </w:rPr>
                    <w:t>containing court performance</w:t>
                  </w:r>
                  <w:r>
                    <w:rPr>
                      <w:color w:val="231F20"/>
                      <w:spacing w:val="-11"/>
                      <w:w w:val="105"/>
                      <w:sz w:val="15"/>
                    </w:rPr>
                    <w:t> </w:t>
                  </w:r>
                  <w:r>
                    <w:rPr>
                      <w:color w:val="231F20"/>
                      <w:w w:val="105"/>
                      <w:sz w:val="15"/>
                    </w:rPr>
                    <w:t>data at the start of </w:t>
                  </w:r>
                  <w:r>
                    <w:rPr>
                      <w:color w:val="231F20"/>
                      <w:spacing w:val="-2"/>
                      <w:w w:val="105"/>
                      <w:sz w:val="15"/>
                    </w:rPr>
                    <w:t>the </w:t>
                  </w:r>
                  <w:r>
                    <w:rPr>
                      <w:color w:val="231F20"/>
                      <w:w w:val="105"/>
                      <w:sz w:val="15"/>
                    </w:rPr>
                    <w:t>Legal </w:t>
                  </w:r>
                  <w:r>
                    <w:rPr>
                      <w:color w:val="231F20"/>
                      <w:spacing w:val="-8"/>
                      <w:w w:val="105"/>
                      <w:sz w:val="15"/>
                    </w:rPr>
                    <w:t>Year. </w:t>
                  </w:r>
                  <w:r>
                    <w:rPr>
                      <w:color w:val="231F20"/>
                      <w:w w:val="105"/>
                      <w:sz w:val="15"/>
                    </w:rPr>
                    <w:t>It is not clear</w:t>
                  </w:r>
                  <w:r>
                    <w:rPr>
                      <w:color w:val="231F20"/>
                      <w:spacing w:val="11"/>
                      <w:w w:val="105"/>
                      <w:sz w:val="15"/>
                    </w:rPr>
                    <w:t> </w:t>
                  </w:r>
                  <w:r>
                    <w:rPr>
                      <w:color w:val="231F20"/>
                      <w:spacing w:val="-2"/>
                      <w:w w:val="105"/>
                      <w:sz w:val="15"/>
                    </w:rPr>
                    <w:t>how</w:t>
                  </w:r>
                </w:p>
                <w:p>
                  <w:pPr>
                    <w:spacing w:line="223" w:lineRule="auto" w:before="0"/>
                    <w:ind w:left="0" w:right="40" w:firstLine="0"/>
                    <w:jc w:val="left"/>
                    <w:rPr>
                      <w:sz w:val="15"/>
                    </w:rPr>
                  </w:pPr>
                  <w:r>
                    <w:rPr>
                      <w:color w:val="231F20"/>
                      <w:w w:val="105"/>
                      <w:sz w:val="15"/>
                    </w:rPr>
                    <w:t>the public who do not attend this event would otherwise access this information</w:t>
                  </w:r>
                </w:p>
              </w:txbxContent>
            </v:textbox>
            <w10:wrap type="none"/>
          </v:shape>
        </w:pict>
      </w:r>
      <w:r>
        <w:rPr/>
        <w:pict>
          <v:shape style="position:absolute;margin-left:448.094513pt;margin-top:93.420036pt;width:55.55pt;height:111.2pt;mso-position-horizontal-relative:page;mso-position-vertical-relative:paragraph;z-index:-187696" type="#_x0000_t202" filled="false" stroked="false">
            <v:textbox inset="0,0,0,0">
              <w:txbxContent>
                <w:p>
                  <w:pPr>
                    <w:spacing w:line="176" w:lineRule="exact" w:before="0"/>
                    <w:ind w:left="0" w:right="0" w:firstLine="0"/>
                    <w:jc w:val="left"/>
                    <w:rPr>
                      <w:sz w:val="15"/>
                    </w:rPr>
                  </w:pPr>
                  <w:r>
                    <w:rPr>
                      <w:color w:val="231F20"/>
                      <w:w w:val="115"/>
                      <w:sz w:val="15"/>
                    </w:rPr>
                    <w:t>Hardcopy</w:t>
                  </w:r>
                </w:p>
                <w:p>
                  <w:pPr>
                    <w:spacing w:line="170" w:lineRule="exact" w:before="0"/>
                    <w:ind w:left="0" w:right="0" w:firstLine="0"/>
                    <w:jc w:val="left"/>
                    <w:rPr>
                      <w:sz w:val="15"/>
                    </w:rPr>
                  </w:pPr>
                  <w:r>
                    <w:rPr>
                      <w:b/>
                      <w:color w:val="231F20"/>
                      <w:w w:val="110"/>
                      <w:sz w:val="15"/>
                    </w:rPr>
                    <w:t>Yes </w:t>
                  </w:r>
                  <w:r>
                    <w:rPr>
                      <w:color w:val="231F20"/>
                      <w:w w:val="110"/>
                      <w:sz w:val="15"/>
                    </w:rPr>
                    <w:t>(2010)</w:t>
                  </w:r>
                </w:p>
                <w:p>
                  <w:pPr>
                    <w:spacing w:line="223" w:lineRule="auto" w:before="3"/>
                    <w:ind w:left="0" w:right="148" w:firstLine="0"/>
                    <w:jc w:val="left"/>
                    <w:rPr>
                      <w:sz w:val="15"/>
                    </w:rPr>
                  </w:pPr>
                  <w:r>
                    <w:rPr>
                      <w:color w:val="231F20"/>
                      <w:spacing w:val="-3"/>
                      <w:w w:val="105"/>
                      <w:sz w:val="15"/>
                    </w:rPr>
                    <w:t>Performance </w:t>
                  </w:r>
                  <w:r>
                    <w:rPr>
                      <w:color w:val="231F20"/>
                      <w:w w:val="105"/>
                      <w:sz w:val="15"/>
                    </w:rPr>
                    <w:t>Report to </w:t>
                  </w:r>
                  <w:r>
                    <w:rPr>
                      <w:color w:val="231F20"/>
                      <w:spacing w:val="-4"/>
                      <w:w w:val="105"/>
                      <w:sz w:val="15"/>
                    </w:rPr>
                    <w:t>Parliament </w:t>
                  </w:r>
                  <w:r>
                    <w:rPr>
                      <w:color w:val="231F20"/>
                      <w:w w:val="105"/>
                      <w:sz w:val="15"/>
                    </w:rPr>
                    <w:t>occurs,  </w:t>
                  </w:r>
                  <w:r>
                    <w:rPr>
                      <w:color w:val="231F20"/>
                      <w:spacing w:val="-2"/>
                      <w:w w:val="105"/>
                      <w:sz w:val="15"/>
                    </w:rPr>
                    <w:t>but </w:t>
                  </w:r>
                  <w:r>
                    <w:rPr>
                      <w:color w:val="231F20"/>
                      <w:w w:val="105"/>
                      <w:sz w:val="15"/>
                    </w:rPr>
                    <w:t>the public </w:t>
                  </w:r>
                  <w:r>
                    <w:rPr>
                      <w:color w:val="231F20"/>
                      <w:spacing w:val="-2"/>
                      <w:w w:val="105"/>
                      <w:sz w:val="15"/>
                    </w:rPr>
                    <w:t>has </w:t>
                  </w:r>
                  <w:r>
                    <w:rPr>
                      <w:color w:val="231F20"/>
                      <w:w w:val="105"/>
                      <w:sz w:val="15"/>
                    </w:rPr>
                    <w:t>to request </w:t>
                  </w:r>
                  <w:r>
                    <w:rPr>
                      <w:color w:val="231F20"/>
                      <w:spacing w:val="-2"/>
                      <w:w w:val="105"/>
                      <w:sz w:val="15"/>
                    </w:rPr>
                    <w:t>the </w:t>
                  </w:r>
                  <w:r>
                    <w:rPr>
                      <w:color w:val="231F20"/>
                      <w:w w:val="105"/>
                      <w:sz w:val="15"/>
                    </w:rPr>
                    <w:t>document as it is not</w:t>
                  </w:r>
                  <w:r>
                    <w:rPr>
                      <w:color w:val="231F20"/>
                      <w:spacing w:val="-10"/>
                      <w:w w:val="105"/>
                      <w:sz w:val="15"/>
                    </w:rPr>
                    <w:t> </w:t>
                  </w:r>
                  <w:r>
                    <w:rPr>
                      <w:color w:val="231F20"/>
                      <w:w w:val="105"/>
                      <w:sz w:val="15"/>
                    </w:rPr>
                    <w:t>referred</w:t>
                  </w:r>
                </w:p>
                <w:p>
                  <w:pPr>
                    <w:spacing w:line="223" w:lineRule="auto" w:before="0"/>
                    <w:ind w:left="0" w:right="0" w:firstLine="0"/>
                    <w:jc w:val="left"/>
                    <w:rPr>
                      <w:sz w:val="15"/>
                    </w:rPr>
                  </w:pPr>
                  <w:r>
                    <w:rPr>
                      <w:color w:val="231F20"/>
                      <w:w w:val="110"/>
                      <w:sz w:val="15"/>
                    </w:rPr>
                    <w:t>to on the Palau </w:t>
                  </w:r>
                  <w:r>
                    <w:rPr>
                      <w:color w:val="231F20"/>
                      <w:w w:val="105"/>
                      <w:sz w:val="15"/>
                    </w:rPr>
                    <w:t>judiciary website </w:t>
                  </w:r>
                  <w:r>
                    <w:rPr>
                      <w:color w:val="231F20"/>
                      <w:w w:val="110"/>
                      <w:sz w:val="15"/>
                    </w:rPr>
                    <w:t>or noticeboard</w:t>
                  </w:r>
                </w:p>
              </w:txbxContent>
            </v:textbox>
            <w10:wrap type="none"/>
          </v:shape>
        </w:pict>
      </w:r>
      <w:r>
        <w:rPr>
          <w:color w:val="231F20"/>
          <w:w w:val="105"/>
        </w:rPr>
        <w:t>Court produces or contributes to an Annual Report that is publicly available for the previous year – 2011 Baseline Report</w:t>
      </w:r>
    </w:p>
    <w:p>
      <w:pPr>
        <w:pStyle w:val="BodyText"/>
        <w:spacing w:before="7"/>
        <w:rPr>
          <w:sz w:val="5"/>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139"/>
        <w:gridCol w:w="1349"/>
        <w:gridCol w:w="1247"/>
        <w:gridCol w:w="1224"/>
        <w:gridCol w:w="1092"/>
        <w:gridCol w:w="1318"/>
      </w:tblGrid>
      <w:tr>
        <w:trPr>
          <w:trHeight w:val="632" w:hRule="atLeast"/>
        </w:trPr>
        <w:tc>
          <w:tcPr>
            <w:tcW w:w="1124" w:type="dxa"/>
            <w:shd w:val="clear" w:color="auto" w:fill="92BAC2"/>
          </w:tcPr>
          <w:p>
            <w:pPr>
              <w:pStyle w:val="TableParagraph"/>
              <w:spacing w:before="75"/>
              <w:ind w:left="80"/>
              <w:rPr>
                <w:b/>
                <w:sz w:val="15"/>
              </w:rPr>
            </w:pPr>
            <w:r>
              <w:rPr>
                <w:b/>
                <w:color w:val="231F20"/>
                <w:w w:val="110"/>
                <w:sz w:val="15"/>
              </w:rPr>
              <w:t>Cook Islands</w:t>
            </w:r>
          </w:p>
        </w:tc>
        <w:tc>
          <w:tcPr>
            <w:tcW w:w="1139" w:type="dxa"/>
            <w:tcBorders>
              <w:right w:val="single" w:sz="6" w:space="0" w:color="808285"/>
            </w:tcBorders>
            <w:shd w:val="clear" w:color="auto" w:fill="92BAC2"/>
          </w:tcPr>
          <w:p>
            <w:pPr>
              <w:pStyle w:val="TableParagraph"/>
              <w:spacing w:line="223" w:lineRule="auto" w:before="85"/>
              <w:ind w:left="79" w:right="301"/>
              <w:rPr>
                <w:b/>
                <w:sz w:val="15"/>
              </w:rPr>
            </w:pPr>
            <w:r>
              <w:rPr>
                <w:b/>
                <w:color w:val="231F20"/>
                <w:w w:val="105"/>
                <w:sz w:val="15"/>
              </w:rPr>
              <w:t>Federated States of Micronesia</w:t>
            </w:r>
          </w:p>
        </w:tc>
        <w:tc>
          <w:tcPr>
            <w:tcW w:w="1349" w:type="dxa"/>
            <w:tcBorders>
              <w:left w:val="single" w:sz="6" w:space="0" w:color="808285"/>
              <w:right w:val="single" w:sz="6" w:space="0" w:color="808285"/>
            </w:tcBorders>
            <w:shd w:val="clear" w:color="auto" w:fill="92BAC2"/>
          </w:tcPr>
          <w:p>
            <w:pPr>
              <w:pStyle w:val="TableParagraph"/>
              <w:spacing w:before="75"/>
              <w:ind w:left="77"/>
              <w:rPr>
                <w:b/>
                <w:sz w:val="15"/>
              </w:rPr>
            </w:pPr>
            <w:r>
              <w:rPr>
                <w:b/>
                <w:color w:val="231F20"/>
                <w:w w:val="110"/>
                <w:sz w:val="15"/>
              </w:rPr>
              <w:t>Kiribati Islands</w:t>
            </w:r>
          </w:p>
        </w:tc>
        <w:tc>
          <w:tcPr>
            <w:tcW w:w="1247" w:type="dxa"/>
            <w:tcBorders>
              <w:left w:val="single" w:sz="6" w:space="0" w:color="808285"/>
            </w:tcBorders>
            <w:shd w:val="clear" w:color="auto" w:fill="92BAC2"/>
          </w:tcPr>
          <w:p>
            <w:pPr>
              <w:pStyle w:val="TableParagraph"/>
              <w:spacing w:before="75"/>
              <w:ind w:left="77"/>
              <w:rPr>
                <w:b/>
                <w:sz w:val="15"/>
              </w:rPr>
            </w:pPr>
            <w:r>
              <w:rPr>
                <w:b/>
                <w:color w:val="231F20"/>
                <w:w w:val="105"/>
                <w:sz w:val="15"/>
              </w:rPr>
              <w:t>Marshall Islands</w:t>
            </w:r>
          </w:p>
        </w:tc>
        <w:tc>
          <w:tcPr>
            <w:tcW w:w="1224" w:type="dxa"/>
            <w:shd w:val="clear" w:color="auto" w:fill="92BAC2"/>
          </w:tcPr>
          <w:p>
            <w:pPr>
              <w:pStyle w:val="TableParagraph"/>
              <w:spacing w:before="75"/>
              <w:ind w:left="80"/>
              <w:rPr>
                <w:b/>
                <w:sz w:val="15"/>
              </w:rPr>
            </w:pPr>
            <w:r>
              <w:rPr>
                <w:b/>
                <w:color w:val="231F20"/>
                <w:w w:val="110"/>
                <w:sz w:val="15"/>
              </w:rPr>
              <w:t>Nauru</w:t>
            </w:r>
          </w:p>
        </w:tc>
        <w:tc>
          <w:tcPr>
            <w:tcW w:w="1092" w:type="dxa"/>
            <w:shd w:val="clear" w:color="auto" w:fill="92BAC2"/>
          </w:tcPr>
          <w:p>
            <w:pPr>
              <w:pStyle w:val="TableParagraph"/>
              <w:spacing w:before="75"/>
              <w:ind w:left="80"/>
              <w:rPr>
                <w:b/>
                <w:sz w:val="15"/>
              </w:rPr>
            </w:pPr>
            <w:r>
              <w:rPr>
                <w:b/>
                <w:color w:val="231F20"/>
                <w:w w:val="110"/>
                <w:sz w:val="15"/>
              </w:rPr>
              <w:t>Niue</w:t>
            </w:r>
          </w:p>
        </w:tc>
        <w:tc>
          <w:tcPr>
            <w:tcW w:w="1318" w:type="dxa"/>
            <w:shd w:val="clear" w:color="auto" w:fill="92BAC2"/>
          </w:tcPr>
          <w:p>
            <w:pPr>
              <w:pStyle w:val="TableParagraph"/>
              <w:spacing w:before="75"/>
              <w:ind w:left="81"/>
              <w:rPr>
                <w:b/>
                <w:sz w:val="15"/>
              </w:rPr>
            </w:pPr>
            <w:r>
              <w:rPr>
                <w:b/>
                <w:color w:val="231F20"/>
                <w:w w:val="105"/>
                <w:sz w:val="15"/>
              </w:rPr>
              <w:t>Palau</w:t>
            </w:r>
          </w:p>
        </w:tc>
      </w:tr>
      <w:tr>
        <w:trPr>
          <w:trHeight w:val="330" w:hRule="atLeast"/>
        </w:trPr>
        <w:tc>
          <w:tcPr>
            <w:tcW w:w="1124" w:type="dxa"/>
            <w:vMerge w:val="restart"/>
            <w:shd w:val="clear" w:color="auto" w:fill="F2CDBE"/>
          </w:tcPr>
          <w:p>
            <w:pPr>
              <w:pStyle w:val="TableParagraph"/>
              <w:spacing w:before="75"/>
              <w:ind w:left="80"/>
              <w:rPr>
                <w:b/>
                <w:sz w:val="15"/>
              </w:rPr>
            </w:pPr>
            <w:r>
              <w:rPr>
                <w:color w:val="231F20"/>
                <w:w w:val="115"/>
                <w:sz w:val="15"/>
              </w:rPr>
              <w:t>Online </w:t>
            </w:r>
            <w:r>
              <w:rPr>
                <w:b/>
                <w:color w:val="231F20"/>
                <w:w w:val="115"/>
                <w:sz w:val="15"/>
              </w:rPr>
              <w:t>No</w:t>
            </w:r>
          </w:p>
          <w:p>
            <w:pPr>
              <w:pStyle w:val="TableParagraph"/>
              <w:spacing w:before="1"/>
              <w:rPr>
                <w:sz w:val="22"/>
              </w:rPr>
            </w:pPr>
          </w:p>
          <w:p>
            <w:pPr>
              <w:pStyle w:val="TableParagraph"/>
              <w:spacing w:line="177" w:lineRule="exact"/>
              <w:ind w:left="80"/>
              <w:rPr>
                <w:b/>
                <w:sz w:val="15"/>
              </w:rPr>
            </w:pPr>
            <w:r>
              <w:rPr>
                <w:color w:val="231F20"/>
                <w:w w:val="110"/>
                <w:sz w:val="15"/>
              </w:rPr>
              <w:t>Hardcopy </w:t>
            </w:r>
            <w:r>
              <w:rPr>
                <w:b/>
                <w:color w:val="231F20"/>
                <w:w w:val="110"/>
                <w:sz w:val="15"/>
              </w:rPr>
              <w:t>Yes</w:t>
            </w:r>
          </w:p>
          <w:p>
            <w:pPr>
              <w:pStyle w:val="TableParagraph"/>
              <w:spacing w:line="177" w:lineRule="exact"/>
              <w:ind w:left="80"/>
              <w:rPr>
                <w:sz w:val="15"/>
              </w:rPr>
            </w:pPr>
            <w:r>
              <w:rPr>
                <w:color w:val="231F20"/>
                <w:w w:val="110"/>
                <w:sz w:val="15"/>
              </w:rPr>
              <w:t>(2008)</w:t>
            </w:r>
          </w:p>
        </w:tc>
        <w:tc>
          <w:tcPr>
            <w:tcW w:w="1139" w:type="dxa"/>
            <w:vMerge w:val="restart"/>
            <w:tcBorders>
              <w:right w:val="single" w:sz="6" w:space="0" w:color="808285"/>
            </w:tcBorders>
            <w:shd w:val="clear" w:color="auto" w:fill="F2CDBE"/>
          </w:tcPr>
          <w:p>
            <w:pPr>
              <w:pStyle w:val="TableParagraph"/>
              <w:spacing w:before="75"/>
              <w:ind w:left="79"/>
              <w:rPr>
                <w:b/>
                <w:sz w:val="15"/>
              </w:rPr>
            </w:pPr>
            <w:r>
              <w:rPr>
                <w:color w:val="231F20"/>
                <w:w w:val="115"/>
                <w:sz w:val="15"/>
              </w:rPr>
              <w:t>Online </w:t>
            </w:r>
            <w:r>
              <w:rPr>
                <w:b/>
                <w:color w:val="231F20"/>
                <w:w w:val="115"/>
                <w:sz w:val="15"/>
              </w:rPr>
              <w:t>No</w:t>
            </w:r>
          </w:p>
          <w:p>
            <w:pPr>
              <w:pStyle w:val="TableParagraph"/>
              <w:spacing w:before="1"/>
              <w:rPr>
                <w:sz w:val="22"/>
              </w:rPr>
            </w:pPr>
          </w:p>
          <w:p>
            <w:pPr>
              <w:pStyle w:val="TableParagraph"/>
              <w:ind w:left="79"/>
              <w:rPr>
                <w:b/>
                <w:sz w:val="15"/>
              </w:rPr>
            </w:pPr>
            <w:r>
              <w:rPr>
                <w:color w:val="231F20"/>
                <w:w w:val="115"/>
                <w:sz w:val="15"/>
              </w:rPr>
              <w:t>Hardcopy </w:t>
            </w:r>
            <w:r>
              <w:rPr>
                <w:b/>
                <w:color w:val="231F20"/>
                <w:w w:val="115"/>
                <w:sz w:val="15"/>
              </w:rPr>
              <w:t>No</w:t>
            </w:r>
          </w:p>
        </w:tc>
        <w:tc>
          <w:tcPr>
            <w:tcW w:w="1349" w:type="dxa"/>
            <w:tcBorders>
              <w:left w:val="single" w:sz="6" w:space="0" w:color="808285"/>
              <w:right w:val="single" w:sz="6" w:space="0" w:color="808285"/>
            </w:tcBorders>
            <w:shd w:val="clear" w:color="auto" w:fill="F2CDBE"/>
          </w:tcPr>
          <w:p>
            <w:pPr>
              <w:pStyle w:val="TableParagraph"/>
              <w:spacing w:before="75"/>
              <w:ind w:left="77"/>
              <w:rPr>
                <w:b/>
                <w:sz w:val="15"/>
              </w:rPr>
            </w:pPr>
            <w:r>
              <w:rPr>
                <w:color w:val="231F20"/>
                <w:w w:val="115"/>
                <w:sz w:val="15"/>
              </w:rPr>
              <w:t>Online </w:t>
            </w:r>
            <w:r>
              <w:rPr>
                <w:b/>
                <w:color w:val="231F20"/>
                <w:w w:val="115"/>
                <w:sz w:val="15"/>
              </w:rPr>
              <w:t>No</w:t>
            </w:r>
          </w:p>
        </w:tc>
        <w:tc>
          <w:tcPr>
            <w:tcW w:w="1247" w:type="dxa"/>
            <w:vMerge w:val="restart"/>
            <w:tcBorders>
              <w:left w:val="single" w:sz="6" w:space="0" w:color="808285"/>
            </w:tcBorders>
            <w:shd w:val="clear" w:color="auto" w:fill="D8E3CE"/>
          </w:tcPr>
          <w:p>
            <w:pPr>
              <w:pStyle w:val="TableParagraph"/>
              <w:spacing w:line="177" w:lineRule="exact" w:before="75"/>
              <w:ind w:left="77"/>
              <w:rPr>
                <w:b/>
                <w:sz w:val="15"/>
              </w:rPr>
            </w:pPr>
            <w:r>
              <w:rPr>
                <w:color w:val="231F20"/>
                <w:w w:val="115"/>
                <w:sz w:val="15"/>
              </w:rPr>
              <w:t>Online </w:t>
            </w:r>
            <w:r>
              <w:rPr>
                <w:b/>
                <w:color w:val="231F20"/>
                <w:w w:val="115"/>
                <w:sz w:val="15"/>
              </w:rPr>
              <w:t>Yes</w:t>
            </w:r>
          </w:p>
          <w:p>
            <w:pPr>
              <w:pStyle w:val="TableParagraph"/>
              <w:spacing w:line="177" w:lineRule="exact"/>
              <w:ind w:left="77"/>
              <w:rPr>
                <w:sz w:val="15"/>
              </w:rPr>
            </w:pPr>
            <w:r>
              <w:rPr>
                <w:color w:val="231F20"/>
                <w:w w:val="110"/>
                <w:sz w:val="15"/>
              </w:rPr>
              <w:t>(2010)</w:t>
            </w:r>
          </w:p>
          <w:p>
            <w:pPr>
              <w:pStyle w:val="TableParagraph"/>
              <w:spacing w:before="1"/>
              <w:rPr>
                <w:sz w:val="22"/>
              </w:rPr>
            </w:pPr>
          </w:p>
          <w:p>
            <w:pPr>
              <w:pStyle w:val="TableParagraph"/>
              <w:spacing w:line="177" w:lineRule="exact"/>
              <w:ind w:left="77"/>
              <w:rPr>
                <w:b/>
                <w:sz w:val="15"/>
              </w:rPr>
            </w:pPr>
            <w:r>
              <w:rPr>
                <w:color w:val="231F20"/>
                <w:w w:val="110"/>
                <w:sz w:val="15"/>
              </w:rPr>
              <w:t>Hardcopy </w:t>
            </w:r>
            <w:r>
              <w:rPr>
                <w:b/>
                <w:color w:val="231F20"/>
                <w:w w:val="110"/>
                <w:sz w:val="15"/>
              </w:rPr>
              <w:t>Yes</w:t>
            </w:r>
          </w:p>
          <w:p>
            <w:pPr>
              <w:pStyle w:val="TableParagraph"/>
              <w:spacing w:line="177" w:lineRule="exact"/>
              <w:ind w:left="77"/>
              <w:rPr>
                <w:sz w:val="15"/>
              </w:rPr>
            </w:pPr>
            <w:r>
              <w:rPr>
                <w:color w:val="231F20"/>
                <w:w w:val="110"/>
                <w:sz w:val="15"/>
              </w:rPr>
              <w:t>(2010)</w:t>
            </w:r>
          </w:p>
        </w:tc>
        <w:tc>
          <w:tcPr>
            <w:tcW w:w="1224" w:type="dxa"/>
            <w:vMerge w:val="restart"/>
            <w:shd w:val="clear" w:color="auto" w:fill="F2CDBE"/>
          </w:tcPr>
          <w:p>
            <w:pPr>
              <w:pStyle w:val="TableParagraph"/>
              <w:spacing w:line="177" w:lineRule="exact" w:before="75"/>
              <w:ind w:left="80"/>
              <w:rPr>
                <w:b/>
                <w:sz w:val="15"/>
              </w:rPr>
            </w:pPr>
            <w:r>
              <w:rPr>
                <w:color w:val="231F20"/>
                <w:w w:val="115"/>
                <w:sz w:val="15"/>
              </w:rPr>
              <w:t>Online </w:t>
            </w:r>
            <w:r>
              <w:rPr>
                <w:b/>
                <w:color w:val="231F20"/>
                <w:w w:val="115"/>
                <w:sz w:val="15"/>
              </w:rPr>
              <w:t>Yes</w:t>
            </w:r>
          </w:p>
          <w:p>
            <w:pPr>
              <w:pStyle w:val="TableParagraph"/>
              <w:spacing w:line="177" w:lineRule="exact"/>
              <w:ind w:left="80"/>
              <w:rPr>
                <w:sz w:val="15"/>
              </w:rPr>
            </w:pPr>
            <w:r>
              <w:rPr>
                <w:color w:val="231F20"/>
                <w:w w:val="110"/>
                <w:sz w:val="15"/>
              </w:rPr>
              <w:t>(2009–2010)</w:t>
            </w:r>
          </w:p>
          <w:p>
            <w:pPr>
              <w:pStyle w:val="TableParagraph"/>
              <w:spacing w:before="1"/>
              <w:rPr>
                <w:sz w:val="22"/>
              </w:rPr>
            </w:pPr>
          </w:p>
          <w:p>
            <w:pPr>
              <w:pStyle w:val="TableParagraph"/>
              <w:spacing w:line="177" w:lineRule="exact"/>
              <w:ind w:left="80"/>
              <w:rPr>
                <w:b/>
                <w:sz w:val="15"/>
              </w:rPr>
            </w:pPr>
            <w:r>
              <w:rPr>
                <w:color w:val="231F20"/>
                <w:w w:val="110"/>
                <w:sz w:val="15"/>
              </w:rPr>
              <w:t>Hardcopy </w:t>
            </w:r>
            <w:r>
              <w:rPr>
                <w:b/>
                <w:color w:val="231F20"/>
                <w:w w:val="110"/>
                <w:sz w:val="15"/>
              </w:rPr>
              <w:t>Yes</w:t>
            </w:r>
          </w:p>
          <w:p>
            <w:pPr>
              <w:pStyle w:val="TableParagraph"/>
              <w:spacing w:line="177" w:lineRule="exact"/>
              <w:ind w:left="80"/>
              <w:rPr>
                <w:sz w:val="15"/>
              </w:rPr>
            </w:pPr>
            <w:r>
              <w:rPr>
                <w:color w:val="231F20"/>
                <w:w w:val="110"/>
                <w:sz w:val="15"/>
              </w:rPr>
              <w:t>(2009–2010)</w:t>
            </w:r>
          </w:p>
        </w:tc>
        <w:tc>
          <w:tcPr>
            <w:tcW w:w="1092" w:type="dxa"/>
            <w:vMerge w:val="restart"/>
            <w:shd w:val="clear" w:color="auto" w:fill="F5E3B9"/>
          </w:tcPr>
          <w:p>
            <w:pPr>
              <w:pStyle w:val="TableParagraph"/>
              <w:spacing w:line="177" w:lineRule="exact" w:before="75"/>
              <w:ind w:left="80"/>
              <w:rPr>
                <w:b/>
                <w:sz w:val="15"/>
              </w:rPr>
            </w:pPr>
            <w:r>
              <w:rPr>
                <w:color w:val="231F20"/>
                <w:w w:val="115"/>
                <w:sz w:val="15"/>
              </w:rPr>
              <w:t>Online </w:t>
            </w:r>
            <w:r>
              <w:rPr>
                <w:b/>
                <w:color w:val="231F20"/>
                <w:w w:val="115"/>
                <w:sz w:val="15"/>
              </w:rPr>
              <w:t>Yes</w:t>
            </w:r>
          </w:p>
          <w:p>
            <w:pPr>
              <w:pStyle w:val="TableParagraph"/>
              <w:spacing w:line="177" w:lineRule="exact"/>
              <w:ind w:left="80"/>
              <w:rPr>
                <w:sz w:val="15"/>
              </w:rPr>
            </w:pPr>
            <w:r>
              <w:rPr>
                <w:color w:val="231F20"/>
                <w:w w:val="110"/>
                <w:sz w:val="15"/>
              </w:rPr>
              <w:t>(2009–2010)</w:t>
            </w:r>
          </w:p>
          <w:p>
            <w:pPr>
              <w:pStyle w:val="TableParagraph"/>
              <w:spacing w:before="1"/>
              <w:rPr>
                <w:sz w:val="22"/>
              </w:rPr>
            </w:pPr>
          </w:p>
          <w:p>
            <w:pPr>
              <w:pStyle w:val="TableParagraph"/>
              <w:spacing w:line="177" w:lineRule="exact"/>
              <w:ind w:left="80"/>
              <w:rPr>
                <w:b/>
                <w:sz w:val="15"/>
              </w:rPr>
            </w:pPr>
            <w:r>
              <w:rPr>
                <w:color w:val="231F20"/>
                <w:w w:val="110"/>
                <w:sz w:val="15"/>
              </w:rPr>
              <w:t>Hardcopy </w:t>
            </w:r>
            <w:r>
              <w:rPr>
                <w:b/>
                <w:color w:val="231F20"/>
                <w:w w:val="110"/>
                <w:sz w:val="15"/>
              </w:rPr>
              <w:t>Yes</w:t>
            </w:r>
          </w:p>
          <w:p>
            <w:pPr>
              <w:pStyle w:val="TableParagraph"/>
              <w:spacing w:line="177" w:lineRule="exact"/>
              <w:ind w:left="80"/>
              <w:rPr>
                <w:sz w:val="15"/>
              </w:rPr>
            </w:pPr>
            <w:r>
              <w:rPr>
                <w:color w:val="231F20"/>
                <w:w w:val="110"/>
                <w:sz w:val="15"/>
              </w:rPr>
              <w:t>(2009–2010)</w:t>
            </w:r>
          </w:p>
        </w:tc>
        <w:tc>
          <w:tcPr>
            <w:tcW w:w="1318" w:type="dxa"/>
            <w:shd w:val="clear" w:color="auto" w:fill="F2CDBE"/>
          </w:tcPr>
          <w:p>
            <w:pPr>
              <w:pStyle w:val="TableParagraph"/>
              <w:spacing w:before="75"/>
              <w:ind w:left="81"/>
              <w:rPr>
                <w:b/>
                <w:sz w:val="15"/>
              </w:rPr>
            </w:pPr>
            <w:r>
              <w:rPr>
                <w:color w:val="231F20"/>
                <w:w w:val="115"/>
                <w:sz w:val="15"/>
              </w:rPr>
              <w:t>Online </w:t>
            </w:r>
            <w:r>
              <w:rPr>
                <w:b/>
                <w:color w:val="231F20"/>
                <w:w w:val="115"/>
                <w:sz w:val="15"/>
              </w:rPr>
              <w:t>No</w:t>
            </w:r>
          </w:p>
        </w:tc>
      </w:tr>
      <w:tr>
        <w:trPr>
          <w:trHeight w:val="2358" w:hRule="atLeast"/>
        </w:trPr>
        <w:tc>
          <w:tcPr>
            <w:tcW w:w="1124" w:type="dxa"/>
            <w:vMerge/>
            <w:tcBorders>
              <w:top w:val="nil"/>
            </w:tcBorders>
            <w:shd w:val="clear" w:color="auto" w:fill="F2CDBE"/>
          </w:tcPr>
          <w:p>
            <w:pPr>
              <w:rPr>
                <w:sz w:val="2"/>
                <w:szCs w:val="2"/>
              </w:rPr>
            </w:pPr>
          </w:p>
        </w:tc>
        <w:tc>
          <w:tcPr>
            <w:tcW w:w="1139" w:type="dxa"/>
            <w:vMerge/>
            <w:tcBorders>
              <w:top w:val="nil"/>
              <w:right w:val="single" w:sz="6" w:space="0" w:color="808285"/>
            </w:tcBorders>
            <w:shd w:val="clear" w:color="auto" w:fill="F2CDBE"/>
          </w:tcPr>
          <w:p>
            <w:pPr>
              <w:rPr>
                <w:sz w:val="2"/>
                <w:szCs w:val="2"/>
              </w:rPr>
            </w:pPr>
          </w:p>
        </w:tc>
        <w:tc>
          <w:tcPr>
            <w:tcW w:w="1349" w:type="dxa"/>
            <w:tcBorders>
              <w:left w:val="single" w:sz="6" w:space="0" w:color="808285"/>
              <w:bottom w:val="single" w:sz="6" w:space="0" w:color="808285"/>
              <w:right w:val="single" w:sz="6" w:space="0" w:color="808285"/>
            </w:tcBorders>
            <w:shd w:val="clear" w:color="auto" w:fill="F5E3B9"/>
          </w:tcPr>
          <w:p>
            <w:pPr>
              <w:pStyle w:val="TableParagraph"/>
              <w:spacing w:line="223" w:lineRule="auto" w:before="97"/>
              <w:ind w:left="87" w:right="98"/>
              <w:rPr>
                <w:sz w:val="15"/>
              </w:rPr>
            </w:pPr>
            <w:r>
              <w:rPr>
                <w:color w:val="231F20"/>
                <w:spacing w:val="-3"/>
                <w:w w:val="105"/>
                <w:sz w:val="15"/>
              </w:rPr>
              <w:t>Hardcopy </w:t>
            </w:r>
            <w:r>
              <w:rPr>
                <w:color w:val="231F20"/>
                <w:w w:val="105"/>
                <w:sz w:val="15"/>
              </w:rPr>
              <w:t>Chief </w:t>
            </w:r>
            <w:r>
              <w:rPr>
                <w:color w:val="231F20"/>
                <w:spacing w:val="-3"/>
                <w:w w:val="105"/>
                <w:sz w:val="15"/>
              </w:rPr>
              <w:t>Justice </w:t>
            </w:r>
            <w:r>
              <w:rPr>
                <w:color w:val="231F20"/>
                <w:w w:val="105"/>
                <w:sz w:val="15"/>
              </w:rPr>
              <w:t>of Kiribati presents a </w:t>
            </w:r>
            <w:r>
              <w:rPr>
                <w:color w:val="231F20"/>
                <w:spacing w:val="-3"/>
                <w:w w:val="105"/>
                <w:sz w:val="15"/>
              </w:rPr>
              <w:t>speech </w:t>
            </w:r>
            <w:r>
              <w:rPr>
                <w:color w:val="231F20"/>
                <w:w w:val="105"/>
                <w:sz w:val="15"/>
              </w:rPr>
              <w:t>containing court performance</w:t>
            </w:r>
            <w:r>
              <w:rPr>
                <w:color w:val="231F20"/>
                <w:spacing w:val="-10"/>
                <w:w w:val="105"/>
                <w:sz w:val="15"/>
              </w:rPr>
              <w:t> </w:t>
            </w:r>
            <w:r>
              <w:rPr>
                <w:color w:val="231F20"/>
                <w:w w:val="105"/>
                <w:sz w:val="15"/>
              </w:rPr>
              <w:t>data at the start of </w:t>
            </w:r>
            <w:r>
              <w:rPr>
                <w:color w:val="231F20"/>
                <w:spacing w:val="-2"/>
                <w:w w:val="105"/>
                <w:sz w:val="15"/>
              </w:rPr>
              <w:t>the </w:t>
            </w:r>
            <w:r>
              <w:rPr>
                <w:color w:val="231F20"/>
                <w:w w:val="105"/>
                <w:sz w:val="15"/>
              </w:rPr>
              <w:t>Legal </w:t>
            </w:r>
            <w:r>
              <w:rPr>
                <w:color w:val="231F20"/>
                <w:spacing w:val="-8"/>
                <w:w w:val="105"/>
                <w:sz w:val="15"/>
              </w:rPr>
              <w:t>Year. </w:t>
            </w:r>
            <w:r>
              <w:rPr>
                <w:color w:val="231F20"/>
                <w:w w:val="105"/>
                <w:sz w:val="15"/>
              </w:rPr>
              <w:t>It is not clear</w:t>
            </w:r>
            <w:r>
              <w:rPr>
                <w:color w:val="231F20"/>
                <w:spacing w:val="11"/>
                <w:w w:val="105"/>
                <w:sz w:val="15"/>
              </w:rPr>
              <w:t> </w:t>
            </w:r>
            <w:r>
              <w:rPr>
                <w:color w:val="231F20"/>
                <w:spacing w:val="-2"/>
                <w:w w:val="105"/>
                <w:sz w:val="15"/>
              </w:rPr>
              <w:t>how</w:t>
            </w:r>
          </w:p>
          <w:p>
            <w:pPr>
              <w:pStyle w:val="TableParagraph"/>
              <w:spacing w:line="223" w:lineRule="auto"/>
              <w:ind w:left="87" w:right="140"/>
              <w:rPr>
                <w:sz w:val="15"/>
              </w:rPr>
            </w:pPr>
            <w:r>
              <w:rPr>
                <w:color w:val="231F20"/>
                <w:w w:val="105"/>
                <w:sz w:val="15"/>
              </w:rPr>
              <w:t>the public who do not attend this event would otherwise access this information</w:t>
            </w:r>
          </w:p>
        </w:tc>
        <w:tc>
          <w:tcPr>
            <w:tcW w:w="1247" w:type="dxa"/>
            <w:vMerge/>
            <w:tcBorders>
              <w:top w:val="nil"/>
              <w:left w:val="single" w:sz="6" w:space="0" w:color="808285"/>
            </w:tcBorders>
            <w:shd w:val="clear" w:color="auto" w:fill="D8E3CE"/>
          </w:tcPr>
          <w:p>
            <w:pPr>
              <w:rPr>
                <w:sz w:val="2"/>
                <w:szCs w:val="2"/>
              </w:rPr>
            </w:pPr>
          </w:p>
        </w:tc>
        <w:tc>
          <w:tcPr>
            <w:tcW w:w="1224" w:type="dxa"/>
            <w:vMerge/>
            <w:tcBorders>
              <w:top w:val="nil"/>
            </w:tcBorders>
            <w:shd w:val="clear" w:color="auto" w:fill="F2CDBE"/>
          </w:tcPr>
          <w:p>
            <w:pPr>
              <w:rPr>
                <w:sz w:val="2"/>
                <w:szCs w:val="2"/>
              </w:rPr>
            </w:pPr>
          </w:p>
        </w:tc>
        <w:tc>
          <w:tcPr>
            <w:tcW w:w="1092" w:type="dxa"/>
            <w:vMerge/>
            <w:tcBorders>
              <w:top w:val="nil"/>
            </w:tcBorders>
            <w:shd w:val="clear" w:color="auto" w:fill="F5E3B9"/>
          </w:tcPr>
          <w:p>
            <w:pPr>
              <w:rPr>
                <w:sz w:val="2"/>
                <w:szCs w:val="2"/>
              </w:rPr>
            </w:pPr>
          </w:p>
        </w:tc>
        <w:tc>
          <w:tcPr>
            <w:tcW w:w="1318" w:type="dxa"/>
            <w:tcBorders>
              <w:bottom w:val="single" w:sz="6" w:space="0" w:color="808285"/>
            </w:tcBorders>
            <w:shd w:val="clear" w:color="auto" w:fill="F5E3B9"/>
          </w:tcPr>
          <w:p>
            <w:pPr>
              <w:pStyle w:val="TableParagraph"/>
              <w:spacing w:line="177" w:lineRule="exact" w:before="32"/>
              <w:ind w:left="87"/>
              <w:rPr>
                <w:sz w:val="15"/>
              </w:rPr>
            </w:pPr>
            <w:r>
              <w:rPr>
                <w:color w:val="231F20"/>
                <w:w w:val="115"/>
                <w:sz w:val="15"/>
              </w:rPr>
              <w:t>Hardcopy</w:t>
            </w:r>
          </w:p>
          <w:p>
            <w:pPr>
              <w:pStyle w:val="TableParagraph"/>
              <w:spacing w:line="170" w:lineRule="exact"/>
              <w:ind w:left="87"/>
              <w:rPr>
                <w:sz w:val="15"/>
              </w:rPr>
            </w:pPr>
            <w:r>
              <w:rPr>
                <w:b/>
                <w:color w:val="231F20"/>
                <w:w w:val="110"/>
                <w:sz w:val="15"/>
              </w:rPr>
              <w:t>Yes </w:t>
            </w:r>
            <w:r>
              <w:rPr>
                <w:color w:val="231F20"/>
                <w:w w:val="110"/>
                <w:sz w:val="15"/>
              </w:rPr>
              <w:t>(2010)</w:t>
            </w:r>
          </w:p>
          <w:p>
            <w:pPr>
              <w:pStyle w:val="TableParagraph"/>
              <w:spacing w:line="223" w:lineRule="auto" w:before="4"/>
              <w:ind w:left="87" w:right="258"/>
              <w:rPr>
                <w:sz w:val="15"/>
              </w:rPr>
            </w:pPr>
            <w:r>
              <w:rPr>
                <w:color w:val="231F20"/>
                <w:spacing w:val="-3"/>
                <w:w w:val="105"/>
                <w:sz w:val="15"/>
              </w:rPr>
              <w:t>Performance </w:t>
            </w:r>
            <w:r>
              <w:rPr>
                <w:color w:val="231F20"/>
                <w:w w:val="105"/>
                <w:sz w:val="15"/>
              </w:rPr>
              <w:t>Report to </w:t>
            </w:r>
            <w:r>
              <w:rPr>
                <w:color w:val="231F20"/>
                <w:spacing w:val="-4"/>
                <w:w w:val="105"/>
                <w:sz w:val="15"/>
              </w:rPr>
              <w:t>Parliament </w:t>
            </w:r>
            <w:r>
              <w:rPr>
                <w:color w:val="231F20"/>
                <w:w w:val="105"/>
                <w:sz w:val="15"/>
              </w:rPr>
              <w:t>occurs,  </w:t>
            </w:r>
            <w:r>
              <w:rPr>
                <w:color w:val="231F20"/>
                <w:spacing w:val="-2"/>
                <w:w w:val="105"/>
                <w:sz w:val="15"/>
              </w:rPr>
              <w:t>but </w:t>
            </w:r>
            <w:r>
              <w:rPr>
                <w:color w:val="231F20"/>
                <w:w w:val="105"/>
                <w:sz w:val="15"/>
              </w:rPr>
              <w:t>the public </w:t>
            </w:r>
            <w:r>
              <w:rPr>
                <w:color w:val="231F20"/>
                <w:spacing w:val="-2"/>
                <w:w w:val="105"/>
                <w:sz w:val="15"/>
              </w:rPr>
              <w:t>has </w:t>
            </w:r>
            <w:r>
              <w:rPr>
                <w:color w:val="231F20"/>
                <w:w w:val="105"/>
                <w:sz w:val="15"/>
              </w:rPr>
              <w:t>to request </w:t>
            </w:r>
            <w:r>
              <w:rPr>
                <w:color w:val="231F20"/>
                <w:spacing w:val="-2"/>
                <w:w w:val="105"/>
                <w:sz w:val="15"/>
              </w:rPr>
              <w:t>the </w:t>
            </w:r>
            <w:r>
              <w:rPr>
                <w:color w:val="231F20"/>
                <w:w w:val="105"/>
                <w:sz w:val="15"/>
              </w:rPr>
              <w:t>document as it is not</w:t>
            </w:r>
            <w:r>
              <w:rPr>
                <w:color w:val="231F20"/>
                <w:spacing w:val="-10"/>
                <w:w w:val="105"/>
                <w:sz w:val="15"/>
              </w:rPr>
              <w:t> </w:t>
            </w:r>
            <w:r>
              <w:rPr>
                <w:color w:val="231F20"/>
                <w:w w:val="105"/>
                <w:sz w:val="15"/>
              </w:rPr>
              <w:t>referred</w:t>
            </w:r>
          </w:p>
          <w:p>
            <w:pPr>
              <w:pStyle w:val="TableParagraph"/>
              <w:spacing w:line="223" w:lineRule="auto"/>
              <w:ind w:left="87"/>
              <w:rPr>
                <w:sz w:val="15"/>
              </w:rPr>
            </w:pPr>
            <w:r>
              <w:rPr>
                <w:color w:val="231F20"/>
                <w:w w:val="110"/>
                <w:sz w:val="15"/>
              </w:rPr>
              <w:t>to on the Palau judiciary website or noticeboard</w:t>
            </w:r>
          </w:p>
        </w:tc>
      </w:tr>
      <w:tr>
        <w:trPr>
          <w:trHeight w:val="460" w:hRule="atLeast"/>
        </w:trPr>
        <w:tc>
          <w:tcPr>
            <w:tcW w:w="1124" w:type="dxa"/>
            <w:shd w:val="clear" w:color="auto" w:fill="92BAC2"/>
          </w:tcPr>
          <w:p>
            <w:pPr>
              <w:pStyle w:val="TableParagraph"/>
              <w:spacing w:line="223" w:lineRule="auto" w:before="82"/>
              <w:ind w:left="80"/>
              <w:rPr>
                <w:b/>
                <w:sz w:val="15"/>
              </w:rPr>
            </w:pPr>
            <w:r>
              <w:rPr>
                <w:b/>
                <w:color w:val="231F20"/>
                <w:w w:val="110"/>
                <w:sz w:val="15"/>
              </w:rPr>
              <w:t>Papua New Guinea</w:t>
            </w:r>
          </w:p>
        </w:tc>
        <w:tc>
          <w:tcPr>
            <w:tcW w:w="1139" w:type="dxa"/>
            <w:shd w:val="clear" w:color="auto" w:fill="92BAC2"/>
          </w:tcPr>
          <w:p>
            <w:pPr>
              <w:pStyle w:val="TableParagraph"/>
              <w:spacing w:before="72"/>
              <w:ind w:left="79"/>
              <w:rPr>
                <w:b/>
                <w:sz w:val="15"/>
              </w:rPr>
            </w:pPr>
            <w:r>
              <w:rPr>
                <w:b/>
                <w:color w:val="231F20"/>
                <w:w w:val="105"/>
                <w:sz w:val="15"/>
              </w:rPr>
              <w:t>Samoa</w:t>
            </w:r>
          </w:p>
        </w:tc>
        <w:tc>
          <w:tcPr>
            <w:tcW w:w="1349" w:type="dxa"/>
            <w:tcBorders>
              <w:top w:val="single" w:sz="6" w:space="0" w:color="808285"/>
            </w:tcBorders>
            <w:shd w:val="clear" w:color="auto" w:fill="92BAC2"/>
          </w:tcPr>
          <w:p>
            <w:pPr>
              <w:pStyle w:val="TableParagraph"/>
              <w:spacing w:before="72"/>
              <w:ind w:left="79"/>
              <w:rPr>
                <w:b/>
                <w:sz w:val="15"/>
              </w:rPr>
            </w:pPr>
            <w:r>
              <w:rPr>
                <w:b/>
                <w:color w:val="231F20"/>
                <w:w w:val="110"/>
                <w:sz w:val="15"/>
              </w:rPr>
              <w:t>Solomon Islands</w:t>
            </w:r>
          </w:p>
        </w:tc>
        <w:tc>
          <w:tcPr>
            <w:tcW w:w="1247" w:type="dxa"/>
            <w:shd w:val="clear" w:color="auto" w:fill="92BAC2"/>
          </w:tcPr>
          <w:p>
            <w:pPr>
              <w:pStyle w:val="TableParagraph"/>
              <w:spacing w:before="72"/>
              <w:ind w:left="80"/>
              <w:rPr>
                <w:b/>
                <w:sz w:val="15"/>
              </w:rPr>
            </w:pPr>
            <w:r>
              <w:rPr>
                <w:b/>
                <w:color w:val="231F20"/>
                <w:w w:val="110"/>
                <w:sz w:val="15"/>
              </w:rPr>
              <w:t>Tokelau</w:t>
            </w:r>
          </w:p>
        </w:tc>
        <w:tc>
          <w:tcPr>
            <w:tcW w:w="1224" w:type="dxa"/>
            <w:shd w:val="clear" w:color="auto" w:fill="92BAC2"/>
          </w:tcPr>
          <w:p>
            <w:pPr>
              <w:pStyle w:val="TableParagraph"/>
              <w:spacing w:before="72"/>
              <w:ind w:left="80"/>
              <w:rPr>
                <w:b/>
                <w:sz w:val="15"/>
              </w:rPr>
            </w:pPr>
            <w:r>
              <w:rPr>
                <w:b/>
                <w:color w:val="231F20"/>
                <w:w w:val="110"/>
                <w:sz w:val="15"/>
              </w:rPr>
              <w:t>Tonga</w:t>
            </w:r>
          </w:p>
        </w:tc>
        <w:tc>
          <w:tcPr>
            <w:tcW w:w="1092" w:type="dxa"/>
            <w:shd w:val="clear" w:color="auto" w:fill="92BAC2"/>
          </w:tcPr>
          <w:p>
            <w:pPr>
              <w:pStyle w:val="TableParagraph"/>
              <w:spacing w:before="72"/>
              <w:ind w:left="80"/>
              <w:rPr>
                <w:b/>
                <w:sz w:val="15"/>
              </w:rPr>
            </w:pPr>
            <w:r>
              <w:rPr>
                <w:b/>
                <w:color w:val="231F20"/>
                <w:w w:val="110"/>
                <w:sz w:val="15"/>
              </w:rPr>
              <w:t>Tuvalu</w:t>
            </w:r>
          </w:p>
        </w:tc>
        <w:tc>
          <w:tcPr>
            <w:tcW w:w="1318" w:type="dxa"/>
            <w:tcBorders>
              <w:top w:val="single" w:sz="6" w:space="0" w:color="808285"/>
            </w:tcBorders>
            <w:shd w:val="clear" w:color="auto" w:fill="92BAC2"/>
          </w:tcPr>
          <w:p>
            <w:pPr>
              <w:pStyle w:val="TableParagraph"/>
              <w:spacing w:before="72"/>
              <w:ind w:left="81"/>
              <w:rPr>
                <w:b/>
                <w:sz w:val="15"/>
              </w:rPr>
            </w:pPr>
            <w:r>
              <w:rPr>
                <w:b/>
                <w:color w:val="231F20"/>
                <w:w w:val="105"/>
                <w:sz w:val="15"/>
              </w:rPr>
              <w:t>Vanuatu</w:t>
            </w:r>
          </w:p>
        </w:tc>
      </w:tr>
      <w:tr>
        <w:trPr>
          <w:trHeight w:val="486" w:hRule="atLeast"/>
        </w:trPr>
        <w:tc>
          <w:tcPr>
            <w:tcW w:w="1124" w:type="dxa"/>
            <w:vMerge w:val="restart"/>
            <w:shd w:val="clear" w:color="auto" w:fill="F2CDBE"/>
          </w:tcPr>
          <w:p>
            <w:pPr>
              <w:pStyle w:val="TableParagraph"/>
              <w:spacing w:line="223" w:lineRule="auto" w:before="85"/>
              <w:ind w:left="80" w:right="298"/>
              <w:rPr>
                <w:b/>
                <w:sz w:val="15"/>
              </w:rPr>
            </w:pPr>
            <w:r>
              <w:rPr>
                <w:b/>
                <w:color w:val="231F20"/>
                <w:w w:val="110"/>
                <w:sz w:val="15"/>
              </w:rPr>
              <w:t>Supreme Court </w:t>
            </w:r>
            <w:r>
              <w:rPr>
                <w:color w:val="231F20"/>
                <w:w w:val="110"/>
                <w:sz w:val="15"/>
              </w:rPr>
              <w:t>Online </w:t>
            </w:r>
            <w:r>
              <w:rPr>
                <w:b/>
                <w:color w:val="231F20"/>
                <w:w w:val="110"/>
                <w:sz w:val="15"/>
              </w:rPr>
              <w:t>No</w:t>
            </w:r>
          </w:p>
          <w:p>
            <w:pPr>
              <w:pStyle w:val="TableParagraph"/>
              <w:spacing w:line="177" w:lineRule="exact" w:before="17"/>
              <w:ind w:left="80"/>
              <w:rPr>
                <w:b/>
                <w:sz w:val="15"/>
              </w:rPr>
            </w:pPr>
            <w:r>
              <w:rPr>
                <w:color w:val="231F20"/>
                <w:w w:val="110"/>
                <w:sz w:val="15"/>
              </w:rPr>
              <w:t>Hardcopy </w:t>
            </w:r>
            <w:r>
              <w:rPr>
                <w:b/>
                <w:color w:val="231F20"/>
                <w:w w:val="110"/>
                <w:sz w:val="15"/>
              </w:rPr>
              <w:t>Yes</w:t>
            </w:r>
          </w:p>
          <w:p>
            <w:pPr>
              <w:pStyle w:val="TableParagraph"/>
              <w:spacing w:line="177" w:lineRule="exact"/>
              <w:ind w:left="80"/>
              <w:rPr>
                <w:sz w:val="15"/>
              </w:rPr>
            </w:pPr>
            <w:r>
              <w:rPr>
                <w:color w:val="231F20"/>
                <w:w w:val="110"/>
                <w:sz w:val="15"/>
              </w:rPr>
              <w:t>(2007)</w:t>
            </w:r>
          </w:p>
          <w:p>
            <w:pPr>
              <w:pStyle w:val="TableParagraph"/>
              <w:spacing w:line="223" w:lineRule="auto" w:before="110"/>
              <w:ind w:left="80" w:right="237"/>
              <w:rPr>
                <w:b/>
                <w:sz w:val="15"/>
              </w:rPr>
            </w:pPr>
            <w:r>
              <w:rPr>
                <w:b/>
                <w:color w:val="231F20"/>
                <w:w w:val="105"/>
                <w:sz w:val="15"/>
              </w:rPr>
              <w:t>Magistrates </w:t>
            </w:r>
            <w:r>
              <w:rPr>
                <w:b/>
                <w:color w:val="231F20"/>
                <w:w w:val="110"/>
                <w:sz w:val="15"/>
              </w:rPr>
              <w:t>Court </w:t>
            </w:r>
            <w:r>
              <w:rPr>
                <w:color w:val="231F20"/>
                <w:w w:val="110"/>
                <w:sz w:val="15"/>
              </w:rPr>
              <w:t>Online </w:t>
            </w:r>
            <w:r>
              <w:rPr>
                <w:b/>
                <w:color w:val="231F20"/>
                <w:w w:val="110"/>
                <w:sz w:val="15"/>
              </w:rPr>
              <w:t>No</w:t>
            </w:r>
          </w:p>
          <w:p>
            <w:pPr>
              <w:pStyle w:val="TableParagraph"/>
              <w:spacing w:line="177" w:lineRule="exact" w:before="18"/>
              <w:ind w:left="80"/>
              <w:rPr>
                <w:b/>
                <w:sz w:val="15"/>
              </w:rPr>
            </w:pPr>
            <w:r>
              <w:rPr>
                <w:color w:val="231F20"/>
                <w:w w:val="110"/>
                <w:sz w:val="15"/>
              </w:rPr>
              <w:t>Hardcopy </w:t>
            </w:r>
            <w:r>
              <w:rPr>
                <w:b/>
                <w:color w:val="231F20"/>
                <w:w w:val="110"/>
                <w:sz w:val="15"/>
              </w:rPr>
              <w:t>Yes</w:t>
            </w:r>
          </w:p>
          <w:p>
            <w:pPr>
              <w:pStyle w:val="TableParagraph"/>
              <w:spacing w:line="177" w:lineRule="exact"/>
              <w:ind w:left="80"/>
              <w:rPr>
                <w:sz w:val="15"/>
              </w:rPr>
            </w:pPr>
            <w:r>
              <w:rPr>
                <w:color w:val="231F20"/>
                <w:w w:val="110"/>
                <w:sz w:val="15"/>
              </w:rPr>
              <w:t>(1982)</w:t>
            </w:r>
          </w:p>
        </w:tc>
        <w:tc>
          <w:tcPr>
            <w:tcW w:w="1139" w:type="dxa"/>
            <w:vMerge w:val="restart"/>
            <w:shd w:val="clear" w:color="auto" w:fill="F2CDBE"/>
          </w:tcPr>
          <w:p>
            <w:pPr>
              <w:pStyle w:val="TableParagraph"/>
              <w:spacing w:before="75"/>
              <w:ind w:left="79"/>
              <w:rPr>
                <w:b/>
                <w:sz w:val="15"/>
              </w:rPr>
            </w:pPr>
            <w:r>
              <w:rPr>
                <w:color w:val="231F20"/>
                <w:w w:val="115"/>
                <w:sz w:val="15"/>
              </w:rPr>
              <w:t>Online </w:t>
            </w:r>
            <w:r>
              <w:rPr>
                <w:b/>
                <w:color w:val="231F20"/>
                <w:w w:val="115"/>
                <w:sz w:val="15"/>
              </w:rPr>
              <w:t>No</w:t>
            </w:r>
          </w:p>
          <w:p>
            <w:pPr>
              <w:pStyle w:val="TableParagraph"/>
              <w:spacing w:before="1"/>
              <w:rPr>
                <w:sz w:val="22"/>
              </w:rPr>
            </w:pPr>
          </w:p>
          <w:p>
            <w:pPr>
              <w:pStyle w:val="TableParagraph"/>
              <w:spacing w:line="177" w:lineRule="exact"/>
              <w:ind w:left="79"/>
              <w:rPr>
                <w:b/>
                <w:sz w:val="15"/>
              </w:rPr>
            </w:pPr>
            <w:r>
              <w:rPr>
                <w:color w:val="231F20"/>
                <w:w w:val="110"/>
                <w:sz w:val="15"/>
              </w:rPr>
              <w:t>Hardcopy </w:t>
            </w:r>
            <w:r>
              <w:rPr>
                <w:b/>
                <w:color w:val="231F20"/>
                <w:w w:val="110"/>
                <w:sz w:val="15"/>
              </w:rPr>
              <w:t>Yes</w:t>
            </w:r>
          </w:p>
          <w:p>
            <w:pPr>
              <w:pStyle w:val="TableParagraph"/>
              <w:spacing w:line="177" w:lineRule="exact"/>
              <w:ind w:left="79"/>
              <w:rPr>
                <w:sz w:val="15"/>
              </w:rPr>
            </w:pPr>
            <w:r>
              <w:rPr>
                <w:color w:val="231F20"/>
                <w:w w:val="110"/>
                <w:sz w:val="15"/>
              </w:rPr>
              <w:t>(2009)</w:t>
            </w:r>
          </w:p>
        </w:tc>
        <w:tc>
          <w:tcPr>
            <w:tcW w:w="1349" w:type="dxa"/>
            <w:vMerge w:val="restart"/>
            <w:shd w:val="clear" w:color="auto" w:fill="F2CDBE"/>
          </w:tcPr>
          <w:p>
            <w:pPr>
              <w:pStyle w:val="TableParagraph"/>
              <w:spacing w:before="75"/>
              <w:ind w:left="79"/>
              <w:rPr>
                <w:sz w:val="15"/>
              </w:rPr>
            </w:pPr>
            <w:r>
              <w:rPr>
                <w:color w:val="231F20"/>
                <w:w w:val="110"/>
                <w:sz w:val="15"/>
              </w:rPr>
              <w:t>Online </w:t>
            </w:r>
            <w:r>
              <w:rPr>
                <w:b/>
                <w:color w:val="231F20"/>
                <w:w w:val="110"/>
                <w:sz w:val="15"/>
              </w:rPr>
              <w:t>Yes </w:t>
            </w:r>
            <w:r>
              <w:rPr>
                <w:color w:val="231F20"/>
                <w:w w:val="110"/>
                <w:sz w:val="15"/>
              </w:rPr>
              <w:t>(2009)</w:t>
            </w:r>
          </w:p>
          <w:p>
            <w:pPr>
              <w:pStyle w:val="TableParagraph"/>
              <w:spacing w:before="1"/>
              <w:rPr>
                <w:sz w:val="22"/>
              </w:rPr>
            </w:pPr>
          </w:p>
          <w:p>
            <w:pPr>
              <w:pStyle w:val="TableParagraph"/>
              <w:spacing w:line="177" w:lineRule="exact"/>
              <w:ind w:left="79"/>
              <w:rPr>
                <w:b/>
                <w:sz w:val="15"/>
              </w:rPr>
            </w:pPr>
            <w:r>
              <w:rPr>
                <w:color w:val="231F20"/>
                <w:w w:val="110"/>
                <w:sz w:val="15"/>
              </w:rPr>
              <w:t>Hardcopy </w:t>
            </w:r>
            <w:r>
              <w:rPr>
                <w:b/>
                <w:color w:val="231F20"/>
                <w:w w:val="110"/>
                <w:sz w:val="15"/>
              </w:rPr>
              <w:t>Yes</w:t>
            </w:r>
          </w:p>
          <w:p>
            <w:pPr>
              <w:pStyle w:val="TableParagraph"/>
              <w:spacing w:line="177" w:lineRule="exact"/>
              <w:ind w:left="79"/>
              <w:rPr>
                <w:sz w:val="15"/>
              </w:rPr>
            </w:pPr>
            <w:r>
              <w:rPr>
                <w:color w:val="231F20"/>
                <w:w w:val="110"/>
                <w:sz w:val="15"/>
              </w:rPr>
              <w:t>(2009)</w:t>
            </w:r>
          </w:p>
        </w:tc>
        <w:tc>
          <w:tcPr>
            <w:tcW w:w="1247" w:type="dxa"/>
            <w:vMerge w:val="restart"/>
            <w:tcBorders>
              <w:right w:val="single" w:sz="6" w:space="0" w:color="808285"/>
            </w:tcBorders>
            <w:shd w:val="clear" w:color="auto" w:fill="F2CDBE"/>
          </w:tcPr>
          <w:p>
            <w:pPr>
              <w:pStyle w:val="TableParagraph"/>
              <w:spacing w:before="75"/>
              <w:ind w:left="80"/>
              <w:rPr>
                <w:b/>
                <w:sz w:val="15"/>
              </w:rPr>
            </w:pPr>
            <w:r>
              <w:rPr>
                <w:color w:val="231F20"/>
                <w:w w:val="115"/>
                <w:sz w:val="15"/>
              </w:rPr>
              <w:t>Online </w:t>
            </w:r>
            <w:r>
              <w:rPr>
                <w:b/>
                <w:color w:val="231F20"/>
                <w:w w:val="115"/>
                <w:sz w:val="15"/>
              </w:rPr>
              <w:t>No</w:t>
            </w:r>
          </w:p>
          <w:p>
            <w:pPr>
              <w:pStyle w:val="TableParagraph"/>
              <w:spacing w:before="1"/>
              <w:rPr>
                <w:sz w:val="22"/>
              </w:rPr>
            </w:pPr>
          </w:p>
          <w:p>
            <w:pPr>
              <w:pStyle w:val="TableParagraph"/>
              <w:ind w:left="80"/>
              <w:rPr>
                <w:b/>
                <w:sz w:val="15"/>
              </w:rPr>
            </w:pPr>
            <w:r>
              <w:rPr>
                <w:color w:val="231F20"/>
                <w:w w:val="115"/>
                <w:sz w:val="15"/>
              </w:rPr>
              <w:t>Hardcopy </w:t>
            </w:r>
            <w:r>
              <w:rPr>
                <w:b/>
                <w:color w:val="231F20"/>
                <w:w w:val="115"/>
                <w:sz w:val="15"/>
              </w:rPr>
              <w:t>No</w:t>
            </w:r>
          </w:p>
        </w:tc>
        <w:tc>
          <w:tcPr>
            <w:tcW w:w="1224" w:type="dxa"/>
            <w:tcBorders>
              <w:left w:val="single" w:sz="6" w:space="0" w:color="808285"/>
              <w:right w:val="single" w:sz="6" w:space="0" w:color="808285"/>
            </w:tcBorders>
            <w:shd w:val="clear" w:color="auto" w:fill="F2CDBE"/>
          </w:tcPr>
          <w:p>
            <w:pPr>
              <w:pStyle w:val="TableParagraph"/>
              <w:spacing w:before="75"/>
              <w:ind w:left="77"/>
              <w:rPr>
                <w:b/>
                <w:sz w:val="15"/>
              </w:rPr>
            </w:pPr>
            <w:r>
              <w:rPr>
                <w:color w:val="231F20"/>
                <w:w w:val="115"/>
                <w:sz w:val="15"/>
              </w:rPr>
              <w:t>Online </w:t>
            </w:r>
            <w:r>
              <w:rPr>
                <w:b/>
                <w:color w:val="231F20"/>
                <w:w w:val="115"/>
                <w:sz w:val="15"/>
              </w:rPr>
              <w:t>No</w:t>
            </w:r>
          </w:p>
        </w:tc>
        <w:tc>
          <w:tcPr>
            <w:tcW w:w="1092" w:type="dxa"/>
            <w:vMerge w:val="restart"/>
            <w:tcBorders>
              <w:left w:val="single" w:sz="6" w:space="0" w:color="808285"/>
            </w:tcBorders>
            <w:shd w:val="clear" w:color="auto" w:fill="F2CDBE"/>
          </w:tcPr>
          <w:p>
            <w:pPr>
              <w:pStyle w:val="TableParagraph"/>
              <w:spacing w:before="75"/>
              <w:ind w:left="78"/>
              <w:rPr>
                <w:b/>
                <w:sz w:val="15"/>
              </w:rPr>
            </w:pPr>
            <w:r>
              <w:rPr>
                <w:color w:val="231F20"/>
                <w:w w:val="115"/>
                <w:sz w:val="15"/>
              </w:rPr>
              <w:t>Online </w:t>
            </w:r>
            <w:r>
              <w:rPr>
                <w:b/>
                <w:color w:val="231F20"/>
                <w:w w:val="115"/>
                <w:sz w:val="15"/>
              </w:rPr>
              <w:t>No</w:t>
            </w:r>
          </w:p>
          <w:p>
            <w:pPr>
              <w:pStyle w:val="TableParagraph"/>
              <w:spacing w:before="1"/>
              <w:rPr>
                <w:sz w:val="22"/>
              </w:rPr>
            </w:pPr>
          </w:p>
          <w:p>
            <w:pPr>
              <w:pStyle w:val="TableParagraph"/>
              <w:ind w:left="78"/>
              <w:rPr>
                <w:b/>
                <w:sz w:val="15"/>
              </w:rPr>
            </w:pPr>
            <w:r>
              <w:rPr>
                <w:color w:val="231F20"/>
                <w:w w:val="115"/>
                <w:sz w:val="15"/>
              </w:rPr>
              <w:t>Hardcopy </w:t>
            </w:r>
            <w:r>
              <w:rPr>
                <w:b/>
                <w:color w:val="231F20"/>
                <w:w w:val="115"/>
                <w:sz w:val="15"/>
              </w:rPr>
              <w:t>No</w:t>
            </w:r>
          </w:p>
        </w:tc>
        <w:tc>
          <w:tcPr>
            <w:tcW w:w="1318" w:type="dxa"/>
            <w:vMerge w:val="restart"/>
            <w:shd w:val="clear" w:color="auto" w:fill="F2CDBE"/>
          </w:tcPr>
          <w:p>
            <w:pPr>
              <w:pStyle w:val="TableParagraph"/>
              <w:spacing w:line="177" w:lineRule="exact" w:before="75"/>
              <w:ind w:left="81"/>
              <w:rPr>
                <w:b/>
                <w:sz w:val="15"/>
              </w:rPr>
            </w:pPr>
            <w:r>
              <w:rPr>
                <w:color w:val="231F20"/>
                <w:w w:val="115"/>
                <w:sz w:val="15"/>
              </w:rPr>
              <w:t>Online </w:t>
            </w:r>
            <w:r>
              <w:rPr>
                <w:b/>
                <w:color w:val="231F20"/>
                <w:w w:val="115"/>
                <w:sz w:val="15"/>
              </w:rPr>
              <w:t>Yes</w:t>
            </w:r>
          </w:p>
          <w:p>
            <w:pPr>
              <w:pStyle w:val="TableParagraph"/>
              <w:spacing w:line="177" w:lineRule="exact"/>
              <w:ind w:left="81"/>
              <w:rPr>
                <w:sz w:val="15"/>
              </w:rPr>
            </w:pPr>
            <w:r>
              <w:rPr>
                <w:color w:val="231F20"/>
                <w:w w:val="110"/>
                <w:sz w:val="15"/>
              </w:rPr>
              <w:t>(2009)</w:t>
            </w:r>
          </w:p>
          <w:p>
            <w:pPr>
              <w:pStyle w:val="TableParagraph"/>
              <w:spacing w:before="1"/>
              <w:rPr>
                <w:sz w:val="22"/>
              </w:rPr>
            </w:pPr>
          </w:p>
          <w:p>
            <w:pPr>
              <w:pStyle w:val="TableParagraph"/>
              <w:spacing w:line="177" w:lineRule="exact"/>
              <w:ind w:left="81"/>
              <w:rPr>
                <w:b/>
                <w:sz w:val="15"/>
              </w:rPr>
            </w:pPr>
            <w:r>
              <w:rPr>
                <w:color w:val="231F20"/>
                <w:w w:val="110"/>
                <w:sz w:val="15"/>
              </w:rPr>
              <w:t>Hardcopy </w:t>
            </w:r>
            <w:r>
              <w:rPr>
                <w:b/>
                <w:color w:val="231F20"/>
                <w:w w:val="110"/>
                <w:sz w:val="15"/>
              </w:rPr>
              <w:t>Yes</w:t>
            </w:r>
          </w:p>
          <w:p>
            <w:pPr>
              <w:pStyle w:val="TableParagraph"/>
              <w:spacing w:line="177" w:lineRule="exact"/>
              <w:ind w:left="81"/>
              <w:rPr>
                <w:sz w:val="15"/>
              </w:rPr>
            </w:pPr>
            <w:r>
              <w:rPr>
                <w:color w:val="231F20"/>
                <w:w w:val="110"/>
                <w:sz w:val="15"/>
              </w:rPr>
              <w:t>(2010)</w:t>
            </w:r>
          </w:p>
        </w:tc>
      </w:tr>
      <w:tr>
        <w:trPr>
          <w:trHeight w:val="1554" w:hRule="atLeast"/>
        </w:trPr>
        <w:tc>
          <w:tcPr>
            <w:tcW w:w="1124" w:type="dxa"/>
            <w:vMerge/>
            <w:tcBorders>
              <w:top w:val="nil"/>
            </w:tcBorders>
            <w:shd w:val="clear" w:color="auto" w:fill="F2CDBE"/>
          </w:tcPr>
          <w:p>
            <w:pPr>
              <w:rPr>
                <w:sz w:val="2"/>
                <w:szCs w:val="2"/>
              </w:rPr>
            </w:pPr>
          </w:p>
        </w:tc>
        <w:tc>
          <w:tcPr>
            <w:tcW w:w="1139" w:type="dxa"/>
            <w:vMerge/>
            <w:tcBorders>
              <w:top w:val="nil"/>
            </w:tcBorders>
            <w:shd w:val="clear" w:color="auto" w:fill="F2CDBE"/>
          </w:tcPr>
          <w:p>
            <w:pPr>
              <w:rPr>
                <w:sz w:val="2"/>
                <w:szCs w:val="2"/>
              </w:rPr>
            </w:pPr>
          </w:p>
        </w:tc>
        <w:tc>
          <w:tcPr>
            <w:tcW w:w="1349" w:type="dxa"/>
            <w:vMerge/>
            <w:tcBorders>
              <w:top w:val="nil"/>
            </w:tcBorders>
            <w:shd w:val="clear" w:color="auto" w:fill="F2CDBE"/>
          </w:tcPr>
          <w:p>
            <w:pPr>
              <w:rPr>
                <w:sz w:val="2"/>
                <w:szCs w:val="2"/>
              </w:rPr>
            </w:pPr>
          </w:p>
        </w:tc>
        <w:tc>
          <w:tcPr>
            <w:tcW w:w="1247" w:type="dxa"/>
            <w:vMerge/>
            <w:tcBorders>
              <w:top w:val="nil"/>
              <w:right w:val="single" w:sz="6" w:space="0" w:color="808285"/>
            </w:tcBorders>
            <w:shd w:val="clear" w:color="auto" w:fill="F2CDBE"/>
          </w:tcPr>
          <w:p>
            <w:pPr>
              <w:rPr>
                <w:sz w:val="2"/>
                <w:szCs w:val="2"/>
              </w:rPr>
            </w:pPr>
          </w:p>
        </w:tc>
        <w:tc>
          <w:tcPr>
            <w:tcW w:w="1224" w:type="dxa"/>
            <w:tcBorders>
              <w:left w:val="single" w:sz="6" w:space="0" w:color="808285"/>
              <w:right w:val="single" w:sz="6" w:space="0" w:color="808285"/>
            </w:tcBorders>
            <w:shd w:val="clear" w:color="auto" w:fill="F5E3B9"/>
          </w:tcPr>
          <w:p>
            <w:pPr>
              <w:pStyle w:val="TableParagraph"/>
              <w:spacing w:line="177" w:lineRule="exact" w:before="46"/>
              <w:ind w:left="87"/>
              <w:rPr>
                <w:b/>
                <w:sz w:val="15"/>
              </w:rPr>
            </w:pPr>
            <w:r>
              <w:rPr>
                <w:color w:val="231F20"/>
                <w:w w:val="110"/>
                <w:sz w:val="15"/>
              </w:rPr>
              <w:t>Hardcopy </w:t>
            </w:r>
            <w:r>
              <w:rPr>
                <w:b/>
                <w:color w:val="231F20"/>
                <w:w w:val="110"/>
                <w:sz w:val="15"/>
              </w:rPr>
              <w:t>Yes</w:t>
            </w:r>
          </w:p>
          <w:p>
            <w:pPr>
              <w:pStyle w:val="TableParagraph"/>
              <w:spacing w:line="177" w:lineRule="exact"/>
              <w:ind w:left="87"/>
              <w:rPr>
                <w:sz w:val="15"/>
              </w:rPr>
            </w:pPr>
            <w:r>
              <w:rPr>
                <w:color w:val="231F20"/>
                <w:w w:val="110"/>
                <w:sz w:val="15"/>
              </w:rPr>
              <w:t>(2010)</w:t>
            </w:r>
          </w:p>
        </w:tc>
        <w:tc>
          <w:tcPr>
            <w:tcW w:w="1092" w:type="dxa"/>
            <w:vMerge/>
            <w:tcBorders>
              <w:top w:val="nil"/>
              <w:left w:val="single" w:sz="6" w:space="0" w:color="808285"/>
            </w:tcBorders>
            <w:shd w:val="clear" w:color="auto" w:fill="F2CDBE"/>
          </w:tcPr>
          <w:p>
            <w:pPr>
              <w:rPr>
                <w:sz w:val="2"/>
                <w:szCs w:val="2"/>
              </w:rPr>
            </w:pPr>
          </w:p>
        </w:tc>
        <w:tc>
          <w:tcPr>
            <w:tcW w:w="1318" w:type="dxa"/>
            <w:vMerge/>
            <w:tcBorders>
              <w:top w:val="nil"/>
            </w:tcBorders>
            <w:shd w:val="clear" w:color="auto" w:fill="F2CDBE"/>
          </w:tcPr>
          <w:p>
            <w:pPr>
              <w:rPr>
                <w:sz w:val="2"/>
                <w:szCs w:val="2"/>
              </w:rPr>
            </w:pPr>
          </w:p>
        </w:tc>
      </w:tr>
    </w:tbl>
    <w:p>
      <w:pPr>
        <w:pStyle w:val="BodyText"/>
        <w:rPr>
          <w:sz w:val="24"/>
        </w:rPr>
      </w:pPr>
    </w:p>
    <w:p>
      <w:pPr>
        <w:pStyle w:val="BodyText"/>
        <w:spacing w:line="252" w:lineRule="auto" w:before="177"/>
        <w:ind w:left="1700" w:right="1917"/>
      </w:pPr>
      <w:r>
        <w:rPr/>
        <w:pict>
          <v:shape style="position:absolute;margin-left:332.252014pt;margin-top:-91.203506pt;width:45.95pt;height:17.75pt;mso-position-horizontal-relative:page;mso-position-vertical-relative:paragraph;z-index:-187672" type="#_x0000_t202" filled="false" stroked="false">
            <v:textbox inset="0,0,0,0">
              <w:txbxContent>
                <w:p>
                  <w:pPr>
                    <w:spacing w:line="176" w:lineRule="exact" w:before="0"/>
                    <w:ind w:left="0" w:right="0" w:firstLine="0"/>
                    <w:jc w:val="left"/>
                    <w:rPr>
                      <w:b/>
                      <w:sz w:val="15"/>
                    </w:rPr>
                  </w:pPr>
                  <w:r>
                    <w:rPr>
                      <w:color w:val="231F20"/>
                      <w:w w:val="110"/>
                      <w:sz w:val="15"/>
                    </w:rPr>
                    <w:t>Hardcopy </w:t>
                  </w:r>
                  <w:r>
                    <w:rPr>
                      <w:b/>
                      <w:color w:val="231F20"/>
                      <w:w w:val="110"/>
                      <w:sz w:val="15"/>
                    </w:rPr>
                    <w:t>Yes</w:t>
                  </w:r>
                </w:p>
                <w:p>
                  <w:pPr>
                    <w:spacing w:line="177" w:lineRule="exact" w:before="0"/>
                    <w:ind w:left="0" w:right="0" w:firstLine="0"/>
                    <w:jc w:val="left"/>
                    <w:rPr>
                      <w:sz w:val="15"/>
                    </w:rPr>
                  </w:pPr>
                  <w:r>
                    <w:rPr>
                      <w:color w:val="231F20"/>
                      <w:w w:val="110"/>
                      <w:sz w:val="15"/>
                    </w:rPr>
                    <w:t>(2010)</w:t>
                  </w:r>
                </w:p>
              </w:txbxContent>
            </v:textbox>
            <w10:wrap type="none"/>
          </v:shape>
        </w:pict>
      </w:r>
      <w:r>
        <w:rPr>
          <w:color w:val="231F20"/>
          <w:w w:val="105"/>
        </w:rPr>
        <w:t>Court produces or contributes to an Annual Report that is publicly available for the previous year – Year 7 Trend Data</w:t>
      </w:r>
    </w:p>
    <w:p>
      <w:pPr>
        <w:pStyle w:val="BodyText"/>
        <w:spacing w:before="7"/>
        <w:rPr>
          <w:sz w:val="5"/>
        </w:rPr>
      </w:pPr>
    </w:p>
    <w:tbl>
      <w:tblPr>
        <w:tblW w:w="0" w:type="auto"/>
        <w:jc w:val="left"/>
        <w:tblInd w:w="170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4"/>
        <w:gridCol w:w="1145"/>
        <w:gridCol w:w="1347"/>
        <w:gridCol w:w="1255"/>
        <w:gridCol w:w="1216"/>
        <w:gridCol w:w="1109"/>
        <w:gridCol w:w="1306"/>
      </w:tblGrid>
      <w:tr>
        <w:trPr>
          <w:trHeight w:val="632" w:hRule="atLeast"/>
        </w:trPr>
        <w:tc>
          <w:tcPr>
            <w:tcW w:w="1124" w:type="dxa"/>
            <w:shd w:val="clear" w:color="auto" w:fill="92BAC2"/>
          </w:tcPr>
          <w:p>
            <w:pPr>
              <w:pStyle w:val="TableParagraph"/>
              <w:spacing w:before="75"/>
              <w:ind w:left="80"/>
              <w:rPr>
                <w:b/>
                <w:sz w:val="15"/>
              </w:rPr>
            </w:pPr>
            <w:r>
              <w:rPr>
                <w:b/>
                <w:color w:val="231F20"/>
                <w:w w:val="110"/>
                <w:sz w:val="15"/>
              </w:rPr>
              <w:t>Cook Islands</w:t>
            </w:r>
          </w:p>
        </w:tc>
        <w:tc>
          <w:tcPr>
            <w:tcW w:w="1145" w:type="dxa"/>
            <w:shd w:val="clear" w:color="auto" w:fill="92BAC2"/>
          </w:tcPr>
          <w:p>
            <w:pPr>
              <w:pStyle w:val="TableParagraph"/>
              <w:spacing w:line="223" w:lineRule="auto" w:before="85"/>
              <w:ind w:left="79" w:right="310"/>
              <w:rPr>
                <w:b/>
                <w:sz w:val="15"/>
              </w:rPr>
            </w:pPr>
            <w:r>
              <w:rPr>
                <w:b/>
                <w:color w:val="231F20"/>
                <w:w w:val="105"/>
                <w:sz w:val="15"/>
              </w:rPr>
              <w:t>Federated States of Micronesia</w:t>
            </w:r>
          </w:p>
        </w:tc>
        <w:tc>
          <w:tcPr>
            <w:tcW w:w="1347" w:type="dxa"/>
            <w:shd w:val="clear" w:color="auto" w:fill="92BAC2"/>
          </w:tcPr>
          <w:p>
            <w:pPr>
              <w:pStyle w:val="TableParagraph"/>
              <w:spacing w:before="75"/>
              <w:ind w:left="79"/>
              <w:rPr>
                <w:b/>
                <w:sz w:val="15"/>
              </w:rPr>
            </w:pPr>
            <w:r>
              <w:rPr>
                <w:b/>
                <w:color w:val="231F20"/>
                <w:w w:val="110"/>
                <w:sz w:val="15"/>
              </w:rPr>
              <w:t>Kiribati Islands</w:t>
            </w:r>
          </w:p>
        </w:tc>
        <w:tc>
          <w:tcPr>
            <w:tcW w:w="1255" w:type="dxa"/>
            <w:shd w:val="clear" w:color="auto" w:fill="92BAC2"/>
          </w:tcPr>
          <w:p>
            <w:pPr>
              <w:pStyle w:val="TableParagraph"/>
              <w:spacing w:before="75"/>
              <w:ind w:left="78"/>
              <w:rPr>
                <w:b/>
                <w:sz w:val="15"/>
              </w:rPr>
            </w:pPr>
            <w:r>
              <w:rPr>
                <w:b/>
                <w:color w:val="231F20"/>
                <w:w w:val="105"/>
                <w:sz w:val="15"/>
              </w:rPr>
              <w:t>Marshall Islands</w:t>
            </w:r>
          </w:p>
        </w:tc>
        <w:tc>
          <w:tcPr>
            <w:tcW w:w="1216" w:type="dxa"/>
            <w:shd w:val="clear" w:color="auto" w:fill="92BAC2"/>
          </w:tcPr>
          <w:p>
            <w:pPr>
              <w:pStyle w:val="TableParagraph"/>
              <w:spacing w:before="75"/>
              <w:ind w:left="78"/>
              <w:rPr>
                <w:b/>
                <w:sz w:val="15"/>
              </w:rPr>
            </w:pPr>
            <w:r>
              <w:rPr>
                <w:b/>
                <w:color w:val="231F20"/>
                <w:w w:val="110"/>
                <w:sz w:val="15"/>
              </w:rPr>
              <w:t>Nauru</w:t>
            </w:r>
          </w:p>
        </w:tc>
        <w:tc>
          <w:tcPr>
            <w:tcW w:w="1109" w:type="dxa"/>
            <w:shd w:val="clear" w:color="auto" w:fill="92BAC2"/>
          </w:tcPr>
          <w:p>
            <w:pPr>
              <w:pStyle w:val="TableParagraph"/>
              <w:spacing w:before="75"/>
              <w:ind w:left="77"/>
              <w:rPr>
                <w:b/>
                <w:sz w:val="15"/>
              </w:rPr>
            </w:pPr>
            <w:r>
              <w:rPr>
                <w:b/>
                <w:color w:val="231F20"/>
                <w:w w:val="110"/>
                <w:sz w:val="15"/>
              </w:rPr>
              <w:t>Niue</w:t>
            </w:r>
          </w:p>
        </w:tc>
        <w:tc>
          <w:tcPr>
            <w:tcW w:w="1306" w:type="dxa"/>
            <w:shd w:val="clear" w:color="auto" w:fill="92BAC2"/>
          </w:tcPr>
          <w:p>
            <w:pPr>
              <w:pStyle w:val="TableParagraph"/>
              <w:spacing w:before="75"/>
              <w:ind w:left="77"/>
              <w:rPr>
                <w:b/>
                <w:sz w:val="15"/>
              </w:rPr>
            </w:pPr>
            <w:r>
              <w:rPr>
                <w:b/>
                <w:color w:val="231F20"/>
                <w:w w:val="105"/>
                <w:sz w:val="15"/>
              </w:rPr>
              <w:t>Palau</w:t>
            </w:r>
          </w:p>
        </w:tc>
      </w:tr>
      <w:tr>
        <w:trPr>
          <w:trHeight w:val="1879" w:hRule="atLeast"/>
        </w:trPr>
        <w:tc>
          <w:tcPr>
            <w:tcW w:w="1124" w:type="dxa"/>
            <w:shd w:val="clear" w:color="auto" w:fill="F5E3B9"/>
          </w:tcPr>
          <w:p>
            <w:pPr>
              <w:pStyle w:val="TableParagraph"/>
              <w:spacing w:line="177" w:lineRule="exact" w:before="74"/>
              <w:ind w:left="80"/>
              <w:rPr>
                <w:sz w:val="15"/>
              </w:rPr>
            </w:pPr>
            <w:r>
              <w:rPr>
                <w:color w:val="231F20"/>
                <w:w w:val="115"/>
                <w:sz w:val="15"/>
              </w:rPr>
              <w:t>2016-2017</w:t>
            </w:r>
          </w:p>
          <w:p>
            <w:pPr>
              <w:pStyle w:val="TableParagraph"/>
              <w:spacing w:line="223" w:lineRule="auto" w:before="4"/>
              <w:ind w:left="80"/>
              <w:rPr>
                <w:sz w:val="15"/>
              </w:rPr>
            </w:pPr>
            <w:r>
              <w:rPr>
                <w:color w:val="231F20"/>
                <w:w w:val="110"/>
                <w:sz w:val="15"/>
              </w:rPr>
              <w:t>Annual Report is finalised</w:t>
            </w:r>
          </w:p>
          <w:p>
            <w:pPr>
              <w:pStyle w:val="TableParagraph"/>
              <w:spacing w:line="223" w:lineRule="auto"/>
              <w:ind w:left="80" w:right="242"/>
              <w:rPr>
                <w:sz w:val="15"/>
              </w:rPr>
            </w:pPr>
            <w:r>
              <w:rPr>
                <w:color w:val="231F20"/>
                <w:w w:val="105"/>
                <w:sz w:val="15"/>
              </w:rPr>
              <w:t>but is not published on the government or PacLII websites</w:t>
            </w:r>
          </w:p>
        </w:tc>
        <w:tc>
          <w:tcPr>
            <w:tcW w:w="1145" w:type="dxa"/>
            <w:shd w:val="clear" w:color="auto" w:fill="D8E3CE"/>
          </w:tcPr>
          <w:p>
            <w:pPr>
              <w:pStyle w:val="TableParagraph"/>
              <w:spacing w:line="223" w:lineRule="auto" w:before="84"/>
              <w:ind w:left="79" w:right="70"/>
              <w:rPr>
                <w:sz w:val="15"/>
              </w:rPr>
            </w:pPr>
            <w:r>
              <w:rPr>
                <w:color w:val="231F20"/>
                <w:w w:val="110"/>
                <w:sz w:val="15"/>
              </w:rPr>
              <w:t>2018 Annual Report is available on the FSM Court website</w:t>
            </w:r>
          </w:p>
          <w:p>
            <w:pPr>
              <w:pStyle w:val="TableParagraph"/>
              <w:spacing w:line="223" w:lineRule="auto" w:before="56"/>
              <w:ind w:left="79"/>
              <w:rPr>
                <w:sz w:val="15"/>
              </w:rPr>
            </w:pPr>
            <w:r>
              <w:rPr>
                <w:color w:val="231F20"/>
                <w:w w:val="105"/>
                <w:sz w:val="15"/>
              </w:rPr>
              <w:t>http:// fsmsupreme court.org/</w:t>
            </w:r>
          </w:p>
        </w:tc>
        <w:tc>
          <w:tcPr>
            <w:tcW w:w="1347" w:type="dxa"/>
            <w:shd w:val="clear" w:color="auto" w:fill="F5E3B9"/>
          </w:tcPr>
          <w:p>
            <w:pPr>
              <w:pStyle w:val="TableParagraph"/>
              <w:spacing w:line="177" w:lineRule="exact" w:before="74"/>
              <w:ind w:left="79"/>
              <w:rPr>
                <w:sz w:val="15"/>
              </w:rPr>
            </w:pPr>
            <w:r>
              <w:rPr>
                <w:color w:val="231F20"/>
                <w:w w:val="110"/>
                <w:sz w:val="15"/>
              </w:rPr>
              <w:t>The 2012-2014</w:t>
            </w:r>
          </w:p>
          <w:p>
            <w:pPr>
              <w:pStyle w:val="TableParagraph"/>
              <w:spacing w:line="223" w:lineRule="auto" w:before="4"/>
              <w:ind w:left="79" w:right="310"/>
              <w:jc w:val="both"/>
              <w:rPr>
                <w:sz w:val="15"/>
              </w:rPr>
            </w:pPr>
            <w:r>
              <w:rPr>
                <w:color w:val="231F20"/>
                <w:w w:val="110"/>
                <w:sz w:val="15"/>
              </w:rPr>
              <w:t>Annual</w:t>
            </w:r>
            <w:r>
              <w:rPr>
                <w:color w:val="231F20"/>
                <w:spacing w:val="-13"/>
                <w:w w:val="110"/>
                <w:sz w:val="15"/>
              </w:rPr>
              <w:t> </w:t>
            </w:r>
            <w:r>
              <w:rPr>
                <w:color w:val="231F20"/>
                <w:spacing w:val="-2"/>
                <w:w w:val="110"/>
                <w:sz w:val="15"/>
              </w:rPr>
              <w:t>Report </w:t>
            </w:r>
            <w:r>
              <w:rPr>
                <w:color w:val="231F20"/>
                <w:w w:val="110"/>
                <w:sz w:val="15"/>
              </w:rPr>
              <w:t>is </w:t>
            </w:r>
            <w:r>
              <w:rPr>
                <w:color w:val="231F20"/>
                <w:spacing w:val="-3"/>
                <w:w w:val="110"/>
                <w:sz w:val="15"/>
              </w:rPr>
              <w:t>available </w:t>
            </w:r>
            <w:r>
              <w:rPr>
                <w:color w:val="231F20"/>
                <w:w w:val="110"/>
                <w:sz w:val="15"/>
              </w:rPr>
              <w:t>on </w:t>
            </w:r>
            <w:r>
              <w:rPr>
                <w:color w:val="231F20"/>
                <w:spacing w:val="-4"/>
                <w:w w:val="110"/>
                <w:sz w:val="15"/>
              </w:rPr>
              <w:t>PacLII.</w:t>
            </w:r>
          </w:p>
        </w:tc>
        <w:tc>
          <w:tcPr>
            <w:tcW w:w="1255" w:type="dxa"/>
            <w:shd w:val="clear" w:color="auto" w:fill="D8E3CE"/>
          </w:tcPr>
          <w:p>
            <w:pPr>
              <w:pStyle w:val="TableParagraph"/>
              <w:spacing w:line="223" w:lineRule="auto" w:before="84"/>
              <w:ind w:left="78"/>
              <w:rPr>
                <w:sz w:val="15"/>
              </w:rPr>
            </w:pPr>
            <w:r>
              <w:rPr>
                <w:color w:val="231F20"/>
                <w:w w:val="110"/>
                <w:sz w:val="15"/>
              </w:rPr>
              <w:t>2017 Annual Report available online</w:t>
            </w:r>
          </w:p>
        </w:tc>
        <w:tc>
          <w:tcPr>
            <w:tcW w:w="1216" w:type="dxa"/>
            <w:shd w:val="clear" w:color="auto" w:fill="F5E3B9"/>
          </w:tcPr>
          <w:p>
            <w:pPr>
              <w:pStyle w:val="TableParagraph"/>
              <w:spacing w:line="177" w:lineRule="exact" w:before="74"/>
              <w:ind w:left="78"/>
              <w:rPr>
                <w:sz w:val="15"/>
              </w:rPr>
            </w:pPr>
            <w:r>
              <w:rPr>
                <w:color w:val="231F20"/>
                <w:w w:val="110"/>
                <w:sz w:val="15"/>
              </w:rPr>
              <w:t>The 2016-2017</w:t>
            </w:r>
          </w:p>
          <w:p>
            <w:pPr>
              <w:pStyle w:val="TableParagraph"/>
              <w:spacing w:line="223" w:lineRule="auto" w:before="4"/>
              <w:ind w:left="78" w:right="109"/>
              <w:rPr>
                <w:sz w:val="15"/>
              </w:rPr>
            </w:pPr>
            <w:r>
              <w:rPr>
                <w:color w:val="231F20"/>
                <w:spacing w:val="-4"/>
                <w:w w:val="110"/>
                <w:sz w:val="15"/>
              </w:rPr>
              <w:t>Annual Report </w:t>
            </w:r>
            <w:r>
              <w:rPr>
                <w:color w:val="231F20"/>
                <w:w w:val="110"/>
                <w:sz w:val="15"/>
              </w:rPr>
              <w:t>is </w:t>
            </w:r>
            <w:r>
              <w:rPr>
                <w:color w:val="231F20"/>
                <w:spacing w:val="-3"/>
                <w:w w:val="110"/>
                <w:sz w:val="15"/>
              </w:rPr>
              <w:t>not </w:t>
            </w:r>
            <w:r>
              <w:rPr>
                <w:color w:val="231F20"/>
                <w:spacing w:val="-4"/>
                <w:w w:val="110"/>
                <w:sz w:val="15"/>
              </w:rPr>
              <w:t>published </w:t>
            </w:r>
            <w:r>
              <w:rPr>
                <w:color w:val="231F20"/>
                <w:w w:val="110"/>
                <w:sz w:val="15"/>
              </w:rPr>
              <w:t>on </w:t>
            </w:r>
            <w:r>
              <w:rPr>
                <w:color w:val="231F20"/>
                <w:spacing w:val="-7"/>
                <w:w w:val="110"/>
                <w:sz w:val="15"/>
              </w:rPr>
              <w:t>PacLII</w:t>
            </w:r>
          </w:p>
        </w:tc>
        <w:tc>
          <w:tcPr>
            <w:tcW w:w="1109" w:type="dxa"/>
            <w:shd w:val="clear" w:color="auto" w:fill="F5E3B9"/>
          </w:tcPr>
          <w:p>
            <w:pPr>
              <w:pStyle w:val="TableParagraph"/>
              <w:spacing w:line="223" w:lineRule="auto" w:before="84"/>
              <w:ind w:left="77" w:right="118"/>
              <w:rPr>
                <w:sz w:val="15"/>
              </w:rPr>
            </w:pPr>
            <w:r>
              <w:rPr>
                <w:color w:val="231F20"/>
                <w:w w:val="110"/>
                <w:sz w:val="15"/>
              </w:rPr>
              <w:t>2018 Annual Report published and available on Court</w:t>
            </w:r>
          </w:p>
          <w:p>
            <w:pPr>
              <w:pStyle w:val="TableParagraph"/>
              <w:spacing w:line="223" w:lineRule="auto"/>
              <w:ind w:left="77"/>
              <w:rPr>
                <w:sz w:val="15"/>
              </w:rPr>
            </w:pPr>
            <w:r>
              <w:rPr>
                <w:color w:val="231F20"/>
                <w:w w:val="110"/>
                <w:sz w:val="15"/>
              </w:rPr>
              <w:t>and PacLII websites</w:t>
            </w:r>
          </w:p>
        </w:tc>
        <w:tc>
          <w:tcPr>
            <w:tcW w:w="1306" w:type="dxa"/>
            <w:shd w:val="clear" w:color="auto" w:fill="D8E3CE"/>
          </w:tcPr>
          <w:p>
            <w:pPr>
              <w:pStyle w:val="TableParagraph"/>
              <w:spacing w:line="223" w:lineRule="auto" w:before="84"/>
              <w:ind w:left="77" w:right="100"/>
              <w:rPr>
                <w:sz w:val="15"/>
              </w:rPr>
            </w:pPr>
            <w:r>
              <w:rPr>
                <w:color w:val="231F20"/>
                <w:w w:val="110"/>
                <w:sz w:val="15"/>
              </w:rPr>
              <w:t>2018 Annual </w:t>
            </w:r>
            <w:r>
              <w:rPr>
                <w:color w:val="231F20"/>
                <w:w w:val="105"/>
                <w:sz w:val="15"/>
              </w:rPr>
              <w:t>Report published </w:t>
            </w:r>
            <w:r>
              <w:rPr>
                <w:color w:val="231F20"/>
                <w:w w:val="110"/>
                <w:sz w:val="15"/>
              </w:rPr>
              <w:t>and available on Court and PacLII websites</w:t>
            </w:r>
          </w:p>
        </w:tc>
      </w:tr>
      <w:tr>
        <w:trPr>
          <w:trHeight w:val="462" w:hRule="atLeast"/>
        </w:trPr>
        <w:tc>
          <w:tcPr>
            <w:tcW w:w="1124" w:type="dxa"/>
            <w:shd w:val="clear" w:color="auto" w:fill="92BAC2"/>
          </w:tcPr>
          <w:p>
            <w:pPr>
              <w:pStyle w:val="TableParagraph"/>
              <w:spacing w:line="223" w:lineRule="auto" w:before="85"/>
              <w:ind w:left="80"/>
              <w:rPr>
                <w:b/>
                <w:sz w:val="15"/>
              </w:rPr>
            </w:pPr>
            <w:r>
              <w:rPr>
                <w:b/>
                <w:color w:val="231F20"/>
                <w:w w:val="110"/>
                <w:sz w:val="15"/>
              </w:rPr>
              <w:t>Papua New Guinea</w:t>
            </w:r>
          </w:p>
        </w:tc>
        <w:tc>
          <w:tcPr>
            <w:tcW w:w="1145" w:type="dxa"/>
            <w:shd w:val="clear" w:color="auto" w:fill="92BAC2"/>
          </w:tcPr>
          <w:p>
            <w:pPr>
              <w:pStyle w:val="TableParagraph"/>
              <w:spacing w:before="75"/>
              <w:ind w:left="79"/>
              <w:rPr>
                <w:b/>
                <w:sz w:val="15"/>
              </w:rPr>
            </w:pPr>
            <w:r>
              <w:rPr>
                <w:b/>
                <w:color w:val="231F20"/>
                <w:w w:val="105"/>
                <w:sz w:val="15"/>
              </w:rPr>
              <w:t>Samoa</w:t>
            </w:r>
          </w:p>
        </w:tc>
        <w:tc>
          <w:tcPr>
            <w:tcW w:w="1347" w:type="dxa"/>
            <w:shd w:val="clear" w:color="auto" w:fill="92BAC2"/>
          </w:tcPr>
          <w:p>
            <w:pPr>
              <w:pStyle w:val="TableParagraph"/>
              <w:spacing w:before="75"/>
              <w:ind w:left="79"/>
              <w:rPr>
                <w:b/>
                <w:sz w:val="15"/>
              </w:rPr>
            </w:pPr>
            <w:r>
              <w:rPr>
                <w:b/>
                <w:color w:val="231F20"/>
                <w:w w:val="110"/>
                <w:sz w:val="15"/>
              </w:rPr>
              <w:t>Solomon Islands</w:t>
            </w:r>
          </w:p>
        </w:tc>
        <w:tc>
          <w:tcPr>
            <w:tcW w:w="1255" w:type="dxa"/>
            <w:shd w:val="clear" w:color="auto" w:fill="92BAC2"/>
          </w:tcPr>
          <w:p>
            <w:pPr>
              <w:pStyle w:val="TableParagraph"/>
              <w:spacing w:before="75"/>
              <w:ind w:left="78"/>
              <w:rPr>
                <w:b/>
                <w:sz w:val="15"/>
              </w:rPr>
            </w:pPr>
            <w:r>
              <w:rPr>
                <w:b/>
                <w:color w:val="231F20"/>
                <w:w w:val="110"/>
                <w:sz w:val="15"/>
              </w:rPr>
              <w:t>Tokelau</w:t>
            </w:r>
          </w:p>
        </w:tc>
        <w:tc>
          <w:tcPr>
            <w:tcW w:w="1216" w:type="dxa"/>
            <w:shd w:val="clear" w:color="auto" w:fill="92BAC2"/>
          </w:tcPr>
          <w:p>
            <w:pPr>
              <w:pStyle w:val="TableParagraph"/>
              <w:spacing w:before="75"/>
              <w:ind w:left="78"/>
              <w:rPr>
                <w:b/>
                <w:sz w:val="15"/>
              </w:rPr>
            </w:pPr>
            <w:r>
              <w:rPr>
                <w:b/>
                <w:color w:val="231F20"/>
                <w:w w:val="110"/>
                <w:sz w:val="15"/>
              </w:rPr>
              <w:t>Tonga</w:t>
            </w:r>
          </w:p>
        </w:tc>
        <w:tc>
          <w:tcPr>
            <w:tcW w:w="1109" w:type="dxa"/>
            <w:shd w:val="clear" w:color="auto" w:fill="92BAC2"/>
          </w:tcPr>
          <w:p>
            <w:pPr>
              <w:pStyle w:val="TableParagraph"/>
              <w:spacing w:before="75"/>
              <w:ind w:left="77"/>
              <w:rPr>
                <w:b/>
                <w:sz w:val="15"/>
              </w:rPr>
            </w:pPr>
            <w:r>
              <w:rPr>
                <w:b/>
                <w:color w:val="231F20"/>
                <w:w w:val="110"/>
                <w:sz w:val="15"/>
              </w:rPr>
              <w:t>Tuvalu</w:t>
            </w:r>
          </w:p>
        </w:tc>
        <w:tc>
          <w:tcPr>
            <w:tcW w:w="1306" w:type="dxa"/>
            <w:shd w:val="clear" w:color="auto" w:fill="92BAC2"/>
          </w:tcPr>
          <w:p>
            <w:pPr>
              <w:pStyle w:val="TableParagraph"/>
              <w:spacing w:before="75"/>
              <w:ind w:left="77"/>
              <w:rPr>
                <w:b/>
                <w:sz w:val="15"/>
              </w:rPr>
            </w:pPr>
            <w:r>
              <w:rPr>
                <w:b/>
                <w:color w:val="231F20"/>
                <w:w w:val="105"/>
                <w:sz w:val="15"/>
              </w:rPr>
              <w:t>Vanuatu</w:t>
            </w:r>
          </w:p>
        </w:tc>
      </w:tr>
      <w:tr>
        <w:trPr>
          <w:trHeight w:val="1539" w:hRule="atLeast"/>
        </w:trPr>
        <w:tc>
          <w:tcPr>
            <w:tcW w:w="1124" w:type="dxa"/>
            <w:shd w:val="clear" w:color="auto" w:fill="F5E3B9"/>
          </w:tcPr>
          <w:p>
            <w:pPr>
              <w:pStyle w:val="TableParagraph"/>
              <w:spacing w:line="223" w:lineRule="auto" w:before="84"/>
              <w:ind w:left="80" w:right="78"/>
              <w:rPr>
                <w:sz w:val="15"/>
              </w:rPr>
            </w:pPr>
            <w:r>
              <w:rPr>
                <w:color w:val="231F20"/>
                <w:w w:val="110"/>
                <w:sz w:val="15"/>
              </w:rPr>
              <w:t>2017 Annual Report is not available on PacLII or the PNG National and Supreme </w:t>
            </w:r>
            <w:r>
              <w:rPr>
                <w:color w:val="231F20"/>
                <w:w w:val="105"/>
                <w:sz w:val="15"/>
              </w:rPr>
              <w:t>Court website.</w:t>
            </w:r>
          </w:p>
        </w:tc>
        <w:tc>
          <w:tcPr>
            <w:tcW w:w="1145" w:type="dxa"/>
            <w:shd w:val="clear" w:color="auto" w:fill="F5E3B9"/>
          </w:tcPr>
          <w:p>
            <w:pPr>
              <w:pStyle w:val="TableParagraph"/>
              <w:spacing w:line="177" w:lineRule="exact" w:before="74"/>
              <w:ind w:left="79"/>
              <w:rPr>
                <w:sz w:val="15"/>
              </w:rPr>
            </w:pPr>
            <w:r>
              <w:rPr>
                <w:color w:val="231F20"/>
                <w:w w:val="115"/>
                <w:sz w:val="15"/>
              </w:rPr>
              <w:t>2016-2017</w:t>
            </w:r>
          </w:p>
          <w:p>
            <w:pPr>
              <w:pStyle w:val="TableParagraph"/>
              <w:spacing w:line="223" w:lineRule="auto" w:before="4"/>
              <w:ind w:left="79"/>
              <w:rPr>
                <w:sz w:val="15"/>
              </w:rPr>
            </w:pPr>
            <w:r>
              <w:rPr>
                <w:color w:val="231F20"/>
                <w:w w:val="110"/>
                <w:sz w:val="15"/>
              </w:rPr>
              <w:t>MJCA Annual Report is published but not available online</w:t>
            </w:r>
          </w:p>
        </w:tc>
        <w:tc>
          <w:tcPr>
            <w:tcW w:w="1347" w:type="dxa"/>
            <w:shd w:val="clear" w:color="auto" w:fill="F5E3B9"/>
          </w:tcPr>
          <w:p>
            <w:pPr>
              <w:pStyle w:val="TableParagraph"/>
              <w:spacing w:line="177" w:lineRule="exact" w:before="74"/>
              <w:ind w:left="79"/>
              <w:rPr>
                <w:sz w:val="15"/>
              </w:rPr>
            </w:pPr>
            <w:r>
              <w:rPr>
                <w:color w:val="231F20"/>
                <w:w w:val="110"/>
                <w:sz w:val="15"/>
              </w:rPr>
              <w:t>The 2012-2014</w:t>
            </w:r>
          </w:p>
          <w:p>
            <w:pPr>
              <w:pStyle w:val="TableParagraph"/>
              <w:spacing w:line="223" w:lineRule="auto" w:before="4"/>
              <w:ind w:left="79" w:right="151"/>
              <w:jc w:val="both"/>
              <w:rPr>
                <w:sz w:val="15"/>
              </w:rPr>
            </w:pPr>
            <w:r>
              <w:rPr>
                <w:color w:val="231F20"/>
                <w:w w:val="110"/>
                <w:sz w:val="15"/>
              </w:rPr>
              <w:t>Annual Report</w:t>
            </w:r>
            <w:r>
              <w:rPr>
                <w:color w:val="231F20"/>
                <w:spacing w:val="-19"/>
                <w:w w:val="110"/>
                <w:sz w:val="15"/>
              </w:rPr>
              <w:t> </w:t>
            </w:r>
            <w:r>
              <w:rPr>
                <w:color w:val="231F20"/>
                <w:w w:val="110"/>
                <w:sz w:val="15"/>
              </w:rPr>
              <w:t>is not published</w:t>
            </w:r>
            <w:r>
              <w:rPr>
                <w:color w:val="231F20"/>
                <w:spacing w:val="-31"/>
                <w:w w:val="110"/>
                <w:sz w:val="15"/>
              </w:rPr>
              <w:t> </w:t>
            </w:r>
            <w:r>
              <w:rPr>
                <w:color w:val="231F20"/>
                <w:w w:val="110"/>
                <w:sz w:val="15"/>
              </w:rPr>
              <w:t>on </w:t>
            </w:r>
            <w:r>
              <w:rPr>
                <w:color w:val="231F20"/>
                <w:spacing w:val="-4"/>
                <w:w w:val="110"/>
                <w:sz w:val="15"/>
              </w:rPr>
              <w:t>PacLII.</w:t>
            </w:r>
          </w:p>
        </w:tc>
        <w:tc>
          <w:tcPr>
            <w:tcW w:w="1255" w:type="dxa"/>
            <w:shd w:val="clear" w:color="auto" w:fill="D8E3CE"/>
          </w:tcPr>
          <w:p>
            <w:pPr>
              <w:pStyle w:val="TableParagraph"/>
              <w:spacing w:line="177" w:lineRule="exact" w:before="74"/>
              <w:ind w:left="78"/>
              <w:rPr>
                <w:sz w:val="15"/>
              </w:rPr>
            </w:pPr>
            <w:r>
              <w:rPr>
                <w:color w:val="231F20"/>
                <w:w w:val="110"/>
                <w:sz w:val="15"/>
              </w:rPr>
              <w:t>The 2016-2018</w:t>
            </w:r>
          </w:p>
          <w:p>
            <w:pPr>
              <w:pStyle w:val="TableParagraph"/>
              <w:spacing w:line="223" w:lineRule="auto" w:before="4"/>
              <w:ind w:left="78" w:right="84"/>
              <w:rPr>
                <w:sz w:val="15"/>
              </w:rPr>
            </w:pPr>
            <w:r>
              <w:rPr>
                <w:color w:val="231F20"/>
                <w:w w:val="105"/>
                <w:sz w:val="15"/>
              </w:rPr>
              <w:t>Annual Report is being finalised to be presented to the </w:t>
            </w:r>
            <w:r>
              <w:rPr>
                <w:color w:val="231F20"/>
                <w:spacing w:val="-3"/>
                <w:w w:val="105"/>
                <w:sz w:val="15"/>
              </w:rPr>
              <w:t>July </w:t>
            </w:r>
            <w:r>
              <w:rPr>
                <w:color w:val="231F20"/>
                <w:w w:val="105"/>
                <w:sz w:val="15"/>
              </w:rPr>
              <w:t>2019 </w:t>
            </w:r>
            <w:r>
              <w:rPr>
                <w:color w:val="231F20"/>
                <w:spacing w:val="-4"/>
                <w:w w:val="105"/>
                <w:sz w:val="15"/>
              </w:rPr>
              <w:t>Parliament </w:t>
            </w:r>
            <w:r>
              <w:rPr>
                <w:color w:val="231F20"/>
                <w:w w:val="105"/>
                <w:sz w:val="15"/>
              </w:rPr>
              <w:t>Meeting</w:t>
            </w:r>
          </w:p>
        </w:tc>
        <w:tc>
          <w:tcPr>
            <w:tcW w:w="1216" w:type="dxa"/>
            <w:shd w:val="clear" w:color="auto" w:fill="D8E3CE"/>
          </w:tcPr>
          <w:p>
            <w:pPr>
              <w:pStyle w:val="TableParagraph"/>
              <w:spacing w:line="223" w:lineRule="auto" w:before="84"/>
              <w:ind w:left="78"/>
              <w:rPr>
                <w:sz w:val="15"/>
              </w:rPr>
            </w:pPr>
            <w:r>
              <w:rPr>
                <w:color w:val="231F20"/>
                <w:w w:val="115"/>
                <w:sz w:val="15"/>
              </w:rPr>
              <w:t>2017 Annual Report is on PacLII.</w:t>
            </w:r>
          </w:p>
        </w:tc>
        <w:tc>
          <w:tcPr>
            <w:tcW w:w="1109" w:type="dxa"/>
            <w:shd w:val="clear" w:color="auto" w:fill="F2CDBE"/>
          </w:tcPr>
          <w:p>
            <w:pPr>
              <w:pStyle w:val="TableParagraph"/>
              <w:spacing w:line="223" w:lineRule="auto" w:before="84"/>
              <w:ind w:left="77"/>
              <w:rPr>
                <w:sz w:val="15"/>
              </w:rPr>
            </w:pPr>
            <w:r>
              <w:rPr>
                <w:color w:val="231F20"/>
                <w:w w:val="110"/>
                <w:sz w:val="15"/>
              </w:rPr>
              <w:t>No Annual </w:t>
            </w:r>
            <w:r>
              <w:rPr>
                <w:color w:val="231F20"/>
                <w:w w:val="105"/>
                <w:sz w:val="15"/>
              </w:rPr>
              <w:t>Report for the last Reporting </w:t>
            </w:r>
            <w:r>
              <w:rPr>
                <w:color w:val="231F20"/>
                <w:w w:val="110"/>
                <w:sz w:val="15"/>
              </w:rPr>
              <w:t>Period</w:t>
            </w:r>
          </w:p>
        </w:tc>
        <w:tc>
          <w:tcPr>
            <w:tcW w:w="1306" w:type="dxa"/>
            <w:shd w:val="clear" w:color="auto" w:fill="D8E3CE"/>
          </w:tcPr>
          <w:p>
            <w:pPr>
              <w:pStyle w:val="TableParagraph"/>
              <w:spacing w:line="223" w:lineRule="auto" w:before="84"/>
              <w:ind w:left="77" w:right="100"/>
              <w:rPr>
                <w:sz w:val="15"/>
              </w:rPr>
            </w:pPr>
            <w:r>
              <w:rPr>
                <w:color w:val="231F20"/>
                <w:w w:val="110"/>
                <w:sz w:val="15"/>
              </w:rPr>
              <w:t>2018 Annual </w:t>
            </w:r>
            <w:r>
              <w:rPr>
                <w:color w:val="231F20"/>
                <w:w w:val="105"/>
                <w:sz w:val="15"/>
              </w:rPr>
              <w:t>Report published </w:t>
            </w:r>
            <w:r>
              <w:rPr>
                <w:color w:val="231F20"/>
                <w:w w:val="110"/>
                <w:sz w:val="15"/>
              </w:rPr>
              <w:t>and available on Court and PacLII websites</w:t>
            </w:r>
          </w:p>
        </w:tc>
      </w:tr>
    </w:tbl>
    <w:p>
      <w:pPr>
        <w:spacing w:after="0" w:line="223" w:lineRule="auto"/>
        <w:rPr>
          <w:sz w:val="15"/>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7831">
            <wp:simplePos x="0" y="0"/>
            <wp:positionH relativeFrom="page">
              <wp:posOffset>0</wp:posOffset>
            </wp:positionH>
            <wp:positionV relativeFrom="paragraph">
              <wp:posOffset>373881</wp:posOffset>
            </wp:positionV>
            <wp:extent cx="7559992" cy="143992"/>
            <wp:effectExtent l="0" t="0" r="0" b="0"/>
            <wp:wrapNone/>
            <wp:docPr id="55" name="image39.png" descr=""/>
            <wp:cNvGraphicFramePr>
              <a:graphicFrameLocks noChangeAspect="1"/>
            </wp:cNvGraphicFramePr>
            <a:graphic>
              <a:graphicData uri="http://schemas.openxmlformats.org/drawingml/2006/picture">
                <pic:pic>
                  <pic:nvPicPr>
                    <pic:cNvPr id="56"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40</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pStyle w:val="BodyText"/>
        <w:rPr>
          <w:b/>
          <w:sz w:val="20"/>
        </w:rPr>
      </w:pPr>
    </w:p>
    <w:p>
      <w:pPr>
        <w:pStyle w:val="BodyText"/>
        <w:rPr>
          <w:b/>
          <w:sz w:val="20"/>
        </w:rPr>
      </w:pPr>
    </w:p>
    <w:p>
      <w:pPr>
        <w:pStyle w:val="BodyText"/>
        <w:rPr>
          <w:b/>
          <w:sz w:val="20"/>
        </w:rPr>
      </w:pPr>
    </w:p>
    <w:p>
      <w:pPr>
        <w:pStyle w:val="BodyText"/>
        <w:spacing w:before="12"/>
        <w:rPr>
          <w:b/>
          <w:sz w:val="14"/>
        </w:rPr>
      </w:pPr>
    </w:p>
    <w:p>
      <w:pPr>
        <w:pStyle w:val="Heading2"/>
        <w:ind w:left="4082"/>
      </w:pPr>
      <w:r>
        <w:rPr/>
        <w:pict>
          <v:group style="position:absolute;margin-left:.0pt;margin-top:4.994475pt;width:192.8pt;height:36.9pt;mso-position-horizontal-relative:page;mso-position-vertical-relative:paragraph;z-index:12040" coordorigin="0,100" coordsize="3856,738">
            <v:shape style="position:absolute;left:0;top:99;width:3856;height:737" coordorigin="0,100" coordsize="3856,737" path="m3855,100l0,100,0,837,3515,837,3712,832,3813,794,3850,693,3855,497,3855,100xe" filled="true" fillcolor="#b31f35" stroked="false">
              <v:path arrowok="t"/>
              <v:fill type="solid"/>
            </v:shape>
            <v:shape style="position:absolute;left:0;top:99;width:3856;height:738" type="#_x0000_t202" filled="false" stroked="false">
              <v:textbox inset="0,0,0,0">
                <w:txbxContent>
                  <w:p>
                    <w:pPr>
                      <w:spacing w:line="713" w:lineRule="exact" w:before="0"/>
                      <w:ind w:left="1700" w:right="0" w:firstLine="0"/>
                      <w:jc w:val="left"/>
                      <w:rPr>
                        <w:sz w:val="60"/>
                      </w:rPr>
                    </w:pPr>
                    <w:r>
                      <w:rPr>
                        <w:color w:val="FFFFFF"/>
                        <w:w w:val="110"/>
                        <w:sz w:val="60"/>
                      </w:rPr>
                      <w:t>Annex</w:t>
                    </w:r>
                  </w:p>
                </w:txbxContent>
              </v:textbox>
              <w10:wrap type="none"/>
            </v:shape>
            <w10:wrap type="none"/>
          </v:group>
        </w:pict>
      </w:r>
      <w:r>
        <w:rPr>
          <w:color w:val="0F6161"/>
          <w:w w:val="105"/>
        </w:rPr>
        <w:t>Cook Island</w:t>
      </w:r>
      <w:r>
        <w:rPr>
          <w:color w:val="0F6161"/>
          <w:spacing w:val="60"/>
          <w:w w:val="105"/>
        </w:rPr>
        <w:t> </w:t>
      </w:r>
      <w:r>
        <w:rPr>
          <w:color w:val="0F6161"/>
          <w:w w:val="105"/>
        </w:rPr>
        <w:t>Indicators</w:t>
      </w:r>
    </w:p>
    <w:p>
      <w:pPr>
        <w:pStyle w:val="Heading6"/>
        <w:spacing w:before="419"/>
      </w:pPr>
      <w:r>
        <w:rPr/>
        <w:pict>
          <v:group style="position:absolute;margin-left:85.039299pt;margin-top:12.552803pt;width:76.55pt;height:72.3pt;mso-position-horizontal-relative:page;mso-position-vertical-relative:paragraph;z-index:12088" coordorigin="1701,251" coordsize="1531,1446">
            <v:shape style="position:absolute;left:1700;top:251;width:1531;height:1446" coordorigin="1701,251" coordsize="1531,1446" path="m3146,251l1786,251,1737,252,1711,262,1702,287,1701,336,1701,1612,1702,1661,1711,1686,1737,1695,1786,1697,3146,1697,3196,1695,3221,1686,3230,1661,3231,1612,3231,336,3230,287,3221,262,3196,252,3146,251xe" filled="true" fillcolor="#fdce0d" stroked="false">
              <v:path arrowok="t"/>
              <v:fill type="solid"/>
            </v:shape>
            <v:shape style="position:absolute;left:1922;top:309;width:1088;height:1329" type="#_x0000_t75" stroked="false">
              <v:imagedata r:id="rId40" o:title=""/>
            </v:shape>
            <w10:wrap type="none"/>
          </v:group>
        </w:pict>
      </w:r>
      <w:r>
        <w:rPr>
          <w:color w:val="0F6161"/>
          <w:w w:val="105"/>
        </w:rPr>
        <w:t>Indicator 1: Clearance Rate</w:t>
      </w:r>
    </w:p>
    <w:p>
      <w:pPr>
        <w:pStyle w:val="BodyText"/>
        <w:spacing w:line="252" w:lineRule="auto" w:before="165"/>
        <w:ind w:left="3514" w:right="1808"/>
      </w:pPr>
      <w:r>
        <w:rPr>
          <w:color w:val="231F20"/>
          <w:w w:val="105"/>
        </w:rPr>
        <w:t>The result against this indicator is obtained by dividing all cases finalised in a year by cases filed.</w:t>
      </w:r>
    </w:p>
    <w:p>
      <w:pPr>
        <w:pStyle w:val="BodyText"/>
        <w:rPr>
          <w:sz w:val="24"/>
        </w:rPr>
      </w:pPr>
    </w:p>
    <w:p>
      <w:pPr>
        <w:pStyle w:val="BodyText"/>
        <w:spacing w:before="11"/>
        <w:rPr>
          <w:sz w:val="17"/>
        </w:rPr>
      </w:pPr>
    </w:p>
    <w:p>
      <w:pPr>
        <w:pStyle w:val="Heading6"/>
        <w:spacing w:before="1"/>
      </w:pPr>
      <w:r>
        <w:rPr/>
        <w:pict>
          <v:group style="position:absolute;margin-left:85.039299pt;margin-top:1.676501pt;width:76.55pt;height:72.3pt;mso-position-horizontal-relative:page;mso-position-vertical-relative:paragraph;z-index:12064" coordorigin="1701,34" coordsize="1531,1446">
            <v:shape style="position:absolute;left:1700;top:33;width:1531;height:1446" coordorigin="1701,34" coordsize="1531,1446" path="m3146,34l1786,34,1737,35,1711,44,1702,69,1701,119,1701,1394,1702,1443,1711,1469,1737,1478,1786,1479,3146,1479,3196,1478,3221,1469,3230,1443,3231,1394,3231,119,3230,69,3221,44,3196,35,3146,34xe" filled="true" fillcolor="#efac1e" stroked="false">
              <v:path arrowok="t"/>
              <v:fill type="solid"/>
            </v:shape>
            <v:shape style="position:absolute;left:1885;top:156;width:1199;height:1199" type="#_x0000_t75" stroked="false">
              <v:imagedata r:id="rId28" o:title=""/>
            </v:shape>
            <w10:wrap type="none"/>
          </v:group>
        </w:pict>
      </w:r>
      <w:bookmarkStart w:name="_TOC_250004" w:id="2"/>
      <w:r>
        <w:rPr>
          <w:color w:val="0F6161"/>
          <w:w w:val="105"/>
        </w:rPr>
        <w:t>Indicator 2: </w:t>
      </w:r>
      <w:r>
        <w:rPr>
          <w:color w:val="0F6161"/>
          <w:spacing w:val="-4"/>
          <w:w w:val="105"/>
        </w:rPr>
        <w:t>Average </w:t>
      </w:r>
      <w:r>
        <w:rPr>
          <w:color w:val="0F6161"/>
          <w:w w:val="105"/>
        </w:rPr>
        <w:t>Duration of a</w:t>
      </w:r>
      <w:r>
        <w:rPr>
          <w:color w:val="0F6161"/>
          <w:spacing w:val="62"/>
          <w:w w:val="105"/>
        </w:rPr>
        <w:t> </w:t>
      </w:r>
      <w:bookmarkEnd w:id="2"/>
      <w:r>
        <w:rPr>
          <w:color w:val="0F6161"/>
          <w:w w:val="105"/>
        </w:rPr>
        <w:t>Case</w:t>
      </w:r>
    </w:p>
    <w:p>
      <w:pPr>
        <w:pStyle w:val="BodyText"/>
        <w:spacing w:line="252" w:lineRule="auto" w:before="165"/>
        <w:ind w:left="3514" w:right="1698"/>
      </w:pPr>
      <w:r>
        <w:rPr>
          <w:color w:val="231F20"/>
          <w:w w:val="105"/>
        </w:rPr>
        <w:t>The result against this indicator is obtained by totalling the days for each case from the date the case is filed to the date it is finalised and then dividing this by the number of cases finalised.</w:t>
      </w:r>
    </w:p>
    <w:p>
      <w:pPr>
        <w:pStyle w:val="BodyText"/>
        <w:rPr>
          <w:sz w:val="24"/>
        </w:rPr>
      </w:pPr>
    </w:p>
    <w:p>
      <w:pPr>
        <w:pStyle w:val="Heading6"/>
        <w:spacing w:before="163"/>
      </w:pPr>
      <w:r>
        <w:rPr/>
        <w:pict>
          <v:group style="position:absolute;margin-left:85.039299pt;margin-top:9.134684pt;width:76.55pt;height:72.3pt;mso-position-horizontal-relative:page;mso-position-vertical-relative:paragraph;z-index:12136" coordorigin="1701,183" coordsize="1531,1446">
            <v:shape style="position:absolute;left:1700;top:182;width:1531;height:1446" coordorigin="1701,183" coordsize="1531,1446" path="m3146,183l1786,183,1737,184,1711,193,1702,219,1701,268,1701,1543,1702,1592,1711,1618,1737,1627,1786,1628,3146,1628,3196,1627,3221,1618,3230,1592,3231,1543,3231,268,3230,219,3221,193,3196,184,3146,183xe" filled="true" fillcolor="#007dbb" stroked="false">
              <v:path arrowok="t"/>
              <v:fill type="solid"/>
            </v:shape>
            <v:shape style="position:absolute;left:1824;top:476;width:1262;height:858" type="#_x0000_t75" stroked="false">
              <v:imagedata r:id="rId39" o:title=""/>
            </v:shape>
            <w10:wrap type="none"/>
          </v:group>
        </w:pict>
      </w:r>
      <w:bookmarkStart w:name="_TOC_250003" w:id="3"/>
      <w:bookmarkEnd w:id="3"/>
      <w:r>
        <w:rPr>
          <w:color w:val="0F6161"/>
          <w:w w:val="105"/>
        </w:rPr>
        <w:t>Indicator 3: Percentage of Appeals</w:t>
      </w:r>
    </w:p>
    <w:p>
      <w:pPr>
        <w:pStyle w:val="BodyText"/>
        <w:spacing w:line="252" w:lineRule="auto" w:before="165"/>
        <w:ind w:left="3514" w:right="1917"/>
      </w:pPr>
      <w:r>
        <w:rPr>
          <w:color w:val="231F20"/>
          <w:w w:val="105"/>
        </w:rPr>
        <w:t>The result against this indicator is obtained by dividing the number of cases appealed to a higher court by the number of cases finalised in the level of court jurisdiction from which the appeal is made.</w:t>
      </w:r>
    </w:p>
    <w:p>
      <w:pPr>
        <w:pStyle w:val="BodyText"/>
        <w:spacing w:before="8"/>
        <w:rPr>
          <w:sz w:val="32"/>
        </w:rPr>
      </w:pPr>
    </w:p>
    <w:p>
      <w:pPr>
        <w:pStyle w:val="Heading6"/>
      </w:pPr>
      <w:r>
        <w:rPr/>
        <w:pict>
          <v:group style="position:absolute;margin-left:85.039299pt;margin-top:3.177693pt;width:76.55pt;height:72.3pt;mso-position-horizontal-relative:page;mso-position-vertical-relative:paragraph;z-index:12112" coordorigin="1701,64" coordsize="1531,1446">
            <v:shape style="position:absolute;left:1700;top:63;width:1531;height:1446" coordorigin="1701,64" coordsize="1531,1446" path="m3146,64l1786,64,1737,65,1711,74,1702,99,1701,149,1701,1424,1702,1473,1711,1499,1737,1508,1786,1509,3146,1509,3196,1508,3221,1499,3230,1473,3231,1424,3231,149,3230,99,3221,74,3196,65,3146,64xe" filled="true" fillcolor="#b5b292" stroked="false">
              <v:path arrowok="t"/>
              <v:fill type="solid"/>
            </v:shape>
            <v:shape style="position:absolute;left:1921;top:168;width:1089;height:1237" type="#_x0000_t75" stroked="false">
              <v:imagedata r:id="rId29" o:title=""/>
            </v:shape>
            <w10:wrap type="none"/>
          </v:group>
        </w:pict>
      </w:r>
      <w:bookmarkStart w:name="_TOC_250002" w:id="4"/>
      <w:bookmarkEnd w:id="4"/>
      <w:r>
        <w:rPr>
          <w:color w:val="0F6161"/>
          <w:w w:val="105"/>
        </w:rPr>
        <w:t>Indicator 4: Overturn Rate on Appeal</w:t>
      </w:r>
    </w:p>
    <w:p>
      <w:pPr>
        <w:pStyle w:val="BodyText"/>
        <w:spacing w:line="252" w:lineRule="auto" w:before="165"/>
        <w:ind w:left="3514" w:right="1808"/>
      </w:pPr>
      <w:r>
        <w:rPr>
          <w:color w:val="231F20"/>
          <w:w w:val="105"/>
        </w:rPr>
        <w:t>The result against this indicator is obtained by dividing the number of appeal cases in which the lower court decision is overturned in whole or in part by the total number of appeals.</w:t>
      </w:r>
    </w:p>
    <w:p>
      <w:pPr>
        <w:pStyle w:val="BodyText"/>
        <w:rPr>
          <w:sz w:val="24"/>
        </w:rPr>
      </w:pPr>
    </w:p>
    <w:p>
      <w:pPr>
        <w:pStyle w:val="BodyText"/>
        <w:spacing w:before="12"/>
      </w:pPr>
    </w:p>
    <w:p>
      <w:pPr>
        <w:pStyle w:val="Heading6"/>
        <w:spacing w:line="196" w:lineRule="auto"/>
        <w:ind w:right="2292"/>
      </w:pPr>
      <w:r>
        <w:rPr/>
        <w:pict>
          <v:group style="position:absolute;margin-left:85.039299pt;margin-top:.136476pt;width:76.55pt;height:72.3pt;mso-position-horizontal-relative:page;mso-position-vertical-relative:paragraph;z-index:12184" coordorigin="1701,3" coordsize="1531,1446">
            <v:shape style="position:absolute;left:1700;top:2;width:1531;height:1446" coordorigin="1701,3" coordsize="1531,1446" path="m3146,3l1786,3,1737,4,1711,13,1702,39,1701,88,1701,1363,1702,1413,1711,1438,1737,1447,1786,1448,3146,1448,3196,1447,3221,1438,3230,1413,3231,1363,3231,88,3230,39,3221,13,3196,4,3146,3xe" filled="true" fillcolor="#e07e26" stroked="false">
              <v:path arrowok="t"/>
              <v:fill type="solid"/>
            </v:shape>
            <v:shape style="position:absolute;left:1923;top:182;width:1084;height:1084" type="#_x0000_t75" stroked="false">
              <v:imagedata r:id="rId41" o:title=""/>
            </v:shape>
            <w10:wrap type="none"/>
          </v:group>
        </w:pict>
      </w:r>
      <w:bookmarkStart w:name="_TOC_250001" w:id="5"/>
      <w:bookmarkEnd w:id="5"/>
      <w:r>
        <w:rPr>
          <w:color w:val="0F6161"/>
          <w:w w:val="105"/>
        </w:rPr>
        <w:t>Indicator 5: Percentage of Cases that are Granted a Court Fee Waiver</w:t>
      </w:r>
    </w:p>
    <w:p>
      <w:pPr>
        <w:pStyle w:val="BodyText"/>
        <w:spacing w:line="252" w:lineRule="auto" w:before="178"/>
        <w:ind w:left="3514" w:right="1698"/>
      </w:pPr>
      <w:r>
        <w:rPr>
          <w:color w:val="231F20"/>
          <w:spacing w:val="-5"/>
          <w:w w:val="105"/>
        </w:rPr>
        <w:t>The </w:t>
      </w:r>
      <w:r>
        <w:rPr>
          <w:color w:val="231F20"/>
          <w:spacing w:val="-3"/>
          <w:w w:val="105"/>
        </w:rPr>
        <w:t>result against this indicator </w:t>
      </w:r>
      <w:r>
        <w:rPr>
          <w:color w:val="231F20"/>
          <w:w w:val="105"/>
        </w:rPr>
        <w:t>is </w:t>
      </w:r>
      <w:r>
        <w:rPr>
          <w:color w:val="231F20"/>
          <w:spacing w:val="-3"/>
          <w:w w:val="105"/>
        </w:rPr>
        <w:t>obtained by dividing </w:t>
      </w:r>
      <w:r>
        <w:rPr>
          <w:color w:val="231F20"/>
          <w:w w:val="105"/>
        </w:rPr>
        <w:t>the </w:t>
      </w:r>
      <w:r>
        <w:rPr>
          <w:color w:val="231F20"/>
          <w:spacing w:val="-3"/>
          <w:w w:val="105"/>
        </w:rPr>
        <w:t>number </w:t>
      </w:r>
      <w:r>
        <w:rPr>
          <w:color w:val="231F20"/>
          <w:w w:val="105"/>
        </w:rPr>
        <w:t>of </w:t>
      </w:r>
      <w:r>
        <w:rPr>
          <w:color w:val="231F20"/>
          <w:spacing w:val="-3"/>
          <w:w w:val="105"/>
        </w:rPr>
        <w:t>cases that </w:t>
      </w:r>
      <w:r>
        <w:rPr>
          <w:color w:val="231F20"/>
          <w:w w:val="105"/>
        </w:rPr>
        <w:t>are </w:t>
      </w:r>
      <w:r>
        <w:rPr>
          <w:color w:val="231F20"/>
          <w:spacing w:val="-3"/>
          <w:w w:val="105"/>
        </w:rPr>
        <w:t>granted </w:t>
      </w:r>
      <w:r>
        <w:rPr>
          <w:color w:val="231F20"/>
          <w:w w:val="105"/>
        </w:rPr>
        <w:t>a </w:t>
      </w:r>
      <w:r>
        <w:rPr>
          <w:color w:val="231F20"/>
          <w:spacing w:val="-3"/>
          <w:w w:val="105"/>
        </w:rPr>
        <w:t>court </w:t>
      </w:r>
      <w:r>
        <w:rPr>
          <w:color w:val="231F20"/>
          <w:w w:val="105"/>
        </w:rPr>
        <w:t>fee </w:t>
      </w:r>
      <w:r>
        <w:rPr>
          <w:color w:val="231F20"/>
          <w:spacing w:val="-4"/>
          <w:w w:val="105"/>
        </w:rPr>
        <w:t>waiver </w:t>
      </w:r>
      <w:r>
        <w:rPr>
          <w:color w:val="231F20"/>
          <w:spacing w:val="-3"/>
          <w:w w:val="105"/>
        </w:rPr>
        <w:t>by </w:t>
      </w:r>
      <w:r>
        <w:rPr>
          <w:color w:val="231F20"/>
          <w:w w:val="105"/>
        </w:rPr>
        <w:t>the </w:t>
      </w:r>
      <w:r>
        <w:rPr>
          <w:color w:val="231F20"/>
          <w:spacing w:val="-3"/>
          <w:w w:val="105"/>
        </w:rPr>
        <w:t>total number </w:t>
      </w:r>
      <w:r>
        <w:rPr>
          <w:color w:val="231F20"/>
          <w:w w:val="105"/>
        </w:rPr>
        <w:t>of </w:t>
      </w:r>
      <w:r>
        <w:rPr>
          <w:color w:val="231F20"/>
          <w:spacing w:val="-3"/>
          <w:w w:val="105"/>
        </w:rPr>
        <w:t>cases filed.</w:t>
      </w:r>
    </w:p>
    <w:p>
      <w:pPr>
        <w:pStyle w:val="BodyText"/>
        <w:rPr>
          <w:sz w:val="24"/>
        </w:rPr>
      </w:pPr>
    </w:p>
    <w:p>
      <w:pPr>
        <w:pStyle w:val="Heading6"/>
        <w:spacing w:line="196" w:lineRule="auto" w:before="210"/>
        <w:ind w:right="2185"/>
      </w:pPr>
      <w:r>
        <w:rPr/>
        <w:pict>
          <v:group style="position:absolute;margin-left:85.039299pt;margin-top:12.329368pt;width:76.55pt;height:72.3pt;mso-position-horizontal-relative:page;mso-position-vertical-relative:paragraph;z-index:12160" coordorigin="1701,247" coordsize="1531,1446">
            <v:shape style="position:absolute;left:1700;top:246;width:1531;height:1446" coordorigin="1701,247" coordsize="1531,1446" path="m3146,247l1786,247,1737,248,1711,257,1702,282,1701,332,1701,1607,1702,1656,1711,1682,1737,1691,1786,1692,3146,1692,3196,1691,3221,1682,3230,1656,3231,1607,3231,332,3230,282,3221,257,3196,248,3146,247xe" filled="true" fillcolor="#65a5ae" stroked="false">
              <v:path arrowok="t"/>
              <v:fill type="solid"/>
            </v:shape>
            <v:shape style="position:absolute;left:1843;top:434;width:1246;height:1070" type="#_x0000_t75" stroked="false">
              <v:imagedata r:id="rId32" o:title=""/>
            </v:shape>
            <w10:wrap type="none"/>
          </v:group>
        </w:pict>
      </w:r>
      <w:r>
        <w:rPr>
          <w:color w:val="0F6161"/>
          <w:w w:val="105"/>
        </w:rPr>
        <w:t>Indicator 6: Percentage of Cases Disposed Through a Circuit Court</w:t>
      </w:r>
    </w:p>
    <w:p>
      <w:pPr>
        <w:pStyle w:val="BodyText"/>
        <w:spacing w:line="252" w:lineRule="auto" w:before="178"/>
        <w:ind w:left="3514" w:right="2185"/>
      </w:pPr>
      <w:r>
        <w:rPr>
          <w:color w:val="231F20"/>
          <w:spacing w:val="-4"/>
          <w:w w:val="105"/>
        </w:rPr>
        <w:t>The </w:t>
      </w:r>
      <w:r>
        <w:rPr>
          <w:color w:val="231F20"/>
          <w:w w:val="105"/>
        </w:rPr>
        <w:t>result against this indicator is obtained by dividing the number  of cases finalised through a circuit court by the total number of cases finalised.</w:t>
      </w:r>
    </w:p>
    <w:p>
      <w:pPr>
        <w:pStyle w:val="BodyText"/>
        <w:rPr>
          <w:sz w:val="24"/>
        </w:rPr>
      </w:pPr>
    </w:p>
    <w:p>
      <w:pPr>
        <w:pStyle w:val="Heading6"/>
        <w:spacing w:line="196" w:lineRule="auto" w:before="155"/>
        <w:ind w:right="2292"/>
      </w:pPr>
      <w:r>
        <w:rPr/>
        <w:pict>
          <v:group style="position:absolute;margin-left:85.039299pt;margin-top:3.441561pt;width:76.55pt;height:72.3pt;mso-position-horizontal-relative:page;mso-position-vertical-relative:paragraph;z-index:12208" coordorigin="1701,69" coordsize="1531,1446">
            <v:shape style="position:absolute;left:1700;top:68;width:1531;height:1446" coordorigin="1701,69" coordsize="1531,1446" path="m3146,69l1786,69,1737,70,1711,79,1702,105,1701,154,1701,1429,1702,1479,1711,1504,1737,1513,1786,1514,3146,1514,3196,1513,3221,1504,3230,1479,3231,1429,3231,154,3230,105,3221,79,3196,70,3146,69xe" filled="true" fillcolor="#929235" stroked="false">
              <v:path arrowok="t"/>
              <v:fill type="solid"/>
            </v:shape>
            <v:shape style="position:absolute;left:1812;top:156;width:1307;height:1271" type="#_x0000_t75" stroked="false">
              <v:imagedata r:id="rId37" o:title=""/>
            </v:shape>
            <w10:wrap type="none"/>
          </v:group>
        </w:pict>
      </w:r>
      <w:bookmarkStart w:name="_TOC_250000" w:id="6"/>
      <w:bookmarkEnd w:id="6"/>
      <w:r>
        <w:rPr>
          <w:color w:val="0F6161"/>
          <w:w w:val="105"/>
        </w:rPr>
        <w:t>Indicator 7: Percentage of Cases Where a Party Receives Legal Aid</w:t>
      </w:r>
    </w:p>
    <w:p>
      <w:pPr>
        <w:pStyle w:val="BodyText"/>
        <w:spacing w:line="252" w:lineRule="auto" w:before="178"/>
        <w:ind w:left="3514" w:right="1808"/>
      </w:pPr>
      <w:r>
        <w:rPr>
          <w:color w:val="231F20"/>
          <w:w w:val="105"/>
        </w:rPr>
        <w:t>The result against this indicator is obtained by dividing the number of cases where a party receives legal aid by the total number of cases filed.</w:t>
      </w:r>
    </w:p>
    <w:p>
      <w:pPr>
        <w:spacing w:after="0" w:line="252" w:lineRule="auto"/>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87384"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41</w:t>
      </w:r>
    </w:p>
    <w:p>
      <w:pPr>
        <w:pStyle w:val="BodyText"/>
        <w:rPr>
          <w:sz w:val="56"/>
        </w:rPr>
      </w:pPr>
    </w:p>
    <w:p>
      <w:pPr>
        <w:pStyle w:val="Heading6"/>
        <w:spacing w:line="196" w:lineRule="auto" w:before="371"/>
        <w:ind w:right="911"/>
      </w:pPr>
      <w:r>
        <w:rPr/>
        <w:pict>
          <v:group style="position:absolute;margin-left:85.039299pt;margin-top:16.586889pt;width:76.55pt;height:72.3pt;mso-position-horizontal-relative:page;mso-position-vertical-relative:paragraph;z-index:12280" coordorigin="1701,332" coordsize="1531,1446">
            <v:shape style="position:absolute;left:1700;top:331;width:1531;height:1446" coordorigin="1701,332" coordsize="1531,1446" path="m3146,332l1786,332,1737,333,1711,342,1702,368,1701,417,1701,1692,1702,1742,1711,1767,1737,1776,1786,1777,3146,1777,3196,1776,3221,1767,3230,1742,3231,1692,3231,417,3230,368,3221,342,3196,333,3146,332xe" filled="true" fillcolor="#0f6161" stroked="false">
              <v:path arrowok="t"/>
              <v:fill type="solid"/>
            </v:shape>
            <v:shape style="position:absolute;left:1881;top:480;width:1185;height:1157" type="#_x0000_t75" stroked="false">
              <v:imagedata r:id="rId38" o:title=""/>
            </v:shape>
            <w10:wrap type="none"/>
          </v:group>
        </w:pict>
      </w:r>
      <w:r>
        <w:rPr>
          <w:color w:val="0F6161"/>
          <w:w w:val="105"/>
        </w:rPr>
        <w:t>Indicator 8: Documented Process for Receiving and Processing a Complaint That is Publicly Available</w:t>
      </w:r>
    </w:p>
    <w:p>
      <w:pPr>
        <w:pStyle w:val="BodyText"/>
        <w:spacing w:line="252" w:lineRule="auto" w:before="178"/>
        <w:ind w:left="3514" w:right="1808"/>
      </w:pPr>
      <w:r>
        <w:rPr>
          <w:color w:val="231F20"/>
          <w:w w:val="105"/>
        </w:rPr>
        <w:t>To show results against this indicator a documented process for receiving and processing a complaint should be accessible to the public.</w:t>
      </w:r>
    </w:p>
    <w:p>
      <w:pPr>
        <w:pStyle w:val="BodyText"/>
        <w:rPr>
          <w:sz w:val="24"/>
        </w:rPr>
      </w:pPr>
    </w:p>
    <w:p>
      <w:pPr>
        <w:pStyle w:val="Heading6"/>
        <w:spacing w:line="196" w:lineRule="auto" w:before="154"/>
        <w:ind w:right="1501"/>
      </w:pPr>
      <w:r>
        <w:rPr/>
        <w:pict>
          <v:group style="position:absolute;margin-left:85.039299pt;margin-top:8.847037pt;width:76.55pt;height:72.3pt;mso-position-horizontal-relative:page;mso-position-vertical-relative:paragraph;z-index:12352" coordorigin="1701,177" coordsize="1531,1446">
            <v:shape style="position:absolute;left:1700;top:176;width:1531;height:1446" coordorigin="1701,177" coordsize="1531,1446" path="m3146,177l1786,177,1737,178,1711,188,1702,213,1701,262,1701,1538,1702,1587,1711,1612,1737,1621,1786,1623,3146,1623,3196,1621,3221,1612,3230,1587,3231,1538,3231,262,3230,213,3221,188,3196,178,3146,177xe" filled="true" fillcolor="#a8228c" stroked="false">
              <v:path arrowok="t"/>
              <v:fill type="solid"/>
            </v:shape>
            <v:shape style="position:absolute;left:1807;top:336;width:1332;height:1151" type="#_x0000_t75" stroked="false">
              <v:imagedata r:id="rId33" o:title=""/>
            </v:shape>
            <w10:wrap type="none"/>
          </v:group>
        </w:pict>
      </w:r>
      <w:r>
        <w:rPr>
          <w:color w:val="0F6161"/>
          <w:w w:val="105"/>
        </w:rPr>
        <w:t>Indicator 9: Percentage of Complaints Received Concerning a Judicial Officer</w:t>
      </w:r>
    </w:p>
    <w:p>
      <w:pPr>
        <w:pStyle w:val="BodyText"/>
        <w:spacing w:line="252" w:lineRule="auto" w:before="178"/>
        <w:ind w:left="3514" w:right="1917"/>
      </w:pPr>
      <w:r>
        <w:rPr>
          <w:color w:val="231F20"/>
          <w:w w:val="105"/>
        </w:rPr>
        <w:t>The result against this indicator is obtained by dividing the number of complaints received concerning a judicial officer by the total number of cases filed.</w:t>
      </w:r>
    </w:p>
    <w:p>
      <w:pPr>
        <w:pStyle w:val="BodyText"/>
        <w:rPr>
          <w:sz w:val="24"/>
        </w:rPr>
      </w:pPr>
    </w:p>
    <w:p>
      <w:pPr>
        <w:pStyle w:val="Heading6"/>
        <w:spacing w:line="196" w:lineRule="auto" w:before="154"/>
        <w:ind w:right="1501"/>
      </w:pPr>
      <w:r>
        <w:rPr/>
        <w:pict>
          <v:group style="position:absolute;margin-left:85.039299pt;margin-top:8.378546pt;width:76.55pt;height:72.3pt;mso-position-horizontal-relative:page;mso-position-vertical-relative:paragraph;z-index:12328" coordorigin="1701,168" coordsize="1531,1446">
            <v:shape style="position:absolute;left:1700;top:167;width:1531;height:1446" coordorigin="1701,168" coordsize="1531,1446" path="m3146,168l1786,168,1737,169,1711,178,1702,203,1701,253,1701,1528,1702,1577,1711,1603,1737,1612,1786,1613,3146,1613,3196,1612,3221,1603,3230,1577,3231,1528,3231,253,3230,203,3221,178,3196,169,3146,168xe" filled="true" fillcolor="#b31f35" stroked="false">
              <v:path arrowok="t"/>
              <v:fill type="solid"/>
            </v:shape>
            <v:shape style="position:absolute;left:1800;top:311;width:1332;height:1282" type="#_x0000_t75" stroked="false">
              <v:imagedata r:id="rId31" o:title=""/>
            </v:shape>
            <w10:wrap type="none"/>
          </v:group>
        </w:pict>
      </w:r>
      <w:r>
        <w:rPr>
          <w:color w:val="0F6161"/>
          <w:w w:val="105"/>
        </w:rPr>
        <w:t>Indicator 10: Percentage of Complaints Received Concerning a Court Staff Member</w:t>
      </w:r>
    </w:p>
    <w:p>
      <w:pPr>
        <w:pStyle w:val="BodyText"/>
        <w:spacing w:line="252" w:lineRule="auto" w:before="178"/>
        <w:ind w:left="3514" w:right="1744"/>
      </w:pPr>
      <w:r>
        <w:rPr>
          <w:color w:val="231F20"/>
          <w:w w:val="105"/>
        </w:rPr>
        <w:t>The result against this indicator is obtained by dividing the number of complaints received concerning a court staff member by the total number of cases filed.</w:t>
      </w:r>
    </w:p>
    <w:p>
      <w:pPr>
        <w:pStyle w:val="BodyText"/>
        <w:rPr>
          <w:sz w:val="24"/>
        </w:rPr>
      </w:pPr>
    </w:p>
    <w:p>
      <w:pPr>
        <w:pStyle w:val="Heading6"/>
        <w:spacing w:line="196" w:lineRule="auto" w:before="155"/>
        <w:ind w:right="1501"/>
      </w:pPr>
      <w:r>
        <w:rPr/>
        <w:pict>
          <v:group style="position:absolute;margin-left:85.039299pt;margin-top:5.834054pt;width:76.55pt;height:72.3pt;mso-position-horizontal-relative:page;mso-position-vertical-relative:paragraph;z-index:12400" coordorigin="1701,117" coordsize="1531,1446">
            <v:shape style="position:absolute;left:1700;top:116;width:1531;height:1446" coordorigin="1701,117" coordsize="1531,1446" path="m3146,117l1786,117,1737,118,1711,127,1702,153,1701,202,1701,1477,1702,1526,1711,1552,1737,1561,1786,1562,3146,1562,3196,1561,3221,1552,3230,1526,3231,1477,3231,202,3230,153,3221,127,3196,118,3146,117xe" filled="true" fillcolor="#81bd41" stroked="false">
              <v:path arrowok="t"/>
              <v:fill type="solid"/>
            </v:shape>
            <v:shape style="position:absolute;left:1785;top:191;width:1358;height:1275" type="#_x0000_t75" stroked="false">
              <v:imagedata r:id="rId35" o:title=""/>
            </v:shape>
            <w10:wrap type="none"/>
          </v:group>
        </w:pict>
      </w:r>
      <w:r>
        <w:rPr>
          <w:color w:val="0F6161"/>
          <w:w w:val="105"/>
        </w:rPr>
        <w:t>Indicator 11: Average Number of Cases Per Judicial Officer</w:t>
      </w:r>
    </w:p>
    <w:p>
      <w:pPr>
        <w:pStyle w:val="BodyText"/>
        <w:spacing w:line="252" w:lineRule="auto" w:before="178"/>
        <w:ind w:left="3514" w:right="1808"/>
      </w:pPr>
      <w:r>
        <w:rPr>
          <w:color w:val="231F20"/>
          <w:w w:val="105"/>
        </w:rPr>
        <w:t>The result against this indicator is obtained by dividing the total number of cases filed by the number of judicial officers.</w:t>
      </w:r>
    </w:p>
    <w:p>
      <w:pPr>
        <w:pStyle w:val="BodyText"/>
        <w:rPr>
          <w:sz w:val="24"/>
        </w:rPr>
      </w:pPr>
    </w:p>
    <w:p>
      <w:pPr>
        <w:pStyle w:val="Heading6"/>
        <w:spacing w:line="196" w:lineRule="auto" w:before="154"/>
        <w:ind w:right="1917"/>
      </w:pPr>
      <w:r>
        <w:rPr/>
        <w:pict>
          <v:group style="position:absolute;margin-left:85.039299pt;margin-top:8.894263pt;width:76.55pt;height:72.3pt;mso-position-horizontal-relative:page;mso-position-vertical-relative:paragraph;z-index:12376" coordorigin="1701,178" coordsize="1531,1446">
            <v:shape style="position:absolute;left:1700;top:177;width:1531;height:1446" coordorigin="1701,178" coordsize="1531,1446" path="m3146,178l1786,178,1737,179,1711,189,1702,214,1701,263,1701,1539,1702,1588,1711,1613,1737,1622,1786,1624,3146,1624,3196,1622,3221,1613,3230,1588,3231,1539,3231,263,3230,214,3221,189,3196,179,3146,178xe" filled="true" fillcolor="#87cca2" stroked="false">
              <v:path arrowok="t"/>
              <v:fill type="solid"/>
            </v:shape>
            <v:shape style="position:absolute;left:1838;top:284;width:1253;height:1210" type="#_x0000_t75" stroked="false">
              <v:imagedata r:id="rId34" o:title=""/>
            </v:shape>
            <w10:wrap type="none"/>
          </v:group>
        </w:pict>
      </w:r>
      <w:r>
        <w:rPr>
          <w:color w:val="0F6161"/>
          <w:w w:val="105"/>
        </w:rPr>
        <w:t>Indicator 12: Average Number of Cases Per Member of Court Staff</w:t>
      </w:r>
    </w:p>
    <w:p>
      <w:pPr>
        <w:pStyle w:val="BodyText"/>
        <w:spacing w:line="252" w:lineRule="auto" w:before="178"/>
        <w:ind w:left="3514" w:right="1808"/>
      </w:pPr>
      <w:r>
        <w:rPr>
          <w:color w:val="231F20"/>
          <w:w w:val="105"/>
        </w:rPr>
        <w:t>The result against this indicator is obtained by dividing the total number of cases filed by the number of court staff.</w:t>
      </w:r>
    </w:p>
    <w:p>
      <w:pPr>
        <w:pStyle w:val="BodyText"/>
        <w:rPr>
          <w:sz w:val="24"/>
        </w:rPr>
      </w:pPr>
    </w:p>
    <w:p>
      <w:pPr>
        <w:pStyle w:val="Heading6"/>
        <w:spacing w:line="196" w:lineRule="auto" w:before="153"/>
        <w:ind w:right="2438"/>
      </w:pPr>
      <w:r>
        <w:rPr/>
        <w:pict>
          <v:group style="position:absolute;margin-left:85.039299pt;margin-top:9.828449pt;width:76.55pt;height:72.3pt;mso-position-horizontal-relative:page;mso-position-vertical-relative:paragraph;z-index:12304" coordorigin="1701,197" coordsize="1531,1446">
            <v:shape style="position:absolute;left:1700;top:196;width:1531;height:1446" coordorigin="1701,197" coordsize="1531,1446" path="m3146,197l1786,197,1737,198,1711,207,1702,232,1701,282,1701,1557,1702,1606,1711,1632,1737,1641,1786,1642,3146,1642,3196,1641,3221,1632,3230,1606,3231,1557,3231,282,3230,232,3221,207,3196,198,3146,197xe" filled="true" fillcolor="#ef3a4c" stroked="false">
              <v:path arrowok="t"/>
              <v:fill type="solid"/>
            </v:shape>
            <v:shape style="position:absolute;left:1853;top:309;width:1200;height:1200" type="#_x0000_t75" stroked="false">
              <v:imagedata r:id="rId30" o:title=""/>
            </v:shape>
            <w10:wrap type="none"/>
          </v:group>
        </w:pict>
      </w:r>
      <w:r>
        <w:rPr>
          <w:color w:val="0F6161"/>
          <w:w w:val="105"/>
        </w:rPr>
        <w:t>Indicator 13: Court produces or contributes to an Annual Report that is publicly available in the following</w:t>
      </w:r>
      <w:r>
        <w:rPr>
          <w:color w:val="0F6161"/>
          <w:spacing w:val="10"/>
          <w:w w:val="105"/>
        </w:rPr>
        <w:t> </w:t>
      </w:r>
      <w:r>
        <w:rPr>
          <w:color w:val="0F6161"/>
          <w:w w:val="105"/>
        </w:rPr>
        <w:t>year</w:t>
      </w:r>
    </w:p>
    <w:p>
      <w:pPr>
        <w:pStyle w:val="BodyText"/>
        <w:spacing w:line="252" w:lineRule="auto" w:before="178"/>
        <w:ind w:left="3514" w:right="1917"/>
      </w:pPr>
      <w:r>
        <w:rPr/>
        <w:pict>
          <v:group style="position:absolute;margin-left:85.039299pt;margin-top:53.684753pt;width:76.55pt;height:72.3pt;mso-position-horizontal-relative:page;mso-position-vertical-relative:paragraph;z-index:12424" coordorigin="1701,1074" coordsize="1531,1446">
            <v:shape style="position:absolute;left:1700;top:1073;width:1531;height:1446" coordorigin="1701,1074" coordsize="1531,1446" path="m3146,1074l1786,1074,1737,1075,1711,1084,1702,1110,1701,1159,1701,2434,1702,2483,1711,2509,1737,2518,1786,2519,3146,2519,3196,2518,3221,2509,3230,2483,3231,2434,3231,1159,3230,1110,3221,1084,3196,1075,3146,1074xe" filled="true" fillcolor="#1a2857" stroked="false">
              <v:path arrowok="t"/>
              <v:fill type="solid"/>
            </v:shape>
            <v:shape style="position:absolute;left:1864;top:1197;width:1203;height:1199" type="#_x0000_t75" stroked="false">
              <v:imagedata r:id="rId36" o:title=""/>
            </v:shape>
            <w10:wrap type="none"/>
          </v:group>
        </w:pict>
      </w:r>
      <w:r>
        <w:rPr>
          <w:color w:val="231F20"/>
        </w:rPr>
        <w:t>This indicator is  demonstrated  through  the  publication  of  an  annual report in the year immediately following the year that is the subject of the annual report.</w:t>
      </w:r>
    </w:p>
    <w:p>
      <w:pPr>
        <w:pStyle w:val="BodyText"/>
        <w:spacing w:before="9"/>
        <w:rPr>
          <w:sz w:val="32"/>
        </w:rPr>
      </w:pPr>
    </w:p>
    <w:p>
      <w:pPr>
        <w:pStyle w:val="Heading6"/>
      </w:pPr>
      <w:r>
        <w:rPr>
          <w:color w:val="0F6161"/>
          <w:w w:val="105"/>
        </w:rPr>
        <w:t>Indicator 14: Court Services  Information</w:t>
      </w:r>
    </w:p>
    <w:p>
      <w:pPr>
        <w:pStyle w:val="BodyText"/>
        <w:spacing w:before="165"/>
        <w:ind w:left="3514"/>
      </w:pPr>
      <w:r>
        <w:rPr>
          <w:color w:val="231F20"/>
          <w:w w:val="105"/>
        </w:rPr>
        <w:t>Information on court services that is publicly  available.</w:t>
      </w:r>
    </w:p>
    <w:p>
      <w:pPr>
        <w:pStyle w:val="BodyText"/>
        <w:rPr>
          <w:sz w:val="24"/>
        </w:rPr>
      </w:pPr>
    </w:p>
    <w:p>
      <w:pPr>
        <w:pStyle w:val="BodyText"/>
        <w:spacing w:before="7"/>
        <w:rPr>
          <w:sz w:val="23"/>
        </w:rPr>
      </w:pPr>
    </w:p>
    <w:p>
      <w:pPr>
        <w:pStyle w:val="Heading6"/>
      </w:pPr>
      <w:r>
        <w:rPr/>
        <w:pict>
          <v:group style="position:absolute;margin-left:85.039299pt;margin-top:2.294375pt;width:76.55pt;height:72.3pt;mso-position-horizontal-relative:page;mso-position-vertical-relative:paragraph;z-index:12256" coordorigin="1701,46" coordsize="1531,1446">
            <v:shape style="position:absolute;left:1700;top:45;width:1531;height:1446" coordorigin="1701,46" coordsize="1531,1446" path="m3146,46l1786,46,1737,47,1711,57,1702,82,1701,131,1701,1407,1702,1456,1711,1481,1737,1490,1786,1492,3146,1492,3196,1490,3221,1481,3230,1456,3231,1407,3231,131,3230,82,3221,57,3196,47,3146,46xe" filled="true" fillcolor="#009ca7" stroked="false">
              <v:path arrowok="t"/>
              <v:fill type="solid"/>
            </v:shape>
            <v:shape style="position:absolute;left:1783;top:187;width:1365;height:1163" type="#_x0000_t75" stroked="false">
              <v:imagedata r:id="rId90" o:title=""/>
            </v:shape>
            <w10:wrap type="none"/>
          </v:group>
        </w:pict>
      </w:r>
      <w:r>
        <w:rPr>
          <w:color w:val="0F6161"/>
          <w:w w:val="105"/>
        </w:rPr>
        <w:t>Indicator 15: Publication of Judgments</w:t>
      </w:r>
    </w:p>
    <w:p>
      <w:pPr>
        <w:pStyle w:val="BodyText"/>
        <w:spacing w:line="252" w:lineRule="auto" w:before="165"/>
        <w:ind w:left="3514" w:right="1501"/>
      </w:pPr>
      <w:r>
        <w:rPr>
          <w:color w:val="231F20"/>
          <w:w w:val="105"/>
        </w:rPr>
        <w:t>Court publishes judgments on the Internet (through PacLII or their own website).</w:t>
      </w:r>
    </w:p>
    <w:p>
      <w:pPr>
        <w:spacing w:after="0" w:line="252" w:lineRule="auto"/>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8287">
            <wp:simplePos x="0" y="0"/>
            <wp:positionH relativeFrom="page">
              <wp:posOffset>0</wp:posOffset>
            </wp:positionH>
            <wp:positionV relativeFrom="paragraph">
              <wp:posOffset>373881</wp:posOffset>
            </wp:positionV>
            <wp:extent cx="7559992" cy="143992"/>
            <wp:effectExtent l="0" t="0" r="0" b="0"/>
            <wp:wrapNone/>
            <wp:docPr id="57" name="image39.png" descr=""/>
            <wp:cNvGraphicFramePr>
              <a:graphicFrameLocks noChangeAspect="1"/>
            </wp:cNvGraphicFramePr>
            <a:graphic>
              <a:graphicData uri="http://schemas.openxmlformats.org/drawingml/2006/picture">
                <pic:pic>
                  <pic:nvPicPr>
                    <pic:cNvPr id="58"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42</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spacing w:after="0"/>
        <w:jc w:val="left"/>
        <w:rPr>
          <w:sz w:val="21"/>
        </w:rPr>
        <w:sectPr>
          <w:pgSz w:w="11910" w:h="16840"/>
          <w:pgMar w:top="300" w:bottom="280" w:left="0" w:right="0"/>
        </w:sectPr>
      </w:pPr>
    </w:p>
    <w:p>
      <w:pPr>
        <w:tabs>
          <w:tab w:pos="11321" w:val="right" w:leader="none"/>
        </w:tabs>
        <w:spacing w:before="65"/>
        <w:ind w:left="4347" w:right="0" w:firstLine="0"/>
        <w:jc w:val="left"/>
        <w:rPr>
          <w:sz w:val="48"/>
        </w:rPr>
      </w:pPr>
      <w:r>
        <w:rPr/>
        <w:pict>
          <v:rect style="position:absolute;margin-left:0pt;margin-top:29.438488pt;width:595.276001pt;height:11.339pt;mso-position-horizontal-relative:page;mso-position-vertical-relative:paragraph;z-index:-187144" filled="true" fillcolor="#00403f" stroked="false">
            <v:fill type="solid"/>
            <w10:wrap type="none"/>
          </v:rect>
        </w:pict>
      </w:r>
      <w:r>
        <w:rPr>
          <w:color w:val="231F20"/>
          <w:spacing w:val="-3"/>
          <w:w w:val="105"/>
          <w:sz w:val="21"/>
        </w:rPr>
        <w:t>Pacific  </w:t>
      </w:r>
      <w:r>
        <w:rPr>
          <w:color w:val="231F20"/>
          <w:w w:val="105"/>
          <w:sz w:val="21"/>
        </w:rPr>
        <w:t>Judicial Strengthening Initiative: </w:t>
      </w:r>
      <w:r>
        <w:rPr>
          <w:b/>
          <w:color w:val="231F20"/>
          <w:w w:val="105"/>
          <w:sz w:val="21"/>
        </w:rPr>
        <w:t>2018 Court</w:t>
      </w:r>
      <w:r>
        <w:rPr>
          <w:b/>
          <w:color w:val="231F20"/>
          <w:spacing w:val="10"/>
          <w:w w:val="105"/>
          <w:sz w:val="21"/>
        </w:rPr>
        <w:t> </w:t>
      </w:r>
      <w:r>
        <w:rPr>
          <w:b/>
          <w:color w:val="231F20"/>
          <w:spacing w:val="-4"/>
          <w:w w:val="105"/>
          <w:sz w:val="21"/>
        </w:rPr>
        <w:t>Trend</w:t>
      </w:r>
      <w:r>
        <w:rPr>
          <w:b/>
          <w:color w:val="231F20"/>
          <w:spacing w:val="10"/>
          <w:w w:val="105"/>
          <w:sz w:val="21"/>
        </w:rPr>
        <w:t> </w:t>
      </w:r>
      <w:r>
        <w:rPr>
          <w:b/>
          <w:color w:val="231F20"/>
          <w:w w:val="105"/>
          <w:sz w:val="21"/>
        </w:rPr>
        <w:t>Report</w:t>
      </w:r>
      <w:r>
        <w:rPr>
          <w:b/>
          <w:color w:val="0F6161"/>
          <w:w w:val="105"/>
          <w:position w:val="-7"/>
          <w:sz w:val="21"/>
        </w:rPr>
        <w:tab/>
      </w:r>
      <w:r>
        <w:rPr>
          <w:color w:val="0F6161"/>
          <w:w w:val="105"/>
          <w:position w:val="-7"/>
          <w:sz w:val="48"/>
        </w:rPr>
        <w:t>43</w:t>
      </w:r>
    </w:p>
    <w:p>
      <w:pPr>
        <w:spacing w:after="0"/>
        <w:jc w:val="left"/>
        <w:rPr>
          <w:sz w:val="48"/>
        </w:rPr>
        <w:sectPr>
          <w:pgSz w:w="11910" w:h="16840"/>
          <w:pgMar w:top="300" w:bottom="280" w:left="0" w:right="0"/>
        </w:sectPr>
      </w:pPr>
    </w:p>
    <w:p>
      <w:pPr>
        <w:tabs>
          <w:tab w:pos="1700" w:val="left" w:leader="none"/>
        </w:tabs>
        <w:spacing w:before="65"/>
        <w:ind w:left="583" w:right="0" w:firstLine="0"/>
        <w:jc w:val="left"/>
        <w:rPr>
          <w:b/>
          <w:sz w:val="21"/>
        </w:rPr>
      </w:pPr>
      <w:r>
        <w:rPr/>
        <w:drawing>
          <wp:anchor distT="0" distB="0" distL="0" distR="0" allowOverlap="1" layoutInCell="1" locked="0" behindDoc="1" simplePos="0" relativeHeight="268248335">
            <wp:simplePos x="0" y="0"/>
            <wp:positionH relativeFrom="page">
              <wp:posOffset>0</wp:posOffset>
            </wp:positionH>
            <wp:positionV relativeFrom="paragraph">
              <wp:posOffset>373881</wp:posOffset>
            </wp:positionV>
            <wp:extent cx="7559992" cy="143992"/>
            <wp:effectExtent l="0" t="0" r="0" b="0"/>
            <wp:wrapNone/>
            <wp:docPr id="59" name="image39.png" descr=""/>
            <wp:cNvGraphicFramePr>
              <a:graphicFrameLocks noChangeAspect="1"/>
            </wp:cNvGraphicFramePr>
            <a:graphic>
              <a:graphicData uri="http://schemas.openxmlformats.org/drawingml/2006/picture">
                <pic:pic>
                  <pic:nvPicPr>
                    <pic:cNvPr id="60" name="image39.png"/>
                    <pic:cNvPicPr/>
                  </pic:nvPicPr>
                  <pic:blipFill>
                    <a:blip r:embed="rId45" cstate="print"/>
                    <a:stretch>
                      <a:fillRect/>
                    </a:stretch>
                  </pic:blipFill>
                  <pic:spPr>
                    <a:xfrm>
                      <a:off x="0" y="0"/>
                      <a:ext cx="7559992" cy="143992"/>
                    </a:xfrm>
                    <a:prstGeom prst="rect">
                      <a:avLst/>
                    </a:prstGeom>
                  </pic:spPr>
                </pic:pic>
              </a:graphicData>
            </a:graphic>
          </wp:anchor>
        </w:drawing>
      </w:r>
      <w:r>
        <w:rPr>
          <w:color w:val="0F6161"/>
          <w:w w:val="105"/>
          <w:position w:val="-7"/>
          <w:sz w:val="48"/>
        </w:rPr>
        <w:t>44</w:t>
        <w:tab/>
      </w:r>
      <w:r>
        <w:rPr>
          <w:color w:val="231F20"/>
          <w:spacing w:val="-3"/>
          <w:w w:val="105"/>
          <w:sz w:val="21"/>
        </w:rPr>
        <w:t>Pacific </w:t>
      </w:r>
      <w:r>
        <w:rPr>
          <w:color w:val="231F20"/>
          <w:w w:val="105"/>
          <w:sz w:val="21"/>
        </w:rPr>
        <w:t>Judicial Strengthening Initiative: </w:t>
      </w:r>
      <w:r>
        <w:rPr>
          <w:b/>
          <w:color w:val="231F20"/>
          <w:w w:val="105"/>
          <w:sz w:val="21"/>
        </w:rPr>
        <w:t>2018 Court </w:t>
      </w:r>
      <w:r>
        <w:rPr>
          <w:b/>
          <w:color w:val="231F20"/>
          <w:spacing w:val="-4"/>
          <w:w w:val="105"/>
          <w:sz w:val="21"/>
        </w:rPr>
        <w:t>Trend</w:t>
      </w:r>
      <w:r>
        <w:rPr>
          <w:b/>
          <w:color w:val="231F20"/>
          <w:spacing w:val="-1"/>
          <w:w w:val="105"/>
          <w:sz w:val="21"/>
        </w:rPr>
        <w:t> </w:t>
      </w:r>
      <w:r>
        <w:rPr>
          <w:b/>
          <w:color w:val="231F20"/>
          <w:w w:val="105"/>
          <w:sz w:val="21"/>
        </w:rPr>
        <w:t>Report</w:t>
      </w:r>
    </w:p>
    <w:p>
      <w:pPr>
        <w:spacing w:after="0"/>
        <w:jc w:val="left"/>
        <w:rPr>
          <w:sz w:val="21"/>
        </w:rPr>
        <w:sectPr>
          <w:pgSz w:w="11910" w:h="16840"/>
          <w:pgMar w:top="300" w:bottom="280" w:left="0" w:right="0"/>
        </w:sectPr>
      </w:pPr>
    </w:p>
    <w:p>
      <w:pPr>
        <w:pStyle w:val="BodyText"/>
        <w:spacing w:before="4"/>
        <w:rPr>
          <w:rFonts w:ascii="Times New Roman"/>
          <w:sz w:val="17"/>
        </w:rPr>
      </w:pPr>
      <w:r>
        <w:rPr/>
        <w:pict>
          <v:rect style="position:absolute;margin-left:0pt;margin-top:.000015pt;width:595.276pt;height:841.89pt;mso-position-horizontal-relative:page;mso-position-vertical-relative:page;z-index:12520" filled="true" fillcolor="#afcad1" stroked="false">
            <v:fill opacity="42598f" type="solid"/>
            <w10:wrap type="none"/>
          </v:rect>
        </w:pict>
      </w:r>
    </w:p>
    <w:p>
      <w:pPr>
        <w:spacing w:after="0"/>
        <w:rPr>
          <w:rFonts w:ascii="Times New Roman"/>
          <w:sz w:val="17"/>
        </w:rPr>
        <w:sectPr>
          <w:pgSz w:w="11910" w:h="16840"/>
          <w:pgMar w:top="1580" w:bottom="280" w:left="0" w:right="0"/>
        </w:sectPr>
      </w:pPr>
    </w:p>
    <w:p>
      <w:pPr>
        <w:pStyle w:val="BodyText"/>
        <w:rPr>
          <w:rFonts w:ascii="Times New Roman"/>
          <w:sz w:val="20"/>
        </w:rPr>
      </w:pPr>
      <w:r>
        <w:rPr/>
        <w:pict>
          <v:group style="position:absolute;margin-left:-.000002pt;margin-top:325.985016pt;width:595.3pt;height:515.9500pt;mso-position-horizontal-relative:page;mso-position-vertical-relative:page;z-index:-187072" coordorigin="0,6520" coordsize="11906,10319">
            <v:rect style="position:absolute;left:0;top:7086;width:11906;height:9752" filled="true" fillcolor="#afcad1" stroked="false">
              <v:fill opacity="42598f" type="solid"/>
            </v:rect>
            <v:shape style="position:absolute;left:0;top:7426;width:4202;height:6834" type="#_x0000_t75" stroked="false">
              <v:imagedata r:id="rId91" o:title=""/>
            </v:shape>
            <v:shape style="position:absolute;left:4276;top:9806;width:175;height:216" type="#_x0000_t75" stroked="false">
              <v:imagedata r:id="rId92" o:title=""/>
            </v:shape>
            <v:shape style="position:absolute;left:4512;top:9978;width:178;height:293" type="#_x0000_t75" stroked="false">
              <v:imagedata r:id="rId93" o:title=""/>
            </v:shape>
            <v:shape style="position:absolute;left:4725;top:10065;width:180;height:139" type="#_x0000_t75" stroked="false">
              <v:imagedata r:id="rId94" o:title=""/>
            </v:shape>
            <v:shape style="position:absolute;left:4856;top:10193;width:366;height:331" type="#_x0000_t75" stroked="false">
              <v:imagedata r:id="rId95" o:title=""/>
            </v:shape>
            <v:shape style="position:absolute;left:5391;top:11637;width:490;height:324" type="#_x0000_t75" stroked="false">
              <v:imagedata r:id="rId96" o:title=""/>
            </v:shape>
            <v:shape style="position:absolute;left:5696;top:10785;width:374;height:811" coordorigin="5696,10786" coordsize="374,811" path="m5856,11151l5844,11130,5829,11119,5821,11108,5818,11094,5818,11074,5816,11044,5810,11009,5797,10979,5776,10967,5741,10967,5741,10979,5710,10998,5696,11011,5699,11024,5714,11043,5735,11068,5755,11094,5770,11114,5776,11122,5752,11145,5744,11158,5752,11164,5776,11170,5800,11187,5814,11217,5823,11241,5833,11241,5845,11216,5854,11183,5856,11151m5881,10814l5870,10800,5851,10797,5834,10793,5822,10788,5818,10786,5818,10804,5810,10840,5812,10873,5822,10895,5841,10900,5861,10881,5877,10847,5881,10814m5952,11106l5943,11069,5923,11033,5904,11006,5895,10995,5881,11015,5873,11030,5871,11043,5870,11058,5883,11083,5911,11109,5939,11122,5952,11106m5970,11222l5911,11185,5891,11195,5869,11211,5864,11233,5895,11259,5939,11269,5961,11255,5969,11233,5970,11222m6055,11470l6054,11449,6041,11440,6014,11440,6007,11447,6001,11472,6004,11501,6015,11521,6031,11519,6046,11496,6055,11470m6070,11538l6047,11538,6024,11544,5997,11558,5984,11575,6007,11590,6043,11596,6062,11593,6069,11581,6070,11564,6070,11538e" filled="true" fillcolor="#65a5ae" stroked="false">
              <v:path arrowok="t"/>
              <v:fill opacity="22937f" type="solid"/>
            </v:shape>
            <v:shape style="position:absolute;left:6962;top:11135;width:362;height:290" type="#_x0000_t75" stroked="false">
              <v:imagedata r:id="rId97" o:title=""/>
            </v:shape>
            <v:shape style="position:absolute;left:5670;top:13534;width:1464;height:1993" coordorigin="5671,13535" coordsize="1464,1993" path="m6648,14619l6639,14603,6616,14592,6587,14570,6564,14545,6552,14537,6548,14545,6547,14570,6542,14577,6528,14595,6510,14617,6491,14638,6477,14634,6469,14599,6461,14553,6452,14517,6441,14501,6431,14500,6420,14510,6404,14527,6390,14541,6381,14553,6374,14567,6364,14590,6356,14593,6337,14602,6317,14617,6309,14638,6292,14646,6255,14665,6215,14689,6190,14709,6164,14745,6148,14770,6126,14805,6091,14848,6046,14896,6004,14951,5983,15014,5958,15069,5903,15123,5832,15173,5761,15214,5706,15241,5673,15270,5671,15303,5682,15333,5690,15352,5690,15363,5695,15375,5706,15398,5729,15440,5747,15445,5789,15455,5843,15466,5896,15471,5935,15478,5966,15493,5999,15512,6047,15527,6098,15515,6137,15466,6175,15399,6221,15329,6256,15266,6266,15206,6272,15149,6295,15090,6329,15055,6359,15049,6391,15046,6428,15019,6460,14982,6475,14952,6479,14913,6478,14844,6492,14791,6524,14786,6560,14794,6577,14786,6587,14781,6599,14751,6605,14726,6614,14698,6634,14655,6641,14638,6648,14619m7134,14122l7127,14093,7121,14072,7105,14033,7088,14008,7071,14003,7057,14016,7046,14039,7027,14061,6991,14074,6950,14084,6918,14093,6889,14089,6856,14059,6828,14018,6812,13988,6806,13966,6809,13947,6814,13932,6816,13925,6822,13902,6816,13887,6789,13892,6760,13908,6746,13921,6738,13929,6729,13932,6715,13928,6700,13920,6687,13912,6682,13908,6690,13891,6700,13874,6706,13854,6706,13828,6696,13807,6684,13797,6673,13786,6669,13765,6671,13738,6670,13714,6656,13692,6618,13670,6578,13651,6556,13638,6541,13625,6523,13606,6498,13578,6474,13551,6455,13535,6444,13543,6444,13563,6454,13580,6466,13601,6475,13630,6469,13662,6455,13692,6456,13727,6499,13773,6554,13815,6583,13844,6600,13872,6618,13912,6637,13944,6646,13961,6650,13998,6650,14059,6650,14093,6648,14190,6640,14240,6623,14259,6558,14273,6528,14284,6516,14300,6531,14320,6565,14339,6638,14365,6674,14384,6701,14407,6715,14431,6720,14459,6721,14495,6717,14529,6708,14550,6698,14563,6690,14574,6678,14588,6663,14603,6659,14620,6682,14638,6720,14656,6752,14670,6780,14671,6801,14651,6824,14607,6855,14548,6891,14486,6928,14432,6951,14380,6965,14285,6983,14265,7013,14256,7039,14243,7059,14227,7071,14209,7086,14196,7111,14184,7132,14163,7134,14122e" filled="true" fillcolor="#65a5ae" stroked="false">
              <v:path arrowok="t"/>
              <v:fill opacity="22937f" type="solid"/>
            </v:shape>
            <v:shape style="position:absolute;left:5780;top:15514;width:121;height:125" type="#_x0000_t75" stroked="false">
              <v:imagedata r:id="rId98" o:title=""/>
            </v:shape>
            <v:shape style="position:absolute;left:3070;top:14483;width:498;height:531" coordorigin="3070,14483" coordsize="498,531" path="m3077,14485l3071,14495,3070,14526,3072,14580,3080,14648,3097,14715,3126,14765,3169,14806,3218,14852,3259,14899,3275,14940,3285,14971,3310,14994,3344,15009,3380,15014,3418,15001,3455,14970,3483,14928,3494,14884,3501,14835,3518,14780,3538,14727,3555,14687,3563,14650,3567,14606,3568,14567,3348,14567,3312,14560,3285,14546,3263,14532,3245,14526,3126,14526,3094,14495,3077,14485xm3505,14483l3494,14485,3451,14498,3417,14526,3385,14554,3348,14567,3568,14567,3568,14519,3556,14493,3531,14484,3505,14483xe" filled="true" fillcolor="#65a5ae" stroked="false">
              <v:path arrowok="t"/>
              <v:fill opacity="22937f" type="solid"/>
            </v:shape>
            <v:shape style="position:absolute;left:5761;top:10996;width:278;height:278" type="#_x0000_t75" stroked="false">
              <v:imagedata r:id="rId99" o:title=""/>
            </v:shape>
            <v:shape style="position:absolute;left:5592;top:9034;width:278;height:278" type="#_x0000_t75" stroked="false">
              <v:imagedata r:id="rId99" o:title=""/>
            </v:shape>
            <v:shape style="position:absolute;left:5761;top:7962;width:278;height:278" type="#_x0000_t75" stroked="false">
              <v:imagedata r:id="rId99" o:title=""/>
            </v:shape>
            <v:shape style="position:absolute;left:7626;top:11852;width:278;height:278" type="#_x0000_t75" stroked="false">
              <v:imagedata r:id="rId99" o:title=""/>
            </v:shape>
            <v:shape style="position:absolute;left:8400;top:10715;width:278;height:278" type="#_x0000_t75" stroked="false">
              <v:imagedata r:id="rId99" o:title=""/>
            </v:shape>
            <v:shape style="position:absolute;left:8261;top:10165;width:278;height:278" type="#_x0000_t75" stroked="false">
              <v:imagedata r:id="rId99" o:title=""/>
            </v:shape>
            <v:shape style="position:absolute;left:10305;top:11008;width:278;height:278" type="#_x0000_t75" stroked="false">
              <v:imagedata r:id="rId99" o:title=""/>
            </v:shape>
            <v:shape style="position:absolute;left:4659;top:10110;width:278;height:278" type="#_x0000_t75" stroked="false">
              <v:imagedata r:id="rId99" o:title=""/>
            </v:shape>
            <v:shape style="position:absolute;left:4382;top:8091;width:278;height:278" type="#_x0000_t75" stroked="false">
              <v:imagedata r:id="rId99" o:title=""/>
            </v:shape>
            <v:shape style="position:absolute;left:7130;top:8796;width:278;height:278" type="#_x0000_t75" stroked="false">
              <v:imagedata r:id="rId99" o:title=""/>
            </v:shape>
            <v:shape style="position:absolute;left:8588;top:11505;width:278;height:278" type="#_x0000_t75" stroked="false">
              <v:imagedata r:id="rId99" o:title=""/>
            </v:shape>
            <v:shape style="position:absolute;left:7130;top:10066;width:278;height:278" type="#_x0000_t75" stroked="false">
              <v:imagedata r:id="rId99" o:title=""/>
            </v:shape>
            <v:rect style="position:absolute;left:0;top:6519;width:11906;height:567" filled="true" fillcolor="#00403f" stroked="false">
              <v:fill type="solid"/>
            </v:rect>
            <w10:wrap type="none"/>
          </v:group>
        </w:pict>
      </w:r>
      <w:r>
        <w:rPr/>
        <w:drawing>
          <wp:anchor distT="0" distB="0" distL="0" distR="0" allowOverlap="1" layoutInCell="1" locked="0" behindDoc="0" simplePos="0" relativeHeight="12568">
            <wp:simplePos x="0" y="0"/>
            <wp:positionH relativeFrom="page">
              <wp:posOffset>0</wp:posOffset>
            </wp:positionH>
            <wp:positionV relativeFrom="page">
              <wp:posOffset>576008</wp:posOffset>
            </wp:positionV>
            <wp:extent cx="7559992" cy="720001"/>
            <wp:effectExtent l="0" t="0" r="0" b="0"/>
            <wp:wrapNone/>
            <wp:docPr id="61" name="image18.png" descr=""/>
            <wp:cNvGraphicFramePr>
              <a:graphicFrameLocks noChangeAspect="1"/>
            </wp:cNvGraphicFramePr>
            <a:graphic>
              <a:graphicData uri="http://schemas.openxmlformats.org/drawingml/2006/picture">
                <pic:pic>
                  <pic:nvPicPr>
                    <pic:cNvPr id="62" name="image18.png"/>
                    <pic:cNvPicPr/>
                  </pic:nvPicPr>
                  <pic:blipFill>
                    <a:blip r:embed="rId22" cstate="print"/>
                    <a:stretch>
                      <a:fillRect/>
                    </a:stretch>
                  </pic:blipFill>
                  <pic:spPr>
                    <a:xfrm>
                      <a:off x="0" y="0"/>
                      <a:ext cx="7559992" cy="7200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4"/>
        </w:rPr>
      </w:pPr>
    </w:p>
    <w:p>
      <w:pPr>
        <w:pStyle w:val="BodyText"/>
        <w:ind w:left="2560"/>
        <w:rPr>
          <w:rFonts w:ascii="Times New Roman"/>
          <w:sz w:val="20"/>
        </w:rPr>
      </w:pPr>
      <w:r>
        <w:rPr>
          <w:rFonts w:ascii="Times New Roman"/>
          <w:sz w:val="20"/>
        </w:rPr>
        <w:drawing>
          <wp:inline distT="0" distB="0" distL="0" distR="0">
            <wp:extent cx="4450079" cy="1267968"/>
            <wp:effectExtent l="0" t="0" r="0" b="0"/>
            <wp:docPr id="63" name="image19.png" descr=""/>
            <wp:cNvGraphicFramePr>
              <a:graphicFrameLocks noChangeAspect="1"/>
            </wp:cNvGraphicFramePr>
            <a:graphic>
              <a:graphicData uri="http://schemas.openxmlformats.org/drawingml/2006/picture">
                <pic:pic>
                  <pic:nvPicPr>
                    <pic:cNvPr id="64" name="image19.png"/>
                    <pic:cNvPicPr/>
                  </pic:nvPicPr>
                  <pic:blipFill>
                    <a:blip r:embed="rId23" cstate="print"/>
                    <a:stretch>
                      <a:fillRect/>
                    </a:stretch>
                  </pic:blipFill>
                  <pic:spPr>
                    <a:xfrm>
                      <a:off x="0" y="0"/>
                      <a:ext cx="4450079" cy="1267968"/>
                    </a:xfrm>
                    <a:prstGeom prst="rect">
                      <a:avLst/>
                    </a:prstGeom>
                  </pic:spPr>
                </pic:pic>
              </a:graphicData>
            </a:graphic>
          </wp:inline>
        </w:drawing>
      </w:r>
      <w:r>
        <w:rPr>
          <w:rFonts w:ascii="Times New Roman"/>
          <w:sz w:val="20"/>
        </w:rPr>
      </w:r>
    </w:p>
    <w:p>
      <w:pPr>
        <w:pStyle w:val="Heading1"/>
        <w:spacing w:before="634"/>
      </w:pPr>
      <w:r>
        <w:rPr>
          <w:color w:val="231F20"/>
          <w:w w:val="105"/>
        </w:rPr>
        <w:t>2018 Court </w:t>
      </w:r>
      <w:r>
        <w:rPr>
          <w:color w:val="231F20"/>
          <w:spacing w:val="-11"/>
          <w:w w:val="105"/>
        </w:rPr>
        <w:t>Trend</w:t>
      </w:r>
      <w:r>
        <w:rPr>
          <w:color w:val="231F20"/>
          <w:spacing w:val="51"/>
          <w:w w:val="105"/>
        </w:rPr>
        <w:t> </w:t>
      </w:r>
      <w:r>
        <w:rPr>
          <w:color w:val="231F20"/>
          <w:w w:val="105"/>
        </w:rPr>
        <w:t>Report</w:t>
      </w:r>
    </w:p>
    <w:p>
      <w:pPr>
        <w:pStyle w:val="BodyText"/>
        <w:rPr>
          <w:b/>
          <w:sz w:val="20"/>
        </w:rPr>
      </w:pPr>
    </w:p>
    <w:p>
      <w:pPr>
        <w:pStyle w:val="BodyText"/>
        <w:spacing w:before="8"/>
        <w:rPr>
          <w:b/>
          <w:sz w:val="26"/>
        </w:rPr>
      </w:pPr>
    </w:p>
    <w:p>
      <w:pPr>
        <w:pStyle w:val="Heading4"/>
        <w:ind w:left="1934" w:right="1934"/>
        <w:jc w:val="center"/>
      </w:pPr>
      <w:hyperlink r:id="rId26">
        <w:r>
          <w:rPr>
            <w:color w:val="FFFFFF"/>
            <w:w w:val="105"/>
          </w:rPr>
          <w:t>www.fedcourt.gov.au/pjsi</w:t>
        </w:r>
      </w:hyperlink>
    </w:p>
    <w:sectPr>
      <w:pgSz w:w="11910" w:h="16840"/>
      <w:pgMar w:top="8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Engravers MT">
    <w:altName w:val="Engravers MT"/>
    <w:charset w:val="0"/>
    <w:family w:val="roman"/>
    <w:pitch w:val="variable"/>
  </w:font>
  <w:font w:name="Arial">
    <w:altName w:val="Arial"/>
    <w:charset w:val="0"/>
    <w:family w:val="swiss"/>
    <w:pitch w:val="variable"/>
  </w:font>
  <w:font w:name="Book Antiqua">
    <w:altName w:val="Book Antiqua"/>
    <w:charset w:val="0"/>
    <w:family w:val="roman"/>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2040" w:hanging="341"/>
        <w:jc w:val="left"/>
      </w:pPr>
      <w:rPr>
        <w:rFonts w:hint="default" w:ascii="Calibri" w:hAnsi="Calibri" w:eastAsia="Calibri" w:cs="Calibri"/>
        <w:b/>
        <w:bCs/>
        <w:color w:val="231F20"/>
        <w:w w:val="109"/>
        <w:sz w:val="21"/>
        <w:szCs w:val="21"/>
      </w:rPr>
    </w:lvl>
    <w:lvl w:ilvl="1">
      <w:start w:val="0"/>
      <w:numFmt w:val="bullet"/>
      <w:lvlText w:val="•"/>
      <w:lvlJc w:val="left"/>
      <w:pPr>
        <w:ind w:left="2324" w:hanging="284"/>
      </w:pPr>
      <w:rPr>
        <w:rFonts w:hint="default" w:ascii="Calibri" w:hAnsi="Calibri" w:eastAsia="Calibri" w:cs="Calibri"/>
        <w:color w:val="6F8E8F"/>
        <w:w w:val="121"/>
        <w:sz w:val="21"/>
        <w:szCs w:val="21"/>
      </w:rPr>
    </w:lvl>
    <w:lvl w:ilvl="2">
      <w:start w:val="0"/>
      <w:numFmt w:val="bullet"/>
      <w:lvlText w:val="•"/>
      <w:lvlJc w:val="left"/>
      <w:pPr>
        <w:ind w:left="3385" w:hanging="284"/>
      </w:pPr>
      <w:rPr>
        <w:rFonts w:hint="default"/>
      </w:rPr>
    </w:lvl>
    <w:lvl w:ilvl="3">
      <w:start w:val="0"/>
      <w:numFmt w:val="bullet"/>
      <w:lvlText w:val="•"/>
      <w:lvlJc w:val="left"/>
      <w:pPr>
        <w:ind w:left="4450" w:hanging="284"/>
      </w:pPr>
      <w:rPr>
        <w:rFonts w:hint="default"/>
      </w:rPr>
    </w:lvl>
    <w:lvl w:ilvl="4">
      <w:start w:val="0"/>
      <w:numFmt w:val="bullet"/>
      <w:lvlText w:val="•"/>
      <w:lvlJc w:val="left"/>
      <w:pPr>
        <w:ind w:left="5515" w:hanging="284"/>
      </w:pPr>
      <w:rPr>
        <w:rFonts w:hint="default"/>
      </w:rPr>
    </w:lvl>
    <w:lvl w:ilvl="5">
      <w:start w:val="0"/>
      <w:numFmt w:val="bullet"/>
      <w:lvlText w:val="•"/>
      <w:lvlJc w:val="left"/>
      <w:pPr>
        <w:ind w:left="6580" w:hanging="284"/>
      </w:pPr>
      <w:rPr>
        <w:rFonts w:hint="default"/>
      </w:rPr>
    </w:lvl>
    <w:lvl w:ilvl="6">
      <w:start w:val="0"/>
      <w:numFmt w:val="bullet"/>
      <w:lvlText w:val="•"/>
      <w:lvlJc w:val="left"/>
      <w:pPr>
        <w:ind w:left="7645" w:hanging="284"/>
      </w:pPr>
      <w:rPr>
        <w:rFonts w:hint="default"/>
      </w:rPr>
    </w:lvl>
    <w:lvl w:ilvl="7">
      <w:start w:val="0"/>
      <w:numFmt w:val="bullet"/>
      <w:lvlText w:val="•"/>
      <w:lvlJc w:val="left"/>
      <w:pPr>
        <w:ind w:left="8710" w:hanging="284"/>
      </w:pPr>
      <w:rPr>
        <w:rFonts w:hint="default"/>
      </w:rPr>
    </w:lvl>
    <w:lvl w:ilvl="8">
      <w:start w:val="0"/>
      <w:numFmt w:val="bullet"/>
      <w:lvlText w:val="•"/>
      <w:lvlJc w:val="left"/>
      <w:pPr>
        <w:ind w:left="9775" w:hanging="284"/>
      </w:pPr>
      <w:rPr>
        <w:rFonts w:hint="default"/>
      </w:rPr>
    </w:lvl>
  </w:abstractNum>
  <w:abstractNum w:abstractNumId="2">
    <w:multiLevelType w:val="hybridMultilevel"/>
    <w:lvl w:ilvl="0">
      <w:start w:val="0"/>
      <w:numFmt w:val="bullet"/>
      <w:lvlText w:val="•"/>
      <w:lvlJc w:val="left"/>
      <w:pPr>
        <w:ind w:left="249" w:hanging="134"/>
      </w:pPr>
      <w:rPr>
        <w:rFonts w:hint="default" w:ascii="Calibri" w:hAnsi="Calibri" w:eastAsia="Calibri" w:cs="Calibri"/>
        <w:color w:val="231F20"/>
        <w:w w:val="125"/>
        <w:sz w:val="15"/>
        <w:szCs w:val="15"/>
      </w:rPr>
    </w:lvl>
    <w:lvl w:ilvl="1">
      <w:start w:val="0"/>
      <w:numFmt w:val="bullet"/>
      <w:lvlText w:val="•"/>
      <w:lvlJc w:val="left"/>
      <w:pPr>
        <w:ind w:left="337" w:hanging="134"/>
      </w:pPr>
      <w:rPr>
        <w:rFonts w:hint="default"/>
      </w:rPr>
    </w:lvl>
    <w:lvl w:ilvl="2">
      <w:start w:val="0"/>
      <w:numFmt w:val="bullet"/>
      <w:lvlText w:val="•"/>
      <w:lvlJc w:val="left"/>
      <w:pPr>
        <w:ind w:left="435" w:hanging="134"/>
      </w:pPr>
      <w:rPr>
        <w:rFonts w:hint="default"/>
      </w:rPr>
    </w:lvl>
    <w:lvl w:ilvl="3">
      <w:start w:val="0"/>
      <w:numFmt w:val="bullet"/>
      <w:lvlText w:val="•"/>
      <w:lvlJc w:val="left"/>
      <w:pPr>
        <w:ind w:left="532" w:hanging="134"/>
      </w:pPr>
      <w:rPr>
        <w:rFonts w:hint="default"/>
      </w:rPr>
    </w:lvl>
    <w:lvl w:ilvl="4">
      <w:start w:val="0"/>
      <w:numFmt w:val="bullet"/>
      <w:lvlText w:val="•"/>
      <w:lvlJc w:val="left"/>
      <w:pPr>
        <w:ind w:left="630" w:hanging="134"/>
      </w:pPr>
      <w:rPr>
        <w:rFonts w:hint="default"/>
      </w:rPr>
    </w:lvl>
    <w:lvl w:ilvl="5">
      <w:start w:val="0"/>
      <w:numFmt w:val="bullet"/>
      <w:lvlText w:val="•"/>
      <w:lvlJc w:val="left"/>
      <w:pPr>
        <w:ind w:left="727" w:hanging="134"/>
      </w:pPr>
      <w:rPr>
        <w:rFonts w:hint="default"/>
      </w:rPr>
    </w:lvl>
    <w:lvl w:ilvl="6">
      <w:start w:val="0"/>
      <w:numFmt w:val="bullet"/>
      <w:lvlText w:val="•"/>
      <w:lvlJc w:val="left"/>
      <w:pPr>
        <w:ind w:left="825" w:hanging="134"/>
      </w:pPr>
      <w:rPr>
        <w:rFonts w:hint="default"/>
      </w:rPr>
    </w:lvl>
    <w:lvl w:ilvl="7">
      <w:start w:val="0"/>
      <w:numFmt w:val="bullet"/>
      <w:lvlText w:val="•"/>
      <w:lvlJc w:val="left"/>
      <w:pPr>
        <w:ind w:left="922" w:hanging="134"/>
      </w:pPr>
      <w:rPr>
        <w:rFonts w:hint="default"/>
      </w:rPr>
    </w:lvl>
    <w:lvl w:ilvl="8">
      <w:start w:val="0"/>
      <w:numFmt w:val="bullet"/>
      <w:lvlText w:val="•"/>
      <w:lvlJc w:val="left"/>
      <w:pPr>
        <w:ind w:left="1020" w:hanging="134"/>
      </w:pPr>
      <w:rPr>
        <w:rFonts w:hint="default"/>
      </w:rPr>
    </w:lvl>
  </w:abstractNum>
  <w:abstractNum w:abstractNumId="1">
    <w:multiLevelType w:val="hybridMultilevel"/>
    <w:lvl w:ilvl="0">
      <w:start w:val="0"/>
      <w:numFmt w:val="bullet"/>
      <w:lvlText w:val="•"/>
      <w:lvlJc w:val="left"/>
      <w:pPr>
        <w:ind w:left="248" w:hanging="171"/>
      </w:pPr>
      <w:rPr>
        <w:rFonts w:hint="default" w:ascii="Calibri" w:hAnsi="Calibri" w:eastAsia="Calibri" w:cs="Calibri"/>
        <w:color w:val="231F20"/>
        <w:w w:val="126"/>
        <w:sz w:val="14"/>
        <w:szCs w:val="14"/>
      </w:rPr>
    </w:lvl>
    <w:lvl w:ilvl="1">
      <w:start w:val="0"/>
      <w:numFmt w:val="bullet"/>
      <w:lvlText w:val="•"/>
      <w:lvlJc w:val="left"/>
      <w:pPr>
        <w:ind w:left="353" w:hanging="171"/>
      </w:pPr>
      <w:rPr>
        <w:rFonts w:hint="default"/>
      </w:rPr>
    </w:lvl>
    <w:lvl w:ilvl="2">
      <w:start w:val="0"/>
      <w:numFmt w:val="bullet"/>
      <w:lvlText w:val="•"/>
      <w:lvlJc w:val="left"/>
      <w:pPr>
        <w:ind w:left="467" w:hanging="171"/>
      </w:pPr>
      <w:rPr>
        <w:rFonts w:hint="default"/>
      </w:rPr>
    </w:lvl>
    <w:lvl w:ilvl="3">
      <w:start w:val="0"/>
      <w:numFmt w:val="bullet"/>
      <w:lvlText w:val="•"/>
      <w:lvlJc w:val="left"/>
      <w:pPr>
        <w:ind w:left="581" w:hanging="171"/>
      </w:pPr>
      <w:rPr>
        <w:rFonts w:hint="default"/>
      </w:rPr>
    </w:lvl>
    <w:lvl w:ilvl="4">
      <w:start w:val="0"/>
      <w:numFmt w:val="bullet"/>
      <w:lvlText w:val="•"/>
      <w:lvlJc w:val="left"/>
      <w:pPr>
        <w:ind w:left="694" w:hanging="171"/>
      </w:pPr>
      <w:rPr>
        <w:rFonts w:hint="default"/>
      </w:rPr>
    </w:lvl>
    <w:lvl w:ilvl="5">
      <w:start w:val="0"/>
      <w:numFmt w:val="bullet"/>
      <w:lvlText w:val="•"/>
      <w:lvlJc w:val="left"/>
      <w:pPr>
        <w:ind w:left="808" w:hanging="171"/>
      </w:pPr>
      <w:rPr>
        <w:rFonts w:hint="default"/>
      </w:rPr>
    </w:lvl>
    <w:lvl w:ilvl="6">
      <w:start w:val="0"/>
      <w:numFmt w:val="bullet"/>
      <w:lvlText w:val="•"/>
      <w:lvlJc w:val="left"/>
      <w:pPr>
        <w:ind w:left="922" w:hanging="171"/>
      </w:pPr>
      <w:rPr>
        <w:rFonts w:hint="default"/>
      </w:rPr>
    </w:lvl>
    <w:lvl w:ilvl="7">
      <w:start w:val="0"/>
      <w:numFmt w:val="bullet"/>
      <w:lvlText w:val="•"/>
      <w:lvlJc w:val="left"/>
      <w:pPr>
        <w:ind w:left="1035" w:hanging="171"/>
      </w:pPr>
      <w:rPr>
        <w:rFonts w:hint="default"/>
      </w:rPr>
    </w:lvl>
    <w:lvl w:ilvl="8">
      <w:start w:val="0"/>
      <w:numFmt w:val="bullet"/>
      <w:lvlText w:val="•"/>
      <w:lvlJc w:val="left"/>
      <w:pPr>
        <w:ind w:left="1149" w:hanging="171"/>
      </w:pPr>
      <w:rPr>
        <w:rFonts w:hint="default"/>
      </w:rPr>
    </w:lvl>
  </w:abstractNum>
  <w:num w:numId="1">
    <w:abstractNumId w:val="0"/>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40"/>
      <w:ind w:left="2154"/>
    </w:pPr>
    <w:rPr>
      <w:rFonts w:ascii="Calibri" w:hAnsi="Calibri" w:eastAsia="Calibri" w:cs="Calibri"/>
      <w:b/>
      <w:bCs/>
      <w:sz w:val="21"/>
      <w:szCs w:val="21"/>
    </w:rPr>
  </w:style>
  <w:style w:styleId="TOC2" w:type="paragraph">
    <w:name w:val="TOC 2"/>
    <w:basedOn w:val="Normal"/>
    <w:uiPriority w:val="1"/>
    <w:qFormat/>
    <w:pPr>
      <w:spacing w:before="99"/>
      <w:ind w:left="2154"/>
    </w:pPr>
    <w:rPr>
      <w:rFonts w:ascii="Calibri" w:hAnsi="Calibri" w:eastAsia="Calibri" w:cs="Calibri"/>
      <w:sz w:val="21"/>
      <w:szCs w:val="21"/>
    </w:rPr>
  </w:style>
  <w:style w:styleId="TOC3" w:type="paragraph">
    <w:name w:val="TOC 3"/>
    <w:basedOn w:val="Normal"/>
    <w:uiPriority w:val="1"/>
    <w:qFormat/>
    <w:pPr>
      <w:spacing w:before="240"/>
      <w:ind w:left="2721"/>
    </w:pPr>
    <w:rPr>
      <w:rFonts w:ascii="Calibri" w:hAnsi="Calibri" w:eastAsia="Calibri" w:cs="Calibri"/>
      <w:b/>
      <w:bCs/>
      <w:sz w:val="21"/>
      <w:szCs w:val="21"/>
    </w:rPr>
  </w:style>
  <w:style w:styleId="TOC4" w:type="paragraph">
    <w:name w:val="TOC 4"/>
    <w:basedOn w:val="Normal"/>
    <w:uiPriority w:val="1"/>
    <w:qFormat/>
    <w:pPr>
      <w:spacing w:before="14"/>
      <w:ind w:left="3401"/>
    </w:pPr>
    <w:rPr>
      <w:rFonts w:ascii="Calibri" w:hAnsi="Calibri" w:eastAsia="Calibri" w:cs="Calibri"/>
      <w:sz w:val="21"/>
      <w:szCs w:val="21"/>
    </w:rPr>
  </w:style>
  <w:style w:styleId="BodyText" w:type="paragraph">
    <w:name w:val="Body Text"/>
    <w:basedOn w:val="Normal"/>
    <w:uiPriority w:val="1"/>
    <w:qFormat/>
    <w:pPr/>
    <w:rPr>
      <w:rFonts w:ascii="Calibri" w:hAnsi="Calibri" w:eastAsia="Calibri" w:cs="Calibri"/>
      <w:sz w:val="21"/>
      <w:szCs w:val="21"/>
    </w:rPr>
  </w:style>
  <w:style w:styleId="Heading1" w:type="paragraph">
    <w:name w:val="Heading 1"/>
    <w:basedOn w:val="Normal"/>
    <w:uiPriority w:val="1"/>
    <w:qFormat/>
    <w:pPr>
      <w:spacing w:before="78"/>
      <w:ind w:left="2133"/>
      <w:outlineLvl w:val="1"/>
    </w:pPr>
    <w:rPr>
      <w:rFonts w:ascii="Calibri" w:hAnsi="Calibri" w:eastAsia="Calibri" w:cs="Calibri"/>
      <w:b/>
      <w:bCs/>
      <w:sz w:val="70"/>
      <w:szCs w:val="70"/>
    </w:rPr>
  </w:style>
  <w:style w:styleId="Heading2" w:type="paragraph">
    <w:name w:val="Heading 2"/>
    <w:basedOn w:val="Normal"/>
    <w:uiPriority w:val="1"/>
    <w:qFormat/>
    <w:pPr>
      <w:spacing w:before="80"/>
      <w:ind w:left="2494"/>
      <w:outlineLvl w:val="2"/>
    </w:pPr>
    <w:rPr>
      <w:rFonts w:ascii="Calibri" w:hAnsi="Calibri" w:eastAsia="Calibri" w:cs="Calibri"/>
      <w:sz w:val="60"/>
      <w:szCs w:val="60"/>
    </w:rPr>
  </w:style>
  <w:style w:styleId="Heading3" w:type="paragraph">
    <w:name w:val="Heading 3"/>
    <w:basedOn w:val="Normal"/>
    <w:uiPriority w:val="1"/>
    <w:qFormat/>
    <w:pPr>
      <w:spacing w:before="87"/>
      <w:ind w:left="1700"/>
      <w:outlineLvl w:val="3"/>
    </w:pPr>
    <w:rPr>
      <w:rFonts w:ascii="Calibri" w:hAnsi="Calibri" w:eastAsia="Calibri" w:cs="Calibri"/>
      <w:sz w:val="40"/>
      <w:szCs w:val="40"/>
    </w:rPr>
  </w:style>
  <w:style w:styleId="Heading4" w:type="paragraph">
    <w:name w:val="Heading 4"/>
    <w:basedOn w:val="Normal"/>
    <w:uiPriority w:val="1"/>
    <w:qFormat/>
    <w:pPr>
      <w:spacing w:before="90"/>
      <w:ind w:right="432"/>
      <w:jc w:val="right"/>
      <w:outlineLvl w:val="4"/>
    </w:pPr>
    <w:rPr>
      <w:rFonts w:ascii="Calibri" w:hAnsi="Calibri" w:eastAsia="Calibri" w:cs="Calibri"/>
      <w:b/>
      <w:bCs/>
      <w:sz w:val="34"/>
      <w:szCs w:val="34"/>
    </w:rPr>
  </w:style>
  <w:style w:styleId="Heading5" w:type="paragraph">
    <w:name w:val="Heading 5"/>
    <w:basedOn w:val="Normal"/>
    <w:uiPriority w:val="1"/>
    <w:qFormat/>
    <w:pPr>
      <w:ind w:left="3685"/>
      <w:outlineLvl w:val="5"/>
    </w:pPr>
    <w:rPr>
      <w:rFonts w:ascii="Calibri" w:hAnsi="Calibri" w:eastAsia="Calibri" w:cs="Calibri"/>
      <w:sz w:val="32"/>
      <w:szCs w:val="32"/>
    </w:rPr>
  </w:style>
  <w:style w:styleId="Heading6" w:type="paragraph">
    <w:name w:val="Heading 6"/>
    <w:basedOn w:val="Normal"/>
    <w:uiPriority w:val="1"/>
    <w:qFormat/>
    <w:pPr>
      <w:ind w:left="3514"/>
      <w:outlineLvl w:val="6"/>
    </w:pPr>
    <w:rPr>
      <w:rFonts w:ascii="Calibri" w:hAnsi="Calibri" w:eastAsia="Calibri" w:cs="Calibri"/>
      <w:b/>
      <w:bCs/>
      <w:sz w:val="28"/>
      <w:szCs w:val="28"/>
    </w:rPr>
  </w:style>
  <w:style w:styleId="Heading7" w:type="paragraph">
    <w:name w:val="Heading 7"/>
    <w:basedOn w:val="Normal"/>
    <w:uiPriority w:val="1"/>
    <w:qFormat/>
    <w:pPr>
      <w:ind w:left="2040"/>
      <w:outlineLvl w:val="7"/>
    </w:pPr>
    <w:rPr>
      <w:rFonts w:ascii="Calibri" w:hAnsi="Calibri" w:eastAsia="Calibri" w:cs="Calibri"/>
      <w:b/>
      <w:bCs/>
      <w:sz w:val="21"/>
      <w:szCs w:val="21"/>
    </w:rPr>
  </w:style>
  <w:style w:styleId="ListParagraph" w:type="paragraph">
    <w:name w:val="List Paragraph"/>
    <w:basedOn w:val="Normal"/>
    <w:uiPriority w:val="1"/>
    <w:qFormat/>
    <w:pPr>
      <w:spacing w:before="42"/>
      <w:ind w:left="2324" w:hanging="284"/>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hyperlink" Target="mailto:pjsi@fedcourt.gov.au" TargetMode="External"/><Relationship Id="rId26" Type="http://schemas.openxmlformats.org/officeDocument/2006/relationships/hyperlink" Target="http://www.fedcourt.gov.au/pjsi" TargetMode="External"/><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hyperlink" Target="http://www.justice.gov.ck/" TargetMode="External"/><Relationship Id="rId61" Type="http://schemas.openxmlformats.org/officeDocument/2006/relationships/hyperlink" Target="http://www.fsmsupremecourt.org/" TargetMode="External"/><Relationship Id="rId62" Type="http://schemas.openxmlformats.org/officeDocument/2006/relationships/hyperlink" Target="http://rmicourts.org/" TargetMode="External"/><Relationship Id="rId63" Type="http://schemas.openxmlformats.org/officeDocument/2006/relationships/hyperlink" Target="http://www.pngjudiciary.gov.pg/" TargetMode="External"/><Relationship Id="rId64" Type="http://schemas.openxmlformats.org/officeDocument/2006/relationships/hyperlink" Target="http://www.palemene.ws/new/" TargetMode="External"/><Relationship Id="rId65" Type="http://schemas.openxmlformats.org/officeDocument/2006/relationships/hyperlink" Target="http://www.justice.gov.to/" TargetMode="External"/><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hyperlink" Target="http://www.paclii.org/" TargetMode="External"/><Relationship Id="rId83" Type="http://schemas.openxmlformats.org/officeDocument/2006/relationships/hyperlink" Target="http://www/" TargetMode="External"/><Relationship Id="rId84" Type="http://schemas.openxmlformats.org/officeDocument/2006/relationships/hyperlink" Target="http://fsm-/" TargetMode="External"/><Relationship Id="rId85" Type="http://schemas.openxmlformats.org/officeDocument/2006/relationships/hyperlink" Target="http://fsmsu-/" TargetMode="External"/><Relationship Id="rId86" Type="http://schemas.openxmlformats.org/officeDocument/2006/relationships/hyperlink" Target="mailto:rluii@palausupremecourt.net" TargetMode="External"/><Relationship Id="rId87" Type="http://schemas.openxmlformats.org/officeDocument/2006/relationships/hyperlink" Target="http://fplac.justice.gov.to/)" TargetMode="External"/><Relationship Id="rId88" Type="http://schemas.openxmlformats.org/officeDocument/2006/relationships/image" Target="media/image70.jpeg"/><Relationship Id="rId89" Type="http://schemas.openxmlformats.org/officeDocument/2006/relationships/hyperlink" Target="http://wwww.palausupremecourt.net/" TargetMode="External"/><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png"/><Relationship Id="rId94" Type="http://schemas.openxmlformats.org/officeDocument/2006/relationships/image" Target="media/image75.png"/><Relationship Id="rId95" Type="http://schemas.openxmlformats.org/officeDocument/2006/relationships/image" Target="media/image76.png"/><Relationship Id="rId96" Type="http://schemas.openxmlformats.org/officeDocument/2006/relationships/image" Target="media/image77.png"/><Relationship Id="rId97" Type="http://schemas.openxmlformats.org/officeDocument/2006/relationships/image" Target="media/image78.png"/><Relationship Id="rId98" Type="http://schemas.openxmlformats.org/officeDocument/2006/relationships/image" Target="media/image79.png"/><Relationship Id="rId99" Type="http://schemas.openxmlformats.org/officeDocument/2006/relationships/image" Target="media/image80.png"/><Relationship Id="rId10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Federal Court of Australia</dc:creator>
  <dc:title>Pacific Judicial Development Programme: 2014 Court Trend Report</dc:title>
  <dcterms:created xsi:type="dcterms:W3CDTF">2019-12-05T02:18:35Z</dcterms:created>
  <dcterms:modified xsi:type="dcterms:W3CDTF">2019-12-05T02:18:35Z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2019-08-23T00:00:00Z</vt:filetime>
  </property>
  <property fmtid="{D5CDD505-2E9C-101B-9397-08002B2CF9AE}" pid="3" name="Creator">
    <vt:lpwstr>Adobe InDesign CC (Macintosh)</vt:lpwstr>
  </property>
  <property fmtid="{D5CDD505-2E9C-101B-9397-08002B2CF9AE}" pid="4" name="LastSaved">
    <vt:filetime>2019-12-05T00:00:00Z</vt:filetime>
  </property>
</Properties>
</file>