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2A999" w14:textId="719788F1" w:rsidR="00044D54" w:rsidRPr="00044D54" w:rsidRDefault="00B7596C" w:rsidP="00044D54">
      <w:pPr>
        <w:jc w:val="center"/>
        <w:rPr>
          <w:b/>
          <w:bCs/>
          <w:sz w:val="28"/>
          <w:szCs w:val="23"/>
        </w:rPr>
      </w:pPr>
      <w:r>
        <w:rPr>
          <w:b/>
          <w:bCs/>
          <w:sz w:val="28"/>
          <w:szCs w:val="23"/>
        </w:rPr>
        <w:t>Palau</w:t>
      </w:r>
      <w:r w:rsidR="00044D54" w:rsidRPr="00044D54">
        <w:rPr>
          <w:b/>
          <w:bCs/>
          <w:sz w:val="28"/>
          <w:szCs w:val="23"/>
        </w:rPr>
        <w:t xml:space="preserve"> </w:t>
      </w:r>
      <w:r w:rsidR="00D11603">
        <w:rPr>
          <w:b/>
          <w:bCs/>
          <w:sz w:val="28"/>
          <w:szCs w:val="23"/>
        </w:rPr>
        <w:t xml:space="preserve">- </w:t>
      </w:r>
      <w:r w:rsidR="009571DF">
        <w:rPr>
          <w:b/>
          <w:bCs/>
          <w:sz w:val="28"/>
          <w:szCs w:val="23"/>
        </w:rPr>
        <w:t>Support Summary</w:t>
      </w:r>
    </w:p>
    <w:p w14:paraId="573493C7" w14:textId="77777777" w:rsidR="00E130E4" w:rsidRPr="00E130E4" w:rsidRDefault="00E130E4" w:rsidP="00E130E4">
      <w:pPr>
        <w:rPr>
          <w:sz w:val="23"/>
          <w:szCs w:val="23"/>
        </w:rPr>
      </w:pPr>
    </w:p>
    <w:p w14:paraId="5A2A7C99" w14:textId="4D731D38" w:rsidR="0057080E" w:rsidRDefault="006817B7" w:rsidP="00044D54">
      <w:pPr>
        <w:rPr>
          <w:sz w:val="23"/>
          <w:szCs w:val="23"/>
        </w:rPr>
      </w:pPr>
      <w:r>
        <w:rPr>
          <w:b/>
          <w:bCs/>
          <w:sz w:val="25"/>
          <w:szCs w:val="25"/>
        </w:rPr>
        <w:t>Activities</w:t>
      </w:r>
      <w:r w:rsidR="00E130E4" w:rsidRPr="00E130E4">
        <w:rPr>
          <w:b/>
          <w:bCs/>
          <w:sz w:val="25"/>
          <w:szCs w:val="25"/>
        </w:rPr>
        <w:t xml:space="preserve"> Delivered</w:t>
      </w:r>
      <w:r w:rsidR="0057080E">
        <w:rPr>
          <w:b/>
          <w:bCs/>
          <w:sz w:val="25"/>
          <w:szCs w:val="25"/>
        </w:rPr>
        <w:t>:</w:t>
      </w:r>
    </w:p>
    <w:tbl>
      <w:tblPr>
        <w:tblW w:w="5000" w:type="pct"/>
        <w:tblLayout w:type="fixed"/>
        <w:tblLook w:val="04A0" w:firstRow="1" w:lastRow="0" w:firstColumn="1" w:lastColumn="0" w:noHBand="0" w:noVBand="1"/>
      </w:tblPr>
      <w:tblGrid>
        <w:gridCol w:w="557"/>
        <w:gridCol w:w="1985"/>
        <w:gridCol w:w="2127"/>
        <w:gridCol w:w="5101"/>
        <w:gridCol w:w="1985"/>
        <w:gridCol w:w="2183"/>
      </w:tblGrid>
      <w:tr w:rsidR="0057080E" w:rsidRPr="0057080E" w14:paraId="055DB5BC" w14:textId="77777777" w:rsidTr="00C50443">
        <w:trPr>
          <w:trHeight w:val="300"/>
        </w:trPr>
        <w:tc>
          <w:tcPr>
            <w:tcW w:w="200" w:type="pct"/>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14:paraId="5D3F8655" w14:textId="77777777" w:rsidR="0057080E" w:rsidRPr="0057080E" w:rsidRDefault="0057080E" w:rsidP="00C50443">
            <w:pPr>
              <w:jc w:val="center"/>
              <w:rPr>
                <w:rFonts w:eastAsia="Times New Roman" w:cstheme="minorHAnsi"/>
                <w:sz w:val="20"/>
                <w:szCs w:val="20"/>
                <w:lang w:eastAsia="en-AU" w:bidi="ar-SA"/>
              </w:rPr>
            </w:pPr>
            <w:r w:rsidRPr="0057080E">
              <w:rPr>
                <w:rFonts w:eastAsia="Times New Roman" w:cstheme="minorHAnsi"/>
                <w:sz w:val="20"/>
                <w:szCs w:val="20"/>
                <w:lang w:eastAsia="en-AU" w:bidi="ar-SA"/>
              </w:rPr>
              <w:t>No.</w:t>
            </w:r>
          </w:p>
        </w:tc>
        <w:tc>
          <w:tcPr>
            <w:tcW w:w="712"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691153A0" w14:textId="77777777" w:rsidR="0057080E" w:rsidRPr="0057080E" w:rsidRDefault="0057080E" w:rsidP="00C50443">
            <w:pPr>
              <w:jc w:val="center"/>
              <w:rPr>
                <w:rFonts w:eastAsia="Times New Roman" w:cstheme="minorHAnsi"/>
                <w:sz w:val="20"/>
                <w:szCs w:val="20"/>
                <w:lang w:eastAsia="en-AU" w:bidi="ar-SA"/>
              </w:rPr>
            </w:pPr>
            <w:r w:rsidRPr="0057080E">
              <w:rPr>
                <w:rFonts w:eastAsia="Times New Roman" w:cstheme="minorHAnsi"/>
                <w:sz w:val="20"/>
                <w:szCs w:val="20"/>
                <w:lang w:eastAsia="en-AU" w:bidi="ar-SA"/>
              </w:rPr>
              <w:t> Theme</w:t>
            </w:r>
          </w:p>
        </w:tc>
        <w:tc>
          <w:tcPr>
            <w:tcW w:w="763" w:type="pct"/>
            <w:tcBorders>
              <w:top w:val="single" w:sz="8" w:space="0" w:color="auto"/>
              <w:left w:val="nil"/>
              <w:bottom w:val="single" w:sz="8" w:space="0" w:color="auto"/>
              <w:right w:val="single" w:sz="8" w:space="0" w:color="auto"/>
            </w:tcBorders>
            <w:shd w:val="clear" w:color="auto" w:fill="DBE5F1" w:themeFill="accent1" w:themeFillTint="33"/>
            <w:vAlign w:val="center"/>
            <w:hideMark/>
          </w:tcPr>
          <w:p w14:paraId="58C21EC7" w14:textId="77777777" w:rsidR="0057080E" w:rsidRPr="0057080E" w:rsidRDefault="0057080E" w:rsidP="00C50443">
            <w:pPr>
              <w:jc w:val="center"/>
              <w:rPr>
                <w:rFonts w:eastAsia="Times New Roman" w:cstheme="minorHAnsi"/>
                <w:sz w:val="20"/>
                <w:szCs w:val="20"/>
                <w:lang w:eastAsia="en-AU" w:bidi="ar-SA"/>
              </w:rPr>
            </w:pPr>
            <w:r w:rsidRPr="0057080E">
              <w:rPr>
                <w:rFonts w:eastAsia="Times New Roman" w:cstheme="minorHAnsi"/>
                <w:sz w:val="20"/>
                <w:szCs w:val="20"/>
                <w:lang w:eastAsia="en-AU" w:bidi="ar-SA"/>
              </w:rPr>
              <w:t>Project</w:t>
            </w:r>
          </w:p>
        </w:tc>
        <w:tc>
          <w:tcPr>
            <w:tcW w:w="1830"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2A23A996" w14:textId="77777777" w:rsidR="0057080E" w:rsidRPr="0057080E" w:rsidRDefault="0057080E" w:rsidP="00C50443">
            <w:pPr>
              <w:jc w:val="center"/>
              <w:rPr>
                <w:rFonts w:eastAsia="Times New Roman" w:cstheme="minorHAnsi"/>
                <w:sz w:val="20"/>
                <w:szCs w:val="20"/>
                <w:lang w:eastAsia="en-AU" w:bidi="ar-SA"/>
              </w:rPr>
            </w:pPr>
            <w:r w:rsidRPr="0057080E">
              <w:rPr>
                <w:rFonts w:eastAsia="Times New Roman" w:cstheme="minorHAnsi"/>
                <w:sz w:val="20"/>
                <w:szCs w:val="20"/>
                <w:lang w:eastAsia="en-AU" w:bidi="ar-SA"/>
              </w:rPr>
              <w:t>Activity</w:t>
            </w:r>
          </w:p>
        </w:tc>
        <w:tc>
          <w:tcPr>
            <w:tcW w:w="712"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352DAB8C" w14:textId="77777777" w:rsidR="0057080E" w:rsidRPr="0057080E" w:rsidRDefault="0057080E" w:rsidP="00C50443">
            <w:pPr>
              <w:jc w:val="center"/>
              <w:rPr>
                <w:rFonts w:eastAsia="Times New Roman" w:cstheme="minorHAnsi"/>
                <w:sz w:val="20"/>
                <w:szCs w:val="20"/>
                <w:lang w:eastAsia="en-AU" w:bidi="ar-SA"/>
              </w:rPr>
            </w:pPr>
            <w:r w:rsidRPr="0057080E">
              <w:rPr>
                <w:rFonts w:eastAsia="Times New Roman" w:cstheme="minorHAnsi"/>
                <w:sz w:val="20"/>
                <w:szCs w:val="20"/>
                <w:lang w:eastAsia="en-AU" w:bidi="ar-SA"/>
              </w:rPr>
              <w:t>Classification</w:t>
            </w:r>
          </w:p>
        </w:tc>
        <w:tc>
          <w:tcPr>
            <w:tcW w:w="783"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341ADB59" w14:textId="77777777" w:rsidR="0057080E" w:rsidRPr="0057080E" w:rsidRDefault="0057080E" w:rsidP="00C50443">
            <w:pPr>
              <w:jc w:val="center"/>
              <w:rPr>
                <w:rFonts w:eastAsia="Times New Roman" w:cstheme="minorHAnsi"/>
                <w:sz w:val="20"/>
                <w:szCs w:val="20"/>
                <w:lang w:eastAsia="en-AU" w:bidi="ar-SA"/>
              </w:rPr>
            </w:pPr>
            <w:r w:rsidRPr="0057080E">
              <w:rPr>
                <w:rFonts w:eastAsia="Times New Roman" w:cstheme="minorHAnsi"/>
                <w:sz w:val="20"/>
                <w:szCs w:val="20"/>
                <w:lang w:eastAsia="en-AU" w:bidi="ar-SA"/>
              </w:rPr>
              <w:t>Date</w:t>
            </w:r>
          </w:p>
        </w:tc>
      </w:tr>
      <w:tr w:rsidR="00B37101" w:rsidRPr="0057080E" w14:paraId="25673757" w14:textId="77777777" w:rsidTr="00B37101">
        <w:trPr>
          <w:trHeight w:val="300"/>
        </w:trPr>
        <w:tc>
          <w:tcPr>
            <w:tcW w:w="5000" w:type="pct"/>
            <w:gridSpan w:val="6"/>
            <w:tcBorders>
              <w:top w:val="nil"/>
              <w:left w:val="single" w:sz="8" w:space="0" w:color="auto"/>
              <w:bottom w:val="single" w:sz="8" w:space="0" w:color="auto"/>
              <w:right w:val="single" w:sz="8" w:space="0" w:color="auto"/>
            </w:tcBorders>
            <w:shd w:val="clear" w:color="auto" w:fill="auto"/>
            <w:noWrap/>
            <w:vAlign w:val="center"/>
          </w:tcPr>
          <w:p w14:paraId="5C683933" w14:textId="2080F797" w:rsidR="00B37101" w:rsidRPr="00B37101" w:rsidRDefault="00B37101" w:rsidP="00B37101">
            <w:pPr>
              <w:jc w:val="center"/>
              <w:rPr>
                <w:rFonts w:cstheme="minorHAnsi"/>
                <w:b/>
                <w:color w:val="000000"/>
                <w:sz w:val="20"/>
                <w:szCs w:val="20"/>
              </w:rPr>
            </w:pPr>
            <w:r>
              <w:rPr>
                <w:rFonts w:cstheme="minorHAnsi"/>
                <w:b/>
                <w:color w:val="000000"/>
                <w:sz w:val="20"/>
                <w:szCs w:val="20"/>
              </w:rPr>
              <w:t>PJDP</w:t>
            </w:r>
          </w:p>
        </w:tc>
      </w:tr>
      <w:tr w:rsidR="00BB7946" w:rsidRPr="0057080E" w14:paraId="72D57B46" w14:textId="77777777" w:rsidTr="000C219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77119CF3" w14:textId="06CA7E06" w:rsidR="00BB7946" w:rsidRPr="00B37101" w:rsidRDefault="00BB7946" w:rsidP="00BB7946">
            <w:pPr>
              <w:jc w:val="center"/>
              <w:rPr>
                <w:rFonts w:eastAsia="Times New Roman" w:cstheme="minorHAnsi"/>
                <w:sz w:val="20"/>
                <w:szCs w:val="20"/>
                <w:lang w:eastAsia="en-AU" w:bidi="ar-SA"/>
              </w:rPr>
            </w:pPr>
            <w:r w:rsidRPr="00B37101">
              <w:rPr>
                <w:rFonts w:cstheme="minorHAnsi"/>
                <w:color w:val="000000"/>
                <w:sz w:val="20"/>
                <w:szCs w:val="20"/>
              </w:rPr>
              <w:t>1</w:t>
            </w:r>
          </w:p>
        </w:tc>
        <w:tc>
          <w:tcPr>
            <w:tcW w:w="712" w:type="pct"/>
            <w:tcBorders>
              <w:top w:val="nil"/>
              <w:left w:val="nil"/>
              <w:bottom w:val="single" w:sz="8" w:space="0" w:color="auto"/>
              <w:right w:val="single" w:sz="8" w:space="0" w:color="auto"/>
            </w:tcBorders>
            <w:shd w:val="clear" w:color="auto" w:fill="auto"/>
            <w:noWrap/>
            <w:hideMark/>
          </w:tcPr>
          <w:p w14:paraId="79BF0432" w14:textId="5481C0D2" w:rsidR="00BB7946" w:rsidRPr="00B37101" w:rsidRDefault="00BB7946" w:rsidP="00BB7946">
            <w:pPr>
              <w:jc w:val="center"/>
              <w:rPr>
                <w:rFonts w:eastAsia="Times New Roman" w:cstheme="minorHAnsi"/>
                <w:sz w:val="20"/>
                <w:szCs w:val="20"/>
                <w:lang w:eastAsia="en-AU" w:bidi="ar-SA"/>
              </w:rPr>
            </w:pPr>
            <w:r w:rsidRPr="00E70C09">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3010DDFD" w14:textId="4AD6DD50" w:rsidR="00BB7946" w:rsidRPr="00B37101" w:rsidRDefault="00BB7946" w:rsidP="00BB7946">
            <w:pPr>
              <w:jc w:val="center"/>
              <w:rPr>
                <w:rFonts w:eastAsia="Times New Roman" w:cstheme="minorHAnsi"/>
                <w:sz w:val="20"/>
                <w:szCs w:val="20"/>
                <w:lang w:eastAsia="en-AU" w:bidi="ar-SA"/>
              </w:rPr>
            </w:pPr>
            <w:r w:rsidRPr="00E70C09">
              <w:rPr>
                <w:rFonts w:cs="Calibri"/>
                <w:sz w:val="20"/>
              </w:rPr>
              <w:t>-</w:t>
            </w:r>
          </w:p>
        </w:tc>
        <w:tc>
          <w:tcPr>
            <w:tcW w:w="1830" w:type="pct"/>
            <w:tcBorders>
              <w:top w:val="nil"/>
              <w:left w:val="nil"/>
              <w:bottom w:val="single" w:sz="8" w:space="0" w:color="auto"/>
              <w:right w:val="single" w:sz="8" w:space="0" w:color="auto"/>
            </w:tcBorders>
            <w:shd w:val="clear" w:color="auto" w:fill="auto"/>
            <w:vAlign w:val="center"/>
            <w:hideMark/>
          </w:tcPr>
          <w:p w14:paraId="1220F513" w14:textId="49230976" w:rsidR="00BB7946" w:rsidRPr="00B37101" w:rsidRDefault="00BB7946" w:rsidP="00BB7946">
            <w:pPr>
              <w:rPr>
                <w:rFonts w:eastAsia="Times New Roman" w:cstheme="minorHAnsi"/>
                <w:color w:val="000000"/>
                <w:sz w:val="20"/>
                <w:szCs w:val="20"/>
                <w:lang w:eastAsia="en-AU" w:bidi="ar-SA"/>
              </w:rPr>
            </w:pPr>
            <w:r w:rsidRPr="00B37101">
              <w:rPr>
                <w:rFonts w:cstheme="minorHAnsi"/>
                <w:color w:val="000000"/>
                <w:sz w:val="20"/>
                <w:szCs w:val="20"/>
              </w:rPr>
              <w:t>Sub-regional Consultation Workshops</w:t>
            </w:r>
          </w:p>
        </w:tc>
        <w:tc>
          <w:tcPr>
            <w:tcW w:w="712" w:type="pct"/>
            <w:tcBorders>
              <w:top w:val="nil"/>
              <w:left w:val="nil"/>
              <w:bottom w:val="single" w:sz="8" w:space="0" w:color="auto"/>
              <w:right w:val="single" w:sz="8" w:space="0" w:color="auto"/>
            </w:tcBorders>
            <w:shd w:val="clear" w:color="auto" w:fill="auto"/>
            <w:noWrap/>
            <w:vAlign w:val="center"/>
            <w:hideMark/>
          </w:tcPr>
          <w:p w14:paraId="15669C4B" w14:textId="01148DB8" w:rsidR="00BB7946" w:rsidRPr="00B37101" w:rsidRDefault="00BB7946" w:rsidP="00BB7946">
            <w:pPr>
              <w:jc w:val="center"/>
              <w:rPr>
                <w:rFonts w:eastAsia="Times New Roman" w:cstheme="minorHAnsi"/>
                <w:color w:val="000000"/>
                <w:sz w:val="20"/>
                <w:szCs w:val="20"/>
                <w:lang w:eastAsia="en-AU" w:bidi="ar-SA"/>
              </w:rPr>
            </w:pPr>
            <w:r w:rsidRPr="00B37101">
              <w:rPr>
                <w:rFonts w:cstheme="minorHAnsi"/>
                <w:color w:val="000000"/>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1C869A2D" w14:textId="2C293527" w:rsidR="00BB7946" w:rsidRPr="00B37101" w:rsidRDefault="00BB7946" w:rsidP="00BB7946">
            <w:pPr>
              <w:jc w:val="center"/>
              <w:rPr>
                <w:rFonts w:eastAsia="Times New Roman" w:cstheme="minorHAnsi"/>
                <w:color w:val="000000"/>
                <w:sz w:val="20"/>
                <w:szCs w:val="20"/>
                <w:lang w:eastAsia="en-AU" w:bidi="ar-SA"/>
              </w:rPr>
            </w:pPr>
            <w:r w:rsidRPr="00B37101">
              <w:rPr>
                <w:rFonts w:cstheme="minorHAnsi"/>
                <w:color w:val="000000"/>
                <w:sz w:val="20"/>
                <w:szCs w:val="20"/>
              </w:rPr>
              <w:t>August - September, 2010</w:t>
            </w:r>
          </w:p>
        </w:tc>
      </w:tr>
      <w:tr w:rsidR="00BB7946" w:rsidRPr="0057080E" w14:paraId="4869F2C4" w14:textId="77777777" w:rsidTr="000C219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02E71ED9" w14:textId="582E92F3" w:rsidR="00BB7946" w:rsidRPr="00B37101" w:rsidRDefault="00BB7946" w:rsidP="00BB7946">
            <w:pPr>
              <w:jc w:val="center"/>
              <w:rPr>
                <w:rFonts w:eastAsia="Times New Roman" w:cstheme="minorHAnsi"/>
                <w:sz w:val="20"/>
                <w:szCs w:val="20"/>
                <w:lang w:eastAsia="en-AU" w:bidi="ar-SA"/>
              </w:rPr>
            </w:pPr>
            <w:r w:rsidRPr="00B37101">
              <w:rPr>
                <w:rFonts w:cstheme="minorHAnsi"/>
                <w:color w:val="000000"/>
                <w:sz w:val="20"/>
                <w:szCs w:val="20"/>
              </w:rPr>
              <w:t>2</w:t>
            </w:r>
          </w:p>
        </w:tc>
        <w:tc>
          <w:tcPr>
            <w:tcW w:w="712" w:type="pct"/>
            <w:tcBorders>
              <w:top w:val="nil"/>
              <w:left w:val="nil"/>
              <w:bottom w:val="single" w:sz="8" w:space="0" w:color="auto"/>
              <w:right w:val="single" w:sz="8" w:space="0" w:color="auto"/>
            </w:tcBorders>
            <w:shd w:val="clear" w:color="auto" w:fill="auto"/>
            <w:noWrap/>
            <w:hideMark/>
          </w:tcPr>
          <w:p w14:paraId="77972C64" w14:textId="10CF120E" w:rsidR="00BB7946" w:rsidRPr="00B37101" w:rsidRDefault="00BB7946" w:rsidP="00BB7946">
            <w:pPr>
              <w:jc w:val="center"/>
              <w:rPr>
                <w:rFonts w:eastAsia="Times New Roman" w:cstheme="minorHAnsi"/>
                <w:sz w:val="20"/>
                <w:szCs w:val="20"/>
                <w:lang w:eastAsia="en-AU" w:bidi="ar-SA"/>
              </w:rPr>
            </w:pPr>
            <w:r w:rsidRPr="00E70C09">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7D8EF60F" w14:textId="2FF52C31" w:rsidR="00BB7946" w:rsidRPr="00B37101" w:rsidRDefault="00BB7946" w:rsidP="00BB7946">
            <w:pPr>
              <w:jc w:val="center"/>
              <w:rPr>
                <w:rFonts w:eastAsia="Times New Roman" w:cstheme="minorHAnsi"/>
                <w:sz w:val="20"/>
                <w:szCs w:val="20"/>
                <w:lang w:eastAsia="en-AU" w:bidi="ar-SA"/>
              </w:rPr>
            </w:pPr>
            <w:r w:rsidRPr="00E70C09">
              <w:rPr>
                <w:rFonts w:cs="Calibri"/>
                <w:sz w:val="20"/>
              </w:rPr>
              <w:t>-</w:t>
            </w:r>
          </w:p>
        </w:tc>
        <w:tc>
          <w:tcPr>
            <w:tcW w:w="1830" w:type="pct"/>
            <w:tcBorders>
              <w:top w:val="nil"/>
              <w:left w:val="nil"/>
              <w:bottom w:val="single" w:sz="8" w:space="0" w:color="auto"/>
              <w:right w:val="single" w:sz="8" w:space="0" w:color="auto"/>
            </w:tcBorders>
            <w:shd w:val="clear" w:color="auto" w:fill="auto"/>
            <w:vAlign w:val="center"/>
            <w:hideMark/>
          </w:tcPr>
          <w:p w14:paraId="7082866C" w14:textId="589A845F" w:rsidR="00BB7946" w:rsidRPr="00B37101" w:rsidRDefault="00BB7946" w:rsidP="00BB7946">
            <w:pPr>
              <w:rPr>
                <w:rFonts w:eastAsia="Times New Roman" w:cstheme="minorHAnsi"/>
                <w:color w:val="000000"/>
                <w:sz w:val="20"/>
                <w:szCs w:val="20"/>
                <w:lang w:eastAsia="en-AU" w:bidi="ar-SA"/>
              </w:rPr>
            </w:pPr>
            <w:r w:rsidRPr="00B37101">
              <w:rPr>
                <w:rFonts w:cstheme="minorHAnsi"/>
                <w:color w:val="000000"/>
                <w:sz w:val="20"/>
                <w:szCs w:val="20"/>
              </w:rPr>
              <w:t>Performance Monitoring &amp; Evaluation</w:t>
            </w:r>
          </w:p>
        </w:tc>
        <w:tc>
          <w:tcPr>
            <w:tcW w:w="712" w:type="pct"/>
            <w:tcBorders>
              <w:top w:val="nil"/>
              <w:left w:val="nil"/>
              <w:bottom w:val="single" w:sz="8" w:space="0" w:color="auto"/>
              <w:right w:val="single" w:sz="8" w:space="0" w:color="auto"/>
            </w:tcBorders>
            <w:shd w:val="clear" w:color="auto" w:fill="auto"/>
            <w:noWrap/>
            <w:vAlign w:val="center"/>
            <w:hideMark/>
          </w:tcPr>
          <w:p w14:paraId="5A6BC981" w14:textId="1AE985A3" w:rsidR="00BB7946" w:rsidRPr="00B37101" w:rsidRDefault="00BB7946" w:rsidP="00BB7946">
            <w:pPr>
              <w:jc w:val="center"/>
              <w:rPr>
                <w:rFonts w:eastAsia="Times New Roman" w:cstheme="minorHAnsi"/>
                <w:color w:val="000000"/>
                <w:sz w:val="20"/>
                <w:szCs w:val="20"/>
                <w:lang w:eastAsia="en-AU" w:bidi="ar-SA"/>
              </w:rPr>
            </w:pPr>
            <w:r w:rsidRPr="00B37101">
              <w:rPr>
                <w:rFonts w:cstheme="minorHAnsi"/>
                <w:color w:val="000000"/>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741E45D5" w14:textId="3E58C030" w:rsidR="00BB7946" w:rsidRPr="00B37101" w:rsidRDefault="00BB7946" w:rsidP="00BB7946">
            <w:pPr>
              <w:jc w:val="center"/>
              <w:rPr>
                <w:rFonts w:eastAsia="Times New Roman" w:cstheme="minorHAnsi"/>
                <w:color w:val="000000"/>
                <w:sz w:val="20"/>
                <w:szCs w:val="20"/>
                <w:lang w:eastAsia="en-AU" w:bidi="ar-SA"/>
              </w:rPr>
            </w:pPr>
            <w:r w:rsidRPr="00B37101">
              <w:rPr>
                <w:rFonts w:cstheme="minorHAnsi"/>
                <w:color w:val="000000"/>
                <w:sz w:val="20"/>
                <w:szCs w:val="20"/>
              </w:rPr>
              <w:t>September - November, 2011</w:t>
            </w:r>
          </w:p>
        </w:tc>
      </w:tr>
      <w:tr w:rsidR="00BB7946" w:rsidRPr="0057080E" w14:paraId="3E0E63B4" w14:textId="77777777" w:rsidTr="000C219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239322BF" w14:textId="24845390" w:rsidR="00BB7946" w:rsidRPr="00B37101" w:rsidRDefault="00BB7946" w:rsidP="00BB7946">
            <w:pPr>
              <w:jc w:val="center"/>
              <w:rPr>
                <w:rFonts w:eastAsia="Times New Roman" w:cstheme="minorHAnsi"/>
                <w:sz w:val="20"/>
                <w:szCs w:val="20"/>
                <w:lang w:eastAsia="en-AU" w:bidi="ar-SA"/>
              </w:rPr>
            </w:pPr>
            <w:r w:rsidRPr="00B37101">
              <w:rPr>
                <w:rFonts w:cstheme="minorHAnsi"/>
                <w:color w:val="000000"/>
                <w:sz w:val="20"/>
                <w:szCs w:val="20"/>
              </w:rPr>
              <w:t>3</w:t>
            </w:r>
          </w:p>
        </w:tc>
        <w:tc>
          <w:tcPr>
            <w:tcW w:w="712" w:type="pct"/>
            <w:tcBorders>
              <w:top w:val="nil"/>
              <w:left w:val="nil"/>
              <w:bottom w:val="single" w:sz="8" w:space="0" w:color="auto"/>
              <w:right w:val="single" w:sz="8" w:space="0" w:color="auto"/>
            </w:tcBorders>
            <w:shd w:val="clear" w:color="auto" w:fill="auto"/>
            <w:noWrap/>
            <w:hideMark/>
          </w:tcPr>
          <w:p w14:paraId="5EA8AF2F" w14:textId="72F46DC9" w:rsidR="00BB7946" w:rsidRPr="00B37101" w:rsidRDefault="00BB7946" w:rsidP="00BB7946">
            <w:pPr>
              <w:jc w:val="center"/>
              <w:rPr>
                <w:rFonts w:eastAsia="Times New Roman" w:cstheme="minorHAnsi"/>
                <w:sz w:val="20"/>
                <w:szCs w:val="20"/>
                <w:lang w:eastAsia="en-AU" w:bidi="ar-SA"/>
              </w:rPr>
            </w:pPr>
            <w:r w:rsidRPr="00E70C09">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085587F4" w14:textId="6BAD1D61" w:rsidR="00BB7946" w:rsidRPr="00B37101" w:rsidRDefault="00BB7946" w:rsidP="00BB7946">
            <w:pPr>
              <w:jc w:val="center"/>
              <w:rPr>
                <w:rFonts w:eastAsia="Times New Roman" w:cstheme="minorHAnsi"/>
                <w:sz w:val="20"/>
                <w:szCs w:val="20"/>
                <w:lang w:eastAsia="en-AU" w:bidi="ar-SA"/>
              </w:rPr>
            </w:pPr>
            <w:r w:rsidRPr="00E70C09">
              <w:rPr>
                <w:rFonts w:cs="Calibri"/>
                <w:sz w:val="20"/>
              </w:rPr>
              <w:t>-</w:t>
            </w:r>
          </w:p>
        </w:tc>
        <w:tc>
          <w:tcPr>
            <w:tcW w:w="1830" w:type="pct"/>
            <w:tcBorders>
              <w:top w:val="nil"/>
              <w:left w:val="nil"/>
              <w:bottom w:val="single" w:sz="8" w:space="0" w:color="auto"/>
              <w:right w:val="single" w:sz="8" w:space="0" w:color="auto"/>
            </w:tcBorders>
            <w:shd w:val="clear" w:color="auto" w:fill="auto"/>
            <w:vAlign w:val="center"/>
            <w:hideMark/>
          </w:tcPr>
          <w:p w14:paraId="544D4201" w14:textId="58B3BD47" w:rsidR="00BB7946" w:rsidRPr="00B37101" w:rsidRDefault="00BB7946" w:rsidP="00BB7946">
            <w:pPr>
              <w:rPr>
                <w:rFonts w:eastAsia="Times New Roman" w:cstheme="minorHAnsi"/>
                <w:color w:val="000000"/>
                <w:sz w:val="20"/>
                <w:szCs w:val="20"/>
                <w:lang w:eastAsia="en-AU" w:bidi="ar-SA"/>
              </w:rPr>
            </w:pPr>
            <w:r w:rsidRPr="00B37101">
              <w:rPr>
                <w:rFonts w:cstheme="minorHAnsi"/>
                <w:color w:val="000000"/>
                <w:sz w:val="20"/>
                <w:szCs w:val="20"/>
              </w:rPr>
              <w:t>Family Violence and Youth Justice Workshop</w:t>
            </w:r>
          </w:p>
        </w:tc>
        <w:tc>
          <w:tcPr>
            <w:tcW w:w="712" w:type="pct"/>
            <w:tcBorders>
              <w:top w:val="nil"/>
              <w:left w:val="nil"/>
              <w:bottom w:val="single" w:sz="8" w:space="0" w:color="auto"/>
              <w:right w:val="single" w:sz="8" w:space="0" w:color="auto"/>
            </w:tcBorders>
            <w:shd w:val="clear" w:color="auto" w:fill="auto"/>
            <w:noWrap/>
            <w:vAlign w:val="center"/>
            <w:hideMark/>
          </w:tcPr>
          <w:p w14:paraId="32E9FA34" w14:textId="49376E48" w:rsidR="00BB7946" w:rsidRPr="00B37101" w:rsidRDefault="00BB7946" w:rsidP="00BB7946">
            <w:pPr>
              <w:jc w:val="center"/>
              <w:rPr>
                <w:rFonts w:eastAsia="Times New Roman" w:cstheme="minorHAnsi"/>
                <w:color w:val="000000"/>
                <w:sz w:val="20"/>
                <w:szCs w:val="20"/>
                <w:lang w:eastAsia="en-AU" w:bidi="ar-SA"/>
              </w:rPr>
            </w:pPr>
            <w:r w:rsidRPr="00B37101">
              <w:rPr>
                <w:rFonts w:cstheme="minorHAnsi"/>
                <w:color w:val="000000"/>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55306E90" w14:textId="7234D799" w:rsidR="00BB7946" w:rsidRPr="00B37101" w:rsidRDefault="00BB7946" w:rsidP="00BB7946">
            <w:pPr>
              <w:jc w:val="center"/>
              <w:rPr>
                <w:rFonts w:eastAsia="Times New Roman" w:cstheme="minorHAnsi"/>
                <w:color w:val="000000"/>
                <w:sz w:val="20"/>
                <w:szCs w:val="20"/>
                <w:lang w:eastAsia="en-AU" w:bidi="ar-SA"/>
              </w:rPr>
            </w:pPr>
            <w:r w:rsidRPr="00B37101">
              <w:rPr>
                <w:rFonts w:cstheme="minorHAnsi"/>
                <w:color w:val="000000"/>
                <w:sz w:val="20"/>
                <w:szCs w:val="20"/>
              </w:rPr>
              <w:t>23 - 27 July, 2012</w:t>
            </w:r>
          </w:p>
        </w:tc>
      </w:tr>
      <w:tr w:rsidR="00BB7946" w:rsidRPr="0057080E" w14:paraId="72286010" w14:textId="77777777" w:rsidTr="000C219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4913BE9E" w14:textId="6313DEF9" w:rsidR="00BB7946" w:rsidRPr="00B37101" w:rsidRDefault="00BB7946" w:rsidP="00BB7946">
            <w:pPr>
              <w:jc w:val="center"/>
              <w:rPr>
                <w:rFonts w:eastAsia="Times New Roman" w:cstheme="minorHAnsi"/>
                <w:sz w:val="20"/>
                <w:szCs w:val="20"/>
                <w:lang w:eastAsia="en-AU" w:bidi="ar-SA"/>
              </w:rPr>
            </w:pPr>
            <w:r w:rsidRPr="00B37101">
              <w:rPr>
                <w:rFonts w:cstheme="minorHAnsi"/>
                <w:color w:val="000000"/>
                <w:sz w:val="20"/>
                <w:szCs w:val="20"/>
              </w:rPr>
              <w:t>4</w:t>
            </w:r>
          </w:p>
        </w:tc>
        <w:tc>
          <w:tcPr>
            <w:tcW w:w="712" w:type="pct"/>
            <w:tcBorders>
              <w:top w:val="nil"/>
              <w:left w:val="nil"/>
              <w:bottom w:val="single" w:sz="8" w:space="0" w:color="auto"/>
              <w:right w:val="single" w:sz="8" w:space="0" w:color="auto"/>
            </w:tcBorders>
            <w:shd w:val="clear" w:color="auto" w:fill="auto"/>
            <w:noWrap/>
            <w:hideMark/>
          </w:tcPr>
          <w:p w14:paraId="15847F27" w14:textId="2624BBE5" w:rsidR="00BB7946" w:rsidRPr="00B37101" w:rsidRDefault="00BB7946" w:rsidP="00BB7946">
            <w:pPr>
              <w:jc w:val="center"/>
              <w:rPr>
                <w:rFonts w:eastAsia="Times New Roman" w:cstheme="minorHAnsi"/>
                <w:sz w:val="20"/>
                <w:szCs w:val="20"/>
                <w:lang w:eastAsia="en-AU" w:bidi="ar-SA"/>
              </w:rPr>
            </w:pPr>
            <w:r w:rsidRPr="00E70C09">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170EC726" w14:textId="6B4CFA50" w:rsidR="00BB7946" w:rsidRPr="00B37101" w:rsidRDefault="00BB7946" w:rsidP="00BB7946">
            <w:pPr>
              <w:jc w:val="center"/>
              <w:rPr>
                <w:rFonts w:eastAsia="Times New Roman" w:cstheme="minorHAnsi"/>
                <w:sz w:val="20"/>
                <w:szCs w:val="20"/>
                <w:lang w:eastAsia="en-AU" w:bidi="ar-SA"/>
              </w:rPr>
            </w:pPr>
            <w:r w:rsidRPr="00E70C09">
              <w:rPr>
                <w:rFonts w:cs="Calibri"/>
                <w:sz w:val="20"/>
              </w:rPr>
              <w:t>-</w:t>
            </w:r>
          </w:p>
        </w:tc>
        <w:tc>
          <w:tcPr>
            <w:tcW w:w="1830" w:type="pct"/>
            <w:tcBorders>
              <w:top w:val="nil"/>
              <w:left w:val="nil"/>
              <w:bottom w:val="single" w:sz="8" w:space="0" w:color="auto"/>
              <w:right w:val="single" w:sz="8" w:space="0" w:color="auto"/>
            </w:tcBorders>
            <w:shd w:val="clear" w:color="auto" w:fill="auto"/>
            <w:vAlign w:val="center"/>
            <w:hideMark/>
          </w:tcPr>
          <w:p w14:paraId="2CFAB753" w14:textId="07EFAF8F" w:rsidR="00BB7946" w:rsidRPr="00B37101" w:rsidRDefault="00BB7946" w:rsidP="00BB7946">
            <w:pPr>
              <w:rPr>
                <w:rFonts w:eastAsia="Times New Roman" w:cstheme="minorHAnsi"/>
                <w:color w:val="000000"/>
                <w:sz w:val="20"/>
                <w:szCs w:val="20"/>
                <w:lang w:eastAsia="en-AU" w:bidi="ar-SA"/>
              </w:rPr>
            </w:pPr>
            <w:r w:rsidRPr="00B37101">
              <w:rPr>
                <w:rFonts w:cstheme="minorHAnsi"/>
                <w:color w:val="000000"/>
                <w:sz w:val="20"/>
                <w:szCs w:val="20"/>
              </w:rPr>
              <w:t>Court Annual Reporting Sub-regional Workshops</w:t>
            </w:r>
          </w:p>
        </w:tc>
        <w:tc>
          <w:tcPr>
            <w:tcW w:w="712" w:type="pct"/>
            <w:tcBorders>
              <w:top w:val="nil"/>
              <w:left w:val="nil"/>
              <w:bottom w:val="single" w:sz="8" w:space="0" w:color="auto"/>
              <w:right w:val="single" w:sz="8" w:space="0" w:color="auto"/>
            </w:tcBorders>
            <w:shd w:val="clear" w:color="auto" w:fill="auto"/>
            <w:noWrap/>
            <w:vAlign w:val="center"/>
            <w:hideMark/>
          </w:tcPr>
          <w:p w14:paraId="2957BFAC" w14:textId="47764F26" w:rsidR="00BB7946" w:rsidRPr="00B37101" w:rsidRDefault="00BB7946" w:rsidP="00BB7946">
            <w:pPr>
              <w:jc w:val="center"/>
              <w:rPr>
                <w:rFonts w:eastAsia="Times New Roman" w:cstheme="minorHAnsi"/>
                <w:color w:val="000000"/>
                <w:sz w:val="20"/>
                <w:szCs w:val="20"/>
                <w:lang w:eastAsia="en-AU" w:bidi="ar-SA"/>
              </w:rPr>
            </w:pPr>
            <w:r w:rsidRPr="00B37101">
              <w:rPr>
                <w:rFonts w:cstheme="minorHAnsi"/>
                <w:color w:val="000000"/>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2660FF21" w14:textId="17F183A6" w:rsidR="00BB7946" w:rsidRPr="00B37101" w:rsidRDefault="00BB7946" w:rsidP="00BB7946">
            <w:pPr>
              <w:jc w:val="center"/>
              <w:rPr>
                <w:rFonts w:eastAsia="Times New Roman" w:cstheme="minorHAnsi"/>
                <w:color w:val="000000"/>
                <w:sz w:val="20"/>
                <w:szCs w:val="20"/>
                <w:lang w:eastAsia="en-AU" w:bidi="ar-SA"/>
              </w:rPr>
            </w:pPr>
            <w:r w:rsidRPr="00B37101">
              <w:rPr>
                <w:rFonts w:cstheme="minorHAnsi"/>
                <w:color w:val="000000"/>
                <w:sz w:val="20"/>
                <w:szCs w:val="20"/>
              </w:rPr>
              <w:t>16 - 18 October, 2013</w:t>
            </w:r>
          </w:p>
        </w:tc>
      </w:tr>
      <w:tr w:rsidR="00BB7946" w:rsidRPr="0057080E" w14:paraId="14CAE1DB" w14:textId="77777777" w:rsidTr="000C219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11FA462B" w14:textId="653332B8" w:rsidR="00BB7946" w:rsidRPr="00B37101" w:rsidRDefault="00BB7946" w:rsidP="00BB7946">
            <w:pPr>
              <w:jc w:val="center"/>
              <w:rPr>
                <w:rFonts w:eastAsia="Times New Roman" w:cstheme="minorHAnsi"/>
                <w:sz w:val="20"/>
                <w:szCs w:val="20"/>
                <w:lang w:eastAsia="en-AU" w:bidi="ar-SA"/>
              </w:rPr>
            </w:pPr>
            <w:r w:rsidRPr="00B37101">
              <w:rPr>
                <w:rFonts w:cstheme="minorHAnsi"/>
                <w:color w:val="000000"/>
                <w:sz w:val="20"/>
                <w:szCs w:val="20"/>
              </w:rPr>
              <w:t>5</w:t>
            </w:r>
          </w:p>
        </w:tc>
        <w:tc>
          <w:tcPr>
            <w:tcW w:w="712" w:type="pct"/>
            <w:tcBorders>
              <w:top w:val="nil"/>
              <w:left w:val="nil"/>
              <w:bottom w:val="single" w:sz="8" w:space="0" w:color="auto"/>
              <w:right w:val="single" w:sz="8" w:space="0" w:color="auto"/>
            </w:tcBorders>
            <w:shd w:val="clear" w:color="auto" w:fill="auto"/>
            <w:noWrap/>
            <w:hideMark/>
          </w:tcPr>
          <w:p w14:paraId="496298F1" w14:textId="6A490E0A" w:rsidR="00BB7946" w:rsidRPr="00B37101" w:rsidRDefault="00BB7946" w:rsidP="00BB7946">
            <w:pPr>
              <w:jc w:val="center"/>
              <w:rPr>
                <w:rFonts w:eastAsia="Times New Roman" w:cstheme="minorHAnsi"/>
                <w:sz w:val="20"/>
                <w:szCs w:val="20"/>
                <w:lang w:eastAsia="en-AU" w:bidi="ar-SA"/>
              </w:rPr>
            </w:pPr>
            <w:r w:rsidRPr="00E70C09">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66922DAA" w14:textId="032BB472" w:rsidR="00BB7946" w:rsidRPr="00B37101" w:rsidRDefault="00BB7946" w:rsidP="00BB7946">
            <w:pPr>
              <w:jc w:val="center"/>
              <w:rPr>
                <w:rFonts w:eastAsia="Times New Roman" w:cstheme="minorHAnsi"/>
                <w:sz w:val="20"/>
                <w:szCs w:val="20"/>
                <w:lang w:eastAsia="en-AU" w:bidi="ar-SA"/>
              </w:rPr>
            </w:pPr>
            <w:r w:rsidRPr="00E70C09">
              <w:rPr>
                <w:rFonts w:cs="Calibri"/>
                <w:sz w:val="20"/>
              </w:rPr>
              <w:t>-</w:t>
            </w:r>
          </w:p>
        </w:tc>
        <w:tc>
          <w:tcPr>
            <w:tcW w:w="1830" w:type="pct"/>
            <w:tcBorders>
              <w:top w:val="nil"/>
              <w:left w:val="nil"/>
              <w:bottom w:val="single" w:sz="8" w:space="0" w:color="auto"/>
              <w:right w:val="single" w:sz="8" w:space="0" w:color="auto"/>
            </w:tcBorders>
            <w:shd w:val="clear" w:color="auto" w:fill="auto"/>
            <w:vAlign w:val="center"/>
            <w:hideMark/>
          </w:tcPr>
          <w:p w14:paraId="10EEC3FA" w14:textId="0C1C59A8" w:rsidR="00BB7946" w:rsidRPr="00B37101" w:rsidRDefault="00BB7946" w:rsidP="00BB7946">
            <w:pPr>
              <w:rPr>
                <w:rFonts w:eastAsia="Times New Roman" w:cstheme="minorHAnsi"/>
                <w:color w:val="000000"/>
                <w:sz w:val="20"/>
                <w:szCs w:val="20"/>
                <w:lang w:eastAsia="en-AU" w:bidi="ar-SA"/>
              </w:rPr>
            </w:pPr>
            <w:r w:rsidRPr="00B37101">
              <w:rPr>
                <w:rFonts w:cstheme="minorHAnsi"/>
                <w:color w:val="000000"/>
                <w:sz w:val="20"/>
                <w:szCs w:val="20"/>
              </w:rPr>
              <w:t>Advanced RTT Curriculum Development &amp; Programme Management Workshop</w:t>
            </w:r>
          </w:p>
        </w:tc>
        <w:tc>
          <w:tcPr>
            <w:tcW w:w="712" w:type="pct"/>
            <w:tcBorders>
              <w:top w:val="nil"/>
              <w:left w:val="nil"/>
              <w:bottom w:val="single" w:sz="8" w:space="0" w:color="auto"/>
              <w:right w:val="single" w:sz="8" w:space="0" w:color="auto"/>
            </w:tcBorders>
            <w:shd w:val="clear" w:color="auto" w:fill="auto"/>
            <w:noWrap/>
            <w:vAlign w:val="center"/>
            <w:hideMark/>
          </w:tcPr>
          <w:p w14:paraId="32E112E8" w14:textId="70BFEF60" w:rsidR="00BB7946" w:rsidRPr="00B37101" w:rsidRDefault="00BB7946" w:rsidP="00BB7946">
            <w:pPr>
              <w:jc w:val="center"/>
              <w:rPr>
                <w:rFonts w:eastAsia="Times New Roman" w:cstheme="minorHAnsi"/>
                <w:color w:val="000000"/>
                <w:sz w:val="20"/>
                <w:szCs w:val="20"/>
                <w:lang w:eastAsia="en-AU" w:bidi="ar-SA"/>
              </w:rPr>
            </w:pPr>
            <w:r w:rsidRPr="00B37101">
              <w:rPr>
                <w:rFonts w:cstheme="minorHAnsi"/>
                <w:color w:val="000000"/>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7F9F13E3" w14:textId="0DC3C712" w:rsidR="00BB7946" w:rsidRPr="00B37101" w:rsidRDefault="00BB7946" w:rsidP="00BB7946">
            <w:pPr>
              <w:jc w:val="center"/>
              <w:rPr>
                <w:rFonts w:eastAsia="Times New Roman" w:cstheme="minorHAnsi"/>
                <w:color w:val="000000"/>
                <w:sz w:val="20"/>
                <w:szCs w:val="20"/>
                <w:lang w:eastAsia="en-AU" w:bidi="ar-SA"/>
              </w:rPr>
            </w:pPr>
            <w:r w:rsidRPr="00B37101">
              <w:rPr>
                <w:rFonts w:cstheme="minorHAnsi"/>
                <w:color w:val="000000"/>
                <w:sz w:val="20"/>
                <w:szCs w:val="20"/>
              </w:rPr>
              <w:t>25 - 29 November, 2013</w:t>
            </w:r>
          </w:p>
        </w:tc>
      </w:tr>
      <w:tr w:rsidR="00BB7946" w:rsidRPr="0057080E" w14:paraId="7CC9CA81" w14:textId="77777777" w:rsidTr="000C219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464741BC" w14:textId="0B490E2C" w:rsidR="00BB7946" w:rsidRPr="00B37101" w:rsidRDefault="00BB7946" w:rsidP="00BB7946">
            <w:pPr>
              <w:jc w:val="center"/>
              <w:rPr>
                <w:rFonts w:eastAsia="Times New Roman" w:cstheme="minorHAnsi"/>
                <w:sz w:val="20"/>
                <w:szCs w:val="20"/>
                <w:lang w:eastAsia="en-AU" w:bidi="ar-SA"/>
              </w:rPr>
            </w:pPr>
            <w:r w:rsidRPr="00B37101">
              <w:rPr>
                <w:rFonts w:cstheme="minorHAnsi"/>
                <w:color w:val="000000"/>
                <w:sz w:val="20"/>
                <w:szCs w:val="20"/>
              </w:rPr>
              <w:t>6</w:t>
            </w:r>
          </w:p>
        </w:tc>
        <w:tc>
          <w:tcPr>
            <w:tcW w:w="712" w:type="pct"/>
            <w:tcBorders>
              <w:top w:val="nil"/>
              <w:left w:val="nil"/>
              <w:bottom w:val="single" w:sz="8" w:space="0" w:color="auto"/>
              <w:right w:val="single" w:sz="8" w:space="0" w:color="auto"/>
            </w:tcBorders>
            <w:shd w:val="clear" w:color="auto" w:fill="auto"/>
            <w:noWrap/>
            <w:hideMark/>
          </w:tcPr>
          <w:p w14:paraId="36B1A576" w14:textId="0FAC8B46" w:rsidR="00BB7946" w:rsidRPr="00B37101" w:rsidRDefault="00BB7946" w:rsidP="00BB7946">
            <w:pPr>
              <w:jc w:val="center"/>
              <w:rPr>
                <w:rFonts w:eastAsia="Times New Roman" w:cstheme="minorHAnsi"/>
                <w:sz w:val="20"/>
                <w:szCs w:val="20"/>
                <w:lang w:eastAsia="en-AU" w:bidi="ar-SA"/>
              </w:rPr>
            </w:pPr>
            <w:r w:rsidRPr="00E70C09">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58256360" w14:textId="3EB623C0" w:rsidR="00BB7946" w:rsidRPr="00B37101" w:rsidRDefault="00BB7946" w:rsidP="00BB7946">
            <w:pPr>
              <w:jc w:val="center"/>
              <w:rPr>
                <w:rFonts w:eastAsia="Times New Roman" w:cstheme="minorHAnsi"/>
                <w:sz w:val="20"/>
                <w:szCs w:val="20"/>
                <w:lang w:eastAsia="en-AU" w:bidi="ar-SA"/>
              </w:rPr>
            </w:pPr>
            <w:r w:rsidRPr="00E70C09">
              <w:rPr>
                <w:rFonts w:cs="Calibri"/>
                <w:sz w:val="20"/>
              </w:rPr>
              <w:t>-</w:t>
            </w:r>
          </w:p>
        </w:tc>
        <w:tc>
          <w:tcPr>
            <w:tcW w:w="1830" w:type="pct"/>
            <w:tcBorders>
              <w:top w:val="nil"/>
              <w:left w:val="nil"/>
              <w:bottom w:val="single" w:sz="8" w:space="0" w:color="auto"/>
              <w:right w:val="single" w:sz="8" w:space="0" w:color="auto"/>
            </w:tcBorders>
            <w:shd w:val="clear" w:color="auto" w:fill="auto"/>
            <w:vAlign w:val="center"/>
            <w:hideMark/>
          </w:tcPr>
          <w:p w14:paraId="2D624CF7" w14:textId="0A53F04B" w:rsidR="00BB7946" w:rsidRPr="00B37101" w:rsidRDefault="00BB7946" w:rsidP="00BB7946">
            <w:pPr>
              <w:rPr>
                <w:rFonts w:eastAsia="Times New Roman" w:cstheme="minorHAnsi"/>
                <w:color w:val="000000"/>
                <w:sz w:val="20"/>
                <w:szCs w:val="20"/>
                <w:lang w:eastAsia="en-AU" w:bidi="ar-SA"/>
              </w:rPr>
            </w:pPr>
            <w:r w:rsidRPr="00B37101">
              <w:rPr>
                <w:rFonts w:cstheme="minorHAnsi"/>
                <w:color w:val="000000"/>
                <w:sz w:val="20"/>
                <w:szCs w:val="20"/>
              </w:rPr>
              <w:t>Family Violence and Youth Justice Follow-up</w:t>
            </w:r>
          </w:p>
        </w:tc>
        <w:tc>
          <w:tcPr>
            <w:tcW w:w="712" w:type="pct"/>
            <w:tcBorders>
              <w:top w:val="nil"/>
              <w:left w:val="nil"/>
              <w:bottom w:val="single" w:sz="8" w:space="0" w:color="auto"/>
              <w:right w:val="single" w:sz="8" w:space="0" w:color="auto"/>
            </w:tcBorders>
            <w:shd w:val="clear" w:color="auto" w:fill="auto"/>
            <w:noWrap/>
            <w:vAlign w:val="center"/>
            <w:hideMark/>
          </w:tcPr>
          <w:p w14:paraId="2F2F7992" w14:textId="27D0E581" w:rsidR="00BB7946" w:rsidRPr="00B37101" w:rsidRDefault="00BB7946" w:rsidP="00BB7946">
            <w:pPr>
              <w:jc w:val="center"/>
              <w:rPr>
                <w:rFonts w:eastAsia="Times New Roman" w:cstheme="minorHAnsi"/>
                <w:color w:val="000000"/>
                <w:sz w:val="20"/>
                <w:szCs w:val="20"/>
                <w:lang w:eastAsia="en-AU" w:bidi="ar-SA"/>
              </w:rPr>
            </w:pPr>
            <w:r w:rsidRPr="00B37101">
              <w:rPr>
                <w:rFonts w:cstheme="minorHAnsi"/>
                <w:color w:val="000000"/>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4B57A7B6" w14:textId="136DF1D1" w:rsidR="00BB7946" w:rsidRPr="00B37101" w:rsidRDefault="00BB7946" w:rsidP="00BB7946">
            <w:pPr>
              <w:jc w:val="center"/>
              <w:rPr>
                <w:rFonts w:eastAsia="Times New Roman" w:cstheme="minorHAnsi"/>
                <w:color w:val="000000"/>
                <w:sz w:val="20"/>
                <w:szCs w:val="20"/>
                <w:lang w:eastAsia="en-AU" w:bidi="ar-SA"/>
              </w:rPr>
            </w:pPr>
            <w:r w:rsidRPr="00B37101">
              <w:rPr>
                <w:rFonts w:cstheme="minorHAnsi"/>
                <w:color w:val="000000"/>
                <w:sz w:val="20"/>
                <w:szCs w:val="20"/>
              </w:rPr>
              <w:t>9 - 11 September, 2014</w:t>
            </w:r>
          </w:p>
        </w:tc>
      </w:tr>
      <w:tr w:rsidR="00BB7946" w:rsidRPr="0057080E" w14:paraId="57DA015F" w14:textId="77777777" w:rsidTr="000C2194">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646AAB73" w14:textId="3EAFA43C" w:rsidR="00BB7946" w:rsidRPr="00B37101" w:rsidRDefault="00BB7946" w:rsidP="00BB7946">
            <w:pPr>
              <w:jc w:val="center"/>
              <w:rPr>
                <w:rFonts w:eastAsia="Times New Roman" w:cstheme="minorHAnsi"/>
                <w:sz w:val="20"/>
                <w:szCs w:val="20"/>
                <w:lang w:eastAsia="en-AU" w:bidi="ar-SA"/>
              </w:rPr>
            </w:pPr>
            <w:r w:rsidRPr="00B37101">
              <w:rPr>
                <w:rFonts w:cstheme="minorHAnsi"/>
                <w:color w:val="000000"/>
                <w:sz w:val="20"/>
                <w:szCs w:val="20"/>
              </w:rPr>
              <w:t>7</w:t>
            </w:r>
          </w:p>
        </w:tc>
        <w:tc>
          <w:tcPr>
            <w:tcW w:w="712" w:type="pct"/>
            <w:tcBorders>
              <w:top w:val="nil"/>
              <w:left w:val="nil"/>
              <w:bottom w:val="single" w:sz="8" w:space="0" w:color="auto"/>
              <w:right w:val="single" w:sz="8" w:space="0" w:color="auto"/>
            </w:tcBorders>
            <w:shd w:val="clear" w:color="auto" w:fill="auto"/>
            <w:noWrap/>
            <w:hideMark/>
          </w:tcPr>
          <w:p w14:paraId="6B404CE4" w14:textId="6967B6A6" w:rsidR="00BB7946" w:rsidRPr="00B37101" w:rsidRDefault="00BB7946" w:rsidP="00BB7946">
            <w:pPr>
              <w:jc w:val="center"/>
              <w:rPr>
                <w:rFonts w:eastAsia="Times New Roman" w:cstheme="minorHAnsi"/>
                <w:sz w:val="20"/>
                <w:szCs w:val="20"/>
                <w:lang w:eastAsia="en-AU" w:bidi="ar-SA"/>
              </w:rPr>
            </w:pPr>
            <w:r w:rsidRPr="00E70C09">
              <w:rPr>
                <w:rFonts w:cs="Calibri"/>
                <w:sz w:val="20"/>
              </w:rPr>
              <w:t>-</w:t>
            </w:r>
          </w:p>
        </w:tc>
        <w:tc>
          <w:tcPr>
            <w:tcW w:w="763" w:type="pct"/>
            <w:tcBorders>
              <w:top w:val="nil"/>
              <w:left w:val="nil"/>
              <w:bottom w:val="single" w:sz="8" w:space="0" w:color="auto"/>
              <w:right w:val="single" w:sz="8" w:space="0" w:color="auto"/>
            </w:tcBorders>
            <w:shd w:val="clear" w:color="auto" w:fill="auto"/>
            <w:hideMark/>
          </w:tcPr>
          <w:p w14:paraId="1CD2B92C" w14:textId="6C864847" w:rsidR="00BB7946" w:rsidRPr="00B37101" w:rsidRDefault="00BB7946" w:rsidP="00BB7946">
            <w:pPr>
              <w:jc w:val="center"/>
              <w:rPr>
                <w:rFonts w:eastAsia="Times New Roman" w:cstheme="minorHAnsi"/>
                <w:sz w:val="20"/>
                <w:szCs w:val="20"/>
                <w:lang w:eastAsia="en-AU" w:bidi="ar-SA"/>
              </w:rPr>
            </w:pPr>
            <w:r w:rsidRPr="00E70C09">
              <w:rPr>
                <w:rFonts w:cs="Calibri"/>
                <w:sz w:val="20"/>
              </w:rPr>
              <w:t>-</w:t>
            </w:r>
          </w:p>
        </w:tc>
        <w:tc>
          <w:tcPr>
            <w:tcW w:w="1830" w:type="pct"/>
            <w:tcBorders>
              <w:top w:val="nil"/>
              <w:left w:val="nil"/>
              <w:bottom w:val="single" w:sz="8" w:space="0" w:color="auto"/>
              <w:right w:val="single" w:sz="8" w:space="0" w:color="auto"/>
            </w:tcBorders>
            <w:shd w:val="clear" w:color="auto" w:fill="auto"/>
            <w:vAlign w:val="center"/>
            <w:hideMark/>
          </w:tcPr>
          <w:p w14:paraId="5B1687A7" w14:textId="71AF0A3A" w:rsidR="00BB7946" w:rsidRPr="00B37101" w:rsidRDefault="00BB7946" w:rsidP="00BB7946">
            <w:pPr>
              <w:rPr>
                <w:rFonts w:eastAsia="Times New Roman" w:cstheme="minorHAnsi"/>
                <w:color w:val="000000"/>
                <w:sz w:val="20"/>
                <w:szCs w:val="20"/>
                <w:lang w:eastAsia="en-AU" w:bidi="ar-SA"/>
              </w:rPr>
            </w:pPr>
            <w:r w:rsidRPr="00B37101">
              <w:rPr>
                <w:rFonts w:cstheme="minorHAnsi"/>
                <w:color w:val="000000"/>
                <w:sz w:val="20"/>
                <w:szCs w:val="20"/>
              </w:rPr>
              <w:t>Court Annual Reporting Sub-regional Workshops</w:t>
            </w:r>
          </w:p>
        </w:tc>
        <w:tc>
          <w:tcPr>
            <w:tcW w:w="712" w:type="pct"/>
            <w:tcBorders>
              <w:top w:val="nil"/>
              <w:left w:val="nil"/>
              <w:bottom w:val="single" w:sz="8" w:space="0" w:color="auto"/>
              <w:right w:val="single" w:sz="8" w:space="0" w:color="auto"/>
            </w:tcBorders>
            <w:shd w:val="clear" w:color="auto" w:fill="auto"/>
            <w:noWrap/>
            <w:vAlign w:val="center"/>
            <w:hideMark/>
          </w:tcPr>
          <w:p w14:paraId="0A5EF421" w14:textId="23A972C4" w:rsidR="00BB7946" w:rsidRPr="00B37101" w:rsidRDefault="00BB7946" w:rsidP="00BB7946">
            <w:pPr>
              <w:jc w:val="center"/>
              <w:rPr>
                <w:rFonts w:eastAsia="Times New Roman" w:cstheme="minorHAnsi"/>
                <w:color w:val="000000"/>
                <w:sz w:val="20"/>
                <w:szCs w:val="20"/>
                <w:lang w:eastAsia="en-AU" w:bidi="ar-SA"/>
              </w:rPr>
            </w:pPr>
            <w:r>
              <w:rPr>
                <w:rFonts w:cstheme="minorHAnsi"/>
                <w:color w:val="000000"/>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77C83D06" w14:textId="68B812FB" w:rsidR="00BB7946" w:rsidRPr="00B37101" w:rsidRDefault="00BB7946" w:rsidP="00BB7946">
            <w:pPr>
              <w:jc w:val="center"/>
              <w:rPr>
                <w:rFonts w:eastAsia="Times New Roman" w:cstheme="minorHAnsi"/>
                <w:color w:val="000000"/>
                <w:sz w:val="20"/>
                <w:szCs w:val="20"/>
                <w:lang w:eastAsia="en-AU" w:bidi="ar-SA"/>
              </w:rPr>
            </w:pPr>
            <w:r w:rsidRPr="00B37101">
              <w:rPr>
                <w:rFonts w:cstheme="minorHAnsi"/>
                <w:color w:val="000000"/>
                <w:sz w:val="20"/>
                <w:szCs w:val="20"/>
              </w:rPr>
              <w:t>23-24 October, 2014</w:t>
            </w:r>
          </w:p>
        </w:tc>
      </w:tr>
      <w:tr w:rsidR="00B37101" w:rsidRPr="0057080E" w14:paraId="3BB6F409" w14:textId="77777777" w:rsidTr="00B37101">
        <w:trPr>
          <w:trHeight w:val="300"/>
        </w:trPr>
        <w:tc>
          <w:tcPr>
            <w:tcW w:w="5000" w:type="pct"/>
            <w:gridSpan w:val="6"/>
            <w:tcBorders>
              <w:top w:val="nil"/>
              <w:left w:val="single" w:sz="8" w:space="0" w:color="auto"/>
              <w:bottom w:val="single" w:sz="8" w:space="0" w:color="auto"/>
              <w:right w:val="single" w:sz="8" w:space="0" w:color="auto"/>
            </w:tcBorders>
            <w:shd w:val="clear" w:color="auto" w:fill="auto"/>
            <w:noWrap/>
            <w:vAlign w:val="center"/>
          </w:tcPr>
          <w:p w14:paraId="7EC3E1B6" w14:textId="188FEE41" w:rsidR="00B37101" w:rsidRPr="00B37101" w:rsidRDefault="00B37101" w:rsidP="00B37101">
            <w:pPr>
              <w:jc w:val="center"/>
              <w:rPr>
                <w:rFonts w:cstheme="minorHAnsi"/>
                <w:b/>
                <w:sz w:val="20"/>
                <w:szCs w:val="20"/>
              </w:rPr>
            </w:pPr>
            <w:r>
              <w:rPr>
                <w:rFonts w:cstheme="minorHAnsi"/>
                <w:b/>
                <w:sz w:val="20"/>
                <w:szCs w:val="20"/>
              </w:rPr>
              <w:t>PJSI</w:t>
            </w:r>
          </w:p>
        </w:tc>
      </w:tr>
      <w:tr w:rsidR="00B37101" w:rsidRPr="0057080E" w14:paraId="681F5DD3" w14:textId="77777777" w:rsidTr="00B37101">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61736C75" w14:textId="08585846" w:rsidR="00B37101" w:rsidRPr="00B37101" w:rsidRDefault="00B37101" w:rsidP="00B37101">
            <w:pPr>
              <w:jc w:val="center"/>
              <w:rPr>
                <w:rFonts w:eastAsia="Times New Roman" w:cstheme="minorHAnsi"/>
                <w:sz w:val="20"/>
                <w:szCs w:val="20"/>
                <w:lang w:eastAsia="en-AU" w:bidi="ar-SA"/>
              </w:rPr>
            </w:pPr>
            <w:r w:rsidRPr="00B37101">
              <w:rPr>
                <w:rFonts w:cstheme="minorHAnsi"/>
                <w:color w:val="000000"/>
                <w:sz w:val="20"/>
                <w:szCs w:val="20"/>
              </w:rPr>
              <w:t>8</w:t>
            </w:r>
          </w:p>
        </w:tc>
        <w:tc>
          <w:tcPr>
            <w:tcW w:w="712" w:type="pct"/>
            <w:tcBorders>
              <w:top w:val="nil"/>
              <w:left w:val="nil"/>
              <w:bottom w:val="single" w:sz="8" w:space="0" w:color="auto"/>
              <w:right w:val="single" w:sz="8" w:space="0" w:color="auto"/>
            </w:tcBorders>
            <w:shd w:val="clear" w:color="auto" w:fill="auto"/>
            <w:noWrap/>
            <w:vAlign w:val="center"/>
            <w:hideMark/>
          </w:tcPr>
          <w:p w14:paraId="2414A144" w14:textId="53810D66" w:rsidR="00B37101" w:rsidRPr="00B37101" w:rsidRDefault="00B37101" w:rsidP="00B37101">
            <w:pPr>
              <w:rPr>
                <w:rFonts w:eastAsia="Times New Roman" w:cstheme="minorHAnsi"/>
                <w:sz w:val="20"/>
                <w:szCs w:val="20"/>
                <w:lang w:eastAsia="en-AU" w:bidi="ar-SA"/>
              </w:rPr>
            </w:pPr>
            <w:r w:rsidRPr="00B37101">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467B8299" w14:textId="2CBE6216" w:rsidR="00B37101" w:rsidRPr="00B37101" w:rsidRDefault="00B37101" w:rsidP="00B37101">
            <w:pPr>
              <w:rPr>
                <w:rFonts w:eastAsia="Times New Roman" w:cstheme="minorHAnsi"/>
                <w:sz w:val="20"/>
                <w:szCs w:val="20"/>
                <w:lang w:eastAsia="en-AU" w:bidi="ar-SA"/>
              </w:rPr>
            </w:pPr>
            <w:r w:rsidRPr="00B37101">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vAlign w:val="center"/>
            <w:hideMark/>
          </w:tcPr>
          <w:p w14:paraId="0B4DF9B5" w14:textId="22B0A7D0" w:rsidR="00B37101" w:rsidRPr="00B37101" w:rsidRDefault="00B37101" w:rsidP="00B37101">
            <w:pPr>
              <w:rPr>
                <w:rFonts w:eastAsia="Times New Roman" w:cstheme="minorHAnsi"/>
                <w:color w:val="000000"/>
                <w:sz w:val="20"/>
                <w:szCs w:val="20"/>
                <w:lang w:eastAsia="en-AU" w:bidi="ar-SA"/>
              </w:rPr>
            </w:pPr>
            <w:r w:rsidRPr="00B37101">
              <w:rPr>
                <w:rFonts w:cstheme="minorHAnsi"/>
                <w:sz w:val="20"/>
                <w:szCs w:val="20"/>
              </w:rPr>
              <w:t>1st Chief Justices’ Leadership Forum</w:t>
            </w:r>
          </w:p>
        </w:tc>
        <w:tc>
          <w:tcPr>
            <w:tcW w:w="712" w:type="pct"/>
            <w:tcBorders>
              <w:top w:val="nil"/>
              <w:left w:val="nil"/>
              <w:bottom w:val="single" w:sz="8" w:space="0" w:color="auto"/>
              <w:right w:val="single" w:sz="8" w:space="0" w:color="auto"/>
            </w:tcBorders>
            <w:shd w:val="clear" w:color="auto" w:fill="auto"/>
            <w:noWrap/>
            <w:vAlign w:val="center"/>
            <w:hideMark/>
          </w:tcPr>
          <w:p w14:paraId="49714B3A" w14:textId="40949698" w:rsidR="00B37101" w:rsidRPr="00B37101" w:rsidRDefault="00B37101" w:rsidP="00B37101">
            <w:pPr>
              <w:jc w:val="center"/>
              <w:rPr>
                <w:rFonts w:eastAsia="Times New Roman" w:cstheme="minorHAnsi"/>
                <w:color w:val="000000"/>
                <w:sz w:val="20"/>
                <w:szCs w:val="20"/>
                <w:lang w:eastAsia="en-AU" w:bidi="ar-SA"/>
              </w:rPr>
            </w:pPr>
            <w:r w:rsidRPr="00B37101">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1A5FCBEF" w14:textId="131D4AD0" w:rsidR="00B37101" w:rsidRPr="00B37101" w:rsidRDefault="00B37101" w:rsidP="00B37101">
            <w:pPr>
              <w:jc w:val="center"/>
              <w:rPr>
                <w:rFonts w:eastAsia="Times New Roman" w:cstheme="minorHAnsi"/>
                <w:color w:val="000000"/>
                <w:sz w:val="20"/>
                <w:szCs w:val="20"/>
                <w:lang w:eastAsia="en-AU" w:bidi="ar-SA"/>
              </w:rPr>
            </w:pPr>
            <w:r w:rsidRPr="00B37101">
              <w:rPr>
                <w:rFonts w:cstheme="minorHAnsi"/>
                <w:sz w:val="20"/>
                <w:szCs w:val="20"/>
              </w:rPr>
              <w:t>7 - 9 September, 2016</w:t>
            </w:r>
          </w:p>
        </w:tc>
      </w:tr>
      <w:tr w:rsidR="00B37101" w:rsidRPr="0057080E" w14:paraId="3FB8FE64" w14:textId="77777777" w:rsidTr="00B37101">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165F44DE" w14:textId="562F1D7E" w:rsidR="00B37101" w:rsidRPr="00B37101" w:rsidRDefault="00B37101" w:rsidP="00B37101">
            <w:pPr>
              <w:jc w:val="center"/>
              <w:rPr>
                <w:rFonts w:eastAsia="Times New Roman" w:cstheme="minorHAnsi"/>
                <w:sz w:val="20"/>
                <w:szCs w:val="20"/>
                <w:lang w:eastAsia="en-AU" w:bidi="ar-SA"/>
              </w:rPr>
            </w:pPr>
            <w:r w:rsidRPr="00B37101">
              <w:rPr>
                <w:rFonts w:cstheme="minorHAnsi"/>
                <w:color w:val="000000"/>
                <w:sz w:val="20"/>
                <w:szCs w:val="20"/>
              </w:rPr>
              <w:t>9</w:t>
            </w:r>
          </w:p>
        </w:tc>
        <w:tc>
          <w:tcPr>
            <w:tcW w:w="712" w:type="pct"/>
            <w:tcBorders>
              <w:top w:val="nil"/>
              <w:left w:val="nil"/>
              <w:bottom w:val="single" w:sz="8" w:space="0" w:color="auto"/>
              <w:right w:val="single" w:sz="8" w:space="0" w:color="auto"/>
            </w:tcBorders>
            <w:shd w:val="clear" w:color="auto" w:fill="auto"/>
            <w:noWrap/>
            <w:vAlign w:val="center"/>
            <w:hideMark/>
          </w:tcPr>
          <w:p w14:paraId="5FE1AAA0" w14:textId="41F68B28" w:rsidR="00B37101" w:rsidRPr="00B37101" w:rsidRDefault="00B37101" w:rsidP="00B37101">
            <w:pPr>
              <w:rPr>
                <w:rFonts w:eastAsia="Times New Roman" w:cstheme="minorHAnsi"/>
                <w:sz w:val="20"/>
                <w:szCs w:val="20"/>
                <w:lang w:eastAsia="en-AU" w:bidi="ar-SA"/>
              </w:rPr>
            </w:pPr>
            <w:r w:rsidRPr="00B37101">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6F5B9BE1" w14:textId="3F7AFD1A" w:rsidR="00B37101" w:rsidRPr="00B37101" w:rsidRDefault="00B37101" w:rsidP="00B37101">
            <w:pPr>
              <w:rPr>
                <w:rFonts w:eastAsia="Times New Roman" w:cstheme="minorHAnsi"/>
                <w:sz w:val="20"/>
                <w:szCs w:val="20"/>
                <w:lang w:eastAsia="en-AU" w:bidi="ar-SA"/>
              </w:rPr>
            </w:pPr>
            <w:r w:rsidRPr="00B37101">
              <w:rPr>
                <w:rFonts w:cstheme="minorHAnsi"/>
                <w:sz w:val="20"/>
                <w:szCs w:val="20"/>
              </w:rPr>
              <w:t>National Leadership</w:t>
            </w:r>
          </w:p>
        </w:tc>
        <w:tc>
          <w:tcPr>
            <w:tcW w:w="1830" w:type="pct"/>
            <w:tcBorders>
              <w:top w:val="nil"/>
              <w:left w:val="nil"/>
              <w:bottom w:val="single" w:sz="8" w:space="0" w:color="auto"/>
              <w:right w:val="single" w:sz="8" w:space="0" w:color="auto"/>
            </w:tcBorders>
            <w:shd w:val="clear" w:color="auto" w:fill="auto"/>
            <w:vAlign w:val="center"/>
            <w:hideMark/>
          </w:tcPr>
          <w:p w14:paraId="28780C30" w14:textId="512EE93B" w:rsidR="00B37101" w:rsidRPr="00B37101" w:rsidRDefault="00B37101" w:rsidP="00B37101">
            <w:pPr>
              <w:rPr>
                <w:rFonts w:eastAsia="Times New Roman" w:cstheme="minorHAnsi"/>
                <w:color w:val="000000"/>
                <w:sz w:val="20"/>
                <w:szCs w:val="20"/>
                <w:lang w:eastAsia="en-AU" w:bidi="ar-SA"/>
              </w:rPr>
            </w:pPr>
            <w:r w:rsidRPr="00B37101">
              <w:rPr>
                <w:rFonts w:cstheme="minorHAnsi"/>
                <w:sz w:val="20"/>
                <w:szCs w:val="20"/>
              </w:rPr>
              <w:t>Project Management and Evaluation Workshop</w:t>
            </w:r>
          </w:p>
        </w:tc>
        <w:tc>
          <w:tcPr>
            <w:tcW w:w="712" w:type="pct"/>
            <w:tcBorders>
              <w:top w:val="nil"/>
              <w:left w:val="nil"/>
              <w:bottom w:val="single" w:sz="8" w:space="0" w:color="auto"/>
              <w:right w:val="single" w:sz="8" w:space="0" w:color="auto"/>
            </w:tcBorders>
            <w:shd w:val="clear" w:color="auto" w:fill="auto"/>
            <w:noWrap/>
            <w:vAlign w:val="center"/>
            <w:hideMark/>
          </w:tcPr>
          <w:p w14:paraId="2078543F" w14:textId="5FCB1C1A" w:rsidR="00B37101" w:rsidRPr="00B37101" w:rsidRDefault="00B37101" w:rsidP="00B37101">
            <w:pPr>
              <w:jc w:val="center"/>
              <w:rPr>
                <w:rFonts w:eastAsia="Times New Roman" w:cstheme="minorHAnsi"/>
                <w:color w:val="000000"/>
                <w:sz w:val="20"/>
                <w:szCs w:val="20"/>
                <w:lang w:eastAsia="en-AU" w:bidi="ar-SA"/>
              </w:rPr>
            </w:pPr>
            <w:r w:rsidRPr="00B37101">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4344C150" w14:textId="7D414371" w:rsidR="00B37101" w:rsidRPr="00B37101" w:rsidRDefault="00B37101" w:rsidP="00B37101">
            <w:pPr>
              <w:jc w:val="center"/>
              <w:rPr>
                <w:rFonts w:eastAsia="Times New Roman" w:cstheme="minorHAnsi"/>
                <w:color w:val="000000"/>
                <w:sz w:val="20"/>
                <w:szCs w:val="20"/>
                <w:lang w:eastAsia="en-AU" w:bidi="ar-SA"/>
              </w:rPr>
            </w:pPr>
            <w:r w:rsidRPr="00B37101">
              <w:rPr>
                <w:rFonts w:cstheme="minorHAnsi"/>
                <w:sz w:val="20"/>
                <w:szCs w:val="20"/>
              </w:rPr>
              <w:t>20 - 24 February, 2017</w:t>
            </w:r>
          </w:p>
        </w:tc>
      </w:tr>
      <w:tr w:rsidR="00B37101" w:rsidRPr="0057080E" w14:paraId="26730997" w14:textId="77777777" w:rsidTr="00B37101">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3704247C" w14:textId="6BC2EABC" w:rsidR="00B37101" w:rsidRPr="00B37101" w:rsidRDefault="00B37101" w:rsidP="00B37101">
            <w:pPr>
              <w:jc w:val="center"/>
              <w:rPr>
                <w:rFonts w:eastAsia="Times New Roman" w:cstheme="minorHAnsi"/>
                <w:sz w:val="20"/>
                <w:szCs w:val="20"/>
                <w:lang w:eastAsia="en-AU" w:bidi="ar-SA"/>
              </w:rPr>
            </w:pPr>
            <w:r w:rsidRPr="00B37101">
              <w:rPr>
                <w:rFonts w:cstheme="minorHAnsi"/>
                <w:color w:val="000000"/>
                <w:sz w:val="20"/>
                <w:szCs w:val="20"/>
              </w:rPr>
              <w:t>10</w:t>
            </w:r>
          </w:p>
        </w:tc>
        <w:tc>
          <w:tcPr>
            <w:tcW w:w="712" w:type="pct"/>
            <w:tcBorders>
              <w:top w:val="nil"/>
              <w:left w:val="nil"/>
              <w:bottom w:val="single" w:sz="8" w:space="0" w:color="auto"/>
              <w:right w:val="single" w:sz="8" w:space="0" w:color="auto"/>
            </w:tcBorders>
            <w:shd w:val="clear" w:color="auto" w:fill="auto"/>
            <w:noWrap/>
            <w:vAlign w:val="center"/>
            <w:hideMark/>
          </w:tcPr>
          <w:p w14:paraId="34F880F0" w14:textId="2CB0EA1C" w:rsidR="00B37101" w:rsidRPr="00B37101" w:rsidRDefault="00B37101" w:rsidP="00B37101">
            <w:pPr>
              <w:rPr>
                <w:rFonts w:eastAsia="Times New Roman" w:cstheme="minorHAnsi"/>
                <w:sz w:val="20"/>
                <w:szCs w:val="20"/>
                <w:lang w:eastAsia="en-AU" w:bidi="ar-SA"/>
              </w:rPr>
            </w:pPr>
            <w:r w:rsidRPr="00B37101">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3C775380" w14:textId="407708DC" w:rsidR="00B37101" w:rsidRPr="00B37101" w:rsidRDefault="00B37101" w:rsidP="00B37101">
            <w:pPr>
              <w:rPr>
                <w:rFonts w:eastAsia="Times New Roman" w:cstheme="minorHAnsi"/>
                <w:sz w:val="20"/>
                <w:szCs w:val="20"/>
                <w:lang w:eastAsia="en-AU" w:bidi="ar-SA"/>
              </w:rPr>
            </w:pPr>
            <w:r w:rsidRPr="00B37101">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vAlign w:val="center"/>
            <w:hideMark/>
          </w:tcPr>
          <w:p w14:paraId="48CB26F2" w14:textId="3C74B38F" w:rsidR="00B37101" w:rsidRPr="00B37101" w:rsidRDefault="00B37101" w:rsidP="00B37101">
            <w:pPr>
              <w:rPr>
                <w:rFonts w:eastAsia="Times New Roman" w:cstheme="minorHAnsi"/>
                <w:color w:val="000000"/>
                <w:sz w:val="20"/>
                <w:szCs w:val="20"/>
                <w:lang w:eastAsia="en-AU" w:bidi="ar-SA"/>
              </w:rPr>
            </w:pPr>
            <w:r w:rsidRPr="00B37101">
              <w:rPr>
                <w:rFonts w:cstheme="minorHAnsi"/>
                <w:sz w:val="20"/>
                <w:szCs w:val="20"/>
              </w:rPr>
              <w:t>2nd Chief Justices’ Leadership Forum</w:t>
            </w:r>
          </w:p>
        </w:tc>
        <w:tc>
          <w:tcPr>
            <w:tcW w:w="712" w:type="pct"/>
            <w:tcBorders>
              <w:top w:val="nil"/>
              <w:left w:val="nil"/>
              <w:bottom w:val="single" w:sz="8" w:space="0" w:color="auto"/>
              <w:right w:val="single" w:sz="8" w:space="0" w:color="auto"/>
            </w:tcBorders>
            <w:shd w:val="clear" w:color="auto" w:fill="auto"/>
            <w:noWrap/>
            <w:vAlign w:val="center"/>
            <w:hideMark/>
          </w:tcPr>
          <w:p w14:paraId="34A1FCC3" w14:textId="37DCA4FB" w:rsidR="00B37101" w:rsidRPr="00B37101" w:rsidRDefault="00B37101" w:rsidP="00B37101">
            <w:pPr>
              <w:jc w:val="center"/>
              <w:rPr>
                <w:rFonts w:eastAsia="Times New Roman" w:cstheme="minorHAnsi"/>
                <w:color w:val="000000"/>
                <w:sz w:val="20"/>
                <w:szCs w:val="20"/>
                <w:lang w:eastAsia="en-AU" w:bidi="ar-SA"/>
              </w:rPr>
            </w:pPr>
            <w:r w:rsidRPr="00B37101">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456A9F6E" w14:textId="1691A009" w:rsidR="00B37101" w:rsidRPr="00B37101" w:rsidRDefault="00B37101" w:rsidP="00B37101">
            <w:pPr>
              <w:jc w:val="center"/>
              <w:rPr>
                <w:rFonts w:eastAsia="Times New Roman" w:cstheme="minorHAnsi"/>
                <w:color w:val="000000"/>
                <w:sz w:val="20"/>
                <w:szCs w:val="20"/>
                <w:lang w:eastAsia="en-AU" w:bidi="ar-SA"/>
              </w:rPr>
            </w:pPr>
            <w:r w:rsidRPr="00B37101">
              <w:rPr>
                <w:rFonts w:cstheme="minorHAnsi"/>
                <w:sz w:val="20"/>
                <w:szCs w:val="20"/>
              </w:rPr>
              <w:t>3 - 5 April, 2017</w:t>
            </w:r>
          </w:p>
        </w:tc>
      </w:tr>
      <w:tr w:rsidR="00B37101" w:rsidRPr="0057080E" w14:paraId="3C1A59FC" w14:textId="77777777" w:rsidTr="00B37101">
        <w:trPr>
          <w:trHeight w:val="31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2643BC66" w14:textId="240BE453" w:rsidR="00B37101" w:rsidRPr="00B37101" w:rsidRDefault="00B37101" w:rsidP="00B37101">
            <w:pPr>
              <w:jc w:val="center"/>
              <w:rPr>
                <w:rFonts w:eastAsia="Times New Roman" w:cstheme="minorHAnsi"/>
                <w:sz w:val="20"/>
                <w:szCs w:val="20"/>
                <w:lang w:eastAsia="en-AU" w:bidi="ar-SA"/>
              </w:rPr>
            </w:pPr>
            <w:r w:rsidRPr="00B37101">
              <w:rPr>
                <w:rFonts w:cstheme="minorHAnsi"/>
                <w:color w:val="000000"/>
                <w:sz w:val="20"/>
                <w:szCs w:val="20"/>
              </w:rPr>
              <w:t>11</w:t>
            </w:r>
          </w:p>
        </w:tc>
        <w:tc>
          <w:tcPr>
            <w:tcW w:w="712" w:type="pct"/>
            <w:tcBorders>
              <w:top w:val="nil"/>
              <w:left w:val="nil"/>
              <w:bottom w:val="single" w:sz="8" w:space="0" w:color="auto"/>
              <w:right w:val="single" w:sz="8" w:space="0" w:color="auto"/>
            </w:tcBorders>
            <w:shd w:val="clear" w:color="auto" w:fill="auto"/>
            <w:noWrap/>
            <w:vAlign w:val="center"/>
            <w:hideMark/>
          </w:tcPr>
          <w:p w14:paraId="0F9F6708" w14:textId="6002E312" w:rsidR="00B37101" w:rsidRPr="00B37101" w:rsidRDefault="00B37101" w:rsidP="00B37101">
            <w:pPr>
              <w:rPr>
                <w:rFonts w:eastAsia="Times New Roman" w:cstheme="minorHAnsi"/>
                <w:sz w:val="20"/>
                <w:szCs w:val="20"/>
                <w:lang w:eastAsia="en-AU" w:bidi="ar-SA"/>
              </w:rPr>
            </w:pPr>
            <w:r w:rsidRPr="00B37101">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71404671" w14:textId="22E54990" w:rsidR="00B37101" w:rsidRPr="00B37101" w:rsidRDefault="00B37101" w:rsidP="00B37101">
            <w:pPr>
              <w:rPr>
                <w:rFonts w:eastAsia="Times New Roman" w:cstheme="minorHAnsi"/>
                <w:sz w:val="20"/>
                <w:szCs w:val="20"/>
                <w:lang w:eastAsia="en-AU" w:bidi="ar-SA"/>
              </w:rPr>
            </w:pPr>
            <w:r w:rsidRPr="00B37101">
              <w:rPr>
                <w:rFonts w:cstheme="minorHAnsi"/>
                <w:sz w:val="20"/>
                <w:szCs w:val="20"/>
              </w:rPr>
              <w:t>Localising Professional Capacity Building</w:t>
            </w:r>
          </w:p>
        </w:tc>
        <w:tc>
          <w:tcPr>
            <w:tcW w:w="1830" w:type="pct"/>
            <w:tcBorders>
              <w:top w:val="nil"/>
              <w:left w:val="nil"/>
              <w:bottom w:val="single" w:sz="8" w:space="0" w:color="auto"/>
              <w:right w:val="single" w:sz="8" w:space="0" w:color="auto"/>
            </w:tcBorders>
            <w:shd w:val="clear" w:color="auto" w:fill="auto"/>
            <w:vAlign w:val="center"/>
            <w:hideMark/>
          </w:tcPr>
          <w:p w14:paraId="49DB4128" w14:textId="33CBD3C2" w:rsidR="00B37101" w:rsidRPr="00B37101" w:rsidRDefault="00B37101" w:rsidP="00B37101">
            <w:pPr>
              <w:rPr>
                <w:rFonts w:eastAsia="Times New Roman" w:cstheme="minorHAnsi"/>
                <w:color w:val="000000"/>
                <w:sz w:val="20"/>
                <w:szCs w:val="20"/>
                <w:lang w:eastAsia="en-AU" w:bidi="ar-SA"/>
              </w:rPr>
            </w:pPr>
            <w:r w:rsidRPr="00B37101">
              <w:rPr>
                <w:rFonts w:cstheme="minorHAnsi"/>
                <w:sz w:val="20"/>
                <w:szCs w:val="20"/>
              </w:rPr>
              <w:t>Regional Certificate-level Training-of-Trainers Workshop</w:t>
            </w:r>
          </w:p>
        </w:tc>
        <w:tc>
          <w:tcPr>
            <w:tcW w:w="712" w:type="pct"/>
            <w:tcBorders>
              <w:top w:val="nil"/>
              <w:left w:val="nil"/>
              <w:bottom w:val="single" w:sz="8" w:space="0" w:color="auto"/>
              <w:right w:val="single" w:sz="8" w:space="0" w:color="auto"/>
            </w:tcBorders>
            <w:shd w:val="clear" w:color="auto" w:fill="auto"/>
            <w:noWrap/>
            <w:vAlign w:val="center"/>
            <w:hideMark/>
          </w:tcPr>
          <w:p w14:paraId="7B5F68C7" w14:textId="451FDC9D" w:rsidR="00B37101" w:rsidRPr="00B37101" w:rsidRDefault="00B37101" w:rsidP="00B37101">
            <w:pPr>
              <w:jc w:val="center"/>
              <w:rPr>
                <w:rFonts w:eastAsia="Times New Roman" w:cstheme="minorHAnsi"/>
                <w:color w:val="000000"/>
                <w:sz w:val="20"/>
                <w:szCs w:val="20"/>
                <w:lang w:eastAsia="en-AU" w:bidi="ar-SA"/>
              </w:rPr>
            </w:pPr>
            <w:r w:rsidRPr="00B37101">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1643A4EA" w14:textId="4F7C235F" w:rsidR="00B37101" w:rsidRPr="00B37101" w:rsidRDefault="00B37101" w:rsidP="00B37101">
            <w:pPr>
              <w:jc w:val="center"/>
              <w:rPr>
                <w:rFonts w:eastAsia="Times New Roman" w:cstheme="minorHAnsi"/>
                <w:color w:val="000000"/>
                <w:sz w:val="20"/>
                <w:szCs w:val="20"/>
                <w:lang w:eastAsia="en-AU" w:bidi="ar-SA"/>
              </w:rPr>
            </w:pPr>
            <w:r w:rsidRPr="00B37101">
              <w:rPr>
                <w:rFonts w:cstheme="minorHAnsi"/>
                <w:sz w:val="20"/>
                <w:szCs w:val="20"/>
              </w:rPr>
              <w:t>12 - 23 June, 2017</w:t>
            </w:r>
          </w:p>
        </w:tc>
      </w:tr>
      <w:tr w:rsidR="00B37101" w:rsidRPr="0057080E" w14:paraId="60A1360A" w14:textId="77777777" w:rsidTr="00B37101">
        <w:trPr>
          <w:trHeight w:val="31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59FADC22" w14:textId="2483C75F" w:rsidR="00B37101" w:rsidRPr="00B37101" w:rsidRDefault="00B37101" w:rsidP="00B37101">
            <w:pPr>
              <w:jc w:val="center"/>
              <w:rPr>
                <w:rFonts w:eastAsia="Times New Roman" w:cstheme="minorHAnsi"/>
                <w:sz w:val="20"/>
                <w:szCs w:val="20"/>
                <w:lang w:eastAsia="en-AU" w:bidi="ar-SA"/>
              </w:rPr>
            </w:pPr>
            <w:r w:rsidRPr="00B37101">
              <w:rPr>
                <w:rFonts w:cstheme="minorHAnsi"/>
                <w:color w:val="000000"/>
                <w:sz w:val="20"/>
                <w:szCs w:val="20"/>
              </w:rPr>
              <w:t>12</w:t>
            </w:r>
          </w:p>
        </w:tc>
        <w:tc>
          <w:tcPr>
            <w:tcW w:w="712" w:type="pct"/>
            <w:tcBorders>
              <w:top w:val="nil"/>
              <w:left w:val="nil"/>
              <w:bottom w:val="single" w:sz="8" w:space="0" w:color="auto"/>
              <w:right w:val="single" w:sz="8" w:space="0" w:color="auto"/>
            </w:tcBorders>
            <w:shd w:val="clear" w:color="auto" w:fill="auto"/>
            <w:noWrap/>
            <w:vAlign w:val="center"/>
            <w:hideMark/>
          </w:tcPr>
          <w:p w14:paraId="07DBD80D" w14:textId="61C68E5B" w:rsidR="00B37101" w:rsidRPr="00B37101" w:rsidRDefault="00B37101" w:rsidP="00B37101">
            <w:pPr>
              <w:rPr>
                <w:rFonts w:eastAsia="Times New Roman" w:cstheme="minorHAnsi"/>
                <w:sz w:val="20"/>
                <w:szCs w:val="20"/>
                <w:lang w:eastAsia="en-AU" w:bidi="ar-SA"/>
              </w:rPr>
            </w:pPr>
            <w:r w:rsidRPr="00B37101">
              <w:rPr>
                <w:rFonts w:cstheme="minorHAnsi"/>
                <w:sz w:val="20"/>
                <w:szCs w:val="20"/>
              </w:rPr>
              <w:t>Procedural Justice</w:t>
            </w:r>
          </w:p>
        </w:tc>
        <w:tc>
          <w:tcPr>
            <w:tcW w:w="763" w:type="pct"/>
            <w:tcBorders>
              <w:top w:val="nil"/>
              <w:left w:val="nil"/>
              <w:bottom w:val="single" w:sz="8" w:space="0" w:color="auto"/>
              <w:right w:val="single" w:sz="8" w:space="0" w:color="auto"/>
            </w:tcBorders>
            <w:shd w:val="clear" w:color="auto" w:fill="auto"/>
            <w:vAlign w:val="center"/>
            <w:hideMark/>
          </w:tcPr>
          <w:p w14:paraId="17FC1A15" w14:textId="33952953" w:rsidR="00B37101" w:rsidRPr="00B37101" w:rsidRDefault="00B37101" w:rsidP="00B37101">
            <w:pPr>
              <w:rPr>
                <w:rFonts w:eastAsia="Times New Roman" w:cstheme="minorHAnsi"/>
                <w:sz w:val="20"/>
                <w:szCs w:val="20"/>
                <w:lang w:eastAsia="en-AU" w:bidi="ar-SA"/>
              </w:rPr>
            </w:pPr>
            <w:r w:rsidRPr="00B37101">
              <w:rPr>
                <w:rFonts w:cstheme="minorHAnsi"/>
                <w:sz w:val="20"/>
                <w:szCs w:val="20"/>
              </w:rPr>
              <w:t>Efficiency</w:t>
            </w:r>
          </w:p>
        </w:tc>
        <w:tc>
          <w:tcPr>
            <w:tcW w:w="1830" w:type="pct"/>
            <w:tcBorders>
              <w:top w:val="nil"/>
              <w:left w:val="nil"/>
              <w:bottom w:val="single" w:sz="8" w:space="0" w:color="auto"/>
              <w:right w:val="single" w:sz="8" w:space="0" w:color="auto"/>
            </w:tcBorders>
            <w:shd w:val="clear" w:color="auto" w:fill="auto"/>
            <w:vAlign w:val="center"/>
            <w:hideMark/>
          </w:tcPr>
          <w:p w14:paraId="3D814350" w14:textId="6BA8CBC9" w:rsidR="00B37101" w:rsidRPr="00B37101" w:rsidRDefault="00B37101" w:rsidP="00B37101">
            <w:pPr>
              <w:rPr>
                <w:rFonts w:eastAsia="Times New Roman" w:cstheme="minorHAnsi"/>
                <w:color w:val="000000"/>
                <w:sz w:val="20"/>
                <w:szCs w:val="20"/>
                <w:lang w:eastAsia="en-AU" w:bidi="ar-SA"/>
              </w:rPr>
            </w:pPr>
            <w:r w:rsidRPr="00B37101">
              <w:rPr>
                <w:rFonts w:cstheme="minorHAnsi"/>
                <w:sz w:val="20"/>
                <w:szCs w:val="20"/>
              </w:rPr>
              <w:t>Local Visit #1</w:t>
            </w:r>
          </w:p>
        </w:tc>
        <w:tc>
          <w:tcPr>
            <w:tcW w:w="712" w:type="pct"/>
            <w:tcBorders>
              <w:top w:val="nil"/>
              <w:left w:val="nil"/>
              <w:bottom w:val="single" w:sz="8" w:space="0" w:color="auto"/>
              <w:right w:val="single" w:sz="8" w:space="0" w:color="auto"/>
            </w:tcBorders>
            <w:shd w:val="clear" w:color="auto" w:fill="auto"/>
            <w:noWrap/>
            <w:vAlign w:val="center"/>
            <w:hideMark/>
          </w:tcPr>
          <w:p w14:paraId="230029EF" w14:textId="7A1F09B1" w:rsidR="00B37101" w:rsidRPr="00B37101" w:rsidRDefault="00B37101" w:rsidP="00B37101">
            <w:pPr>
              <w:jc w:val="center"/>
              <w:rPr>
                <w:rFonts w:eastAsia="Times New Roman" w:cstheme="minorHAnsi"/>
                <w:color w:val="000000"/>
                <w:sz w:val="20"/>
                <w:szCs w:val="20"/>
                <w:lang w:eastAsia="en-AU" w:bidi="ar-SA"/>
              </w:rPr>
            </w:pPr>
            <w:r w:rsidRPr="00B37101">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58556F71" w14:textId="5A73F966" w:rsidR="00B37101" w:rsidRPr="00B37101" w:rsidRDefault="00B37101" w:rsidP="00B37101">
            <w:pPr>
              <w:jc w:val="center"/>
              <w:rPr>
                <w:rFonts w:eastAsia="Times New Roman" w:cstheme="minorHAnsi"/>
                <w:color w:val="000000"/>
                <w:sz w:val="20"/>
                <w:szCs w:val="20"/>
                <w:lang w:eastAsia="en-AU" w:bidi="ar-SA"/>
              </w:rPr>
            </w:pPr>
            <w:r w:rsidRPr="00B37101">
              <w:rPr>
                <w:rFonts w:cstheme="minorHAnsi"/>
                <w:sz w:val="20"/>
                <w:szCs w:val="20"/>
              </w:rPr>
              <w:t>12 - 22 June, 2017</w:t>
            </w:r>
          </w:p>
        </w:tc>
      </w:tr>
      <w:tr w:rsidR="00B37101" w:rsidRPr="0057080E" w14:paraId="49219146" w14:textId="77777777" w:rsidTr="00B37101">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23A2FE5E" w14:textId="0D2E942B" w:rsidR="00B37101" w:rsidRPr="00B37101" w:rsidRDefault="00B37101" w:rsidP="00B37101">
            <w:pPr>
              <w:jc w:val="center"/>
              <w:rPr>
                <w:rFonts w:eastAsia="Times New Roman" w:cstheme="minorHAnsi"/>
                <w:sz w:val="20"/>
                <w:szCs w:val="20"/>
                <w:lang w:eastAsia="en-AU" w:bidi="ar-SA"/>
              </w:rPr>
            </w:pPr>
            <w:r w:rsidRPr="00B37101">
              <w:rPr>
                <w:rFonts w:cstheme="minorHAnsi"/>
                <w:color w:val="000000"/>
                <w:sz w:val="20"/>
                <w:szCs w:val="20"/>
              </w:rPr>
              <w:t>13</w:t>
            </w:r>
          </w:p>
        </w:tc>
        <w:tc>
          <w:tcPr>
            <w:tcW w:w="712" w:type="pct"/>
            <w:tcBorders>
              <w:top w:val="nil"/>
              <w:left w:val="nil"/>
              <w:bottom w:val="single" w:sz="8" w:space="0" w:color="auto"/>
              <w:right w:val="single" w:sz="8" w:space="0" w:color="auto"/>
            </w:tcBorders>
            <w:shd w:val="clear" w:color="auto" w:fill="auto"/>
            <w:noWrap/>
            <w:vAlign w:val="center"/>
            <w:hideMark/>
          </w:tcPr>
          <w:p w14:paraId="3F0522BB" w14:textId="70F49A47" w:rsidR="00B37101" w:rsidRPr="00B37101" w:rsidRDefault="00B37101" w:rsidP="00B37101">
            <w:pPr>
              <w:rPr>
                <w:rFonts w:eastAsia="Times New Roman" w:cstheme="minorHAnsi"/>
                <w:sz w:val="20"/>
                <w:szCs w:val="20"/>
                <w:lang w:eastAsia="en-AU" w:bidi="ar-SA"/>
              </w:rPr>
            </w:pPr>
            <w:r w:rsidRPr="00B37101">
              <w:rPr>
                <w:rFonts w:cstheme="minorHAnsi"/>
                <w:sz w:val="20"/>
                <w:szCs w:val="20"/>
              </w:rPr>
              <w:t>Procedural Justice</w:t>
            </w:r>
          </w:p>
        </w:tc>
        <w:tc>
          <w:tcPr>
            <w:tcW w:w="763" w:type="pct"/>
            <w:tcBorders>
              <w:top w:val="nil"/>
              <w:left w:val="nil"/>
              <w:bottom w:val="single" w:sz="8" w:space="0" w:color="auto"/>
              <w:right w:val="single" w:sz="8" w:space="0" w:color="auto"/>
            </w:tcBorders>
            <w:shd w:val="clear" w:color="auto" w:fill="auto"/>
            <w:vAlign w:val="center"/>
            <w:hideMark/>
          </w:tcPr>
          <w:p w14:paraId="43123DD2" w14:textId="1F475A25" w:rsidR="00B37101" w:rsidRPr="00B37101" w:rsidRDefault="00B37101" w:rsidP="00B37101">
            <w:pPr>
              <w:rPr>
                <w:rFonts w:eastAsia="Times New Roman" w:cstheme="minorHAnsi"/>
                <w:sz w:val="20"/>
                <w:szCs w:val="20"/>
                <w:lang w:eastAsia="en-AU" w:bidi="ar-SA"/>
              </w:rPr>
            </w:pPr>
            <w:r w:rsidRPr="00B37101">
              <w:rPr>
                <w:rFonts w:cstheme="minorHAnsi"/>
                <w:sz w:val="20"/>
                <w:szCs w:val="20"/>
              </w:rPr>
              <w:t>Accountability</w:t>
            </w:r>
          </w:p>
        </w:tc>
        <w:tc>
          <w:tcPr>
            <w:tcW w:w="1830" w:type="pct"/>
            <w:tcBorders>
              <w:top w:val="nil"/>
              <w:left w:val="nil"/>
              <w:bottom w:val="single" w:sz="8" w:space="0" w:color="auto"/>
              <w:right w:val="single" w:sz="8" w:space="0" w:color="auto"/>
            </w:tcBorders>
            <w:shd w:val="clear" w:color="auto" w:fill="auto"/>
            <w:noWrap/>
            <w:vAlign w:val="center"/>
            <w:hideMark/>
          </w:tcPr>
          <w:p w14:paraId="2DDA6B9F" w14:textId="09B2AB14" w:rsidR="00B37101" w:rsidRPr="00B37101" w:rsidRDefault="00B37101" w:rsidP="00B37101">
            <w:pPr>
              <w:rPr>
                <w:rFonts w:eastAsia="Times New Roman" w:cstheme="minorHAnsi"/>
                <w:sz w:val="20"/>
                <w:szCs w:val="20"/>
                <w:lang w:eastAsia="en-AU" w:bidi="ar-SA"/>
              </w:rPr>
            </w:pPr>
            <w:r w:rsidRPr="00B37101">
              <w:rPr>
                <w:rFonts w:cstheme="minorHAnsi"/>
                <w:sz w:val="20"/>
                <w:szCs w:val="20"/>
              </w:rPr>
              <w:t>Accountability Visit #1</w:t>
            </w:r>
          </w:p>
        </w:tc>
        <w:tc>
          <w:tcPr>
            <w:tcW w:w="712" w:type="pct"/>
            <w:tcBorders>
              <w:top w:val="nil"/>
              <w:left w:val="nil"/>
              <w:bottom w:val="single" w:sz="8" w:space="0" w:color="auto"/>
              <w:right w:val="single" w:sz="8" w:space="0" w:color="auto"/>
            </w:tcBorders>
            <w:shd w:val="clear" w:color="auto" w:fill="auto"/>
            <w:noWrap/>
            <w:vAlign w:val="center"/>
            <w:hideMark/>
          </w:tcPr>
          <w:p w14:paraId="2F5F6D6F" w14:textId="61095E16"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7AF5F76A" w14:textId="166ACC76"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21 - 25 August, 2017</w:t>
            </w:r>
          </w:p>
        </w:tc>
      </w:tr>
      <w:tr w:rsidR="00B37101" w:rsidRPr="0057080E" w14:paraId="0947E642" w14:textId="77777777" w:rsidTr="00B37101">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27CEF655" w14:textId="20C66961" w:rsidR="00B37101" w:rsidRPr="00B37101" w:rsidRDefault="00B37101" w:rsidP="00B37101">
            <w:pPr>
              <w:jc w:val="center"/>
              <w:rPr>
                <w:rFonts w:eastAsia="Times New Roman" w:cstheme="minorHAnsi"/>
                <w:sz w:val="20"/>
                <w:szCs w:val="20"/>
                <w:lang w:eastAsia="en-AU" w:bidi="ar-SA"/>
              </w:rPr>
            </w:pPr>
            <w:r w:rsidRPr="00B37101">
              <w:rPr>
                <w:rFonts w:cstheme="minorHAnsi"/>
                <w:color w:val="000000"/>
                <w:sz w:val="20"/>
                <w:szCs w:val="20"/>
              </w:rPr>
              <w:t>14</w:t>
            </w:r>
          </w:p>
        </w:tc>
        <w:tc>
          <w:tcPr>
            <w:tcW w:w="712" w:type="pct"/>
            <w:tcBorders>
              <w:top w:val="nil"/>
              <w:left w:val="nil"/>
              <w:bottom w:val="single" w:sz="8" w:space="0" w:color="auto"/>
              <w:right w:val="single" w:sz="8" w:space="0" w:color="auto"/>
            </w:tcBorders>
            <w:shd w:val="clear" w:color="auto" w:fill="auto"/>
            <w:noWrap/>
            <w:vAlign w:val="center"/>
            <w:hideMark/>
          </w:tcPr>
          <w:p w14:paraId="49CCF4CB" w14:textId="1227C2C5" w:rsidR="00B37101" w:rsidRPr="00B37101" w:rsidRDefault="00B37101" w:rsidP="00B37101">
            <w:pPr>
              <w:rPr>
                <w:rFonts w:eastAsia="Times New Roman" w:cstheme="minorHAnsi"/>
                <w:sz w:val="20"/>
                <w:szCs w:val="20"/>
                <w:lang w:eastAsia="en-AU" w:bidi="ar-SA"/>
              </w:rPr>
            </w:pPr>
            <w:r w:rsidRPr="00B37101">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56D7E863" w14:textId="18327453" w:rsidR="00B37101" w:rsidRPr="00B37101" w:rsidRDefault="00B37101" w:rsidP="00B37101">
            <w:pPr>
              <w:rPr>
                <w:rFonts w:eastAsia="Times New Roman" w:cstheme="minorHAnsi"/>
                <w:sz w:val="20"/>
                <w:szCs w:val="20"/>
                <w:lang w:eastAsia="en-AU" w:bidi="ar-SA"/>
              </w:rPr>
            </w:pPr>
            <w:r w:rsidRPr="00B37101">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noWrap/>
            <w:vAlign w:val="center"/>
            <w:hideMark/>
          </w:tcPr>
          <w:p w14:paraId="33FAF33C" w14:textId="7BFE6308" w:rsidR="00B37101" w:rsidRPr="00B37101" w:rsidRDefault="00B37101" w:rsidP="00B37101">
            <w:pPr>
              <w:rPr>
                <w:rFonts w:eastAsia="Times New Roman" w:cstheme="minorHAnsi"/>
                <w:sz w:val="20"/>
                <w:szCs w:val="20"/>
                <w:lang w:eastAsia="en-AU" w:bidi="ar-SA"/>
              </w:rPr>
            </w:pPr>
            <w:r w:rsidRPr="00B37101">
              <w:rPr>
                <w:rFonts w:cstheme="minorHAnsi"/>
                <w:sz w:val="20"/>
                <w:szCs w:val="20"/>
              </w:rPr>
              <w:t>Judicial Leadership Workshop</w:t>
            </w:r>
          </w:p>
        </w:tc>
        <w:tc>
          <w:tcPr>
            <w:tcW w:w="712" w:type="pct"/>
            <w:tcBorders>
              <w:top w:val="nil"/>
              <w:left w:val="nil"/>
              <w:bottom w:val="single" w:sz="8" w:space="0" w:color="auto"/>
              <w:right w:val="single" w:sz="8" w:space="0" w:color="auto"/>
            </w:tcBorders>
            <w:shd w:val="clear" w:color="auto" w:fill="auto"/>
            <w:noWrap/>
            <w:vAlign w:val="center"/>
            <w:hideMark/>
          </w:tcPr>
          <w:p w14:paraId="3D521366" w14:textId="1347B2C8"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10BEF84A" w14:textId="305EB60C"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5 - 7 September, 2017</w:t>
            </w:r>
          </w:p>
        </w:tc>
      </w:tr>
      <w:tr w:rsidR="00B37101" w:rsidRPr="0057080E" w14:paraId="74DF42F4" w14:textId="77777777" w:rsidTr="00B37101">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26592E5F" w14:textId="4D190673" w:rsidR="00B37101" w:rsidRPr="00B37101" w:rsidRDefault="00B37101" w:rsidP="00B37101">
            <w:pPr>
              <w:jc w:val="center"/>
              <w:rPr>
                <w:rFonts w:eastAsia="Times New Roman" w:cstheme="minorHAnsi"/>
                <w:sz w:val="20"/>
                <w:szCs w:val="20"/>
                <w:lang w:eastAsia="en-AU" w:bidi="ar-SA"/>
              </w:rPr>
            </w:pPr>
            <w:r w:rsidRPr="00B37101">
              <w:rPr>
                <w:rFonts w:cstheme="minorHAnsi"/>
                <w:color w:val="000000"/>
                <w:sz w:val="20"/>
                <w:szCs w:val="20"/>
              </w:rPr>
              <w:t>15</w:t>
            </w:r>
          </w:p>
        </w:tc>
        <w:tc>
          <w:tcPr>
            <w:tcW w:w="712" w:type="pct"/>
            <w:tcBorders>
              <w:top w:val="nil"/>
              <w:left w:val="nil"/>
              <w:bottom w:val="single" w:sz="8" w:space="0" w:color="auto"/>
              <w:right w:val="single" w:sz="8" w:space="0" w:color="auto"/>
            </w:tcBorders>
            <w:shd w:val="clear" w:color="auto" w:fill="auto"/>
            <w:noWrap/>
            <w:vAlign w:val="center"/>
            <w:hideMark/>
          </w:tcPr>
          <w:p w14:paraId="4654B56C" w14:textId="6788FE79" w:rsidR="00B37101" w:rsidRPr="00B37101" w:rsidRDefault="00B37101" w:rsidP="00B37101">
            <w:pPr>
              <w:rPr>
                <w:rFonts w:eastAsia="Times New Roman" w:cstheme="minorHAnsi"/>
                <w:sz w:val="20"/>
                <w:szCs w:val="20"/>
                <w:lang w:eastAsia="en-AU" w:bidi="ar-SA"/>
              </w:rPr>
            </w:pPr>
            <w:r w:rsidRPr="00B37101">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3AC0D1F1" w14:textId="0458A083" w:rsidR="00B37101" w:rsidRPr="00B37101" w:rsidRDefault="00B37101" w:rsidP="00B37101">
            <w:pPr>
              <w:rPr>
                <w:rFonts w:eastAsia="Times New Roman" w:cstheme="minorHAnsi"/>
                <w:sz w:val="20"/>
                <w:szCs w:val="20"/>
                <w:lang w:eastAsia="en-AU" w:bidi="ar-SA"/>
              </w:rPr>
            </w:pPr>
            <w:r w:rsidRPr="00B37101">
              <w:rPr>
                <w:rFonts w:cstheme="minorHAnsi"/>
                <w:sz w:val="20"/>
                <w:szCs w:val="20"/>
              </w:rPr>
              <w:t>Leadership Incentive Fund</w:t>
            </w:r>
          </w:p>
        </w:tc>
        <w:tc>
          <w:tcPr>
            <w:tcW w:w="1830" w:type="pct"/>
            <w:tcBorders>
              <w:top w:val="nil"/>
              <w:left w:val="nil"/>
              <w:bottom w:val="single" w:sz="8" w:space="0" w:color="auto"/>
              <w:right w:val="single" w:sz="8" w:space="0" w:color="auto"/>
            </w:tcBorders>
            <w:shd w:val="clear" w:color="auto" w:fill="auto"/>
            <w:noWrap/>
            <w:vAlign w:val="center"/>
            <w:hideMark/>
          </w:tcPr>
          <w:p w14:paraId="1242DF00" w14:textId="77D4995B" w:rsidR="00B37101" w:rsidRPr="00B37101" w:rsidRDefault="00B37101" w:rsidP="00B37101">
            <w:pPr>
              <w:rPr>
                <w:rFonts w:eastAsia="Times New Roman" w:cstheme="minorHAnsi"/>
                <w:sz w:val="20"/>
                <w:szCs w:val="20"/>
                <w:lang w:eastAsia="en-AU" w:bidi="ar-SA"/>
              </w:rPr>
            </w:pPr>
            <w:r w:rsidRPr="00B37101">
              <w:rPr>
                <w:rFonts w:cstheme="minorHAnsi"/>
                <w:sz w:val="20"/>
                <w:szCs w:val="20"/>
              </w:rPr>
              <w:t>Court Video Conferencing Follow Up Visit</w:t>
            </w:r>
          </w:p>
        </w:tc>
        <w:tc>
          <w:tcPr>
            <w:tcW w:w="712" w:type="pct"/>
            <w:tcBorders>
              <w:top w:val="nil"/>
              <w:left w:val="nil"/>
              <w:bottom w:val="single" w:sz="8" w:space="0" w:color="auto"/>
              <w:right w:val="single" w:sz="8" w:space="0" w:color="auto"/>
            </w:tcBorders>
            <w:shd w:val="clear" w:color="auto" w:fill="auto"/>
            <w:noWrap/>
            <w:vAlign w:val="center"/>
            <w:hideMark/>
          </w:tcPr>
          <w:p w14:paraId="2A71AB50" w14:textId="19E5935E"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65C5EB42" w14:textId="70153DEC"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16 - 20 July, 2018</w:t>
            </w:r>
          </w:p>
        </w:tc>
      </w:tr>
      <w:tr w:rsidR="00B37101" w:rsidRPr="0057080E" w14:paraId="32331E51" w14:textId="77777777" w:rsidTr="00B37101">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34186DC6" w14:textId="56868D90" w:rsidR="00B37101" w:rsidRPr="00B37101" w:rsidRDefault="00B37101" w:rsidP="00B37101">
            <w:pPr>
              <w:jc w:val="center"/>
              <w:rPr>
                <w:rFonts w:eastAsia="Times New Roman" w:cstheme="minorHAnsi"/>
                <w:sz w:val="20"/>
                <w:szCs w:val="20"/>
                <w:lang w:eastAsia="en-AU" w:bidi="ar-SA"/>
              </w:rPr>
            </w:pPr>
            <w:r w:rsidRPr="00B37101">
              <w:rPr>
                <w:rFonts w:cstheme="minorHAnsi"/>
                <w:color w:val="000000"/>
                <w:sz w:val="20"/>
                <w:szCs w:val="20"/>
              </w:rPr>
              <w:t>16</w:t>
            </w:r>
          </w:p>
        </w:tc>
        <w:tc>
          <w:tcPr>
            <w:tcW w:w="712" w:type="pct"/>
            <w:tcBorders>
              <w:top w:val="nil"/>
              <w:left w:val="nil"/>
              <w:bottom w:val="single" w:sz="8" w:space="0" w:color="auto"/>
              <w:right w:val="single" w:sz="8" w:space="0" w:color="auto"/>
            </w:tcBorders>
            <w:shd w:val="clear" w:color="auto" w:fill="auto"/>
            <w:noWrap/>
            <w:vAlign w:val="center"/>
            <w:hideMark/>
          </w:tcPr>
          <w:p w14:paraId="28380465" w14:textId="0E1EB864" w:rsidR="00B37101" w:rsidRPr="00B37101" w:rsidRDefault="00B37101" w:rsidP="00B37101">
            <w:pPr>
              <w:rPr>
                <w:rFonts w:eastAsia="Times New Roman" w:cstheme="minorHAnsi"/>
                <w:sz w:val="20"/>
                <w:szCs w:val="20"/>
                <w:lang w:eastAsia="en-AU" w:bidi="ar-SA"/>
              </w:rPr>
            </w:pPr>
            <w:r w:rsidRPr="00B37101">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080D6AC4" w14:textId="1E35FAFA" w:rsidR="00B37101" w:rsidRPr="00B37101" w:rsidRDefault="00B37101" w:rsidP="00B37101">
            <w:pPr>
              <w:rPr>
                <w:rFonts w:eastAsia="Times New Roman" w:cstheme="minorHAnsi"/>
                <w:sz w:val="20"/>
                <w:szCs w:val="20"/>
                <w:lang w:eastAsia="en-AU" w:bidi="ar-SA"/>
              </w:rPr>
            </w:pPr>
            <w:r w:rsidRPr="00B37101">
              <w:rPr>
                <w:rFonts w:cstheme="minorHAnsi"/>
                <w:sz w:val="20"/>
                <w:szCs w:val="20"/>
              </w:rPr>
              <w:t>Leadership Incentive Fund</w:t>
            </w:r>
          </w:p>
        </w:tc>
        <w:tc>
          <w:tcPr>
            <w:tcW w:w="1830" w:type="pct"/>
            <w:tcBorders>
              <w:top w:val="nil"/>
              <w:left w:val="nil"/>
              <w:bottom w:val="single" w:sz="8" w:space="0" w:color="auto"/>
              <w:right w:val="single" w:sz="8" w:space="0" w:color="auto"/>
            </w:tcBorders>
            <w:shd w:val="clear" w:color="auto" w:fill="auto"/>
            <w:noWrap/>
            <w:vAlign w:val="center"/>
            <w:hideMark/>
          </w:tcPr>
          <w:p w14:paraId="05C58D0A" w14:textId="07A8D3F7" w:rsidR="00B37101" w:rsidRPr="00B37101" w:rsidRDefault="00B37101" w:rsidP="00B37101">
            <w:pPr>
              <w:rPr>
                <w:rFonts w:eastAsia="Times New Roman" w:cstheme="minorHAnsi"/>
                <w:sz w:val="20"/>
                <w:szCs w:val="20"/>
                <w:lang w:eastAsia="en-AU" w:bidi="ar-SA"/>
              </w:rPr>
            </w:pPr>
            <w:r w:rsidRPr="00B37101">
              <w:rPr>
                <w:rFonts w:cstheme="minorHAnsi"/>
                <w:sz w:val="20"/>
                <w:szCs w:val="20"/>
              </w:rPr>
              <w:t>Efficiency Follow Up Visit</w:t>
            </w:r>
          </w:p>
        </w:tc>
        <w:tc>
          <w:tcPr>
            <w:tcW w:w="712" w:type="pct"/>
            <w:tcBorders>
              <w:top w:val="nil"/>
              <w:left w:val="nil"/>
              <w:bottom w:val="single" w:sz="8" w:space="0" w:color="auto"/>
              <w:right w:val="single" w:sz="8" w:space="0" w:color="auto"/>
            </w:tcBorders>
            <w:shd w:val="clear" w:color="auto" w:fill="auto"/>
            <w:noWrap/>
            <w:vAlign w:val="center"/>
            <w:hideMark/>
          </w:tcPr>
          <w:p w14:paraId="06C07614" w14:textId="7132CDF7"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207E8EA5" w14:textId="3F1222AC"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13 - 17 August, 2018</w:t>
            </w:r>
          </w:p>
        </w:tc>
      </w:tr>
      <w:tr w:rsidR="00B37101" w:rsidRPr="0057080E" w14:paraId="51A8F994" w14:textId="77777777" w:rsidTr="00B37101">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6E1EE31D" w14:textId="7BDEA0CF" w:rsidR="00B37101" w:rsidRPr="00B37101" w:rsidRDefault="00B37101" w:rsidP="00B37101">
            <w:pPr>
              <w:jc w:val="center"/>
              <w:rPr>
                <w:rFonts w:eastAsia="Times New Roman" w:cstheme="minorHAnsi"/>
                <w:sz w:val="20"/>
                <w:szCs w:val="20"/>
                <w:lang w:eastAsia="en-AU" w:bidi="ar-SA"/>
              </w:rPr>
            </w:pPr>
            <w:r w:rsidRPr="00B37101">
              <w:rPr>
                <w:rFonts w:cstheme="minorHAnsi"/>
                <w:color w:val="000000"/>
                <w:sz w:val="20"/>
                <w:szCs w:val="20"/>
              </w:rPr>
              <w:lastRenderedPageBreak/>
              <w:t>17</w:t>
            </w:r>
          </w:p>
        </w:tc>
        <w:tc>
          <w:tcPr>
            <w:tcW w:w="712" w:type="pct"/>
            <w:tcBorders>
              <w:top w:val="nil"/>
              <w:left w:val="nil"/>
              <w:bottom w:val="single" w:sz="8" w:space="0" w:color="auto"/>
              <w:right w:val="single" w:sz="8" w:space="0" w:color="auto"/>
            </w:tcBorders>
            <w:shd w:val="clear" w:color="auto" w:fill="auto"/>
            <w:noWrap/>
            <w:vAlign w:val="center"/>
            <w:hideMark/>
          </w:tcPr>
          <w:p w14:paraId="31FBB9A3" w14:textId="01E60508" w:rsidR="00B37101" w:rsidRPr="00B37101" w:rsidRDefault="00B37101" w:rsidP="00B37101">
            <w:pPr>
              <w:rPr>
                <w:rFonts w:eastAsia="Times New Roman" w:cstheme="minorHAnsi"/>
                <w:sz w:val="20"/>
                <w:szCs w:val="20"/>
                <w:lang w:eastAsia="en-AU" w:bidi="ar-SA"/>
              </w:rPr>
            </w:pPr>
            <w:r w:rsidRPr="00B37101">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210D5D7C" w14:textId="0A631319" w:rsidR="00B37101" w:rsidRPr="00B37101" w:rsidRDefault="00B37101" w:rsidP="00B37101">
            <w:pPr>
              <w:rPr>
                <w:rFonts w:eastAsia="Times New Roman" w:cstheme="minorHAnsi"/>
                <w:sz w:val="20"/>
                <w:szCs w:val="20"/>
                <w:lang w:eastAsia="en-AU" w:bidi="ar-SA"/>
              </w:rPr>
            </w:pPr>
            <w:r w:rsidRPr="00B37101">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noWrap/>
            <w:vAlign w:val="center"/>
            <w:hideMark/>
          </w:tcPr>
          <w:p w14:paraId="18C82B87" w14:textId="5A9F1735" w:rsidR="00B37101" w:rsidRPr="00B37101" w:rsidRDefault="00B37101" w:rsidP="00B37101">
            <w:pPr>
              <w:rPr>
                <w:rFonts w:eastAsia="Times New Roman" w:cstheme="minorHAnsi"/>
                <w:sz w:val="20"/>
                <w:szCs w:val="20"/>
                <w:lang w:eastAsia="en-AU" w:bidi="ar-SA"/>
              </w:rPr>
            </w:pPr>
            <w:r w:rsidRPr="00B37101">
              <w:rPr>
                <w:rFonts w:cstheme="minorHAnsi"/>
                <w:sz w:val="20"/>
                <w:szCs w:val="20"/>
              </w:rPr>
              <w:t>Judicial Leadership Workshop #2</w:t>
            </w:r>
          </w:p>
        </w:tc>
        <w:tc>
          <w:tcPr>
            <w:tcW w:w="712" w:type="pct"/>
            <w:tcBorders>
              <w:top w:val="nil"/>
              <w:left w:val="nil"/>
              <w:bottom w:val="single" w:sz="8" w:space="0" w:color="auto"/>
              <w:right w:val="single" w:sz="8" w:space="0" w:color="auto"/>
            </w:tcBorders>
            <w:shd w:val="clear" w:color="auto" w:fill="auto"/>
            <w:noWrap/>
            <w:vAlign w:val="center"/>
            <w:hideMark/>
          </w:tcPr>
          <w:p w14:paraId="523A867A" w14:textId="4C6D6F56"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2A45C526" w14:textId="6608A843"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19 - 21 September, 2018</w:t>
            </w:r>
          </w:p>
        </w:tc>
      </w:tr>
      <w:tr w:rsidR="00B37101" w:rsidRPr="0057080E" w14:paraId="437E51EE" w14:textId="77777777" w:rsidTr="00B37101">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5A7B7423" w14:textId="324124AD" w:rsidR="00B37101" w:rsidRPr="00B37101" w:rsidRDefault="00B37101" w:rsidP="00B37101">
            <w:pPr>
              <w:jc w:val="center"/>
              <w:rPr>
                <w:rFonts w:eastAsia="Times New Roman" w:cstheme="minorHAnsi"/>
                <w:sz w:val="20"/>
                <w:szCs w:val="20"/>
                <w:lang w:eastAsia="en-AU" w:bidi="ar-SA"/>
              </w:rPr>
            </w:pPr>
            <w:r w:rsidRPr="00B37101">
              <w:rPr>
                <w:rFonts w:cstheme="minorHAnsi"/>
                <w:color w:val="000000"/>
                <w:sz w:val="20"/>
                <w:szCs w:val="20"/>
              </w:rPr>
              <w:t>18</w:t>
            </w:r>
          </w:p>
        </w:tc>
        <w:tc>
          <w:tcPr>
            <w:tcW w:w="712" w:type="pct"/>
            <w:tcBorders>
              <w:top w:val="nil"/>
              <w:left w:val="nil"/>
              <w:bottom w:val="single" w:sz="8" w:space="0" w:color="auto"/>
              <w:right w:val="single" w:sz="8" w:space="0" w:color="auto"/>
            </w:tcBorders>
            <w:shd w:val="clear" w:color="auto" w:fill="auto"/>
            <w:noWrap/>
            <w:vAlign w:val="center"/>
            <w:hideMark/>
          </w:tcPr>
          <w:p w14:paraId="4D234698" w14:textId="200FFDFE" w:rsidR="00B37101" w:rsidRPr="00B37101" w:rsidRDefault="00B37101" w:rsidP="00B37101">
            <w:pPr>
              <w:rPr>
                <w:rFonts w:eastAsia="Times New Roman" w:cstheme="minorHAnsi"/>
                <w:sz w:val="20"/>
                <w:szCs w:val="20"/>
                <w:lang w:eastAsia="en-AU" w:bidi="ar-SA"/>
              </w:rPr>
            </w:pPr>
            <w:r w:rsidRPr="00B37101">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5D5813ED" w14:textId="481317AC" w:rsidR="00B37101" w:rsidRPr="00B37101" w:rsidRDefault="00B37101" w:rsidP="00B37101">
            <w:pPr>
              <w:rPr>
                <w:rFonts w:eastAsia="Times New Roman" w:cstheme="minorHAnsi"/>
                <w:sz w:val="20"/>
                <w:szCs w:val="20"/>
                <w:lang w:eastAsia="en-AU" w:bidi="ar-SA"/>
              </w:rPr>
            </w:pPr>
            <w:r w:rsidRPr="00B37101">
              <w:rPr>
                <w:rFonts w:cstheme="minorHAnsi"/>
                <w:sz w:val="20"/>
                <w:szCs w:val="20"/>
              </w:rPr>
              <w:t>Localising Professional Capacity Building</w:t>
            </w:r>
          </w:p>
        </w:tc>
        <w:tc>
          <w:tcPr>
            <w:tcW w:w="1830" w:type="pct"/>
            <w:tcBorders>
              <w:top w:val="nil"/>
              <w:left w:val="nil"/>
              <w:bottom w:val="single" w:sz="8" w:space="0" w:color="auto"/>
              <w:right w:val="single" w:sz="8" w:space="0" w:color="auto"/>
            </w:tcBorders>
            <w:shd w:val="clear" w:color="auto" w:fill="auto"/>
            <w:noWrap/>
            <w:vAlign w:val="center"/>
            <w:hideMark/>
          </w:tcPr>
          <w:p w14:paraId="17015BB8" w14:textId="0DEA5908" w:rsidR="00B37101" w:rsidRPr="00B37101" w:rsidRDefault="00B37101" w:rsidP="00B37101">
            <w:pPr>
              <w:rPr>
                <w:rFonts w:eastAsia="Times New Roman" w:cstheme="minorHAnsi"/>
                <w:sz w:val="20"/>
                <w:szCs w:val="20"/>
                <w:lang w:eastAsia="en-AU" w:bidi="ar-SA"/>
              </w:rPr>
            </w:pPr>
            <w:r w:rsidRPr="00B37101">
              <w:rPr>
                <w:rFonts w:cstheme="minorHAnsi"/>
                <w:sz w:val="20"/>
                <w:szCs w:val="20"/>
              </w:rPr>
              <w:t>Gender &amp; Family Violence Webinar</w:t>
            </w:r>
          </w:p>
        </w:tc>
        <w:tc>
          <w:tcPr>
            <w:tcW w:w="712" w:type="pct"/>
            <w:tcBorders>
              <w:top w:val="nil"/>
              <w:left w:val="nil"/>
              <w:bottom w:val="single" w:sz="8" w:space="0" w:color="auto"/>
              <w:right w:val="single" w:sz="8" w:space="0" w:color="auto"/>
            </w:tcBorders>
            <w:shd w:val="clear" w:color="auto" w:fill="auto"/>
            <w:noWrap/>
            <w:vAlign w:val="center"/>
            <w:hideMark/>
          </w:tcPr>
          <w:p w14:paraId="2A28558C" w14:textId="5848A187"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center"/>
            <w:hideMark/>
          </w:tcPr>
          <w:p w14:paraId="68669C12" w14:textId="04A7B03D"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1 November, 2018</w:t>
            </w:r>
          </w:p>
        </w:tc>
      </w:tr>
      <w:tr w:rsidR="00B37101" w:rsidRPr="0057080E" w14:paraId="0C12134B" w14:textId="77777777" w:rsidTr="00B37101">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6019E6CF" w14:textId="55C871E1" w:rsidR="00B37101" w:rsidRPr="00B37101" w:rsidRDefault="00B37101" w:rsidP="00B37101">
            <w:pPr>
              <w:jc w:val="center"/>
              <w:rPr>
                <w:rFonts w:eastAsia="Times New Roman" w:cstheme="minorHAnsi"/>
                <w:sz w:val="20"/>
                <w:szCs w:val="20"/>
                <w:lang w:eastAsia="en-AU" w:bidi="ar-SA"/>
              </w:rPr>
            </w:pPr>
            <w:r w:rsidRPr="00B37101">
              <w:rPr>
                <w:rFonts w:cstheme="minorHAnsi"/>
                <w:color w:val="000000"/>
                <w:sz w:val="20"/>
                <w:szCs w:val="20"/>
              </w:rPr>
              <w:t>19</w:t>
            </w:r>
          </w:p>
        </w:tc>
        <w:tc>
          <w:tcPr>
            <w:tcW w:w="712" w:type="pct"/>
            <w:tcBorders>
              <w:top w:val="nil"/>
              <w:left w:val="nil"/>
              <w:bottom w:val="single" w:sz="8" w:space="0" w:color="auto"/>
              <w:right w:val="single" w:sz="8" w:space="0" w:color="auto"/>
            </w:tcBorders>
            <w:shd w:val="clear" w:color="auto" w:fill="auto"/>
            <w:noWrap/>
            <w:vAlign w:val="center"/>
            <w:hideMark/>
          </w:tcPr>
          <w:p w14:paraId="5CB87AC0" w14:textId="0D8055FA" w:rsidR="00B37101" w:rsidRPr="00B37101" w:rsidRDefault="00B37101" w:rsidP="00B37101">
            <w:pPr>
              <w:rPr>
                <w:rFonts w:eastAsia="Times New Roman" w:cstheme="minorHAnsi"/>
                <w:sz w:val="20"/>
                <w:szCs w:val="20"/>
                <w:lang w:eastAsia="en-AU" w:bidi="ar-SA"/>
              </w:rPr>
            </w:pPr>
            <w:r w:rsidRPr="00B37101">
              <w:rPr>
                <w:rFonts w:cstheme="minorHAnsi"/>
                <w:sz w:val="20"/>
                <w:szCs w:val="20"/>
              </w:rPr>
              <w:t>Substantive Justice</w:t>
            </w:r>
          </w:p>
        </w:tc>
        <w:tc>
          <w:tcPr>
            <w:tcW w:w="763" w:type="pct"/>
            <w:tcBorders>
              <w:top w:val="nil"/>
              <w:left w:val="nil"/>
              <w:bottom w:val="single" w:sz="8" w:space="0" w:color="auto"/>
              <w:right w:val="single" w:sz="8" w:space="0" w:color="auto"/>
            </w:tcBorders>
            <w:shd w:val="clear" w:color="auto" w:fill="auto"/>
            <w:vAlign w:val="center"/>
            <w:hideMark/>
          </w:tcPr>
          <w:p w14:paraId="2C49F2A4" w14:textId="354FEEE8" w:rsidR="00B37101" w:rsidRPr="00B37101" w:rsidRDefault="00B37101" w:rsidP="00B37101">
            <w:pPr>
              <w:rPr>
                <w:rFonts w:eastAsia="Times New Roman" w:cstheme="minorHAnsi"/>
                <w:sz w:val="20"/>
                <w:szCs w:val="20"/>
                <w:lang w:eastAsia="en-AU" w:bidi="ar-SA"/>
              </w:rPr>
            </w:pPr>
            <w:r w:rsidRPr="00B37101">
              <w:rPr>
                <w:rFonts w:cstheme="minorHAnsi"/>
                <w:sz w:val="20"/>
                <w:szCs w:val="20"/>
              </w:rPr>
              <w:t>Gender and Family Violence</w:t>
            </w:r>
          </w:p>
        </w:tc>
        <w:tc>
          <w:tcPr>
            <w:tcW w:w="1830" w:type="pct"/>
            <w:tcBorders>
              <w:top w:val="nil"/>
              <w:left w:val="nil"/>
              <w:bottom w:val="single" w:sz="8" w:space="0" w:color="auto"/>
              <w:right w:val="single" w:sz="8" w:space="0" w:color="auto"/>
            </w:tcBorders>
            <w:shd w:val="clear" w:color="auto" w:fill="auto"/>
            <w:noWrap/>
            <w:vAlign w:val="center"/>
            <w:hideMark/>
          </w:tcPr>
          <w:p w14:paraId="2BEE3DB8" w14:textId="7CF65EAE" w:rsidR="00B37101" w:rsidRPr="00B37101" w:rsidRDefault="00B37101" w:rsidP="00B37101">
            <w:pPr>
              <w:rPr>
                <w:rFonts w:eastAsia="Times New Roman" w:cstheme="minorHAnsi"/>
                <w:sz w:val="20"/>
                <w:szCs w:val="20"/>
                <w:lang w:eastAsia="en-AU" w:bidi="ar-SA"/>
              </w:rPr>
            </w:pPr>
            <w:r w:rsidRPr="00B37101">
              <w:rPr>
                <w:rFonts w:cstheme="minorHAnsi"/>
                <w:sz w:val="20"/>
                <w:szCs w:val="20"/>
              </w:rPr>
              <w:t>Local Visit #3</w:t>
            </w:r>
          </w:p>
        </w:tc>
        <w:tc>
          <w:tcPr>
            <w:tcW w:w="712" w:type="pct"/>
            <w:tcBorders>
              <w:top w:val="nil"/>
              <w:left w:val="nil"/>
              <w:bottom w:val="single" w:sz="8" w:space="0" w:color="auto"/>
              <w:right w:val="single" w:sz="8" w:space="0" w:color="auto"/>
            </w:tcBorders>
            <w:shd w:val="clear" w:color="auto" w:fill="auto"/>
            <w:noWrap/>
            <w:vAlign w:val="center"/>
            <w:hideMark/>
          </w:tcPr>
          <w:p w14:paraId="6DC281E6" w14:textId="688EC253"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59FE4E63" w14:textId="713AC56A"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12 - 21 November, 2018</w:t>
            </w:r>
          </w:p>
        </w:tc>
      </w:tr>
      <w:tr w:rsidR="00B37101" w:rsidRPr="0057080E" w14:paraId="51ABCBE5" w14:textId="77777777" w:rsidTr="00B37101">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2C7AEA3B" w14:textId="0271CE2F" w:rsidR="00B37101" w:rsidRPr="00B37101" w:rsidRDefault="00B37101" w:rsidP="00B37101">
            <w:pPr>
              <w:jc w:val="center"/>
              <w:rPr>
                <w:rFonts w:eastAsia="Times New Roman" w:cstheme="minorHAnsi"/>
                <w:sz w:val="20"/>
                <w:szCs w:val="20"/>
                <w:lang w:eastAsia="en-AU" w:bidi="ar-SA"/>
              </w:rPr>
            </w:pPr>
            <w:r w:rsidRPr="00B37101">
              <w:rPr>
                <w:rFonts w:cstheme="minorHAnsi"/>
                <w:color w:val="000000"/>
                <w:sz w:val="20"/>
                <w:szCs w:val="20"/>
              </w:rPr>
              <w:t>20</w:t>
            </w:r>
          </w:p>
        </w:tc>
        <w:tc>
          <w:tcPr>
            <w:tcW w:w="712" w:type="pct"/>
            <w:tcBorders>
              <w:top w:val="nil"/>
              <w:left w:val="nil"/>
              <w:bottom w:val="single" w:sz="8" w:space="0" w:color="auto"/>
              <w:right w:val="single" w:sz="8" w:space="0" w:color="auto"/>
            </w:tcBorders>
            <w:shd w:val="clear" w:color="auto" w:fill="auto"/>
            <w:noWrap/>
            <w:vAlign w:val="center"/>
            <w:hideMark/>
          </w:tcPr>
          <w:p w14:paraId="0278A5F1" w14:textId="00A545E7" w:rsidR="00B37101" w:rsidRPr="00B37101" w:rsidRDefault="00B37101" w:rsidP="00B37101">
            <w:pPr>
              <w:rPr>
                <w:rFonts w:eastAsia="Times New Roman" w:cstheme="minorHAnsi"/>
                <w:sz w:val="20"/>
                <w:szCs w:val="20"/>
                <w:lang w:eastAsia="en-AU" w:bidi="ar-SA"/>
              </w:rPr>
            </w:pPr>
            <w:r w:rsidRPr="00B37101">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6982AD1F" w14:textId="024E6B23" w:rsidR="00B37101" w:rsidRPr="00B37101" w:rsidRDefault="00B37101" w:rsidP="00B37101">
            <w:pPr>
              <w:rPr>
                <w:rFonts w:eastAsia="Times New Roman" w:cstheme="minorHAnsi"/>
                <w:sz w:val="20"/>
                <w:szCs w:val="20"/>
                <w:lang w:eastAsia="en-AU" w:bidi="ar-SA"/>
              </w:rPr>
            </w:pPr>
            <w:r w:rsidRPr="00B37101">
              <w:rPr>
                <w:rFonts w:cstheme="minorHAnsi"/>
                <w:sz w:val="20"/>
                <w:szCs w:val="20"/>
              </w:rPr>
              <w:t>Localising Professional Capacity Building</w:t>
            </w:r>
          </w:p>
        </w:tc>
        <w:tc>
          <w:tcPr>
            <w:tcW w:w="1830" w:type="pct"/>
            <w:tcBorders>
              <w:top w:val="nil"/>
              <w:left w:val="nil"/>
              <w:bottom w:val="single" w:sz="8" w:space="0" w:color="auto"/>
              <w:right w:val="single" w:sz="8" w:space="0" w:color="auto"/>
            </w:tcBorders>
            <w:shd w:val="clear" w:color="auto" w:fill="auto"/>
            <w:noWrap/>
            <w:vAlign w:val="center"/>
            <w:hideMark/>
          </w:tcPr>
          <w:p w14:paraId="55385C4C" w14:textId="21CBB0DC" w:rsidR="00B37101" w:rsidRPr="00B37101" w:rsidRDefault="00B37101" w:rsidP="00B37101">
            <w:pPr>
              <w:rPr>
                <w:rFonts w:eastAsia="Times New Roman" w:cstheme="minorHAnsi"/>
                <w:sz w:val="20"/>
                <w:szCs w:val="20"/>
                <w:lang w:eastAsia="en-AU" w:bidi="ar-SA"/>
              </w:rPr>
            </w:pPr>
            <w:r w:rsidRPr="00B37101">
              <w:rPr>
                <w:rFonts w:cstheme="minorHAnsi"/>
                <w:sz w:val="20"/>
                <w:szCs w:val="20"/>
              </w:rPr>
              <w:t>Substantive / Capacity Development ToT Workshop  (Topic: Data management)</w:t>
            </w:r>
          </w:p>
        </w:tc>
        <w:tc>
          <w:tcPr>
            <w:tcW w:w="712" w:type="pct"/>
            <w:tcBorders>
              <w:top w:val="nil"/>
              <w:left w:val="nil"/>
              <w:bottom w:val="single" w:sz="8" w:space="0" w:color="auto"/>
              <w:right w:val="single" w:sz="8" w:space="0" w:color="auto"/>
            </w:tcBorders>
            <w:shd w:val="clear" w:color="auto" w:fill="auto"/>
            <w:noWrap/>
            <w:vAlign w:val="center"/>
            <w:hideMark/>
          </w:tcPr>
          <w:p w14:paraId="6E39BEE0" w14:textId="7ED5287C"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385C8D76" w14:textId="73C278DA"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26 - 30 November, 2018</w:t>
            </w:r>
          </w:p>
        </w:tc>
      </w:tr>
      <w:tr w:rsidR="00B37101" w:rsidRPr="0057080E" w14:paraId="491721F7" w14:textId="77777777" w:rsidTr="00B37101">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46B9FCD6" w14:textId="3CF0B952" w:rsidR="00B37101" w:rsidRPr="00B37101" w:rsidRDefault="00B37101" w:rsidP="00B37101">
            <w:pPr>
              <w:jc w:val="center"/>
              <w:rPr>
                <w:rFonts w:eastAsia="Times New Roman" w:cstheme="minorHAnsi"/>
                <w:sz w:val="20"/>
                <w:szCs w:val="20"/>
                <w:lang w:eastAsia="en-AU" w:bidi="ar-SA"/>
              </w:rPr>
            </w:pPr>
            <w:r w:rsidRPr="00B37101">
              <w:rPr>
                <w:rFonts w:cstheme="minorHAnsi"/>
                <w:color w:val="000000"/>
                <w:sz w:val="20"/>
                <w:szCs w:val="20"/>
              </w:rPr>
              <w:t>21</w:t>
            </w:r>
          </w:p>
        </w:tc>
        <w:tc>
          <w:tcPr>
            <w:tcW w:w="712" w:type="pct"/>
            <w:tcBorders>
              <w:top w:val="nil"/>
              <w:left w:val="nil"/>
              <w:bottom w:val="single" w:sz="8" w:space="0" w:color="auto"/>
              <w:right w:val="single" w:sz="8" w:space="0" w:color="auto"/>
            </w:tcBorders>
            <w:shd w:val="clear" w:color="auto" w:fill="auto"/>
            <w:noWrap/>
            <w:vAlign w:val="center"/>
            <w:hideMark/>
          </w:tcPr>
          <w:p w14:paraId="6825861D" w14:textId="47B88288" w:rsidR="00B37101" w:rsidRPr="00B37101" w:rsidRDefault="00B37101" w:rsidP="00B37101">
            <w:pPr>
              <w:rPr>
                <w:rFonts w:eastAsia="Times New Roman" w:cstheme="minorHAnsi"/>
                <w:sz w:val="20"/>
                <w:szCs w:val="20"/>
                <w:lang w:eastAsia="en-AU" w:bidi="ar-SA"/>
              </w:rPr>
            </w:pPr>
            <w:r w:rsidRPr="00B37101">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029707B7" w14:textId="68C31A94" w:rsidR="00B37101" w:rsidRPr="00B37101" w:rsidRDefault="00B37101" w:rsidP="00B37101">
            <w:pPr>
              <w:rPr>
                <w:rFonts w:eastAsia="Times New Roman" w:cstheme="minorHAnsi"/>
                <w:sz w:val="20"/>
                <w:szCs w:val="20"/>
                <w:lang w:eastAsia="en-AU" w:bidi="ar-SA"/>
              </w:rPr>
            </w:pPr>
            <w:r w:rsidRPr="00B37101">
              <w:rPr>
                <w:rFonts w:cstheme="minorHAnsi"/>
                <w:sz w:val="20"/>
                <w:szCs w:val="20"/>
              </w:rPr>
              <w:t>Leadership Incentive Fund</w:t>
            </w:r>
          </w:p>
        </w:tc>
        <w:tc>
          <w:tcPr>
            <w:tcW w:w="1830" w:type="pct"/>
            <w:tcBorders>
              <w:top w:val="nil"/>
              <w:left w:val="nil"/>
              <w:bottom w:val="single" w:sz="8" w:space="0" w:color="auto"/>
              <w:right w:val="single" w:sz="8" w:space="0" w:color="auto"/>
            </w:tcBorders>
            <w:shd w:val="clear" w:color="auto" w:fill="auto"/>
            <w:noWrap/>
            <w:vAlign w:val="center"/>
            <w:hideMark/>
          </w:tcPr>
          <w:p w14:paraId="770FB0A6" w14:textId="5BE9F9BD" w:rsidR="00B37101" w:rsidRPr="00B37101" w:rsidRDefault="00B37101" w:rsidP="00B37101">
            <w:pPr>
              <w:rPr>
                <w:rFonts w:eastAsia="Times New Roman" w:cstheme="minorHAnsi"/>
                <w:sz w:val="20"/>
                <w:szCs w:val="20"/>
                <w:lang w:eastAsia="en-AU" w:bidi="ar-SA"/>
              </w:rPr>
            </w:pPr>
            <w:r w:rsidRPr="00B37101">
              <w:rPr>
                <w:rFonts w:cstheme="minorHAnsi"/>
                <w:sz w:val="20"/>
                <w:szCs w:val="20"/>
              </w:rPr>
              <w:t>Certificate of Justice - Semester 1 2019</w:t>
            </w:r>
          </w:p>
        </w:tc>
        <w:tc>
          <w:tcPr>
            <w:tcW w:w="712" w:type="pct"/>
            <w:tcBorders>
              <w:top w:val="nil"/>
              <w:left w:val="nil"/>
              <w:bottom w:val="single" w:sz="8" w:space="0" w:color="auto"/>
              <w:right w:val="single" w:sz="8" w:space="0" w:color="auto"/>
            </w:tcBorders>
            <w:shd w:val="clear" w:color="auto" w:fill="auto"/>
            <w:noWrap/>
            <w:vAlign w:val="center"/>
            <w:hideMark/>
          </w:tcPr>
          <w:p w14:paraId="2FF8C0DA" w14:textId="43FE3EFC"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750B2F01" w14:textId="55460043"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4 February - 31 May, 2019</w:t>
            </w:r>
          </w:p>
        </w:tc>
      </w:tr>
      <w:tr w:rsidR="00B37101" w:rsidRPr="0057080E" w14:paraId="2C1E2ECD" w14:textId="77777777" w:rsidTr="00B37101">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177ECA17" w14:textId="79B9CFD0" w:rsidR="00B37101" w:rsidRPr="00B37101" w:rsidRDefault="00B37101" w:rsidP="00B37101">
            <w:pPr>
              <w:jc w:val="center"/>
              <w:rPr>
                <w:rFonts w:eastAsia="Times New Roman" w:cstheme="minorHAnsi"/>
                <w:sz w:val="20"/>
                <w:szCs w:val="20"/>
                <w:lang w:eastAsia="en-AU" w:bidi="ar-SA"/>
              </w:rPr>
            </w:pPr>
            <w:r w:rsidRPr="00B37101">
              <w:rPr>
                <w:rFonts w:cstheme="minorHAnsi"/>
                <w:color w:val="000000"/>
                <w:sz w:val="20"/>
                <w:szCs w:val="20"/>
              </w:rPr>
              <w:t>22</w:t>
            </w:r>
          </w:p>
        </w:tc>
        <w:tc>
          <w:tcPr>
            <w:tcW w:w="712" w:type="pct"/>
            <w:tcBorders>
              <w:top w:val="nil"/>
              <w:left w:val="nil"/>
              <w:bottom w:val="single" w:sz="8" w:space="0" w:color="auto"/>
              <w:right w:val="single" w:sz="8" w:space="0" w:color="auto"/>
            </w:tcBorders>
            <w:shd w:val="clear" w:color="auto" w:fill="auto"/>
            <w:noWrap/>
            <w:vAlign w:val="center"/>
            <w:hideMark/>
          </w:tcPr>
          <w:p w14:paraId="761B8129" w14:textId="376E780F" w:rsidR="00B37101" w:rsidRPr="00B37101" w:rsidRDefault="00B37101" w:rsidP="00B37101">
            <w:pPr>
              <w:rPr>
                <w:rFonts w:eastAsia="Times New Roman" w:cstheme="minorHAnsi"/>
                <w:sz w:val="20"/>
                <w:szCs w:val="20"/>
                <w:lang w:eastAsia="en-AU" w:bidi="ar-SA"/>
              </w:rPr>
            </w:pPr>
            <w:r w:rsidRPr="00B37101">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1836F390" w14:textId="47B86B69" w:rsidR="00B37101" w:rsidRPr="00B37101" w:rsidRDefault="00B37101" w:rsidP="00B37101">
            <w:pPr>
              <w:rPr>
                <w:rFonts w:eastAsia="Times New Roman" w:cstheme="minorHAnsi"/>
                <w:color w:val="000000"/>
                <w:sz w:val="20"/>
                <w:szCs w:val="20"/>
                <w:lang w:eastAsia="en-AU" w:bidi="ar-SA"/>
              </w:rPr>
            </w:pPr>
            <w:r w:rsidRPr="00B37101">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noWrap/>
            <w:vAlign w:val="center"/>
            <w:hideMark/>
          </w:tcPr>
          <w:p w14:paraId="0F2AA3EC" w14:textId="7F4F8FC6" w:rsidR="00B37101" w:rsidRPr="00B37101" w:rsidRDefault="00B37101" w:rsidP="00B37101">
            <w:pPr>
              <w:rPr>
                <w:rFonts w:eastAsia="Times New Roman" w:cstheme="minorHAnsi"/>
                <w:color w:val="000000"/>
                <w:sz w:val="20"/>
                <w:szCs w:val="20"/>
                <w:lang w:eastAsia="en-AU" w:bidi="ar-SA"/>
              </w:rPr>
            </w:pPr>
            <w:r w:rsidRPr="00B37101">
              <w:rPr>
                <w:rFonts w:cstheme="minorHAnsi"/>
                <w:sz w:val="20"/>
                <w:szCs w:val="20"/>
              </w:rPr>
              <w:t>4th Chief Justices’ Leadership Forum</w:t>
            </w:r>
          </w:p>
        </w:tc>
        <w:tc>
          <w:tcPr>
            <w:tcW w:w="712" w:type="pct"/>
            <w:tcBorders>
              <w:top w:val="nil"/>
              <w:left w:val="nil"/>
              <w:bottom w:val="single" w:sz="8" w:space="0" w:color="auto"/>
              <w:right w:val="single" w:sz="8" w:space="0" w:color="auto"/>
            </w:tcBorders>
            <w:shd w:val="clear" w:color="auto" w:fill="auto"/>
            <w:noWrap/>
            <w:vAlign w:val="center"/>
            <w:hideMark/>
          </w:tcPr>
          <w:p w14:paraId="71DF4895" w14:textId="32FC437A" w:rsidR="00B37101" w:rsidRPr="00B37101" w:rsidRDefault="00B37101" w:rsidP="00B37101">
            <w:pPr>
              <w:jc w:val="center"/>
              <w:rPr>
                <w:rFonts w:eastAsia="Times New Roman" w:cstheme="minorHAnsi"/>
                <w:color w:val="000000"/>
                <w:sz w:val="20"/>
                <w:szCs w:val="20"/>
                <w:lang w:eastAsia="en-AU" w:bidi="ar-SA"/>
              </w:rPr>
            </w:pPr>
            <w:r w:rsidRPr="00B37101">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1DF070A5" w14:textId="52E83A41" w:rsidR="00B37101" w:rsidRPr="00B37101" w:rsidRDefault="00B37101" w:rsidP="00B37101">
            <w:pPr>
              <w:jc w:val="center"/>
              <w:rPr>
                <w:rFonts w:eastAsia="Times New Roman" w:cstheme="minorHAnsi"/>
                <w:color w:val="000000"/>
                <w:sz w:val="20"/>
                <w:szCs w:val="20"/>
                <w:lang w:eastAsia="en-AU" w:bidi="ar-SA"/>
              </w:rPr>
            </w:pPr>
            <w:r w:rsidRPr="00B37101">
              <w:rPr>
                <w:rFonts w:cstheme="minorHAnsi"/>
                <w:sz w:val="20"/>
                <w:szCs w:val="20"/>
              </w:rPr>
              <w:t>1 - 3 April, 2019</w:t>
            </w:r>
          </w:p>
        </w:tc>
      </w:tr>
      <w:tr w:rsidR="00B37101" w:rsidRPr="0057080E" w14:paraId="1077BC3D" w14:textId="77777777" w:rsidTr="00B37101">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1CF6458B" w14:textId="1C8E8834" w:rsidR="00B37101" w:rsidRPr="00B37101" w:rsidRDefault="00B37101" w:rsidP="00B37101">
            <w:pPr>
              <w:jc w:val="center"/>
              <w:rPr>
                <w:rFonts w:eastAsia="Times New Roman" w:cstheme="minorHAnsi"/>
                <w:sz w:val="20"/>
                <w:szCs w:val="20"/>
                <w:lang w:eastAsia="en-AU" w:bidi="ar-SA"/>
              </w:rPr>
            </w:pPr>
            <w:r w:rsidRPr="00B37101">
              <w:rPr>
                <w:rFonts w:cstheme="minorHAnsi"/>
                <w:color w:val="000000"/>
                <w:sz w:val="20"/>
                <w:szCs w:val="20"/>
              </w:rPr>
              <w:t>23</w:t>
            </w:r>
          </w:p>
        </w:tc>
        <w:tc>
          <w:tcPr>
            <w:tcW w:w="712" w:type="pct"/>
            <w:tcBorders>
              <w:top w:val="nil"/>
              <w:left w:val="nil"/>
              <w:bottom w:val="single" w:sz="8" w:space="0" w:color="auto"/>
              <w:right w:val="single" w:sz="8" w:space="0" w:color="auto"/>
            </w:tcBorders>
            <w:shd w:val="clear" w:color="auto" w:fill="auto"/>
            <w:noWrap/>
            <w:vAlign w:val="center"/>
            <w:hideMark/>
          </w:tcPr>
          <w:p w14:paraId="2ED69B85" w14:textId="1F00E2BD" w:rsidR="00B37101" w:rsidRPr="00B37101" w:rsidRDefault="00B37101" w:rsidP="00B37101">
            <w:pPr>
              <w:rPr>
                <w:rFonts w:eastAsia="Times New Roman" w:cstheme="minorHAnsi"/>
                <w:sz w:val="20"/>
                <w:szCs w:val="20"/>
                <w:lang w:eastAsia="en-AU" w:bidi="ar-SA"/>
              </w:rPr>
            </w:pPr>
            <w:r w:rsidRPr="00B37101">
              <w:rPr>
                <w:rFonts w:cstheme="minorHAnsi"/>
                <w:sz w:val="20"/>
                <w:szCs w:val="20"/>
              </w:rPr>
              <w:t>Procedural Justice</w:t>
            </w:r>
          </w:p>
        </w:tc>
        <w:tc>
          <w:tcPr>
            <w:tcW w:w="763" w:type="pct"/>
            <w:tcBorders>
              <w:top w:val="nil"/>
              <w:left w:val="nil"/>
              <w:bottom w:val="single" w:sz="8" w:space="0" w:color="auto"/>
              <w:right w:val="single" w:sz="8" w:space="0" w:color="auto"/>
            </w:tcBorders>
            <w:shd w:val="clear" w:color="auto" w:fill="auto"/>
            <w:vAlign w:val="center"/>
            <w:hideMark/>
          </w:tcPr>
          <w:p w14:paraId="7A1915BB" w14:textId="2F9BEB88" w:rsidR="00B37101" w:rsidRPr="00B37101" w:rsidRDefault="00B37101" w:rsidP="00B37101">
            <w:pPr>
              <w:rPr>
                <w:rFonts w:eastAsia="Times New Roman" w:cstheme="minorHAnsi"/>
                <w:sz w:val="20"/>
                <w:szCs w:val="20"/>
                <w:lang w:eastAsia="en-AU" w:bidi="ar-SA"/>
              </w:rPr>
            </w:pPr>
            <w:r w:rsidRPr="00B37101">
              <w:rPr>
                <w:rFonts w:cstheme="minorHAnsi"/>
                <w:sz w:val="20"/>
                <w:szCs w:val="20"/>
              </w:rPr>
              <w:t>Accountability</w:t>
            </w:r>
          </w:p>
        </w:tc>
        <w:tc>
          <w:tcPr>
            <w:tcW w:w="1830" w:type="pct"/>
            <w:tcBorders>
              <w:top w:val="nil"/>
              <w:left w:val="nil"/>
              <w:bottom w:val="single" w:sz="8" w:space="0" w:color="auto"/>
              <w:right w:val="single" w:sz="8" w:space="0" w:color="auto"/>
            </w:tcBorders>
            <w:shd w:val="clear" w:color="auto" w:fill="auto"/>
            <w:noWrap/>
            <w:vAlign w:val="center"/>
            <w:hideMark/>
          </w:tcPr>
          <w:p w14:paraId="2F638DA9" w14:textId="343A8BB6" w:rsidR="00B37101" w:rsidRPr="00B37101" w:rsidRDefault="00B37101" w:rsidP="00B37101">
            <w:pPr>
              <w:rPr>
                <w:rFonts w:eastAsia="Times New Roman" w:cstheme="minorHAnsi"/>
                <w:sz w:val="20"/>
                <w:szCs w:val="20"/>
                <w:lang w:eastAsia="en-AU" w:bidi="ar-SA"/>
              </w:rPr>
            </w:pPr>
            <w:r w:rsidRPr="00B37101">
              <w:rPr>
                <w:rFonts w:cstheme="minorHAnsi"/>
                <w:sz w:val="20"/>
                <w:szCs w:val="20"/>
              </w:rPr>
              <w:t>M&amp;E Visit #3</w:t>
            </w:r>
          </w:p>
        </w:tc>
        <w:tc>
          <w:tcPr>
            <w:tcW w:w="712" w:type="pct"/>
            <w:tcBorders>
              <w:top w:val="nil"/>
              <w:left w:val="nil"/>
              <w:bottom w:val="single" w:sz="8" w:space="0" w:color="auto"/>
              <w:right w:val="single" w:sz="8" w:space="0" w:color="auto"/>
            </w:tcBorders>
            <w:shd w:val="clear" w:color="auto" w:fill="auto"/>
            <w:noWrap/>
            <w:vAlign w:val="center"/>
            <w:hideMark/>
          </w:tcPr>
          <w:p w14:paraId="193E676F" w14:textId="5A402DD8"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0A12DB67" w14:textId="00BD3D86"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5 - 6 April, 2019</w:t>
            </w:r>
          </w:p>
        </w:tc>
      </w:tr>
      <w:tr w:rsidR="00B37101" w:rsidRPr="0057080E" w14:paraId="399AA794" w14:textId="77777777" w:rsidTr="00B37101">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5C7D1E04" w14:textId="1FE4ED3E" w:rsidR="00B37101" w:rsidRPr="00B37101" w:rsidRDefault="00B37101" w:rsidP="00B37101">
            <w:pPr>
              <w:jc w:val="center"/>
              <w:rPr>
                <w:rFonts w:eastAsia="Times New Roman" w:cstheme="minorHAnsi"/>
                <w:sz w:val="20"/>
                <w:szCs w:val="20"/>
                <w:lang w:eastAsia="en-AU" w:bidi="ar-SA"/>
              </w:rPr>
            </w:pPr>
            <w:r w:rsidRPr="00B37101">
              <w:rPr>
                <w:rFonts w:cstheme="minorHAnsi"/>
                <w:color w:val="000000"/>
                <w:sz w:val="20"/>
                <w:szCs w:val="20"/>
              </w:rPr>
              <w:t>24</w:t>
            </w:r>
          </w:p>
        </w:tc>
        <w:tc>
          <w:tcPr>
            <w:tcW w:w="712" w:type="pct"/>
            <w:tcBorders>
              <w:top w:val="nil"/>
              <w:left w:val="nil"/>
              <w:bottom w:val="single" w:sz="8" w:space="0" w:color="auto"/>
              <w:right w:val="single" w:sz="8" w:space="0" w:color="auto"/>
            </w:tcBorders>
            <w:shd w:val="clear" w:color="auto" w:fill="auto"/>
            <w:noWrap/>
            <w:vAlign w:val="center"/>
            <w:hideMark/>
          </w:tcPr>
          <w:p w14:paraId="46F55F96" w14:textId="19F60453" w:rsidR="00B37101" w:rsidRPr="00B37101" w:rsidRDefault="00B37101" w:rsidP="00B37101">
            <w:pPr>
              <w:rPr>
                <w:rFonts w:eastAsia="Times New Roman" w:cstheme="minorHAnsi"/>
                <w:sz w:val="20"/>
                <w:szCs w:val="20"/>
                <w:lang w:eastAsia="en-AU" w:bidi="ar-SA"/>
              </w:rPr>
            </w:pPr>
            <w:r w:rsidRPr="00B37101">
              <w:rPr>
                <w:rFonts w:cstheme="minorHAnsi"/>
                <w:sz w:val="20"/>
                <w:szCs w:val="20"/>
              </w:rPr>
              <w:t>Procedural Justice</w:t>
            </w:r>
          </w:p>
        </w:tc>
        <w:tc>
          <w:tcPr>
            <w:tcW w:w="763" w:type="pct"/>
            <w:tcBorders>
              <w:top w:val="nil"/>
              <w:left w:val="nil"/>
              <w:bottom w:val="single" w:sz="8" w:space="0" w:color="auto"/>
              <w:right w:val="single" w:sz="8" w:space="0" w:color="auto"/>
            </w:tcBorders>
            <w:shd w:val="clear" w:color="auto" w:fill="auto"/>
            <w:vAlign w:val="center"/>
            <w:hideMark/>
          </w:tcPr>
          <w:p w14:paraId="4E60D90E" w14:textId="304D6DDD" w:rsidR="00B37101" w:rsidRPr="00B37101" w:rsidRDefault="00B37101" w:rsidP="00B37101">
            <w:pPr>
              <w:rPr>
                <w:rFonts w:eastAsia="Times New Roman" w:cstheme="minorHAnsi"/>
                <w:sz w:val="20"/>
                <w:szCs w:val="20"/>
                <w:lang w:eastAsia="en-AU" w:bidi="ar-SA"/>
              </w:rPr>
            </w:pPr>
            <w:r w:rsidRPr="00B37101">
              <w:rPr>
                <w:rFonts w:cstheme="minorHAnsi"/>
                <w:sz w:val="20"/>
                <w:szCs w:val="20"/>
              </w:rPr>
              <w:t>Efficiency</w:t>
            </w:r>
          </w:p>
        </w:tc>
        <w:tc>
          <w:tcPr>
            <w:tcW w:w="1830" w:type="pct"/>
            <w:tcBorders>
              <w:top w:val="nil"/>
              <w:left w:val="nil"/>
              <w:bottom w:val="single" w:sz="8" w:space="0" w:color="auto"/>
              <w:right w:val="single" w:sz="8" w:space="0" w:color="auto"/>
            </w:tcBorders>
            <w:shd w:val="clear" w:color="auto" w:fill="auto"/>
            <w:noWrap/>
            <w:vAlign w:val="center"/>
            <w:hideMark/>
          </w:tcPr>
          <w:p w14:paraId="7473C693" w14:textId="36CCCAD1" w:rsidR="00B37101" w:rsidRPr="00B37101" w:rsidRDefault="00B37101" w:rsidP="00B37101">
            <w:pPr>
              <w:rPr>
                <w:rFonts w:eastAsia="Times New Roman" w:cstheme="minorHAnsi"/>
                <w:sz w:val="20"/>
                <w:szCs w:val="20"/>
                <w:lang w:eastAsia="en-AU" w:bidi="ar-SA"/>
              </w:rPr>
            </w:pPr>
            <w:r w:rsidRPr="00B37101">
              <w:rPr>
                <w:rFonts w:cstheme="minorHAnsi"/>
                <w:sz w:val="20"/>
                <w:szCs w:val="20"/>
              </w:rPr>
              <w:t xml:space="preserve">Court Data Management Workshop  </w:t>
            </w:r>
          </w:p>
        </w:tc>
        <w:tc>
          <w:tcPr>
            <w:tcW w:w="712" w:type="pct"/>
            <w:tcBorders>
              <w:top w:val="nil"/>
              <w:left w:val="nil"/>
              <w:bottom w:val="single" w:sz="8" w:space="0" w:color="auto"/>
              <w:right w:val="single" w:sz="8" w:space="0" w:color="auto"/>
            </w:tcBorders>
            <w:shd w:val="clear" w:color="auto" w:fill="auto"/>
            <w:noWrap/>
            <w:vAlign w:val="center"/>
            <w:hideMark/>
          </w:tcPr>
          <w:p w14:paraId="1895E31A" w14:textId="732BD069"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Regional</w:t>
            </w:r>
          </w:p>
        </w:tc>
        <w:tc>
          <w:tcPr>
            <w:tcW w:w="783" w:type="pct"/>
            <w:tcBorders>
              <w:top w:val="nil"/>
              <w:left w:val="nil"/>
              <w:bottom w:val="single" w:sz="8" w:space="0" w:color="auto"/>
              <w:right w:val="single" w:sz="8" w:space="0" w:color="auto"/>
            </w:tcBorders>
            <w:shd w:val="clear" w:color="auto" w:fill="auto"/>
            <w:noWrap/>
            <w:vAlign w:val="center"/>
            <w:hideMark/>
          </w:tcPr>
          <w:p w14:paraId="49360CEC" w14:textId="2D9AA4A4"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18 October, 2019</w:t>
            </w:r>
          </w:p>
        </w:tc>
      </w:tr>
      <w:tr w:rsidR="00B37101" w:rsidRPr="0057080E" w14:paraId="6501FFEE" w14:textId="77777777" w:rsidTr="00B37101">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7D1BBD8A" w14:textId="4FFB8B19" w:rsidR="00B37101" w:rsidRPr="00B37101" w:rsidRDefault="00B37101" w:rsidP="00B37101">
            <w:pPr>
              <w:jc w:val="center"/>
              <w:rPr>
                <w:rFonts w:eastAsia="Times New Roman" w:cstheme="minorHAnsi"/>
                <w:sz w:val="20"/>
                <w:szCs w:val="20"/>
                <w:lang w:eastAsia="en-AU" w:bidi="ar-SA"/>
              </w:rPr>
            </w:pPr>
            <w:r w:rsidRPr="00B37101">
              <w:rPr>
                <w:rFonts w:cstheme="minorHAnsi"/>
                <w:color w:val="000000"/>
                <w:sz w:val="20"/>
                <w:szCs w:val="20"/>
              </w:rPr>
              <w:t>25</w:t>
            </w:r>
          </w:p>
        </w:tc>
        <w:tc>
          <w:tcPr>
            <w:tcW w:w="712" w:type="pct"/>
            <w:tcBorders>
              <w:top w:val="nil"/>
              <w:left w:val="nil"/>
              <w:bottom w:val="single" w:sz="8" w:space="0" w:color="auto"/>
              <w:right w:val="single" w:sz="8" w:space="0" w:color="auto"/>
            </w:tcBorders>
            <w:shd w:val="clear" w:color="auto" w:fill="auto"/>
            <w:noWrap/>
            <w:vAlign w:val="center"/>
            <w:hideMark/>
          </w:tcPr>
          <w:p w14:paraId="2C43631A" w14:textId="20FA26F9" w:rsidR="00B37101" w:rsidRPr="00B37101" w:rsidRDefault="00B37101" w:rsidP="00B37101">
            <w:pPr>
              <w:rPr>
                <w:rFonts w:eastAsia="Times New Roman" w:cstheme="minorHAnsi"/>
                <w:sz w:val="20"/>
                <w:szCs w:val="20"/>
                <w:lang w:eastAsia="en-AU" w:bidi="ar-SA"/>
              </w:rPr>
            </w:pPr>
            <w:r w:rsidRPr="00B37101">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303D9B9C" w14:textId="5873F867" w:rsidR="00B37101" w:rsidRPr="00B37101" w:rsidRDefault="00B37101" w:rsidP="00B37101">
            <w:pPr>
              <w:rPr>
                <w:rFonts w:eastAsia="Times New Roman" w:cstheme="minorHAnsi"/>
                <w:sz w:val="20"/>
                <w:szCs w:val="20"/>
                <w:lang w:eastAsia="en-AU" w:bidi="ar-SA"/>
              </w:rPr>
            </w:pPr>
            <w:r w:rsidRPr="00B37101">
              <w:rPr>
                <w:rFonts w:cstheme="minorHAnsi"/>
                <w:sz w:val="20"/>
                <w:szCs w:val="20"/>
              </w:rPr>
              <w:t>Localising Professional Capacity Building</w:t>
            </w:r>
          </w:p>
        </w:tc>
        <w:tc>
          <w:tcPr>
            <w:tcW w:w="1830" w:type="pct"/>
            <w:tcBorders>
              <w:top w:val="nil"/>
              <w:left w:val="nil"/>
              <w:bottom w:val="single" w:sz="8" w:space="0" w:color="auto"/>
              <w:right w:val="single" w:sz="8" w:space="0" w:color="auto"/>
            </w:tcBorders>
            <w:shd w:val="clear" w:color="auto" w:fill="auto"/>
            <w:noWrap/>
            <w:vAlign w:val="center"/>
            <w:hideMark/>
          </w:tcPr>
          <w:p w14:paraId="46878E3B" w14:textId="43724EF4" w:rsidR="00B37101" w:rsidRPr="00B37101" w:rsidRDefault="00B37101" w:rsidP="00B37101">
            <w:pPr>
              <w:rPr>
                <w:rFonts w:eastAsia="Times New Roman" w:cstheme="minorHAnsi"/>
                <w:sz w:val="20"/>
                <w:szCs w:val="20"/>
                <w:lang w:eastAsia="en-AU" w:bidi="ar-SA"/>
              </w:rPr>
            </w:pPr>
            <w:r w:rsidRPr="00B37101">
              <w:rPr>
                <w:rFonts w:cstheme="minorHAnsi"/>
                <w:sz w:val="20"/>
                <w:szCs w:val="20"/>
              </w:rPr>
              <w:t>Court Data Management Follow-up Webinar</w:t>
            </w:r>
          </w:p>
        </w:tc>
        <w:tc>
          <w:tcPr>
            <w:tcW w:w="712" w:type="pct"/>
            <w:tcBorders>
              <w:top w:val="nil"/>
              <w:left w:val="nil"/>
              <w:bottom w:val="single" w:sz="8" w:space="0" w:color="auto"/>
              <w:right w:val="single" w:sz="8" w:space="0" w:color="auto"/>
            </w:tcBorders>
            <w:shd w:val="clear" w:color="auto" w:fill="auto"/>
            <w:noWrap/>
            <w:vAlign w:val="center"/>
            <w:hideMark/>
          </w:tcPr>
          <w:p w14:paraId="5968501D" w14:textId="5E1DE998"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center"/>
            <w:hideMark/>
          </w:tcPr>
          <w:p w14:paraId="11D64AD8" w14:textId="200FB94D"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28 November, 2019</w:t>
            </w:r>
          </w:p>
        </w:tc>
      </w:tr>
      <w:tr w:rsidR="00B37101" w:rsidRPr="0057080E" w14:paraId="622CF1F4" w14:textId="77777777" w:rsidTr="00B37101">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18C447E5" w14:textId="30BF7A69" w:rsidR="00B37101" w:rsidRPr="00B37101" w:rsidRDefault="00B37101" w:rsidP="00B37101">
            <w:pPr>
              <w:jc w:val="center"/>
              <w:rPr>
                <w:rFonts w:eastAsia="Times New Roman" w:cstheme="minorHAnsi"/>
                <w:sz w:val="20"/>
                <w:szCs w:val="20"/>
                <w:lang w:eastAsia="en-AU" w:bidi="ar-SA"/>
              </w:rPr>
            </w:pPr>
            <w:r w:rsidRPr="00B37101">
              <w:rPr>
                <w:rFonts w:cstheme="minorHAnsi"/>
                <w:color w:val="000000"/>
                <w:sz w:val="20"/>
                <w:szCs w:val="20"/>
              </w:rPr>
              <w:t>26</w:t>
            </w:r>
          </w:p>
        </w:tc>
        <w:tc>
          <w:tcPr>
            <w:tcW w:w="712" w:type="pct"/>
            <w:tcBorders>
              <w:top w:val="nil"/>
              <w:left w:val="nil"/>
              <w:bottom w:val="single" w:sz="8" w:space="0" w:color="auto"/>
              <w:right w:val="single" w:sz="8" w:space="0" w:color="auto"/>
            </w:tcBorders>
            <w:shd w:val="clear" w:color="auto" w:fill="auto"/>
            <w:noWrap/>
            <w:vAlign w:val="center"/>
            <w:hideMark/>
          </w:tcPr>
          <w:p w14:paraId="3D06EE63" w14:textId="5AD3CEF6" w:rsidR="00B37101" w:rsidRPr="00B37101" w:rsidRDefault="00B37101" w:rsidP="00B37101">
            <w:pPr>
              <w:rPr>
                <w:rFonts w:eastAsia="Times New Roman" w:cstheme="minorHAnsi"/>
                <w:sz w:val="20"/>
                <w:szCs w:val="20"/>
                <w:lang w:eastAsia="en-AU" w:bidi="ar-SA"/>
              </w:rPr>
            </w:pPr>
            <w:r w:rsidRPr="00B37101">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4DF42FC5" w14:textId="4009EC68" w:rsidR="00B37101" w:rsidRPr="00B37101" w:rsidRDefault="00B37101" w:rsidP="00B37101">
            <w:pPr>
              <w:rPr>
                <w:rFonts w:eastAsia="Times New Roman" w:cstheme="minorHAnsi"/>
                <w:color w:val="000000"/>
                <w:sz w:val="20"/>
                <w:szCs w:val="20"/>
                <w:lang w:eastAsia="en-AU" w:bidi="ar-SA"/>
              </w:rPr>
            </w:pPr>
            <w:r w:rsidRPr="00B37101">
              <w:rPr>
                <w:rFonts w:cstheme="minorHAnsi"/>
                <w:sz w:val="20"/>
                <w:szCs w:val="20"/>
              </w:rPr>
              <w:t>Localising Professional Capacity Building</w:t>
            </w:r>
          </w:p>
        </w:tc>
        <w:tc>
          <w:tcPr>
            <w:tcW w:w="1830" w:type="pct"/>
            <w:tcBorders>
              <w:top w:val="nil"/>
              <w:left w:val="nil"/>
              <w:bottom w:val="single" w:sz="8" w:space="0" w:color="auto"/>
              <w:right w:val="single" w:sz="8" w:space="0" w:color="auto"/>
            </w:tcBorders>
            <w:shd w:val="clear" w:color="auto" w:fill="auto"/>
            <w:noWrap/>
            <w:vAlign w:val="center"/>
            <w:hideMark/>
          </w:tcPr>
          <w:p w14:paraId="2BD9704F" w14:textId="5C88FDF7" w:rsidR="00B37101" w:rsidRPr="00B37101" w:rsidRDefault="00B37101" w:rsidP="00B37101">
            <w:pPr>
              <w:rPr>
                <w:rFonts w:eastAsia="Times New Roman" w:cstheme="minorHAnsi"/>
                <w:color w:val="000000"/>
                <w:sz w:val="20"/>
                <w:szCs w:val="20"/>
                <w:lang w:eastAsia="en-AU" w:bidi="ar-SA"/>
              </w:rPr>
            </w:pPr>
            <w:r w:rsidRPr="00B37101">
              <w:rPr>
                <w:rFonts w:cstheme="minorHAnsi"/>
                <w:sz w:val="20"/>
                <w:szCs w:val="20"/>
              </w:rPr>
              <w:t>Lay Judical Officer's Webinar</w:t>
            </w:r>
          </w:p>
        </w:tc>
        <w:tc>
          <w:tcPr>
            <w:tcW w:w="712" w:type="pct"/>
            <w:tcBorders>
              <w:top w:val="nil"/>
              <w:left w:val="nil"/>
              <w:bottom w:val="single" w:sz="8" w:space="0" w:color="auto"/>
              <w:right w:val="single" w:sz="8" w:space="0" w:color="auto"/>
            </w:tcBorders>
            <w:shd w:val="clear" w:color="auto" w:fill="auto"/>
            <w:noWrap/>
            <w:vAlign w:val="center"/>
            <w:hideMark/>
          </w:tcPr>
          <w:p w14:paraId="4FB65513" w14:textId="73F1F7D7" w:rsidR="00B37101" w:rsidRPr="00B37101" w:rsidRDefault="00B37101" w:rsidP="00B37101">
            <w:pPr>
              <w:jc w:val="center"/>
              <w:rPr>
                <w:rFonts w:eastAsia="Times New Roman" w:cstheme="minorHAnsi"/>
                <w:color w:val="000000"/>
                <w:sz w:val="20"/>
                <w:szCs w:val="20"/>
                <w:lang w:eastAsia="en-AU" w:bidi="ar-SA"/>
              </w:rPr>
            </w:pPr>
            <w:r w:rsidRPr="00B37101">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center"/>
            <w:hideMark/>
          </w:tcPr>
          <w:p w14:paraId="20EA9398" w14:textId="431A96DA" w:rsidR="00B37101" w:rsidRPr="00B37101" w:rsidRDefault="00B37101" w:rsidP="00B37101">
            <w:pPr>
              <w:jc w:val="center"/>
              <w:rPr>
                <w:rFonts w:eastAsia="Times New Roman" w:cstheme="minorHAnsi"/>
                <w:color w:val="000000"/>
                <w:sz w:val="20"/>
                <w:szCs w:val="20"/>
                <w:lang w:eastAsia="en-AU" w:bidi="ar-SA"/>
              </w:rPr>
            </w:pPr>
            <w:r w:rsidRPr="00B37101">
              <w:rPr>
                <w:rFonts w:cstheme="minorHAnsi"/>
                <w:sz w:val="20"/>
                <w:szCs w:val="20"/>
              </w:rPr>
              <w:t>27 February, 2020</w:t>
            </w:r>
          </w:p>
        </w:tc>
      </w:tr>
      <w:tr w:rsidR="00B37101" w:rsidRPr="0057080E" w14:paraId="265CB5D8" w14:textId="77777777" w:rsidTr="00B37101">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714AFF45" w14:textId="68EB027E" w:rsidR="00B37101" w:rsidRPr="00B37101" w:rsidRDefault="00B37101" w:rsidP="00B37101">
            <w:pPr>
              <w:jc w:val="center"/>
              <w:rPr>
                <w:rFonts w:eastAsia="Times New Roman" w:cstheme="minorHAnsi"/>
                <w:sz w:val="20"/>
                <w:szCs w:val="20"/>
                <w:lang w:eastAsia="en-AU" w:bidi="ar-SA"/>
              </w:rPr>
            </w:pPr>
            <w:r w:rsidRPr="00B37101">
              <w:rPr>
                <w:rFonts w:cstheme="minorHAnsi"/>
                <w:color w:val="000000"/>
                <w:sz w:val="20"/>
                <w:szCs w:val="20"/>
              </w:rPr>
              <w:t>27</w:t>
            </w:r>
          </w:p>
        </w:tc>
        <w:tc>
          <w:tcPr>
            <w:tcW w:w="712" w:type="pct"/>
            <w:tcBorders>
              <w:top w:val="nil"/>
              <w:left w:val="nil"/>
              <w:bottom w:val="single" w:sz="8" w:space="0" w:color="auto"/>
              <w:right w:val="single" w:sz="8" w:space="0" w:color="auto"/>
            </w:tcBorders>
            <w:shd w:val="clear" w:color="auto" w:fill="auto"/>
            <w:noWrap/>
            <w:vAlign w:val="center"/>
            <w:hideMark/>
          </w:tcPr>
          <w:p w14:paraId="652FEDE7" w14:textId="0E03B053" w:rsidR="00B37101" w:rsidRPr="00B37101" w:rsidRDefault="00B37101" w:rsidP="00B37101">
            <w:pPr>
              <w:rPr>
                <w:rFonts w:eastAsia="Times New Roman" w:cstheme="minorHAnsi"/>
                <w:sz w:val="20"/>
                <w:szCs w:val="20"/>
                <w:lang w:eastAsia="en-AU" w:bidi="ar-SA"/>
              </w:rPr>
            </w:pPr>
            <w:r w:rsidRPr="00B37101">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7AC6B039" w14:textId="3BD4708D" w:rsidR="00B37101" w:rsidRPr="00B37101" w:rsidRDefault="00B37101" w:rsidP="00B37101">
            <w:pPr>
              <w:rPr>
                <w:rFonts w:eastAsia="Times New Roman" w:cstheme="minorHAnsi"/>
                <w:color w:val="000000"/>
                <w:sz w:val="20"/>
                <w:szCs w:val="20"/>
                <w:lang w:eastAsia="en-AU" w:bidi="ar-SA"/>
              </w:rPr>
            </w:pPr>
            <w:r w:rsidRPr="00B37101">
              <w:rPr>
                <w:rFonts w:cstheme="minorHAnsi"/>
                <w:sz w:val="20"/>
                <w:szCs w:val="20"/>
              </w:rPr>
              <w:t>Localising Professional Capacity Building</w:t>
            </w:r>
          </w:p>
        </w:tc>
        <w:tc>
          <w:tcPr>
            <w:tcW w:w="1830" w:type="pct"/>
            <w:tcBorders>
              <w:top w:val="nil"/>
              <w:left w:val="nil"/>
              <w:bottom w:val="single" w:sz="8" w:space="0" w:color="auto"/>
              <w:right w:val="single" w:sz="8" w:space="0" w:color="auto"/>
            </w:tcBorders>
            <w:shd w:val="clear" w:color="auto" w:fill="auto"/>
            <w:noWrap/>
            <w:vAlign w:val="center"/>
            <w:hideMark/>
          </w:tcPr>
          <w:p w14:paraId="33637DD5" w14:textId="63A0C569" w:rsidR="00B37101" w:rsidRPr="00B37101" w:rsidRDefault="00B37101" w:rsidP="00B37101">
            <w:pPr>
              <w:rPr>
                <w:rFonts w:eastAsia="Times New Roman" w:cstheme="minorHAnsi"/>
                <w:color w:val="000000"/>
                <w:sz w:val="20"/>
                <w:szCs w:val="20"/>
                <w:lang w:eastAsia="en-AU" w:bidi="ar-SA"/>
              </w:rPr>
            </w:pPr>
            <w:r w:rsidRPr="00B37101">
              <w:rPr>
                <w:rFonts w:cstheme="minorHAnsi"/>
                <w:sz w:val="20"/>
                <w:szCs w:val="20"/>
              </w:rPr>
              <w:t>Opening the Courts Safely during COVID-19 Webinar</w:t>
            </w:r>
          </w:p>
        </w:tc>
        <w:tc>
          <w:tcPr>
            <w:tcW w:w="712" w:type="pct"/>
            <w:tcBorders>
              <w:top w:val="nil"/>
              <w:left w:val="nil"/>
              <w:bottom w:val="single" w:sz="8" w:space="0" w:color="auto"/>
              <w:right w:val="single" w:sz="8" w:space="0" w:color="auto"/>
            </w:tcBorders>
            <w:shd w:val="clear" w:color="auto" w:fill="auto"/>
            <w:noWrap/>
            <w:vAlign w:val="center"/>
            <w:hideMark/>
          </w:tcPr>
          <w:p w14:paraId="0ADF296D" w14:textId="1D046DAE" w:rsidR="00B37101" w:rsidRPr="00B37101" w:rsidRDefault="00B37101" w:rsidP="00B37101">
            <w:pPr>
              <w:jc w:val="center"/>
              <w:rPr>
                <w:rFonts w:eastAsia="Times New Roman" w:cstheme="minorHAnsi"/>
                <w:color w:val="000000"/>
                <w:sz w:val="20"/>
                <w:szCs w:val="20"/>
                <w:lang w:eastAsia="en-AU" w:bidi="ar-SA"/>
              </w:rPr>
            </w:pPr>
            <w:r w:rsidRPr="00B37101">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center"/>
            <w:hideMark/>
          </w:tcPr>
          <w:p w14:paraId="2E44F44B" w14:textId="3AEB4012" w:rsidR="00B37101" w:rsidRPr="00B37101" w:rsidRDefault="00B37101" w:rsidP="00B37101">
            <w:pPr>
              <w:jc w:val="center"/>
              <w:rPr>
                <w:rFonts w:eastAsia="Times New Roman" w:cstheme="minorHAnsi"/>
                <w:color w:val="000000"/>
                <w:sz w:val="20"/>
                <w:szCs w:val="20"/>
                <w:lang w:eastAsia="en-AU" w:bidi="ar-SA"/>
              </w:rPr>
            </w:pPr>
            <w:r w:rsidRPr="00B37101">
              <w:rPr>
                <w:rFonts w:cstheme="minorHAnsi"/>
                <w:sz w:val="20"/>
                <w:szCs w:val="20"/>
              </w:rPr>
              <w:t>23 June, 2020</w:t>
            </w:r>
          </w:p>
        </w:tc>
      </w:tr>
      <w:tr w:rsidR="00B37101" w:rsidRPr="0057080E" w14:paraId="27FE07AC" w14:textId="77777777" w:rsidTr="00B37101">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4DB8D5B7" w14:textId="2B634F92" w:rsidR="00B37101" w:rsidRPr="00B37101" w:rsidRDefault="00B37101" w:rsidP="00B37101">
            <w:pPr>
              <w:jc w:val="center"/>
              <w:rPr>
                <w:rFonts w:eastAsia="Times New Roman" w:cstheme="minorHAnsi"/>
                <w:sz w:val="20"/>
                <w:szCs w:val="20"/>
                <w:lang w:eastAsia="en-AU" w:bidi="ar-SA"/>
              </w:rPr>
            </w:pPr>
            <w:r w:rsidRPr="00B37101">
              <w:rPr>
                <w:rFonts w:cstheme="minorHAnsi"/>
                <w:color w:val="000000"/>
                <w:sz w:val="20"/>
                <w:szCs w:val="20"/>
              </w:rPr>
              <w:t>28</w:t>
            </w:r>
          </w:p>
        </w:tc>
        <w:tc>
          <w:tcPr>
            <w:tcW w:w="712" w:type="pct"/>
            <w:tcBorders>
              <w:top w:val="nil"/>
              <w:left w:val="nil"/>
              <w:bottom w:val="single" w:sz="8" w:space="0" w:color="auto"/>
              <w:right w:val="single" w:sz="8" w:space="0" w:color="auto"/>
            </w:tcBorders>
            <w:shd w:val="clear" w:color="auto" w:fill="auto"/>
            <w:noWrap/>
            <w:vAlign w:val="center"/>
            <w:hideMark/>
          </w:tcPr>
          <w:p w14:paraId="46EBBACD" w14:textId="6E3ECA3D" w:rsidR="00B37101" w:rsidRPr="00B37101" w:rsidRDefault="00B37101" w:rsidP="00B37101">
            <w:pPr>
              <w:rPr>
                <w:rFonts w:eastAsia="Times New Roman" w:cstheme="minorHAnsi"/>
                <w:sz w:val="20"/>
                <w:szCs w:val="20"/>
                <w:lang w:eastAsia="en-AU" w:bidi="ar-SA"/>
              </w:rPr>
            </w:pPr>
            <w:r w:rsidRPr="00B37101">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5C6A24D6" w14:textId="5C59AA9E" w:rsidR="00B37101" w:rsidRPr="00B37101" w:rsidRDefault="00B37101" w:rsidP="00B37101">
            <w:pPr>
              <w:rPr>
                <w:rFonts w:eastAsia="Times New Roman" w:cstheme="minorHAnsi"/>
                <w:sz w:val="20"/>
                <w:szCs w:val="20"/>
                <w:lang w:eastAsia="en-AU" w:bidi="ar-SA"/>
              </w:rPr>
            </w:pPr>
            <w:r w:rsidRPr="00B37101">
              <w:rPr>
                <w:rFonts w:cstheme="minorHAnsi"/>
                <w:sz w:val="20"/>
                <w:szCs w:val="20"/>
              </w:rPr>
              <w:t>Leadership Incentive Fund</w:t>
            </w:r>
          </w:p>
        </w:tc>
        <w:tc>
          <w:tcPr>
            <w:tcW w:w="1830" w:type="pct"/>
            <w:tcBorders>
              <w:top w:val="nil"/>
              <w:left w:val="nil"/>
              <w:bottom w:val="single" w:sz="8" w:space="0" w:color="auto"/>
              <w:right w:val="single" w:sz="8" w:space="0" w:color="auto"/>
            </w:tcBorders>
            <w:shd w:val="clear" w:color="auto" w:fill="auto"/>
            <w:noWrap/>
            <w:vAlign w:val="center"/>
            <w:hideMark/>
          </w:tcPr>
          <w:p w14:paraId="6F1401D4" w14:textId="6ED1B4E1" w:rsidR="00B37101" w:rsidRPr="00B37101" w:rsidRDefault="00B37101" w:rsidP="00B37101">
            <w:pPr>
              <w:rPr>
                <w:rFonts w:eastAsia="Times New Roman" w:cstheme="minorHAnsi"/>
                <w:sz w:val="20"/>
                <w:szCs w:val="20"/>
                <w:lang w:eastAsia="en-AU" w:bidi="ar-SA"/>
              </w:rPr>
            </w:pPr>
            <w:r w:rsidRPr="00B37101">
              <w:rPr>
                <w:rFonts w:cstheme="minorHAnsi"/>
                <w:color w:val="000000"/>
                <w:sz w:val="20"/>
                <w:szCs w:val="20"/>
              </w:rPr>
              <w:t>Certificate of Justice (Semester 2, 2020)</w:t>
            </w:r>
          </w:p>
        </w:tc>
        <w:tc>
          <w:tcPr>
            <w:tcW w:w="712" w:type="pct"/>
            <w:tcBorders>
              <w:top w:val="nil"/>
              <w:left w:val="nil"/>
              <w:bottom w:val="single" w:sz="8" w:space="0" w:color="auto"/>
              <w:right w:val="single" w:sz="8" w:space="0" w:color="auto"/>
            </w:tcBorders>
            <w:shd w:val="clear" w:color="auto" w:fill="auto"/>
            <w:noWrap/>
            <w:vAlign w:val="center"/>
            <w:hideMark/>
          </w:tcPr>
          <w:p w14:paraId="6D9704EB" w14:textId="0B22BB33" w:rsidR="00B37101" w:rsidRPr="00B37101" w:rsidRDefault="00B37101" w:rsidP="00B37101">
            <w:pPr>
              <w:jc w:val="center"/>
              <w:rPr>
                <w:rFonts w:eastAsia="Times New Roman" w:cstheme="minorHAnsi"/>
                <w:sz w:val="20"/>
                <w:szCs w:val="20"/>
                <w:lang w:eastAsia="en-AU" w:bidi="ar-SA"/>
              </w:rPr>
            </w:pPr>
            <w:r w:rsidRPr="00B37101">
              <w:rPr>
                <w:rFonts w:cstheme="minorHAnsi"/>
                <w:color w:val="000000"/>
                <w:sz w:val="20"/>
                <w:szCs w:val="20"/>
              </w:rPr>
              <w:t>Local</w:t>
            </w:r>
          </w:p>
        </w:tc>
        <w:tc>
          <w:tcPr>
            <w:tcW w:w="783" w:type="pct"/>
            <w:tcBorders>
              <w:top w:val="nil"/>
              <w:left w:val="nil"/>
              <w:bottom w:val="single" w:sz="8" w:space="0" w:color="auto"/>
              <w:right w:val="single" w:sz="8" w:space="0" w:color="auto"/>
            </w:tcBorders>
            <w:shd w:val="clear" w:color="auto" w:fill="auto"/>
            <w:noWrap/>
            <w:vAlign w:val="center"/>
            <w:hideMark/>
          </w:tcPr>
          <w:p w14:paraId="55A4A295" w14:textId="5B7EDDEF"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2 July - 1 November, 2020</w:t>
            </w:r>
          </w:p>
        </w:tc>
      </w:tr>
      <w:tr w:rsidR="00B37101" w:rsidRPr="0057080E" w14:paraId="0DFDA910" w14:textId="77777777" w:rsidTr="00B37101">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57790748" w14:textId="19BD3C72" w:rsidR="00B37101" w:rsidRPr="00B37101" w:rsidRDefault="00B37101" w:rsidP="00B37101">
            <w:pPr>
              <w:jc w:val="center"/>
              <w:rPr>
                <w:rFonts w:eastAsia="Times New Roman" w:cstheme="minorHAnsi"/>
                <w:sz w:val="20"/>
                <w:szCs w:val="20"/>
                <w:lang w:eastAsia="en-AU" w:bidi="ar-SA"/>
              </w:rPr>
            </w:pPr>
            <w:r w:rsidRPr="00B37101">
              <w:rPr>
                <w:rFonts w:cstheme="minorHAnsi"/>
                <w:color w:val="000000"/>
                <w:sz w:val="20"/>
                <w:szCs w:val="20"/>
              </w:rPr>
              <w:t>29</w:t>
            </w:r>
          </w:p>
        </w:tc>
        <w:tc>
          <w:tcPr>
            <w:tcW w:w="712" w:type="pct"/>
            <w:tcBorders>
              <w:top w:val="nil"/>
              <w:left w:val="nil"/>
              <w:bottom w:val="single" w:sz="8" w:space="0" w:color="auto"/>
              <w:right w:val="single" w:sz="8" w:space="0" w:color="auto"/>
            </w:tcBorders>
            <w:shd w:val="clear" w:color="auto" w:fill="auto"/>
            <w:noWrap/>
            <w:vAlign w:val="center"/>
            <w:hideMark/>
          </w:tcPr>
          <w:p w14:paraId="59193F07" w14:textId="13BE1065" w:rsidR="00B37101" w:rsidRPr="00B37101" w:rsidRDefault="00B37101" w:rsidP="00B37101">
            <w:pPr>
              <w:rPr>
                <w:rFonts w:eastAsia="Times New Roman" w:cstheme="minorHAnsi"/>
                <w:sz w:val="20"/>
                <w:szCs w:val="20"/>
                <w:lang w:eastAsia="en-AU" w:bidi="ar-SA"/>
              </w:rPr>
            </w:pPr>
            <w:r w:rsidRPr="00B37101">
              <w:rPr>
                <w:rFonts w:cstheme="minorHAnsi"/>
                <w:sz w:val="20"/>
                <w:szCs w:val="20"/>
              </w:rPr>
              <w:t>Judicial Leadership</w:t>
            </w:r>
          </w:p>
        </w:tc>
        <w:tc>
          <w:tcPr>
            <w:tcW w:w="763" w:type="pct"/>
            <w:tcBorders>
              <w:top w:val="nil"/>
              <w:left w:val="nil"/>
              <w:bottom w:val="single" w:sz="8" w:space="0" w:color="auto"/>
              <w:right w:val="single" w:sz="8" w:space="0" w:color="auto"/>
            </w:tcBorders>
            <w:shd w:val="clear" w:color="auto" w:fill="auto"/>
            <w:vAlign w:val="center"/>
            <w:hideMark/>
          </w:tcPr>
          <w:p w14:paraId="3893E2A2" w14:textId="5826CF7B" w:rsidR="00B37101" w:rsidRPr="00B37101" w:rsidRDefault="00B37101" w:rsidP="00B37101">
            <w:pPr>
              <w:rPr>
                <w:rFonts w:eastAsia="Times New Roman" w:cstheme="minorHAnsi"/>
                <w:sz w:val="20"/>
                <w:szCs w:val="20"/>
                <w:lang w:eastAsia="en-AU" w:bidi="ar-SA"/>
              </w:rPr>
            </w:pPr>
            <w:r w:rsidRPr="00B37101">
              <w:rPr>
                <w:rFonts w:cstheme="minorHAnsi"/>
                <w:sz w:val="20"/>
                <w:szCs w:val="20"/>
              </w:rPr>
              <w:t>Regional Leadership</w:t>
            </w:r>
          </w:p>
        </w:tc>
        <w:tc>
          <w:tcPr>
            <w:tcW w:w="1830" w:type="pct"/>
            <w:tcBorders>
              <w:top w:val="nil"/>
              <w:left w:val="nil"/>
              <w:bottom w:val="single" w:sz="8" w:space="0" w:color="auto"/>
              <w:right w:val="single" w:sz="8" w:space="0" w:color="auto"/>
            </w:tcBorders>
            <w:shd w:val="clear" w:color="auto" w:fill="auto"/>
            <w:noWrap/>
            <w:vAlign w:val="center"/>
            <w:hideMark/>
          </w:tcPr>
          <w:p w14:paraId="1C6A3AB1" w14:textId="6B427547" w:rsidR="00B37101" w:rsidRPr="00B37101" w:rsidRDefault="00B37101" w:rsidP="00B37101">
            <w:pPr>
              <w:rPr>
                <w:rFonts w:eastAsia="Times New Roman" w:cstheme="minorHAnsi"/>
                <w:color w:val="000000"/>
                <w:sz w:val="20"/>
                <w:szCs w:val="20"/>
                <w:lang w:eastAsia="en-AU" w:bidi="ar-SA"/>
              </w:rPr>
            </w:pPr>
            <w:r w:rsidRPr="00B37101">
              <w:rPr>
                <w:rFonts w:cstheme="minorHAnsi"/>
                <w:sz w:val="20"/>
                <w:szCs w:val="20"/>
              </w:rPr>
              <w:t>5th Chief Justices’ Leadership Forum Webinar #6 (with NJC):</w:t>
            </w:r>
          </w:p>
        </w:tc>
        <w:tc>
          <w:tcPr>
            <w:tcW w:w="712" w:type="pct"/>
            <w:tcBorders>
              <w:top w:val="nil"/>
              <w:left w:val="nil"/>
              <w:bottom w:val="single" w:sz="8" w:space="0" w:color="auto"/>
              <w:right w:val="single" w:sz="8" w:space="0" w:color="auto"/>
            </w:tcBorders>
            <w:shd w:val="clear" w:color="auto" w:fill="auto"/>
            <w:noWrap/>
            <w:vAlign w:val="center"/>
            <w:hideMark/>
          </w:tcPr>
          <w:p w14:paraId="325A69F9" w14:textId="03CA0795"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center"/>
            <w:hideMark/>
          </w:tcPr>
          <w:p w14:paraId="51A04ED9" w14:textId="6F470FDA"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16 July, 2020</w:t>
            </w:r>
          </w:p>
        </w:tc>
      </w:tr>
      <w:tr w:rsidR="00B37101" w:rsidRPr="0057080E" w14:paraId="3A03606F" w14:textId="77777777" w:rsidTr="00B37101">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574B7033" w14:textId="5B0F55E6" w:rsidR="00B37101" w:rsidRPr="00B37101" w:rsidRDefault="00B37101" w:rsidP="00B37101">
            <w:pPr>
              <w:jc w:val="center"/>
              <w:rPr>
                <w:rFonts w:eastAsia="Times New Roman" w:cstheme="minorHAnsi"/>
                <w:sz w:val="20"/>
                <w:szCs w:val="20"/>
                <w:lang w:eastAsia="en-AU" w:bidi="ar-SA"/>
              </w:rPr>
            </w:pPr>
            <w:r w:rsidRPr="00B37101">
              <w:rPr>
                <w:rFonts w:cstheme="minorHAnsi"/>
                <w:color w:val="000000"/>
                <w:sz w:val="20"/>
                <w:szCs w:val="20"/>
              </w:rPr>
              <w:t>30</w:t>
            </w:r>
          </w:p>
        </w:tc>
        <w:tc>
          <w:tcPr>
            <w:tcW w:w="712" w:type="pct"/>
            <w:tcBorders>
              <w:top w:val="nil"/>
              <w:left w:val="nil"/>
              <w:bottom w:val="single" w:sz="8" w:space="0" w:color="auto"/>
              <w:right w:val="single" w:sz="8" w:space="0" w:color="auto"/>
            </w:tcBorders>
            <w:shd w:val="clear" w:color="auto" w:fill="auto"/>
            <w:noWrap/>
            <w:vAlign w:val="center"/>
            <w:hideMark/>
          </w:tcPr>
          <w:p w14:paraId="041C46DF" w14:textId="3E874E12" w:rsidR="00B37101" w:rsidRPr="00B37101" w:rsidRDefault="00B37101" w:rsidP="00B37101">
            <w:pPr>
              <w:rPr>
                <w:rFonts w:eastAsia="Times New Roman" w:cstheme="minorHAnsi"/>
                <w:sz w:val="20"/>
                <w:szCs w:val="20"/>
                <w:lang w:eastAsia="en-AU" w:bidi="ar-SA"/>
              </w:rPr>
            </w:pPr>
            <w:r w:rsidRPr="00B37101">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4BD79388" w14:textId="6A36991E" w:rsidR="00B37101" w:rsidRPr="00B37101" w:rsidRDefault="00B37101" w:rsidP="00B37101">
            <w:pPr>
              <w:rPr>
                <w:rFonts w:eastAsia="Times New Roman" w:cstheme="minorHAnsi"/>
                <w:sz w:val="20"/>
                <w:szCs w:val="20"/>
                <w:lang w:eastAsia="en-AU" w:bidi="ar-SA"/>
              </w:rPr>
            </w:pPr>
            <w:r w:rsidRPr="00B37101">
              <w:rPr>
                <w:rFonts w:cstheme="minorHAnsi"/>
                <w:sz w:val="20"/>
                <w:szCs w:val="20"/>
              </w:rPr>
              <w:t>Localising Professional Capacity Building</w:t>
            </w:r>
          </w:p>
        </w:tc>
        <w:tc>
          <w:tcPr>
            <w:tcW w:w="1830" w:type="pct"/>
            <w:tcBorders>
              <w:top w:val="nil"/>
              <w:left w:val="nil"/>
              <w:bottom w:val="single" w:sz="8" w:space="0" w:color="auto"/>
              <w:right w:val="single" w:sz="8" w:space="0" w:color="auto"/>
            </w:tcBorders>
            <w:shd w:val="clear" w:color="auto" w:fill="auto"/>
            <w:noWrap/>
            <w:vAlign w:val="center"/>
            <w:hideMark/>
          </w:tcPr>
          <w:p w14:paraId="28439CED" w14:textId="647AB6B8" w:rsidR="00B37101" w:rsidRPr="00B37101" w:rsidRDefault="00B37101" w:rsidP="00B37101">
            <w:pPr>
              <w:rPr>
                <w:rFonts w:eastAsia="Times New Roman" w:cstheme="minorHAnsi"/>
                <w:sz w:val="20"/>
                <w:szCs w:val="20"/>
                <w:lang w:eastAsia="en-AU" w:bidi="ar-SA"/>
              </w:rPr>
            </w:pPr>
            <w:r w:rsidRPr="00B37101">
              <w:rPr>
                <w:rFonts w:cstheme="minorHAnsi"/>
                <w:sz w:val="20"/>
                <w:szCs w:val="20"/>
              </w:rPr>
              <w:t xml:space="preserve">The Pacific Courts and the COVID-19 Pandemic Webinar </w:t>
            </w:r>
          </w:p>
        </w:tc>
        <w:tc>
          <w:tcPr>
            <w:tcW w:w="712" w:type="pct"/>
            <w:tcBorders>
              <w:top w:val="nil"/>
              <w:left w:val="nil"/>
              <w:bottom w:val="single" w:sz="8" w:space="0" w:color="auto"/>
              <w:right w:val="single" w:sz="8" w:space="0" w:color="auto"/>
            </w:tcBorders>
            <w:shd w:val="clear" w:color="auto" w:fill="auto"/>
            <w:noWrap/>
            <w:vAlign w:val="center"/>
            <w:hideMark/>
          </w:tcPr>
          <w:p w14:paraId="44E805BE" w14:textId="41839701"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center"/>
            <w:hideMark/>
          </w:tcPr>
          <w:p w14:paraId="1431151B" w14:textId="06EE41E1"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6 August, 2020</w:t>
            </w:r>
          </w:p>
        </w:tc>
      </w:tr>
      <w:tr w:rsidR="00B37101" w:rsidRPr="0057080E" w14:paraId="7AA51D61" w14:textId="77777777" w:rsidTr="00B37101">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2E9761EF" w14:textId="361BD0ED" w:rsidR="00B37101" w:rsidRPr="00B37101" w:rsidRDefault="00B37101" w:rsidP="00B37101">
            <w:pPr>
              <w:jc w:val="center"/>
              <w:rPr>
                <w:rFonts w:eastAsia="Times New Roman" w:cstheme="minorHAnsi"/>
                <w:sz w:val="20"/>
                <w:szCs w:val="20"/>
                <w:lang w:eastAsia="en-AU" w:bidi="ar-SA"/>
              </w:rPr>
            </w:pPr>
            <w:r w:rsidRPr="00B37101">
              <w:rPr>
                <w:rFonts w:cstheme="minorHAnsi"/>
                <w:color w:val="000000"/>
                <w:sz w:val="20"/>
                <w:szCs w:val="20"/>
              </w:rPr>
              <w:t>31</w:t>
            </w:r>
          </w:p>
        </w:tc>
        <w:tc>
          <w:tcPr>
            <w:tcW w:w="712" w:type="pct"/>
            <w:tcBorders>
              <w:top w:val="nil"/>
              <w:left w:val="nil"/>
              <w:bottom w:val="single" w:sz="8" w:space="0" w:color="auto"/>
              <w:right w:val="single" w:sz="8" w:space="0" w:color="auto"/>
            </w:tcBorders>
            <w:shd w:val="clear" w:color="auto" w:fill="auto"/>
            <w:noWrap/>
            <w:vAlign w:val="center"/>
            <w:hideMark/>
          </w:tcPr>
          <w:p w14:paraId="0094DEFA" w14:textId="5B8FBD89" w:rsidR="00B37101" w:rsidRPr="00B37101" w:rsidRDefault="00B37101" w:rsidP="00B37101">
            <w:pPr>
              <w:rPr>
                <w:rFonts w:eastAsia="Times New Roman" w:cstheme="minorHAnsi"/>
                <w:sz w:val="20"/>
                <w:szCs w:val="20"/>
                <w:lang w:eastAsia="en-AU" w:bidi="ar-SA"/>
              </w:rPr>
            </w:pPr>
            <w:r w:rsidRPr="00B37101">
              <w:rPr>
                <w:rFonts w:cstheme="minorHAnsi"/>
                <w:sz w:val="20"/>
                <w:szCs w:val="20"/>
              </w:rPr>
              <w:t>Procedural Justice</w:t>
            </w:r>
          </w:p>
        </w:tc>
        <w:tc>
          <w:tcPr>
            <w:tcW w:w="763" w:type="pct"/>
            <w:tcBorders>
              <w:top w:val="nil"/>
              <w:left w:val="nil"/>
              <w:bottom w:val="single" w:sz="8" w:space="0" w:color="auto"/>
              <w:right w:val="single" w:sz="8" w:space="0" w:color="auto"/>
            </w:tcBorders>
            <w:shd w:val="clear" w:color="auto" w:fill="auto"/>
            <w:vAlign w:val="center"/>
            <w:hideMark/>
          </w:tcPr>
          <w:p w14:paraId="6A3AC56E" w14:textId="6FEC55E5" w:rsidR="00B37101" w:rsidRPr="00B37101" w:rsidRDefault="00B37101" w:rsidP="00B37101">
            <w:pPr>
              <w:rPr>
                <w:rFonts w:eastAsia="Times New Roman" w:cstheme="minorHAnsi"/>
                <w:color w:val="000000"/>
                <w:sz w:val="20"/>
                <w:szCs w:val="20"/>
                <w:lang w:eastAsia="en-AU" w:bidi="ar-SA"/>
              </w:rPr>
            </w:pPr>
            <w:r w:rsidRPr="00B37101">
              <w:rPr>
                <w:rFonts w:cstheme="minorHAnsi"/>
                <w:sz w:val="20"/>
                <w:szCs w:val="20"/>
              </w:rPr>
              <w:t>Sustainable Development Goals (SDGs)</w:t>
            </w:r>
          </w:p>
        </w:tc>
        <w:tc>
          <w:tcPr>
            <w:tcW w:w="1830" w:type="pct"/>
            <w:tcBorders>
              <w:top w:val="nil"/>
              <w:left w:val="nil"/>
              <w:bottom w:val="single" w:sz="8" w:space="0" w:color="auto"/>
              <w:right w:val="single" w:sz="8" w:space="0" w:color="auto"/>
            </w:tcBorders>
            <w:shd w:val="clear" w:color="auto" w:fill="auto"/>
            <w:noWrap/>
            <w:vAlign w:val="center"/>
            <w:hideMark/>
          </w:tcPr>
          <w:p w14:paraId="6BB4F808" w14:textId="437A8E4A" w:rsidR="00B37101" w:rsidRPr="00B37101" w:rsidRDefault="00B37101" w:rsidP="00B37101">
            <w:pPr>
              <w:rPr>
                <w:rFonts w:eastAsia="Times New Roman" w:cstheme="minorHAnsi"/>
                <w:color w:val="000000"/>
                <w:sz w:val="20"/>
                <w:szCs w:val="20"/>
                <w:lang w:eastAsia="en-AU" w:bidi="ar-SA"/>
              </w:rPr>
            </w:pPr>
            <w:r w:rsidRPr="00B37101">
              <w:rPr>
                <w:rFonts w:cstheme="minorHAnsi"/>
                <w:sz w:val="20"/>
                <w:szCs w:val="20"/>
              </w:rPr>
              <w:t>The Sustainable Development Goals &amp; Judicial Reform: Webinar #1</w:t>
            </w:r>
          </w:p>
        </w:tc>
        <w:tc>
          <w:tcPr>
            <w:tcW w:w="712" w:type="pct"/>
            <w:tcBorders>
              <w:top w:val="nil"/>
              <w:left w:val="nil"/>
              <w:bottom w:val="single" w:sz="8" w:space="0" w:color="auto"/>
              <w:right w:val="single" w:sz="8" w:space="0" w:color="auto"/>
            </w:tcBorders>
            <w:shd w:val="clear" w:color="auto" w:fill="auto"/>
            <w:noWrap/>
            <w:vAlign w:val="center"/>
            <w:hideMark/>
          </w:tcPr>
          <w:p w14:paraId="189C45DE" w14:textId="680E9E70" w:rsidR="00B37101" w:rsidRPr="00B37101" w:rsidRDefault="00B37101" w:rsidP="00B37101">
            <w:pPr>
              <w:jc w:val="center"/>
              <w:rPr>
                <w:rFonts w:eastAsia="Times New Roman" w:cstheme="minorHAnsi"/>
                <w:color w:val="000000"/>
                <w:sz w:val="20"/>
                <w:szCs w:val="20"/>
                <w:lang w:eastAsia="en-AU" w:bidi="ar-SA"/>
              </w:rPr>
            </w:pPr>
            <w:r w:rsidRPr="00B37101">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center"/>
            <w:hideMark/>
          </w:tcPr>
          <w:p w14:paraId="3E310BF9" w14:textId="4A2410FB" w:rsidR="00B37101" w:rsidRPr="00B37101" w:rsidRDefault="00B37101" w:rsidP="00B37101">
            <w:pPr>
              <w:jc w:val="center"/>
              <w:rPr>
                <w:rFonts w:eastAsia="Times New Roman" w:cstheme="minorHAnsi"/>
                <w:color w:val="000000"/>
                <w:sz w:val="20"/>
                <w:szCs w:val="20"/>
                <w:lang w:eastAsia="en-AU" w:bidi="ar-SA"/>
              </w:rPr>
            </w:pPr>
            <w:r w:rsidRPr="00B37101">
              <w:rPr>
                <w:rFonts w:cstheme="minorHAnsi"/>
                <w:sz w:val="20"/>
                <w:szCs w:val="20"/>
              </w:rPr>
              <w:t>10 September, 2020</w:t>
            </w:r>
          </w:p>
        </w:tc>
      </w:tr>
      <w:tr w:rsidR="00B37101" w:rsidRPr="0057080E" w14:paraId="5CE4E0C6" w14:textId="77777777" w:rsidTr="00B37101">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2B650ED8" w14:textId="65364D4C" w:rsidR="00B37101" w:rsidRPr="00B37101" w:rsidRDefault="00B37101" w:rsidP="00B37101">
            <w:pPr>
              <w:jc w:val="center"/>
              <w:rPr>
                <w:rFonts w:eastAsia="Times New Roman" w:cstheme="minorHAnsi"/>
                <w:sz w:val="20"/>
                <w:szCs w:val="20"/>
                <w:lang w:eastAsia="en-AU" w:bidi="ar-SA"/>
              </w:rPr>
            </w:pPr>
            <w:r w:rsidRPr="00B37101">
              <w:rPr>
                <w:rFonts w:cstheme="minorHAnsi"/>
                <w:color w:val="000000"/>
                <w:sz w:val="20"/>
                <w:szCs w:val="20"/>
              </w:rPr>
              <w:t>32</w:t>
            </w:r>
          </w:p>
        </w:tc>
        <w:tc>
          <w:tcPr>
            <w:tcW w:w="712" w:type="pct"/>
            <w:tcBorders>
              <w:top w:val="nil"/>
              <w:left w:val="nil"/>
              <w:bottom w:val="single" w:sz="8" w:space="0" w:color="auto"/>
              <w:right w:val="single" w:sz="8" w:space="0" w:color="auto"/>
            </w:tcBorders>
            <w:shd w:val="clear" w:color="auto" w:fill="auto"/>
            <w:noWrap/>
            <w:vAlign w:val="center"/>
            <w:hideMark/>
          </w:tcPr>
          <w:p w14:paraId="5EF75101" w14:textId="0DF145E4" w:rsidR="00B37101" w:rsidRPr="00B37101" w:rsidRDefault="00B37101" w:rsidP="00B37101">
            <w:pPr>
              <w:rPr>
                <w:rFonts w:eastAsia="Times New Roman" w:cstheme="minorHAnsi"/>
                <w:sz w:val="20"/>
                <w:szCs w:val="20"/>
                <w:lang w:eastAsia="en-AU" w:bidi="ar-SA"/>
              </w:rPr>
            </w:pPr>
            <w:r w:rsidRPr="00B37101">
              <w:rPr>
                <w:rFonts w:cstheme="minorHAnsi"/>
                <w:sz w:val="20"/>
                <w:szCs w:val="20"/>
              </w:rPr>
              <w:t>Procedural Justice</w:t>
            </w:r>
          </w:p>
        </w:tc>
        <w:tc>
          <w:tcPr>
            <w:tcW w:w="763" w:type="pct"/>
            <w:tcBorders>
              <w:top w:val="nil"/>
              <w:left w:val="nil"/>
              <w:bottom w:val="single" w:sz="8" w:space="0" w:color="auto"/>
              <w:right w:val="single" w:sz="8" w:space="0" w:color="auto"/>
            </w:tcBorders>
            <w:shd w:val="clear" w:color="auto" w:fill="auto"/>
            <w:vAlign w:val="center"/>
            <w:hideMark/>
          </w:tcPr>
          <w:p w14:paraId="50EB79B7" w14:textId="7F957C6F" w:rsidR="00B37101" w:rsidRPr="00B37101" w:rsidRDefault="00B37101" w:rsidP="00B37101">
            <w:pPr>
              <w:rPr>
                <w:rFonts w:eastAsia="Times New Roman" w:cstheme="minorHAnsi"/>
                <w:sz w:val="20"/>
                <w:szCs w:val="20"/>
                <w:lang w:eastAsia="en-AU" w:bidi="ar-SA"/>
              </w:rPr>
            </w:pPr>
            <w:r w:rsidRPr="00B37101">
              <w:rPr>
                <w:rFonts w:cstheme="minorHAnsi"/>
                <w:sz w:val="20"/>
                <w:szCs w:val="20"/>
              </w:rPr>
              <w:t>Sustainable Development Goals (SDGs)</w:t>
            </w:r>
          </w:p>
        </w:tc>
        <w:tc>
          <w:tcPr>
            <w:tcW w:w="1830" w:type="pct"/>
            <w:tcBorders>
              <w:top w:val="nil"/>
              <w:left w:val="nil"/>
              <w:bottom w:val="single" w:sz="8" w:space="0" w:color="auto"/>
              <w:right w:val="single" w:sz="8" w:space="0" w:color="auto"/>
            </w:tcBorders>
            <w:shd w:val="clear" w:color="auto" w:fill="auto"/>
            <w:noWrap/>
            <w:vAlign w:val="center"/>
            <w:hideMark/>
          </w:tcPr>
          <w:p w14:paraId="74A93FF6" w14:textId="656E5EB9" w:rsidR="00B37101" w:rsidRPr="00B37101" w:rsidRDefault="00B37101" w:rsidP="00B37101">
            <w:pPr>
              <w:rPr>
                <w:rFonts w:eastAsia="Times New Roman" w:cstheme="minorHAnsi"/>
                <w:sz w:val="20"/>
                <w:szCs w:val="20"/>
                <w:lang w:eastAsia="en-AU" w:bidi="ar-SA"/>
              </w:rPr>
            </w:pPr>
            <w:r w:rsidRPr="00B37101">
              <w:rPr>
                <w:rFonts w:cstheme="minorHAnsi"/>
                <w:sz w:val="20"/>
                <w:szCs w:val="20"/>
              </w:rPr>
              <w:t>The Sustainable Development Goals &amp; Judicial Reform: Webinar #2</w:t>
            </w:r>
          </w:p>
        </w:tc>
        <w:tc>
          <w:tcPr>
            <w:tcW w:w="712" w:type="pct"/>
            <w:tcBorders>
              <w:top w:val="nil"/>
              <w:left w:val="nil"/>
              <w:bottom w:val="single" w:sz="8" w:space="0" w:color="auto"/>
              <w:right w:val="single" w:sz="8" w:space="0" w:color="auto"/>
            </w:tcBorders>
            <w:shd w:val="clear" w:color="auto" w:fill="auto"/>
            <w:noWrap/>
            <w:vAlign w:val="center"/>
            <w:hideMark/>
          </w:tcPr>
          <w:p w14:paraId="1C07C272" w14:textId="41D0DA55"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center"/>
            <w:hideMark/>
          </w:tcPr>
          <w:p w14:paraId="70BB4F7A" w14:textId="328C96FD"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8 October, 2020</w:t>
            </w:r>
          </w:p>
        </w:tc>
      </w:tr>
      <w:tr w:rsidR="00B37101" w:rsidRPr="0057080E" w14:paraId="24A48429" w14:textId="77777777" w:rsidTr="00B37101">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538FE3AB" w14:textId="3A84003F" w:rsidR="00B37101" w:rsidRPr="00B37101" w:rsidRDefault="00B37101" w:rsidP="00B37101">
            <w:pPr>
              <w:jc w:val="center"/>
              <w:rPr>
                <w:rFonts w:eastAsia="Times New Roman" w:cstheme="minorHAnsi"/>
                <w:sz w:val="20"/>
                <w:szCs w:val="20"/>
                <w:lang w:eastAsia="en-AU" w:bidi="ar-SA"/>
              </w:rPr>
            </w:pPr>
            <w:r w:rsidRPr="00B37101">
              <w:rPr>
                <w:rFonts w:cstheme="minorHAnsi"/>
                <w:color w:val="000000"/>
                <w:sz w:val="20"/>
                <w:szCs w:val="20"/>
              </w:rPr>
              <w:lastRenderedPageBreak/>
              <w:t>33</w:t>
            </w:r>
          </w:p>
        </w:tc>
        <w:tc>
          <w:tcPr>
            <w:tcW w:w="712" w:type="pct"/>
            <w:tcBorders>
              <w:top w:val="nil"/>
              <w:left w:val="nil"/>
              <w:bottom w:val="single" w:sz="8" w:space="0" w:color="auto"/>
              <w:right w:val="single" w:sz="8" w:space="0" w:color="auto"/>
            </w:tcBorders>
            <w:shd w:val="clear" w:color="auto" w:fill="auto"/>
            <w:noWrap/>
            <w:vAlign w:val="center"/>
            <w:hideMark/>
          </w:tcPr>
          <w:p w14:paraId="521E0BDC" w14:textId="2412F393" w:rsidR="00B37101" w:rsidRPr="00B37101" w:rsidRDefault="00B37101" w:rsidP="00B37101">
            <w:pPr>
              <w:rPr>
                <w:rFonts w:eastAsia="Times New Roman" w:cstheme="minorHAnsi"/>
                <w:sz w:val="20"/>
                <w:szCs w:val="20"/>
                <w:lang w:eastAsia="en-AU" w:bidi="ar-SA"/>
              </w:rPr>
            </w:pPr>
            <w:r w:rsidRPr="00B37101">
              <w:rPr>
                <w:rFonts w:cstheme="minorHAnsi"/>
                <w:sz w:val="20"/>
                <w:szCs w:val="20"/>
              </w:rPr>
              <w:t>Procedural Justice</w:t>
            </w:r>
          </w:p>
        </w:tc>
        <w:tc>
          <w:tcPr>
            <w:tcW w:w="763" w:type="pct"/>
            <w:tcBorders>
              <w:top w:val="nil"/>
              <w:left w:val="nil"/>
              <w:bottom w:val="single" w:sz="8" w:space="0" w:color="auto"/>
              <w:right w:val="single" w:sz="8" w:space="0" w:color="auto"/>
            </w:tcBorders>
            <w:shd w:val="clear" w:color="auto" w:fill="auto"/>
            <w:vAlign w:val="center"/>
            <w:hideMark/>
          </w:tcPr>
          <w:p w14:paraId="65B9D09C" w14:textId="4089AE8B" w:rsidR="00B37101" w:rsidRPr="00B37101" w:rsidRDefault="00B37101" w:rsidP="00B37101">
            <w:pPr>
              <w:rPr>
                <w:rFonts w:eastAsia="Times New Roman" w:cstheme="minorHAnsi"/>
                <w:sz w:val="20"/>
                <w:szCs w:val="20"/>
                <w:lang w:eastAsia="en-AU" w:bidi="ar-SA"/>
              </w:rPr>
            </w:pPr>
            <w:r w:rsidRPr="00B37101">
              <w:rPr>
                <w:rFonts w:cstheme="minorHAnsi"/>
                <w:sz w:val="20"/>
                <w:szCs w:val="20"/>
              </w:rPr>
              <w:t>Sustainable Development Goals (SDGs)</w:t>
            </w:r>
          </w:p>
        </w:tc>
        <w:tc>
          <w:tcPr>
            <w:tcW w:w="1830" w:type="pct"/>
            <w:tcBorders>
              <w:top w:val="nil"/>
              <w:left w:val="nil"/>
              <w:bottom w:val="single" w:sz="8" w:space="0" w:color="auto"/>
              <w:right w:val="single" w:sz="8" w:space="0" w:color="auto"/>
            </w:tcBorders>
            <w:shd w:val="clear" w:color="auto" w:fill="auto"/>
            <w:noWrap/>
            <w:vAlign w:val="center"/>
            <w:hideMark/>
          </w:tcPr>
          <w:p w14:paraId="2484DAC6" w14:textId="17526498" w:rsidR="00B37101" w:rsidRPr="00B37101" w:rsidRDefault="00B37101" w:rsidP="00B37101">
            <w:pPr>
              <w:rPr>
                <w:rFonts w:eastAsia="Times New Roman" w:cstheme="minorHAnsi"/>
                <w:sz w:val="20"/>
                <w:szCs w:val="20"/>
                <w:lang w:eastAsia="en-AU" w:bidi="ar-SA"/>
              </w:rPr>
            </w:pPr>
            <w:r w:rsidRPr="00B37101">
              <w:rPr>
                <w:rFonts w:cstheme="minorHAnsi"/>
                <w:sz w:val="20"/>
                <w:szCs w:val="20"/>
              </w:rPr>
              <w:t>The Sustainable Development Goals &amp; Judicial Reform: Webinar #3</w:t>
            </w:r>
          </w:p>
        </w:tc>
        <w:tc>
          <w:tcPr>
            <w:tcW w:w="712" w:type="pct"/>
            <w:tcBorders>
              <w:top w:val="nil"/>
              <w:left w:val="nil"/>
              <w:bottom w:val="single" w:sz="8" w:space="0" w:color="auto"/>
              <w:right w:val="single" w:sz="8" w:space="0" w:color="auto"/>
            </w:tcBorders>
            <w:shd w:val="clear" w:color="auto" w:fill="auto"/>
            <w:noWrap/>
            <w:vAlign w:val="center"/>
            <w:hideMark/>
          </w:tcPr>
          <w:p w14:paraId="17C99933" w14:textId="7A88D5E2"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center"/>
            <w:hideMark/>
          </w:tcPr>
          <w:p w14:paraId="2C070701" w14:textId="3BC56131"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5 November, 2020</w:t>
            </w:r>
          </w:p>
        </w:tc>
      </w:tr>
      <w:tr w:rsidR="00B37101" w:rsidRPr="0057080E" w14:paraId="073BC64F" w14:textId="77777777" w:rsidTr="00B37101">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566EE7B8" w14:textId="58152EAD" w:rsidR="00B37101" w:rsidRPr="00B37101" w:rsidRDefault="00B37101" w:rsidP="00B37101">
            <w:pPr>
              <w:jc w:val="center"/>
              <w:rPr>
                <w:rFonts w:eastAsia="Times New Roman" w:cstheme="minorHAnsi"/>
                <w:sz w:val="20"/>
                <w:szCs w:val="20"/>
                <w:lang w:eastAsia="en-AU" w:bidi="ar-SA"/>
              </w:rPr>
            </w:pPr>
            <w:r w:rsidRPr="00B37101">
              <w:rPr>
                <w:rFonts w:cstheme="minorHAnsi"/>
                <w:color w:val="000000"/>
                <w:sz w:val="20"/>
                <w:szCs w:val="20"/>
              </w:rPr>
              <w:t>34</w:t>
            </w:r>
          </w:p>
        </w:tc>
        <w:tc>
          <w:tcPr>
            <w:tcW w:w="712" w:type="pct"/>
            <w:tcBorders>
              <w:top w:val="nil"/>
              <w:left w:val="nil"/>
              <w:bottom w:val="single" w:sz="8" w:space="0" w:color="auto"/>
              <w:right w:val="single" w:sz="8" w:space="0" w:color="auto"/>
            </w:tcBorders>
            <w:shd w:val="clear" w:color="auto" w:fill="auto"/>
            <w:noWrap/>
            <w:vAlign w:val="center"/>
            <w:hideMark/>
          </w:tcPr>
          <w:p w14:paraId="77BC5AFA" w14:textId="5A181C80" w:rsidR="00B37101" w:rsidRPr="00B37101" w:rsidRDefault="00B37101" w:rsidP="00B37101">
            <w:pPr>
              <w:rPr>
                <w:rFonts w:eastAsia="Times New Roman" w:cstheme="minorHAnsi"/>
                <w:sz w:val="20"/>
                <w:szCs w:val="20"/>
                <w:lang w:eastAsia="en-AU" w:bidi="ar-SA"/>
              </w:rPr>
            </w:pPr>
            <w:r w:rsidRPr="00B37101">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0FFB208F" w14:textId="27555EF3" w:rsidR="00B37101" w:rsidRPr="00B37101" w:rsidRDefault="00B37101" w:rsidP="00B37101">
            <w:pPr>
              <w:rPr>
                <w:rFonts w:eastAsia="Times New Roman" w:cstheme="minorHAnsi"/>
                <w:color w:val="000000"/>
                <w:sz w:val="20"/>
                <w:szCs w:val="20"/>
                <w:lang w:eastAsia="en-AU" w:bidi="ar-SA"/>
              </w:rPr>
            </w:pPr>
            <w:r w:rsidRPr="00B37101">
              <w:rPr>
                <w:rFonts w:cstheme="minorHAnsi"/>
                <w:sz w:val="20"/>
                <w:szCs w:val="20"/>
              </w:rPr>
              <w:t>Localising Professional Capacity Building</w:t>
            </w:r>
          </w:p>
        </w:tc>
        <w:tc>
          <w:tcPr>
            <w:tcW w:w="1830" w:type="pct"/>
            <w:tcBorders>
              <w:top w:val="nil"/>
              <w:left w:val="nil"/>
              <w:bottom w:val="single" w:sz="8" w:space="0" w:color="auto"/>
              <w:right w:val="single" w:sz="8" w:space="0" w:color="auto"/>
            </w:tcBorders>
            <w:shd w:val="clear" w:color="auto" w:fill="auto"/>
            <w:noWrap/>
            <w:vAlign w:val="center"/>
            <w:hideMark/>
          </w:tcPr>
          <w:p w14:paraId="301CCB9E" w14:textId="517F8BFD" w:rsidR="00B37101" w:rsidRPr="00B37101" w:rsidRDefault="00B37101" w:rsidP="00B37101">
            <w:pPr>
              <w:rPr>
                <w:rFonts w:eastAsia="Times New Roman" w:cstheme="minorHAnsi"/>
                <w:color w:val="000000"/>
                <w:sz w:val="20"/>
                <w:szCs w:val="20"/>
                <w:lang w:eastAsia="en-AU" w:bidi="ar-SA"/>
              </w:rPr>
            </w:pPr>
            <w:r w:rsidRPr="00B37101">
              <w:rPr>
                <w:rFonts w:cstheme="minorHAnsi"/>
                <w:sz w:val="20"/>
                <w:szCs w:val="20"/>
              </w:rPr>
              <w:t>Remote Court Proceedings Webinar Launch</w:t>
            </w:r>
          </w:p>
        </w:tc>
        <w:tc>
          <w:tcPr>
            <w:tcW w:w="712" w:type="pct"/>
            <w:tcBorders>
              <w:top w:val="nil"/>
              <w:left w:val="nil"/>
              <w:bottom w:val="single" w:sz="8" w:space="0" w:color="auto"/>
              <w:right w:val="single" w:sz="8" w:space="0" w:color="auto"/>
            </w:tcBorders>
            <w:shd w:val="clear" w:color="auto" w:fill="auto"/>
            <w:noWrap/>
            <w:vAlign w:val="center"/>
            <w:hideMark/>
          </w:tcPr>
          <w:p w14:paraId="5BBC32AE" w14:textId="653DA428" w:rsidR="00B37101" w:rsidRPr="00B37101" w:rsidRDefault="00B37101" w:rsidP="00B37101">
            <w:pPr>
              <w:jc w:val="center"/>
              <w:rPr>
                <w:rFonts w:eastAsia="Times New Roman" w:cstheme="minorHAnsi"/>
                <w:color w:val="000000"/>
                <w:sz w:val="20"/>
                <w:szCs w:val="20"/>
                <w:lang w:eastAsia="en-AU" w:bidi="ar-SA"/>
              </w:rPr>
            </w:pPr>
            <w:r w:rsidRPr="00B37101">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center"/>
            <w:hideMark/>
          </w:tcPr>
          <w:p w14:paraId="5DF12596" w14:textId="68E75D3E" w:rsidR="00B37101" w:rsidRPr="00B37101" w:rsidRDefault="00B37101" w:rsidP="00B37101">
            <w:pPr>
              <w:jc w:val="center"/>
              <w:rPr>
                <w:rFonts w:eastAsia="Times New Roman" w:cstheme="minorHAnsi"/>
                <w:color w:val="000000"/>
                <w:sz w:val="20"/>
                <w:szCs w:val="20"/>
                <w:lang w:eastAsia="en-AU" w:bidi="ar-SA"/>
              </w:rPr>
            </w:pPr>
            <w:r w:rsidRPr="00B37101">
              <w:rPr>
                <w:rFonts w:cstheme="minorHAnsi"/>
                <w:sz w:val="20"/>
                <w:szCs w:val="20"/>
              </w:rPr>
              <w:t>3 December, 2020</w:t>
            </w:r>
          </w:p>
        </w:tc>
      </w:tr>
      <w:tr w:rsidR="00B37101" w:rsidRPr="0057080E" w14:paraId="7B086060" w14:textId="77777777" w:rsidTr="00B37101">
        <w:trPr>
          <w:trHeight w:val="300"/>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1B337DDF" w14:textId="68D03A02" w:rsidR="00B37101" w:rsidRPr="00B37101" w:rsidRDefault="00B37101" w:rsidP="00B37101">
            <w:pPr>
              <w:jc w:val="center"/>
              <w:rPr>
                <w:rFonts w:eastAsia="Times New Roman" w:cstheme="minorHAnsi"/>
                <w:sz w:val="20"/>
                <w:szCs w:val="20"/>
                <w:lang w:eastAsia="en-AU" w:bidi="ar-SA"/>
              </w:rPr>
            </w:pPr>
            <w:r w:rsidRPr="00B37101">
              <w:rPr>
                <w:rFonts w:cstheme="minorHAnsi"/>
                <w:color w:val="000000"/>
                <w:sz w:val="20"/>
                <w:szCs w:val="20"/>
              </w:rPr>
              <w:t>35</w:t>
            </w:r>
          </w:p>
        </w:tc>
        <w:tc>
          <w:tcPr>
            <w:tcW w:w="712" w:type="pct"/>
            <w:tcBorders>
              <w:top w:val="nil"/>
              <w:left w:val="nil"/>
              <w:bottom w:val="single" w:sz="8" w:space="0" w:color="auto"/>
              <w:right w:val="single" w:sz="8" w:space="0" w:color="auto"/>
            </w:tcBorders>
            <w:shd w:val="clear" w:color="auto" w:fill="auto"/>
            <w:noWrap/>
            <w:vAlign w:val="center"/>
            <w:hideMark/>
          </w:tcPr>
          <w:p w14:paraId="21709E31" w14:textId="306F523E" w:rsidR="00B37101" w:rsidRPr="00B37101" w:rsidRDefault="00B37101" w:rsidP="00B37101">
            <w:pPr>
              <w:rPr>
                <w:rFonts w:eastAsia="Times New Roman" w:cstheme="minorHAnsi"/>
                <w:sz w:val="20"/>
                <w:szCs w:val="20"/>
                <w:lang w:eastAsia="en-AU" w:bidi="ar-SA"/>
              </w:rPr>
            </w:pPr>
            <w:r w:rsidRPr="00B37101">
              <w:rPr>
                <w:rFonts w:cstheme="minorHAnsi"/>
                <w:sz w:val="20"/>
                <w:szCs w:val="20"/>
              </w:rPr>
              <w:t>Substantive Justice</w:t>
            </w:r>
          </w:p>
        </w:tc>
        <w:tc>
          <w:tcPr>
            <w:tcW w:w="763" w:type="pct"/>
            <w:tcBorders>
              <w:top w:val="nil"/>
              <w:left w:val="nil"/>
              <w:bottom w:val="single" w:sz="8" w:space="0" w:color="auto"/>
              <w:right w:val="single" w:sz="8" w:space="0" w:color="auto"/>
            </w:tcBorders>
            <w:shd w:val="clear" w:color="auto" w:fill="auto"/>
            <w:vAlign w:val="center"/>
            <w:hideMark/>
          </w:tcPr>
          <w:p w14:paraId="787190E5" w14:textId="20247AD2" w:rsidR="00B37101" w:rsidRPr="00B37101" w:rsidRDefault="00B37101" w:rsidP="00B37101">
            <w:pPr>
              <w:rPr>
                <w:rFonts w:eastAsia="Times New Roman" w:cstheme="minorHAnsi"/>
                <w:sz w:val="20"/>
                <w:szCs w:val="20"/>
                <w:lang w:eastAsia="en-AU" w:bidi="ar-SA"/>
              </w:rPr>
            </w:pPr>
            <w:r w:rsidRPr="00B37101">
              <w:rPr>
                <w:rFonts w:cstheme="minorHAnsi"/>
                <w:sz w:val="20"/>
                <w:szCs w:val="20"/>
              </w:rPr>
              <w:t>Human Rights</w:t>
            </w:r>
          </w:p>
        </w:tc>
        <w:tc>
          <w:tcPr>
            <w:tcW w:w="1830" w:type="pct"/>
            <w:tcBorders>
              <w:top w:val="nil"/>
              <w:left w:val="nil"/>
              <w:bottom w:val="single" w:sz="8" w:space="0" w:color="auto"/>
              <w:right w:val="single" w:sz="8" w:space="0" w:color="auto"/>
            </w:tcBorders>
            <w:shd w:val="clear" w:color="auto" w:fill="auto"/>
            <w:noWrap/>
            <w:vAlign w:val="center"/>
            <w:hideMark/>
          </w:tcPr>
          <w:p w14:paraId="37D08BE4" w14:textId="3DCB6625" w:rsidR="00B37101" w:rsidRPr="00B37101" w:rsidRDefault="00B37101" w:rsidP="00B37101">
            <w:pPr>
              <w:rPr>
                <w:rFonts w:eastAsia="Times New Roman" w:cstheme="minorHAnsi"/>
                <w:sz w:val="20"/>
                <w:szCs w:val="20"/>
                <w:lang w:eastAsia="en-AU" w:bidi="ar-SA"/>
              </w:rPr>
            </w:pPr>
            <w:r w:rsidRPr="00B37101">
              <w:rPr>
                <w:rFonts w:cstheme="minorHAnsi"/>
                <w:sz w:val="20"/>
                <w:szCs w:val="20"/>
              </w:rPr>
              <w:t>Human Rights Checklists Webinar</w:t>
            </w:r>
          </w:p>
        </w:tc>
        <w:tc>
          <w:tcPr>
            <w:tcW w:w="712" w:type="pct"/>
            <w:tcBorders>
              <w:top w:val="nil"/>
              <w:left w:val="nil"/>
              <w:bottom w:val="single" w:sz="8" w:space="0" w:color="auto"/>
              <w:right w:val="single" w:sz="8" w:space="0" w:color="auto"/>
            </w:tcBorders>
            <w:shd w:val="clear" w:color="auto" w:fill="auto"/>
            <w:noWrap/>
            <w:vAlign w:val="center"/>
            <w:hideMark/>
          </w:tcPr>
          <w:p w14:paraId="5693767B" w14:textId="74E22188"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center"/>
            <w:hideMark/>
          </w:tcPr>
          <w:p w14:paraId="72351F8D" w14:textId="2C78448D"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18 February, 2021</w:t>
            </w:r>
          </w:p>
        </w:tc>
      </w:tr>
      <w:tr w:rsidR="00B37101" w:rsidRPr="0057080E" w14:paraId="2250564E" w14:textId="77777777" w:rsidTr="00B37101">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0B664255" w14:textId="1AB6959E" w:rsidR="00B37101" w:rsidRPr="00B37101" w:rsidRDefault="00B37101" w:rsidP="00B37101">
            <w:pPr>
              <w:jc w:val="center"/>
              <w:rPr>
                <w:rFonts w:eastAsia="Times New Roman" w:cstheme="minorHAnsi"/>
                <w:sz w:val="20"/>
                <w:szCs w:val="20"/>
                <w:lang w:eastAsia="en-AU" w:bidi="ar-SA"/>
              </w:rPr>
            </w:pPr>
            <w:r w:rsidRPr="00B37101">
              <w:rPr>
                <w:rFonts w:cstheme="minorHAnsi"/>
                <w:color w:val="000000"/>
                <w:sz w:val="20"/>
                <w:szCs w:val="20"/>
              </w:rPr>
              <w:t>36</w:t>
            </w:r>
          </w:p>
        </w:tc>
        <w:tc>
          <w:tcPr>
            <w:tcW w:w="712" w:type="pct"/>
            <w:tcBorders>
              <w:top w:val="nil"/>
              <w:left w:val="nil"/>
              <w:bottom w:val="single" w:sz="8" w:space="0" w:color="auto"/>
              <w:right w:val="single" w:sz="8" w:space="0" w:color="auto"/>
            </w:tcBorders>
            <w:shd w:val="clear" w:color="auto" w:fill="auto"/>
            <w:noWrap/>
            <w:vAlign w:val="center"/>
            <w:hideMark/>
          </w:tcPr>
          <w:p w14:paraId="6D0B694E" w14:textId="51EC72E9" w:rsidR="00B37101" w:rsidRPr="00B37101" w:rsidRDefault="00B37101" w:rsidP="00B37101">
            <w:pPr>
              <w:rPr>
                <w:rFonts w:eastAsia="Times New Roman" w:cstheme="minorHAnsi"/>
                <w:sz w:val="20"/>
                <w:szCs w:val="20"/>
                <w:lang w:eastAsia="en-AU" w:bidi="ar-SA"/>
              </w:rPr>
            </w:pPr>
            <w:r w:rsidRPr="00B37101">
              <w:rPr>
                <w:rFonts w:cstheme="minorHAnsi"/>
                <w:sz w:val="20"/>
                <w:szCs w:val="20"/>
              </w:rPr>
              <w:t>Procedural Justice</w:t>
            </w:r>
          </w:p>
        </w:tc>
        <w:tc>
          <w:tcPr>
            <w:tcW w:w="763" w:type="pct"/>
            <w:tcBorders>
              <w:top w:val="nil"/>
              <w:left w:val="nil"/>
              <w:bottom w:val="single" w:sz="8" w:space="0" w:color="auto"/>
              <w:right w:val="single" w:sz="8" w:space="0" w:color="auto"/>
            </w:tcBorders>
            <w:shd w:val="clear" w:color="auto" w:fill="auto"/>
            <w:vAlign w:val="center"/>
            <w:hideMark/>
          </w:tcPr>
          <w:p w14:paraId="69D3B88A" w14:textId="063E1BBF" w:rsidR="00B37101" w:rsidRPr="00B37101" w:rsidRDefault="00B37101" w:rsidP="00B37101">
            <w:pPr>
              <w:rPr>
                <w:rFonts w:eastAsia="Times New Roman" w:cstheme="minorHAnsi"/>
                <w:sz w:val="20"/>
                <w:szCs w:val="20"/>
                <w:lang w:eastAsia="en-AU" w:bidi="ar-SA"/>
              </w:rPr>
            </w:pPr>
            <w:r w:rsidRPr="00B37101">
              <w:rPr>
                <w:rFonts w:cstheme="minorHAnsi"/>
                <w:sz w:val="20"/>
                <w:szCs w:val="20"/>
              </w:rPr>
              <w:t>Accountability</w:t>
            </w:r>
          </w:p>
        </w:tc>
        <w:tc>
          <w:tcPr>
            <w:tcW w:w="1830" w:type="pct"/>
            <w:tcBorders>
              <w:top w:val="nil"/>
              <w:left w:val="nil"/>
              <w:bottom w:val="single" w:sz="8" w:space="0" w:color="auto"/>
              <w:right w:val="single" w:sz="8" w:space="0" w:color="auto"/>
            </w:tcBorders>
            <w:shd w:val="clear" w:color="auto" w:fill="auto"/>
            <w:noWrap/>
            <w:vAlign w:val="center"/>
            <w:hideMark/>
          </w:tcPr>
          <w:p w14:paraId="7A5B72DA" w14:textId="7EBEC798" w:rsidR="00B37101" w:rsidRPr="00B37101" w:rsidRDefault="00B37101" w:rsidP="00B37101">
            <w:pPr>
              <w:rPr>
                <w:rFonts w:eastAsia="Times New Roman" w:cstheme="minorHAnsi"/>
                <w:sz w:val="20"/>
                <w:szCs w:val="20"/>
                <w:lang w:eastAsia="en-AU" w:bidi="ar-SA"/>
              </w:rPr>
            </w:pPr>
            <w:r w:rsidRPr="00B37101">
              <w:rPr>
                <w:rFonts w:cstheme="minorHAnsi"/>
                <w:sz w:val="20"/>
                <w:szCs w:val="20"/>
              </w:rPr>
              <w:t>Most Significant Change Webinar</w:t>
            </w:r>
          </w:p>
        </w:tc>
        <w:tc>
          <w:tcPr>
            <w:tcW w:w="712" w:type="pct"/>
            <w:tcBorders>
              <w:top w:val="nil"/>
              <w:left w:val="nil"/>
              <w:bottom w:val="single" w:sz="8" w:space="0" w:color="auto"/>
              <w:right w:val="single" w:sz="8" w:space="0" w:color="auto"/>
            </w:tcBorders>
            <w:shd w:val="clear" w:color="auto" w:fill="auto"/>
            <w:noWrap/>
            <w:vAlign w:val="center"/>
            <w:hideMark/>
          </w:tcPr>
          <w:p w14:paraId="2152048A" w14:textId="1D080339"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center"/>
            <w:hideMark/>
          </w:tcPr>
          <w:p w14:paraId="6284F8F9" w14:textId="0CE2666C"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11 March, 2021</w:t>
            </w:r>
          </w:p>
        </w:tc>
      </w:tr>
      <w:tr w:rsidR="00B37101" w:rsidRPr="0057080E" w14:paraId="0DA0BC64" w14:textId="77777777" w:rsidTr="00B37101">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7F0BACBF" w14:textId="028D28F4" w:rsidR="00B37101" w:rsidRPr="00B37101" w:rsidRDefault="00B37101" w:rsidP="00B37101">
            <w:pPr>
              <w:jc w:val="center"/>
              <w:rPr>
                <w:rFonts w:eastAsia="Times New Roman" w:cstheme="minorHAnsi"/>
                <w:sz w:val="20"/>
                <w:szCs w:val="20"/>
                <w:lang w:eastAsia="en-AU" w:bidi="ar-SA"/>
              </w:rPr>
            </w:pPr>
            <w:r w:rsidRPr="00B37101">
              <w:rPr>
                <w:rFonts w:cstheme="minorHAnsi"/>
                <w:color w:val="000000"/>
                <w:sz w:val="20"/>
                <w:szCs w:val="20"/>
              </w:rPr>
              <w:t>37</w:t>
            </w:r>
          </w:p>
        </w:tc>
        <w:tc>
          <w:tcPr>
            <w:tcW w:w="712" w:type="pct"/>
            <w:tcBorders>
              <w:top w:val="nil"/>
              <w:left w:val="nil"/>
              <w:bottom w:val="single" w:sz="8" w:space="0" w:color="auto"/>
              <w:right w:val="single" w:sz="8" w:space="0" w:color="auto"/>
            </w:tcBorders>
            <w:shd w:val="clear" w:color="auto" w:fill="auto"/>
            <w:noWrap/>
            <w:vAlign w:val="center"/>
            <w:hideMark/>
          </w:tcPr>
          <w:p w14:paraId="7DEF2759" w14:textId="58748EB7" w:rsidR="00B37101" w:rsidRPr="00B37101" w:rsidRDefault="00B37101" w:rsidP="00B37101">
            <w:pPr>
              <w:rPr>
                <w:rFonts w:eastAsia="Times New Roman" w:cstheme="minorHAnsi"/>
                <w:sz w:val="20"/>
                <w:szCs w:val="20"/>
                <w:lang w:eastAsia="en-AU" w:bidi="ar-SA"/>
              </w:rPr>
            </w:pPr>
            <w:r w:rsidRPr="00B37101">
              <w:rPr>
                <w:rFonts w:cstheme="minorHAnsi"/>
                <w:sz w:val="20"/>
                <w:szCs w:val="20"/>
              </w:rPr>
              <w:t>Professionalisation</w:t>
            </w:r>
          </w:p>
        </w:tc>
        <w:tc>
          <w:tcPr>
            <w:tcW w:w="763" w:type="pct"/>
            <w:tcBorders>
              <w:top w:val="nil"/>
              <w:left w:val="nil"/>
              <w:bottom w:val="single" w:sz="8" w:space="0" w:color="auto"/>
              <w:right w:val="single" w:sz="8" w:space="0" w:color="auto"/>
            </w:tcBorders>
            <w:shd w:val="clear" w:color="auto" w:fill="auto"/>
            <w:vAlign w:val="center"/>
            <w:hideMark/>
          </w:tcPr>
          <w:p w14:paraId="5AC58D39" w14:textId="652D4AD2" w:rsidR="00B37101" w:rsidRPr="00B37101" w:rsidRDefault="00B37101" w:rsidP="00B37101">
            <w:pPr>
              <w:rPr>
                <w:rFonts w:eastAsia="Times New Roman" w:cstheme="minorHAnsi"/>
                <w:sz w:val="20"/>
                <w:szCs w:val="20"/>
                <w:lang w:eastAsia="en-AU" w:bidi="ar-SA"/>
              </w:rPr>
            </w:pPr>
            <w:r w:rsidRPr="00B37101">
              <w:rPr>
                <w:rFonts w:cstheme="minorHAnsi"/>
                <w:sz w:val="20"/>
                <w:szCs w:val="20"/>
              </w:rPr>
              <w:t>Bar Associations</w:t>
            </w:r>
          </w:p>
        </w:tc>
        <w:tc>
          <w:tcPr>
            <w:tcW w:w="1830" w:type="pct"/>
            <w:tcBorders>
              <w:top w:val="nil"/>
              <w:left w:val="nil"/>
              <w:bottom w:val="single" w:sz="8" w:space="0" w:color="auto"/>
              <w:right w:val="single" w:sz="8" w:space="0" w:color="auto"/>
            </w:tcBorders>
            <w:shd w:val="clear" w:color="auto" w:fill="auto"/>
            <w:noWrap/>
            <w:vAlign w:val="center"/>
            <w:hideMark/>
          </w:tcPr>
          <w:p w14:paraId="67C7A257" w14:textId="290673EE" w:rsidR="00B37101" w:rsidRPr="00B37101" w:rsidRDefault="00B37101" w:rsidP="00B37101">
            <w:pPr>
              <w:rPr>
                <w:rFonts w:eastAsia="Times New Roman" w:cstheme="minorHAnsi"/>
                <w:sz w:val="20"/>
                <w:szCs w:val="20"/>
                <w:lang w:eastAsia="en-AU" w:bidi="ar-SA"/>
              </w:rPr>
            </w:pPr>
            <w:r w:rsidRPr="00B37101">
              <w:rPr>
                <w:rFonts w:cstheme="minorHAnsi"/>
                <w:sz w:val="20"/>
                <w:szCs w:val="20"/>
              </w:rPr>
              <w:t>Legal Aid and Bar Associations Three Part Webinar</w:t>
            </w:r>
          </w:p>
        </w:tc>
        <w:tc>
          <w:tcPr>
            <w:tcW w:w="712" w:type="pct"/>
            <w:tcBorders>
              <w:top w:val="nil"/>
              <w:left w:val="nil"/>
              <w:bottom w:val="single" w:sz="8" w:space="0" w:color="auto"/>
              <w:right w:val="single" w:sz="8" w:space="0" w:color="auto"/>
            </w:tcBorders>
            <w:shd w:val="clear" w:color="auto" w:fill="auto"/>
            <w:noWrap/>
            <w:vAlign w:val="center"/>
            <w:hideMark/>
          </w:tcPr>
          <w:p w14:paraId="70ABCD40" w14:textId="75645959"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Remote - Regional</w:t>
            </w:r>
          </w:p>
        </w:tc>
        <w:tc>
          <w:tcPr>
            <w:tcW w:w="783" w:type="pct"/>
            <w:tcBorders>
              <w:top w:val="nil"/>
              <w:left w:val="nil"/>
              <w:bottom w:val="single" w:sz="8" w:space="0" w:color="auto"/>
              <w:right w:val="single" w:sz="8" w:space="0" w:color="auto"/>
            </w:tcBorders>
            <w:shd w:val="clear" w:color="auto" w:fill="auto"/>
            <w:noWrap/>
            <w:vAlign w:val="center"/>
            <w:hideMark/>
          </w:tcPr>
          <w:p w14:paraId="09EE14CD" w14:textId="0476FE36"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15 - 25 March, 2021</w:t>
            </w:r>
          </w:p>
        </w:tc>
      </w:tr>
      <w:tr w:rsidR="00B37101" w:rsidRPr="0057080E" w14:paraId="1F14BA94" w14:textId="77777777" w:rsidTr="00B37101">
        <w:trPr>
          <w:trHeight w:val="525"/>
        </w:trPr>
        <w:tc>
          <w:tcPr>
            <w:tcW w:w="200" w:type="pct"/>
            <w:tcBorders>
              <w:top w:val="nil"/>
              <w:left w:val="single" w:sz="8" w:space="0" w:color="auto"/>
              <w:bottom w:val="single" w:sz="8" w:space="0" w:color="auto"/>
              <w:right w:val="single" w:sz="8" w:space="0" w:color="auto"/>
            </w:tcBorders>
            <w:shd w:val="clear" w:color="auto" w:fill="auto"/>
            <w:noWrap/>
            <w:vAlign w:val="center"/>
            <w:hideMark/>
          </w:tcPr>
          <w:p w14:paraId="6A67F97B" w14:textId="641B3E3E" w:rsidR="00B37101" w:rsidRPr="00B37101" w:rsidRDefault="00B37101" w:rsidP="00B37101">
            <w:pPr>
              <w:jc w:val="center"/>
              <w:rPr>
                <w:rFonts w:eastAsia="Times New Roman" w:cstheme="minorHAnsi"/>
                <w:sz w:val="20"/>
                <w:szCs w:val="20"/>
                <w:lang w:eastAsia="en-AU" w:bidi="ar-SA"/>
              </w:rPr>
            </w:pPr>
            <w:r w:rsidRPr="00B37101">
              <w:rPr>
                <w:rFonts w:cstheme="minorHAnsi"/>
                <w:color w:val="000000"/>
                <w:sz w:val="20"/>
                <w:szCs w:val="20"/>
              </w:rPr>
              <w:t>38</w:t>
            </w:r>
          </w:p>
        </w:tc>
        <w:tc>
          <w:tcPr>
            <w:tcW w:w="712" w:type="pct"/>
            <w:tcBorders>
              <w:top w:val="nil"/>
              <w:left w:val="nil"/>
              <w:bottom w:val="single" w:sz="8" w:space="0" w:color="auto"/>
              <w:right w:val="single" w:sz="8" w:space="0" w:color="auto"/>
            </w:tcBorders>
            <w:shd w:val="clear" w:color="auto" w:fill="auto"/>
            <w:noWrap/>
            <w:vAlign w:val="center"/>
            <w:hideMark/>
          </w:tcPr>
          <w:p w14:paraId="31DAC385" w14:textId="3792B653" w:rsidR="00B37101" w:rsidRPr="00B37101" w:rsidRDefault="00B37101" w:rsidP="00B37101">
            <w:pPr>
              <w:rPr>
                <w:rFonts w:eastAsia="Times New Roman" w:cstheme="minorHAnsi"/>
                <w:sz w:val="20"/>
                <w:szCs w:val="20"/>
                <w:lang w:eastAsia="en-AU" w:bidi="ar-SA"/>
              </w:rPr>
            </w:pPr>
            <w:r w:rsidRPr="00B37101">
              <w:rPr>
                <w:rFonts w:cstheme="minorHAnsi"/>
                <w:sz w:val="20"/>
                <w:szCs w:val="20"/>
              </w:rPr>
              <w:t>Procedural Justice</w:t>
            </w:r>
          </w:p>
        </w:tc>
        <w:tc>
          <w:tcPr>
            <w:tcW w:w="763" w:type="pct"/>
            <w:tcBorders>
              <w:top w:val="nil"/>
              <w:left w:val="nil"/>
              <w:bottom w:val="single" w:sz="8" w:space="0" w:color="auto"/>
              <w:right w:val="single" w:sz="8" w:space="0" w:color="auto"/>
            </w:tcBorders>
            <w:shd w:val="clear" w:color="auto" w:fill="auto"/>
            <w:vAlign w:val="center"/>
            <w:hideMark/>
          </w:tcPr>
          <w:p w14:paraId="308B8502" w14:textId="6DE48E2E" w:rsidR="00B37101" w:rsidRPr="00B37101" w:rsidRDefault="00B37101" w:rsidP="00B37101">
            <w:pPr>
              <w:rPr>
                <w:rFonts w:eastAsia="Times New Roman" w:cstheme="minorHAnsi"/>
                <w:sz w:val="20"/>
                <w:szCs w:val="20"/>
                <w:lang w:eastAsia="en-AU" w:bidi="ar-SA"/>
              </w:rPr>
            </w:pPr>
            <w:r w:rsidRPr="00B37101">
              <w:rPr>
                <w:rFonts w:cstheme="minorHAnsi"/>
                <w:sz w:val="20"/>
                <w:szCs w:val="20"/>
              </w:rPr>
              <w:t>Sustainable Development Goals (SDGs)</w:t>
            </w:r>
          </w:p>
        </w:tc>
        <w:tc>
          <w:tcPr>
            <w:tcW w:w="1830" w:type="pct"/>
            <w:tcBorders>
              <w:top w:val="nil"/>
              <w:left w:val="nil"/>
              <w:bottom w:val="single" w:sz="8" w:space="0" w:color="auto"/>
              <w:right w:val="single" w:sz="8" w:space="0" w:color="auto"/>
            </w:tcBorders>
            <w:shd w:val="clear" w:color="auto" w:fill="auto"/>
            <w:noWrap/>
            <w:vAlign w:val="center"/>
            <w:hideMark/>
          </w:tcPr>
          <w:p w14:paraId="737A6056" w14:textId="5A382F73" w:rsidR="00B37101" w:rsidRPr="00B37101" w:rsidRDefault="00B37101" w:rsidP="00B37101">
            <w:pPr>
              <w:rPr>
                <w:rFonts w:eastAsia="Times New Roman" w:cstheme="minorHAnsi"/>
                <w:sz w:val="20"/>
                <w:szCs w:val="20"/>
                <w:lang w:eastAsia="en-AU" w:bidi="ar-SA"/>
              </w:rPr>
            </w:pPr>
            <w:r w:rsidRPr="00B37101">
              <w:rPr>
                <w:rFonts w:cstheme="minorHAnsi"/>
                <w:sz w:val="20"/>
                <w:szCs w:val="20"/>
              </w:rPr>
              <w:t>SDGs Follow-up - Palau</w:t>
            </w:r>
          </w:p>
        </w:tc>
        <w:tc>
          <w:tcPr>
            <w:tcW w:w="712" w:type="pct"/>
            <w:tcBorders>
              <w:top w:val="nil"/>
              <w:left w:val="nil"/>
              <w:bottom w:val="single" w:sz="8" w:space="0" w:color="auto"/>
              <w:right w:val="single" w:sz="8" w:space="0" w:color="auto"/>
            </w:tcBorders>
            <w:shd w:val="clear" w:color="auto" w:fill="auto"/>
            <w:noWrap/>
            <w:vAlign w:val="center"/>
            <w:hideMark/>
          </w:tcPr>
          <w:p w14:paraId="38CEAF70" w14:textId="4F4D7811"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Remote - Local</w:t>
            </w:r>
          </w:p>
        </w:tc>
        <w:tc>
          <w:tcPr>
            <w:tcW w:w="783" w:type="pct"/>
            <w:tcBorders>
              <w:top w:val="nil"/>
              <w:left w:val="nil"/>
              <w:bottom w:val="single" w:sz="8" w:space="0" w:color="auto"/>
              <w:right w:val="single" w:sz="8" w:space="0" w:color="auto"/>
            </w:tcBorders>
            <w:shd w:val="clear" w:color="auto" w:fill="auto"/>
            <w:noWrap/>
            <w:vAlign w:val="center"/>
            <w:hideMark/>
          </w:tcPr>
          <w:p w14:paraId="6C2D409D" w14:textId="1EDC85B4"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10 June, 2021</w:t>
            </w:r>
          </w:p>
        </w:tc>
      </w:tr>
      <w:tr w:rsidR="00B37101" w:rsidRPr="0057080E" w14:paraId="063F3363" w14:textId="77777777" w:rsidTr="00F16283">
        <w:trPr>
          <w:trHeight w:val="300"/>
        </w:trPr>
        <w:tc>
          <w:tcPr>
            <w:tcW w:w="200" w:type="pct"/>
            <w:tcBorders>
              <w:top w:val="nil"/>
              <w:left w:val="single" w:sz="8" w:space="0" w:color="auto"/>
              <w:bottom w:val="single" w:sz="4" w:space="0" w:color="auto"/>
              <w:right w:val="single" w:sz="8" w:space="0" w:color="auto"/>
            </w:tcBorders>
            <w:shd w:val="clear" w:color="auto" w:fill="auto"/>
            <w:noWrap/>
            <w:vAlign w:val="center"/>
            <w:hideMark/>
          </w:tcPr>
          <w:p w14:paraId="794676D6" w14:textId="0E7CE86E" w:rsidR="00B37101" w:rsidRPr="00B37101" w:rsidRDefault="00B37101" w:rsidP="00B37101">
            <w:pPr>
              <w:jc w:val="center"/>
              <w:rPr>
                <w:rFonts w:eastAsia="Times New Roman" w:cstheme="minorHAnsi"/>
                <w:sz w:val="20"/>
                <w:szCs w:val="20"/>
                <w:lang w:eastAsia="en-AU" w:bidi="ar-SA"/>
              </w:rPr>
            </w:pPr>
            <w:r w:rsidRPr="00B37101">
              <w:rPr>
                <w:rFonts w:cstheme="minorHAnsi"/>
                <w:color w:val="000000"/>
                <w:sz w:val="20"/>
                <w:szCs w:val="20"/>
              </w:rPr>
              <w:t>39</w:t>
            </w:r>
          </w:p>
        </w:tc>
        <w:tc>
          <w:tcPr>
            <w:tcW w:w="712" w:type="pct"/>
            <w:tcBorders>
              <w:top w:val="nil"/>
              <w:left w:val="nil"/>
              <w:bottom w:val="single" w:sz="4" w:space="0" w:color="auto"/>
              <w:right w:val="single" w:sz="8" w:space="0" w:color="auto"/>
            </w:tcBorders>
            <w:shd w:val="clear" w:color="auto" w:fill="auto"/>
            <w:noWrap/>
            <w:vAlign w:val="center"/>
            <w:hideMark/>
          </w:tcPr>
          <w:p w14:paraId="1F49DCFD" w14:textId="78315F2F" w:rsidR="00B37101" w:rsidRPr="00B37101" w:rsidRDefault="00B37101" w:rsidP="00B37101">
            <w:pPr>
              <w:rPr>
                <w:rFonts w:eastAsia="Times New Roman" w:cstheme="minorHAnsi"/>
                <w:sz w:val="20"/>
                <w:szCs w:val="20"/>
                <w:lang w:eastAsia="en-AU" w:bidi="ar-SA"/>
              </w:rPr>
            </w:pPr>
            <w:r w:rsidRPr="00B37101">
              <w:rPr>
                <w:rFonts w:cstheme="minorHAnsi"/>
                <w:sz w:val="20"/>
                <w:szCs w:val="20"/>
              </w:rPr>
              <w:t>Professionalisation</w:t>
            </w:r>
          </w:p>
        </w:tc>
        <w:tc>
          <w:tcPr>
            <w:tcW w:w="763" w:type="pct"/>
            <w:tcBorders>
              <w:top w:val="nil"/>
              <w:left w:val="nil"/>
              <w:bottom w:val="single" w:sz="4" w:space="0" w:color="auto"/>
              <w:right w:val="single" w:sz="8" w:space="0" w:color="auto"/>
            </w:tcBorders>
            <w:shd w:val="clear" w:color="auto" w:fill="auto"/>
            <w:vAlign w:val="center"/>
            <w:hideMark/>
          </w:tcPr>
          <w:p w14:paraId="6FAFA974" w14:textId="1EC84174" w:rsidR="00B37101" w:rsidRPr="00B37101" w:rsidRDefault="00B37101" w:rsidP="00B37101">
            <w:pPr>
              <w:rPr>
                <w:rFonts w:eastAsia="Times New Roman" w:cstheme="minorHAnsi"/>
                <w:sz w:val="20"/>
                <w:szCs w:val="20"/>
                <w:lang w:eastAsia="en-AU" w:bidi="ar-SA"/>
              </w:rPr>
            </w:pPr>
            <w:r w:rsidRPr="00B37101">
              <w:rPr>
                <w:rFonts w:cstheme="minorHAnsi"/>
                <w:sz w:val="20"/>
                <w:szCs w:val="20"/>
              </w:rPr>
              <w:t>Localising Professional Capacity Building</w:t>
            </w:r>
          </w:p>
        </w:tc>
        <w:tc>
          <w:tcPr>
            <w:tcW w:w="1830" w:type="pct"/>
            <w:tcBorders>
              <w:top w:val="nil"/>
              <w:left w:val="nil"/>
              <w:bottom w:val="single" w:sz="4" w:space="0" w:color="auto"/>
              <w:right w:val="single" w:sz="8" w:space="0" w:color="auto"/>
            </w:tcBorders>
            <w:shd w:val="clear" w:color="auto" w:fill="auto"/>
            <w:noWrap/>
            <w:vAlign w:val="center"/>
            <w:hideMark/>
          </w:tcPr>
          <w:p w14:paraId="4104B549" w14:textId="72F454B1" w:rsidR="00B37101" w:rsidRPr="00B37101" w:rsidRDefault="00B37101" w:rsidP="00B37101">
            <w:pPr>
              <w:rPr>
                <w:rFonts w:eastAsia="Times New Roman" w:cstheme="minorHAnsi"/>
                <w:sz w:val="20"/>
                <w:szCs w:val="20"/>
                <w:lang w:eastAsia="en-AU" w:bidi="ar-SA"/>
              </w:rPr>
            </w:pPr>
            <w:r w:rsidRPr="00B37101">
              <w:rPr>
                <w:rFonts w:cstheme="minorHAnsi"/>
                <w:sz w:val="20"/>
                <w:szCs w:val="20"/>
              </w:rPr>
              <w:t>Community Engagement Guidance Note Launch</w:t>
            </w:r>
          </w:p>
        </w:tc>
        <w:tc>
          <w:tcPr>
            <w:tcW w:w="712" w:type="pct"/>
            <w:tcBorders>
              <w:top w:val="nil"/>
              <w:left w:val="nil"/>
              <w:bottom w:val="single" w:sz="4" w:space="0" w:color="auto"/>
              <w:right w:val="single" w:sz="8" w:space="0" w:color="auto"/>
            </w:tcBorders>
            <w:shd w:val="clear" w:color="auto" w:fill="auto"/>
            <w:noWrap/>
            <w:vAlign w:val="center"/>
            <w:hideMark/>
          </w:tcPr>
          <w:p w14:paraId="6CAB8BF5" w14:textId="23400AF5"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Remote - Regional</w:t>
            </w:r>
          </w:p>
        </w:tc>
        <w:tc>
          <w:tcPr>
            <w:tcW w:w="783" w:type="pct"/>
            <w:tcBorders>
              <w:top w:val="nil"/>
              <w:left w:val="nil"/>
              <w:bottom w:val="single" w:sz="4" w:space="0" w:color="auto"/>
              <w:right w:val="single" w:sz="8" w:space="0" w:color="auto"/>
            </w:tcBorders>
            <w:shd w:val="clear" w:color="auto" w:fill="auto"/>
            <w:noWrap/>
            <w:vAlign w:val="center"/>
            <w:hideMark/>
          </w:tcPr>
          <w:p w14:paraId="0C251910" w14:textId="646068C4" w:rsidR="00B37101" w:rsidRPr="00B37101" w:rsidRDefault="00B37101" w:rsidP="00B37101">
            <w:pPr>
              <w:jc w:val="center"/>
              <w:rPr>
                <w:rFonts w:eastAsia="Times New Roman" w:cstheme="minorHAnsi"/>
                <w:sz w:val="20"/>
                <w:szCs w:val="20"/>
                <w:lang w:eastAsia="en-AU" w:bidi="ar-SA"/>
              </w:rPr>
            </w:pPr>
            <w:r w:rsidRPr="00B37101">
              <w:rPr>
                <w:rFonts w:cstheme="minorHAnsi"/>
                <w:sz w:val="20"/>
                <w:szCs w:val="20"/>
              </w:rPr>
              <w:t>24 June, 2021</w:t>
            </w:r>
          </w:p>
        </w:tc>
      </w:tr>
      <w:tr w:rsidR="00F16283" w:rsidRPr="0057080E" w14:paraId="7298F543" w14:textId="77777777" w:rsidTr="00F16283">
        <w:trPr>
          <w:trHeight w:val="300"/>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3F1B50" w14:textId="5C338A34" w:rsidR="00F16283" w:rsidRPr="00F16283" w:rsidRDefault="00F16283" w:rsidP="00F16283">
            <w:pPr>
              <w:jc w:val="center"/>
              <w:rPr>
                <w:rFonts w:cstheme="minorHAnsi"/>
                <w:color w:val="000000"/>
                <w:sz w:val="20"/>
                <w:szCs w:val="20"/>
              </w:rPr>
            </w:pPr>
            <w:r w:rsidRPr="00F16283">
              <w:rPr>
                <w:rFonts w:cstheme="minorHAnsi"/>
                <w:color w:val="000000"/>
                <w:sz w:val="20"/>
                <w:szCs w:val="20"/>
              </w:rPr>
              <w:t>40</w:t>
            </w:r>
          </w:p>
        </w:tc>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07B198" w14:textId="4049E4DA" w:rsidR="00F16283" w:rsidRPr="00F16283" w:rsidRDefault="00F16283" w:rsidP="00F16283">
            <w:pPr>
              <w:jc w:val="center"/>
              <w:rPr>
                <w:rFonts w:cstheme="minorHAnsi"/>
                <w:sz w:val="20"/>
                <w:szCs w:val="20"/>
              </w:rPr>
            </w:pPr>
            <w:r w:rsidRPr="00F16283">
              <w:rPr>
                <w:rFonts w:cstheme="minorHAnsi"/>
                <w:sz w:val="20"/>
                <w:szCs w:val="20"/>
              </w:rPr>
              <w:t>Judicial Leadership</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2A34CC6B" w14:textId="6DDD519D" w:rsidR="00F16283" w:rsidRPr="00F16283" w:rsidRDefault="00F16283" w:rsidP="00F16283">
            <w:pPr>
              <w:rPr>
                <w:rFonts w:cstheme="minorHAnsi"/>
                <w:sz w:val="20"/>
                <w:szCs w:val="20"/>
              </w:rPr>
            </w:pPr>
            <w:r w:rsidRPr="00F16283">
              <w:rPr>
                <w:rFonts w:cstheme="minorHAnsi"/>
                <w:sz w:val="20"/>
                <w:szCs w:val="20"/>
              </w:rPr>
              <w:t>Regional Leadership</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92E130" w14:textId="7BCF5461" w:rsidR="00F16283" w:rsidRPr="00F16283" w:rsidRDefault="00F16283" w:rsidP="00F16283">
            <w:pPr>
              <w:rPr>
                <w:rFonts w:cstheme="minorHAnsi"/>
                <w:sz w:val="20"/>
                <w:szCs w:val="20"/>
              </w:rPr>
            </w:pPr>
            <w:r w:rsidRPr="00F16283">
              <w:rPr>
                <w:rFonts w:cstheme="minorHAnsi"/>
                <w:sz w:val="20"/>
                <w:szCs w:val="20"/>
              </w:rPr>
              <w:t>8th Chief Justices' Leadership Forum</w:t>
            </w:r>
          </w:p>
        </w:tc>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5D0BF" w14:textId="78D726D6" w:rsidR="00F16283" w:rsidRPr="00F16283" w:rsidRDefault="00F16283" w:rsidP="00F16283">
            <w:pPr>
              <w:jc w:val="center"/>
              <w:rPr>
                <w:rFonts w:cstheme="minorHAnsi"/>
                <w:sz w:val="20"/>
                <w:szCs w:val="20"/>
              </w:rPr>
            </w:pPr>
            <w:r w:rsidRPr="00F16283">
              <w:rPr>
                <w:rFonts w:cstheme="minorHAnsi"/>
                <w:sz w:val="20"/>
                <w:szCs w:val="20"/>
              </w:rPr>
              <w:t>Remote - Regional</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4B5EEDA" w14:textId="70F9DC92" w:rsidR="00F16283" w:rsidRPr="00F16283" w:rsidRDefault="00F16283" w:rsidP="00F16283">
            <w:pPr>
              <w:jc w:val="center"/>
              <w:rPr>
                <w:rFonts w:cstheme="minorHAnsi"/>
                <w:sz w:val="20"/>
                <w:szCs w:val="20"/>
              </w:rPr>
            </w:pPr>
            <w:r w:rsidRPr="00F16283">
              <w:rPr>
                <w:rFonts w:cstheme="minorHAnsi"/>
                <w:sz w:val="20"/>
                <w:szCs w:val="20"/>
              </w:rPr>
              <w:t>3 - 3 November, 2021</w:t>
            </w:r>
          </w:p>
        </w:tc>
      </w:tr>
      <w:tr w:rsidR="00F16283" w:rsidRPr="0057080E" w14:paraId="7DD02631" w14:textId="77777777" w:rsidTr="00F16283">
        <w:trPr>
          <w:trHeight w:val="300"/>
        </w:trPr>
        <w:tc>
          <w:tcPr>
            <w:tcW w:w="2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6D74A5" w14:textId="3C8FBE8E" w:rsidR="00F16283" w:rsidRPr="00F16283" w:rsidRDefault="00F16283" w:rsidP="00F16283">
            <w:pPr>
              <w:jc w:val="center"/>
              <w:rPr>
                <w:rFonts w:cstheme="minorHAnsi"/>
                <w:color w:val="000000"/>
                <w:sz w:val="20"/>
                <w:szCs w:val="20"/>
              </w:rPr>
            </w:pPr>
            <w:r w:rsidRPr="00F16283">
              <w:rPr>
                <w:rFonts w:cstheme="minorHAnsi"/>
                <w:color w:val="000000"/>
                <w:sz w:val="20"/>
                <w:szCs w:val="20"/>
              </w:rPr>
              <w:t>41</w:t>
            </w:r>
          </w:p>
        </w:tc>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2087E7" w14:textId="718E2E9E" w:rsidR="00F16283" w:rsidRPr="00F16283" w:rsidRDefault="00F16283" w:rsidP="00F16283">
            <w:pPr>
              <w:jc w:val="center"/>
              <w:rPr>
                <w:rFonts w:cstheme="minorHAnsi"/>
                <w:sz w:val="20"/>
                <w:szCs w:val="20"/>
              </w:rPr>
            </w:pPr>
            <w:r w:rsidRPr="00F16283">
              <w:rPr>
                <w:rFonts w:cstheme="minorHAnsi"/>
                <w:sz w:val="20"/>
                <w:szCs w:val="20"/>
              </w:rPr>
              <w:t>Judicial Leadership</w:t>
            </w:r>
          </w:p>
        </w:tc>
        <w:tc>
          <w:tcPr>
            <w:tcW w:w="763" w:type="pct"/>
            <w:tcBorders>
              <w:top w:val="single" w:sz="4" w:space="0" w:color="auto"/>
              <w:left w:val="single" w:sz="4" w:space="0" w:color="auto"/>
              <w:bottom w:val="single" w:sz="4" w:space="0" w:color="auto"/>
              <w:right w:val="single" w:sz="4" w:space="0" w:color="auto"/>
            </w:tcBorders>
            <w:shd w:val="clear" w:color="auto" w:fill="auto"/>
            <w:vAlign w:val="center"/>
          </w:tcPr>
          <w:p w14:paraId="470A77F8" w14:textId="769F45DA" w:rsidR="00F16283" w:rsidRPr="00F16283" w:rsidRDefault="00F16283" w:rsidP="00F16283">
            <w:pPr>
              <w:rPr>
                <w:rFonts w:cstheme="minorHAnsi"/>
                <w:sz w:val="20"/>
                <w:szCs w:val="20"/>
              </w:rPr>
            </w:pPr>
            <w:r w:rsidRPr="00F16283">
              <w:rPr>
                <w:rFonts w:cstheme="minorHAnsi"/>
                <w:sz w:val="20"/>
                <w:szCs w:val="20"/>
              </w:rPr>
              <w:t>Regional Leadership</w:t>
            </w:r>
          </w:p>
        </w:tc>
        <w:tc>
          <w:tcPr>
            <w:tcW w:w="18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A947C5" w14:textId="5BE50B6B" w:rsidR="00F16283" w:rsidRPr="00F16283" w:rsidRDefault="00F16283" w:rsidP="00F16283">
            <w:pPr>
              <w:rPr>
                <w:rFonts w:cstheme="minorHAnsi"/>
                <w:sz w:val="20"/>
                <w:szCs w:val="20"/>
              </w:rPr>
            </w:pPr>
            <w:r w:rsidRPr="00F16283">
              <w:rPr>
                <w:rFonts w:cstheme="minorHAnsi"/>
                <w:sz w:val="20"/>
                <w:szCs w:val="20"/>
              </w:rPr>
              <w:t>11th Initiative Executive Committee Meeting</w:t>
            </w:r>
          </w:p>
        </w:tc>
        <w:tc>
          <w:tcPr>
            <w:tcW w:w="7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33593D" w14:textId="743BFC02" w:rsidR="00F16283" w:rsidRPr="00F16283" w:rsidRDefault="00F16283" w:rsidP="00F16283">
            <w:pPr>
              <w:jc w:val="center"/>
              <w:rPr>
                <w:rFonts w:cstheme="minorHAnsi"/>
                <w:sz w:val="20"/>
                <w:szCs w:val="20"/>
              </w:rPr>
            </w:pPr>
            <w:r w:rsidRPr="00F16283">
              <w:rPr>
                <w:rFonts w:cstheme="minorHAnsi"/>
                <w:sz w:val="20"/>
                <w:szCs w:val="20"/>
              </w:rPr>
              <w:t>Remote - Regional</w:t>
            </w:r>
          </w:p>
        </w:tc>
        <w:tc>
          <w:tcPr>
            <w:tcW w:w="78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F338A0" w14:textId="3C3FD0C3" w:rsidR="00F16283" w:rsidRPr="00F16283" w:rsidRDefault="00F16283" w:rsidP="00F16283">
            <w:pPr>
              <w:jc w:val="center"/>
              <w:rPr>
                <w:rFonts w:cstheme="minorHAnsi"/>
                <w:sz w:val="20"/>
                <w:szCs w:val="20"/>
              </w:rPr>
            </w:pPr>
            <w:r w:rsidRPr="00F16283">
              <w:rPr>
                <w:rFonts w:cstheme="minorHAnsi"/>
                <w:sz w:val="20"/>
                <w:szCs w:val="20"/>
              </w:rPr>
              <w:t>4 - 4 November, 2021</w:t>
            </w:r>
          </w:p>
        </w:tc>
      </w:tr>
    </w:tbl>
    <w:p w14:paraId="73000941" w14:textId="17790567" w:rsidR="0057080E" w:rsidRPr="00E130E4" w:rsidRDefault="0057080E" w:rsidP="00044D54">
      <w:pPr>
        <w:rPr>
          <w:sz w:val="23"/>
          <w:szCs w:val="23"/>
        </w:rPr>
      </w:pPr>
      <w:bookmarkStart w:id="0" w:name="_GoBack"/>
      <w:bookmarkEnd w:id="0"/>
    </w:p>
    <w:sectPr w:rsidR="0057080E" w:rsidRPr="00E130E4" w:rsidSect="00385197">
      <w:headerReference w:type="default" r:id="rId8"/>
      <w:footerReference w:type="default" r:id="rId9"/>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5582C" w16cex:dateUtc="2021-08-04T08:17:00Z"/>
  <w16cex:commentExtensible w16cex:durableId="24B5540D" w16cex:dateUtc="2021-08-04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812155" w16cid:durableId="24B5582C"/>
  <w16cid:commentId w16cid:paraId="4254477D" w16cid:durableId="24B554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232AF" w14:textId="77777777" w:rsidR="00C063B6" w:rsidRDefault="00C063B6" w:rsidP="007A7166">
      <w:r>
        <w:separator/>
      </w:r>
    </w:p>
  </w:endnote>
  <w:endnote w:type="continuationSeparator" w:id="0">
    <w:p w14:paraId="44449BC6" w14:textId="77777777" w:rsidR="00C063B6" w:rsidRDefault="00C063B6" w:rsidP="007A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6941" w:type="dxa"/>
      <w:tblInd w:w="-1528" w:type="dxa"/>
      <w:tblBorders>
        <w:bottom w:val="none" w:sz="0" w:space="0" w:color="auto"/>
      </w:tblBorders>
      <w:tblLook w:val="04A0" w:firstRow="1" w:lastRow="0" w:firstColumn="1" w:lastColumn="0" w:noHBand="0" w:noVBand="1"/>
    </w:tblPr>
    <w:tblGrid>
      <w:gridCol w:w="2865"/>
      <w:gridCol w:w="10846"/>
      <w:gridCol w:w="1956"/>
      <w:gridCol w:w="1274"/>
    </w:tblGrid>
    <w:tr w:rsidR="00933DA9" w14:paraId="060FFEDA" w14:textId="77777777" w:rsidTr="00933DA9">
      <w:trPr>
        <w:trHeight w:val="1094"/>
      </w:trPr>
      <w:tc>
        <w:tcPr>
          <w:tcW w:w="2865" w:type="dxa"/>
          <w:tcBorders>
            <w:left w:val="nil"/>
            <w:bottom w:val="nil"/>
            <w:right w:val="nil"/>
          </w:tcBorders>
        </w:tcPr>
        <w:p w14:paraId="7A565685" w14:textId="77777777" w:rsidR="00933DA9" w:rsidRDefault="00933DA9" w:rsidP="00933DA9">
          <w:pPr>
            <w:pStyle w:val="Footer"/>
          </w:pPr>
          <w:r>
            <w:rPr>
              <w:i/>
              <w:noProof/>
              <w:sz w:val="18"/>
              <w:szCs w:val="19"/>
            </w:rPr>
            <w:drawing>
              <wp:anchor distT="0" distB="0" distL="114300" distR="114300" simplePos="0" relativeHeight="251674624" behindDoc="0" locked="0" layoutInCell="1" allowOverlap="1" wp14:anchorId="49093366" wp14:editId="0105AA0C">
                <wp:simplePos x="0" y="0"/>
                <wp:positionH relativeFrom="leftMargin">
                  <wp:posOffset>672561</wp:posOffset>
                </wp:positionH>
                <wp:positionV relativeFrom="paragraph">
                  <wp:posOffset>98425</wp:posOffset>
                </wp:positionV>
                <wp:extent cx="626110" cy="543560"/>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10846" w:type="dxa"/>
          <w:tcBorders>
            <w:left w:val="nil"/>
            <w:bottom w:val="nil"/>
            <w:right w:val="nil"/>
          </w:tcBorders>
        </w:tcPr>
        <w:p w14:paraId="5D42210E" w14:textId="77777777" w:rsidR="00933DA9" w:rsidRDefault="00933DA9" w:rsidP="00933DA9">
          <w:pPr>
            <w:pStyle w:val="Footer"/>
            <w:jc w:val="center"/>
            <w:rPr>
              <w:i/>
              <w:sz w:val="18"/>
              <w:szCs w:val="19"/>
            </w:rPr>
          </w:pPr>
        </w:p>
        <w:p w14:paraId="4CFAEFED" w14:textId="77777777" w:rsidR="00933DA9" w:rsidRDefault="00933DA9" w:rsidP="00933DA9">
          <w:pPr>
            <w:pStyle w:val="Footer"/>
            <w:jc w:val="center"/>
            <w:rPr>
              <w:i/>
              <w:sz w:val="18"/>
              <w:szCs w:val="19"/>
            </w:rPr>
          </w:pPr>
        </w:p>
        <w:p w14:paraId="51D328C5" w14:textId="77777777" w:rsidR="00933DA9" w:rsidRPr="00B904F4" w:rsidRDefault="00933DA9" w:rsidP="00933DA9">
          <w:pPr>
            <w:pStyle w:val="Footer"/>
            <w:jc w:val="center"/>
            <w:rPr>
              <w:rFonts w:asciiTheme="minorHAnsi" w:hAnsiTheme="minorHAnsi" w:cstheme="minorHAnsi"/>
              <w:i/>
              <w:sz w:val="18"/>
              <w:szCs w:val="19"/>
            </w:rPr>
          </w:pPr>
          <w:r w:rsidRPr="00B904F4">
            <w:rPr>
              <w:rFonts w:asciiTheme="minorHAnsi" w:hAnsiTheme="minorHAnsi" w:cstheme="minorHAnsi"/>
              <w:i/>
              <w:sz w:val="18"/>
              <w:szCs w:val="19"/>
            </w:rPr>
            <w:t>PJSI is funded by the New Zealand Government and implemented by the Federal Court of Australia</w:t>
          </w:r>
        </w:p>
        <w:p w14:paraId="2CCFE6F5" w14:textId="77777777" w:rsidR="00933DA9" w:rsidRDefault="00933DA9" w:rsidP="00933DA9">
          <w:pPr>
            <w:pStyle w:val="Footer"/>
            <w:jc w:val="center"/>
            <w:rPr>
              <w:i/>
              <w:sz w:val="18"/>
              <w:szCs w:val="19"/>
            </w:rPr>
          </w:pPr>
        </w:p>
        <w:p w14:paraId="3EDC133B" w14:textId="77777777" w:rsidR="00933DA9" w:rsidRDefault="00933DA9" w:rsidP="00933DA9">
          <w:pPr>
            <w:pStyle w:val="Footer"/>
            <w:jc w:val="center"/>
          </w:pPr>
        </w:p>
      </w:tc>
      <w:tc>
        <w:tcPr>
          <w:tcW w:w="1956" w:type="dxa"/>
          <w:tcBorders>
            <w:left w:val="nil"/>
            <w:right w:val="nil"/>
          </w:tcBorders>
        </w:tcPr>
        <w:p w14:paraId="1BDA8A30" w14:textId="77777777" w:rsidR="00933DA9" w:rsidRDefault="00933DA9" w:rsidP="00933DA9">
          <w:pPr>
            <w:pStyle w:val="Footer"/>
          </w:pPr>
          <w:r>
            <w:rPr>
              <w:rFonts w:ascii="Calibri" w:hAnsi="Calibri"/>
              <w:noProof/>
            </w:rPr>
            <w:drawing>
              <wp:anchor distT="0" distB="0" distL="114300" distR="114300" simplePos="0" relativeHeight="251675648" behindDoc="0" locked="0" layoutInCell="1" allowOverlap="1" wp14:anchorId="5159479B" wp14:editId="691CD674">
                <wp:simplePos x="0" y="0"/>
                <wp:positionH relativeFrom="rightMargin">
                  <wp:posOffset>-627380</wp:posOffset>
                </wp:positionH>
                <wp:positionV relativeFrom="paragraph">
                  <wp:posOffset>135419</wp:posOffset>
                </wp:positionV>
                <wp:extent cx="675640" cy="501650"/>
                <wp:effectExtent l="0" t="0" r="0" b="0"/>
                <wp:wrapNone/>
                <wp:docPr id="2" name="Picture 2"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74" w:type="dxa"/>
          <w:tcBorders>
            <w:left w:val="nil"/>
            <w:bottom w:val="nil"/>
            <w:right w:val="nil"/>
          </w:tcBorders>
        </w:tcPr>
        <w:p w14:paraId="29F41F6B" w14:textId="77777777" w:rsidR="00933DA9" w:rsidRDefault="00933DA9" w:rsidP="00933DA9">
          <w:pPr>
            <w:pStyle w:val="Footer"/>
          </w:pPr>
        </w:p>
        <w:p w14:paraId="15660665" w14:textId="76BB3A29" w:rsidR="00933DA9" w:rsidRDefault="00933DA9" w:rsidP="00933DA9">
          <w:pPr>
            <w:pStyle w:val="Footer"/>
          </w:pPr>
          <w:r>
            <w:t xml:space="preserve"> </w:t>
          </w:r>
          <w:r>
            <w:fldChar w:fldCharType="begin"/>
          </w:r>
          <w:r>
            <w:instrText xml:space="preserve"> PAGE   \* MERGEFORMAT </w:instrText>
          </w:r>
          <w:r>
            <w:fldChar w:fldCharType="separate"/>
          </w:r>
          <w:r w:rsidR="00385197">
            <w:rPr>
              <w:noProof/>
            </w:rPr>
            <w:t>2</w:t>
          </w:r>
          <w:r>
            <w:rPr>
              <w:noProof/>
            </w:rPr>
            <w:fldChar w:fldCharType="end"/>
          </w:r>
        </w:p>
      </w:tc>
    </w:tr>
  </w:tbl>
  <w:p w14:paraId="2EB0A07A" w14:textId="77777777" w:rsidR="00933DA9" w:rsidRPr="00B904F4" w:rsidRDefault="00933DA9" w:rsidP="00933DA9">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7EF53" w14:textId="77777777" w:rsidR="00C063B6" w:rsidRDefault="00C063B6" w:rsidP="007A7166">
      <w:r>
        <w:separator/>
      </w:r>
    </w:p>
  </w:footnote>
  <w:footnote w:type="continuationSeparator" w:id="0">
    <w:p w14:paraId="0F7365E4" w14:textId="77777777" w:rsidR="00C063B6" w:rsidRDefault="00C063B6" w:rsidP="007A7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ED4C3" w14:textId="77777777" w:rsidR="0057080E" w:rsidRDefault="0057080E" w:rsidP="0057080E">
    <w:pPr>
      <w:pStyle w:val="Header"/>
      <w:rPr>
        <w:b/>
        <w:i/>
        <w:noProof/>
        <w:sz w:val="20"/>
        <w:szCs w:val="20"/>
        <w:lang w:eastAsia="en-US"/>
      </w:rPr>
    </w:pPr>
    <w:r>
      <w:rPr>
        <w:b/>
        <w:noProof/>
        <w:sz w:val="36"/>
        <w:lang w:eastAsia="en-AU" w:bidi="ar-SA"/>
      </w:rPr>
      <w:drawing>
        <wp:anchor distT="0" distB="0" distL="114300" distR="114300" simplePos="0" relativeHeight="251672576" behindDoc="0" locked="0" layoutInCell="1" allowOverlap="1" wp14:anchorId="1D2BD90F" wp14:editId="3632CD8C">
          <wp:simplePos x="0" y="0"/>
          <wp:positionH relativeFrom="column">
            <wp:posOffset>7805947</wp:posOffset>
          </wp:positionH>
          <wp:positionV relativeFrom="paragraph">
            <wp:posOffset>47097</wp:posOffset>
          </wp:positionV>
          <wp:extent cx="1749425" cy="503555"/>
          <wp:effectExtent l="0" t="0" r="3175" b="0"/>
          <wp:wrapTight wrapText="bothSides">
            <wp:wrapPolygon edited="0">
              <wp:start x="0" y="0"/>
              <wp:lineTo x="0" y="20429"/>
              <wp:lineTo x="21404" y="20429"/>
              <wp:lineTo x="2140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3C252105" w14:textId="77777777" w:rsidR="0057080E" w:rsidRDefault="0057080E" w:rsidP="0057080E">
    <w:pPr>
      <w:pStyle w:val="Header"/>
      <w:rPr>
        <w:b/>
        <w:i/>
        <w:noProof/>
        <w:sz w:val="20"/>
        <w:szCs w:val="20"/>
        <w:lang w:eastAsia="en-US"/>
      </w:rPr>
    </w:pPr>
  </w:p>
  <w:p w14:paraId="77709108" w14:textId="25EF06E0" w:rsidR="0057080E" w:rsidRDefault="0057080E" w:rsidP="0057080E">
    <w:pPr>
      <w:pStyle w:val="Header"/>
    </w:pPr>
    <w:r>
      <w:rPr>
        <w:noProof/>
        <w:lang w:eastAsia="en-AU" w:bidi="ar-SA"/>
      </w:rPr>
      <w:drawing>
        <wp:anchor distT="0" distB="0" distL="114300" distR="114300" simplePos="0" relativeHeight="251671552" behindDoc="0" locked="0" layoutInCell="1" allowOverlap="1" wp14:anchorId="56043712" wp14:editId="7AC184C1">
          <wp:simplePos x="0" y="0"/>
          <wp:positionH relativeFrom="column">
            <wp:posOffset>-668331</wp:posOffset>
          </wp:positionH>
          <wp:positionV relativeFrom="paragraph">
            <wp:posOffset>171269</wp:posOffset>
          </wp:positionV>
          <wp:extent cx="8500752" cy="46355"/>
          <wp:effectExtent l="0" t="0" r="0" b="0"/>
          <wp:wrapNone/>
          <wp:docPr id="10" name="Picture 10"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9577214" cy="522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20"/>
        <w:szCs w:val="20"/>
        <w:lang w:eastAsia="en-US"/>
      </w:rPr>
      <w:t>PJSI</w:t>
    </w:r>
    <w:r w:rsidRPr="00646094">
      <w:rPr>
        <w:b/>
        <w:i/>
        <w:noProof/>
        <w:sz w:val="20"/>
        <w:szCs w:val="20"/>
        <w:lang w:eastAsia="en-US"/>
      </w:rPr>
      <w:t>:</w:t>
    </w:r>
    <w:r>
      <w:rPr>
        <w:noProof/>
        <w:sz w:val="20"/>
        <w:szCs w:val="20"/>
        <w:lang w:eastAsia="en-US"/>
      </w:rPr>
      <w:t xml:space="preserve"> Palau – Support Summary</w:t>
    </w:r>
  </w:p>
  <w:p w14:paraId="3478E667" w14:textId="77777777" w:rsidR="0057080E" w:rsidRPr="00EE2241" w:rsidRDefault="0057080E" w:rsidP="005708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5205"/>
    <w:multiLevelType w:val="hybridMultilevel"/>
    <w:tmpl w:val="2D42C5EA"/>
    <w:lvl w:ilvl="0" w:tplc="54E6844C">
      <w:start w:val="1"/>
      <w:numFmt w:val="bullet"/>
      <w:lvlText w:val=""/>
      <w:lvlJc w:val="left"/>
      <w:pPr>
        <w:ind w:left="720" w:hanging="360"/>
      </w:pPr>
      <w:rPr>
        <w:rFonts w:ascii="Symbol" w:hAnsi="Symbol" w:hint="default"/>
        <w:i/>
        <w:sz w:val="20"/>
        <w:lang w:val="en-US"/>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1157B"/>
    <w:multiLevelType w:val="hybridMultilevel"/>
    <w:tmpl w:val="A05C8FC8"/>
    <w:lvl w:ilvl="0" w:tplc="7222FC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B655DA"/>
    <w:multiLevelType w:val="hybridMultilevel"/>
    <w:tmpl w:val="B9DE0FAC"/>
    <w:lvl w:ilvl="0" w:tplc="37AC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D4F2E"/>
    <w:multiLevelType w:val="multilevel"/>
    <w:tmpl w:val="ED546C5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3638CD"/>
    <w:multiLevelType w:val="hybridMultilevel"/>
    <w:tmpl w:val="A89A9D76"/>
    <w:lvl w:ilvl="0" w:tplc="5D38B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A591C"/>
    <w:multiLevelType w:val="hybridMultilevel"/>
    <w:tmpl w:val="1B76C9A2"/>
    <w:lvl w:ilvl="0" w:tplc="5D38B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DD184F"/>
    <w:multiLevelType w:val="hybridMultilevel"/>
    <w:tmpl w:val="6D48BD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E25EF8"/>
    <w:multiLevelType w:val="hybridMultilevel"/>
    <w:tmpl w:val="3CF4ABA0"/>
    <w:lvl w:ilvl="0" w:tplc="9DECDA02">
      <w:start w:val="1"/>
      <w:numFmt w:val="decimal"/>
      <w:lvlText w:val="%1."/>
      <w:lvlJc w:val="left"/>
      <w:pPr>
        <w:ind w:left="363" w:hanging="360"/>
      </w:pPr>
      <w:rPr>
        <w:b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8" w15:restartNumberingAfterBreak="0">
    <w:nsid w:val="4A723B2D"/>
    <w:multiLevelType w:val="hybridMultilevel"/>
    <w:tmpl w:val="A52624F4"/>
    <w:lvl w:ilvl="0" w:tplc="FD38E9B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F6242"/>
    <w:multiLevelType w:val="hybridMultilevel"/>
    <w:tmpl w:val="8272F2AA"/>
    <w:lvl w:ilvl="0" w:tplc="F3E8AE6E">
      <w:start w:val="1"/>
      <w:numFmt w:val="decimal"/>
      <w:lvlText w:val="%1."/>
      <w:lvlJc w:val="left"/>
      <w:pPr>
        <w:ind w:left="363" w:hanging="360"/>
      </w:pPr>
      <w:rPr>
        <w:rFonts w:asciiTheme="minorHAnsi" w:hAnsiTheme="minorHAnsi" w:cstheme="minorHAnsi" w:hint="default"/>
        <w:b w:val="0"/>
        <w:i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0" w15:restartNumberingAfterBreak="0">
    <w:nsid w:val="599D2146"/>
    <w:multiLevelType w:val="hybridMultilevel"/>
    <w:tmpl w:val="6CD6DA98"/>
    <w:lvl w:ilvl="0" w:tplc="7A323E0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DC92984"/>
    <w:multiLevelType w:val="hybridMultilevel"/>
    <w:tmpl w:val="F17CC07A"/>
    <w:lvl w:ilvl="0" w:tplc="37AC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C35646"/>
    <w:multiLevelType w:val="hybridMultilevel"/>
    <w:tmpl w:val="A52624F4"/>
    <w:lvl w:ilvl="0" w:tplc="FD38E9B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4B5F83"/>
    <w:multiLevelType w:val="hybridMultilevel"/>
    <w:tmpl w:val="C644DA64"/>
    <w:lvl w:ilvl="0" w:tplc="FC086C5E">
      <w:start w:val="1"/>
      <w:numFmt w:val="decimal"/>
      <w:lvlText w:val="%1.0"/>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0"/>
  </w:num>
  <w:num w:numId="3">
    <w:abstractNumId w:val="7"/>
  </w:num>
  <w:num w:numId="4">
    <w:abstractNumId w:val="9"/>
  </w:num>
  <w:num w:numId="5">
    <w:abstractNumId w:val="6"/>
  </w:num>
  <w:num w:numId="6">
    <w:abstractNumId w:val="12"/>
  </w:num>
  <w:num w:numId="7">
    <w:abstractNumId w:val="1"/>
  </w:num>
  <w:num w:numId="8">
    <w:abstractNumId w:val="2"/>
  </w:num>
  <w:num w:numId="9">
    <w:abstractNumId w:val="5"/>
  </w:num>
  <w:num w:numId="10">
    <w:abstractNumId w:val="3"/>
  </w:num>
  <w:num w:numId="11">
    <w:abstractNumId w:val="11"/>
  </w:num>
  <w:num w:numId="12">
    <w:abstractNumId w:val="4"/>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1"/>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EF"/>
    <w:rsid w:val="00044D54"/>
    <w:rsid w:val="001937CF"/>
    <w:rsid w:val="001F40AD"/>
    <w:rsid w:val="001F580E"/>
    <w:rsid w:val="002B0934"/>
    <w:rsid w:val="003345CC"/>
    <w:rsid w:val="003464EF"/>
    <w:rsid w:val="00385197"/>
    <w:rsid w:val="00496F64"/>
    <w:rsid w:val="004B636B"/>
    <w:rsid w:val="004D6441"/>
    <w:rsid w:val="004E330B"/>
    <w:rsid w:val="005058F7"/>
    <w:rsid w:val="005369B6"/>
    <w:rsid w:val="00555E05"/>
    <w:rsid w:val="0057080E"/>
    <w:rsid w:val="005C6D3E"/>
    <w:rsid w:val="00615036"/>
    <w:rsid w:val="006817B7"/>
    <w:rsid w:val="006F0239"/>
    <w:rsid w:val="0071575C"/>
    <w:rsid w:val="00715FD2"/>
    <w:rsid w:val="007A7166"/>
    <w:rsid w:val="00812EBD"/>
    <w:rsid w:val="00865BFB"/>
    <w:rsid w:val="008A3807"/>
    <w:rsid w:val="008C14C2"/>
    <w:rsid w:val="00933DA9"/>
    <w:rsid w:val="009571DF"/>
    <w:rsid w:val="00961420"/>
    <w:rsid w:val="009655DE"/>
    <w:rsid w:val="00967D7F"/>
    <w:rsid w:val="00AC5C84"/>
    <w:rsid w:val="00AE609A"/>
    <w:rsid w:val="00B0384F"/>
    <w:rsid w:val="00B1695E"/>
    <w:rsid w:val="00B37101"/>
    <w:rsid w:val="00B648B3"/>
    <w:rsid w:val="00B7596C"/>
    <w:rsid w:val="00B904F4"/>
    <w:rsid w:val="00B96470"/>
    <w:rsid w:val="00BA071B"/>
    <w:rsid w:val="00BB7946"/>
    <w:rsid w:val="00BF6937"/>
    <w:rsid w:val="00C063B6"/>
    <w:rsid w:val="00C34D6B"/>
    <w:rsid w:val="00C638A9"/>
    <w:rsid w:val="00CE2674"/>
    <w:rsid w:val="00D11603"/>
    <w:rsid w:val="00E130E4"/>
    <w:rsid w:val="00E54A7E"/>
    <w:rsid w:val="00ED23AC"/>
    <w:rsid w:val="00F16283"/>
    <w:rsid w:val="00F35E4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EF4201"/>
  <w15:chartTrackingRefBased/>
  <w15:docId w15:val="{7DC13157-A235-4CF5-B0D8-3FAAA77C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AU" w:eastAsia="zh-CN" w:bidi="th-TH"/>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7A7166"/>
    <w:pPr>
      <w:keepNext/>
      <w:spacing w:before="240"/>
      <w:ind w:left="709" w:hanging="709"/>
      <w:outlineLvl w:val="0"/>
    </w:pPr>
    <w:rPr>
      <w:rFonts w:cs="Times New Roman"/>
      <w:b/>
      <w:color w:val="244061" w:themeColor="accent1" w:themeShade="80"/>
      <w:kern w:val="32"/>
      <w:sz w:val="27"/>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A7166"/>
    <w:rPr>
      <w:rFonts w:cs="Times New Roman"/>
      <w:b/>
      <w:color w:val="244061" w:themeColor="accent1" w:themeShade="80"/>
      <w:kern w:val="32"/>
      <w:sz w:val="27"/>
      <w:szCs w:val="22"/>
      <w:lang w:val="en-US" w:eastAsia="en-US" w:bidi="ar-SA"/>
    </w:rPr>
  </w:style>
  <w:style w:type="character" w:styleId="CommentReference">
    <w:name w:val="annotation reference"/>
    <w:basedOn w:val="DefaultParagraphFont"/>
    <w:uiPriority w:val="99"/>
    <w:unhideWhenUsed/>
    <w:rsid w:val="007A7166"/>
    <w:rPr>
      <w:sz w:val="16"/>
      <w:szCs w:val="16"/>
    </w:rPr>
  </w:style>
  <w:style w:type="paragraph" w:styleId="CommentText">
    <w:name w:val="annotation text"/>
    <w:basedOn w:val="Normal"/>
    <w:link w:val="CommentTextChar"/>
    <w:uiPriority w:val="99"/>
    <w:unhideWhenUsed/>
    <w:rsid w:val="007A7166"/>
    <w:rPr>
      <w:rFonts w:ascii="Arial" w:eastAsia="Times New Roman" w:hAnsi="Arial" w:cs="Arial"/>
      <w:sz w:val="20"/>
      <w:szCs w:val="20"/>
      <w:lang w:eastAsia="en-AU" w:bidi="ar-SA"/>
    </w:rPr>
  </w:style>
  <w:style w:type="character" w:customStyle="1" w:styleId="CommentTextChar">
    <w:name w:val="Comment Text Char"/>
    <w:basedOn w:val="DefaultParagraphFont"/>
    <w:link w:val="CommentText"/>
    <w:uiPriority w:val="99"/>
    <w:rsid w:val="007A7166"/>
    <w:rPr>
      <w:rFonts w:ascii="Arial" w:eastAsia="Times New Roman" w:hAnsi="Arial" w:cs="Arial"/>
      <w:sz w:val="20"/>
      <w:szCs w:val="20"/>
      <w:lang w:eastAsia="en-AU" w:bidi="ar-SA"/>
    </w:rPr>
  </w:style>
  <w:style w:type="paragraph" w:styleId="FootnoteText">
    <w:name w:val="footnote text"/>
    <w:aliases w:val="Footnote Text Char1 Char,Footnote Text Char Char Char,Footnote Text Char Char,Footnote Text Char1 Char Char Char Char,Footnote Text Char Char1,single space,Footnote Text Char Char Char1,Footnote Text1,FOOTNOTES,fn,ft,Footnote Text Char1"/>
    <w:basedOn w:val="Normal"/>
    <w:link w:val="FootnoteTextChar"/>
    <w:uiPriority w:val="99"/>
    <w:unhideWhenUsed/>
    <w:rsid w:val="007A7166"/>
    <w:rPr>
      <w:rFonts w:eastAsia="Times New Roman" w:cs="Times New Roman"/>
      <w:sz w:val="20"/>
      <w:szCs w:val="20"/>
      <w:lang w:eastAsia="en-AU" w:bidi="ar-SA"/>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n Char"/>
    <w:basedOn w:val="DefaultParagraphFont"/>
    <w:link w:val="FootnoteText"/>
    <w:uiPriority w:val="99"/>
    <w:rsid w:val="007A7166"/>
    <w:rPr>
      <w:rFonts w:eastAsia="Times New Roman" w:cs="Times New Roman"/>
      <w:sz w:val="20"/>
      <w:szCs w:val="20"/>
      <w:lang w:eastAsia="en-AU" w:bidi="ar-SA"/>
    </w:rPr>
  </w:style>
  <w:style w:type="character" w:styleId="FootnoteReference">
    <w:name w:val="footnote reference"/>
    <w:aliases w:val="BVI fnr,ftref,Footnote text,Footnotes refss,Ref,de nota al pie,footnote ref,16 Point,Superscript 6 Point, BVI fnr"/>
    <w:basedOn w:val="DefaultParagraphFont"/>
    <w:uiPriority w:val="99"/>
    <w:unhideWhenUsed/>
    <w:rsid w:val="007A7166"/>
    <w:rPr>
      <w:vertAlign w:val="superscript"/>
    </w:rPr>
  </w:style>
  <w:style w:type="paragraph" w:styleId="ListParagraph">
    <w:name w:val="List Paragraph"/>
    <w:aliases w:val="Rec para,Dot pt,F5 List Paragraph,No Spacing1,List Paragraph Char Char Char,Indicator Text,Numbered Para 1,Colorful List - Accent 11,Bullet 1,MAIN CONTENT,List Paragraph12,List Paragraph2,Normal numbered,OBC Bullet,L,List Paragraph1"/>
    <w:basedOn w:val="Normal"/>
    <w:link w:val="ListParagraphChar"/>
    <w:uiPriority w:val="34"/>
    <w:qFormat/>
    <w:rsid w:val="007A7166"/>
    <w:pPr>
      <w:ind w:left="720"/>
      <w:contextualSpacing/>
    </w:pPr>
    <w:rPr>
      <w:rFonts w:ascii="Calibri" w:eastAsia="Times New Roman" w:hAnsi="Calibri" w:cs="Times New Roman"/>
      <w:szCs w:val="20"/>
      <w:lang w:eastAsia="en-AU" w:bidi="ar-SA"/>
    </w:rPr>
  </w:style>
  <w:style w:type="character" w:customStyle="1" w:styleId="ListParagraphChar">
    <w:name w:val="List Paragraph Char"/>
    <w:aliases w:val="Rec para Char,Dot pt Char,F5 List Paragraph Char,No Spacing1 Char,List Paragraph Char Char Char Char,Indicator Text Char,Numbered Para 1 Char,Colorful List - Accent 11 Char,Bullet 1 Char,MAIN CONTENT Char,List Paragraph12 Char,L Char"/>
    <w:link w:val="ListParagraph"/>
    <w:uiPriority w:val="34"/>
    <w:locked/>
    <w:rsid w:val="007A7166"/>
    <w:rPr>
      <w:rFonts w:ascii="Calibri" w:eastAsia="Times New Roman" w:hAnsi="Calibri" w:cs="Times New Roman"/>
      <w:szCs w:val="20"/>
      <w:lang w:eastAsia="en-AU" w:bidi="ar-SA"/>
    </w:rPr>
  </w:style>
  <w:style w:type="table" w:styleId="TableGrid">
    <w:name w:val="Table Grid"/>
    <w:basedOn w:val="TableNormal"/>
    <w:uiPriority w:val="39"/>
    <w:rsid w:val="007A7166"/>
    <w:rPr>
      <w:rFonts w:ascii="Times New Roman" w:eastAsia="Times New Roman" w:hAnsi="Times New Roman" w:cs="Times New Roman"/>
      <w:sz w:val="20"/>
      <w:szCs w:val="20"/>
      <w:lang w:eastAsia="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7A7166"/>
    <w:pPr>
      <w:spacing w:after="120"/>
    </w:pPr>
    <w:rPr>
      <w:rFonts w:eastAsia="Times New Roman" w:cs="Times New Roman"/>
      <w:sz w:val="23"/>
      <w:szCs w:val="24"/>
      <w:lang w:val="en-GB" w:eastAsia="en-AU" w:bidi="ar-SA"/>
    </w:rPr>
  </w:style>
  <w:style w:type="character" w:customStyle="1" w:styleId="BodyTextChar">
    <w:name w:val="Body Text Char"/>
    <w:basedOn w:val="DefaultParagraphFont"/>
    <w:link w:val="BodyText"/>
    <w:uiPriority w:val="99"/>
    <w:rsid w:val="007A7166"/>
    <w:rPr>
      <w:rFonts w:eastAsia="Times New Roman" w:cs="Times New Roman"/>
      <w:sz w:val="23"/>
      <w:szCs w:val="24"/>
      <w:lang w:val="en-GB" w:eastAsia="en-AU" w:bidi="ar-SA"/>
    </w:rPr>
  </w:style>
  <w:style w:type="paragraph" w:styleId="Header">
    <w:name w:val="header"/>
    <w:basedOn w:val="Normal"/>
    <w:link w:val="HeaderChar"/>
    <w:uiPriority w:val="99"/>
    <w:unhideWhenUsed/>
    <w:rsid w:val="00C638A9"/>
    <w:pPr>
      <w:tabs>
        <w:tab w:val="center" w:pos="4513"/>
        <w:tab w:val="right" w:pos="9026"/>
      </w:tabs>
    </w:pPr>
  </w:style>
  <w:style w:type="character" w:customStyle="1" w:styleId="HeaderChar">
    <w:name w:val="Header Char"/>
    <w:basedOn w:val="DefaultParagraphFont"/>
    <w:link w:val="Header"/>
    <w:uiPriority w:val="99"/>
    <w:rsid w:val="00C638A9"/>
  </w:style>
  <w:style w:type="paragraph" w:styleId="Footer">
    <w:name w:val="footer"/>
    <w:basedOn w:val="Normal"/>
    <w:link w:val="FooterChar"/>
    <w:uiPriority w:val="99"/>
    <w:unhideWhenUsed/>
    <w:rsid w:val="00C638A9"/>
    <w:pPr>
      <w:tabs>
        <w:tab w:val="center" w:pos="4513"/>
        <w:tab w:val="right" w:pos="9026"/>
      </w:tabs>
    </w:pPr>
  </w:style>
  <w:style w:type="character" w:customStyle="1" w:styleId="FooterChar">
    <w:name w:val="Footer Char"/>
    <w:basedOn w:val="DefaultParagraphFont"/>
    <w:link w:val="Footer"/>
    <w:uiPriority w:val="99"/>
    <w:rsid w:val="00C638A9"/>
  </w:style>
  <w:style w:type="paragraph" w:styleId="CommentSubject">
    <w:name w:val="annotation subject"/>
    <w:basedOn w:val="CommentText"/>
    <w:next w:val="CommentText"/>
    <w:link w:val="CommentSubjectChar"/>
    <w:uiPriority w:val="99"/>
    <w:semiHidden/>
    <w:unhideWhenUsed/>
    <w:rsid w:val="00967D7F"/>
    <w:rPr>
      <w:rFonts w:asciiTheme="minorHAnsi" w:eastAsiaTheme="minorEastAsia" w:hAnsiTheme="minorHAnsi" w:cstheme="minorBidi"/>
      <w:b/>
      <w:bCs/>
      <w:szCs w:val="25"/>
      <w:lang w:eastAsia="zh-CN" w:bidi="th-TH"/>
    </w:rPr>
  </w:style>
  <w:style w:type="character" w:customStyle="1" w:styleId="CommentSubjectChar">
    <w:name w:val="Comment Subject Char"/>
    <w:basedOn w:val="CommentTextChar"/>
    <w:link w:val="CommentSubject"/>
    <w:uiPriority w:val="99"/>
    <w:semiHidden/>
    <w:rsid w:val="00967D7F"/>
    <w:rPr>
      <w:rFonts w:ascii="Arial" w:eastAsia="Times New Roman" w:hAnsi="Arial" w:cs="Arial"/>
      <w:b/>
      <w:bCs/>
      <w:sz w:val="20"/>
      <w:szCs w:val="25"/>
      <w:lang w:eastAsia="en-AU" w:bidi="ar-SA"/>
    </w:rPr>
  </w:style>
  <w:style w:type="paragraph" w:styleId="BalloonText">
    <w:name w:val="Balloon Text"/>
    <w:basedOn w:val="Normal"/>
    <w:link w:val="BalloonTextChar"/>
    <w:uiPriority w:val="99"/>
    <w:semiHidden/>
    <w:unhideWhenUsed/>
    <w:rsid w:val="00B904F4"/>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B904F4"/>
    <w:rPr>
      <w:rFonts w:ascii="Segoe UI" w:hAnsi="Segoe UI" w:cs="Angsana New"/>
      <w:sz w:val="18"/>
      <w:szCs w:val="22"/>
    </w:rPr>
  </w:style>
  <w:style w:type="character" w:styleId="Hyperlink">
    <w:name w:val="Hyperlink"/>
    <w:basedOn w:val="DefaultParagraphFont"/>
    <w:uiPriority w:val="99"/>
    <w:unhideWhenUsed/>
    <w:rsid w:val="00F35E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975039">
      <w:bodyDiv w:val="1"/>
      <w:marLeft w:val="0"/>
      <w:marRight w:val="0"/>
      <w:marTop w:val="0"/>
      <w:marBottom w:val="0"/>
      <w:divBdr>
        <w:top w:val="none" w:sz="0" w:space="0" w:color="auto"/>
        <w:left w:val="none" w:sz="0" w:space="0" w:color="auto"/>
        <w:bottom w:val="none" w:sz="0" w:space="0" w:color="auto"/>
        <w:right w:val="none" w:sz="0" w:space="0" w:color="auto"/>
      </w:divBdr>
    </w:div>
    <w:div w:id="174725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94FD4-6EC3-462C-BAB2-35E28B248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 Metzner</dc:creator>
  <cp:keywords/>
  <dc:description/>
  <cp:lastModifiedBy>Hannah Boyd</cp:lastModifiedBy>
  <cp:revision>2</cp:revision>
  <dcterms:created xsi:type="dcterms:W3CDTF">2021-12-22T06:27:00Z</dcterms:created>
  <dcterms:modified xsi:type="dcterms:W3CDTF">2021-12-22T06:27:00Z</dcterms:modified>
</cp:coreProperties>
</file>