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3.xml" ContentType="application/vnd.openxmlformats-officedocument.drawingml.chartshapes+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header6.xml" ContentType="application/vnd.openxmlformats-officedocument.wordprocessingml.header+xml"/>
  <Override PartName="/word/footer8.xml" ContentType="application/vnd.openxmlformats-officedocument.wordprocessingml.footer+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header11.xml" ContentType="application/vnd.openxmlformats-officedocument.wordprocessingml.header+xml"/>
  <Override PartName="/word/header12.xml" ContentType="application/vnd.openxmlformats-officedocument.wordprocessingml.header+xml"/>
  <Override PartName="/word/diagrams/data35.xml" ContentType="application/vnd.openxmlformats-officedocument.drawingml.diagramData+xml"/>
  <Override PartName="/word/diagrams/layout35.xml" ContentType="application/vnd.openxmlformats-officedocument.drawingml.diagramLayout+xml"/>
  <Override PartName="/word/diagrams/quickStyle35.xml" ContentType="application/vnd.openxmlformats-officedocument.drawingml.diagramStyle+xml"/>
  <Override PartName="/word/diagrams/colors35.xml" ContentType="application/vnd.openxmlformats-officedocument.drawingml.diagramColors+xml"/>
  <Override PartName="/word/diagrams/drawing35.xml" ContentType="application/vnd.ms-office.drawingml.diagramDrawing+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321CB4" w14:textId="77777777" w:rsidR="00FD0ECD" w:rsidRPr="009A0017" w:rsidRDefault="00FD0ECD" w:rsidP="00FD0ECD">
      <w:pPr>
        <w:rPr>
          <w:rStyle w:val="IntenseEmphasis"/>
        </w:rPr>
      </w:pPr>
      <w:bookmarkStart w:id="0" w:name="_GoBack"/>
      <w:bookmarkEnd w:id="0"/>
    </w:p>
    <w:p w14:paraId="68840D9D" w14:textId="77777777" w:rsidR="00FD0ECD" w:rsidRDefault="00FD0ECD" w:rsidP="00FD0ECD">
      <w:pPr>
        <w:rPr>
          <w:rFonts w:ascii="Arial" w:hAnsi="Arial" w:cs="Arial"/>
        </w:rPr>
      </w:pPr>
    </w:p>
    <w:p w14:paraId="2D0B3347" w14:textId="5FC00AE3" w:rsidR="00FD0ECD" w:rsidRDefault="00FD0ECD" w:rsidP="00FD0ECD"/>
    <w:p w14:paraId="21BAEC35" w14:textId="656E87CB" w:rsidR="00FD0ECD" w:rsidRDefault="00F10751" w:rsidP="00FD0ECD">
      <w:pPr>
        <w:pStyle w:val="Default"/>
      </w:pPr>
      <w:r w:rsidRPr="00DD49FC">
        <w:rPr>
          <w:rFonts w:cstheme="minorHAnsi"/>
          <w:b/>
          <w:noProof/>
          <w:sz w:val="56"/>
          <w:szCs w:val="56"/>
          <w:lang w:eastAsia="en-AU"/>
        </w:rPr>
        <w:drawing>
          <wp:anchor distT="0" distB="0" distL="114300" distR="114300" simplePos="0" relativeHeight="251646464" behindDoc="1" locked="0" layoutInCell="1" allowOverlap="1" wp14:anchorId="01BF57C4" wp14:editId="073F0CFA">
            <wp:simplePos x="0" y="0"/>
            <wp:positionH relativeFrom="margin">
              <wp:align>center</wp:align>
            </wp:positionH>
            <wp:positionV relativeFrom="paragraph">
              <wp:posOffset>8890</wp:posOffset>
            </wp:positionV>
            <wp:extent cx="4240530" cy="1292225"/>
            <wp:effectExtent l="0" t="0" r="7620" b="3175"/>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40530" cy="1292225"/>
                    </a:xfrm>
                    <a:prstGeom prst="rect">
                      <a:avLst/>
                    </a:prstGeom>
                    <a:noFill/>
                    <a:ln>
                      <a:noFill/>
                    </a:ln>
                    <a:effectLst/>
                  </pic:spPr>
                </pic:pic>
              </a:graphicData>
            </a:graphic>
          </wp:anchor>
        </w:drawing>
      </w:r>
      <w:r w:rsidR="00FD0ECD" w:rsidRPr="00F34798">
        <w:rPr>
          <w:b/>
          <w:smallCaps/>
          <w:color w:val="1F497D"/>
          <w:sz w:val="75"/>
          <w:szCs w:val="75"/>
        </w:rPr>
        <w:t xml:space="preserve"> </w:t>
      </w:r>
    </w:p>
    <w:p w14:paraId="1B0476B0" w14:textId="77777777" w:rsidR="00FD0ECD" w:rsidRDefault="00FD0ECD" w:rsidP="00FD0ECD">
      <w:pPr>
        <w:jc w:val="center"/>
      </w:pPr>
      <w:r>
        <w:t xml:space="preserve"> </w:t>
      </w:r>
    </w:p>
    <w:p w14:paraId="1549F1B7" w14:textId="77777777" w:rsidR="00FD0ECD" w:rsidRDefault="00FD0ECD" w:rsidP="00FD0ECD">
      <w:pPr>
        <w:jc w:val="center"/>
      </w:pPr>
    </w:p>
    <w:p w14:paraId="5492E5D3" w14:textId="7CA8933D" w:rsidR="001D36CD" w:rsidRDefault="001D36CD" w:rsidP="00FD0ECD">
      <w:pPr>
        <w:jc w:val="center"/>
        <w:rPr>
          <w:rFonts w:cstheme="minorHAnsi"/>
          <w:b/>
          <w:smallCaps/>
          <w:sz w:val="75"/>
          <w:szCs w:val="75"/>
        </w:rPr>
      </w:pPr>
    </w:p>
    <w:p w14:paraId="49477AE7" w14:textId="69D050FE" w:rsidR="001D36CD" w:rsidRDefault="001D36CD" w:rsidP="00FD0ECD">
      <w:pPr>
        <w:jc w:val="center"/>
        <w:rPr>
          <w:rFonts w:cstheme="minorHAnsi"/>
          <w:b/>
          <w:smallCaps/>
          <w:sz w:val="75"/>
          <w:szCs w:val="75"/>
        </w:rPr>
      </w:pPr>
    </w:p>
    <w:p w14:paraId="3B53EB5B" w14:textId="52AF6B30" w:rsidR="001D36CD" w:rsidRPr="001D36CD" w:rsidRDefault="001D36CD" w:rsidP="00FD0ECD">
      <w:pPr>
        <w:jc w:val="center"/>
        <w:rPr>
          <w:rFonts w:cstheme="minorHAnsi"/>
          <w:b/>
          <w:smallCaps/>
          <w:sz w:val="40"/>
          <w:szCs w:val="75"/>
        </w:rPr>
      </w:pPr>
    </w:p>
    <w:p w14:paraId="45075BDF" w14:textId="01C82BCD" w:rsidR="001D36CD" w:rsidRPr="00F10751" w:rsidRDefault="00FD0ECD" w:rsidP="00FD0ECD">
      <w:pPr>
        <w:jc w:val="center"/>
        <w:rPr>
          <w:rFonts w:cstheme="minorHAnsi"/>
          <w:b/>
          <w:smallCaps/>
          <w:color w:val="002060"/>
          <w:sz w:val="100"/>
          <w:szCs w:val="100"/>
        </w:rPr>
      </w:pPr>
      <w:r w:rsidRPr="00F10751">
        <w:rPr>
          <w:rFonts w:cstheme="minorHAnsi"/>
          <w:b/>
          <w:smallCaps/>
          <w:color w:val="002060"/>
          <w:sz w:val="100"/>
          <w:szCs w:val="100"/>
        </w:rPr>
        <w:t>Completion Report</w:t>
      </w:r>
    </w:p>
    <w:p w14:paraId="0D4E02AB" w14:textId="357A1B03" w:rsidR="00FD0ECD" w:rsidRPr="007E7E30" w:rsidRDefault="00FD0ECD" w:rsidP="00FD0ECD">
      <w:pPr>
        <w:pStyle w:val="Pa1"/>
        <w:rPr>
          <w:rFonts w:cs="Arial"/>
          <w:b/>
          <w:color w:val="1F497D"/>
          <w:sz w:val="22"/>
        </w:rPr>
      </w:pPr>
    </w:p>
    <w:p w14:paraId="04C9037C" w14:textId="24AF0F5F" w:rsidR="00FD0ECD" w:rsidRDefault="00DF5A0F" w:rsidP="00FD0ECD">
      <w:r>
        <w:rPr>
          <w:noProof/>
          <w:lang w:val="en-AU"/>
        </w:rPr>
        <mc:AlternateContent>
          <mc:Choice Requires="wps">
            <w:drawing>
              <wp:anchor distT="0" distB="0" distL="114300" distR="114300" simplePos="0" relativeHeight="251605504" behindDoc="0" locked="0" layoutInCell="1" allowOverlap="1" wp14:anchorId="0DCCEEEC" wp14:editId="18E17DE8">
                <wp:simplePos x="0" y="0"/>
                <wp:positionH relativeFrom="page">
                  <wp:align>right</wp:align>
                </wp:positionH>
                <wp:positionV relativeFrom="paragraph">
                  <wp:posOffset>280670</wp:posOffset>
                </wp:positionV>
                <wp:extent cx="7668260" cy="493395"/>
                <wp:effectExtent l="0" t="0" r="8890" b="1905"/>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68260" cy="493395"/>
                        </a:xfrm>
                        <a:prstGeom prst="rect">
                          <a:avLst/>
                        </a:prstGeom>
                        <a:solidFill>
                          <a:srgbClr val="0E606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DA035A0" id="Rectangle 59" o:spid="_x0000_s1026" style="position:absolute;margin-left:552.6pt;margin-top:22.1pt;width:603.8pt;height:38.85pt;z-index:2516039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ZfuZQIAAMwEAAAOAAAAZHJzL2Uyb0RvYy54bWysVE1PGzEQvVfqf7B8L5uEJJAVGxRBqSpF&#10;gAoV54nX+6HaHtd2sqG/nrF3AyntqerFmvG8nY/nN3txudeK7aTzLZqCj09GnEkjsGxNXfDvjzef&#10;zjnzAUwJCo0s+LP0/HL58cNFZ3M5wQZVKR2jJMbnnS14E4LNs8yLRmrwJ2iloWCFTkMg19VZ6aCj&#10;7Fplk9FonnXoSutQSO/p9roP8mXKX1VShLuq8jIwVXDqLaTTpXMTz2x5AXntwDatGNqAf+hCQ2uo&#10;6GuqawjAtq79I5VuhUOPVTgRqDOsqlbINANNMx69m+ahASvTLESOt680+f+XVtzu7h1ry4LPFpwZ&#10;0PRG34g1MLWSjO6IoM76nHAP9t7FEb1do/jhKZD9FomOHzD7yumIpQHZPrH9/Mq23Acm6PJsPj+f&#10;zOlRBMWmi9PTxSxWyyA/fG2dD18kahaNgjvqK5EMu7UPPfQASY2hasubVqnkuHpzpRzbQXz5z/MR&#10;Veo/8ccwZVhX8MlsOoqNACmwUhDI1JY48abmDFRN0hbBpdoGYwXKBHmsfQ2+6WuktEMJZWJcJv0N&#10;rb6xE60Nls/Eu8NekN6Km5ayrcGHe3CkQOqGtirc0VEppBZxsDhr0P36233EkzAoyllHiqb2f27B&#10;Sc7UV0OSWYyn07gCyZnOzibkuOPI5jhitvoKibox7a8VyYz4oA5m5VA/0fKtYlUKgRFUuydqcK5C&#10;v2m0vkKuVglGsrcQ1ubBipj8wOPj/gmcHR46kERu8aB+yN+9d4+NXxpcbQNWbRLDG6+DMmllkpyG&#10;9Y47eewn1NtPaPkCAAD//wMAUEsDBBQABgAIAAAAIQAOEwEm2QAAAAgBAAAPAAAAZHJzL2Rvd25y&#10;ZXYueG1sTI/BTsMwEETvSPyDtZW4USdRKSSNU6FKfAClEtdtvMRR43WwnTb8Pc4JbrOa1cybej/b&#10;QVzJh96xgnydgSBune65U3D6eHt8AREissbBMSn4oQD75v6uxkq7G7/T9Rg7kUI4VKjAxDhWUobW&#10;kMWwdiNx8r6ctxjT6TupPd5SuB1kkWVbabHn1GBwpIOh9nKcrAI65foJDz5+YjbJ7mJKNN+lUg+r&#10;+XUHItIc/55hwU/o0CSms5tYBzEoSEOigs2mALG4Rfa8BXFeVF6CbGr5f0DzCwAA//8DAFBLAQIt&#10;ABQABgAIAAAAIQC2gziS/gAAAOEBAAATAAAAAAAAAAAAAAAAAAAAAABbQ29udGVudF9UeXBlc10u&#10;eG1sUEsBAi0AFAAGAAgAAAAhADj9If/WAAAAlAEAAAsAAAAAAAAAAAAAAAAALwEAAF9yZWxzLy5y&#10;ZWxzUEsBAi0AFAAGAAgAAAAhAH2Nl+5lAgAAzAQAAA4AAAAAAAAAAAAAAAAALgIAAGRycy9lMm9E&#10;b2MueG1sUEsBAi0AFAAGAAgAAAAhAA4TASbZAAAACAEAAA8AAAAAAAAAAAAAAAAAvwQAAGRycy9k&#10;b3ducmV2LnhtbFBLBQYAAAAABAAEAPMAAADFBQAAAAA=&#10;" fillcolor="#0e6060" stroked="f" strokeweight="2pt">
                <v:path arrowok="t"/>
                <w10:wrap anchorx="page"/>
              </v:rect>
            </w:pict>
          </mc:Fallback>
        </mc:AlternateContent>
      </w:r>
    </w:p>
    <w:p w14:paraId="0E98C218" w14:textId="585C2B38" w:rsidR="00966B07" w:rsidRDefault="0013639C" w:rsidP="00FD0ECD">
      <w:pPr>
        <w:rPr>
          <w:noProof/>
          <w:lang w:val="en-AU"/>
        </w:rPr>
      </w:pPr>
      <w:r>
        <w:rPr>
          <w:noProof/>
          <w:lang w:val="en-AU"/>
        </w:rPr>
        <mc:AlternateContent>
          <mc:Choice Requires="wps">
            <w:drawing>
              <wp:anchor distT="0" distB="0" distL="114300" distR="114300" simplePos="0" relativeHeight="251648512" behindDoc="0" locked="0" layoutInCell="1" allowOverlap="1" wp14:anchorId="62F2F7A1" wp14:editId="456D916C">
                <wp:simplePos x="0" y="0"/>
                <wp:positionH relativeFrom="column">
                  <wp:posOffset>2877820</wp:posOffset>
                </wp:positionH>
                <wp:positionV relativeFrom="paragraph">
                  <wp:posOffset>120650</wp:posOffset>
                </wp:positionV>
                <wp:extent cx="4870450" cy="420928"/>
                <wp:effectExtent l="0" t="0" r="0" b="0"/>
                <wp:wrapNone/>
                <wp:docPr id="4468" name="Text Box 4468"/>
                <wp:cNvGraphicFramePr/>
                <a:graphic xmlns:a="http://schemas.openxmlformats.org/drawingml/2006/main">
                  <a:graphicData uri="http://schemas.microsoft.com/office/word/2010/wordprocessingShape">
                    <wps:wsp>
                      <wps:cNvSpPr txBox="1"/>
                      <wps:spPr>
                        <a:xfrm>
                          <a:off x="0" y="0"/>
                          <a:ext cx="4870450" cy="4209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492A78" w14:textId="20545525" w:rsidR="00CA4E85" w:rsidRPr="00C77F76" w:rsidRDefault="00CA4E85" w:rsidP="00FD0ECD">
                            <w:pPr>
                              <w:rPr>
                                <w:rFonts w:ascii="Marcellus" w:hAnsi="Marcellus"/>
                                <w:b/>
                                <w:color w:val="FFFFFF" w:themeColor="background1"/>
                                <w:sz w:val="43"/>
                                <w:szCs w:val="43"/>
                              </w:rPr>
                            </w:pPr>
                            <w:r>
                              <w:rPr>
                                <w:rFonts w:ascii="Marcellus" w:hAnsi="Marcellus"/>
                                <w:b/>
                                <w:color w:val="FFFFFF" w:themeColor="background1"/>
                                <w:sz w:val="43"/>
                                <w:szCs w:val="43"/>
                              </w:rPr>
                              <w:t>June 2016 - December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2F2F7A1" id="_x0000_t202" coordsize="21600,21600" o:spt="202" path="m,l,21600r21600,l21600,xe">
                <v:stroke joinstyle="miter"/>
                <v:path gradientshapeok="t" o:connecttype="rect"/>
              </v:shapetype>
              <v:shape id="Text Box 4468" o:spid="_x0000_s1026" type="#_x0000_t202" style="position:absolute;margin-left:226.6pt;margin-top:9.5pt;width:383.5pt;height:33.15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DOHfQIAAGgFAAAOAAAAZHJzL2Uyb0RvYy54bWysVMlu2zAQvRfoPxC8N7JdZRMiB26CFAWC&#10;JGhS5ExTZCxU4rAkbcv9+j5S8tK0lxS9SMOZx8fZLy67tmEr5XxNpuTjoxFnykiqavNS8m9PNx/O&#10;OPNBmEo0ZFTJN8rzy+n7dxdrW6gJLaiplGMgMb5Y25IvQrBFlnm5UK3wR2SVgVGTa0XA0b1klRNr&#10;sLdNNhmNTrI1uco6ksp7aK97I58mfq2VDPdaexVYU3L4FtLXpe88frPphShenLCLWg5uiH/wohW1&#10;waM7qmsRBFu6+g+qtpaOPOlwJKnNSOtaqhQDohmPXkXzuBBWpViQHG93afL/j1berR4cq6uS5/kJ&#10;amVEiyo9qS6wT9SxpESO1tYXgD5agEMHC2odcxf1HsoYeqddG/8IisGObG92GY58Esr87HSUH8Mk&#10;Ycsno/PJWaTJ9ret8+GzopZFoeQOFUyJFatbH3roFhIfM3RTNw30omgMW5f85CPof7OAvDFRo1I/&#10;DDR7z5MUNo3qSb4qjXykAKIidaK6ahxbCfSQkFKZkGJPvEBHlIYTb7k44PdeveVyH8f2ZTJhd7mt&#10;DbkU/Su3q+9bl3WPR84P4o5i6ObdUNE5VRsU2lE/Lt7KmxrVuBU+PAiH+UABMfPhHh/dELJOg8TZ&#10;gtzPv+kjHm0LK2drzFvJ/Y+lcIqz5otBQ5+P8zwOaDrkx6cTHNyhZX5oMcv2ilCOMbaLlUmM+NBs&#10;Re2ofcZqmMVXYRJG4u2Sh614FfotgNUi1WyWQBhJK8KtebQyUsfqxF576p6Fs0NDBrTyHW0nUxSv&#10;+rLHxpuGZstAuk5NGxPcZ3VIPMY5tf2weuK+ODwn1H5BTn8BAAD//wMAUEsDBBQABgAIAAAAIQAF&#10;QFQx4AAAAAoBAAAPAAAAZHJzL2Rvd25yZXYueG1sTI/NTsMwEITvSLyDtUjcqINLUJrGqapIFRKC&#10;Q0sv3Daxm0T4J8RuG3h6tqdy3JlPszPFarKGnfQYeu8kPM4SYNo1XvWulbD/2DxkwEJEp9B4pyX8&#10;6ACr8vamwFz5s9vq0y62jEJcyFFCF+OQcx6aTlsMMz9oR97BjxYjnWPL1YhnCreGiyR55hZ7Rx86&#10;HHTV6eZrd7QSXqvNO25rYbNfU728HdbD9/4zlfL+blovgUU9xSsMl/pUHUrqVPujU4EZCU/pXBBK&#10;xoI2XQAhElJqCVk6B14W/P+E8g8AAP//AwBQSwECLQAUAAYACAAAACEAtoM4kv4AAADhAQAAEwAA&#10;AAAAAAAAAAAAAAAAAAAAW0NvbnRlbnRfVHlwZXNdLnhtbFBLAQItABQABgAIAAAAIQA4/SH/1gAA&#10;AJQBAAALAAAAAAAAAAAAAAAAAC8BAABfcmVscy8ucmVsc1BLAQItABQABgAIAAAAIQDISDOHfQIA&#10;AGgFAAAOAAAAAAAAAAAAAAAAAC4CAABkcnMvZTJvRG9jLnhtbFBLAQItABQABgAIAAAAIQAFQFQx&#10;4AAAAAoBAAAPAAAAAAAAAAAAAAAAANcEAABkcnMvZG93bnJldi54bWxQSwUGAAAAAAQABADzAAAA&#10;5AUAAAAA&#10;" filled="f" stroked="f" strokeweight=".5pt">
                <v:textbox>
                  <w:txbxContent>
                    <w:p w14:paraId="4C492A78" w14:textId="20545525" w:rsidR="00CA4E85" w:rsidRPr="00C77F76" w:rsidRDefault="00CA4E85" w:rsidP="00FD0ECD">
                      <w:pPr>
                        <w:rPr>
                          <w:rFonts w:ascii="Marcellus" w:hAnsi="Marcellus"/>
                          <w:b/>
                          <w:color w:val="FFFFFF" w:themeColor="background1"/>
                          <w:sz w:val="43"/>
                          <w:szCs w:val="43"/>
                        </w:rPr>
                      </w:pPr>
                      <w:r>
                        <w:rPr>
                          <w:rFonts w:ascii="Marcellus" w:hAnsi="Marcellus"/>
                          <w:b/>
                          <w:color w:val="FFFFFF" w:themeColor="background1"/>
                          <w:sz w:val="43"/>
                          <w:szCs w:val="43"/>
                        </w:rPr>
                        <w:t>June 2016 - December 2021</w:t>
                      </w:r>
                    </w:p>
                  </w:txbxContent>
                </v:textbox>
              </v:shape>
            </w:pict>
          </mc:Fallback>
        </mc:AlternateContent>
      </w:r>
    </w:p>
    <w:p w14:paraId="7AFC3C42" w14:textId="3ED1D167" w:rsidR="00E241B4" w:rsidRDefault="00FD0ECD" w:rsidP="00006778">
      <w:pPr>
        <w:tabs>
          <w:tab w:val="left" w:pos="7860"/>
        </w:tabs>
        <w:rPr>
          <w:b/>
          <w:color w:val="00323E" w:themeColor="accent1" w:themeShade="80"/>
          <w:sz w:val="40"/>
          <w:szCs w:val="40"/>
          <w:lang w:val="en-AU"/>
        </w:rPr>
      </w:pPr>
      <w:r w:rsidRPr="00DD49FC">
        <w:rPr>
          <w:noProof/>
          <w:sz w:val="56"/>
          <w:szCs w:val="56"/>
          <w:lang w:val="en-AU"/>
        </w:rPr>
        <mc:AlternateContent>
          <mc:Choice Requires="wps">
            <w:drawing>
              <wp:anchor distT="0" distB="0" distL="114300" distR="114300" simplePos="0" relativeHeight="251645440" behindDoc="0" locked="0" layoutInCell="1" allowOverlap="1" wp14:anchorId="167FCFA3" wp14:editId="4EF2C6CA">
                <wp:simplePos x="0" y="0"/>
                <wp:positionH relativeFrom="margin">
                  <wp:align>center</wp:align>
                </wp:positionH>
                <wp:positionV relativeFrom="paragraph">
                  <wp:posOffset>8900160</wp:posOffset>
                </wp:positionV>
                <wp:extent cx="7225030" cy="434340"/>
                <wp:effectExtent l="0" t="0" r="0" b="3810"/>
                <wp:wrapNone/>
                <wp:docPr id="4472" name="Text Box 4472"/>
                <wp:cNvGraphicFramePr/>
                <a:graphic xmlns:a="http://schemas.openxmlformats.org/drawingml/2006/main">
                  <a:graphicData uri="http://schemas.microsoft.com/office/word/2010/wordprocessingShape">
                    <wps:wsp>
                      <wps:cNvSpPr txBox="1"/>
                      <wps:spPr>
                        <a:xfrm>
                          <a:off x="0" y="0"/>
                          <a:ext cx="7225030" cy="434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EF0F7E" w14:textId="77777777" w:rsidR="00CA4E85" w:rsidRPr="00834BE3" w:rsidRDefault="00CA4E85" w:rsidP="00FD0ECD">
                            <w:r w:rsidRPr="00834BE3">
                              <w:t>PJSI is funded by the Government of New Zealand and managed by the Federal Court of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7FCFA3" id="Text Box 4472" o:spid="_x0000_s1027" type="#_x0000_t202" style="position:absolute;margin-left:0;margin-top:700.8pt;width:568.9pt;height:34.2pt;z-index:2516454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BUzggIAAG8FAAAOAAAAZHJzL2Uyb0RvYy54bWysVNtOGzEQfa/Uf7D8XjYJAdqIDUpBVJUQ&#10;oIaKZ8drk1W9Htd2kk2/vsfezUW0L1TVSt7xzJnx3C+v2sawtfKhJlvy4cmAM2UlVbV9Kfn3p9sP&#10;HzkLUdhKGLKq5FsV+NX0/bvLjZuoES3JVMozGLFhsnElX8boJkUR5FI1IpyQUxZCTb4REVf/UlRe&#10;bGC9McVoMDgvNuQr50mqEMC96YR8mu1rrWR80DqoyEzJ4VvMp8/nIp3F9FJMXrxwy1r2boh/8KIR&#10;tcWje1M3Igq28vUfpppaegqk44mkpiCta6lyDIhmOHgVzXwpnMqxIDnB7dMU/p9Zeb9+9KyuSj4e&#10;X4w4s6JBlZ5UG9lnallmIkcbFyaAzh3AsYUEtU65S/wAZgq91b5JfwTFIEe2t/sMJ3sSzIvR6Gxw&#10;CpGEbHyKL5egOGg7H+IXRQ1LRMk9KpgTK9Z3IeJFQHeQ9Jil29qYXEVj2abk56dng6ywl0DD2IRV&#10;uR96MwfPMxW3RiWMsd+URj5yAImRO1FdG8/WAj0kpFQ25tizXaATSsOJtyj2+INXb1Hu4ti9TDbu&#10;lZvaks/Rv3K7+rFzWXd4JPIo7kTGdtHmRtgXdkHVFvX21E1NcPK2RlHuRIiPwmNMUEeMfnzAoQ0h&#10;+dRTnC3J//obP+HRvZBytsHYlTz8XAmvODNfLfr603CMlmAxX8ZnFyNc/LFkcSyxq+aaUJUhloyT&#10;mUz4aHak9tQ8Y0PM0qsQCSvxdsnjjryO3TLAhpFqNssgTKYT8c7OnUymU5FSyz21z8K7vi8jOvqe&#10;dgMqJq/as8MmTUuzVSRd595Nee6y2ucfU51but9AaW0c3zPqsCenvwEAAP//AwBQSwMEFAAGAAgA&#10;AAAhAM7eR47gAAAACwEAAA8AAABkcnMvZG93bnJldi54bWxMj8FOwzAQRO9I/IO1SNyonQJtFeJU&#10;VaQKCcGhpRdum3ibRMTrELtt4OtxTnDcmdHsvGw92k6cafCtYw3JTIEgrpxpudZweN/erUD4gGyw&#10;c0wavsnDOr++yjA17sI7Ou9DLWIJ+xQ1NCH0qZS+asiin7meOHpHN1gM8RxqaQa8xHLbyblSC2mx&#10;5fihwZ6KhqrP/clqeCm2b7gr53b10xXPr8dN/3X4eNT69mbcPIEINIa/MEzz43TI46bSndh40WmI&#10;ICGqDypZgJj85H4ZWcpJWyoFMs/kf4b8FwAA//8DAFBLAQItABQABgAIAAAAIQC2gziS/gAAAOEB&#10;AAATAAAAAAAAAAAAAAAAAAAAAABbQ29udGVudF9UeXBlc10ueG1sUEsBAi0AFAAGAAgAAAAhADj9&#10;If/WAAAAlAEAAAsAAAAAAAAAAAAAAAAALwEAAF9yZWxzLy5yZWxzUEsBAi0AFAAGAAgAAAAhAOjk&#10;FTOCAgAAbwUAAA4AAAAAAAAAAAAAAAAALgIAAGRycy9lMm9Eb2MueG1sUEsBAi0AFAAGAAgAAAAh&#10;AM7eR47gAAAACwEAAA8AAAAAAAAAAAAAAAAA3AQAAGRycy9kb3ducmV2LnhtbFBLBQYAAAAABAAE&#10;APMAAADpBQAAAAA=&#10;" filled="f" stroked="f" strokeweight=".5pt">
                <v:textbox>
                  <w:txbxContent>
                    <w:p w14:paraId="2DEF0F7E" w14:textId="77777777" w:rsidR="00CA4E85" w:rsidRPr="00834BE3" w:rsidRDefault="00CA4E85" w:rsidP="00FD0ECD">
                      <w:r w:rsidRPr="00834BE3">
                        <w:t>PJSI is funded by the Government of New Zealand and managed by the Federal Court of Australia</w:t>
                      </w:r>
                    </w:p>
                  </w:txbxContent>
                </v:textbox>
                <w10:wrap anchorx="margin"/>
              </v:shape>
            </w:pict>
          </mc:Fallback>
        </mc:AlternateContent>
      </w:r>
      <w:bookmarkStart w:id="1" w:name="_Toc362425107"/>
    </w:p>
    <w:p w14:paraId="2AB2571D" w14:textId="55B9B64E" w:rsidR="00E241B4" w:rsidRPr="00E241B4" w:rsidRDefault="00DF5A0F" w:rsidP="00E241B4">
      <w:pPr>
        <w:rPr>
          <w:sz w:val="40"/>
          <w:szCs w:val="40"/>
          <w:lang w:val="en-AU"/>
        </w:rPr>
      </w:pPr>
      <w:r>
        <w:rPr>
          <w:rFonts w:cstheme="minorHAnsi"/>
          <w:noProof/>
          <w:sz w:val="22"/>
          <w:szCs w:val="22"/>
          <w:lang w:val="en-AU"/>
        </w:rPr>
        <w:drawing>
          <wp:anchor distT="0" distB="0" distL="114300" distR="114300" simplePos="0" relativeHeight="251661824" behindDoc="0" locked="0" layoutInCell="1" allowOverlap="1" wp14:anchorId="08EB6E1F" wp14:editId="52C12460">
            <wp:simplePos x="0" y="0"/>
            <wp:positionH relativeFrom="margin">
              <wp:align>center</wp:align>
            </wp:positionH>
            <wp:positionV relativeFrom="paragraph">
              <wp:posOffset>403860</wp:posOffset>
            </wp:positionV>
            <wp:extent cx="6208395" cy="3486150"/>
            <wp:effectExtent l="0" t="0" r="1905" b="0"/>
            <wp:wrapSquare wrapText="bothSides"/>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8 March RMI (1).jpg"/>
                    <pic:cNvPicPr/>
                  </pic:nvPicPr>
                  <pic:blipFill>
                    <a:blip r:embed="rId9">
                      <a:extLst>
                        <a:ext uri="{28A0092B-C50C-407E-A947-70E740481C1C}">
                          <a14:useLocalDpi xmlns:a14="http://schemas.microsoft.com/office/drawing/2010/main" val="0"/>
                        </a:ext>
                      </a:extLst>
                    </a:blip>
                    <a:stretch>
                      <a:fillRect/>
                    </a:stretch>
                  </pic:blipFill>
                  <pic:spPr>
                    <a:xfrm>
                      <a:off x="0" y="0"/>
                      <a:ext cx="6208395" cy="3486150"/>
                    </a:xfrm>
                    <a:prstGeom prst="rect">
                      <a:avLst/>
                    </a:prstGeom>
                  </pic:spPr>
                </pic:pic>
              </a:graphicData>
            </a:graphic>
            <wp14:sizeRelH relativeFrom="page">
              <wp14:pctWidth>0</wp14:pctWidth>
            </wp14:sizeRelH>
            <wp14:sizeRelV relativeFrom="page">
              <wp14:pctHeight>0</wp14:pctHeight>
            </wp14:sizeRelV>
          </wp:anchor>
        </w:drawing>
      </w:r>
    </w:p>
    <w:p w14:paraId="360C10E6" w14:textId="3828938B" w:rsidR="00FD0ECD" w:rsidRPr="00F10751" w:rsidRDefault="0013639C" w:rsidP="00946AB5">
      <w:pPr>
        <w:pStyle w:val="Caption"/>
        <w:rPr>
          <w:b/>
          <w:i w:val="0"/>
          <w:color w:val="auto"/>
          <w:highlight w:val="yellow"/>
        </w:rPr>
        <w:sectPr w:rsidR="00FD0ECD" w:rsidRPr="00F10751" w:rsidSect="00FD0ECD">
          <w:headerReference w:type="even" r:id="rId10"/>
          <w:headerReference w:type="default" r:id="rId11"/>
          <w:footerReference w:type="even" r:id="rId12"/>
          <w:footerReference w:type="default" r:id="rId13"/>
          <w:headerReference w:type="first" r:id="rId14"/>
          <w:footerReference w:type="first" r:id="rId15"/>
          <w:pgSz w:w="11910" w:h="16850"/>
          <w:pgMar w:top="1531" w:right="1361" w:bottom="1304" w:left="1418" w:header="397" w:footer="516" w:gutter="0"/>
          <w:pgNumType w:fmt="lowerRoman" w:start="1"/>
          <w:cols w:space="708"/>
          <w:noEndnote/>
          <w:docGrid w:linePitch="313"/>
        </w:sectPr>
      </w:pPr>
      <w:r>
        <w:rPr>
          <w:b/>
          <w:i w:val="0"/>
          <w:noProof/>
          <w:color w:val="auto"/>
          <w:lang w:val="en-AU"/>
        </w:rPr>
        <w:drawing>
          <wp:anchor distT="0" distB="0" distL="114300" distR="114300" simplePos="0" relativeHeight="251647488" behindDoc="0" locked="0" layoutInCell="1" allowOverlap="1" wp14:anchorId="4AD9C23E" wp14:editId="062B8812">
            <wp:simplePos x="0" y="0"/>
            <wp:positionH relativeFrom="column">
              <wp:posOffset>3143250</wp:posOffset>
            </wp:positionH>
            <wp:positionV relativeFrom="paragraph">
              <wp:posOffset>3998595</wp:posOffset>
            </wp:positionV>
            <wp:extent cx="3210986" cy="782811"/>
            <wp:effectExtent l="0" t="0" r="0" b="0"/>
            <wp:wrapNone/>
            <wp:docPr id="4469" name="Picture 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 name="Picture 4469"/>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10986" cy="782811"/>
                    </a:xfrm>
                    <a:prstGeom prst="rect">
                      <a:avLst/>
                    </a:prstGeom>
                    <a:noFill/>
                  </pic:spPr>
                </pic:pic>
              </a:graphicData>
            </a:graphic>
          </wp:anchor>
        </w:drawing>
      </w:r>
      <w:r>
        <w:rPr>
          <w:b/>
          <w:i w:val="0"/>
          <w:noProof/>
          <w:color w:val="auto"/>
          <w:lang w:val="en-AU"/>
        </w:rPr>
        <w:drawing>
          <wp:anchor distT="0" distB="0" distL="114300" distR="114300" simplePos="0" relativeHeight="251649536" behindDoc="0" locked="0" layoutInCell="1" allowOverlap="1" wp14:anchorId="07B11E55" wp14:editId="3BE2F85B">
            <wp:simplePos x="0" y="0"/>
            <wp:positionH relativeFrom="column">
              <wp:posOffset>-548005</wp:posOffset>
            </wp:positionH>
            <wp:positionV relativeFrom="paragraph">
              <wp:posOffset>3814677</wp:posOffset>
            </wp:positionV>
            <wp:extent cx="1270935" cy="1111681"/>
            <wp:effectExtent l="0" t="0" r="5715" b="0"/>
            <wp:wrapNone/>
            <wp:docPr id="4470" name="Picture 4470" descr="S:\PRIN\Executive\PO\1. Current\PJSI\1. Contract\MFAT\MFAT Logo\Aid-Logo-BLK-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 name="Picture 4470" descr="S:\PRIN\Executive\PO\1. Current\PJSI\1. Contract\MFAT\MFAT Logo\Aid-Logo-BLK-SIL.P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70935" cy="1111681"/>
                    </a:xfrm>
                    <a:prstGeom prst="rect">
                      <a:avLst/>
                    </a:prstGeom>
                    <a:noFill/>
                    <a:ln>
                      <a:noFill/>
                    </a:ln>
                  </pic:spPr>
                </pic:pic>
              </a:graphicData>
            </a:graphic>
          </wp:anchor>
        </w:drawing>
      </w:r>
      <w:r w:rsidR="00946AB5" w:rsidRPr="00946AB5">
        <w:rPr>
          <w:b/>
          <w:i w:val="0"/>
          <w:noProof/>
          <w:color w:val="auto"/>
          <w:lang w:val="en-AU"/>
        </w:rPr>
        <mc:AlternateContent>
          <mc:Choice Requires="wps">
            <w:drawing>
              <wp:anchor distT="45720" distB="45720" distL="114300" distR="114300" simplePos="0" relativeHeight="251706880" behindDoc="0" locked="0" layoutInCell="1" allowOverlap="1" wp14:anchorId="458B1103" wp14:editId="535ED45E">
                <wp:simplePos x="0" y="0"/>
                <wp:positionH relativeFrom="column">
                  <wp:posOffset>-311454</wp:posOffset>
                </wp:positionH>
                <wp:positionV relativeFrom="paragraph">
                  <wp:posOffset>3558540</wp:posOffset>
                </wp:positionV>
                <wp:extent cx="4364990" cy="2698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4990" cy="269875"/>
                        </a:xfrm>
                        <a:prstGeom prst="rect">
                          <a:avLst/>
                        </a:prstGeom>
                        <a:noFill/>
                        <a:ln w="9525">
                          <a:noFill/>
                          <a:miter lim="800000"/>
                          <a:headEnd/>
                          <a:tailEnd/>
                        </a:ln>
                      </wps:spPr>
                      <wps:txbx>
                        <w:txbxContent>
                          <w:p w14:paraId="06694A9B" w14:textId="7433D417" w:rsidR="00CA4E85" w:rsidRPr="00946AB5" w:rsidRDefault="00CA4E85">
                            <w:pPr>
                              <w:rPr>
                                <w:sz w:val="18"/>
                                <w:szCs w:val="18"/>
                              </w:rPr>
                            </w:pPr>
                            <w:r w:rsidRPr="00946AB5">
                              <w:rPr>
                                <w:b/>
                                <w:sz w:val="18"/>
                                <w:szCs w:val="18"/>
                              </w:rPr>
                              <w:t>Front cover:</w:t>
                            </w:r>
                            <w:r w:rsidRPr="00946AB5">
                              <w:rPr>
                                <w:sz w:val="18"/>
                                <w:szCs w:val="18"/>
                              </w:rPr>
                              <w:t xml:space="preserve"> Mejatto Community Women’s Consultation, Marshall Islands, March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8B1103" id="_x0000_s1028" type="#_x0000_t202" style="position:absolute;margin-left:-24.5pt;margin-top:280.2pt;width:343.7pt;height:21.25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DpzDgIAAPsDAAAOAAAAZHJzL2Uyb0RvYy54bWysU9tuGyEQfa/Uf0C812tvfV0ZR2nSVJXS&#10;i5T0AzDLelGBoYC96359B9Z2reStKg+IYZgzc84M65veaHKQPiiwjE5GY0qkFVAru2P0x/PDuyUl&#10;IXJbcw1WMnqUgd5s3r5Zd66SJbSga+kJgthQdY7RNkZXFUUQrTQ8jMBJi84GvOERTb8ras87RDe6&#10;KMfjedGBr50HIUPA2/vBSTcZv2mkiN+aJshINKNYW8y7z/s27cVmzaud565V4lQG/4cqDFcWk16g&#10;7nnkZO/VKyijhIcATRwJMAU0jRIyc0A2k/ELNk8tdzJzQXGCu8gU/h+s+Hr47omqGS0nC0osN9ik&#10;Z9lH8gF6UiZ9OhcqfPbk8GHs8Rr7nLkG9wjiZyAW7lpud/LWe+hayWusb5Iii6vQASckkG33BWpM&#10;w/cRMlDfeJPEQzkIomOfjpfepFIEXk7fz6erFboE+sr5armY5RS8Okc7H+InCYakA6Mee5/R+eEx&#10;xFQNr85PUjILD0rr3H9tScfoalbOcsCVx6iI46mVYXQ5TmsYmETyo61zcORKD2dMoO2JdSI6UI79&#10;th8EPou5hfqIMngYphF/Dx5a8L8p6XASGQ2/9txLSvRni1KuJtNpGt1sTGeLEg1/7dlee7gVCMVo&#10;pGQ43sU87gPlW5S8UVmN1JuhklPJOGFZpNNvSCN8bedXf//s5g8AAAD//wMAUEsDBBQABgAIAAAA&#10;IQBrt2G43wAAAAsBAAAPAAAAZHJzL2Rvd25yZXYueG1sTI/NTsMwEITvSH0Haytxa21KGjUhToVA&#10;XEGUH4mbG2+TiHgdxW4T3p7tqb3NaEez3xTbyXXihENoPWm4WyoQSJW3LdUaPj9eFhsQIRqypvOE&#10;Gv4wwLac3RQmt36kdzztYi24hEJuNDQx9rmUoWrQmbD0PRLfDn5wJrIdamkHM3K56+RKqVQ60xJ/&#10;aEyPTw1Wv7uj0/D1evj5TtRb/ezW/egnJcllUuvb+fT4ACLiFC9hOOMzOpTMtPdHskF0GhZJxlui&#10;hnWqEhCcSO83LPYs1CoDWRbyekP5DwAA//8DAFBLAQItABQABgAIAAAAIQC2gziS/gAAAOEBAAAT&#10;AAAAAAAAAAAAAAAAAAAAAABbQ29udGVudF9UeXBlc10ueG1sUEsBAi0AFAAGAAgAAAAhADj9If/W&#10;AAAAlAEAAAsAAAAAAAAAAAAAAAAALwEAAF9yZWxzLy5yZWxzUEsBAi0AFAAGAAgAAAAhAGCEOnMO&#10;AgAA+wMAAA4AAAAAAAAAAAAAAAAALgIAAGRycy9lMm9Eb2MueG1sUEsBAi0AFAAGAAgAAAAhAGu3&#10;YbjfAAAACwEAAA8AAAAAAAAAAAAAAAAAaAQAAGRycy9kb3ducmV2LnhtbFBLBQYAAAAABAAEAPMA&#10;AAB0BQAAAAA=&#10;" filled="f" stroked="f">
                <v:textbox>
                  <w:txbxContent>
                    <w:p w14:paraId="06694A9B" w14:textId="7433D417" w:rsidR="00CA4E85" w:rsidRPr="00946AB5" w:rsidRDefault="00CA4E85">
                      <w:pPr>
                        <w:rPr>
                          <w:sz w:val="18"/>
                          <w:szCs w:val="18"/>
                        </w:rPr>
                      </w:pPr>
                      <w:r w:rsidRPr="00946AB5">
                        <w:rPr>
                          <w:b/>
                          <w:sz w:val="18"/>
                          <w:szCs w:val="18"/>
                        </w:rPr>
                        <w:t>Front cover:</w:t>
                      </w:r>
                      <w:r w:rsidRPr="00946AB5">
                        <w:rPr>
                          <w:sz w:val="18"/>
                          <w:szCs w:val="18"/>
                        </w:rPr>
                        <w:t xml:space="preserve"> Mejatto Community Women’s Consultation, Marshall Islands, March 2019</w:t>
                      </w:r>
                    </w:p>
                  </w:txbxContent>
                </v:textbox>
                <w10:wrap type="square"/>
              </v:shape>
            </w:pict>
          </mc:Fallback>
        </mc:AlternateContent>
      </w:r>
    </w:p>
    <w:p w14:paraId="51106D7C" w14:textId="65E9B183" w:rsidR="008A3A39" w:rsidRDefault="008A3A39" w:rsidP="00F10751">
      <w:pPr>
        <w:rPr>
          <w:b/>
          <w:color w:val="00323E" w:themeColor="accent1" w:themeShade="80"/>
          <w:sz w:val="40"/>
          <w:szCs w:val="40"/>
          <w:lang w:val="en-AU"/>
        </w:rPr>
      </w:pPr>
    </w:p>
    <w:p w14:paraId="514BCE33" w14:textId="77777777" w:rsidR="00597CF9" w:rsidRPr="008A3A39" w:rsidRDefault="00597CF9" w:rsidP="008A3A39">
      <w:pPr>
        <w:rPr>
          <w:sz w:val="40"/>
          <w:szCs w:val="40"/>
          <w:lang w:val="en-AU"/>
        </w:rPr>
        <w:sectPr w:rsidR="00597CF9" w:rsidRPr="008A3A39" w:rsidSect="00006778">
          <w:headerReference w:type="default" r:id="rId18"/>
          <w:footerReference w:type="default" r:id="rId19"/>
          <w:pgSz w:w="11910" w:h="16850"/>
          <w:pgMar w:top="1531" w:right="1361" w:bottom="1304" w:left="1418" w:header="397" w:footer="0" w:gutter="0"/>
          <w:pgNumType w:fmt="lowerRoman" w:start="1"/>
          <w:cols w:space="708"/>
          <w:noEndnote/>
          <w:docGrid w:linePitch="313"/>
        </w:sectPr>
      </w:pPr>
    </w:p>
    <w:p w14:paraId="19E958CC" w14:textId="77777777" w:rsidR="00AE45D8" w:rsidRPr="00F10751" w:rsidRDefault="00AE45D8" w:rsidP="00AE45D8">
      <w:pPr>
        <w:pStyle w:val="HBHeading1"/>
        <w:spacing w:before="120" w:after="120"/>
        <w:jc w:val="center"/>
        <w:rPr>
          <w:color w:val="00323E" w:themeColor="accent1" w:themeShade="80"/>
          <w:sz w:val="75"/>
          <w:szCs w:val="75"/>
          <w:lang w:val="en-AU"/>
        </w:rPr>
      </w:pPr>
      <w:bookmarkStart w:id="2" w:name="_Toc90564304"/>
      <w:r w:rsidRPr="00F10751">
        <w:rPr>
          <w:color w:val="00323E" w:themeColor="accent1" w:themeShade="80"/>
          <w:sz w:val="75"/>
          <w:szCs w:val="75"/>
          <w:lang w:val="en-AU"/>
        </w:rPr>
        <w:lastRenderedPageBreak/>
        <w:t>Key Results</w:t>
      </w:r>
      <w:bookmarkEnd w:id="2"/>
    </w:p>
    <w:p w14:paraId="28004C33" w14:textId="3139421A" w:rsidR="00AE45D8" w:rsidRDefault="00AE45D8" w:rsidP="00AE45D8">
      <w:pPr>
        <w:rPr>
          <w:lang w:val="en-AU"/>
        </w:rPr>
        <w:sectPr w:rsidR="00AE45D8" w:rsidSect="001D36CD">
          <w:headerReference w:type="default" r:id="rId20"/>
          <w:footerReference w:type="default" r:id="rId21"/>
          <w:pgSz w:w="11910" w:h="16850"/>
          <w:pgMar w:top="1531" w:right="1361" w:bottom="1304" w:left="1418" w:header="709" w:footer="0" w:gutter="0"/>
          <w:pgNumType w:fmt="lowerRoman" w:start="1"/>
          <w:cols w:space="708"/>
          <w:noEndnote/>
          <w:docGrid w:linePitch="313"/>
        </w:sectPr>
      </w:pPr>
      <w:r w:rsidRPr="00F34A39">
        <w:rPr>
          <w:noProof/>
          <w:lang w:val="en-AU"/>
        </w:rPr>
        <w:drawing>
          <wp:inline distT="0" distB="0" distL="0" distR="0" wp14:anchorId="2E77FBF2" wp14:editId="37060440">
            <wp:extent cx="5613400" cy="7874000"/>
            <wp:effectExtent l="57150" t="0" r="63500" b="0"/>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r w:rsidR="00B21166">
        <w:rPr>
          <w:lang w:val="en-AU"/>
        </w:rPr>
        <w:t xml:space="preserve">             </w:t>
      </w:r>
    </w:p>
    <w:p w14:paraId="1EAE1B14" w14:textId="3645631F" w:rsidR="00AE45D8" w:rsidRPr="00AE45D8" w:rsidRDefault="00AE45D8" w:rsidP="00AE45D8">
      <w:pPr>
        <w:pStyle w:val="HBHeading1"/>
        <w:spacing w:before="0"/>
        <w:rPr>
          <w:color w:val="004B5C" w:themeColor="accent1" w:themeShade="BF"/>
        </w:rPr>
      </w:pPr>
      <w:bookmarkStart w:id="3" w:name="_Toc90564305"/>
      <w:r w:rsidRPr="00AE45D8">
        <w:rPr>
          <w:color w:val="004B5C" w:themeColor="accent1" w:themeShade="BF"/>
        </w:rPr>
        <w:lastRenderedPageBreak/>
        <w:t>Abbreviations</w:t>
      </w:r>
      <w:bookmarkEnd w:id="3"/>
    </w:p>
    <w:tbl>
      <w:tblPr>
        <w:tblW w:w="5000" w:type="pct"/>
        <w:tblLook w:val="04A0" w:firstRow="1" w:lastRow="0" w:firstColumn="1" w:lastColumn="0" w:noHBand="0" w:noVBand="1"/>
      </w:tblPr>
      <w:tblGrid>
        <w:gridCol w:w="1292"/>
        <w:gridCol w:w="292"/>
        <w:gridCol w:w="7604"/>
      </w:tblGrid>
      <w:tr w:rsidR="00AE45D8" w:rsidRPr="00C824FA" w14:paraId="27C51AFB" w14:textId="77777777" w:rsidTr="00C824FA">
        <w:trPr>
          <w:trHeight w:val="340"/>
        </w:trPr>
        <w:tc>
          <w:tcPr>
            <w:tcW w:w="703" w:type="pct"/>
            <w:shd w:val="clear" w:color="auto" w:fill="auto"/>
          </w:tcPr>
          <w:p w14:paraId="2BB799AB" w14:textId="77777777" w:rsidR="00AE45D8" w:rsidRPr="00C824FA" w:rsidRDefault="00AE45D8" w:rsidP="00B3374D">
            <w:pPr>
              <w:contextualSpacing/>
              <w:jc w:val="right"/>
              <w:rPr>
                <w:rFonts w:cstheme="minorHAnsi"/>
                <w:sz w:val="22"/>
                <w:szCs w:val="22"/>
              </w:rPr>
            </w:pPr>
            <w:r w:rsidRPr="00C824FA">
              <w:rPr>
                <w:rFonts w:cstheme="minorHAnsi"/>
                <w:sz w:val="22"/>
                <w:szCs w:val="22"/>
              </w:rPr>
              <w:t>A2J</w:t>
            </w:r>
          </w:p>
        </w:tc>
        <w:tc>
          <w:tcPr>
            <w:tcW w:w="159" w:type="pct"/>
            <w:shd w:val="clear" w:color="auto" w:fill="auto"/>
          </w:tcPr>
          <w:p w14:paraId="3D8EF5A3"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307230C1" w14:textId="77777777" w:rsidR="00AE45D8" w:rsidRPr="00C824FA" w:rsidRDefault="00AE45D8" w:rsidP="00B3374D">
            <w:pPr>
              <w:contextualSpacing/>
              <w:rPr>
                <w:rFonts w:cstheme="minorHAnsi"/>
                <w:sz w:val="22"/>
                <w:szCs w:val="22"/>
              </w:rPr>
            </w:pPr>
            <w:r w:rsidRPr="00C824FA">
              <w:rPr>
                <w:rFonts w:cstheme="minorHAnsi"/>
                <w:sz w:val="22"/>
                <w:szCs w:val="22"/>
              </w:rPr>
              <w:t xml:space="preserve">Access to Justice </w:t>
            </w:r>
          </w:p>
        </w:tc>
      </w:tr>
      <w:tr w:rsidR="00AE45D8" w:rsidRPr="00C824FA" w14:paraId="375BAA10" w14:textId="77777777" w:rsidTr="00C824FA">
        <w:trPr>
          <w:trHeight w:val="340"/>
        </w:trPr>
        <w:tc>
          <w:tcPr>
            <w:tcW w:w="703" w:type="pct"/>
            <w:shd w:val="clear" w:color="auto" w:fill="auto"/>
          </w:tcPr>
          <w:p w14:paraId="4FA8D1DF" w14:textId="77777777" w:rsidR="00AE45D8" w:rsidRPr="00C824FA" w:rsidRDefault="00AE45D8" w:rsidP="00B3374D">
            <w:pPr>
              <w:contextualSpacing/>
              <w:jc w:val="right"/>
              <w:rPr>
                <w:rFonts w:cstheme="minorHAnsi"/>
                <w:sz w:val="22"/>
                <w:szCs w:val="22"/>
              </w:rPr>
            </w:pPr>
            <w:r w:rsidRPr="00C824FA">
              <w:rPr>
                <w:rFonts w:cstheme="minorHAnsi"/>
                <w:sz w:val="22"/>
                <w:szCs w:val="22"/>
              </w:rPr>
              <w:t>CII</w:t>
            </w:r>
          </w:p>
        </w:tc>
        <w:tc>
          <w:tcPr>
            <w:tcW w:w="159" w:type="pct"/>
            <w:shd w:val="clear" w:color="auto" w:fill="auto"/>
          </w:tcPr>
          <w:p w14:paraId="1A8824D1"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73F9205E" w14:textId="77777777" w:rsidR="00AE45D8" w:rsidRPr="00C824FA" w:rsidRDefault="00AE45D8" w:rsidP="00B3374D">
            <w:pPr>
              <w:contextualSpacing/>
              <w:rPr>
                <w:rFonts w:cstheme="minorHAnsi"/>
                <w:sz w:val="22"/>
                <w:szCs w:val="22"/>
              </w:rPr>
            </w:pPr>
            <w:r w:rsidRPr="00C824FA">
              <w:rPr>
                <w:rFonts w:cstheme="minorHAnsi"/>
                <w:sz w:val="22"/>
                <w:szCs w:val="22"/>
              </w:rPr>
              <w:t>Cook Island Indicators</w:t>
            </w:r>
          </w:p>
        </w:tc>
      </w:tr>
      <w:tr w:rsidR="00AE45D8" w:rsidRPr="00C824FA" w14:paraId="6514BBDC" w14:textId="77777777" w:rsidTr="00C824FA">
        <w:trPr>
          <w:trHeight w:val="340"/>
        </w:trPr>
        <w:tc>
          <w:tcPr>
            <w:tcW w:w="703" w:type="pct"/>
            <w:shd w:val="clear" w:color="auto" w:fill="auto"/>
          </w:tcPr>
          <w:p w14:paraId="529801A7" w14:textId="77777777" w:rsidR="00AE45D8" w:rsidRPr="00C824FA" w:rsidRDefault="00AE45D8" w:rsidP="00B3374D">
            <w:pPr>
              <w:contextualSpacing/>
              <w:jc w:val="right"/>
              <w:rPr>
                <w:rFonts w:cstheme="minorHAnsi"/>
                <w:sz w:val="22"/>
                <w:szCs w:val="22"/>
              </w:rPr>
            </w:pPr>
            <w:r w:rsidRPr="00C824FA">
              <w:rPr>
                <w:rFonts w:cstheme="minorHAnsi"/>
                <w:sz w:val="22"/>
                <w:szCs w:val="22"/>
              </w:rPr>
              <w:t>CJE</w:t>
            </w:r>
          </w:p>
        </w:tc>
        <w:tc>
          <w:tcPr>
            <w:tcW w:w="159" w:type="pct"/>
            <w:shd w:val="clear" w:color="auto" w:fill="auto"/>
          </w:tcPr>
          <w:p w14:paraId="2C843557"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66FF23FE" w14:textId="77777777" w:rsidR="00AE45D8" w:rsidRPr="00C824FA" w:rsidRDefault="00AE45D8" w:rsidP="00B3374D">
            <w:pPr>
              <w:contextualSpacing/>
              <w:rPr>
                <w:rFonts w:cstheme="minorHAnsi"/>
                <w:sz w:val="22"/>
                <w:szCs w:val="22"/>
              </w:rPr>
            </w:pPr>
            <w:r w:rsidRPr="00C824FA">
              <w:rPr>
                <w:rFonts w:cstheme="minorHAnsi"/>
                <w:sz w:val="22"/>
                <w:szCs w:val="22"/>
              </w:rPr>
              <w:t>Centre for Judicial Excellence</w:t>
            </w:r>
          </w:p>
        </w:tc>
      </w:tr>
      <w:tr w:rsidR="00AE45D8" w:rsidRPr="00C824FA" w14:paraId="1B6AD92F" w14:textId="77777777" w:rsidTr="00C824FA">
        <w:trPr>
          <w:trHeight w:val="340"/>
        </w:trPr>
        <w:tc>
          <w:tcPr>
            <w:tcW w:w="703" w:type="pct"/>
            <w:shd w:val="clear" w:color="auto" w:fill="auto"/>
          </w:tcPr>
          <w:p w14:paraId="6777D909" w14:textId="77777777" w:rsidR="00AE45D8" w:rsidRPr="00C824FA" w:rsidRDefault="00AE45D8" w:rsidP="00B3374D">
            <w:pPr>
              <w:contextualSpacing/>
              <w:jc w:val="right"/>
              <w:rPr>
                <w:rFonts w:cstheme="minorHAnsi"/>
                <w:sz w:val="22"/>
                <w:szCs w:val="22"/>
              </w:rPr>
            </w:pPr>
            <w:r w:rsidRPr="00C824FA">
              <w:rPr>
                <w:rFonts w:cstheme="minorHAnsi"/>
                <w:sz w:val="22"/>
                <w:szCs w:val="22"/>
              </w:rPr>
              <w:t>CJLF</w:t>
            </w:r>
          </w:p>
        </w:tc>
        <w:tc>
          <w:tcPr>
            <w:tcW w:w="159" w:type="pct"/>
            <w:shd w:val="clear" w:color="auto" w:fill="auto"/>
          </w:tcPr>
          <w:p w14:paraId="7BCE209B"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2DC5E18E" w14:textId="77777777" w:rsidR="00AE45D8" w:rsidRPr="00C824FA" w:rsidRDefault="00AE45D8" w:rsidP="00B3374D">
            <w:pPr>
              <w:contextualSpacing/>
              <w:rPr>
                <w:rFonts w:cstheme="minorHAnsi"/>
                <w:sz w:val="22"/>
                <w:szCs w:val="22"/>
              </w:rPr>
            </w:pPr>
            <w:r w:rsidRPr="00C824FA">
              <w:rPr>
                <w:rFonts w:cstheme="minorHAnsi"/>
                <w:sz w:val="22"/>
                <w:szCs w:val="22"/>
              </w:rPr>
              <w:t>Chief Justices’ Leadership Forum</w:t>
            </w:r>
          </w:p>
        </w:tc>
      </w:tr>
      <w:tr w:rsidR="00AE45D8" w:rsidRPr="00C824FA" w14:paraId="6E39BCB9" w14:textId="77777777" w:rsidTr="00C824FA">
        <w:trPr>
          <w:trHeight w:val="340"/>
        </w:trPr>
        <w:tc>
          <w:tcPr>
            <w:tcW w:w="703" w:type="pct"/>
            <w:shd w:val="clear" w:color="auto" w:fill="auto"/>
          </w:tcPr>
          <w:p w14:paraId="6D1A9652" w14:textId="77777777" w:rsidR="00AE45D8" w:rsidRPr="00C824FA" w:rsidRDefault="00AE45D8" w:rsidP="00B3374D">
            <w:pPr>
              <w:contextualSpacing/>
              <w:jc w:val="right"/>
              <w:rPr>
                <w:rFonts w:cstheme="minorHAnsi"/>
                <w:sz w:val="22"/>
                <w:szCs w:val="22"/>
              </w:rPr>
            </w:pPr>
            <w:r w:rsidRPr="00C824FA">
              <w:rPr>
                <w:rFonts w:cstheme="minorHAnsi"/>
                <w:sz w:val="22"/>
                <w:szCs w:val="22"/>
              </w:rPr>
              <w:t>CoJ</w:t>
            </w:r>
          </w:p>
        </w:tc>
        <w:tc>
          <w:tcPr>
            <w:tcW w:w="159" w:type="pct"/>
            <w:shd w:val="clear" w:color="auto" w:fill="auto"/>
          </w:tcPr>
          <w:p w14:paraId="3005B51C"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6601CD9C" w14:textId="77777777" w:rsidR="00AE45D8" w:rsidRPr="00C824FA" w:rsidRDefault="00AE45D8" w:rsidP="00B3374D">
            <w:pPr>
              <w:contextualSpacing/>
              <w:rPr>
                <w:rFonts w:cstheme="minorHAnsi"/>
                <w:sz w:val="22"/>
                <w:szCs w:val="22"/>
              </w:rPr>
            </w:pPr>
            <w:r w:rsidRPr="00C824FA">
              <w:rPr>
                <w:rFonts w:cstheme="minorHAnsi"/>
                <w:sz w:val="22"/>
                <w:szCs w:val="22"/>
              </w:rPr>
              <w:t>Certificate of Justice</w:t>
            </w:r>
          </w:p>
        </w:tc>
      </w:tr>
      <w:tr w:rsidR="00AE45D8" w:rsidRPr="00C824FA" w14:paraId="6C1775EC" w14:textId="77777777" w:rsidTr="00C824FA">
        <w:trPr>
          <w:trHeight w:val="340"/>
        </w:trPr>
        <w:tc>
          <w:tcPr>
            <w:tcW w:w="703" w:type="pct"/>
            <w:shd w:val="clear" w:color="auto" w:fill="auto"/>
          </w:tcPr>
          <w:p w14:paraId="380A0A5B" w14:textId="77777777" w:rsidR="00AE45D8" w:rsidRPr="00C824FA" w:rsidRDefault="00AE45D8" w:rsidP="00B3374D">
            <w:pPr>
              <w:contextualSpacing/>
              <w:jc w:val="right"/>
              <w:rPr>
                <w:rFonts w:cstheme="minorHAnsi"/>
                <w:sz w:val="22"/>
                <w:szCs w:val="22"/>
              </w:rPr>
            </w:pPr>
            <w:r w:rsidRPr="00C824FA">
              <w:rPr>
                <w:rFonts w:cstheme="minorHAnsi"/>
                <w:sz w:val="22"/>
                <w:szCs w:val="22"/>
              </w:rPr>
              <w:t>CTS</w:t>
            </w:r>
          </w:p>
        </w:tc>
        <w:tc>
          <w:tcPr>
            <w:tcW w:w="159" w:type="pct"/>
            <w:shd w:val="clear" w:color="auto" w:fill="auto"/>
          </w:tcPr>
          <w:p w14:paraId="743C165A"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40327DF8" w14:textId="77777777" w:rsidR="00AE45D8" w:rsidRPr="00C824FA" w:rsidRDefault="00AE45D8" w:rsidP="00B3374D">
            <w:pPr>
              <w:contextualSpacing/>
              <w:rPr>
                <w:rFonts w:cstheme="minorHAnsi"/>
                <w:sz w:val="22"/>
                <w:szCs w:val="22"/>
              </w:rPr>
            </w:pPr>
            <w:r w:rsidRPr="00C824FA">
              <w:rPr>
                <w:rFonts w:cstheme="minorHAnsi"/>
                <w:sz w:val="22"/>
                <w:szCs w:val="22"/>
              </w:rPr>
              <w:t>Case Tracking System</w:t>
            </w:r>
          </w:p>
        </w:tc>
      </w:tr>
      <w:tr w:rsidR="00AE45D8" w:rsidRPr="00C824FA" w14:paraId="419A2EE1" w14:textId="77777777" w:rsidTr="00C824FA">
        <w:trPr>
          <w:trHeight w:val="340"/>
        </w:trPr>
        <w:tc>
          <w:tcPr>
            <w:tcW w:w="703" w:type="pct"/>
            <w:shd w:val="clear" w:color="auto" w:fill="auto"/>
          </w:tcPr>
          <w:p w14:paraId="5B13CEFA" w14:textId="77777777" w:rsidR="00AE45D8" w:rsidRPr="00C824FA" w:rsidRDefault="00AE45D8" w:rsidP="00B3374D">
            <w:pPr>
              <w:contextualSpacing/>
              <w:jc w:val="right"/>
              <w:rPr>
                <w:rFonts w:cstheme="minorHAnsi"/>
                <w:sz w:val="22"/>
                <w:szCs w:val="22"/>
              </w:rPr>
            </w:pPr>
            <w:r w:rsidRPr="00C824FA">
              <w:rPr>
                <w:rFonts w:cstheme="minorHAnsi"/>
                <w:sz w:val="22"/>
                <w:szCs w:val="22"/>
              </w:rPr>
              <w:t>DoJ</w:t>
            </w:r>
          </w:p>
        </w:tc>
        <w:tc>
          <w:tcPr>
            <w:tcW w:w="159" w:type="pct"/>
            <w:shd w:val="clear" w:color="auto" w:fill="auto"/>
          </w:tcPr>
          <w:p w14:paraId="21F82A8F"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48856C57" w14:textId="77777777" w:rsidR="00AE45D8" w:rsidRPr="00C824FA" w:rsidRDefault="00AE45D8" w:rsidP="00B3374D">
            <w:pPr>
              <w:contextualSpacing/>
              <w:rPr>
                <w:rFonts w:cstheme="minorHAnsi"/>
                <w:sz w:val="22"/>
                <w:szCs w:val="22"/>
              </w:rPr>
            </w:pPr>
            <w:r w:rsidRPr="00C824FA">
              <w:rPr>
                <w:rFonts w:cstheme="minorHAnsi"/>
                <w:sz w:val="22"/>
                <w:szCs w:val="22"/>
              </w:rPr>
              <w:t xml:space="preserve">Diploma of Justice </w:t>
            </w:r>
          </w:p>
        </w:tc>
      </w:tr>
      <w:tr w:rsidR="00AE45D8" w:rsidRPr="00C824FA" w14:paraId="5E7C26C8" w14:textId="77777777" w:rsidTr="00C824FA">
        <w:trPr>
          <w:trHeight w:val="340"/>
        </w:trPr>
        <w:tc>
          <w:tcPr>
            <w:tcW w:w="703" w:type="pct"/>
            <w:shd w:val="clear" w:color="auto" w:fill="auto"/>
          </w:tcPr>
          <w:p w14:paraId="53054F72" w14:textId="77777777" w:rsidR="00AE45D8" w:rsidRPr="00C824FA" w:rsidRDefault="00AE45D8" w:rsidP="00B3374D">
            <w:pPr>
              <w:contextualSpacing/>
              <w:jc w:val="right"/>
              <w:rPr>
                <w:rFonts w:cstheme="minorHAnsi"/>
                <w:sz w:val="22"/>
                <w:szCs w:val="22"/>
              </w:rPr>
            </w:pPr>
            <w:r w:rsidRPr="00C824FA">
              <w:rPr>
                <w:rFonts w:cstheme="minorHAnsi"/>
                <w:sz w:val="22"/>
                <w:szCs w:val="22"/>
              </w:rPr>
              <w:t>FCA</w:t>
            </w:r>
          </w:p>
        </w:tc>
        <w:tc>
          <w:tcPr>
            <w:tcW w:w="159" w:type="pct"/>
            <w:shd w:val="clear" w:color="auto" w:fill="auto"/>
          </w:tcPr>
          <w:p w14:paraId="0DC59CDD"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711F7298" w14:textId="77777777" w:rsidR="00AE45D8" w:rsidRPr="00C824FA" w:rsidRDefault="00AE45D8" w:rsidP="00B3374D">
            <w:pPr>
              <w:contextualSpacing/>
              <w:rPr>
                <w:rFonts w:cstheme="minorHAnsi"/>
                <w:sz w:val="22"/>
                <w:szCs w:val="22"/>
              </w:rPr>
            </w:pPr>
            <w:r w:rsidRPr="00C824FA">
              <w:rPr>
                <w:rFonts w:cstheme="minorHAnsi"/>
                <w:sz w:val="22"/>
                <w:szCs w:val="22"/>
              </w:rPr>
              <w:t xml:space="preserve">Federal Court of Australia </w:t>
            </w:r>
          </w:p>
        </w:tc>
      </w:tr>
      <w:tr w:rsidR="00AE45D8" w:rsidRPr="00C824FA" w14:paraId="152FF5AE" w14:textId="77777777" w:rsidTr="00C824FA">
        <w:trPr>
          <w:trHeight w:val="340"/>
        </w:trPr>
        <w:tc>
          <w:tcPr>
            <w:tcW w:w="703" w:type="pct"/>
            <w:shd w:val="clear" w:color="auto" w:fill="auto"/>
          </w:tcPr>
          <w:p w14:paraId="5BE8A058" w14:textId="77777777" w:rsidR="00AE45D8" w:rsidRPr="00C824FA" w:rsidRDefault="00AE45D8" w:rsidP="00B3374D">
            <w:pPr>
              <w:contextualSpacing/>
              <w:jc w:val="right"/>
              <w:rPr>
                <w:rFonts w:cstheme="minorHAnsi"/>
                <w:sz w:val="22"/>
                <w:szCs w:val="22"/>
              </w:rPr>
            </w:pPr>
            <w:r w:rsidRPr="00C824FA">
              <w:rPr>
                <w:rFonts w:cstheme="minorHAnsi"/>
                <w:sz w:val="22"/>
                <w:szCs w:val="22"/>
              </w:rPr>
              <w:t>FSM</w:t>
            </w:r>
          </w:p>
        </w:tc>
        <w:tc>
          <w:tcPr>
            <w:tcW w:w="159" w:type="pct"/>
            <w:shd w:val="clear" w:color="auto" w:fill="auto"/>
          </w:tcPr>
          <w:p w14:paraId="065C3A12"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1B2C7FCF" w14:textId="77777777" w:rsidR="00AE45D8" w:rsidRPr="00C824FA" w:rsidRDefault="00AE45D8" w:rsidP="00B3374D">
            <w:pPr>
              <w:contextualSpacing/>
              <w:rPr>
                <w:rFonts w:cstheme="minorHAnsi"/>
                <w:sz w:val="22"/>
                <w:szCs w:val="22"/>
              </w:rPr>
            </w:pPr>
            <w:r w:rsidRPr="00C824FA">
              <w:rPr>
                <w:rFonts w:cstheme="minorHAnsi"/>
                <w:sz w:val="22"/>
                <w:szCs w:val="22"/>
              </w:rPr>
              <w:t>Federated States of Micronesia</w:t>
            </w:r>
          </w:p>
        </w:tc>
      </w:tr>
      <w:tr w:rsidR="00AE45D8" w:rsidRPr="00C824FA" w14:paraId="2DED2EFB" w14:textId="77777777" w:rsidTr="00C824FA">
        <w:trPr>
          <w:trHeight w:val="340"/>
        </w:trPr>
        <w:tc>
          <w:tcPr>
            <w:tcW w:w="703" w:type="pct"/>
            <w:shd w:val="clear" w:color="auto" w:fill="auto"/>
          </w:tcPr>
          <w:p w14:paraId="6BF0C0A4" w14:textId="77777777" w:rsidR="00AE45D8" w:rsidRPr="00C824FA" w:rsidRDefault="00AE45D8" w:rsidP="00B3374D">
            <w:pPr>
              <w:contextualSpacing/>
              <w:jc w:val="right"/>
              <w:rPr>
                <w:rFonts w:cstheme="minorHAnsi"/>
                <w:sz w:val="22"/>
                <w:szCs w:val="22"/>
              </w:rPr>
            </w:pPr>
            <w:r w:rsidRPr="00C824FA">
              <w:rPr>
                <w:rFonts w:cstheme="minorHAnsi"/>
                <w:sz w:val="22"/>
                <w:szCs w:val="22"/>
              </w:rPr>
              <w:t>GFV</w:t>
            </w:r>
          </w:p>
        </w:tc>
        <w:tc>
          <w:tcPr>
            <w:tcW w:w="159" w:type="pct"/>
            <w:shd w:val="clear" w:color="auto" w:fill="auto"/>
          </w:tcPr>
          <w:p w14:paraId="0E1B48C5"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47C36457" w14:textId="77777777" w:rsidR="00AE45D8" w:rsidRPr="00C824FA" w:rsidRDefault="00AE45D8" w:rsidP="00B3374D">
            <w:pPr>
              <w:contextualSpacing/>
              <w:rPr>
                <w:rFonts w:cstheme="minorHAnsi"/>
                <w:sz w:val="22"/>
                <w:szCs w:val="22"/>
              </w:rPr>
            </w:pPr>
            <w:r w:rsidRPr="00C824FA">
              <w:rPr>
                <w:rFonts w:cstheme="minorHAnsi"/>
                <w:sz w:val="22"/>
                <w:szCs w:val="22"/>
              </w:rPr>
              <w:t>Gender &amp; Family Violence</w:t>
            </w:r>
          </w:p>
        </w:tc>
      </w:tr>
      <w:tr w:rsidR="00AE45D8" w:rsidRPr="00C824FA" w14:paraId="7A8E6025" w14:textId="77777777" w:rsidTr="00C824FA">
        <w:trPr>
          <w:trHeight w:val="340"/>
        </w:trPr>
        <w:tc>
          <w:tcPr>
            <w:tcW w:w="703" w:type="pct"/>
            <w:shd w:val="clear" w:color="auto" w:fill="auto"/>
          </w:tcPr>
          <w:p w14:paraId="7F3010B2" w14:textId="77777777" w:rsidR="00AE45D8" w:rsidRPr="00C824FA" w:rsidRDefault="00AE45D8" w:rsidP="00B3374D">
            <w:pPr>
              <w:contextualSpacing/>
              <w:jc w:val="right"/>
              <w:rPr>
                <w:rFonts w:cstheme="minorHAnsi"/>
                <w:sz w:val="22"/>
                <w:szCs w:val="22"/>
              </w:rPr>
            </w:pPr>
            <w:r w:rsidRPr="00C824FA">
              <w:rPr>
                <w:rFonts w:cstheme="minorHAnsi"/>
                <w:sz w:val="22"/>
                <w:szCs w:val="22"/>
              </w:rPr>
              <w:t>HR</w:t>
            </w:r>
          </w:p>
        </w:tc>
        <w:tc>
          <w:tcPr>
            <w:tcW w:w="159" w:type="pct"/>
            <w:shd w:val="clear" w:color="auto" w:fill="auto"/>
          </w:tcPr>
          <w:p w14:paraId="71FD81BC"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2566F9EB" w14:textId="77777777" w:rsidR="00AE45D8" w:rsidRPr="00C824FA" w:rsidRDefault="00AE45D8" w:rsidP="00B3374D">
            <w:pPr>
              <w:contextualSpacing/>
              <w:rPr>
                <w:rFonts w:cstheme="minorHAnsi"/>
                <w:sz w:val="22"/>
                <w:szCs w:val="22"/>
              </w:rPr>
            </w:pPr>
            <w:r w:rsidRPr="00C824FA">
              <w:rPr>
                <w:rFonts w:cstheme="minorHAnsi"/>
                <w:sz w:val="22"/>
                <w:szCs w:val="22"/>
              </w:rPr>
              <w:t>Human Rights</w:t>
            </w:r>
          </w:p>
        </w:tc>
      </w:tr>
      <w:tr w:rsidR="00AE45D8" w:rsidRPr="00C824FA" w14:paraId="2DD10F1E" w14:textId="77777777" w:rsidTr="00C824FA">
        <w:trPr>
          <w:trHeight w:val="340"/>
        </w:trPr>
        <w:tc>
          <w:tcPr>
            <w:tcW w:w="703" w:type="pct"/>
            <w:shd w:val="clear" w:color="auto" w:fill="auto"/>
          </w:tcPr>
          <w:p w14:paraId="430B58FD" w14:textId="77777777" w:rsidR="00AE45D8" w:rsidRPr="00C824FA" w:rsidRDefault="00AE45D8" w:rsidP="00B3374D">
            <w:pPr>
              <w:contextualSpacing/>
              <w:jc w:val="right"/>
              <w:rPr>
                <w:rFonts w:cstheme="minorHAnsi"/>
                <w:sz w:val="22"/>
                <w:szCs w:val="22"/>
              </w:rPr>
            </w:pPr>
            <w:r w:rsidRPr="00C824FA">
              <w:rPr>
                <w:rFonts w:cstheme="minorHAnsi"/>
                <w:sz w:val="22"/>
                <w:szCs w:val="22"/>
              </w:rPr>
              <w:t>ICT</w:t>
            </w:r>
          </w:p>
        </w:tc>
        <w:tc>
          <w:tcPr>
            <w:tcW w:w="159" w:type="pct"/>
            <w:shd w:val="clear" w:color="auto" w:fill="auto"/>
          </w:tcPr>
          <w:p w14:paraId="2561AAF8"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2EE8A364" w14:textId="77777777" w:rsidR="00AE45D8" w:rsidRPr="00C824FA" w:rsidRDefault="00AE45D8" w:rsidP="00B3374D">
            <w:pPr>
              <w:contextualSpacing/>
              <w:rPr>
                <w:rFonts w:cstheme="minorHAnsi"/>
                <w:sz w:val="22"/>
                <w:szCs w:val="22"/>
              </w:rPr>
            </w:pPr>
            <w:r w:rsidRPr="00C824FA">
              <w:rPr>
                <w:rFonts w:cstheme="minorHAnsi"/>
                <w:sz w:val="22"/>
                <w:szCs w:val="22"/>
              </w:rPr>
              <w:t>Information Communications and Technology</w:t>
            </w:r>
          </w:p>
        </w:tc>
      </w:tr>
      <w:tr w:rsidR="00AE45D8" w:rsidRPr="00C824FA" w14:paraId="13823B67" w14:textId="77777777" w:rsidTr="00C824FA">
        <w:trPr>
          <w:trHeight w:val="340"/>
        </w:trPr>
        <w:tc>
          <w:tcPr>
            <w:tcW w:w="703" w:type="pct"/>
            <w:shd w:val="clear" w:color="auto" w:fill="auto"/>
          </w:tcPr>
          <w:p w14:paraId="483DB8EE" w14:textId="77777777" w:rsidR="00AE45D8" w:rsidRPr="00C824FA" w:rsidRDefault="00AE45D8" w:rsidP="00B3374D">
            <w:pPr>
              <w:contextualSpacing/>
              <w:jc w:val="right"/>
              <w:rPr>
                <w:rFonts w:cstheme="minorHAnsi"/>
                <w:sz w:val="22"/>
                <w:szCs w:val="22"/>
              </w:rPr>
            </w:pPr>
            <w:r w:rsidRPr="00C824FA">
              <w:rPr>
                <w:rFonts w:cstheme="minorHAnsi"/>
                <w:sz w:val="22"/>
                <w:szCs w:val="22"/>
              </w:rPr>
              <w:t>IEC</w:t>
            </w:r>
          </w:p>
        </w:tc>
        <w:tc>
          <w:tcPr>
            <w:tcW w:w="159" w:type="pct"/>
            <w:shd w:val="clear" w:color="auto" w:fill="auto"/>
          </w:tcPr>
          <w:p w14:paraId="02EC63CC"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41BD3AB6" w14:textId="77777777" w:rsidR="00AE45D8" w:rsidRPr="00C824FA" w:rsidRDefault="00AE45D8" w:rsidP="00B3374D">
            <w:pPr>
              <w:contextualSpacing/>
              <w:rPr>
                <w:rFonts w:cstheme="minorHAnsi"/>
                <w:sz w:val="22"/>
                <w:szCs w:val="22"/>
              </w:rPr>
            </w:pPr>
            <w:r w:rsidRPr="00C824FA">
              <w:rPr>
                <w:rFonts w:cstheme="minorHAnsi"/>
                <w:sz w:val="22"/>
                <w:szCs w:val="22"/>
              </w:rPr>
              <w:t>Initiative Executive Committee</w:t>
            </w:r>
          </w:p>
        </w:tc>
      </w:tr>
      <w:tr w:rsidR="00AE45D8" w:rsidRPr="00C824FA" w14:paraId="5886D975" w14:textId="77777777" w:rsidTr="00C824FA">
        <w:trPr>
          <w:trHeight w:val="340"/>
        </w:trPr>
        <w:tc>
          <w:tcPr>
            <w:tcW w:w="703" w:type="pct"/>
            <w:shd w:val="clear" w:color="auto" w:fill="auto"/>
          </w:tcPr>
          <w:p w14:paraId="062D9C63" w14:textId="77777777" w:rsidR="00AE45D8" w:rsidRPr="00C824FA" w:rsidRDefault="00AE45D8" w:rsidP="00B3374D">
            <w:pPr>
              <w:contextualSpacing/>
              <w:jc w:val="right"/>
              <w:rPr>
                <w:rFonts w:cstheme="minorHAnsi"/>
                <w:sz w:val="22"/>
                <w:szCs w:val="22"/>
              </w:rPr>
            </w:pPr>
            <w:r w:rsidRPr="00C824FA">
              <w:rPr>
                <w:rFonts w:cstheme="minorHAnsi"/>
                <w:sz w:val="22"/>
                <w:szCs w:val="22"/>
              </w:rPr>
              <w:t>IT</w:t>
            </w:r>
          </w:p>
        </w:tc>
        <w:tc>
          <w:tcPr>
            <w:tcW w:w="159" w:type="pct"/>
            <w:shd w:val="clear" w:color="auto" w:fill="auto"/>
          </w:tcPr>
          <w:p w14:paraId="1ED53DC3"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75AF135D" w14:textId="77777777" w:rsidR="00AE45D8" w:rsidRPr="00C824FA" w:rsidRDefault="00AE45D8" w:rsidP="00B3374D">
            <w:pPr>
              <w:contextualSpacing/>
              <w:rPr>
                <w:rFonts w:cstheme="minorHAnsi"/>
                <w:sz w:val="22"/>
                <w:szCs w:val="22"/>
              </w:rPr>
            </w:pPr>
            <w:r w:rsidRPr="00C824FA">
              <w:rPr>
                <w:rFonts w:cstheme="minorHAnsi"/>
                <w:sz w:val="22"/>
                <w:szCs w:val="22"/>
              </w:rPr>
              <w:t>Information Technology</w:t>
            </w:r>
          </w:p>
        </w:tc>
      </w:tr>
      <w:tr w:rsidR="00AE45D8" w:rsidRPr="00C824FA" w14:paraId="17C56181" w14:textId="77777777" w:rsidTr="00C824FA">
        <w:trPr>
          <w:trHeight w:val="340"/>
        </w:trPr>
        <w:tc>
          <w:tcPr>
            <w:tcW w:w="703" w:type="pct"/>
            <w:shd w:val="clear" w:color="auto" w:fill="auto"/>
          </w:tcPr>
          <w:p w14:paraId="48515550" w14:textId="77777777" w:rsidR="00AE45D8" w:rsidRPr="00C824FA" w:rsidRDefault="00AE45D8" w:rsidP="00B3374D">
            <w:pPr>
              <w:contextualSpacing/>
              <w:jc w:val="right"/>
              <w:rPr>
                <w:rFonts w:cstheme="minorHAnsi"/>
                <w:sz w:val="22"/>
                <w:szCs w:val="22"/>
              </w:rPr>
            </w:pPr>
            <w:r w:rsidRPr="00C824FA">
              <w:rPr>
                <w:rFonts w:cstheme="minorHAnsi"/>
                <w:sz w:val="22"/>
                <w:szCs w:val="22"/>
              </w:rPr>
              <w:t>LIF</w:t>
            </w:r>
          </w:p>
        </w:tc>
        <w:tc>
          <w:tcPr>
            <w:tcW w:w="159" w:type="pct"/>
            <w:shd w:val="clear" w:color="auto" w:fill="auto"/>
          </w:tcPr>
          <w:p w14:paraId="7342C8E8"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64226D3B" w14:textId="77777777" w:rsidR="00AE45D8" w:rsidRPr="00C824FA" w:rsidRDefault="00AE45D8" w:rsidP="00B3374D">
            <w:pPr>
              <w:contextualSpacing/>
              <w:rPr>
                <w:rFonts w:cstheme="minorHAnsi"/>
                <w:sz w:val="22"/>
                <w:szCs w:val="22"/>
              </w:rPr>
            </w:pPr>
            <w:r w:rsidRPr="00C824FA">
              <w:rPr>
                <w:rFonts w:cstheme="minorHAnsi"/>
                <w:sz w:val="22"/>
                <w:szCs w:val="22"/>
              </w:rPr>
              <w:t>Leadership Incentive Fund</w:t>
            </w:r>
          </w:p>
        </w:tc>
      </w:tr>
      <w:tr w:rsidR="00AE45D8" w:rsidRPr="00C824FA" w14:paraId="6BCCE862" w14:textId="77777777" w:rsidTr="00C824FA">
        <w:trPr>
          <w:trHeight w:val="340"/>
        </w:trPr>
        <w:tc>
          <w:tcPr>
            <w:tcW w:w="703" w:type="pct"/>
            <w:shd w:val="clear" w:color="auto" w:fill="auto"/>
          </w:tcPr>
          <w:p w14:paraId="0A3A4904" w14:textId="77777777" w:rsidR="00AE45D8" w:rsidRPr="00C824FA" w:rsidRDefault="00AE45D8" w:rsidP="00B3374D">
            <w:pPr>
              <w:contextualSpacing/>
              <w:jc w:val="right"/>
              <w:rPr>
                <w:rFonts w:cstheme="minorHAnsi"/>
                <w:sz w:val="22"/>
                <w:szCs w:val="22"/>
              </w:rPr>
            </w:pPr>
            <w:r w:rsidRPr="00C824FA">
              <w:rPr>
                <w:rFonts w:cstheme="minorHAnsi"/>
                <w:sz w:val="22"/>
                <w:szCs w:val="22"/>
              </w:rPr>
              <w:t>LGBTIQ</w:t>
            </w:r>
          </w:p>
        </w:tc>
        <w:tc>
          <w:tcPr>
            <w:tcW w:w="159" w:type="pct"/>
            <w:shd w:val="clear" w:color="auto" w:fill="auto"/>
          </w:tcPr>
          <w:p w14:paraId="790FC5F0"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6D297DD3" w14:textId="77777777" w:rsidR="00AE45D8" w:rsidRPr="00C824FA" w:rsidRDefault="00AE45D8" w:rsidP="00B3374D">
            <w:pPr>
              <w:contextualSpacing/>
              <w:rPr>
                <w:rFonts w:cstheme="minorHAnsi"/>
                <w:sz w:val="22"/>
                <w:szCs w:val="22"/>
              </w:rPr>
            </w:pPr>
            <w:r w:rsidRPr="00C824FA">
              <w:rPr>
                <w:rFonts w:cstheme="minorHAnsi"/>
                <w:sz w:val="22"/>
                <w:szCs w:val="22"/>
              </w:rPr>
              <w:t>Lesbian, Gay, Bi, Transgender, Intersex, Questioning</w:t>
            </w:r>
          </w:p>
        </w:tc>
      </w:tr>
      <w:tr w:rsidR="00AE45D8" w:rsidRPr="00C824FA" w14:paraId="2372389C" w14:textId="77777777" w:rsidTr="00C824FA">
        <w:trPr>
          <w:trHeight w:val="340"/>
        </w:trPr>
        <w:tc>
          <w:tcPr>
            <w:tcW w:w="703" w:type="pct"/>
            <w:shd w:val="clear" w:color="auto" w:fill="auto"/>
          </w:tcPr>
          <w:p w14:paraId="2EFBE4A0" w14:textId="77777777" w:rsidR="00AE45D8" w:rsidRPr="00C824FA" w:rsidRDefault="00AE45D8" w:rsidP="00B3374D">
            <w:pPr>
              <w:contextualSpacing/>
              <w:jc w:val="right"/>
              <w:rPr>
                <w:rFonts w:cstheme="minorHAnsi"/>
                <w:sz w:val="22"/>
                <w:szCs w:val="22"/>
              </w:rPr>
            </w:pPr>
            <w:r w:rsidRPr="00C824FA">
              <w:rPr>
                <w:rFonts w:cstheme="minorHAnsi"/>
                <w:sz w:val="22"/>
                <w:szCs w:val="22"/>
              </w:rPr>
              <w:t>LLB</w:t>
            </w:r>
          </w:p>
        </w:tc>
        <w:tc>
          <w:tcPr>
            <w:tcW w:w="159" w:type="pct"/>
            <w:shd w:val="clear" w:color="auto" w:fill="auto"/>
          </w:tcPr>
          <w:p w14:paraId="107E8CB1"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61E82F7A" w14:textId="77777777" w:rsidR="00AE45D8" w:rsidRPr="00C824FA" w:rsidRDefault="00AE45D8" w:rsidP="00B3374D">
            <w:pPr>
              <w:contextualSpacing/>
              <w:rPr>
                <w:rFonts w:cstheme="minorHAnsi"/>
                <w:sz w:val="22"/>
                <w:szCs w:val="22"/>
              </w:rPr>
            </w:pPr>
            <w:r w:rsidRPr="00C824FA">
              <w:rPr>
                <w:rFonts w:cstheme="minorHAnsi"/>
                <w:sz w:val="22"/>
                <w:szCs w:val="22"/>
              </w:rPr>
              <w:t>Bachelor of Laws</w:t>
            </w:r>
          </w:p>
        </w:tc>
      </w:tr>
      <w:tr w:rsidR="00AE45D8" w:rsidRPr="00C824FA" w14:paraId="467EC704" w14:textId="77777777" w:rsidTr="00C824FA">
        <w:trPr>
          <w:trHeight w:val="340"/>
        </w:trPr>
        <w:tc>
          <w:tcPr>
            <w:tcW w:w="703" w:type="pct"/>
            <w:shd w:val="clear" w:color="auto" w:fill="auto"/>
          </w:tcPr>
          <w:p w14:paraId="6FF2719D" w14:textId="6B5CD3FB" w:rsidR="00AE45D8" w:rsidRPr="00C824FA" w:rsidRDefault="00210120" w:rsidP="00B3374D">
            <w:pPr>
              <w:contextualSpacing/>
              <w:jc w:val="right"/>
              <w:rPr>
                <w:rFonts w:cstheme="minorHAnsi"/>
                <w:sz w:val="22"/>
                <w:szCs w:val="22"/>
              </w:rPr>
            </w:pPr>
            <w:r>
              <w:rPr>
                <w:rFonts w:cstheme="minorHAnsi"/>
                <w:sz w:val="22"/>
                <w:szCs w:val="22"/>
              </w:rPr>
              <w:t>M&amp;E</w:t>
            </w:r>
          </w:p>
        </w:tc>
        <w:tc>
          <w:tcPr>
            <w:tcW w:w="159" w:type="pct"/>
            <w:shd w:val="clear" w:color="auto" w:fill="auto"/>
          </w:tcPr>
          <w:p w14:paraId="42FD9609"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1571B6CE" w14:textId="52070A90" w:rsidR="00AE45D8" w:rsidRPr="00C824FA" w:rsidRDefault="00AE45D8" w:rsidP="00210120">
            <w:pPr>
              <w:contextualSpacing/>
              <w:rPr>
                <w:rFonts w:cstheme="minorHAnsi"/>
                <w:sz w:val="22"/>
                <w:szCs w:val="22"/>
              </w:rPr>
            </w:pPr>
            <w:r w:rsidRPr="00C824FA">
              <w:rPr>
                <w:rFonts w:cstheme="minorHAnsi"/>
                <w:sz w:val="22"/>
                <w:szCs w:val="22"/>
              </w:rPr>
              <w:t>Monitoring and Evaluation</w:t>
            </w:r>
          </w:p>
        </w:tc>
      </w:tr>
      <w:tr w:rsidR="00AE45D8" w:rsidRPr="00C824FA" w14:paraId="311158D1" w14:textId="77777777" w:rsidTr="00C824FA">
        <w:trPr>
          <w:trHeight w:val="340"/>
        </w:trPr>
        <w:tc>
          <w:tcPr>
            <w:tcW w:w="703" w:type="pct"/>
            <w:shd w:val="clear" w:color="auto" w:fill="auto"/>
          </w:tcPr>
          <w:p w14:paraId="08A5B78D" w14:textId="77777777" w:rsidR="00AE45D8" w:rsidRPr="00C824FA" w:rsidRDefault="00AE45D8" w:rsidP="00B3374D">
            <w:pPr>
              <w:contextualSpacing/>
              <w:jc w:val="right"/>
              <w:rPr>
                <w:rFonts w:cstheme="minorHAnsi"/>
                <w:sz w:val="22"/>
                <w:szCs w:val="22"/>
              </w:rPr>
            </w:pPr>
            <w:r w:rsidRPr="00C824FA">
              <w:rPr>
                <w:rFonts w:cstheme="minorHAnsi"/>
                <w:sz w:val="22"/>
                <w:szCs w:val="22"/>
              </w:rPr>
              <w:t>MFAT</w:t>
            </w:r>
          </w:p>
        </w:tc>
        <w:tc>
          <w:tcPr>
            <w:tcW w:w="159" w:type="pct"/>
            <w:shd w:val="clear" w:color="auto" w:fill="auto"/>
          </w:tcPr>
          <w:p w14:paraId="587F608E"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29A81A9A" w14:textId="77777777" w:rsidR="00AE45D8" w:rsidRPr="00C824FA" w:rsidRDefault="00AE45D8" w:rsidP="00B3374D">
            <w:pPr>
              <w:contextualSpacing/>
              <w:rPr>
                <w:rFonts w:cstheme="minorHAnsi"/>
                <w:sz w:val="22"/>
                <w:szCs w:val="22"/>
              </w:rPr>
            </w:pPr>
            <w:r w:rsidRPr="00C824FA">
              <w:rPr>
                <w:rFonts w:cstheme="minorHAnsi"/>
                <w:sz w:val="22"/>
                <w:szCs w:val="22"/>
              </w:rPr>
              <w:t>New Zealand Ministry of Foreign Affairs and Trade</w:t>
            </w:r>
          </w:p>
        </w:tc>
      </w:tr>
      <w:tr w:rsidR="00AE45D8" w:rsidRPr="00C824FA" w14:paraId="7A3F2EF9" w14:textId="77777777" w:rsidTr="00C824FA">
        <w:trPr>
          <w:trHeight w:val="340"/>
        </w:trPr>
        <w:tc>
          <w:tcPr>
            <w:tcW w:w="703" w:type="pct"/>
            <w:shd w:val="clear" w:color="auto" w:fill="auto"/>
          </w:tcPr>
          <w:p w14:paraId="01891FB9" w14:textId="77777777" w:rsidR="00AE45D8" w:rsidRPr="00C824FA" w:rsidRDefault="00AE45D8" w:rsidP="00B3374D">
            <w:pPr>
              <w:contextualSpacing/>
              <w:jc w:val="right"/>
              <w:rPr>
                <w:rFonts w:cstheme="minorHAnsi"/>
                <w:sz w:val="22"/>
                <w:szCs w:val="22"/>
              </w:rPr>
            </w:pPr>
            <w:r w:rsidRPr="00C824FA">
              <w:rPr>
                <w:rFonts w:cstheme="minorHAnsi"/>
                <w:sz w:val="22"/>
                <w:szCs w:val="22"/>
              </w:rPr>
              <w:t>MSC</w:t>
            </w:r>
          </w:p>
        </w:tc>
        <w:tc>
          <w:tcPr>
            <w:tcW w:w="159" w:type="pct"/>
            <w:shd w:val="clear" w:color="auto" w:fill="auto"/>
          </w:tcPr>
          <w:p w14:paraId="0492AEDD"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0A4AFFAC" w14:textId="77777777" w:rsidR="00AE45D8" w:rsidRPr="00C824FA" w:rsidRDefault="00AE45D8" w:rsidP="00B3374D">
            <w:pPr>
              <w:contextualSpacing/>
              <w:rPr>
                <w:rFonts w:cstheme="minorHAnsi"/>
                <w:sz w:val="22"/>
                <w:szCs w:val="22"/>
              </w:rPr>
            </w:pPr>
            <w:r w:rsidRPr="00C824FA">
              <w:rPr>
                <w:rFonts w:cstheme="minorHAnsi"/>
                <w:sz w:val="22"/>
                <w:szCs w:val="22"/>
              </w:rPr>
              <w:t>Most Significant Change</w:t>
            </w:r>
          </w:p>
        </w:tc>
      </w:tr>
      <w:tr w:rsidR="00AE45D8" w:rsidRPr="00C824FA" w14:paraId="09B893CE" w14:textId="77777777" w:rsidTr="00C824FA">
        <w:trPr>
          <w:trHeight w:val="340"/>
        </w:trPr>
        <w:tc>
          <w:tcPr>
            <w:tcW w:w="703" w:type="pct"/>
            <w:shd w:val="clear" w:color="auto" w:fill="auto"/>
          </w:tcPr>
          <w:p w14:paraId="64F9FDF2" w14:textId="77777777" w:rsidR="00AE45D8" w:rsidRPr="00C824FA" w:rsidRDefault="00AE45D8" w:rsidP="00B3374D">
            <w:pPr>
              <w:contextualSpacing/>
              <w:jc w:val="right"/>
              <w:rPr>
                <w:rFonts w:cstheme="minorHAnsi"/>
                <w:sz w:val="22"/>
                <w:szCs w:val="22"/>
              </w:rPr>
            </w:pPr>
            <w:r w:rsidRPr="00C824FA">
              <w:rPr>
                <w:rFonts w:cstheme="minorHAnsi"/>
                <w:sz w:val="22"/>
                <w:szCs w:val="22"/>
              </w:rPr>
              <w:t>NGO</w:t>
            </w:r>
          </w:p>
        </w:tc>
        <w:tc>
          <w:tcPr>
            <w:tcW w:w="159" w:type="pct"/>
            <w:shd w:val="clear" w:color="auto" w:fill="auto"/>
          </w:tcPr>
          <w:p w14:paraId="65902A1E"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66ACAEBE" w14:textId="77777777" w:rsidR="00AE45D8" w:rsidRPr="00C824FA" w:rsidRDefault="00AE45D8" w:rsidP="00B3374D">
            <w:pPr>
              <w:contextualSpacing/>
              <w:rPr>
                <w:rFonts w:cstheme="minorHAnsi"/>
                <w:sz w:val="22"/>
                <w:szCs w:val="22"/>
              </w:rPr>
            </w:pPr>
            <w:r w:rsidRPr="00C824FA">
              <w:rPr>
                <w:rFonts w:cstheme="minorHAnsi"/>
                <w:sz w:val="22"/>
                <w:szCs w:val="22"/>
              </w:rPr>
              <w:t>Non-Government Organisation</w:t>
            </w:r>
          </w:p>
        </w:tc>
      </w:tr>
      <w:tr w:rsidR="00AE45D8" w:rsidRPr="00C824FA" w14:paraId="58E7C9FF" w14:textId="77777777" w:rsidTr="00C824FA">
        <w:trPr>
          <w:trHeight w:val="340"/>
        </w:trPr>
        <w:tc>
          <w:tcPr>
            <w:tcW w:w="703" w:type="pct"/>
            <w:shd w:val="clear" w:color="auto" w:fill="auto"/>
          </w:tcPr>
          <w:p w14:paraId="090B0514" w14:textId="77777777" w:rsidR="00AE45D8" w:rsidRPr="00C824FA" w:rsidRDefault="00AE45D8" w:rsidP="00B3374D">
            <w:pPr>
              <w:contextualSpacing/>
              <w:jc w:val="right"/>
              <w:rPr>
                <w:rFonts w:cstheme="minorHAnsi"/>
                <w:sz w:val="22"/>
                <w:szCs w:val="22"/>
              </w:rPr>
            </w:pPr>
            <w:r w:rsidRPr="00C824FA">
              <w:rPr>
                <w:rFonts w:cstheme="minorHAnsi"/>
                <w:sz w:val="22"/>
                <w:szCs w:val="22"/>
              </w:rPr>
              <w:t>NZ</w:t>
            </w:r>
          </w:p>
        </w:tc>
        <w:tc>
          <w:tcPr>
            <w:tcW w:w="159" w:type="pct"/>
            <w:shd w:val="clear" w:color="auto" w:fill="auto"/>
          </w:tcPr>
          <w:p w14:paraId="06CE8F6F"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3D614D85" w14:textId="77777777" w:rsidR="00AE45D8" w:rsidRPr="00C824FA" w:rsidRDefault="00AE45D8" w:rsidP="00B3374D">
            <w:pPr>
              <w:contextualSpacing/>
              <w:rPr>
                <w:rFonts w:cstheme="minorHAnsi"/>
                <w:sz w:val="22"/>
                <w:szCs w:val="22"/>
              </w:rPr>
            </w:pPr>
            <w:r w:rsidRPr="00C824FA">
              <w:rPr>
                <w:rFonts w:cstheme="minorHAnsi"/>
                <w:sz w:val="22"/>
                <w:szCs w:val="22"/>
              </w:rPr>
              <w:t>New Zealand</w:t>
            </w:r>
          </w:p>
        </w:tc>
      </w:tr>
      <w:tr w:rsidR="00AE45D8" w:rsidRPr="00C824FA" w14:paraId="7B635E0B" w14:textId="77777777" w:rsidTr="00C824FA">
        <w:trPr>
          <w:trHeight w:val="340"/>
        </w:trPr>
        <w:tc>
          <w:tcPr>
            <w:tcW w:w="703" w:type="pct"/>
            <w:shd w:val="clear" w:color="auto" w:fill="auto"/>
          </w:tcPr>
          <w:p w14:paraId="4F3D1DF1" w14:textId="77777777" w:rsidR="00AE45D8" w:rsidRPr="00C824FA" w:rsidRDefault="00AE45D8" w:rsidP="00B3374D">
            <w:pPr>
              <w:contextualSpacing/>
              <w:jc w:val="right"/>
              <w:rPr>
                <w:rFonts w:cstheme="minorHAnsi"/>
                <w:sz w:val="22"/>
                <w:szCs w:val="22"/>
              </w:rPr>
            </w:pPr>
            <w:r w:rsidRPr="00C824FA">
              <w:rPr>
                <w:rFonts w:cstheme="minorHAnsi"/>
                <w:sz w:val="22"/>
                <w:szCs w:val="22"/>
              </w:rPr>
              <w:t>OECD-DAC</w:t>
            </w:r>
          </w:p>
        </w:tc>
        <w:tc>
          <w:tcPr>
            <w:tcW w:w="159" w:type="pct"/>
            <w:shd w:val="clear" w:color="auto" w:fill="auto"/>
          </w:tcPr>
          <w:p w14:paraId="76B28C60"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3AC0394F" w14:textId="0532E462" w:rsidR="00AE45D8" w:rsidRPr="00C824FA" w:rsidRDefault="00AE45D8" w:rsidP="00B3374D">
            <w:pPr>
              <w:contextualSpacing/>
              <w:rPr>
                <w:rFonts w:cstheme="minorHAnsi"/>
                <w:sz w:val="22"/>
                <w:szCs w:val="22"/>
              </w:rPr>
            </w:pPr>
            <w:r w:rsidRPr="00C824FA">
              <w:rPr>
                <w:rFonts w:cstheme="minorHAnsi"/>
                <w:sz w:val="22"/>
                <w:szCs w:val="22"/>
              </w:rPr>
              <w:t xml:space="preserve">Organisation for Economic Co-operation and Development </w:t>
            </w:r>
            <w:r w:rsidR="00C824FA">
              <w:rPr>
                <w:rFonts w:cstheme="minorHAnsi"/>
                <w:sz w:val="22"/>
                <w:szCs w:val="22"/>
              </w:rPr>
              <w:t xml:space="preserve">- </w:t>
            </w:r>
            <w:r w:rsidRPr="00C824FA">
              <w:rPr>
                <w:rFonts w:cstheme="minorHAnsi"/>
                <w:sz w:val="22"/>
                <w:szCs w:val="22"/>
              </w:rPr>
              <w:t>Development Assistance Committee</w:t>
            </w:r>
          </w:p>
        </w:tc>
      </w:tr>
      <w:tr w:rsidR="00AE45D8" w:rsidRPr="00C824FA" w14:paraId="064D6D66" w14:textId="77777777" w:rsidTr="00C824FA">
        <w:trPr>
          <w:trHeight w:val="340"/>
        </w:trPr>
        <w:tc>
          <w:tcPr>
            <w:tcW w:w="703" w:type="pct"/>
            <w:shd w:val="clear" w:color="auto" w:fill="auto"/>
          </w:tcPr>
          <w:p w14:paraId="2E1BBDBD" w14:textId="77777777" w:rsidR="00AE45D8" w:rsidRPr="00C824FA" w:rsidRDefault="00AE45D8" w:rsidP="00B3374D">
            <w:pPr>
              <w:contextualSpacing/>
              <w:jc w:val="right"/>
              <w:rPr>
                <w:rFonts w:cstheme="minorHAnsi"/>
                <w:sz w:val="22"/>
                <w:szCs w:val="22"/>
              </w:rPr>
            </w:pPr>
            <w:r w:rsidRPr="00C824FA">
              <w:rPr>
                <w:rFonts w:cstheme="minorHAnsi"/>
                <w:sz w:val="22"/>
                <w:szCs w:val="22"/>
              </w:rPr>
              <w:t>PICs</w:t>
            </w:r>
          </w:p>
        </w:tc>
        <w:tc>
          <w:tcPr>
            <w:tcW w:w="159" w:type="pct"/>
            <w:shd w:val="clear" w:color="auto" w:fill="auto"/>
          </w:tcPr>
          <w:p w14:paraId="794ACB4E"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456672C3" w14:textId="77777777" w:rsidR="00AE45D8" w:rsidRPr="00C824FA" w:rsidRDefault="00AE45D8" w:rsidP="00B3374D">
            <w:pPr>
              <w:contextualSpacing/>
              <w:rPr>
                <w:rFonts w:cstheme="minorHAnsi"/>
                <w:sz w:val="22"/>
                <w:szCs w:val="22"/>
              </w:rPr>
            </w:pPr>
            <w:r w:rsidRPr="00C824FA">
              <w:rPr>
                <w:rFonts w:cstheme="minorHAnsi"/>
                <w:sz w:val="22"/>
                <w:szCs w:val="22"/>
              </w:rPr>
              <w:t>Pacific Island Countries</w:t>
            </w:r>
          </w:p>
        </w:tc>
      </w:tr>
      <w:tr w:rsidR="00AE45D8" w:rsidRPr="00C824FA" w14:paraId="67557B7A" w14:textId="77777777" w:rsidTr="00C824FA">
        <w:trPr>
          <w:trHeight w:val="340"/>
        </w:trPr>
        <w:tc>
          <w:tcPr>
            <w:tcW w:w="703" w:type="pct"/>
            <w:shd w:val="clear" w:color="auto" w:fill="auto"/>
          </w:tcPr>
          <w:p w14:paraId="636A8B43" w14:textId="77777777" w:rsidR="00AE45D8" w:rsidRPr="00C824FA" w:rsidRDefault="00AE45D8" w:rsidP="00B3374D">
            <w:pPr>
              <w:contextualSpacing/>
              <w:jc w:val="right"/>
              <w:rPr>
                <w:rFonts w:cstheme="minorHAnsi"/>
                <w:sz w:val="22"/>
                <w:szCs w:val="22"/>
              </w:rPr>
            </w:pPr>
            <w:r w:rsidRPr="00C824FA">
              <w:rPr>
                <w:rFonts w:cstheme="minorHAnsi"/>
                <w:sz w:val="22"/>
                <w:szCs w:val="22"/>
              </w:rPr>
              <w:t>PJDP</w:t>
            </w:r>
          </w:p>
        </w:tc>
        <w:tc>
          <w:tcPr>
            <w:tcW w:w="159" w:type="pct"/>
            <w:shd w:val="clear" w:color="auto" w:fill="auto"/>
          </w:tcPr>
          <w:p w14:paraId="096D85CD"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49B2B1A2" w14:textId="77777777" w:rsidR="00AE45D8" w:rsidRPr="00C824FA" w:rsidRDefault="00AE45D8" w:rsidP="00B3374D">
            <w:pPr>
              <w:contextualSpacing/>
              <w:rPr>
                <w:rFonts w:cstheme="minorHAnsi"/>
                <w:sz w:val="22"/>
                <w:szCs w:val="22"/>
              </w:rPr>
            </w:pPr>
            <w:r w:rsidRPr="00C824FA">
              <w:rPr>
                <w:rFonts w:cstheme="minorHAnsi"/>
                <w:sz w:val="22"/>
                <w:szCs w:val="22"/>
              </w:rPr>
              <w:t xml:space="preserve">Pacific Judicial Development Programme </w:t>
            </w:r>
          </w:p>
        </w:tc>
      </w:tr>
      <w:tr w:rsidR="00AE45D8" w:rsidRPr="00C824FA" w14:paraId="466FDF19" w14:textId="77777777" w:rsidTr="00C824FA">
        <w:trPr>
          <w:trHeight w:val="340"/>
        </w:trPr>
        <w:tc>
          <w:tcPr>
            <w:tcW w:w="703" w:type="pct"/>
            <w:shd w:val="clear" w:color="auto" w:fill="auto"/>
          </w:tcPr>
          <w:p w14:paraId="556ED92D" w14:textId="77777777" w:rsidR="00AE45D8" w:rsidRPr="00C824FA" w:rsidRDefault="00AE45D8" w:rsidP="00B3374D">
            <w:pPr>
              <w:contextualSpacing/>
              <w:jc w:val="right"/>
              <w:rPr>
                <w:rFonts w:cstheme="minorHAnsi"/>
                <w:sz w:val="22"/>
                <w:szCs w:val="22"/>
              </w:rPr>
            </w:pPr>
            <w:r w:rsidRPr="00C824FA">
              <w:rPr>
                <w:rFonts w:cstheme="minorHAnsi"/>
                <w:sz w:val="22"/>
                <w:szCs w:val="22"/>
              </w:rPr>
              <w:t>PJSI</w:t>
            </w:r>
          </w:p>
        </w:tc>
        <w:tc>
          <w:tcPr>
            <w:tcW w:w="159" w:type="pct"/>
            <w:shd w:val="clear" w:color="auto" w:fill="auto"/>
          </w:tcPr>
          <w:p w14:paraId="188E75BB"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2C474D5E" w14:textId="77777777" w:rsidR="00AE45D8" w:rsidRPr="00C824FA" w:rsidRDefault="00AE45D8" w:rsidP="00B3374D">
            <w:pPr>
              <w:contextualSpacing/>
              <w:rPr>
                <w:rFonts w:cstheme="minorHAnsi"/>
                <w:sz w:val="22"/>
                <w:szCs w:val="22"/>
              </w:rPr>
            </w:pPr>
            <w:r w:rsidRPr="00C824FA">
              <w:rPr>
                <w:rFonts w:cstheme="minorHAnsi"/>
                <w:sz w:val="22"/>
                <w:szCs w:val="22"/>
              </w:rPr>
              <w:t>Pacific Judicial Strengthening Initiative</w:t>
            </w:r>
          </w:p>
        </w:tc>
      </w:tr>
      <w:tr w:rsidR="00AE45D8" w:rsidRPr="00C824FA" w14:paraId="13A0438B" w14:textId="77777777" w:rsidTr="00C824FA">
        <w:trPr>
          <w:trHeight w:val="340"/>
        </w:trPr>
        <w:tc>
          <w:tcPr>
            <w:tcW w:w="703" w:type="pct"/>
            <w:shd w:val="clear" w:color="auto" w:fill="auto"/>
          </w:tcPr>
          <w:p w14:paraId="4CCE94A7" w14:textId="77777777" w:rsidR="00AE45D8" w:rsidRPr="00C824FA" w:rsidRDefault="00AE45D8" w:rsidP="00B3374D">
            <w:pPr>
              <w:contextualSpacing/>
              <w:jc w:val="right"/>
              <w:rPr>
                <w:rFonts w:cstheme="minorHAnsi"/>
                <w:sz w:val="22"/>
                <w:szCs w:val="22"/>
              </w:rPr>
            </w:pPr>
            <w:r w:rsidRPr="00C824FA">
              <w:rPr>
                <w:rFonts w:cstheme="minorHAnsi"/>
                <w:sz w:val="22"/>
                <w:szCs w:val="22"/>
              </w:rPr>
              <w:t>PNG</w:t>
            </w:r>
          </w:p>
        </w:tc>
        <w:tc>
          <w:tcPr>
            <w:tcW w:w="159" w:type="pct"/>
            <w:shd w:val="clear" w:color="auto" w:fill="auto"/>
          </w:tcPr>
          <w:p w14:paraId="2C29AAF4"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559015C6" w14:textId="77777777" w:rsidR="00AE45D8" w:rsidRPr="00C824FA" w:rsidRDefault="00AE45D8" w:rsidP="00B3374D">
            <w:pPr>
              <w:contextualSpacing/>
              <w:rPr>
                <w:rFonts w:cstheme="minorHAnsi"/>
                <w:sz w:val="22"/>
                <w:szCs w:val="22"/>
              </w:rPr>
            </w:pPr>
            <w:r w:rsidRPr="00C824FA">
              <w:rPr>
                <w:rFonts w:cstheme="minorHAnsi"/>
                <w:sz w:val="22"/>
                <w:szCs w:val="22"/>
              </w:rPr>
              <w:t xml:space="preserve">Papua New Guinea </w:t>
            </w:r>
          </w:p>
        </w:tc>
      </w:tr>
      <w:tr w:rsidR="00AE45D8" w:rsidRPr="00C824FA" w14:paraId="3A10463A" w14:textId="77777777" w:rsidTr="00C824FA">
        <w:trPr>
          <w:trHeight w:val="340"/>
        </w:trPr>
        <w:tc>
          <w:tcPr>
            <w:tcW w:w="703" w:type="pct"/>
            <w:shd w:val="clear" w:color="auto" w:fill="auto"/>
          </w:tcPr>
          <w:p w14:paraId="064BF395" w14:textId="77777777" w:rsidR="00AE45D8" w:rsidRPr="00C824FA" w:rsidRDefault="00AE45D8" w:rsidP="00B3374D">
            <w:pPr>
              <w:contextualSpacing/>
              <w:jc w:val="right"/>
              <w:rPr>
                <w:rFonts w:cstheme="minorHAnsi"/>
                <w:sz w:val="22"/>
                <w:szCs w:val="22"/>
              </w:rPr>
            </w:pPr>
            <w:r w:rsidRPr="00C824FA">
              <w:rPr>
                <w:rFonts w:cstheme="minorHAnsi"/>
                <w:sz w:val="22"/>
                <w:szCs w:val="22"/>
              </w:rPr>
              <w:t>PNGCJE</w:t>
            </w:r>
          </w:p>
        </w:tc>
        <w:tc>
          <w:tcPr>
            <w:tcW w:w="159" w:type="pct"/>
            <w:shd w:val="clear" w:color="auto" w:fill="auto"/>
          </w:tcPr>
          <w:p w14:paraId="2ACC4491"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796F334F" w14:textId="77777777" w:rsidR="00AE45D8" w:rsidRPr="00C824FA" w:rsidRDefault="00AE45D8" w:rsidP="00B3374D">
            <w:pPr>
              <w:contextualSpacing/>
              <w:rPr>
                <w:rFonts w:cstheme="minorHAnsi"/>
                <w:sz w:val="22"/>
                <w:szCs w:val="22"/>
              </w:rPr>
            </w:pPr>
            <w:r w:rsidRPr="00C824FA">
              <w:rPr>
                <w:rFonts w:cstheme="minorHAnsi"/>
                <w:sz w:val="22"/>
                <w:szCs w:val="22"/>
              </w:rPr>
              <w:t>Papua New Guinea Centre for Judicial Excellence</w:t>
            </w:r>
          </w:p>
        </w:tc>
      </w:tr>
      <w:tr w:rsidR="00AE45D8" w:rsidRPr="00C824FA" w14:paraId="4A9B60F6" w14:textId="77777777" w:rsidTr="00C824FA">
        <w:trPr>
          <w:trHeight w:val="340"/>
        </w:trPr>
        <w:tc>
          <w:tcPr>
            <w:tcW w:w="703" w:type="pct"/>
            <w:shd w:val="clear" w:color="auto" w:fill="auto"/>
          </w:tcPr>
          <w:p w14:paraId="1D62E189" w14:textId="77777777" w:rsidR="00AE45D8" w:rsidRPr="00C824FA" w:rsidRDefault="00AE45D8" w:rsidP="00B3374D">
            <w:pPr>
              <w:contextualSpacing/>
              <w:jc w:val="right"/>
              <w:rPr>
                <w:rFonts w:cstheme="minorHAnsi"/>
                <w:sz w:val="22"/>
                <w:szCs w:val="22"/>
              </w:rPr>
            </w:pPr>
            <w:r w:rsidRPr="00C824FA">
              <w:rPr>
                <w:rFonts w:cstheme="minorHAnsi"/>
                <w:sz w:val="22"/>
                <w:szCs w:val="22"/>
              </w:rPr>
              <w:t>RMI</w:t>
            </w:r>
          </w:p>
        </w:tc>
        <w:tc>
          <w:tcPr>
            <w:tcW w:w="159" w:type="pct"/>
            <w:shd w:val="clear" w:color="auto" w:fill="auto"/>
          </w:tcPr>
          <w:p w14:paraId="7572FCAA"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5753F2ED" w14:textId="77777777" w:rsidR="00AE45D8" w:rsidRPr="00C824FA" w:rsidRDefault="00AE45D8" w:rsidP="00B3374D">
            <w:pPr>
              <w:contextualSpacing/>
              <w:rPr>
                <w:rFonts w:cstheme="minorHAnsi"/>
                <w:sz w:val="22"/>
                <w:szCs w:val="22"/>
              </w:rPr>
            </w:pPr>
            <w:r w:rsidRPr="00C824FA">
              <w:rPr>
                <w:rFonts w:cstheme="minorHAnsi"/>
                <w:sz w:val="22"/>
                <w:szCs w:val="22"/>
              </w:rPr>
              <w:t xml:space="preserve">Republic of the Marshall Islands </w:t>
            </w:r>
          </w:p>
        </w:tc>
      </w:tr>
      <w:tr w:rsidR="00AE45D8" w:rsidRPr="00C824FA" w14:paraId="1EE496E2" w14:textId="77777777" w:rsidTr="00C824FA">
        <w:trPr>
          <w:trHeight w:val="340"/>
        </w:trPr>
        <w:tc>
          <w:tcPr>
            <w:tcW w:w="703" w:type="pct"/>
            <w:shd w:val="clear" w:color="auto" w:fill="auto"/>
          </w:tcPr>
          <w:p w14:paraId="45E3A8AA" w14:textId="77777777" w:rsidR="00AE45D8" w:rsidRPr="00C824FA" w:rsidRDefault="00AE45D8" w:rsidP="00B3374D">
            <w:pPr>
              <w:contextualSpacing/>
              <w:jc w:val="right"/>
              <w:rPr>
                <w:rFonts w:cstheme="minorHAnsi"/>
                <w:sz w:val="22"/>
                <w:szCs w:val="22"/>
              </w:rPr>
            </w:pPr>
            <w:r w:rsidRPr="00C824FA">
              <w:rPr>
                <w:rFonts w:cstheme="minorHAnsi"/>
                <w:sz w:val="22"/>
                <w:szCs w:val="22"/>
              </w:rPr>
              <w:t>SDGs</w:t>
            </w:r>
          </w:p>
        </w:tc>
        <w:tc>
          <w:tcPr>
            <w:tcW w:w="159" w:type="pct"/>
            <w:shd w:val="clear" w:color="auto" w:fill="auto"/>
          </w:tcPr>
          <w:p w14:paraId="49CA5FCB"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73C9C702" w14:textId="77777777" w:rsidR="00AE45D8" w:rsidRPr="00C824FA" w:rsidRDefault="00AE45D8" w:rsidP="00B3374D">
            <w:pPr>
              <w:contextualSpacing/>
              <w:rPr>
                <w:rFonts w:cstheme="minorHAnsi"/>
                <w:sz w:val="22"/>
                <w:szCs w:val="22"/>
              </w:rPr>
            </w:pPr>
            <w:r w:rsidRPr="00C824FA">
              <w:rPr>
                <w:rFonts w:cstheme="minorHAnsi"/>
                <w:sz w:val="22"/>
                <w:szCs w:val="22"/>
              </w:rPr>
              <w:t>Sustainable Development Goals</w:t>
            </w:r>
          </w:p>
        </w:tc>
      </w:tr>
      <w:tr w:rsidR="00AE45D8" w:rsidRPr="00C824FA" w14:paraId="55B83CDB" w14:textId="77777777" w:rsidTr="00C824FA">
        <w:trPr>
          <w:trHeight w:val="340"/>
        </w:trPr>
        <w:tc>
          <w:tcPr>
            <w:tcW w:w="703" w:type="pct"/>
            <w:shd w:val="clear" w:color="auto" w:fill="auto"/>
          </w:tcPr>
          <w:p w14:paraId="195C9306" w14:textId="179F7B5F" w:rsidR="00AE45D8" w:rsidRPr="00C824FA" w:rsidRDefault="00AE45D8" w:rsidP="00C824FA">
            <w:pPr>
              <w:contextualSpacing/>
              <w:jc w:val="right"/>
              <w:rPr>
                <w:rFonts w:cstheme="minorHAnsi"/>
                <w:sz w:val="22"/>
                <w:szCs w:val="22"/>
              </w:rPr>
            </w:pPr>
            <w:r w:rsidRPr="00C824FA">
              <w:rPr>
                <w:rFonts w:cstheme="minorHAnsi"/>
                <w:sz w:val="22"/>
                <w:szCs w:val="22"/>
              </w:rPr>
              <w:t>To</w:t>
            </w:r>
            <w:r w:rsidR="00C824FA" w:rsidRPr="00C824FA">
              <w:rPr>
                <w:rFonts w:cstheme="minorHAnsi"/>
                <w:sz w:val="22"/>
                <w:szCs w:val="22"/>
              </w:rPr>
              <w:t>T</w:t>
            </w:r>
          </w:p>
        </w:tc>
        <w:tc>
          <w:tcPr>
            <w:tcW w:w="159" w:type="pct"/>
            <w:shd w:val="clear" w:color="auto" w:fill="auto"/>
          </w:tcPr>
          <w:p w14:paraId="0F80FF3C"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62CC6129" w14:textId="77777777" w:rsidR="00AE45D8" w:rsidRPr="00C824FA" w:rsidRDefault="00AE45D8" w:rsidP="00B3374D">
            <w:pPr>
              <w:contextualSpacing/>
              <w:rPr>
                <w:rFonts w:cstheme="minorHAnsi"/>
                <w:sz w:val="22"/>
                <w:szCs w:val="22"/>
              </w:rPr>
            </w:pPr>
            <w:r w:rsidRPr="00C824FA">
              <w:rPr>
                <w:rFonts w:cstheme="minorHAnsi"/>
                <w:sz w:val="22"/>
                <w:szCs w:val="22"/>
              </w:rPr>
              <w:t>Training-of-Trainers</w:t>
            </w:r>
          </w:p>
        </w:tc>
      </w:tr>
      <w:tr w:rsidR="00AE45D8" w:rsidRPr="00C824FA" w14:paraId="14B255B8" w14:textId="77777777" w:rsidTr="00C824FA">
        <w:trPr>
          <w:trHeight w:val="340"/>
        </w:trPr>
        <w:tc>
          <w:tcPr>
            <w:tcW w:w="703" w:type="pct"/>
            <w:shd w:val="clear" w:color="auto" w:fill="auto"/>
          </w:tcPr>
          <w:p w14:paraId="18038B08" w14:textId="77777777" w:rsidR="00AE45D8" w:rsidRPr="00C824FA" w:rsidRDefault="00AE45D8" w:rsidP="00B3374D">
            <w:pPr>
              <w:contextualSpacing/>
              <w:jc w:val="right"/>
              <w:rPr>
                <w:rFonts w:cstheme="minorHAnsi"/>
                <w:sz w:val="22"/>
                <w:szCs w:val="22"/>
              </w:rPr>
            </w:pPr>
            <w:r w:rsidRPr="00C824FA">
              <w:rPr>
                <w:rFonts w:cstheme="minorHAnsi"/>
                <w:sz w:val="22"/>
                <w:szCs w:val="22"/>
              </w:rPr>
              <w:t>UNFPA</w:t>
            </w:r>
          </w:p>
        </w:tc>
        <w:tc>
          <w:tcPr>
            <w:tcW w:w="159" w:type="pct"/>
            <w:shd w:val="clear" w:color="auto" w:fill="auto"/>
          </w:tcPr>
          <w:p w14:paraId="5AF973D8"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2EDDF951" w14:textId="77777777" w:rsidR="00AE45D8" w:rsidRPr="00C824FA" w:rsidRDefault="00AE45D8" w:rsidP="00B3374D">
            <w:pPr>
              <w:contextualSpacing/>
              <w:rPr>
                <w:rFonts w:cstheme="minorHAnsi"/>
                <w:sz w:val="22"/>
                <w:szCs w:val="22"/>
              </w:rPr>
            </w:pPr>
            <w:r w:rsidRPr="00C824FA">
              <w:rPr>
                <w:rFonts w:cstheme="minorHAnsi"/>
                <w:sz w:val="22"/>
                <w:szCs w:val="22"/>
              </w:rPr>
              <w:t>United Nations Population Fund</w:t>
            </w:r>
          </w:p>
        </w:tc>
      </w:tr>
      <w:tr w:rsidR="00AE45D8" w:rsidRPr="00C824FA" w14:paraId="3F1C6CA0" w14:textId="77777777" w:rsidTr="00C824FA">
        <w:trPr>
          <w:trHeight w:val="340"/>
        </w:trPr>
        <w:tc>
          <w:tcPr>
            <w:tcW w:w="703" w:type="pct"/>
            <w:shd w:val="clear" w:color="auto" w:fill="auto"/>
          </w:tcPr>
          <w:p w14:paraId="188F3DA7" w14:textId="77777777" w:rsidR="00AE45D8" w:rsidRPr="00C824FA" w:rsidRDefault="00AE45D8" w:rsidP="00B3374D">
            <w:pPr>
              <w:contextualSpacing/>
              <w:jc w:val="right"/>
              <w:rPr>
                <w:rFonts w:cstheme="minorHAnsi"/>
                <w:sz w:val="22"/>
                <w:szCs w:val="22"/>
              </w:rPr>
            </w:pPr>
            <w:r w:rsidRPr="00C824FA">
              <w:rPr>
                <w:rFonts w:cstheme="minorHAnsi"/>
                <w:sz w:val="22"/>
                <w:szCs w:val="22"/>
              </w:rPr>
              <w:t>USA</w:t>
            </w:r>
          </w:p>
        </w:tc>
        <w:tc>
          <w:tcPr>
            <w:tcW w:w="159" w:type="pct"/>
            <w:shd w:val="clear" w:color="auto" w:fill="auto"/>
          </w:tcPr>
          <w:p w14:paraId="4A3CDFEC"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1C6739AD" w14:textId="77777777" w:rsidR="00AE45D8" w:rsidRPr="00C824FA" w:rsidRDefault="00AE45D8" w:rsidP="00B3374D">
            <w:pPr>
              <w:contextualSpacing/>
              <w:rPr>
                <w:rFonts w:cstheme="minorHAnsi"/>
                <w:sz w:val="22"/>
                <w:szCs w:val="22"/>
              </w:rPr>
            </w:pPr>
            <w:r w:rsidRPr="00C824FA">
              <w:rPr>
                <w:rFonts w:cstheme="minorHAnsi"/>
                <w:sz w:val="22"/>
                <w:szCs w:val="22"/>
              </w:rPr>
              <w:t>United States of America</w:t>
            </w:r>
          </w:p>
        </w:tc>
      </w:tr>
      <w:tr w:rsidR="00AE45D8" w:rsidRPr="00C824FA" w14:paraId="36100038" w14:textId="77777777" w:rsidTr="00C824FA">
        <w:trPr>
          <w:trHeight w:val="340"/>
        </w:trPr>
        <w:tc>
          <w:tcPr>
            <w:tcW w:w="703" w:type="pct"/>
            <w:shd w:val="clear" w:color="auto" w:fill="auto"/>
          </w:tcPr>
          <w:p w14:paraId="40801A9B" w14:textId="77777777" w:rsidR="00AE45D8" w:rsidRPr="00C824FA" w:rsidRDefault="00AE45D8" w:rsidP="00B3374D">
            <w:pPr>
              <w:contextualSpacing/>
              <w:jc w:val="right"/>
              <w:rPr>
                <w:rFonts w:cstheme="minorHAnsi"/>
                <w:sz w:val="22"/>
                <w:szCs w:val="22"/>
              </w:rPr>
            </w:pPr>
            <w:r w:rsidRPr="00C824FA">
              <w:rPr>
                <w:rFonts w:cstheme="minorHAnsi"/>
                <w:sz w:val="22"/>
                <w:szCs w:val="22"/>
              </w:rPr>
              <w:t>USP</w:t>
            </w:r>
          </w:p>
        </w:tc>
        <w:tc>
          <w:tcPr>
            <w:tcW w:w="159" w:type="pct"/>
            <w:shd w:val="clear" w:color="auto" w:fill="auto"/>
          </w:tcPr>
          <w:p w14:paraId="0D89760B" w14:textId="77777777" w:rsidR="00AE45D8" w:rsidRPr="00C824FA" w:rsidRDefault="00AE45D8" w:rsidP="00B3374D">
            <w:pPr>
              <w:contextualSpacing/>
              <w:rPr>
                <w:rFonts w:cstheme="minorHAnsi"/>
                <w:sz w:val="22"/>
                <w:szCs w:val="22"/>
              </w:rPr>
            </w:pPr>
            <w:r w:rsidRPr="00C824FA">
              <w:rPr>
                <w:rFonts w:cstheme="minorHAnsi"/>
                <w:sz w:val="22"/>
                <w:szCs w:val="22"/>
              </w:rPr>
              <w:t>-</w:t>
            </w:r>
          </w:p>
        </w:tc>
        <w:tc>
          <w:tcPr>
            <w:tcW w:w="4138" w:type="pct"/>
            <w:shd w:val="clear" w:color="auto" w:fill="auto"/>
          </w:tcPr>
          <w:p w14:paraId="6D822D47" w14:textId="77777777" w:rsidR="00AE45D8" w:rsidRPr="00C824FA" w:rsidRDefault="00AE45D8" w:rsidP="00B3374D">
            <w:pPr>
              <w:contextualSpacing/>
              <w:rPr>
                <w:rFonts w:cstheme="minorHAnsi"/>
                <w:sz w:val="22"/>
                <w:szCs w:val="22"/>
              </w:rPr>
            </w:pPr>
            <w:r w:rsidRPr="00C824FA">
              <w:rPr>
                <w:rFonts w:cstheme="minorHAnsi"/>
                <w:sz w:val="22"/>
                <w:szCs w:val="22"/>
              </w:rPr>
              <w:t>University of the South Pacific</w:t>
            </w:r>
          </w:p>
        </w:tc>
      </w:tr>
    </w:tbl>
    <w:p w14:paraId="0E467D11" w14:textId="77777777" w:rsidR="00926A21" w:rsidRPr="00F34A39" w:rsidRDefault="00926A21" w:rsidP="00926A21">
      <w:pPr>
        <w:rPr>
          <w:rFonts w:cstheme="minorHAnsi"/>
          <w:bCs/>
          <w:szCs w:val="23"/>
          <w:lang w:val="en-AU"/>
        </w:rPr>
      </w:pPr>
    </w:p>
    <w:p w14:paraId="33B6B6D8" w14:textId="77777777" w:rsidR="00926A21" w:rsidRPr="00F34A39" w:rsidRDefault="00926A21" w:rsidP="00926A21">
      <w:pPr>
        <w:rPr>
          <w:rFonts w:cstheme="minorHAnsi"/>
          <w:bCs/>
          <w:szCs w:val="23"/>
          <w:lang w:val="en-AU"/>
        </w:rPr>
      </w:pPr>
    </w:p>
    <w:p w14:paraId="3DCB56A3" w14:textId="41389B9D" w:rsidR="00926A21" w:rsidRPr="00F34A39" w:rsidRDefault="00926A21" w:rsidP="00926A21">
      <w:pPr>
        <w:rPr>
          <w:rFonts w:cstheme="minorHAnsi"/>
          <w:bCs/>
          <w:szCs w:val="23"/>
          <w:lang w:val="en-AU"/>
        </w:rPr>
        <w:sectPr w:rsidR="00926A21" w:rsidRPr="00F34A39" w:rsidSect="001D36CD">
          <w:footerReference w:type="default" r:id="rId27"/>
          <w:pgSz w:w="11910" w:h="16850"/>
          <w:pgMar w:top="1559" w:right="1361" w:bottom="1418" w:left="1361" w:header="709" w:footer="0" w:gutter="0"/>
          <w:pgNumType w:fmt="lowerRoman"/>
          <w:cols w:space="708"/>
          <w:noEndnote/>
          <w:docGrid w:linePitch="313"/>
        </w:sectPr>
      </w:pPr>
    </w:p>
    <w:sdt>
      <w:sdtPr>
        <w:rPr>
          <w:rFonts w:asciiTheme="minorHAnsi" w:hAnsiTheme="minorHAnsi" w:cs="Times New Roman"/>
          <w:b w:val="0"/>
          <w:bCs w:val="0"/>
          <w:noProof w:val="0"/>
          <w:color w:val="auto"/>
          <w:sz w:val="23"/>
          <w:szCs w:val="24"/>
          <w:lang w:val="en-GB"/>
        </w:rPr>
        <w:id w:val="-399982935"/>
        <w:docPartObj>
          <w:docPartGallery w:val="Table of Contents"/>
          <w:docPartUnique/>
        </w:docPartObj>
      </w:sdtPr>
      <w:sdtEndPr/>
      <w:sdtContent>
        <w:p w14:paraId="16D1DF29" w14:textId="5FD53BC0" w:rsidR="005466A3" w:rsidRPr="00BC1A90" w:rsidRDefault="00BC1A90" w:rsidP="00BC1A90">
          <w:pPr>
            <w:pStyle w:val="TOC2"/>
          </w:pPr>
          <w:r w:rsidRPr="00F34A39">
            <w:t>Table of Contents</w:t>
          </w:r>
        </w:p>
        <w:p w14:paraId="22963DCB" w14:textId="46FA3403" w:rsidR="001C1E32" w:rsidRPr="001C1E32" w:rsidRDefault="005466A3">
          <w:pPr>
            <w:pStyle w:val="TOC2"/>
            <w:rPr>
              <w:rFonts w:asciiTheme="minorHAnsi" w:eastAsiaTheme="minorEastAsia" w:hAnsiTheme="minorHAnsi" w:cstheme="minorBidi"/>
              <w:b w:val="0"/>
              <w:bCs w:val="0"/>
              <w:color w:val="auto"/>
              <w:sz w:val="22"/>
              <w:szCs w:val="22"/>
            </w:rPr>
          </w:pPr>
          <w:r w:rsidRPr="001C1E32">
            <w:rPr>
              <w:b w:val="0"/>
              <w:color w:val="auto"/>
              <w:sz w:val="22"/>
              <w:szCs w:val="22"/>
            </w:rPr>
            <w:fldChar w:fldCharType="begin"/>
          </w:r>
          <w:r w:rsidRPr="001C1E32">
            <w:rPr>
              <w:b w:val="0"/>
              <w:color w:val="auto"/>
              <w:sz w:val="22"/>
              <w:szCs w:val="22"/>
            </w:rPr>
            <w:instrText xml:space="preserve"> TOC \o "1-3" \h \z \u </w:instrText>
          </w:r>
          <w:r w:rsidRPr="001C1E32">
            <w:rPr>
              <w:b w:val="0"/>
              <w:color w:val="auto"/>
              <w:sz w:val="22"/>
              <w:szCs w:val="22"/>
            </w:rPr>
            <w:fldChar w:fldCharType="separate"/>
          </w:r>
          <w:hyperlink w:anchor="_Toc90564304" w:history="1">
            <w:r w:rsidR="001C1E32" w:rsidRPr="001C1E32">
              <w:rPr>
                <w:rStyle w:val="Hyperlink"/>
                <w:b w:val="0"/>
                <w:color w:val="auto"/>
                <w:sz w:val="22"/>
                <w:szCs w:val="22"/>
              </w:rPr>
              <w:t>Key Results</w:t>
            </w:r>
            <w:r w:rsidR="001C1E32" w:rsidRPr="001C1E32">
              <w:rPr>
                <w:b w:val="0"/>
                <w:webHidden/>
                <w:color w:val="auto"/>
                <w:sz w:val="22"/>
                <w:szCs w:val="22"/>
              </w:rPr>
              <w:tab/>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_Toc90564304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i</w:t>
            </w:r>
            <w:r w:rsidR="001C1E32" w:rsidRPr="001C1E32">
              <w:rPr>
                <w:b w:val="0"/>
                <w:webHidden/>
                <w:color w:val="auto"/>
                <w:sz w:val="22"/>
                <w:szCs w:val="22"/>
              </w:rPr>
              <w:fldChar w:fldCharType="end"/>
            </w:r>
          </w:hyperlink>
        </w:p>
        <w:p w14:paraId="78CD545B" w14:textId="2D9D1FB8" w:rsidR="001C1E32" w:rsidRPr="001C1E32" w:rsidRDefault="001C138D">
          <w:pPr>
            <w:pStyle w:val="TOC2"/>
            <w:rPr>
              <w:rFonts w:asciiTheme="minorHAnsi" w:eastAsiaTheme="minorEastAsia" w:hAnsiTheme="minorHAnsi" w:cstheme="minorBidi"/>
              <w:b w:val="0"/>
              <w:bCs w:val="0"/>
              <w:color w:val="auto"/>
              <w:sz w:val="22"/>
              <w:szCs w:val="22"/>
            </w:rPr>
          </w:pPr>
          <w:hyperlink w:anchor="_Toc90564305" w:history="1">
            <w:r w:rsidR="001C1E32" w:rsidRPr="001C1E32">
              <w:rPr>
                <w:rStyle w:val="Hyperlink"/>
                <w:b w:val="0"/>
                <w:color w:val="auto"/>
                <w:sz w:val="22"/>
                <w:szCs w:val="22"/>
              </w:rPr>
              <w:t>Abbreviations</w:t>
            </w:r>
            <w:r w:rsidR="001C1E32" w:rsidRPr="001C1E32">
              <w:rPr>
                <w:b w:val="0"/>
                <w:webHidden/>
                <w:color w:val="auto"/>
                <w:sz w:val="22"/>
                <w:szCs w:val="22"/>
              </w:rPr>
              <w:tab/>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_Toc90564305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ii</w:t>
            </w:r>
            <w:r w:rsidR="001C1E32" w:rsidRPr="001C1E32">
              <w:rPr>
                <w:b w:val="0"/>
                <w:webHidden/>
                <w:color w:val="auto"/>
                <w:sz w:val="22"/>
                <w:szCs w:val="22"/>
              </w:rPr>
              <w:fldChar w:fldCharType="end"/>
            </w:r>
          </w:hyperlink>
        </w:p>
        <w:p w14:paraId="782A2F6D" w14:textId="70B03D25" w:rsidR="001C1E32" w:rsidRPr="001C1E32" w:rsidRDefault="001C138D">
          <w:pPr>
            <w:pStyle w:val="TOC2"/>
            <w:rPr>
              <w:rFonts w:asciiTheme="minorHAnsi" w:eastAsiaTheme="minorEastAsia" w:hAnsiTheme="minorHAnsi" w:cstheme="minorBidi"/>
              <w:b w:val="0"/>
              <w:bCs w:val="0"/>
              <w:color w:val="auto"/>
              <w:sz w:val="22"/>
              <w:szCs w:val="22"/>
            </w:rPr>
          </w:pPr>
          <w:hyperlink w:anchor="_Toc90564306" w:history="1">
            <w:r w:rsidR="001C1E32" w:rsidRPr="001C1E32">
              <w:rPr>
                <w:rStyle w:val="Hyperlink"/>
                <w:b w:val="0"/>
                <w:color w:val="auto"/>
                <w:sz w:val="22"/>
                <w:szCs w:val="22"/>
              </w:rPr>
              <w:t>Executive Summary</w:t>
            </w:r>
            <w:r w:rsidR="001C1E32" w:rsidRPr="001C1E32">
              <w:rPr>
                <w:b w:val="0"/>
                <w:webHidden/>
                <w:color w:val="auto"/>
                <w:sz w:val="22"/>
                <w:szCs w:val="22"/>
              </w:rPr>
              <w:tab/>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_Toc90564306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w:t>
            </w:r>
            <w:r w:rsidR="001C1E32" w:rsidRPr="001C1E32">
              <w:rPr>
                <w:b w:val="0"/>
                <w:webHidden/>
                <w:color w:val="auto"/>
                <w:sz w:val="22"/>
                <w:szCs w:val="22"/>
              </w:rPr>
              <w:fldChar w:fldCharType="end"/>
            </w:r>
          </w:hyperlink>
        </w:p>
        <w:p w14:paraId="056A58EB" w14:textId="57C44E30" w:rsidR="001C1E32" w:rsidRPr="001C1E32" w:rsidRDefault="001C138D">
          <w:pPr>
            <w:pStyle w:val="TOC2"/>
            <w:rPr>
              <w:rFonts w:asciiTheme="minorHAnsi" w:eastAsiaTheme="minorEastAsia" w:hAnsiTheme="minorHAnsi" w:cstheme="minorBidi"/>
              <w:b w:val="0"/>
              <w:bCs w:val="0"/>
              <w:color w:val="auto"/>
              <w:sz w:val="22"/>
              <w:szCs w:val="22"/>
            </w:rPr>
          </w:pPr>
          <w:hyperlink w:anchor="_Toc90564307" w:history="1">
            <w:r w:rsidR="001C1E32" w:rsidRPr="001C1E32">
              <w:rPr>
                <w:rStyle w:val="Hyperlink"/>
                <w:b w:val="0"/>
                <w:color w:val="auto"/>
                <w:sz w:val="22"/>
                <w:szCs w:val="22"/>
              </w:rPr>
              <w:t>Change Theory and Journey</w:t>
            </w:r>
            <w:r w:rsidR="001C1E32" w:rsidRPr="001C1E32">
              <w:rPr>
                <w:b w:val="0"/>
                <w:webHidden/>
                <w:color w:val="auto"/>
                <w:sz w:val="22"/>
                <w:szCs w:val="22"/>
              </w:rPr>
              <w:tab/>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_Toc90564307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2</w:t>
            </w:r>
            <w:r w:rsidR="001C1E32" w:rsidRPr="001C1E32">
              <w:rPr>
                <w:b w:val="0"/>
                <w:webHidden/>
                <w:color w:val="auto"/>
                <w:sz w:val="22"/>
                <w:szCs w:val="22"/>
              </w:rPr>
              <w:fldChar w:fldCharType="end"/>
            </w:r>
          </w:hyperlink>
        </w:p>
        <w:p w14:paraId="5BE1EDA3" w14:textId="4434896A" w:rsidR="001C1E32" w:rsidRPr="001C1E32" w:rsidRDefault="001C138D">
          <w:pPr>
            <w:pStyle w:val="TOC2"/>
            <w:rPr>
              <w:rFonts w:asciiTheme="minorHAnsi" w:eastAsiaTheme="minorEastAsia" w:hAnsiTheme="minorHAnsi" w:cstheme="minorBidi"/>
              <w:b w:val="0"/>
              <w:bCs w:val="0"/>
              <w:color w:val="auto"/>
              <w:sz w:val="22"/>
              <w:szCs w:val="22"/>
            </w:rPr>
          </w:pPr>
          <w:hyperlink w:anchor="_Toc90564308" w:history="1">
            <w:r w:rsidR="001C1E32" w:rsidRPr="001C1E32">
              <w:rPr>
                <w:rStyle w:val="Hyperlink"/>
                <w:b w:val="0"/>
                <w:color w:val="auto"/>
                <w:sz w:val="22"/>
                <w:szCs w:val="22"/>
              </w:rPr>
              <w:t>Thematic Results</w:t>
            </w:r>
            <w:r w:rsidR="001C1E32" w:rsidRPr="001C1E32">
              <w:rPr>
                <w:b w:val="0"/>
                <w:webHidden/>
                <w:color w:val="auto"/>
                <w:sz w:val="22"/>
                <w:szCs w:val="22"/>
              </w:rPr>
              <w:tab/>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_Toc90564308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3</w:t>
            </w:r>
            <w:r w:rsidR="001C1E32" w:rsidRPr="001C1E32">
              <w:rPr>
                <w:b w:val="0"/>
                <w:webHidden/>
                <w:color w:val="auto"/>
                <w:sz w:val="22"/>
                <w:szCs w:val="22"/>
              </w:rPr>
              <w:fldChar w:fldCharType="end"/>
            </w:r>
          </w:hyperlink>
        </w:p>
        <w:p w14:paraId="05665DE3" w14:textId="6EE6B97F" w:rsidR="001C1E32" w:rsidRPr="001C1E32" w:rsidRDefault="001C138D">
          <w:pPr>
            <w:pStyle w:val="TOC2"/>
            <w:rPr>
              <w:rFonts w:asciiTheme="minorHAnsi" w:eastAsiaTheme="minorEastAsia" w:hAnsiTheme="minorHAnsi" w:cstheme="minorBidi"/>
              <w:b w:val="0"/>
              <w:bCs w:val="0"/>
              <w:color w:val="auto"/>
              <w:sz w:val="22"/>
              <w:szCs w:val="22"/>
            </w:rPr>
          </w:pPr>
          <w:hyperlink w:anchor="_Toc90564309" w:history="1">
            <w:r w:rsidR="001C1E32" w:rsidRPr="001C1E32">
              <w:rPr>
                <w:rStyle w:val="Hyperlink"/>
                <w:b w:val="0"/>
                <w:color w:val="auto"/>
                <w:sz w:val="22"/>
                <w:szCs w:val="22"/>
              </w:rPr>
              <w:t>COVID Pivot</w:t>
            </w:r>
            <w:r w:rsidR="001C1E32" w:rsidRPr="001C1E32">
              <w:rPr>
                <w:b w:val="0"/>
                <w:webHidden/>
                <w:color w:val="auto"/>
                <w:sz w:val="22"/>
                <w:szCs w:val="22"/>
              </w:rPr>
              <w:tab/>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_Toc90564309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12</w:t>
            </w:r>
            <w:r w:rsidR="001C1E32" w:rsidRPr="001C1E32">
              <w:rPr>
                <w:b w:val="0"/>
                <w:webHidden/>
                <w:color w:val="auto"/>
                <w:sz w:val="22"/>
                <w:szCs w:val="22"/>
              </w:rPr>
              <w:fldChar w:fldCharType="end"/>
            </w:r>
          </w:hyperlink>
        </w:p>
        <w:p w14:paraId="432C6E82" w14:textId="144227E3" w:rsidR="001C1E32" w:rsidRPr="001C1E32" w:rsidRDefault="001C138D">
          <w:pPr>
            <w:pStyle w:val="TOC2"/>
            <w:rPr>
              <w:rFonts w:asciiTheme="minorHAnsi" w:eastAsiaTheme="minorEastAsia" w:hAnsiTheme="minorHAnsi" w:cstheme="minorBidi"/>
              <w:b w:val="0"/>
              <w:bCs w:val="0"/>
              <w:color w:val="auto"/>
              <w:sz w:val="22"/>
              <w:szCs w:val="22"/>
            </w:rPr>
          </w:pPr>
          <w:hyperlink w:anchor="_Toc90564310" w:history="1">
            <w:r w:rsidR="001C1E32" w:rsidRPr="001C1E32">
              <w:rPr>
                <w:rStyle w:val="Hyperlink"/>
                <w:b w:val="0"/>
                <w:color w:val="auto"/>
                <w:sz w:val="22"/>
                <w:szCs w:val="22"/>
              </w:rPr>
              <w:t>Output Summary</w:t>
            </w:r>
            <w:r w:rsidR="001C1E32" w:rsidRPr="001C1E32">
              <w:rPr>
                <w:b w:val="0"/>
                <w:webHidden/>
                <w:color w:val="auto"/>
                <w:sz w:val="22"/>
                <w:szCs w:val="22"/>
              </w:rPr>
              <w:tab/>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_Toc90564310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13</w:t>
            </w:r>
            <w:r w:rsidR="001C1E32" w:rsidRPr="001C1E32">
              <w:rPr>
                <w:b w:val="0"/>
                <w:webHidden/>
                <w:color w:val="auto"/>
                <w:sz w:val="22"/>
                <w:szCs w:val="22"/>
              </w:rPr>
              <w:fldChar w:fldCharType="end"/>
            </w:r>
          </w:hyperlink>
        </w:p>
        <w:p w14:paraId="1A984F0A" w14:textId="00F06593" w:rsidR="001C1E32" w:rsidRPr="001C1E32" w:rsidRDefault="001C138D">
          <w:pPr>
            <w:pStyle w:val="TOC2"/>
            <w:rPr>
              <w:rFonts w:asciiTheme="minorHAnsi" w:eastAsiaTheme="minorEastAsia" w:hAnsiTheme="minorHAnsi" w:cstheme="minorBidi"/>
              <w:b w:val="0"/>
              <w:bCs w:val="0"/>
              <w:color w:val="auto"/>
              <w:sz w:val="22"/>
              <w:szCs w:val="22"/>
            </w:rPr>
          </w:pPr>
          <w:hyperlink w:anchor="_Toc90564311" w:history="1">
            <w:r w:rsidR="001C1E32" w:rsidRPr="001C1E32">
              <w:rPr>
                <w:rStyle w:val="Hyperlink"/>
                <w:b w:val="0"/>
                <w:color w:val="auto"/>
                <w:sz w:val="22"/>
                <w:szCs w:val="22"/>
              </w:rPr>
              <w:t>National Results</w:t>
            </w:r>
            <w:r w:rsidR="001C1E32" w:rsidRPr="001C1E32">
              <w:rPr>
                <w:b w:val="0"/>
                <w:webHidden/>
                <w:color w:val="auto"/>
                <w:sz w:val="22"/>
                <w:szCs w:val="22"/>
              </w:rPr>
              <w:tab/>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_Toc90564311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18</w:t>
            </w:r>
            <w:r w:rsidR="001C1E32" w:rsidRPr="001C1E32">
              <w:rPr>
                <w:b w:val="0"/>
                <w:webHidden/>
                <w:color w:val="auto"/>
                <w:sz w:val="22"/>
                <w:szCs w:val="22"/>
              </w:rPr>
              <w:fldChar w:fldCharType="end"/>
            </w:r>
          </w:hyperlink>
        </w:p>
        <w:p w14:paraId="601CF5FE" w14:textId="335E3256" w:rsidR="001C1E32" w:rsidRPr="001C1E32" w:rsidRDefault="001C138D">
          <w:pPr>
            <w:pStyle w:val="TOC2"/>
            <w:rPr>
              <w:rFonts w:asciiTheme="minorHAnsi" w:eastAsiaTheme="minorEastAsia" w:hAnsiTheme="minorHAnsi" w:cstheme="minorBidi"/>
              <w:b w:val="0"/>
              <w:bCs w:val="0"/>
              <w:color w:val="auto"/>
              <w:sz w:val="22"/>
              <w:szCs w:val="22"/>
            </w:rPr>
          </w:pPr>
          <w:hyperlink w:anchor="_Toc90564312" w:history="1">
            <w:r w:rsidR="001C1E32" w:rsidRPr="001C1E32">
              <w:rPr>
                <w:rStyle w:val="Hyperlink"/>
                <w:b w:val="0"/>
                <w:color w:val="auto"/>
                <w:sz w:val="22"/>
                <w:szCs w:val="22"/>
              </w:rPr>
              <w:t xml:space="preserve">Financial Management </w:t>
            </w:r>
            <w:r w:rsidR="001C1E32" w:rsidRPr="001C1E32">
              <w:rPr>
                <w:b w:val="0"/>
                <w:webHidden/>
                <w:color w:val="auto"/>
                <w:sz w:val="22"/>
                <w:szCs w:val="22"/>
              </w:rPr>
              <w:tab/>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_Toc90564312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18</w:t>
            </w:r>
            <w:r w:rsidR="001C1E32" w:rsidRPr="001C1E32">
              <w:rPr>
                <w:b w:val="0"/>
                <w:webHidden/>
                <w:color w:val="auto"/>
                <w:sz w:val="22"/>
                <w:szCs w:val="22"/>
              </w:rPr>
              <w:fldChar w:fldCharType="end"/>
            </w:r>
          </w:hyperlink>
        </w:p>
        <w:p w14:paraId="5215F66D" w14:textId="69A7645E" w:rsidR="001C1E32" w:rsidRDefault="001C138D">
          <w:pPr>
            <w:pStyle w:val="TOC2"/>
            <w:rPr>
              <w:rStyle w:val="Hyperlink"/>
              <w:b w:val="0"/>
              <w:color w:val="auto"/>
              <w:sz w:val="22"/>
              <w:szCs w:val="22"/>
            </w:rPr>
          </w:pPr>
          <w:hyperlink w:anchor="_Toc90564313" w:history="1">
            <w:r w:rsidR="001C1E32" w:rsidRPr="001C1E32">
              <w:rPr>
                <w:rStyle w:val="Hyperlink"/>
                <w:b w:val="0"/>
                <w:color w:val="auto"/>
                <w:sz w:val="22"/>
                <w:szCs w:val="22"/>
              </w:rPr>
              <w:t>Conclusion</w:t>
            </w:r>
            <w:r w:rsidR="001C1E32" w:rsidRPr="001C1E32">
              <w:rPr>
                <w:b w:val="0"/>
                <w:webHidden/>
                <w:color w:val="auto"/>
                <w:sz w:val="22"/>
                <w:szCs w:val="22"/>
              </w:rPr>
              <w:tab/>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_Toc90564313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21</w:t>
            </w:r>
            <w:r w:rsidR="001C1E32" w:rsidRPr="001C1E32">
              <w:rPr>
                <w:b w:val="0"/>
                <w:webHidden/>
                <w:color w:val="auto"/>
                <w:sz w:val="22"/>
                <w:szCs w:val="22"/>
              </w:rPr>
              <w:fldChar w:fldCharType="end"/>
            </w:r>
          </w:hyperlink>
        </w:p>
        <w:p w14:paraId="321E823A" w14:textId="77777777" w:rsidR="001C1E32" w:rsidRPr="001C1E32" w:rsidRDefault="001C1E32" w:rsidP="001C1E32">
          <w:pPr>
            <w:rPr>
              <w:rFonts w:eastAsiaTheme="minorEastAsia"/>
              <w:noProof/>
              <w:lang w:val="en-AU"/>
            </w:rPr>
          </w:pPr>
        </w:p>
        <w:p w14:paraId="2F9B95AE" w14:textId="6F081DD7" w:rsidR="001C1E32" w:rsidRPr="001C1E32" w:rsidRDefault="001C138D">
          <w:pPr>
            <w:pStyle w:val="TOC2"/>
            <w:rPr>
              <w:rFonts w:asciiTheme="minorHAnsi" w:eastAsiaTheme="minorEastAsia" w:hAnsiTheme="minorHAnsi" w:cstheme="minorBidi"/>
              <w:b w:val="0"/>
              <w:bCs w:val="0"/>
              <w:color w:val="auto"/>
              <w:sz w:val="22"/>
              <w:szCs w:val="22"/>
            </w:rPr>
          </w:pPr>
          <w:hyperlink w:anchor="_Toc90564314" w:history="1">
            <w:r w:rsidR="001C1E32" w:rsidRPr="001C1E32">
              <w:rPr>
                <w:rStyle w:val="Hyperlink"/>
                <w:b w:val="0"/>
                <w:color w:val="auto"/>
                <w:sz w:val="22"/>
                <w:szCs w:val="22"/>
              </w:rPr>
              <w:t>Annex One: National Results Stories</w:t>
            </w:r>
            <w:r w:rsidR="001C1E32" w:rsidRPr="001C1E32">
              <w:rPr>
                <w:b w:val="0"/>
                <w:webHidden/>
                <w:color w:val="auto"/>
                <w:sz w:val="22"/>
                <w:szCs w:val="22"/>
              </w:rPr>
              <w:tab/>
            </w:r>
            <w:r w:rsidR="001C1E32">
              <w:rPr>
                <w:b w:val="0"/>
                <w:webHidden/>
                <w:color w:val="auto"/>
                <w:sz w:val="22"/>
                <w:szCs w:val="22"/>
              </w:rPr>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_Toc90564314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w:t>
            </w:r>
            <w:r w:rsidR="001C1E32" w:rsidRPr="001C1E32">
              <w:rPr>
                <w:b w:val="0"/>
                <w:webHidden/>
                <w:color w:val="auto"/>
                <w:sz w:val="22"/>
                <w:szCs w:val="22"/>
              </w:rPr>
              <w:fldChar w:fldCharType="end"/>
            </w:r>
          </w:hyperlink>
        </w:p>
        <w:p w14:paraId="7ECA0521" w14:textId="7A213168" w:rsidR="001C1E32" w:rsidRPr="001C1E32" w:rsidRDefault="001C138D">
          <w:pPr>
            <w:pStyle w:val="TOC2"/>
            <w:rPr>
              <w:rFonts w:asciiTheme="minorHAnsi" w:eastAsiaTheme="minorEastAsia" w:hAnsiTheme="minorHAnsi" w:cstheme="minorBidi"/>
              <w:b w:val="0"/>
              <w:bCs w:val="0"/>
              <w:color w:val="auto"/>
              <w:sz w:val="22"/>
              <w:szCs w:val="22"/>
            </w:rPr>
          </w:pPr>
          <w:hyperlink w:anchor="_Toc90564315" w:history="1">
            <w:r w:rsidR="001C1E32" w:rsidRPr="001C1E32">
              <w:rPr>
                <w:rStyle w:val="Hyperlink"/>
                <w:b w:val="0"/>
                <w:color w:val="auto"/>
                <w:sz w:val="22"/>
                <w:szCs w:val="22"/>
              </w:rPr>
              <w:t>Annex Two: Methodology</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_Toc90564315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4</w:t>
            </w:r>
            <w:r w:rsidR="001C1E32" w:rsidRPr="001C1E32">
              <w:rPr>
                <w:b w:val="0"/>
                <w:webHidden/>
                <w:color w:val="auto"/>
                <w:sz w:val="22"/>
                <w:szCs w:val="22"/>
              </w:rPr>
              <w:fldChar w:fldCharType="end"/>
            </w:r>
          </w:hyperlink>
        </w:p>
        <w:p w14:paraId="2733C9C9" w14:textId="38DE2BEC" w:rsidR="001C1E32" w:rsidRPr="001C1E32" w:rsidRDefault="001C138D">
          <w:pPr>
            <w:pStyle w:val="TOC2"/>
            <w:rPr>
              <w:rFonts w:asciiTheme="minorHAnsi" w:eastAsiaTheme="minorEastAsia" w:hAnsiTheme="minorHAnsi" w:cstheme="minorBidi"/>
              <w:b w:val="0"/>
              <w:bCs w:val="0"/>
              <w:color w:val="auto"/>
              <w:sz w:val="22"/>
              <w:szCs w:val="22"/>
            </w:rPr>
          </w:pPr>
          <w:hyperlink w:anchor="_Toc90564316" w:history="1">
            <w:r w:rsidR="001C1E32" w:rsidRPr="001C1E32">
              <w:rPr>
                <w:rStyle w:val="Hyperlink"/>
                <w:b w:val="0"/>
                <w:color w:val="auto"/>
                <w:sz w:val="22"/>
                <w:szCs w:val="22"/>
              </w:rPr>
              <w:t>Annex Three: Change Theory &amp; Journey</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_Toc90564316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5</w:t>
            </w:r>
            <w:r w:rsidR="001C1E32" w:rsidRPr="001C1E32">
              <w:rPr>
                <w:b w:val="0"/>
                <w:webHidden/>
                <w:color w:val="auto"/>
                <w:sz w:val="22"/>
                <w:szCs w:val="22"/>
              </w:rPr>
              <w:fldChar w:fldCharType="end"/>
            </w:r>
          </w:hyperlink>
        </w:p>
        <w:p w14:paraId="08D0F52C" w14:textId="1144D0D2" w:rsidR="001C1E32" w:rsidRPr="001C1E32" w:rsidRDefault="001C138D">
          <w:pPr>
            <w:pStyle w:val="TOC2"/>
            <w:rPr>
              <w:rFonts w:asciiTheme="minorHAnsi" w:eastAsiaTheme="minorEastAsia" w:hAnsiTheme="minorHAnsi" w:cstheme="minorBidi"/>
              <w:b w:val="0"/>
              <w:bCs w:val="0"/>
              <w:color w:val="auto"/>
              <w:sz w:val="22"/>
              <w:szCs w:val="22"/>
            </w:rPr>
          </w:pPr>
          <w:hyperlink w:anchor="_Toc90564317" w:history="1">
            <w:r w:rsidR="001C1E32" w:rsidRPr="001C1E32">
              <w:rPr>
                <w:rStyle w:val="Hyperlink"/>
                <w:b w:val="0"/>
                <w:color w:val="auto"/>
                <w:sz w:val="22"/>
                <w:szCs w:val="22"/>
              </w:rPr>
              <w:t>Annex Four: Reforms</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_Toc90564317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8</w:t>
            </w:r>
            <w:r w:rsidR="001C1E32" w:rsidRPr="001C1E32">
              <w:rPr>
                <w:b w:val="0"/>
                <w:webHidden/>
                <w:color w:val="auto"/>
                <w:sz w:val="22"/>
                <w:szCs w:val="22"/>
              </w:rPr>
              <w:fldChar w:fldCharType="end"/>
            </w:r>
          </w:hyperlink>
        </w:p>
        <w:p w14:paraId="535A4198" w14:textId="49A27261" w:rsidR="001C1E32" w:rsidRPr="001C1E32" w:rsidRDefault="001C138D">
          <w:pPr>
            <w:pStyle w:val="TOC2"/>
            <w:rPr>
              <w:rFonts w:asciiTheme="minorHAnsi" w:eastAsiaTheme="minorEastAsia" w:hAnsiTheme="minorHAnsi" w:cstheme="minorBidi"/>
              <w:b w:val="0"/>
              <w:bCs w:val="0"/>
              <w:color w:val="auto"/>
              <w:sz w:val="22"/>
              <w:szCs w:val="22"/>
            </w:rPr>
          </w:pPr>
          <w:hyperlink w:anchor="_Toc90564318" w:history="1">
            <w:r w:rsidR="001C1E32" w:rsidRPr="001C1E32">
              <w:rPr>
                <w:rStyle w:val="Hyperlink"/>
                <w:b w:val="0"/>
                <w:color w:val="auto"/>
                <w:sz w:val="22"/>
                <w:szCs w:val="22"/>
              </w:rPr>
              <w:t>Annex Five: PJDP Baseline &amp; End Results</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_Toc90564318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10</w:t>
            </w:r>
            <w:r w:rsidR="001C1E32" w:rsidRPr="001C1E32">
              <w:rPr>
                <w:b w:val="0"/>
                <w:webHidden/>
                <w:color w:val="auto"/>
                <w:sz w:val="22"/>
                <w:szCs w:val="22"/>
              </w:rPr>
              <w:fldChar w:fldCharType="end"/>
            </w:r>
          </w:hyperlink>
        </w:p>
        <w:p w14:paraId="48934F4B" w14:textId="18D847BC" w:rsidR="001C1E32" w:rsidRPr="001C1E32" w:rsidRDefault="001C138D">
          <w:pPr>
            <w:pStyle w:val="TOC2"/>
            <w:rPr>
              <w:rFonts w:asciiTheme="minorHAnsi" w:eastAsiaTheme="minorEastAsia" w:hAnsiTheme="minorHAnsi" w:cstheme="minorBidi"/>
              <w:b w:val="0"/>
              <w:bCs w:val="0"/>
              <w:color w:val="auto"/>
              <w:sz w:val="22"/>
              <w:szCs w:val="22"/>
            </w:rPr>
          </w:pPr>
          <w:hyperlink w:anchor="_Toc90564319" w:history="1">
            <w:r w:rsidR="001C1E32" w:rsidRPr="001C1E32">
              <w:rPr>
                <w:rStyle w:val="Hyperlink"/>
                <w:b w:val="0"/>
                <w:color w:val="auto"/>
                <w:sz w:val="22"/>
                <w:szCs w:val="22"/>
              </w:rPr>
              <w:t>Annex Six: Mid-Term Results</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_Toc90564319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12</w:t>
            </w:r>
            <w:r w:rsidR="001C1E32" w:rsidRPr="001C1E32">
              <w:rPr>
                <w:b w:val="0"/>
                <w:webHidden/>
                <w:color w:val="auto"/>
                <w:sz w:val="22"/>
                <w:szCs w:val="22"/>
              </w:rPr>
              <w:fldChar w:fldCharType="end"/>
            </w:r>
          </w:hyperlink>
        </w:p>
        <w:p w14:paraId="5655B960" w14:textId="1F4894F4" w:rsidR="001C1E32" w:rsidRPr="001C1E32" w:rsidRDefault="001C138D">
          <w:pPr>
            <w:pStyle w:val="TOC2"/>
            <w:rPr>
              <w:rFonts w:asciiTheme="minorHAnsi" w:eastAsiaTheme="minorEastAsia" w:hAnsiTheme="minorHAnsi" w:cstheme="minorBidi"/>
              <w:b w:val="0"/>
              <w:bCs w:val="0"/>
              <w:color w:val="auto"/>
              <w:sz w:val="22"/>
              <w:szCs w:val="22"/>
            </w:rPr>
          </w:pPr>
          <w:hyperlink w:anchor="_Toc90564320" w:history="1">
            <w:r w:rsidR="001C1E32" w:rsidRPr="001C1E32">
              <w:rPr>
                <w:rStyle w:val="Hyperlink"/>
                <w:b w:val="0"/>
                <w:color w:val="auto"/>
                <w:sz w:val="22"/>
                <w:szCs w:val="22"/>
              </w:rPr>
              <w:t>Annex Seven: Outputs - Resources</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_Toc90564320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14</w:t>
            </w:r>
            <w:r w:rsidR="001C1E32" w:rsidRPr="001C1E32">
              <w:rPr>
                <w:b w:val="0"/>
                <w:webHidden/>
                <w:color w:val="auto"/>
                <w:sz w:val="22"/>
                <w:szCs w:val="22"/>
              </w:rPr>
              <w:fldChar w:fldCharType="end"/>
            </w:r>
          </w:hyperlink>
        </w:p>
        <w:p w14:paraId="31B57C81" w14:textId="666F046E" w:rsidR="001C1E32" w:rsidRPr="001C1E32" w:rsidRDefault="001C138D">
          <w:pPr>
            <w:pStyle w:val="TOC2"/>
            <w:rPr>
              <w:rFonts w:asciiTheme="minorHAnsi" w:eastAsiaTheme="minorEastAsia" w:hAnsiTheme="minorHAnsi" w:cstheme="minorBidi"/>
              <w:b w:val="0"/>
              <w:bCs w:val="0"/>
              <w:color w:val="auto"/>
              <w:sz w:val="22"/>
              <w:szCs w:val="22"/>
            </w:rPr>
          </w:pPr>
          <w:hyperlink w:anchor="_Toc90564321" w:history="1">
            <w:r w:rsidR="001C1E32" w:rsidRPr="001C1E32">
              <w:rPr>
                <w:rStyle w:val="Hyperlink"/>
                <w:b w:val="0"/>
                <w:color w:val="auto"/>
                <w:sz w:val="22"/>
                <w:szCs w:val="22"/>
              </w:rPr>
              <w:t>Annex Eight: Development Effectiveness</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_Toc90564321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16</w:t>
            </w:r>
            <w:r w:rsidR="001C1E32" w:rsidRPr="001C1E32">
              <w:rPr>
                <w:b w:val="0"/>
                <w:webHidden/>
                <w:color w:val="auto"/>
                <w:sz w:val="22"/>
                <w:szCs w:val="22"/>
              </w:rPr>
              <w:fldChar w:fldCharType="end"/>
            </w:r>
          </w:hyperlink>
        </w:p>
        <w:p w14:paraId="1A763888" w14:textId="3FD9F4CE" w:rsidR="001C1E32" w:rsidRPr="001C1E32" w:rsidRDefault="001C138D">
          <w:pPr>
            <w:pStyle w:val="TOC2"/>
            <w:rPr>
              <w:rFonts w:asciiTheme="minorHAnsi" w:eastAsiaTheme="minorEastAsia" w:hAnsiTheme="minorHAnsi" w:cstheme="minorBidi"/>
              <w:b w:val="0"/>
              <w:bCs w:val="0"/>
              <w:color w:val="auto"/>
              <w:sz w:val="22"/>
              <w:szCs w:val="22"/>
            </w:rPr>
          </w:pPr>
          <w:hyperlink w:anchor="_Toc90564322" w:history="1">
            <w:r w:rsidR="001C1E32" w:rsidRPr="001C1E32">
              <w:rPr>
                <w:rStyle w:val="Hyperlink"/>
                <w:b w:val="0"/>
                <w:color w:val="auto"/>
                <w:sz w:val="22"/>
                <w:szCs w:val="22"/>
              </w:rPr>
              <w:t>Annex Nine: Self-Assessment against Quality Indicators</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_Toc90564322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19</w:t>
            </w:r>
            <w:r w:rsidR="001C1E32" w:rsidRPr="001C1E32">
              <w:rPr>
                <w:b w:val="0"/>
                <w:webHidden/>
                <w:color w:val="auto"/>
                <w:sz w:val="22"/>
                <w:szCs w:val="22"/>
              </w:rPr>
              <w:fldChar w:fldCharType="end"/>
            </w:r>
          </w:hyperlink>
        </w:p>
        <w:p w14:paraId="446380D0" w14:textId="52B1156A" w:rsidR="001C1E32" w:rsidRPr="001C1E32" w:rsidRDefault="001C138D">
          <w:pPr>
            <w:pStyle w:val="TOC2"/>
            <w:rPr>
              <w:rFonts w:asciiTheme="minorHAnsi" w:eastAsiaTheme="minorEastAsia" w:hAnsiTheme="minorHAnsi" w:cstheme="minorBidi"/>
              <w:b w:val="0"/>
              <w:bCs w:val="0"/>
              <w:color w:val="auto"/>
              <w:sz w:val="22"/>
              <w:szCs w:val="22"/>
            </w:rPr>
          </w:pPr>
          <w:hyperlink w:anchor="_Toc90564323" w:history="1">
            <w:r w:rsidR="001C1E32" w:rsidRPr="001C1E32">
              <w:rPr>
                <w:rStyle w:val="Hyperlink"/>
                <w:b w:val="0"/>
                <w:color w:val="auto"/>
                <w:sz w:val="22"/>
                <w:szCs w:val="22"/>
              </w:rPr>
              <w:t>Annex Ten: Financial Statement</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_Toc90564323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22</w:t>
            </w:r>
            <w:r w:rsidR="001C1E32" w:rsidRPr="001C1E32">
              <w:rPr>
                <w:b w:val="0"/>
                <w:webHidden/>
                <w:color w:val="auto"/>
                <w:sz w:val="22"/>
                <w:szCs w:val="22"/>
              </w:rPr>
              <w:fldChar w:fldCharType="end"/>
            </w:r>
          </w:hyperlink>
        </w:p>
        <w:p w14:paraId="38518960" w14:textId="25BC0260" w:rsidR="001C1E32" w:rsidRPr="001C1E32" w:rsidRDefault="001C138D">
          <w:pPr>
            <w:pStyle w:val="TOC2"/>
            <w:rPr>
              <w:rFonts w:asciiTheme="minorHAnsi" w:eastAsiaTheme="minorEastAsia" w:hAnsiTheme="minorHAnsi" w:cstheme="minorBidi"/>
              <w:b w:val="0"/>
              <w:bCs w:val="0"/>
              <w:color w:val="auto"/>
              <w:sz w:val="22"/>
              <w:szCs w:val="22"/>
            </w:rPr>
          </w:pPr>
          <w:hyperlink w:anchor="_Toc90564324" w:history="1">
            <w:r w:rsidR="001C1E32" w:rsidRPr="001C1E32">
              <w:rPr>
                <w:rStyle w:val="Hyperlink"/>
                <w:b w:val="0"/>
                <w:color w:val="auto"/>
                <w:sz w:val="22"/>
                <w:szCs w:val="22"/>
              </w:rPr>
              <w:t>Annex Eleven: Asset Register</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_Toc90564324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24</w:t>
            </w:r>
            <w:r w:rsidR="001C1E32" w:rsidRPr="001C1E32">
              <w:rPr>
                <w:b w:val="0"/>
                <w:webHidden/>
                <w:color w:val="auto"/>
                <w:sz w:val="22"/>
                <w:szCs w:val="22"/>
              </w:rPr>
              <w:fldChar w:fldCharType="end"/>
            </w:r>
          </w:hyperlink>
        </w:p>
        <w:p w14:paraId="2B0FEB3D" w14:textId="0BDD0410" w:rsidR="001C1E32" w:rsidRPr="001C1E32" w:rsidRDefault="001C138D">
          <w:pPr>
            <w:pStyle w:val="TOC2"/>
            <w:rPr>
              <w:rFonts w:asciiTheme="minorHAnsi" w:eastAsiaTheme="minorEastAsia" w:hAnsiTheme="minorHAnsi" w:cstheme="minorBidi"/>
              <w:b w:val="0"/>
              <w:bCs w:val="0"/>
              <w:color w:val="auto"/>
              <w:sz w:val="22"/>
              <w:szCs w:val="22"/>
            </w:rPr>
          </w:pPr>
          <w:hyperlink w:anchor="_Toc90564325" w:history="1">
            <w:r w:rsidR="001C1E32" w:rsidRPr="001C1E32">
              <w:rPr>
                <w:rStyle w:val="Hyperlink"/>
                <w:b w:val="0"/>
                <w:color w:val="auto"/>
                <w:sz w:val="22"/>
                <w:szCs w:val="22"/>
              </w:rPr>
              <w:t>Annex Twelve: Asset Disposal Report</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_Toc90564325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25</w:t>
            </w:r>
            <w:r w:rsidR="001C1E32" w:rsidRPr="001C1E32">
              <w:rPr>
                <w:b w:val="0"/>
                <w:webHidden/>
                <w:color w:val="auto"/>
                <w:sz w:val="22"/>
                <w:szCs w:val="22"/>
              </w:rPr>
              <w:fldChar w:fldCharType="end"/>
            </w:r>
          </w:hyperlink>
        </w:p>
        <w:p w14:paraId="1CC041F4" w14:textId="09C182A6" w:rsidR="001C1E32" w:rsidRPr="001C1E32" w:rsidRDefault="001C138D">
          <w:pPr>
            <w:pStyle w:val="TOC2"/>
            <w:rPr>
              <w:rFonts w:asciiTheme="minorHAnsi" w:eastAsiaTheme="minorEastAsia" w:hAnsiTheme="minorHAnsi" w:cstheme="minorBidi"/>
              <w:b w:val="0"/>
              <w:bCs w:val="0"/>
              <w:color w:val="auto"/>
              <w:sz w:val="22"/>
              <w:szCs w:val="22"/>
            </w:rPr>
          </w:pPr>
          <w:hyperlink w:anchor="_Toc90564326" w:history="1">
            <w:r w:rsidR="001C1E32" w:rsidRPr="001C1E32">
              <w:rPr>
                <w:rStyle w:val="Hyperlink"/>
                <w:b w:val="0"/>
                <w:color w:val="auto"/>
                <w:sz w:val="22"/>
                <w:szCs w:val="22"/>
              </w:rPr>
              <w:t xml:space="preserve">Annex Thirteen: </w:t>
            </w:r>
            <w:r w:rsidR="00FB121D">
              <w:rPr>
                <w:rStyle w:val="Hyperlink"/>
                <w:b w:val="0"/>
                <w:color w:val="auto"/>
                <w:sz w:val="22"/>
                <w:szCs w:val="22"/>
              </w:rPr>
              <w:t>Activity Progress Update June-</w:t>
            </w:r>
            <w:r w:rsidR="001C1E32" w:rsidRPr="001C1E32">
              <w:rPr>
                <w:rStyle w:val="Hyperlink"/>
                <w:b w:val="0"/>
                <w:color w:val="auto"/>
                <w:sz w:val="22"/>
                <w:szCs w:val="22"/>
              </w:rPr>
              <w:t>December, 2021</w:t>
            </w:r>
            <w:r w:rsidR="001C1E32" w:rsidRPr="001C1E32">
              <w:rPr>
                <w:b w:val="0"/>
                <w:webHidden/>
                <w:color w:val="auto"/>
                <w:sz w:val="22"/>
                <w:szCs w:val="22"/>
              </w:rPr>
              <w:tab/>
              <w:t>A-</w:t>
            </w:r>
            <w:r w:rsidR="001C1E32" w:rsidRPr="001C1E32">
              <w:rPr>
                <w:b w:val="0"/>
                <w:webHidden/>
                <w:color w:val="auto"/>
                <w:sz w:val="22"/>
                <w:szCs w:val="22"/>
              </w:rPr>
              <w:fldChar w:fldCharType="begin"/>
            </w:r>
            <w:r w:rsidR="001C1E32" w:rsidRPr="001C1E32">
              <w:rPr>
                <w:b w:val="0"/>
                <w:webHidden/>
                <w:color w:val="auto"/>
                <w:sz w:val="22"/>
                <w:szCs w:val="22"/>
              </w:rPr>
              <w:instrText xml:space="preserve"> PAGEREF _Toc90564326 \h </w:instrText>
            </w:r>
            <w:r w:rsidR="001C1E32" w:rsidRPr="001C1E32">
              <w:rPr>
                <w:b w:val="0"/>
                <w:webHidden/>
                <w:color w:val="auto"/>
                <w:sz w:val="22"/>
                <w:szCs w:val="22"/>
              </w:rPr>
            </w:r>
            <w:r w:rsidR="001C1E32" w:rsidRPr="001C1E32">
              <w:rPr>
                <w:b w:val="0"/>
                <w:webHidden/>
                <w:color w:val="auto"/>
                <w:sz w:val="22"/>
                <w:szCs w:val="22"/>
              </w:rPr>
              <w:fldChar w:fldCharType="separate"/>
            </w:r>
            <w:r w:rsidR="00FB121D">
              <w:rPr>
                <w:b w:val="0"/>
                <w:webHidden/>
                <w:color w:val="auto"/>
                <w:sz w:val="22"/>
                <w:szCs w:val="22"/>
              </w:rPr>
              <w:t>26</w:t>
            </w:r>
            <w:r w:rsidR="001C1E32" w:rsidRPr="001C1E32">
              <w:rPr>
                <w:b w:val="0"/>
                <w:webHidden/>
                <w:color w:val="auto"/>
                <w:sz w:val="22"/>
                <w:szCs w:val="22"/>
              </w:rPr>
              <w:fldChar w:fldCharType="end"/>
            </w:r>
          </w:hyperlink>
        </w:p>
        <w:p w14:paraId="0C6AF3A7" w14:textId="20BD4B5C" w:rsidR="005466A3" w:rsidRPr="005466A3" w:rsidRDefault="005466A3">
          <w:r w:rsidRPr="001C1E32">
            <w:rPr>
              <w:bCs/>
              <w:noProof/>
              <w:sz w:val="22"/>
              <w:szCs w:val="22"/>
            </w:rPr>
            <w:fldChar w:fldCharType="end"/>
          </w:r>
        </w:p>
      </w:sdtContent>
    </w:sdt>
    <w:p w14:paraId="639DD7F0" w14:textId="77777777" w:rsidR="005466A3" w:rsidRDefault="005466A3" w:rsidP="00AE45D8">
      <w:pPr>
        <w:pStyle w:val="TOC2"/>
        <w:rPr>
          <w:b w:val="0"/>
          <w:color w:val="auto"/>
          <w:sz w:val="22"/>
          <w:szCs w:val="22"/>
        </w:rPr>
        <w:sectPr w:rsidR="005466A3" w:rsidSect="00DF5A0F">
          <w:footerReference w:type="default" r:id="rId28"/>
          <w:pgSz w:w="11910" w:h="16850"/>
          <w:pgMar w:top="1559" w:right="1361" w:bottom="1418" w:left="1361" w:header="567" w:footer="0" w:gutter="0"/>
          <w:pgNumType w:fmt="lowerRoman"/>
          <w:cols w:space="708"/>
          <w:noEndnote/>
          <w:docGrid w:linePitch="313"/>
        </w:sectPr>
      </w:pPr>
    </w:p>
    <w:p w14:paraId="4FDA3382" w14:textId="173DDCF5" w:rsidR="008D4313" w:rsidRPr="00F34A39" w:rsidRDefault="008D4313" w:rsidP="00E837AC">
      <w:pPr>
        <w:pStyle w:val="HBHeading1"/>
        <w:spacing w:before="0" w:after="40"/>
        <w:rPr>
          <w:color w:val="00323E" w:themeColor="accent1" w:themeShade="80"/>
          <w:lang w:val="en-AU"/>
        </w:rPr>
      </w:pPr>
      <w:bookmarkStart w:id="4" w:name="_Toc75185169"/>
      <w:bookmarkStart w:id="5" w:name="_Toc77423611"/>
      <w:bookmarkStart w:id="6" w:name="_Toc90564306"/>
      <w:r w:rsidRPr="00F34A39">
        <w:rPr>
          <w:color w:val="00323E" w:themeColor="accent1" w:themeShade="80"/>
          <w:lang w:val="en-AU"/>
        </w:rPr>
        <w:lastRenderedPageBreak/>
        <w:t>Executive Summary</w:t>
      </w:r>
      <w:bookmarkEnd w:id="4"/>
      <w:bookmarkEnd w:id="5"/>
      <w:bookmarkEnd w:id="6"/>
    </w:p>
    <w:p w14:paraId="5B5B0531" w14:textId="4F1EC902" w:rsidR="00451799" w:rsidRDefault="008D4313" w:rsidP="00E837AC">
      <w:pPr>
        <w:spacing w:before="40" w:after="40"/>
        <w:rPr>
          <w:sz w:val="22"/>
          <w:szCs w:val="22"/>
          <w:lang w:val="en-AU"/>
        </w:rPr>
      </w:pPr>
      <w:r w:rsidRPr="00F34A39">
        <w:rPr>
          <w:sz w:val="22"/>
          <w:szCs w:val="22"/>
          <w:lang w:val="en-AU"/>
        </w:rPr>
        <w:t xml:space="preserve">This </w:t>
      </w:r>
      <w:r w:rsidRPr="0036663A">
        <w:rPr>
          <w:sz w:val="22"/>
          <w:szCs w:val="22"/>
          <w:lang w:val="en-AU"/>
        </w:rPr>
        <w:t>Report provides a review of PJSI</w:t>
      </w:r>
      <w:r w:rsidR="000E000E" w:rsidRPr="00E417C5">
        <w:rPr>
          <w:rFonts w:cstheme="minorHAnsi"/>
          <w:sz w:val="22"/>
          <w:szCs w:val="22"/>
          <w:lang w:val="en-AU"/>
        </w:rPr>
        <w:t>’</w:t>
      </w:r>
      <w:r w:rsidRPr="0036663A">
        <w:rPr>
          <w:sz w:val="22"/>
          <w:szCs w:val="22"/>
          <w:lang w:val="en-AU"/>
        </w:rPr>
        <w:t xml:space="preserve">s work and achievements since its inception in 2016. </w:t>
      </w:r>
      <w:r w:rsidR="00451799" w:rsidRPr="0036663A">
        <w:rPr>
          <w:sz w:val="22"/>
          <w:szCs w:val="22"/>
          <w:lang w:val="en-AU"/>
        </w:rPr>
        <w:t xml:space="preserve">During its term, </w:t>
      </w:r>
      <w:r w:rsidR="00F13020" w:rsidRPr="003E09E9">
        <w:rPr>
          <w:sz w:val="22"/>
          <w:szCs w:val="22"/>
          <w:lang w:val="en-AU"/>
        </w:rPr>
        <w:t xml:space="preserve">PJSI </w:t>
      </w:r>
      <w:r w:rsidR="00451799" w:rsidRPr="003E09E9">
        <w:rPr>
          <w:sz w:val="22"/>
          <w:szCs w:val="22"/>
          <w:lang w:val="en-AU"/>
        </w:rPr>
        <w:t>comprised two phases</w:t>
      </w:r>
      <w:r w:rsidR="003E09E9">
        <w:rPr>
          <w:sz w:val="22"/>
          <w:szCs w:val="22"/>
          <w:lang w:val="en-AU"/>
        </w:rPr>
        <w:t xml:space="preserve"> and three designs</w:t>
      </w:r>
      <w:r w:rsidR="0036663A">
        <w:rPr>
          <w:sz w:val="22"/>
          <w:szCs w:val="22"/>
          <w:lang w:val="en-AU"/>
        </w:rPr>
        <w:t xml:space="preserve">, </w:t>
      </w:r>
      <w:r w:rsidR="00451799" w:rsidRPr="00F34A39">
        <w:rPr>
          <w:sz w:val="22"/>
          <w:szCs w:val="22"/>
          <w:lang w:val="en-AU"/>
        </w:rPr>
        <w:t xml:space="preserve">most recently </w:t>
      </w:r>
      <w:r w:rsidR="0036663A">
        <w:rPr>
          <w:sz w:val="22"/>
          <w:szCs w:val="22"/>
          <w:lang w:val="en-AU"/>
        </w:rPr>
        <w:t xml:space="preserve">being </w:t>
      </w:r>
      <w:r w:rsidR="00451799" w:rsidRPr="00F34A39">
        <w:rPr>
          <w:sz w:val="22"/>
          <w:szCs w:val="22"/>
          <w:lang w:val="en-AU"/>
        </w:rPr>
        <w:t>re-engineered to respond to priority needs</w:t>
      </w:r>
      <w:r w:rsidR="00451799">
        <w:rPr>
          <w:sz w:val="22"/>
          <w:szCs w:val="22"/>
          <w:lang w:val="en-AU"/>
        </w:rPr>
        <w:t xml:space="preserve"> resulting from t</w:t>
      </w:r>
      <w:r w:rsidR="0036663A">
        <w:rPr>
          <w:sz w:val="22"/>
          <w:szCs w:val="22"/>
          <w:lang w:val="en-AU"/>
        </w:rPr>
        <w:t xml:space="preserve">he COVID-19 pandemic. </w:t>
      </w:r>
      <w:r w:rsidRPr="00F34A39">
        <w:rPr>
          <w:sz w:val="22"/>
          <w:szCs w:val="22"/>
          <w:lang w:val="en-AU"/>
        </w:rPr>
        <w:t xml:space="preserve">To contribute to the goal of building fairer societies, PJSI </w:t>
      </w:r>
      <w:r w:rsidR="005F73B8" w:rsidRPr="00F34A39">
        <w:rPr>
          <w:sz w:val="22"/>
          <w:szCs w:val="22"/>
          <w:lang w:val="en-AU"/>
        </w:rPr>
        <w:t>focussed support to</w:t>
      </w:r>
      <w:r w:rsidRPr="00F34A39">
        <w:rPr>
          <w:sz w:val="22"/>
          <w:szCs w:val="22"/>
          <w:lang w:val="en-AU"/>
        </w:rPr>
        <w:t xml:space="preserve"> </w:t>
      </w:r>
      <w:r w:rsidR="008374C9">
        <w:rPr>
          <w:sz w:val="22"/>
          <w:szCs w:val="22"/>
          <w:lang w:val="en-AU"/>
        </w:rPr>
        <w:t>two components – Leadership and Performance, with the objective of</w:t>
      </w:r>
      <w:r w:rsidRPr="00F34A39">
        <w:rPr>
          <w:sz w:val="22"/>
          <w:szCs w:val="22"/>
          <w:lang w:val="en-AU"/>
        </w:rPr>
        <w:t xml:space="preserve"> support</w:t>
      </w:r>
      <w:r w:rsidR="008374C9">
        <w:rPr>
          <w:sz w:val="22"/>
          <w:szCs w:val="22"/>
          <w:lang w:val="en-AU"/>
        </w:rPr>
        <w:t>ing</w:t>
      </w:r>
      <w:r w:rsidRPr="00F34A39">
        <w:rPr>
          <w:sz w:val="22"/>
          <w:szCs w:val="22"/>
          <w:lang w:val="en-AU"/>
        </w:rPr>
        <w:t xml:space="preserve"> Pacific courts to become more </w:t>
      </w:r>
      <w:r w:rsidR="005F73B8" w:rsidRPr="00F34A39">
        <w:rPr>
          <w:sz w:val="22"/>
          <w:szCs w:val="22"/>
          <w:lang w:val="en-AU"/>
        </w:rPr>
        <w:t>self-reliant, accessible, professional, responsive and fair,</w:t>
      </w:r>
      <w:r w:rsidRPr="00F34A39">
        <w:rPr>
          <w:sz w:val="22"/>
          <w:szCs w:val="22"/>
          <w:lang w:val="en-AU"/>
        </w:rPr>
        <w:t xml:space="preserve"> efficient</w:t>
      </w:r>
      <w:r w:rsidR="005F73B8" w:rsidRPr="00F34A39">
        <w:rPr>
          <w:sz w:val="22"/>
          <w:szCs w:val="22"/>
          <w:lang w:val="en-AU"/>
        </w:rPr>
        <w:t xml:space="preserve"> and accountable</w:t>
      </w:r>
      <w:r w:rsidRPr="00F34A39">
        <w:rPr>
          <w:sz w:val="22"/>
          <w:szCs w:val="22"/>
          <w:lang w:val="en-AU"/>
        </w:rPr>
        <w:t>.</w:t>
      </w:r>
      <w:r w:rsidR="008374C9">
        <w:rPr>
          <w:rStyle w:val="FootnoteReference"/>
          <w:sz w:val="22"/>
          <w:szCs w:val="22"/>
          <w:lang w:val="en-AU"/>
        </w:rPr>
        <w:footnoteReference w:id="1"/>
      </w:r>
      <w:r w:rsidR="002950E4">
        <w:rPr>
          <w:sz w:val="22"/>
          <w:szCs w:val="22"/>
          <w:lang w:val="en-AU"/>
        </w:rPr>
        <w:t xml:space="preserve"> </w:t>
      </w:r>
      <w:r w:rsidR="00451799">
        <w:rPr>
          <w:sz w:val="22"/>
          <w:szCs w:val="22"/>
          <w:lang w:val="en-AU"/>
        </w:rPr>
        <w:t xml:space="preserve">To achieve these outcomes, PJSI supported </w:t>
      </w:r>
      <w:r w:rsidR="00D4761C">
        <w:rPr>
          <w:sz w:val="22"/>
          <w:szCs w:val="22"/>
          <w:lang w:val="en-AU"/>
        </w:rPr>
        <w:t xml:space="preserve">14 Pacific </w:t>
      </w:r>
      <w:r w:rsidR="00451799">
        <w:rPr>
          <w:sz w:val="22"/>
          <w:szCs w:val="22"/>
          <w:lang w:val="en-AU"/>
        </w:rPr>
        <w:t>Partner Courts</w:t>
      </w:r>
      <w:r w:rsidR="00D4761C" w:rsidRPr="00BF0639">
        <w:rPr>
          <w:rStyle w:val="FootnoteReference"/>
          <w:rFonts w:cstheme="minorHAnsi"/>
          <w:sz w:val="22"/>
          <w:szCs w:val="22"/>
          <w:lang w:val="en-AU"/>
        </w:rPr>
        <w:footnoteReference w:id="2"/>
      </w:r>
      <w:r w:rsidR="00451799">
        <w:rPr>
          <w:sz w:val="22"/>
          <w:szCs w:val="22"/>
          <w:lang w:val="en-AU"/>
        </w:rPr>
        <w:t xml:space="preserve"> to: </w:t>
      </w:r>
    </w:p>
    <w:p w14:paraId="26A7D097" w14:textId="69924779" w:rsidR="00451799" w:rsidRDefault="00451799" w:rsidP="00E837AC">
      <w:pPr>
        <w:pStyle w:val="ListParagraph"/>
        <w:numPr>
          <w:ilvl w:val="0"/>
          <w:numId w:val="11"/>
        </w:numPr>
        <w:spacing w:before="40" w:after="120"/>
        <w:ind w:left="714" w:hanging="357"/>
        <w:rPr>
          <w:szCs w:val="22"/>
          <w:lang w:val="en-AU"/>
        </w:rPr>
      </w:pPr>
      <w:r>
        <w:rPr>
          <w:szCs w:val="22"/>
          <w:lang w:val="en-AU"/>
        </w:rPr>
        <w:t>Plan for, l</w:t>
      </w:r>
      <w:r w:rsidRPr="00451799">
        <w:rPr>
          <w:szCs w:val="22"/>
          <w:lang w:val="en-AU"/>
        </w:rPr>
        <w:t xml:space="preserve">ead </w:t>
      </w:r>
      <w:r>
        <w:rPr>
          <w:szCs w:val="22"/>
          <w:lang w:val="en-AU"/>
        </w:rPr>
        <w:t>and manage the achievement of reform objectives locally</w:t>
      </w:r>
    </w:p>
    <w:p w14:paraId="00F6DB18" w14:textId="73B60600" w:rsidR="008D4313" w:rsidRDefault="00451799" w:rsidP="00E837AC">
      <w:pPr>
        <w:pStyle w:val="ListParagraph"/>
        <w:numPr>
          <w:ilvl w:val="0"/>
          <w:numId w:val="11"/>
        </w:numPr>
        <w:spacing w:before="40" w:after="120"/>
        <w:ind w:left="714" w:hanging="357"/>
        <w:rPr>
          <w:szCs w:val="22"/>
          <w:lang w:val="en-AU"/>
        </w:rPr>
      </w:pPr>
      <w:r>
        <w:rPr>
          <w:szCs w:val="22"/>
          <w:lang w:val="en-AU"/>
        </w:rPr>
        <w:t>B</w:t>
      </w:r>
      <w:r w:rsidRPr="00451799">
        <w:rPr>
          <w:szCs w:val="22"/>
          <w:lang w:val="en-AU"/>
        </w:rPr>
        <w:t xml:space="preserve">e more accessible – particularly </w:t>
      </w:r>
      <w:r>
        <w:rPr>
          <w:szCs w:val="22"/>
          <w:lang w:val="en-AU"/>
        </w:rPr>
        <w:t>among</w:t>
      </w:r>
      <w:r w:rsidRPr="00451799">
        <w:rPr>
          <w:szCs w:val="22"/>
          <w:lang w:val="en-AU"/>
        </w:rPr>
        <w:t xml:space="preserve"> margina</w:t>
      </w:r>
      <w:r w:rsidR="002950E4">
        <w:rPr>
          <w:szCs w:val="22"/>
          <w:lang w:val="en-AU"/>
        </w:rPr>
        <w:t xml:space="preserve">lised </w:t>
      </w:r>
      <w:r>
        <w:rPr>
          <w:szCs w:val="22"/>
          <w:lang w:val="en-AU"/>
        </w:rPr>
        <w:t>community</w:t>
      </w:r>
      <w:r w:rsidRPr="00451799">
        <w:rPr>
          <w:szCs w:val="22"/>
          <w:lang w:val="en-AU"/>
        </w:rPr>
        <w:t xml:space="preserve"> </w:t>
      </w:r>
      <w:r w:rsidR="002950E4">
        <w:rPr>
          <w:szCs w:val="22"/>
          <w:lang w:val="en-AU"/>
        </w:rPr>
        <w:t>groups</w:t>
      </w:r>
    </w:p>
    <w:p w14:paraId="6CD38F7F" w14:textId="3A1CC2C8" w:rsidR="00451799" w:rsidRDefault="00451799" w:rsidP="00E837AC">
      <w:pPr>
        <w:pStyle w:val="ListParagraph"/>
        <w:numPr>
          <w:ilvl w:val="0"/>
          <w:numId w:val="11"/>
        </w:numPr>
        <w:spacing w:before="40" w:after="120"/>
        <w:ind w:left="714" w:hanging="357"/>
        <w:rPr>
          <w:szCs w:val="22"/>
          <w:lang w:val="en-AU"/>
        </w:rPr>
      </w:pPr>
      <w:r>
        <w:rPr>
          <w:szCs w:val="22"/>
          <w:lang w:val="en-AU"/>
        </w:rPr>
        <w:t>Professionalise substantive justice and procedural services, with a specific focus on enabling professionalisation activities to be delivered by in-region providers</w:t>
      </w:r>
    </w:p>
    <w:p w14:paraId="1F4F4F4E" w14:textId="10F92DC2" w:rsidR="00451799" w:rsidRDefault="00451799" w:rsidP="00E837AC">
      <w:pPr>
        <w:pStyle w:val="ListParagraph"/>
        <w:numPr>
          <w:ilvl w:val="0"/>
          <w:numId w:val="11"/>
        </w:numPr>
        <w:spacing w:before="40" w:after="120"/>
        <w:ind w:left="714" w:hanging="357"/>
        <w:rPr>
          <w:szCs w:val="22"/>
          <w:lang w:val="en-AU"/>
        </w:rPr>
      </w:pPr>
      <w:r>
        <w:rPr>
          <w:szCs w:val="22"/>
          <w:lang w:val="en-AU"/>
        </w:rPr>
        <w:t>Protect individual rights – particularly human rights and victims of gender and family violence</w:t>
      </w:r>
    </w:p>
    <w:p w14:paraId="425D2313" w14:textId="2DB4F506" w:rsidR="00451799" w:rsidRDefault="00451799" w:rsidP="00E837AC">
      <w:pPr>
        <w:pStyle w:val="ListParagraph"/>
        <w:numPr>
          <w:ilvl w:val="0"/>
          <w:numId w:val="11"/>
        </w:numPr>
        <w:spacing w:before="40" w:after="120"/>
        <w:ind w:left="714" w:hanging="357"/>
        <w:rPr>
          <w:szCs w:val="22"/>
          <w:lang w:val="en-AU"/>
        </w:rPr>
      </w:pPr>
      <w:r>
        <w:rPr>
          <w:szCs w:val="22"/>
          <w:lang w:val="en-AU"/>
        </w:rPr>
        <w:t>Be procedurally efficient, transparent and ac</w:t>
      </w:r>
      <w:r w:rsidR="002950E4">
        <w:rPr>
          <w:szCs w:val="22"/>
          <w:lang w:val="en-AU"/>
        </w:rPr>
        <w:t>countable for their performance</w:t>
      </w:r>
    </w:p>
    <w:p w14:paraId="1308F6F6" w14:textId="20367079" w:rsidR="00451799" w:rsidRPr="00451799" w:rsidRDefault="00856F55" w:rsidP="007F3724">
      <w:pPr>
        <w:spacing w:before="120" w:after="120"/>
        <w:rPr>
          <w:rFonts w:cstheme="minorHAnsi"/>
          <w:sz w:val="22"/>
          <w:szCs w:val="22"/>
          <w:lang w:val="en-AU"/>
        </w:rPr>
      </w:pPr>
      <w:r w:rsidRPr="00E417C5">
        <w:rPr>
          <w:noProof/>
          <w:lang w:val="en-AU"/>
        </w:rPr>
        <w:drawing>
          <wp:anchor distT="0" distB="0" distL="114300" distR="114300" simplePos="0" relativeHeight="251717120" behindDoc="0" locked="0" layoutInCell="1" allowOverlap="1" wp14:anchorId="29BC70FE" wp14:editId="26133701">
            <wp:simplePos x="0" y="0"/>
            <wp:positionH relativeFrom="margin">
              <wp:align>center</wp:align>
            </wp:positionH>
            <wp:positionV relativeFrom="paragraph">
              <wp:posOffset>912712</wp:posOffset>
            </wp:positionV>
            <wp:extent cx="6062345" cy="2400935"/>
            <wp:effectExtent l="19050" t="19050" r="14605" b="18415"/>
            <wp:wrapSquare wrapText="bothSides"/>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D4761C" w:rsidRPr="00E417C5">
        <w:rPr>
          <w:rFonts w:cstheme="minorHAnsi"/>
          <w:sz w:val="22"/>
          <w:szCs w:val="22"/>
          <w:lang w:val="en-AU"/>
        </w:rPr>
        <w:t xml:space="preserve">Through its </w:t>
      </w:r>
      <w:r w:rsidR="00A949CB" w:rsidRPr="00E417C5">
        <w:rPr>
          <w:rFonts w:cstheme="minorHAnsi"/>
          <w:sz w:val="22"/>
          <w:szCs w:val="22"/>
          <w:lang w:val="en-AU"/>
        </w:rPr>
        <w:t>2</w:t>
      </w:r>
      <w:r w:rsidR="004E2E2D" w:rsidRPr="00E417C5">
        <w:rPr>
          <w:rFonts w:cstheme="minorHAnsi"/>
          <w:sz w:val="22"/>
          <w:szCs w:val="22"/>
          <w:lang w:val="en-AU"/>
        </w:rPr>
        <w:t>37</w:t>
      </w:r>
      <w:r w:rsidR="00A949CB" w:rsidRPr="00E417C5">
        <w:rPr>
          <w:rFonts w:cstheme="minorHAnsi"/>
          <w:sz w:val="22"/>
          <w:szCs w:val="22"/>
          <w:lang w:val="en-AU"/>
        </w:rPr>
        <w:t xml:space="preserve"> </w:t>
      </w:r>
      <w:r w:rsidR="00D4761C" w:rsidRPr="00E417C5">
        <w:rPr>
          <w:rFonts w:cstheme="minorHAnsi"/>
          <w:sz w:val="22"/>
          <w:szCs w:val="22"/>
          <w:lang w:val="en-AU"/>
        </w:rPr>
        <w:t xml:space="preserve">activities, </w:t>
      </w:r>
      <w:r w:rsidR="0036663A" w:rsidRPr="00E417C5">
        <w:rPr>
          <w:rFonts w:cstheme="minorHAnsi"/>
          <w:sz w:val="22"/>
          <w:szCs w:val="22"/>
          <w:lang w:val="en-AU"/>
        </w:rPr>
        <w:t>PJSI collaborated with</w:t>
      </w:r>
      <w:r w:rsidR="00D4761C" w:rsidRPr="00E417C5">
        <w:rPr>
          <w:rFonts w:cstheme="minorHAnsi"/>
          <w:sz w:val="22"/>
          <w:szCs w:val="22"/>
          <w:lang w:val="en-AU"/>
        </w:rPr>
        <w:t xml:space="preserve"> over </w:t>
      </w:r>
      <w:r w:rsidR="00781964" w:rsidRPr="00E417C5">
        <w:rPr>
          <w:rFonts w:cstheme="minorHAnsi"/>
          <w:sz w:val="22"/>
          <w:szCs w:val="22"/>
          <w:lang w:val="en-AU"/>
        </w:rPr>
        <w:t>8</w:t>
      </w:r>
      <w:r w:rsidR="00A949CB" w:rsidRPr="00E417C5">
        <w:rPr>
          <w:rFonts w:cstheme="minorHAnsi"/>
          <w:sz w:val="22"/>
          <w:szCs w:val="22"/>
          <w:lang w:val="en-AU"/>
        </w:rPr>
        <w:t xml:space="preserve">,000 </w:t>
      </w:r>
      <w:r w:rsidR="00D4761C" w:rsidRPr="00E417C5">
        <w:rPr>
          <w:rFonts w:cstheme="minorHAnsi"/>
          <w:sz w:val="22"/>
          <w:szCs w:val="22"/>
          <w:lang w:val="en-AU"/>
        </w:rPr>
        <w:t xml:space="preserve">people; </w:t>
      </w:r>
      <w:r w:rsidR="00781964" w:rsidRPr="00E417C5">
        <w:rPr>
          <w:rFonts w:cstheme="minorHAnsi"/>
          <w:sz w:val="22"/>
          <w:szCs w:val="22"/>
          <w:lang w:val="en-AU"/>
        </w:rPr>
        <w:t>3,496</w:t>
      </w:r>
      <w:r w:rsidR="0036663A" w:rsidRPr="00E417C5">
        <w:rPr>
          <w:rStyle w:val="FootnoteReference"/>
          <w:rFonts w:cstheme="minorHAnsi"/>
          <w:sz w:val="22"/>
          <w:szCs w:val="22"/>
          <w:lang w:val="en-AU"/>
        </w:rPr>
        <w:footnoteReference w:id="3"/>
      </w:r>
      <w:r w:rsidR="00D4761C" w:rsidRPr="00E417C5">
        <w:rPr>
          <w:rFonts w:cstheme="minorHAnsi"/>
          <w:sz w:val="22"/>
          <w:szCs w:val="22"/>
          <w:lang w:val="en-AU"/>
        </w:rPr>
        <w:t xml:space="preserve"> within the courts and </w:t>
      </w:r>
      <w:r w:rsidR="00781964" w:rsidRPr="00E417C5">
        <w:rPr>
          <w:rFonts w:cstheme="minorHAnsi"/>
          <w:sz w:val="22"/>
          <w:szCs w:val="22"/>
          <w:lang w:val="en-AU"/>
        </w:rPr>
        <w:t>4,513</w:t>
      </w:r>
      <w:r w:rsidR="0036663A" w:rsidRPr="00E417C5">
        <w:rPr>
          <w:rFonts w:cstheme="minorHAnsi"/>
          <w:sz w:val="22"/>
          <w:szCs w:val="22"/>
          <w:lang w:val="en-AU"/>
        </w:rPr>
        <w:t xml:space="preserve"> community members</w:t>
      </w:r>
      <w:r w:rsidR="00451799" w:rsidRPr="00E417C5">
        <w:rPr>
          <w:rFonts w:cstheme="minorHAnsi"/>
          <w:sz w:val="22"/>
          <w:szCs w:val="22"/>
          <w:lang w:val="en-AU"/>
        </w:rPr>
        <w:t>. In addition,</w:t>
      </w:r>
      <w:r w:rsidR="0036663A" w:rsidRPr="00E417C5">
        <w:rPr>
          <w:rFonts w:cstheme="minorHAnsi"/>
          <w:sz w:val="22"/>
          <w:szCs w:val="22"/>
          <w:lang w:val="en-AU"/>
        </w:rPr>
        <w:t xml:space="preserve"> </w:t>
      </w:r>
      <w:r w:rsidR="006F64A5" w:rsidRPr="00E417C5">
        <w:rPr>
          <w:rFonts w:cstheme="minorHAnsi"/>
          <w:sz w:val="22"/>
          <w:szCs w:val="22"/>
          <w:lang w:val="en-AU"/>
        </w:rPr>
        <w:t>8</w:t>
      </w:r>
      <w:r w:rsidR="0036663A" w:rsidRPr="00E417C5">
        <w:rPr>
          <w:rFonts w:cstheme="minorHAnsi"/>
          <w:sz w:val="22"/>
          <w:szCs w:val="22"/>
          <w:lang w:val="en-AU"/>
        </w:rPr>
        <w:t>7 locally-led activities</w:t>
      </w:r>
      <w:r w:rsidR="00451799" w:rsidRPr="00E417C5">
        <w:rPr>
          <w:rFonts w:cstheme="minorHAnsi"/>
          <w:sz w:val="22"/>
          <w:szCs w:val="22"/>
          <w:lang w:val="en-AU"/>
        </w:rPr>
        <w:t xml:space="preserve"> funded by PJSI’s Lea</w:t>
      </w:r>
      <w:r w:rsidR="0036663A" w:rsidRPr="00E417C5">
        <w:rPr>
          <w:rFonts w:cstheme="minorHAnsi"/>
          <w:sz w:val="22"/>
          <w:szCs w:val="22"/>
          <w:lang w:val="en-AU"/>
        </w:rPr>
        <w:t>dership Incentive Fund (LIF) were</w:t>
      </w:r>
      <w:r w:rsidR="00451799" w:rsidRPr="00E417C5">
        <w:rPr>
          <w:rFonts w:cstheme="minorHAnsi"/>
          <w:sz w:val="22"/>
          <w:szCs w:val="22"/>
          <w:lang w:val="en-AU"/>
        </w:rPr>
        <w:t xml:space="preserve"> delivered, treating priority challenges not otherwise addressed by PJSI or other projects.</w:t>
      </w:r>
      <w:r w:rsidR="00E837AC" w:rsidRPr="00E837AC">
        <w:rPr>
          <w:rFonts w:cstheme="minorHAnsi"/>
          <w:b/>
        </w:rPr>
        <w:t xml:space="preserve"> </w:t>
      </w:r>
      <w:r w:rsidR="00E837AC" w:rsidRPr="00E837AC">
        <w:rPr>
          <w:rFonts w:cstheme="minorHAnsi"/>
          <w:sz w:val="22"/>
          <w:szCs w:val="22"/>
        </w:rPr>
        <w:t xml:space="preserve">During the no-cost extension </w:t>
      </w:r>
      <w:r w:rsidR="00E837AC">
        <w:rPr>
          <w:rFonts w:cstheme="minorHAnsi"/>
          <w:sz w:val="22"/>
          <w:szCs w:val="22"/>
        </w:rPr>
        <w:t>(</w:t>
      </w:r>
      <w:r w:rsidR="00E837AC" w:rsidRPr="00E837AC">
        <w:rPr>
          <w:rFonts w:cstheme="minorHAnsi"/>
          <w:sz w:val="22"/>
          <w:szCs w:val="22"/>
        </w:rPr>
        <w:t>June-</w:t>
      </w:r>
      <w:r w:rsidR="00E837AC">
        <w:rPr>
          <w:rFonts w:cstheme="minorHAnsi"/>
          <w:sz w:val="22"/>
          <w:szCs w:val="22"/>
        </w:rPr>
        <w:t>December</w:t>
      </w:r>
      <w:r w:rsidR="00E837AC" w:rsidRPr="00E837AC">
        <w:rPr>
          <w:rFonts w:cstheme="minorHAnsi"/>
          <w:sz w:val="22"/>
          <w:szCs w:val="22"/>
        </w:rPr>
        <w:t xml:space="preserve"> 2021</w:t>
      </w:r>
      <w:r w:rsidR="00E837AC">
        <w:rPr>
          <w:rFonts w:cstheme="minorHAnsi"/>
          <w:sz w:val="22"/>
          <w:szCs w:val="22"/>
        </w:rPr>
        <w:t>)</w:t>
      </w:r>
      <w:r w:rsidR="00E837AC" w:rsidRPr="00E837AC">
        <w:rPr>
          <w:rFonts w:cstheme="minorHAnsi"/>
          <w:sz w:val="22"/>
          <w:szCs w:val="22"/>
        </w:rPr>
        <w:t>, PJSI delivered 36 activities t</w:t>
      </w:r>
      <w:r w:rsidR="00965250">
        <w:rPr>
          <w:rFonts w:cstheme="minorHAnsi"/>
          <w:sz w:val="22"/>
          <w:szCs w:val="22"/>
        </w:rPr>
        <w:t>o 437 participants (39% female).</w:t>
      </w:r>
      <w:r w:rsidR="00451799" w:rsidRPr="00E417C5">
        <w:rPr>
          <w:rFonts w:cstheme="minorHAnsi"/>
          <w:sz w:val="22"/>
          <w:szCs w:val="22"/>
          <w:lang w:val="en-AU"/>
        </w:rPr>
        <w:t xml:space="preserve"> </w:t>
      </w:r>
      <w:r w:rsidR="00D4761C" w:rsidRPr="00E417C5">
        <w:rPr>
          <w:rFonts w:cstheme="minorHAnsi"/>
          <w:sz w:val="22"/>
          <w:szCs w:val="22"/>
          <w:lang w:val="en-AU"/>
        </w:rPr>
        <w:t xml:space="preserve">PJSI achieved and </w:t>
      </w:r>
      <w:r w:rsidR="00D4761C" w:rsidRPr="00E417C5">
        <w:rPr>
          <w:rFonts w:cstheme="minorHAnsi"/>
          <w:b/>
          <w:i/>
          <w:sz w:val="22"/>
          <w:szCs w:val="22"/>
          <w:lang w:val="en-AU"/>
        </w:rPr>
        <w:t>significantly exceeded all its performance targets:</w:t>
      </w:r>
    </w:p>
    <w:p w14:paraId="2DDAEAAC" w14:textId="2E92CA96" w:rsidR="00063F54" w:rsidRDefault="002A76F2" w:rsidP="00063F54">
      <w:pPr>
        <w:keepNext/>
        <w:spacing w:before="120" w:after="120"/>
      </w:pPr>
      <w:r>
        <w:rPr>
          <w:noProof/>
          <w:sz w:val="22"/>
          <w:szCs w:val="22"/>
          <w:lang w:val="en-AU"/>
        </w:rPr>
        <w:drawing>
          <wp:anchor distT="0" distB="0" distL="114300" distR="114300" simplePos="0" relativeHeight="251707904" behindDoc="1" locked="0" layoutInCell="1" allowOverlap="1" wp14:anchorId="30B15C5B" wp14:editId="732302F7">
            <wp:simplePos x="0" y="0"/>
            <wp:positionH relativeFrom="margin">
              <wp:align>center</wp:align>
            </wp:positionH>
            <wp:positionV relativeFrom="paragraph">
              <wp:posOffset>2466959</wp:posOffset>
            </wp:positionV>
            <wp:extent cx="4324350" cy="1743075"/>
            <wp:effectExtent l="19050" t="19050" r="19050" b="9525"/>
            <wp:wrapTight wrapText="bothSides">
              <wp:wrapPolygon edited="0">
                <wp:start x="-95" y="-236"/>
                <wp:lineTo x="-95" y="21482"/>
                <wp:lineTo x="21600" y="21482"/>
                <wp:lineTo x="21600" y="-236"/>
                <wp:lineTo x="-95" y="-236"/>
              </wp:wrapPolygon>
            </wp:wrapTight>
            <wp:docPr id="1033" name="Chart 10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sidR="00856F55" w:rsidRPr="00856F55">
        <w:rPr>
          <w:noProof/>
          <w:lang w:val="en-AU"/>
        </w:rPr>
        <w:t xml:space="preserve"> </w:t>
      </w:r>
    </w:p>
    <w:p w14:paraId="773AD018" w14:textId="02CDED36" w:rsidR="00063F54" w:rsidRPr="00063F54" w:rsidRDefault="00063F54" w:rsidP="00063F54">
      <w:pPr>
        <w:rPr>
          <w:sz w:val="2"/>
        </w:rPr>
      </w:pPr>
    </w:p>
    <w:p w14:paraId="26EC954D" w14:textId="6C0055AC" w:rsidR="00523E20" w:rsidRDefault="00523E20" w:rsidP="00D4761C">
      <w:pPr>
        <w:spacing w:before="120" w:after="120"/>
        <w:jc w:val="center"/>
        <w:rPr>
          <w:sz w:val="22"/>
          <w:szCs w:val="22"/>
          <w:lang w:val="en-AU"/>
        </w:rPr>
      </w:pPr>
    </w:p>
    <w:p w14:paraId="1F32E533" w14:textId="61BE90B2" w:rsidR="00D4761C" w:rsidRDefault="00D4761C" w:rsidP="00D4761C">
      <w:pPr>
        <w:spacing w:before="120" w:after="120"/>
        <w:jc w:val="center"/>
        <w:rPr>
          <w:sz w:val="22"/>
          <w:szCs w:val="22"/>
          <w:lang w:val="en-AU"/>
        </w:rPr>
      </w:pPr>
    </w:p>
    <w:p w14:paraId="485CF28E" w14:textId="773F5390" w:rsidR="00B87BF5" w:rsidRPr="00325B21" w:rsidRDefault="00560223" w:rsidP="00D4761C">
      <w:pPr>
        <w:spacing w:before="120" w:after="120"/>
        <w:jc w:val="center"/>
        <w:rPr>
          <w:sz w:val="2"/>
          <w:szCs w:val="22"/>
          <w:lang w:val="en-AU"/>
        </w:rPr>
      </w:pPr>
      <w:r>
        <w:rPr>
          <w:noProof/>
          <w:lang w:val="en-AU"/>
        </w:rPr>
        <mc:AlternateContent>
          <mc:Choice Requires="wps">
            <w:drawing>
              <wp:anchor distT="0" distB="0" distL="114300" distR="114300" simplePos="0" relativeHeight="251708928" behindDoc="1" locked="0" layoutInCell="1" allowOverlap="1" wp14:anchorId="5ED2C5D4" wp14:editId="1073B75B">
                <wp:simplePos x="0" y="0"/>
                <wp:positionH relativeFrom="margin">
                  <wp:align>center</wp:align>
                </wp:positionH>
                <wp:positionV relativeFrom="paragraph">
                  <wp:posOffset>1018540</wp:posOffset>
                </wp:positionV>
                <wp:extent cx="4324350" cy="180975"/>
                <wp:effectExtent l="0" t="0" r="0" b="9525"/>
                <wp:wrapTight wrapText="bothSides">
                  <wp:wrapPolygon edited="0">
                    <wp:start x="0" y="0"/>
                    <wp:lineTo x="0" y="20463"/>
                    <wp:lineTo x="21505" y="20463"/>
                    <wp:lineTo x="21505"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4324350" cy="180975"/>
                        </a:xfrm>
                        <a:prstGeom prst="rect">
                          <a:avLst/>
                        </a:prstGeom>
                        <a:noFill/>
                        <a:ln>
                          <a:noFill/>
                        </a:ln>
                      </wps:spPr>
                      <wps:txbx>
                        <w:txbxContent>
                          <w:p w14:paraId="1B8BC9B8" w14:textId="6330957B" w:rsidR="00CA4E85" w:rsidRPr="00560223" w:rsidRDefault="00CA4E85" w:rsidP="00560223">
                            <w:pPr>
                              <w:pStyle w:val="Caption"/>
                              <w:rPr>
                                <w:i w:val="0"/>
                                <w:noProof/>
                                <w:color w:val="auto"/>
                              </w:rPr>
                            </w:pPr>
                            <w:r w:rsidRPr="00560223">
                              <w:rPr>
                                <w:i w:val="0"/>
                                <w:color w:val="auto"/>
                              </w:rPr>
                              <w:t>Fig</w:t>
                            </w:r>
                            <w:r>
                              <w:rPr>
                                <w:i w:val="0"/>
                                <w:color w:val="auto"/>
                              </w:rPr>
                              <w:t>ure 1: Thematic Results by Theme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D2C5D4" id="Text Box 35" o:spid="_x0000_s1029" type="#_x0000_t202" style="position:absolute;left:0;text-align:left;margin-left:0;margin-top:80.2pt;width:340.5pt;height:14.25pt;z-index:-2516075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YWDHwIAAEEEAAAOAAAAZHJzL2Uyb0RvYy54bWysU0tv2zAMvg/YfxB0X5xHu3VGnCJrkWFA&#10;0BZIhp4VWYoNWKJGKbGzXz9KjtOu22nYhaZJio+PH+e3nWnYUaGvwRZ8MhpzpqyEsrb7gn/frj7c&#10;cOaDsKVowKqCn5Tnt4v37+aty9UUKmhKhYySWJ+3ruBVCC7PMi8rZYQfgVOWnBrQiEC/uM9KFC1l&#10;N002HY8/Zi1g6RCk8p6s972TL1J+rZUMj1p7FVhTcOotJIlJ7qLMFnOR71G4qpbnNsQ/dGFEbano&#10;JdW9CIIdsP4jlaklggcdRhJMBlrXUqUZaJrJ+M00m0o4lWYhcLy7wOT/X1r5cHxCVpcFn11zZoWh&#10;HW1VF9gX6BiZCJ/W+ZzCNo4CQ0d22vNg92SMY3caTfzSQIz8hPTpgm7MJsl4NZteza7JJck3uRl/&#10;/pTSZy+vHfrwVYFhUSk40vYSqOK49oE6odAhJBazsKqbJm2wsb8ZKDBasth632LUQrfr+lGH9ndQ&#10;nmgqhJ4X3slVTaXXwocngUQE6pbIHR5J6AbagsNZ46wC/Pk3e4yn/ZCXs5aIVXD/4yBQcdZ8s7S5&#10;yMJBwUHZDYo9mDsgrk7obJxMKj3A0AyqRjDPxPllrEIuYSXVKngY1LvQ05tuRqrlMgUR15wIa7tx&#10;MqaOWEUgt92zQHdGO9CeHmCgnMjfgN7H9igvDwF0nTYSce1RPMNNPE2LOt9UPITX/ynq5fIXvwAA&#10;AP//AwBQSwMEFAAGAAgAAAAhADOi8J/cAAAACAEAAA8AAABkcnMvZG93bnJldi54bWxMj8FOwzAQ&#10;RO9I/IO1SNyoXYSiNMSpKgQnJEQaDhydeJtYjdchdtvw9ywnOO6b0exMuV38KM44RxdIw3qlQCB1&#10;wTrqNXw0L3c5iJgMWTMGQg3fGGFbXV+VprDhQjWe96kXHEKxMBqGlKZCytgN6E1chQmJtUOYvUl8&#10;zr20s7lwuB/lvVKZ9MYRfxjMhE8Ddsf9yWvYfVL97L7e2vf6ULum2Sh6zY5a394su0cQCZf0Z4bf&#10;+lwdKu7UhhPZKEYNPCQxzdQDCJazfM2kZZLnG5BVKf8PqH4AAAD//wMAUEsBAi0AFAAGAAgAAAAh&#10;ALaDOJL+AAAA4QEAABMAAAAAAAAAAAAAAAAAAAAAAFtDb250ZW50X1R5cGVzXS54bWxQSwECLQAU&#10;AAYACAAAACEAOP0h/9YAAACUAQAACwAAAAAAAAAAAAAAAAAvAQAAX3JlbHMvLnJlbHNQSwECLQAU&#10;AAYACAAAACEAbTGFgx8CAABBBAAADgAAAAAAAAAAAAAAAAAuAgAAZHJzL2Uyb0RvYy54bWxQSwEC&#10;LQAUAAYACAAAACEAM6Lwn9wAAAAIAQAADwAAAAAAAAAAAAAAAAB5BAAAZHJzL2Rvd25yZXYueG1s&#10;UEsFBgAAAAAEAAQA8wAAAIIFAAAAAA==&#10;" filled="f" stroked="f">
                <v:textbox inset="0,0,0,0">
                  <w:txbxContent>
                    <w:p w14:paraId="1B8BC9B8" w14:textId="6330957B" w:rsidR="00CA4E85" w:rsidRPr="00560223" w:rsidRDefault="00CA4E85" w:rsidP="00560223">
                      <w:pPr>
                        <w:pStyle w:val="Caption"/>
                        <w:rPr>
                          <w:i w:val="0"/>
                          <w:noProof/>
                          <w:color w:val="auto"/>
                        </w:rPr>
                      </w:pPr>
                      <w:r w:rsidRPr="00560223">
                        <w:rPr>
                          <w:i w:val="0"/>
                          <w:color w:val="auto"/>
                        </w:rPr>
                        <w:t>Fig</w:t>
                      </w:r>
                      <w:r>
                        <w:rPr>
                          <w:i w:val="0"/>
                          <w:color w:val="auto"/>
                        </w:rPr>
                        <w:t>ure 1: Thematic Results by Theme</w:t>
                      </w:r>
                    </w:p>
                  </w:txbxContent>
                </v:textbox>
                <w10:wrap type="tight" anchorx="margin"/>
              </v:shape>
            </w:pict>
          </mc:Fallback>
        </mc:AlternateContent>
      </w:r>
    </w:p>
    <w:p w14:paraId="01C49728" w14:textId="1B821EA4" w:rsidR="00E91C21" w:rsidRPr="00F13020" w:rsidRDefault="009703A1" w:rsidP="00ED06BF">
      <w:pPr>
        <w:pStyle w:val="HBHeading1"/>
        <w:spacing w:before="0"/>
        <w:rPr>
          <w:lang w:val="en-AU"/>
        </w:rPr>
      </w:pPr>
      <w:bookmarkStart w:id="7" w:name="_Toc75185170"/>
      <w:bookmarkStart w:id="8" w:name="_Toc77423612"/>
      <w:bookmarkStart w:id="9" w:name="_Toc90564307"/>
      <w:r w:rsidRPr="00F34A39">
        <w:rPr>
          <w:rStyle w:val="HBHeading1Char"/>
          <w:b/>
          <w:bCs/>
          <w:color w:val="00323E" w:themeColor="accent1" w:themeShade="80"/>
          <w:lang w:val="en-AU"/>
        </w:rPr>
        <w:lastRenderedPageBreak/>
        <w:t>Chang</w:t>
      </w:r>
      <w:r w:rsidR="00E91C21" w:rsidRPr="00F34A39">
        <w:rPr>
          <w:rStyle w:val="HBHeading1Char"/>
          <w:b/>
          <w:bCs/>
          <w:color w:val="00323E" w:themeColor="accent1" w:themeShade="80"/>
          <w:lang w:val="en-AU"/>
        </w:rPr>
        <w:t>e Theory and Journey</w:t>
      </w:r>
      <w:bookmarkEnd w:id="7"/>
      <w:bookmarkEnd w:id="8"/>
      <w:bookmarkEnd w:id="9"/>
    </w:p>
    <w:p w14:paraId="6A420501" w14:textId="30710499" w:rsidR="009E4DAA" w:rsidRPr="00F34A39" w:rsidRDefault="00A5229B" w:rsidP="0039536D">
      <w:pPr>
        <w:pStyle w:val="ListBullet"/>
        <w:numPr>
          <w:ilvl w:val="0"/>
          <w:numId w:val="0"/>
        </w:numPr>
        <w:tabs>
          <w:tab w:val="left" w:pos="720"/>
        </w:tabs>
        <w:spacing w:before="120" w:after="120" w:line="240" w:lineRule="auto"/>
        <w:rPr>
          <w:rFonts w:asciiTheme="minorHAnsi" w:hAnsiTheme="minorHAnsi" w:cstheme="minorHAnsi"/>
          <w:sz w:val="22"/>
          <w:szCs w:val="22"/>
          <w:lang w:val="en-AU"/>
        </w:rPr>
      </w:pPr>
      <w:r w:rsidRPr="00F34A39">
        <w:rPr>
          <w:rFonts w:cstheme="minorHAnsi"/>
          <w:noProof/>
          <w:lang w:val="en-AU" w:eastAsia="en-AU" w:bidi="ar-SA"/>
        </w:rPr>
        <w:drawing>
          <wp:anchor distT="0" distB="0" distL="114300" distR="114300" simplePos="0" relativeHeight="251606528" behindDoc="1" locked="0" layoutInCell="1" allowOverlap="1" wp14:anchorId="6C53BD54" wp14:editId="4B2F642B">
            <wp:simplePos x="0" y="0"/>
            <wp:positionH relativeFrom="margin">
              <wp:posOffset>3406775</wp:posOffset>
            </wp:positionH>
            <wp:positionV relativeFrom="paragraph">
              <wp:posOffset>34925</wp:posOffset>
            </wp:positionV>
            <wp:extent cx="2405380" cy="914400"/>
            <wp:effectExtent l="0" t="0" r="13970" b="19050"/>
            <wp:wrapTight wrapText="bothSides">
              <wp:wrapPolygon edited="0">
                <wp:start x="0" y="0"/>
                <wp:lineTo x="0" y="21600"/>
                <wp:lineTo x="21554" y="21600"/>
                <wp:lineTo x="21554" y="0"/>
                <wp:lineTo x="0" y="0"/>
              </wp:wrapPolygon>
            </wp:wrapTight>
            <wp:docPr id="11" name="Diagram 11"/>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lang w:val="en-AU"/>
        </w:rPr>
        <w:t>Standing on the shoulders of its predecessor, the Pacific Judicial Development Program</w:t>
      </w:r>
      <w:r w:rsidR="00777AE7">
        <w:rPr>
          <w:rStyle w:val="FootnoteReference"/>
          <w:rFonts w:asciiTheme="minorHAnsi" w:hAnsiTheme="minorHAnsi" w:cstheme="minorHAnsi"/>
          <w:sz w:val="22"/>
          <w:szCs w:val="22"/>
          <w:lang w:val="en-AU"/>
        </w:rPr>
        <w:footnoteReference w:id="4"/>
      </w:r>
      <w:r>
        <w:rPr>
          <w:rFonts w:asciiTheme="minorHAnsi" w:hAnsiTheme="minorHAnsi" w:cstheme="minorHAnsi"/>
          <w:sz w:val="22"/>
          <w:szCs w:val="22"/>
          <w:lang w:val="en-AU"/>
        </w:rPr>
        <w:t xml:space="preserve">, </w:t>
      </w:r>
      <w:r w:rsidR="00F777AF" w:rsidRPr="00F34A39">
        <w:rPr>
          <w:rFonts w:asciiTheme="minorHAnsi" w:hAnsiTheme="minorHAnsi" w:cstheme="minorHAnsi"/>
          <w:sz w:val="22"/>
          <w:szCs w:val="22"/>
          <w:lang w:val="en-AU"/>
        </w:rPr>
        <w:t xml:space="preserve">PJSIs 2016 Needs Assessment </w:t>
      </w:r>
      <w:r w:rsidR="00777AE7">
        <w:rPr>
          <w:rFonts w:asciiTheme="minorHAnsi" w:hAnsiTheme="minorHAnsi" w:cstheme="minorHAnsi"/>
          <w:sz w:val="22"/>
          <w:szCs w:val="22"/>
          <w:lang w:val="en-AU"/>
        </w:rPr>
        <w:t>identified</w:t>
      </w:r>
      <w:r w:rsidR="00DA6655" w:rsidRPr="00F34A39">
        <w:rPr>
          <w:rFonts w:asciiTheme="minorHAnsi" w:hAnsiTheme="minorHAnsi" w:cstheme="minorHAnsi"/>
          <w:sz w:val="22"/>
          <w:szCs w:val="22"/>
          <w:lang w:val="en-AU"/>
        </w:rPr>
        <w:t xml:space="preserve"> </w:t>
      </w:r>
      <w:r w:rsidR="00F777AF" w:rsidRPr="00F34A39">
        <w:rPr>
          <w:rFonts w:asciiTheme="minorHAnsi" w:hAnsiTheme="minorHAnsi" w:cstheme="minorHAnsi"/>
          <w:sz w:val="22"/>
          <w:szCs w:val="22"/>
          <w:lang w:val="en-AU"/>
        </w:rPr>
        <w:t>the key</w:t>
      </w:r>
      <w:r>
        <w:rPr>
          <w:rFonts w:asciiTheme="minorHAnsi" w:hAnsiTheme="minorHAnsi" w:cstheme="minorHAnsi"/>
          <w:sz w:val="22"/>
          <w:szCs w:val="22"/>
          <w:lang w:val="en-AU"/>
        </w:rPr>
        <w:t xml:space="preserve"> </w:t>
      </w:r>
      <w:r w:rsidR="00D42811" w:rsidRPr="00F34A39">
        <w:rPr>
          <w:rFonts w:asciiTheme="minorHAnsi" w:hAnsiTheme="minorHAnsi" w:cstheme="minorHAnsi"/>
          <w:sz w:val="22"/>
          <w:szCs w:val="22"/>
          <w:lang w:val="en-AU"/>
        </w:rPr>
        <w:t xml:space="preserve">challenges </w:t>
      </w:r>
      <w:r w:rsidR="00493E06" w:rsidRPr="00F34A39">
        <w:rPr>
          <w:rFonts w:asciiTheme="minorHAnsi" w:hAnsiTheme="minorHAnsi" w:cstheme="minorHAnsi"/>
          <w:sz w:val="22"/>
          <w:szCs w:val="22"/>
          <w:lang w:val="en-AU"/>
        </w:rPr>
        <w:t xml:space="preserve">undermining </w:t>
      </w:r>
      <w:r w:rsidR="00D42811" w:rsidRPr="00F34A39">
        <w:rPr>
          <w:rFonts w:asciiTheme="minorHAnsi" w:hAnsiTheme="minorHAnsi" w:cstheme="minorHAnsi"/>
          <w:sz w:val="22"/>
          <w:szCs w:val="22"/>
          <w:lang w:val="en-AU"/>
        </w:rPr>
        <w:t>justice</w:t>
      </w:r>
      <w:r w:rsidR="00F777AF" w:rsidRPr="00F34A39">
        <w:rPr>
          <w:rFonts w:asciiTheme="minorHAnsi" w:hAnsiTheme="minorHAnsi" w:cstheme="minorHAnsi"/>
          <w:sz w:val="22"/>
          <w:szCs w:val="22"/>
          <w:lang w:val="en-AU"/>
        </w:rPr>
        <w:t xml:space="preserve"> in the Pacific</w:t>
      </w:r>
      <w:r w:rsidR="00DA6655" w:rsidRPr="00F34A39">
        <w:rPr>
          <w:rFonts w:asciiTheme="minorHAnsi" w:hAnsiTheme="minorHAnsi" w:cstheme="minorHAnsi"/>
          <w:sz w:val="22"/>
          <w:szCs w:val="22"/>
          <w:lang w:val="en-AU"/>
        </w:rPr>
        <w:t xml:space="preserve"> to be </w:t>
      </w:r>
      <w:r w:rsidR="00DA6655" w:rsidRPr="00F34A39">
        <w:rPr>
          <w:rFonts w:asciiTheme="minorHAnsi" w:hAnsiTheme="minorHAnsi" w:cstheme="minorHAnsi"/>
          <w:b/>
          <w:i/>
          <w:sz w:val="22"/>
          <w:szCs w:val="22"/>
          <w:lang w:val="en-AU"/>
        </w:rPr>
        <w:t xml:space="preserve">leadership and performance. </w:t>
      </w:r>
      <w:r w:rsidR="00777AE7">
        <w:rPr>
          <w:rFonts w:asciiTheme="minorHAnsi" w:hAnsiTheme="minorHAnsi" w:cstheme="minorHAnsi"/>
          <w:sz w:val="22"/>
          <w:szCs w:val="22"/>
          <w:lang w:val="en-AU"/>
        </w:rPr>
        <w:t>The latter comprised the</w:t>
      </w:r>
      <w:r w:rsidR="00DA6655" w:rsidRPr="00F34A39">
        <w:rPr>
          <w:rFonts w:asciiTheme="minorHAnsi" w:hAnsiTheme="minorHAnsi" w:cstheme="minorHAnsi"/>
          <w:sz w:val="22"/>
          <w:szCs w:val="22"/>
          <w:lang w:val="en-AU"/>
        </w:rPr>
        <w:t xml:space="preserve"> themes of access, professionalism, </w:t>
      </w:r>
      <w:r w:rsidR="00922398">
        <w:rPr>
          <w:rFonts w:asciiTheme="minorHAnsi" w:hAnsiTheme="minorHAnsi" w:cstheme="minorHAnsi"/>
          <w:sz w:val="22"/>
          <w:szCs w:val="22"/>
          <w:lang w:val="en-AU"/>
        </w:rPr>
        <w:t>substantive justice (</w:t>
      </w:r>
      <w:r w:rsidR="00DA6655" w:rsidRPr="00F34A39">
        <w:rPr>
          <w:rFonts w:asciiTheme="minorHAnsi" w:hAnsiTheme="minorHAnsi" w:cstheme="minorHAnsi"/>
          <w:sz w:val="22"/>
          <w:szCs w:val="22"/>
          <w:lang w:val="en-AU"/>
        </w:rPr>
        <w:t>rights</w:t>
      </w:r>
      <w:r w:rsidR="00922398">
        <w:rPr>
          <w:rFonts w:asciiTheme="minorHAnsi" w:hAnsiTheme="minorHAnsi" w:cstheme="minorHAnsi"/>
          <w:sz w:val="22"/>
          <w:szCs w:val="22"/>
          <w:lang w:val="en-AU"/>
        </w:rPr>
        <w:t>)</w:t>
      </w:r>
      <w:r w:rsidR="00DA6655" w:rsidRPr="00F34A39">
        <w:rPr>
          <w:rFonts w:asciiTheme="minorHAnsi" w:hAnsiTheme="minorHAnsi" w:cstheme="minorHAnsi"/>
          <w:sz w:val="22"/>
          <w:szCs w:val="22"/>
          <w:lang w:val="en-AU"/>
        </w:rPr>
        <w:t xml:space="preserve"> and </w:t>
      </w:r>
      <w:r w:rsidR="00922398">
        <w:rPr>
          <w:rFonts w:asciiTheme="minorHAnsi" w:hAnsiTheme="minorHAnsi" w:cstheme="minorHAnsi"/>
          <w:sz w:val="22"/>
          <w:szCs w:val="22"/>
          <w:lang w:val="en-AU"/>
        </w:rPr>
        <w:t>procedural justice (</w:t>
      </w:r>
      <w:r w:rsidR="00DA6655" w:rsidRPr="00F34A39">
        <w:rPr>
          <w:rFonts w:asciiTheme="minorHAnsi" w:hAnsiTheme="minorHAnsi" w:cstheme="minorHAnsi"/>
          <w:sz w:val="22"/>
          <w:szCs w:val="22"/>
          <w:lang w:val="en-AU"/>
        </w:rPr>
        <w:t>procedure</w:t>
      </w:r>
      <w:r w:rsidR="00922398">
        <w:rPr>
          <w:rFonts w:asciiTheme="minorHAnsi" w:hAnsiTheme="minorHAnsi" w:cstheme="minorHAnsi"/>
          <w:sz w:val="22"/>
          <w:szCs w:val="22"/>
          <w:lang w:val="en-AU"/>
        </w:rPr>
        <w:t>)</w:t>
      </w:r>
      <w:r w:rsidR="00F777AF" w:rsidRPr="00F34A39">
        <w:rPr>
          <w:rFonts w:asciiTheme="minorHAnsi" w:hAnsiTheme="minorHAnsi" w:cstheme="minorHAnsi"/>
          <w:sz w:val="22"/>
          <w:szCs w:val="22"/>
          <w:lang w:val="en-AU"/>
        </w:rPr>
        <w:t xml:space="preserve">. </w:t>
      </w:r>
      <w:r w:rsidR="005F73B8" w:rsidRPr="00F34A39">
        <w:rPr>
          <w:rFonts w:asciiTheme="minorHAnsi" w:hAnsiTheme="minorHAnsi" w:cstheme="minorHAnsi"/>
          <w:sz w:val="22"/>
          <w:szCs w:val="22"/>
          <w:lang w:val="en-AU"/>
        </w:rPr>
        <w:t>PJSIs purpose was</w:t>
      </w:r>
      <w:r w:rsidR="00432847" w:rsidRPr="00F34A39">
        <w:rPr>
          <w:rFonts w:asciiTheme="minorHAnsi" w:hAnsiTheme="minorHAnsi" w:cstheme="minorHAnsi"/>
          <w:sz w:val="22"/>
          <w:szCs w:val="22"/>
          <w:lang w:val="en-AU"/>
        </w:rPr>
        <w:t xml:space="preserve"> </w:t>
      </w:r>
      <w:r w:rsidR="00777AE7">
        <w:rPr>
          <w:rFonts w:asciiTheme="minorHAnsi" w:hAnsiTheme="minorHAnsi" w:cstheme="minorHAnsi"/>
          <w:sz w:val="22"/>
          <w:szCs w:val="22"/>
          <w:lang w:val="en-AU"/>
        </w:rPr>
        <w:t>to</w:t>
      </w:r>
      <w:r w:rsidR="00432847" w:rsidRPr="00F34A39">
        <w:rPr>
          <w:rFonts w:asciiTheme="minorHAnsi" w:hAnsiTheme="minorHAnsi" w:cstheme="minorHAnsi"/>
          <w:sz w:val="22"/>
          <w:szCs w:val="22"/>
          <w:lang w:val="en-AU"/>
        </w:rPr>
        <w:t xml:space="preserve"> facilitate positive change </w:t>
      </w:r>
      <w:r w:rsidR="00F3340C" w:rsidRPr="00F34A39">
        <w:rPr>
          <w:rFonts w:asciiTheme="minorHAnsi" w:hAnsiTheme="minorHAnsi" w:cstheme="minorHAnsi"/>
          <w:sz w:val="22"/>
          <w:szCs w:val="22"/>
          <w:lang w:val="en-AU"/>
        </w:rPr>
        <w:t>in these areas</w:t>
      </w:r>
      <w:r w:rsidR="009E4DAA" w:rsidRPr="00F34A39">
        <w:rPr>
          <w:rFonts w:asciiTheme="minorHAnsi" w:hAnsiTheme="minorHAnsi" w:cstheme="minorHAnsi"/>
          <w:sz w:val="22"/>
          <w:szCs w:val="22"/>
          <w:lang w:val="en-AU"/>
        </w:rPr>
        <w:t xml:space="preserve"> </w:t>
      </w:r>
      <w:r w:rsidR="007B19B4" w:rsidRPr="00F34A39">
        <w:rPr>
          <w:rFonts w:asciiTheme="minorHAnsi" w:hAnsiTheme="minorHAnsi" w:cstheme="minorHAnsi"/>
          <w:sz w:val="22"/>
          <w:szCs w:val="22"/>
          <w:lang w:val="en-AU"/>
        </w:rPr>
        <w:t>enabling Partner Courts to perf</w:t>
      </w:r>
      <w:r>
        <w:rPr>
          <w:rFonts w:asciiTheme="minorHAnsi" w:hAnsiTheme="minorHAnsi" w:cstheme="minorHAnsi"/>
          <w:sz w:val="22"/>
          <w:szCs w:val="22"/>
          <w:lang w:val="en-AU"/>
        </w:rPr>
        <w:t>orm their constitutional role</w:t>
      </w:r>
      <w:r w:rsidR="007B19B4" w:rsidRPr="00F34A39">
        <w:rPr>
          <w:rFonts w:asciiTheme="minorHAnsi" w:hAnsiTheme="minorHAnsi" w:cstheme="minorHAnsi"/>
          <w:sz w:val="22"/>
          <w:szCs w:val="22"/>
          <w:lang w:val="en-AU"/>
        </w:rPr>
        <w:t xml:space="preserve">, </w:t>
      </w:r>
      <w:r w:rsidR="009E4DAA" w:rsidRPr="00F34A39">
        <w:rPr>
          <w:rFonts w:asciiTheme="minorHAnsi" w:hAnsiTheme="minorHAnsi" w:cstheme="minorHAnsi"/>
          <w:sz w:val="22"/>
          <w:szCs w:val="22"/>
          <w:lang w:val="en-AU"/>
        </w:rPr>
        <w:t>to achieve the</w:t>
      </w:r>
      <w:r w:rsidR="00432847" w:rsidRPr="00F34A39">
        <w:rPr>
          <w:rFonts w:asciiTheme="minorHAnsi" w:hAnsiTheme="minorHAnsi" w:cstheme="minorHAnsi"/>
          <w:sz w:val="22"/>
          <w:szCs w:val="22"/>
          <w:lang w:val="en-AU"/>
        </w:rPr>
        <w:t xml:space="preserve"> goal of </w:t>
      </w:r>
      <w:r w:rsidR="00432847" w:rsidRPr="00F34A39">
        <w:rPr>
          <w:rFonts w:asciiTheme="minorHAnsi" w:hAnsiTheme="minorHAnsi" w:cstheme="minorHAnsi"/>
          <w:b/>
          <w:i/>
          <w:sz w:val="22"/>
          <w:szCs w:val="22"/>
          <w:lang w:val="en-AU"/>
        </w:rPr>
        <w:t>contributing to building fairer societies</w:t>
      </w:r>
      <w:r w:rsidR="00432847" w:rsidRPr="00F34A39">
        <w:rPr>
          <w:rFonts w:asciiTheme="minorHAnsi" w:hAnsiTheme="minorHAnsi" w:cstheme="minorHAnsi"/>
          <w:sz w:val="22"/>
          <w:szCs w:val="22"/>
          <w:lang w:val="en-AU"/>
        </w:rPr>
        <w:t xml:space="preserve">. </w:t>
      </w:r>
    </w:p>
    <w:p w14:paraId="5DF7EA7F" w14:textId="2A03402E" w:rsidR="008374C9" w:rsidRDefault="00F777AF" w:rsidP="008374C9">
      <w:pPr>
        <w:pStyle w:val="ListBullet"/>
        <w:numPr>
          <w:ilvl w:val="0"/>
          <w:numId w:val="0"/>
        </w:numPr>
        <w:tabs>
          <w:tab w:val="left" w:pos="720"/>
        </w:tabs>
        <w:spacing w:before="120" w:after="120" w:line="240" w:lineRule="auto"/>
        <w:rPr>
          <w:rFonts w:asciiTheme="minorHAnsi" w:hAnsiTheme="minorHAnsi" w:cstheme="minorHAnsi"/>
          <w:sz w:val="22"/>
          <w:szCs w:val="22"/>
          <w:lang w:val="en-AU"/>
        </w:rPr>
      </w:pPr>
      <w:r w:rsidRPr="00D97F4D">
        <w:rPr>
          <w:rFonts w:asciiTheme="minorHAnsi" w:hAnsiTheme="minorHAnsi" w:cstheme="minorHAnsi"/>
          <w:sz w:val="22"/>
          <w:szCs w:val="22"/>
          <w:lang w:val="en-AU"/>
        </w:rPr>
        <w:t>To address the key challenges</w:t>
      </w:r>
      <w:r w:rsidR="00432847" w:rsidRPr="00D97F4D">
        <w:rPr>
          <w:rFonts w:asciiTheme="minorHAnsi" w:hAnsiTheme="minorHAnsi" w:cstheme="minorHAnsi"/>
          <w:sz w:val="22"/>
          <w:szCs w:val="22"/>
          <w:lang w:val="en-AU"/>
        </w:rPr>
        <w:t xml:space="preserve">, PJSIs </w:t>
      </w:r>
      <w:r w:rsidR="005F73B8" w:rsidRPr="00D97F4D">
        <w:rPr>
          <w:rFonts w:asciiTheme="minorHAnsi" w:hAnsiTheme="minorHAnsi" w:cstheme="minorHAnsi"/>
          <w:sz w:val="22"/>
          <w:szCs w:val="22"/>
          <w:lang w:val="en-AU"/>
        </w:rPr>
        <w:t xml:space="preserve">programmatic goal was to </w:t>
      </w:r>
      <w:r w:rsidR="007B19B4" w:rsidRPr="00D97F4D">
        <w:rPr>
          <w:rFonts w:asciiTheme="minorHAnsi" w:hAnsiTheme="minorHAnsi" w:cstheme="minorHAnsi"/>
          <w:b/>
          <w:i/>
          <w:sz w:val="22"/>
          <w:szCs w:val="22"/>
          <w:lang w:val="en-AU"/>
        </w:rPr>
        <w:t xml:space="preserve">improve justice systems across the Pacific. </w:t>
      </w:r>
      <w:r w:rsidR="007B19B4" w:rsidRPr="00D97F4D">
        <w:rPr>
          <w:rFonts w:asciiTheme="minorHAnsi" w:hAnsiTheme="minorHAnsi" w:cstheme="minorHAnsi"/>
          <w:sz w:val="22"/>
          <w:szCs w:val="22"/>
          <w:lang w:val="en-AU"/>
        </w:rPr>
        <w:t xml:space="preserve">PJSIs </w:t>
      </w:r>
      <w:r w:rsidR="00432847" w:rsidRPr="00D97F4D">
        <w:rPr>
          <w:rFonts w:asciiTheme="minorHAnsi" w:hAnsiTheme="minorHAnsi" w:cstheme="minorHAnsi"/>
          <w:sz w:val="22"/>
          <w:szCs w:val="22"/>
          <w:lang w:val="en-AU"/>
        </w:rPr>
        <w:t xml:space="preserve">objectives </w:t>
      </w:r>
      <w:r w:rsidR="00D97F4D">
        <w:rPr>
          <w:rFonts w:asciiTheme="minorHAnsi" w:hAnsiTheme="minorHAnsi" w:cstheme="minorHAnsi"/>
          <w:sz w:val="22"/>
          <w:szCs w:val="22"/>
          <w:lang w:val="en-AU"/>
        </w:rPr>
        <w:t>(below)</w:t>
      </w:r>
      <w:r w:rsidR="00572C0D" w:rsidRPr="00D97F4D">
        <w:rPr>
          <w:rFonts w:asciiTheme="minorHAnsi" w:hAnsiTheme="minorHAnsi" w:cstheme="minorHAnsi"/>
          <w:sz w:val="22"/>
          <w:szCs w:val="22"/>
          <w:lang w:val="en-AU"/>
        </w:rPr>
        <w:t xml:space="preserve"> </w:t>
      </w:r>
      <w:r w:rsidR="00432847" w:rsidRPr="00D97F4D">
        <w:rPr>
          <w:rFonts w:asciiTheme="minorHAnsi" w:hAnsiTheme="minorHAnsi" w:cstheme="minorHAnsi"/>
          <w:sz w:val="22"/>
          <w:szCs w:val="22"/>
          <w:lang w:val="en-AU"/>
        </w:rPr>
        <w:t xml:space="preserve">represent the </w:t>
      </w:r>
      <w:r w:rsidR="007B19B4" w:rsidRPr="00D97F4D">
        <w:rPr>
          <w:rFonts w:asciiTheme="minorHAnsi" w:hAnsiTheme="minorHAnsi" w:cstheme="minorHAnsi"/>
          <w:sz w:val="22"/>
          <w:szCs w:val="22"/>
          <w:lang w:val="en-AU"/>
        </w:rPr>
        <w:t>improve</w:t>
      </w:r>
      <w:r w:rsidR="00572C0D" w:rsidRPr="00D97F4D">
        <w:rPr>
          <w:rFonts w:asciiTheme="minorHAnsi" w:hAnsiTheme="minorHAnsi" w:cstheme="minorHAnsi"/>
          <w:sz w:val="22"/>
          <w:szCs w:val="22"/>
          <w:lang w:val="en-AU"/>
        </w:rPr>
        <w:t>ments in</w:t>
      </w:r>
      <w:r w:rsidR="007B19B4" w:rsidRPr="00D97F4D">
        <w:rPr>
          <w:rFonts w:asciiTheme="minorHAnsi" w:hAnsiTheme="minorHAnsi" w:cstheme="minorHAnsi"/>
          <w:sz w:val="22"/>
          <w:szCs w:val="22"/>
          <w:lang w:val="en-AU"/>
        </w:rPr>
        <w:t xml:space="preserve"> justice </w:t>
      </w:r>
      <w:r w:rsidR="00572C0D" w:rsidRPr="00D97F4D">
        <w:rPr>
          <w:rFonts w:asciiTheme="minorHAnsi" w:hAnsiTheme="minorHAnsi" w:cstheme="minorHAnsi"/>
          <w:sz w:val="22"/>
          <w:szCs w:val="22"/>
          <w:lang w:val="en-AU"/>
        </w:rPr>
        <w:t>necessary to</w:t>
      </w:r>
      <w:r w:rsidR="007B19B4" w:rsidRPr="00D97F4D">
        <w:rPr>
          <w:rFonts w:asciiTheme="minorHAnsi" w:hAnsiTheme="minorHAnsi" w:cstheme="minorHAnsi"/>
          <w:sz w:val="22"/>
          <w:szCs w:val="22"/>
          <w:lang w:val="en-AU"/>
        </w:rPr>
        <w:t xml:space="preserve"> enable Partner Courts to contribute to fairer societies</w:t>
      </w:r>
      <w:r w:rsidR="002B5DCD" w:rsidRPr="00D97F4D">
        <w:rPr>
          <w:rFonts w:asciiTheme="minorHAnsi" w:hAnsiTheme="minorHAnsi" w:cstheme="minorHAnsi"/>
          <w:sz w:val="22"/>
          <w:szCs w:val="22"/>
          <w:lang w:val="en-AU"/>
        </w:rPr>
        <w:t>. F</w:t>
      </w:r>
      <w:r w:rsidR="00657C13" w:rsidRPr="00D97F4D">
        <w:rPr>
          <w:rFonts w:asciiTheme="minorHAnsi" w:hAnsiTheme="minorHAnsi" w:cstheme="minorHAnsi"/>
          <w:sz w:val="22"/>
          <w:szCs w:val="22"/>
          <w:lang w:val="en-AU"/>
        </w:rPr>
        <w:t>urther information ab</w:t>
      </w:r>
      <w:r w:rsidR="002B5DCD" w:rsidRPr="00D97F4D">
        <w:rPr>
          <w:rFonts w:asciiTheme="minorHAnsi" w:hAnsiTheme="minorHAnsi" w:cstheme="minorHAnsi"/>
          <w:sz w:val="22"/>
          <w:szCs w:val="22"/>
          <w:lang w:val="en-AU"/>
        </w:rPr>
        <w:t xml:space="preserve">out the Theory of Change is located at </w:t>
      </w:r>
      <w:r w:rsidR="00657C13" w:rsidRPr="00D97F4D">
        <w:rPr>
          <w:rFonts w:asciiTheme="minorHAnsi" w:hAnsiTheme="minorHAnsi" w:cstheme="minorHAnsi"/>
          <w:sz w:val="22"/>
          <w:szCs w:val="22"/>
          <w:lang w:val="en-AU"/>
        </w:rPr>
        <w:t xml:space="preserve">Annex </w:t>
      </w:r>
      <w:r w:rsidR="00D97F4D" w:rsidRPr="00D97F4D">
        <w:rPr>
          <w:rFonts w:asciiTheme="minorHAnsi" w:hAnsiTheme="minorHAnsi" w:cstheme="minorHAnsi"/>
          <w:sz w:val="22"/>
          <w:szCs w:val="22"/>
          <w:lang w:val="en-AU"/>
        </w:rPr>
        <w:t>T</w:t>
      </w:r>
      <w:r w:rsidR="002C00DF">
        <w:rPr>
          <w:rFonts w:asciiTheme="minorHAnsi" w:hAnsiTheme="minorHAnsi" w:cstheme="minorHAnsi"/>
          <w:sz w:val="22"/>
          <w:szCs w:val="22"/>
          <w:lang w:val="en-AU"/>
        </w:rPr>
        <w:t>hree</w:t>
      </w:r>
      <w:r w:rsidR="00657C13" w:rsidRPr="00D97F4D">
        <w:rPr>
          <w:rFonts w:asciiTheme="minorHAnsi" w:hAnsiTheme="minorHAnsi" w:cstheme="minorHAnsi"/>
          <w:sz w:val="22"/>
          <w:szCs w:val="22"/>
          <w:lang w:val="en-AU"/>
        </w:rPr>
        <w:t xml:space="preserve">. </w:t>
      </w:r>
      <w:r w:rsidR="005821BC" w:rsidRPr="00D97F4D">
        <w:rPr>
          <w:rFonts w:asciiTheme="minorHAnsi" w:hAnsiTheme="minorHAnsi" w:cstheme="minorHAnsi"/>
          <w:sz w:val="22"/>
          <w:szCs w:val="22"/>
          <w:lang w:val="en-AU"/>
        </w:rPr>
        <w:t>The second diagram depicts PJSIs achievements at its mid-point in 2019</w:t>
      </w:r>
      <w:r w:rsidR="00D97F4D">
        <w:rPr>
          <w:rStyle w:val="FootnoteReference"/>
          <w:rFonts w:asciiTheme="minorHAnsi" w:hAnsiTheme="minorHAnsi" w:cstheme="minorHAnsi"/>
          <w:sz w:val="22"/>
          <w:szCs w:val="22"/>
          <w:lang w:val="en-AU"/>
        </w:rPr>
        <w:footnoteReference w:id="5"/>
      </w:r>
      <w:r w:rsidR="005821BC" w:rsidRPr="00D97F4D">
        <w:rPr>
          <w:rFonts w:asciiTheme="minorHAnsi" w:hAnsiTheme="minorHAnsi" w:cstheme="minorHAnsi"/>
          <w:sz w:val="22"/>
          <w:szCs w:val="22"/>
          <w:lang w:val="en-AU"/>
        </w:rPr>
        <w:t>.</w:t>
      </w:r>
    </w:p>
    <w:p w14:paraId="1E714D75" w14:textId="54CD92CF" w:rsidR="00657C13" w:rsidRPr="00F34A39" w:rsidRDefault="009E4DAA" w:rsidP="008374C9">
      <w:pPr>
        <w:pStyle w:val="ListBullet"/>
        <w:numPr>
          <w:ilvl w:val="0"/>
          <w:numId w:val="0"/>
        </w:numPr>
        <w:tabs>
          <w:tab w:val="left" w:pos="720"/>
        </w:tabs>
        <w:spacing w:before="120" w:after="120" w:line="240" w:lineRule="auto"/>
        <w:rPr>
          <w:rFonts w:asciiTheme="minorHAnsi" w:hAnsiTheme="minorHAnsi" w:cstheme="minorHAnsi"/>
          <w:sz w:val="22"/>
          <w:szCs w:val="22"/>
          <w:lang w:val="en-AU"/>
        </w:rPr>
      </w:pPr>
      <w:r w:rsidRPr="00F34A39">
        <w:rPr>
          <w:rFonts w:asciiTheme="minorHAnsi" w:hAnsiTheme="minorHAnsi" w:cstheme="minorHAnsi"/>
          <w:noProof/>
          <w:sz w:val="22"/>
          <w:szCs w:val="22"/>
          <w:lang w:val="en-AU" w:eastAsia="en-AU" w:bidi="ar-SA"/>
        </w:rPr>
        <w:drawing>
          <wp:anchor distT="0" distB="0" distL="114300" distR="114300" simplePos="0" relativeHeight="251607552" behindDoc="1" locked="0" layoutInCell="1" allowOverlap="1" wp14:anchorId="639476DF" wp14:editId="7422B350">
            <wp:simplePos x="0" y="0"/>
            <wp:positionH relativeFrom="margin">
              <wp:align>center</wp:align>
            </wp:positionH>
            <wp:positionV relativeFrom="paragraph">
              <wp:posOffset>64614</wp:posOffset>
            </wp:positionV>
            <wp:extent cx="5724000" cy="2475230"/>
            <wp:effectExtent l="0" t="0" r="0" b="1270"/>
            <wp:wrapTight wrapText="bothSides">
              <wp:wrapPolygon edited="0">
                <wp:start x="0" y="166"/>
                <wp:lineTo x="0" y="3159"/>
                <wp:lineTo x="863" y="5818"/>
                <wp:lineTo x="1150" y="11138"/>
                <wp:lineTo x="935" y="14629"/>
                <wp:lineTo x="935" y="15460"/>
                <wp:lineTo x="1222" y="16458"/>
                <wp:lineTo x="503" y="17289"/>
                <wp:lineTo x="0" y="18453"/>
                <wp:lineTo x="0" y="21279"/>
                <wp:lineTo x="72" y="21445"/>
                <wp:lineTo x="359" y="21445"/>
                <wp:lineTo x="21495" y="20447"/>
                <wp:lineTo x="21495" y="17289"/>
                <wp:lineTo x="2157" y="16458"/>
                <wp:lineTo x="21495" y="16458"/>
                <wp:lineTo x="21495" y="9143"/>
                <wp:lineTo x="2157" y="8478"/>
                <wp:lineTo x="21495" y="8312"/>
                <wp:lineTo x="21495" y="1164"/>
                <wp:lineTo x="359" y="166"/>
                <wp:lineTo x="0" y="166"/>
              </wp:wrapPolygon>
            </wp:wrapTight>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margin">
              <wp14:pctWidth>0</wp14:pctWidth>
            </wp14:sizeRelH>
            <wp14:sizeRelV relativeFrom="margin">
              <wp14:pctHeight>0</wp14:pctHeight>
            </wp14:sizeRelV>
          </wp:anchor>
        </w:drawing>
      </w:r>
    </w:p>
    <w:p w14:paraId="39713ED6" w14:textId="1DF29461" w:rsidR="00657C13" w:rsidRPr="00F34A39" w:rsidRDefault="00ED06BF" w:rsidP="00657C13">
      <w:pPr>
        <w:pStyle w:val="ListBullet"/>
        <w:numPr>
          <w:ilvl w:val="0"/>
          <w:numId w:val="0"/>
        </w:numPr>
        <w:tabs>
          <w:tab w:val="left" w:pos="720"/>
        </w:tabs>
        <w:spacing w:line="240" w:lineRule="auto"/>
        <w:rPr>
          <w:rFonts w:asciiTheme="minorHAnsi" w:hAnsiTheme="minorHAnsi" w:cstheme="minorHAnsi"/>
          <w:sz w:val="22"/>
          <w:szCs w:val="22"/>
          <w:lang w:val="en-AU"/>
        </w:rPr>
      </w:pPr>
      <w:r>
        <w:rPr>
          <w:noProof/>
          <w:lang w:val="en-AU" w:eastAsia="en-AU" w:bidi="ar-SA"/>
        </w:rPr>
        <mc:AlternateContent>
          <mc:Choice Requires="wps">
            <w:drawing>
              <wp:anchor distT="0" distB="0" distL="114300" distR="114300" simplePos="0" relativeHeight="251652608" behindDoc="1" locked="0" layoutInCell="1" allowOverlap="1" wp14:anchorId="4DC8879A" wp14:editId="72460144">
                <wp:simplePos x="0" y="0"/>
                <wp:positionH relativeFrom="margin">
                  <wp:align>center</wp:align>
                </wp:positionH>
                <wp:positionV relativeFrom="paragraph">
                  <wp:posOffset>2205355</wp:posOffset>
                </wp:positionV>
                <wp:extent cx="5097780" cy="146050"/>
                <wp:effectExtent l="0" t="0" r="7620" b="6350"/>
                <wp:wrapTight wrapText="bothSides">
                  <wp:wrapPolygon edited="0">
                    <wp:start x="0" y="0"/>
                    <wp:lineTo x="0" y="19722"/>
                    <wp:lineTo x="21552" y="19722"/>
                    <wp:lineTo x="21552" y="0"/>
                    <wp:lineTo x="0" y="0"/>
                  </wp:wrapPolygon>
                </wp:wrapTight>
                <wp:docPr id="504" name="Text Box 504"/>
                <wp:cNvGraphicFramePr/>
                <a:graphic xmlns:a="http://schemas.openxmlformats.org/drawingml/2006/main">
                  <a:graphicData uri="http://schemas.microsoft.com/office/word/2010/wordprocessingShape">
                    <wps:wsp>
                      <wps:cNvSpPr txBox="1"/>
                      <wps:spPr>
                        <a:xfrm>
                          <a:off x="0" y="0"/>
                          <a:ext cx="5097780" cy="146050"/>
                        </a:xfrm>
                        <a:prstGeom prst="rect">
                          <a:avLst/>
                        </a:prstGeom>
                        <a:solidFill>
                          <a:prstClr val="white"/>
                        </a:solidFill>
                        <a:ln>
                          <a:noFill/>
                        </a:ln>
                      </wps:spPr>
                      <wps:txbx>
                        <w:txbxContent>
                          <w:p w14:paraId="42BF177D" w14:textId="30476EFE" w:rsidR="00CA4E85" w:rsidRPr="00560223" w:rsidRDefault="00CA4E85" w:rsidP="000A193E">
                            <w:pPr>
                              <w:pStyle w:val="Caption"/>
                              <w:rPr>
                                <w:rFonts w:cstheme="minorHAnsi"/>
                                <w:i w:val="0"/>
                                <w:noProof/>
                                <w:color w:val="auto"/>
                              </w:rPr>
                            </w:pPr>
                            <w:r w:rsidRPr="00560223">
                              <w:rPr>
                                <w:i w:val="0"/>
                                <w:color w:val="auto"/>
                              </w:rPr>
                              <w:t>Figure 2</w:t>
                            </w:r>
                            <w:r>
                              <w:rPr>
                                <w:i w:val="0"/>
                                <w:color w:val="auto"/>
                              </w:rPr>
                              <w:t>:</w:t>
                            </w:r>
                            <w:r w:rsidRPr="00560223">
                              <w:rPr>
                                <w:i w:val="0"/>
                                <w:color w:val="auto"/>
                              </w:rPr>
                              <w:t xml:space="preserve"> PJSI Objectives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8879A" id="Text Box 504" o:spid="_x0000_s1030" type="#_x0000_t202" style="position:absolute;margin-left:0;margin-top:173.65pt;width:401.4pt;height:11.5pt;z-index:-251663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XluNAIAAGsEAAAOAAAAZHJzL2Uyb0RvYy54bWysVE2P2yAQvVfqf0DcGzurzX5EcVZpVqkq&#10;RbsrJdWeCYYYCRgKJHb66zvgONtue6p6wcPMMPDem/HsoTOaHIUPCmxFx6OSEmE51MruK/ptu/p0&#10;R0mIzNZMgxUVPYlAH+YfP8xaNxVX0ICuhSdYxIZp6yraxOimRRF4IwwLI3DCYlCCNyzi1u+L2rMW&#10;qxtdXJXlTdGCr50HLkJA72MfpPNcX0rB47OUQUSiK4pvi3n1ed2ltZjP2HTvmWsUPz+D/cMrDFMW&#10;L72UemSRkYNXf5QyinsIIOOIgylASsVFxoBoxuU7NJuGOZGxIDnBXWgK/68sfzq+eKLqik7Ka0os&#10;MyjSVnSRfIaOJB8y1LowxcSNw9TYYQCVHvwBnQl4J71JX4REMI5cny78pnIcnZPy/vb2DkMcY+Pr&#10;m3KSBSjeTjsf4hcBhiSjoh71y7Sy4zpEfAmmDinpsgBa1SulddqkwFJ7cmSodduoKNIb8cRvWdqm&#10;XAvpVB9OniJB7KEkK3a7LpNygb+D+oToPfQdFBxfKbxvzUJ8YR5bBlHhGMRnXKSGtqJwtihpwP/4&#10;mz/lo5IYpaTFFqxo+H5gXlCiv1rUOPXrYPjB2A2GPZglINIxDpjj2cQDPurBlB7MK07HIt2CIWY5&#10;3lXROJjL2A8CThcXi0VOwq50LK7txvFUeuB1270y786qRNTzCYbmZNN34vS5PcuLQwSpsnKJ157F&#10;M93Y0Vme8/Slkfl1n7Pe/hHznwAAAP//AwBQSwMEFAAGAAgAAAAhALkQNcXeAAAACAEAAA8AAABk&#10;cnMvZG93bnJldi54bWxMj8FOwzAMhu9IvENkJC6IpbRom0rTCTa4jcPGtHPWmLaicaokXbu3xzvB&#10;0f6t399XrCbbiTP60DpS8DRLQCBVzrRUKzh8fTwuQYSoyejOESq4YIBVeXtT6Ny4kXZ43sdacAmF&#10;XCtoYuxzKUPVoNVh5nokzr6dtzry6GtpvB653HYyTZK5tLol/tDoHtcNVj/7wSqYb/ww7mj9sDm8&#10;b/VnX6fHt8tRqfu76fUFRMQp/h3DFZ/RoWSmkxvIBNEpYJGoIHteZCA4XiYpm5x4s0gykGUh/wuU&#10;vwAAAP//AwBQSwECLQAUAAYACAAAACEAtoM4kv4AAADhAQAAEwAAAAAAAAAAAAAAAAAAAAAAW0Nv&#10;bnRlbnRfVHlwZXNdLnhtbFBLAQItABQABgAIAAAAIQA4/SH/1gAAAJQBAAALAAAAAAAAAAAAAAAA&#10;AC8BAABfcmVscy8ucmVsc1BLAQItABQABgAIAAAAIQBaGXluNAIAAGsEAAAOAAAAAAAAAAAAAAAA&#10;AC4CAABkcnMvZTJvRG9jLnhtbFBLAQItABQABgAIAAAAIQC5EDXF3gAAAAgBAAAPAAAAAAAAAAAA&#10;AAAAAI4EAABkcnMvZG93bnJldi54bWxQSwUGAAAAAAQABADzAAAAmQUAAAAA&#10;" stroked="f">
                <v:textbox inset="0,0,0,0">
                  <w:txbxContent>
                    <w:p w14:paraId="42BF177D" w14:textId="30476EFE" w:rsidR="00CA4E85" w:rsidRPr="00560223" w:rsidRDefault="00CA4E85" w:rsidP="000A193E">
                      <w:pPr>
                        <w:pStyle w:val="Caption"/>
                        <w:rPr>
                          <w:rFonts w:cstheme="minorHAnsi"/>
                          <w:i w:val="0"/>
                          <w:noProof/>
                          <w:color w:val="auto"/>
                        </w:rPr>
                      </w:pPr>
                      <w:r w:rsidRPr="00560223">
                        <w:rPr>
                          <w:i w:val="0"/>
                          <w:color w:val="auto"/>
                        </w:rPr>
                        <w:t>Figure 2</w:t>
                      </w:r>
                      <w:r>
                        <w:rPr>
                          <w:i w:val="0"/>
                          <w:color w:val="auto"/>
                        </w:rPr>
                        <w:t>:</w:t>
                      </w:r>
                      <w:r w:rsidRPr="00560223">
                        <w:rPr>
                          <w:i w:val="0"/>
                          <w:color w:val="auto"/>
                        </w:rPr>
                        <w:t xml:space="preserve"> PJSI Objectives</w:t>
                      </w:r>
                    </w:p>
                  </w:txbxContent>
                </v:textbox>
                <w10:wrap type="tight" anchorx="margin"/>
              </v:shape>
            </w:pict>
          </mc:Fallback>
        </mc:AlternateContent>
      </w:r>
    </w:p>
    <w:p w14:paraId="68BD1EBD" w14:textId="0559AD87" w:rsidR="00657C13" w:rsidRPr="00F34A39" w:rsidRDefault="00657C13" w:rsidP="00657C13">
      <w:pPr>
        <w:pStyle w:val="ListBullet"/>
        <w:numPr>
          <w:ilvl w:val="0"/>
          <w:numId w:val="0"/>
        </w:numPr>
        <w:tabs>
          <w:tab w:val="left" w:pos="720"/>
        </w:tabs>
        <w:spacing w:line="240" w:lineRule="auto"/>
        <w:rPr>
          <w:rFonts w:asciiTheme="minorHAnsi" w:hAnsiTheme="minorHAnsi" w:cstheme="minorHAnsi"/>
          <w:sz w:val="22"/>
          <w:szCs w:val="22"/>
          <w:lang w:val="en-AU"/>
        </w:rPr>
      </w:pPr>
    </w:p>
    <w:p w14:paraId="532FFC3D" w14:textId="61232FED" w:rsidR="00657C13" w:rsidRPr="00F34A39" w:rsidRDefault="00657C13" w:rsidP="00657C13">
      <w:pPr>
        <w:pStyle w:val="ListBullet"/>
        <w:numPr>
          <w:ilvl w:val="0"/>
          <w:numId w:val="0"/>
        </w:numPr>
        <w:tabs>
          <w:tab w:val="left" w:pos="720"/>
        </w:tabs>
        <w:spacing w:line="240" w:lineRule="auto"/>
        <w:rPr>
          <w:rFonts w:asciiTheme="minorHAnsi" w:hAnsiTheme="minorHAnsi" w:cstheme="minorHAnsi"/>
          <w:sz w:val="22"/>
          <w:szCs w:val="22"/>
          <w:lang w:val="en-AU"/>
        </w:rPr>
      </w:pPr>
    </w:p>
    <w:p w14:paraId="675E71C8" w14:textId="1C8E582A" w:rsidR="00DD0600" w:rsidRDefault="00DD0600" w:rsidP="00657C13">
      <w:pPr>
        <w:pStyle w:val="ListBullet"/>
        <w:numPr>
          <w:ilvl w:val="0"/>
          <w:numId w:val="0"/>
        </w:numPr>
        <w:tabs>
          <w:tab w:val="left" w:pos="720"/>
        </w:tabs>
        <w:spacing w:line="240" w:lineRule="auto"/>
        <w:rPr>
          <w:rFonts w:asciiTheme="minorHAnsi" w:hAnsiTheme="minorHAnsi" w:cstheme="minorHAnsi"/>
          <w:sz w:val="22"/>
          <w:szCs w:val="22"/>
          <w:lang w:val="en-AU"/>
        </w:rPr>
      </w:pPr>
    </w:p>
    <w:p w14:paraId="3320EDB1" w14:textId="77777777" w:rsidR="002401D1" w:rsidRPr="00F34A39" w:rsidRDefault="002401D1" w:rsidP="00657C13">
      <w:pPr>
        <w:pStyle w:val="ListBullet"/>
        <w:numPr>
          <w:ilvl w:val="0"/>
          <w:numId w:val="0"/>
        </w:numPr>
        <w:tabs>
          <w:tab w:val="left" w:pos="720"/>
        </w:tabs>
        <w:spacing w:line="240" w:lineRule="auto"/>
        <w:rPr>
          <w:rFonts w:asciiTheme="minorHAnsi" w:hAnsiTheme="minorHAnsi" w:cstheme="minorHAnsi"/>
          <w:sz w:val="22"/>
          <w:szCs w:val="22"/>
          <w:lang w:val="en-AU"/>
        </w:rPr>
      </w:pPr>
    </w:p>
    <w:p w14:paraId="735716AB" w14:textId="1C0A91C4" w:rsidR="00657C13" w:rsidRPr="00F34A39" w:rsidRDefault="00423B8F" w:rsidP="00657C13">
      <w:pPr>
        <w:pStyle w:val="ListBullet"/>
        <w:numPr>
          <w:ilvl w:val="0"/>
          <w:numId w:val="0"/>
        </w:numPr>
        <w:tabs>
          <w:tab w:val="left" w:pos="720"/>
        </w:tabs>
        <w:spacing w:line="240" w:lineRule="auto"/>
        <w:rPr>
          <w:sz w:val="22"/>
          <w:szCs w:val="22"/>
          <w:lang w:val="en-AU"/>
        </w:rPr>
      </w:pPr>
      <w:r>
        <w:rPr>
          <w:noProof/>
          <w:lang w:val="en-AU" w:eastAsia="en-AU" w:bidi="ar-SA"/>
        </w:rPr>
        <w:lastRenderedPageBreak/>
        <mc:AlternateContent>
          <mc:Choice Requires="wps">
            <w:drawing>
              <wp:anchor distT="0" distB="0" distL="114300" distR="114300" simplePos="0" relativeHeight="251653632" behindDoc="1" locked="0" layoutInCell="1" allowOverlap="1" wp14:anchorId="74AA449E" wp14:editId="02AB7BA1">
                <wp:simplePos x="0" y="0"/>
                <wp:positionH relativeFrom="margin">
                  <wp:align>center</wp:align>
                </wp:positionH>
                <wp:positionV relativeFrom="paragraph">
                  <wp:posOffset>2416175</wp:posOffset>
                </wp:positionV>
                <wp:extent cx="5097780" cy="146050"/>
                <wp:effectExtent l="0" t="0" r="7620" b="6350"/>
                <wp:wrapTight wrapText="bothSides">
                  <wp:wrapPolygon edited="0">
                    <wp:start x="0" y="0"/>
                    <wp:lineTo x="0" y="19722"/>
                    <wp:lineTo x="21552" y="19722"/>
                    <wp:lineTo x="21552" y="0"/>
                    <wp:lineTo x="0" y="0"/>
                  </wp:wrapPolygon>
                </wp:wrapTight>
                <wp:docPr id="505" name="Text Box 505"/>
                <wp:cNvGraphicFramePr/>
                <a:graphic xmlns:a="http://schemas.openxmlformats.org/drawingml/2006/main">
                  <a:graphicData uri="http://schemas.microsoft.com/office/word/2010/wordprocessingShape">
                    <wps:wsp>
                      <wps:cNvSpPr txBox="1"/>
                      <wps:spPr>
                        <a:xfrm>
                          <a:off x="0" y="0"/>
                          <a:ext cx="5097780" cy="146050"/>
                        </a:xfrm>
                        <a:prstGeom prst="rect">
                          <a:avLst/>
                        </a:prstGeom>
                        <a:solidFill>
                          <a:prstClr val="white"/>
                        </a:solidFill>
                        <a:ln>
                          <a:noFill/>
                        </a:ln>
                      </wps:spPr>
                      <wps:txbx>
                        <w:txbxContent>
                          <w:p w14:paraId="28770A8D" w14:textId="45568DB6" w:rsidR="00CA4E85" w:rsidRPr="00560223" w:rsidRDefault="00CA4E85" w:rsidP="000A193E">
                            <w:pPr>
                              <w:pStyle w:val="Caption"/>
                              <w:rPr>
                                <w:rFonts w:cstheme="minorHAnsi"/>
                                <w:i w:val="0"/>
                                <w:noProof/>
                                <w:color w:val="auto"/>
                              </w:rPr>
                            </w:pPr>
                            <w:r w:rsidRPr="00560223">
                              <w:rPr>
                                <w:i w:val="0"/>
                                <w:color w:val="auto"/>
                              </w:rPr>
                              <w:t>Figure 3</w:t>
                            </w:r>
                            <w:r>
                              <w:rPr>
                                <w:i w:val="0"/>
                                <w:color w:val="auto"/>
                              </w:rPr>
                              <w:t>:</w:t>
                            </w:r>
                            <w:r w:rsidRPr="00560223">
                              <w:rPr>
                                <w:i w:val="0"/>
                                <w:color w:val="auto"/>
                              </w:rPr>
                              <w:t xml:space="preserve"> PJSI Theory of Change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A449E" id="Text Box 505" o:spid="_x0000_s1031" type="#_x0000_t202" style="position:absolute;margin-left:0;margin-top:190.25pt;width:401.4pt;height:11.5pt;z-index:-251662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WD8MwIAAGsEAAAOAAAAZHJzL2Uyb0RvYy54bWysVFFv2yAQfp+0/4B4X+xUS9tZcaosVaZJ&#10;VVspmfpMMMRIwDEgsbNfvwPH6dbtadoLPu6Og+/77jy/640mR+GDAlvT6aSkRFgOjbL7mn7brj/c&#10;UhIisw3TYEVNTyLQu8X7d/POVeIKWtCN8ASL2FB1rqZtjK4qisBbYViYgBMWgxK8YRG3fl80nnVY&#10;3ejiqiyviw584zxwEQJ674cgXeT6Ugoen6QMIhJdU3xbzKvP6y6txWLOqr1nrlX8/Az2D68wTFm8&#10;9FLqnkVGDl79Ucoo7iGAjBMOpgApFRcZA6KZlm/QbFrmRMaC5AR3oSn8v7L88fjsiWpqOitnlFhm&#10;UKSt6CP5DD1JPmSoc6HCxI3D1NhjAJUe/QGdCXgvvUlfhEQwjlyfLvymchyds/LTzc0thjjGph+v&#10;y1kWoHg97XyIXwQYkoyaetQv08qODyHiSzB1TEmXBdCqWSut0yYFVtqTI0Otu1ZFkd6IJ37L0jbl&#10;WkinhnDyFAniACVZsd/1AykjzB00J0TvYeig4Pha4X0PLMRn5rFlEBWOQXzCRWroagpni5IW/I+/&#10;+VM+KolRSjpswZqG7wfmBSX6q0WNU7+Ohh+N3WjYg1kBIp3igDmeTTzgox5N6cG84HQs0y0YYpbj&#10;XTWNo7mKwyDgdHGxXOYk7ErH4oPdOJ5Kj7xu+xfm3VmViHo+wticrHojzpA7sLw8RJAqK5d4HVg8&#10;040dneU5T18amV/3Oev1H7H4CQAA//8DAFBLAwQUAAYACAAAACEA+hJqod4AAAAIAQAADwAAAGRy&#10;cy9kb3ducmV2LnhtbEyPwU7DMBBE70j8g7VIXBC1SWkVpXEqaOEGh5aqZzfeJhHxOoqdJv17lhMc&#10;V7OaeS9fT64VF+xD40nD00yBQCq9bajScPh6f0xBhGjImtYTarhigHVxe5ObzPqRdnjZx0pwCYXM&#10;aKhj7DIpQ1mjM2HmOyTOzr53JvLZV9L2ZuRy18pEqaV0piFeqE2HmxrL7/3gNCy3/TDuaPOwPbx9&#10;mM+uSo6v16PW93fTywpExCn+PcMvPqNDwUwnP5ANotXAIlHDPFULEBynKmGTk4ZnNV+ALHL5X6D4&#10;AQAA//8DAFBLAQItABQABgAIAAAAIQC2gziS/gAAAOEBAAATAAAAAAAAAAAAAAAAAAAAAABbQ29u&#10;dGVudF9UeXBlc10ueG1sUEsBAi0AFAAGAAgAAAAhADj9If/WAAAAlAEAAAsAAAAAAAAAAAAAAAAA&#10;LwEAAF9yZWxzLy5yZWxzUEsBAi0AFAAGAAgAAAAhAJ/RYPwzAgAAawQAAA4AAAAAAAAAAAAAAAAA&#10;LgIAAGRycy9lMm9Eb2MueG1sUEsBAi0AFAAGAAgAAAAhAPoSaqHeAAAACAEAAA8AAAAAAAAAAAAA&#10;AAAAjQQAAGRycy9kb3ducmV2LnhtbFBLBQYAAAAABAAEAPMAAACYBQAAAAA=&#10;" stroked="f">
                <v:textbox inset="0,0,0,0">
                  <w:txbxContent>
                    <w:p w14:paraId="28770A8D" w14:textId="45568DB6" w:rsidR="00CA4E85" w:rsidRPr="00560223" w:rsidRDefault="00CA4E85" w:rsidP="000A193E">
                      <w:pPr>
                        <w:pStyle w:val="Caption"/>
                        <w:rPr>
                          <w:rFonts w:cstheme="minorHAnsi"/>
                          <w:i w:val="0"/>
                          <w:noProof/>
                          <w:color w:val="auto"/>
                        </w:rPr>
                      </w:pPr>
                      <w:r w:rsidRPr="00560223">
                        <w:rPr>
                          <w:i w:val="0"/>
                          <w:color w:val="auto"/>
                        </w:rPr>
                        <w:t>Figure 3</w:t>
                      </w:r>
                      <w:r>
                        <w:rPr>
                          <w:i w:val="0"/>
                          <w:color w:val="auto"/>
                        </w:rPr>
                        <w:t>:</w:t>
                      </w:r>
                      <w:r w:rsidRPr="00560223">
                        <w:rPr>
                          <w:i w:val="0"/>
                          <w:color w:val="auto"/>
                        </w:rPr>
                        <w:t xml:space="preserve"> PJSI Theory of Change</w:t>
                      </w:r>
                    </w:p>
                  </w:txbxContent>
                </v:textbox>
                <w10:wrap type="tight" anchorx="margin"/>
              </v:shape>
            </w:pict>
          </mc:Fallback>
        </mc:AlternateContent>
      </w:r>
      <w:r w:rsidR="00D97F4D" w:rsidRPr="00F34A39">
        <w:rPr>
          <w:noProof/>
          <w:lang w:val="en-AU" w:eastAsia="en-AU" w:bidi="ar-SA"/>
        </w:rPr>
        <w:drawing>
          <wp:anchor distT="0" distB="0" distL="114300" distR="114300" simplePos="0" relativeHeight="251608576" behindDoc="1" locked="0" layoutInCell="1" allowOverlap="1" wp14:anchorId="777FD002" wp14:editId="07B26E96">
            <wp:simplePos x="0" y="0"/>
            <wp:positionH relativeFrom="margin">
              <wp:align>left</wp:align>
            </wp:positionH>
            <wp:positionV relativeFrom="paragraph">
              <wp:posOffset>29210</wp:posOffset>
            </wp:positionV>
            <wp:extent cx="5724525" cy="2476800"/>
            <wp:effectExtent l="0" t="0" r="0" b="0"/>
            <wp:wrapTight wrapText="bothSides">
              <wp:wrapPolygon edited="0">
                <wp:start x="0" y="166"/>
                <wp:lineTo x="0" y="3157"/>
                <wp:lineTo x="863" y="5815"/>
                <wp:lineTo x="1150" y="11132"/>
                <wp:lineTo x="1006" y="13791"/>
                <wp:lineTo x="934" y="15120"/>
                <wp:lineTo x="934" y="15785"/>
                <wp:lineTo x="1222" y="16449"/>
                <wp:lineTo x="503" y="17280"/>
                <wp:lineTo x="0" y="18443"/>
                <wp:lineTo x="0" y="21268"/>
                <wp:lineTo x="72" y="21434"/>
                <wp:lineTo x="359" y="21434"/>
                <wp:lineTo x="21492" y="20437"/>
                <wp:lineTo x="21492" y="17280"/>
                <wp:lineTo x="2300" y="16449"/>
                <wp:lineTo x="21492" y="16449"/>
                <wp:lineTo x="21492" y="9138"/>
                <wp:lineTo x="2156" y="8474"/>
                <wp:lineTo x="21492" y="8308"/>
                <wp:lineTo x="21492" y="1163"/>
                <wp:lineTo x="359" y="166"/>
                <wp:lineTo x="0" y="166"/>
              </wp:wrapPolygon>
            </wp:wrapTight>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margin">
              <wp14:pctWidth>0</wp14:pctWidth>
            </wp14:sizeRelH>
            <wp14:sizeRelV relativeFrom="margin">
              <wp14:pctHeight>0</wp14:pctHeight>
            </wp14:sizeRelV>
          </wp:anchor>
        </w:drawing>
      </w:r>
    </w:p>
    <w:p w14:paraId="7CDE03CA" w14:textId="7BBD27B0" w:rsidR="00657C13" w:rsidRPr="00F34A39" w:rsidRDefault="00657C13" w:rsidP="00657C13">
      <w:pPr>
        <w:pStyle w:val="ListBullet"/>
        <w:numPr>
          <w:ilvl w:val="0"/>
          <w:numId w:val="0"/>
        </w:numPr>
        <w:tabs>
          <w:tab w:val="left" w:pos="720"/>
        </w:tabs>
        <w:spacing w:line="240" w:lineRule="auto"/>
        <w:rPr>
          <w:sz w:val="22"/>
          <w:szCs w:val="22"/>
          <w:lang w:val="en-AU"/>
        </w:rPr>
      </w:pPr>
    </w:p>
    <w:p w14:paraId="4CFE5E39" w14:textId="157747CF" w:rsidR="00657C13" w:rsidRPr="00325B21" w:rsidRDefault="00657C13" w:rsidP="00657C13">
      <w:pPr>
        <w:pStyle w:val="ListBullet"/>
        <w:numPr>
          <w:ilvl w:val="0"/>
          <w:numId w:val="0"/>
        </w:numPr>
        <w:tabs>
          <w:tab w:val="left" w:pos="720"/>
        </w:tabs>
        <w:spacing w:line="240" w:lineRule="auto"/>
        <w:rPr>
          <w:sz w:val="2"/>
          <w:szCs w:val="22"/>
          <w:lang w:val="en-AU"/>
        </w:rPr>
      </w:pPr>
    </w:p>
    <w:p w14:paraId="46E27AE2" w14:textId="5302418B" w:rsidR="009F54DE" w:rsidRPr="00F34A39" w:rsidRDefault="009F54DE" w:rsidP="00063F54">
      <w:pPr>
        <w:pStyle w:val="HBHeading1"/>
        <w:spacing w:before="0"/>
        <w:rPr>
          <w:color w:val="00323E" w:themeColor="accent1" w:themeShade="80"/>
          <w:lang w:val="en-AU"/>
        </w:rPr>
      </w:pPr>
      <w:bookmarkStart w:id="10" w:name="_Toc77423613"/>
      <w:bookmarkStart w:id="11" w:name="_Toc90564308"/>
      <w:bookmarkStart w:id="12" w:name="_Toc75185171"/>
      <w:r w:rsidRPr="00F34A39">
        <w:rPr>
          <w:color w:val="00323E" w:themeColor="accent1" w:themeShade="80"/>
          <w:lang w:val="en-AU"/>
        </w:rPr>
        <w:t>Thematic Results</w:t>
      </w:r>
      <w:bookmarkEnd w:id="10"/>
      <w:bookmarkEnd w:id="11"/>
    </w:p>
    <w:p w14:paraId="6E88E0E6" w14:textId="4C63800A" w:rsidR="002B5DCD" w:rsidRPr="00560223" w:rsidRDefault="009F54DE" w:rsidP="009F54DE">
      <w:pPr>
        <w:spacing w:before="120" w:after="240"/>
        <w:rPr>
          <w:sz w:val="22"/>
          <w:szCs w:val="22"/>
          <w:lang w:val="en-AU"/>
        </w:rPr>
      </w:pPr>
      <w:r w:rsidRPr="00560223">
        <w:rPr>
          <w:sz w:val="22"/>
          <w:szCs w:val="22"/>
          <w:lang w:val="en-AU"/>
        </w:rPr>
        <w:t>Partner Courts have made significant investment over several years to treat fundamental aspects of how they operate and how officers perceive and perform their roles. This foundational work was critical in</w:t>
      </w:r>
      <w:r w:rsidR="002B5DCD" w:rsidRPr="00560223">
        <w:rPr>
          <w:sz w:val="22"/>
          <w:szCs w:val="22"/>
          <w:lang w:val="en-AU"/>
        </w:rPr>
        <w:t xml:space="preserve"> order to c</w:t>
      </w:r>
      <w:r w:rsidRPr="00560223">
        <w:rPr>
          <w:sz w:val="22"/>
          <w:szCs w:val="22"/>
          <w:lang w:val="en-AU"/>
        </w:rPr>
        <w:t>atalyse a different way for judicial and court officers to understand the role a</w:t>
      </w:r>
      <w:r w:rsidR="002B5DCD" w:rsidRPr="00560223">
        <w:rPr>
          <w:sz w:val="22"/>
          <w:szCs w:val="22"/>
          <w:lang w:val="en-AU"/>
        </w:rPr>
        <w:t>nd responsibility of courts. It was also necessary to g</w:t>
      </w:r>
      <w:r w:rsidRPr="00560223">
        <w:rPr>
          <w:sz w:val="22"/>
          <w:szCs w:val="22"/>
          <w:lang w:val="en-AU"/>
        </w:rPr>
        <w:t xml:space="preserve">enerate adequate proactive commitment among the region’s judicial leaders to consistently protect and uphold rule of law standards across all aspects of their function. </w:t>
      </w:r>
    </w:p>
    <w:p w14:paraId="7ECD3B16" w14:textId="201DD83F" w:rsidR="005821BC" w:rsidRPr="000E4AF7" w:rsidRDefault="00560223" w:rsidP="00D4761C">
      <w:pPr>
        <w:spacing w:before="120" w:after="120"/>
        <w:rPr>
          <w:sz w:val="22"/>
          <w:szCs w:val="22"/>
          <w:lang w:val="en-AU"/>
        </w:rPr>
      </w:pPr>
      <w:r w:rsidRPr="00A90984">
        <w:rPr>
          <w:noProof/>
          <w:sz w:val="22"/>
          <w:lang w:val="en-AU"/>
        </w:rPr>
        <mc:AlternateContent>
          <mc:Choice Requires="wps">
            <w:drawing>
              <wp:anchor distT="45720" distB="45720" distL="114300" distR="114300" simplePos="0" relativeHeight="251630080" behindDoc="0" locked="0" layoutInCell="1" allowOverlap="1" wp14:anchorId="714A4DE4" wp14:editId="3E3F7ED6">
                <wp:simplePos x="0" y="0"/>
                <wp:positionH relativeFrom="margin">
                  <wp:align>left</wp:align>
                </wp:positionH>
                <wp:positionV relativeFrom="paragraph">
                  <wp:posOffset>152400</wp:posOffset>
                </wp:positionV>
                <wp:extent cx="2238375" cy="1323975"/>
                <wp:effectExtent l="0" t="0" r="28575" b="28575"/>
                <wp:wrapSquare wrapText="bothSides"/>
                <wp:docPr id="3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323975"/>
                        </a:xfrm>
                        <a:prstGeom prst="rect">
                          <a:avLst/>
                        </a:prstGeom>
                        <a:solidFill>
                          <a:srgbClr val="FFFFFF"/>
                        </a:solidFill>
                        <a:ln w="25400">
                          <a:solidFill>
                            <a:schemeClr val="accent1"/>
                          </a:solidFill>
                          <a:miter lim="800000"/>
                          <a:headEnd/>
                          <a:tailEnd/>
                        </a:ln>
                      </wps:spPr>
                      <wps:txbx>
                        <w:txbxContent>
                          <w:p w14:paraId="6D7BE2F5" w14:textId="77777777" w:rsidR="00CA4E85" w:rsidRPr="00A90984" w:rsidRDefault="00CA4E85" w:rsidP="00231F8D">
                            <w:pPr>
                              <w:rPr>
                                <w:rFonts w:cstheme="minorHAnsi"/>
                                <w:i/>
                                <w:sz w:val="20"/>
                                <w:szCs w:val="20"/>
                              </w:rPr>
                            </w:pPr>
                            <w:r>
                              <w:rPr>
                                <w:rFonts w:cstheme="minorHAnsi"/>
                                <w:i/>
                                <w:sz w:val="20"/>
                                <w:szCs w:val="20"/>
                              </w:rPr>
                              <w:t>“</w:t>
                            </w:r>
                            <w:r w:rsidRPr="00A90984">
                              <w:rPr>
                                <w:rFonts w:cstheme="minorHAnsi"/>
                                <w:i/>
                                <w:sz w:val="20"/>
                                <w:szCs w:val="20"/>
                              </w:rPr>
                              <w:t>I can say with pride and confidence that with the PJDP/PJSI programme</w:t>
                            </w:r>
                            <w:r>
                              <w:rPr>
                                <w:rFonts w:cstheme="minorHAnsi"/>
                                <w:i/>
                                <w:sz w:val="20"/>
                                <w:szCs w:val="20"/>
                              </w:rPr>
                              <w:t>s</w:t>
                            </w:r>
                            <w:r w:rsidRPr="00A90984">
                              <w:rPr>
                                <w:rFonts w:cstheme="minorHAnsi"/>
                                <w:i/>
                                <w:sz w:val="20"/>
                                <w:szCs w:val="20"/>
                              </w:rPr>
                              <w:t xml:space="preserve"> and assistance, the Judiciary in Kiribati has been able to make achievements that we would not have been able to do on our own.</w:t>
                            </w:r>
                            <w:r>
                              <w:rPr>
                                <w:rFonts w:cstheme="minorHAnsi"/>
                                <w:i/>
                                <w:sz w:val="20"/>
                                <w:szCs w:val="20"/>
                              </w:rPr>
                              <w:t>”</w:t>
                            </w:r>
                          </w:p>
                          <w:p w14:paraId="44BED2C8" w14:textId="44EE8330" w:rsidR="00CA4E85" w:rsidRPr="00A90984" w:rsidRDefault="00CA4E85" w:rsidP="00231F8D">
                            <w:pPr>
                              <w:spacing w:before="120"/>
                              <w:rPr>
                                <w:b/>
                                <w:i/>
                                <w:sz w:val="20"/>
                                <w:szCs w:val="20"/>
                              </w:rPr>
                            </w:pPr>
                            <w:r w:rsidRPr="00560223">
                              <w:rPr>
                                <w:rFonts w:cstheme="minorHAnsi"/>
                                <w:b/>
                                <w:i/>
                                <w:sz w:val="20"/>
                                <w:szCs w:val="20"/>
                              </w:rPr>
                              <w:t xml:space="preserve"> Chief Justice Muria, Kiribati </w:t>
                            </w:r>
                            <w:r w:rsidRPr="00560223">
                              <w:rPr>
                                <w:rFonts w:cstheme="minorHAnsi"/>
                                <w:i/>
                                <w:sz w:val="20"/>
                                <w:szCs w:val="20"/>
                              </w:rPr>
                              <w:t>(Retired)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A4DE4" id="_x0000_s1032" type="#_x0000_t202" style="position:absolute;margin-left:0;margin-top:12pt;width:176.25pt;height:104.25pt;z-index:2516300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oxEMQIAAFMEAAAOAAAAZHJzL2Uyb0RvYy54bWysVM1u2zAMvg/YOwi6L3bsJE2NOEWXLsOA&#10;7gdo9wCyLMfCJNGTlNjZ05eS0zTtbsN8EEiR+kh+JL26GbQiB2GdBFPS6SSlRBgOtTS7kv583H5Y&#10;UuI8MzVTYERJj8LRm/X7d6u+K0QGLahaWIIgxhV9V9LW+65IEsdboZmbQCcMGhuwmnlU7S6pLesR&#10;XaskS9NF0oOtOwtcOIe3d6ORriN+0wjuvzeNE56okmJuPp42nlU4k/WKFTvLulbyUxrsH7LQTBoM&#10;eoa6Y56RvZV/QWnJLTho/ISDTqBpJBexBqxmmr6p5qFlnYi1IDmuO9Pk/h8s/3b4YYmsS5rnCyTI&#10;MI1dehSDJx9hIFkgqO9cgX4PHXr6Aa+x0bFY190D/+WIgU3LzE7cWgt9K1iNCU7Dy+Ti6YjjAkjV&#10;f4Uaw7C9hwg0NFYH9pAPguiYx/HcnJAKx8ssy5f51ZwSjrZpnuXXqIQYrHh+3lnnPwvQJAgltdj9&#10;CM8O986Prs8uIZoDJeutVCoqdldtlCUHhpOyjd8J/ZWbMqTHXOazNB0peIURplacURjnwviRiDfR&#10;tPQ49krqki7T8IVYrAjcfTJ1lD2TapSxQmVOZAb+Rib9UA2xcYvwNhBdQX1Edi2MU45biUIL9g8l&#10;PU54Sd3vPbOCEvXFYIeup7NZWImozOZXGSr20lJdWpjhCFVST8kobnxco5C2gVvsZCMjxy+ZnFLG&#10;yY1dOm1ZWI1LPXq9/AvWTwAAAP//AwBQSwMEFAAGAAgAAAAhAMeXe+LdAAAABwEAAA8AAABkcnMv&#10;ZG93bnJldi54bWxMj8tOwzAQRfdI/IM1SOyo0/QBCplUEIREy4q2C5ZuPCQR8TiK3Tb8fYcVrOZx&#10;R/eeyVej69SJhtB6RphOElDElbct1wj73evdA6gQDVvTeSaEHwqwKq6vcpNZf+YPOm1jrcSEQ2YQ&#10;mhj7TOtQNeRMmPieWLQvPzgTZRxqbQdzFnPX6TRJltqZliWhMT2VDVXf26NDWL7Pe3f/Ml3vNvvn&#10;0Jabz7LWb4i3N+PTI6hIY/w7hl98QYdCmA7+yDaoDkEeiQjpXKqos0W6AHWQxUwaXeT6P39xAQAA&#10;//8DAFBLAQItABQABgAIAAAAIQC2gziS/gAAAOEBAAATAAAAAAAAAAAAAAAAAAAAAABbQ29udGVu&#10;dF9UeXBlc10ueG1sUEsBAi0AFAAGAAgAAAAhADj9If/WAAAAlAEAAAsAAAAAAAAAAAAAAAAALwEA&#10;AF9yZWxzLy5yZWxzUEsBAi0AFAAGAAgAAAAhAG3KjEQxAgAAUwQAAA4AAAAAAAAAAAAAAAAALgIA&#10;AGRycy9lMm9Eb2MueG1sUEsBAi0AFAAGAAgAAAAhAMeXe+LdAAAABwEAAA8AAAAAAAAAAAAAAAAA&#10;iwQAAGRycy9kb3ducmV2LnhtbFBLBQYAAAAABAAEAPMAAACVBQAAAAA=&#10;" strokecolor="#00667c [3204]" strokeweight="2pt">
                <v:textbox>
                  <w:txbxContent>
                    <w:p w14:paraId="6D7BE2F5" w14:textId="77777777" w:rsidR="00CA4E85" w:rsidRPr="00A90984" w:rsidRDefault="00CA4E85" w:rsidP="00231F8D">
                      <w:pPr>
                        <w:rPr>
                          <w:rFonts w:cstheme="minorHAnsi"/>
                          <w:i/>
                          <w:sz w:val="20"/>
                          <w:szCs w:val="20"/>
                        </w:rPr>
                      </w:pPr>
                      <w:r>
                        <w:rPr>
                          <w:rFonts w:cstheme="minorHAnsi"/>
                          <w:i/>
                          <w:sz w:val="20"/>
                          <w:szCs w:val="20"/>
                        </w:rPr>
                        <w:t>“</w:t>
                      </w:r>
                      <w:r w:rsidRPr="00A90984">
                        <w:rPr>
                          <w:rFonts w:cstheme="minorHAnsi"/>
                          <w:i/>
                          <w:sz w:val="20"/>
                          <w:szCs w:val="20"/>
                        </w:rPr>
                        <w:t>I can say with pride and confidence that with the PJDP/PJSI programme</w:t>
                      </w:r>
                      <w:r>
                        <w:rPr>
                          <w:rFonts w:cstheme="minorHAnsi"/>
                          <w:i/>
                          <w:sz w:val="20"/>
                          <w:szCs w:val="20"/>
                        </w:rPr>
                        <w:t>s</w:t>
                      </w:r>
                      <w:r w:rsidRPr="00A90984">
                        <w:rPr>
                          <w:rFonts w:cstheme="minorHAnsi"/>
                          <w:i/>
                          <w:sz w:val="20"/>
                          <w:szCs w:val="20"/>
                        </w:rPr>
                        <w:t xml:space="preserve"> and assistance, the Judiciary in Kiribati has been able to make achievements that we would not have been able to do on our own.</w:t>
                      </w:r>
                      <w:r>
                        <w:rPr>
                          <w:rFonts w:cstheme="minorHAnsi"/>
                          <w:i/>
                          <w:sz w:val="20"/>
                          <w:szCs w:val="20"/>
                        </w:rPr>
                        <w:t>”</w:t>
                      </w:r>
                    </w:p>
                    <w:p w14:paraId="44BED2C8" w14:textId="44EE8330" w:rsidR="00CA4E85" w:rsidRPr="00A90984" w:rsidRDefault="00CA4E85" w:rsidP="00231F8D">
                      <w:pPr>
                        <w:spacing w:before="120"/>
                        <w:rPr>
                          <w:b/>
                          <w:i/>
                          <w:sz w:val="20"/>
                          <w:szCs w:val="20"/>
                        </w:rPr>
                      </w:pPr>
                      <w:r w:rsidRPr="00560223">
                        <w:rPr>
                          <w:rFonts w:cstheme="minorHAnsi"/>
                          <w:b/>
                          <w:i/>
                          <w:sz w:val="20"/>
                          <w:szCs w:val="20"/>
                        </w:rPr>
                        <w:t xml:space="preserve"> Chief Justice Muria, Kiribati </w:t>
                      </w:r>
                      <w:r w:rsidRPr="00560223">
                        <w:rPr>
                          <w:rFonts w:cstheme="minorHAnsi"/>
                          <w:i/>
                          <w:sz w:val="20"/>
                          <w:szCs w:val="20"/>
                        </w:rPr>
                        <w:t>(Retired)</w:t>
                      </w:r>
                    </w:p>
                  </w:txbxContent>
                </v:textbox>
                <w10:wrap type="square" anchorx="margin"/>
              </v:shape>
            </w:pict>
          </mc:Fallback>
        </mc:AlternateContent>
      </w:r>
      <w:r w:rsidR="009F54DE" w:rsidRPr="000E4AF7">
        <w:rPr>
          <w:sz w:val="22"/>
          <w:szCs w:val="22"/>
          <w:lang w:val="en-AU"/>
        </w:rPr>
        <w:t>These fundaments were the prerequisites to the PJSIs interventions</w:t>
      </w:r>
      <w:r w:rsidR="00D804BA" w:rsidRPr="000E4AF7">
        <w:rPr>
          <w:sz w:val="22"/>
          <w:szCs w:val="22"/>
          <w:lang w:val="en-AU"/>
        </w:rPr>
        <w:t>,</w:t>
      </w:r>
      <w:r w:rsidR="009F54DE" w:rsidRPr="000E4AF7">
        <w:rPr>
          <w:sz w:val="22"/>
          <w:szCs w:val="22"/>
          <w:lang w:val="en-AU"/>
        </w:rPr>
        <w:t xml:space="preserve"> and the results p</w:t>
      </w:r>
      <w:r w:rsidR="009F54DE" w:rsidRPr="00E417C5">
        <w:rPr>
          <w:sz w:val="22"/>
          <w:szCs w:val="22"/>
          <w:lang w:val="en-AU"/>
        </w:rPr>
        <w:t>roduced by Partner Courts</w:t>
      </w:r>
      <w:r w:rsidR="00922398" w:rsidRPr="00E417C5">
        <w:rPr>
          <w:sz w:val="22"/>
          <w:szCs w:val="22"/>
          <w:lang w:val="en-AU"/>
        </w:rPr>
        <w:t xml:space="preserve">. </w:t>
      </w:r>
      <w:r w:rsidR="009F54DE" w:rsidRPr="00E417C5">
        <w:rPr>
          <w:sz w:val="22"/>
          <w:szCs w:val="22"/>
          <w:lang w:val="en-AU"/>
        </w:rPr>
        <w:t xml:space="preserve">PJSI supported the achievement of </w:t>
      </w:r>
      <w:r w:rsidR="00061C30" w:rsidRPr="00E417C5">
        <w:rPr>
          <w:sz w:val="22"/>
          <w:szCs w:val="22"/>
          <w:lang w:val="en-AU"/>
        </w:rPr>
        <w:t>over 100 priority reform objectives</w:t>
      </w:r>
      <w:r w:rsidR="009F54DE" w:rsidRPr="00E417C5">
        <w:rPr>
          <w:sz w:val="22"/>
          <w:szCs w:val="22"/>
          <w:lang w:val="en-AU"/>
        </w:rPr>
        <w:t xml:space="preserve"> across the region</w:t>
      </w:r>
      <w:r w:rsidR="008374C9" w:rsidRPr="00E417C5">
        <w:rPr>
          <w:rStyle w:val="FootnoteReference"/>
          <w:sz w:val="22"/>
          <w:szCs w:val="22"/>
          <w:lang w:val="en-AU"/>
        </w:rPr>
        <w:footnoteReference w:id="6"/>
      </w:r>
      <w:r w:rsidR="009F54DE" w:rsidRPr="00E417C5">
        <w:rPr>
          <w:sz w:val="22"/>
          <w:szCs w:val="22"/>
          <w:lang w:val="en-AU"/>
        </w:rPr>
        <w:t xml:space="preserve">, more than double its target of 50. </w:t>
      </w:r>
      <w:r w:rsidR="008374C9" w:rsidRPr="00E417C5">
        <w:rPr>
          <w:sz w:val="22"/>
          <w:szCs w:val="22"/>
          <w:lang w:val="en-AU"/>
        </w:rPr>
        <w:t xml:space="preserve"> </w:t>
      </w:r>
      <w:r w:rsidR="009F54DE" w:rsidRPr="00E417C5">
        <w:rPr>
          <w:sz w:val="22"/>
          <w:szCs w:val="22"/>
          <w:lang w:val="en-AU"/>
        </w:rPr>
        <w:t xml:space="preserve">All these reforms were part of strategic plans – the development of which has increased fourfold since the beginning of PJSI. Furthermore, Partner Courts led </w:t>
      </w:r>
      <w:r w:rsidR="00FF4AD6" w:rsidRPr="00E417C5">
        <w:rPr>
          <w:sz w:val="22"/>
          <w:szCs w:val="22"/>
          <w:lang w:val="en-AU"/>
        </w:rPr>
        <w:t>8</w:t>
      </w:r>
      <w:r w:rsidR="009F54DE" w:rsidRPr="00E417C5">
        <w:rPr>
          <w:sz w:val="22"/>
          <w:szCs w:val="22"/>
          <w:lang w:val="en-AU"/>
        </w:rPr>
        <w:t>7 priority activities locally. The successful execution of plans and constituent activities demonstrate that PJSI achieved it</w:t>
      </w:r>
      <w:r w:rsidR="009F54DE" w:rsidRPr="000E4AF7">
        <w:rPr>
          <w:sz w:val="22"/>
          <w:szCs w:val="22"/>
          <w:lang w:val="en-AU"/>
        </w:rPr>
        <w:t xml:space="preserve"> objective of </w:t>
      </w:r>
      <w:r w:rsidR="009F54DE" w:rsidRPr="000E4AF7">
        <w:rPr>
          <w:b/>
          <w:i/>
          <w:sz w:val="22"/>
          <w:szCs w:val="22"/>
          <w:lang w:val="en-AU"/>
        </w:rPr>
        <w:t>courts leading and managing change locally</w:t>
      </w:r>
      <w:r w:rsidR="009F54DE" w:rsidRPr="000E4AF7">
        <w:rPr>
          <w:sz w:val="22"/>
          <w:szCs w:val="22"/>
          <w:lang w:val="en-AU"/>
        </w:rPr>
        <w:t xml:space="preserve">. </w:t>
      </w:r>
    </w:p>
    <w:p w14:paraId="0D2D3BDE" w14:textId="77777777" w:rsidR="000107EE" w:rsidRDefault="00794AD9" w:rsidP="00D4761C">
      <w:pPr>
        <w:spacing w:before="120" w:after="120"/>
        <w:rPr>
          <w:sz w:val="22"/>
        </w:rPr>
      </w:pPr>
      <w:r w:rsidRPr="00560223">
        <w:rPr>
          <w:sz w:val="22"/>
        </w:rPr>
        <w:t xml:space="preserve">Many Partner Courts achieved significant results by combining their investment in multiple projects. </w:t>
      </w:r>
      <w:r w:rsidR="00AC0AB2" w:rsidRPr="00560223">
        <w:rPr>
          <w:sz w:val="22"/>
        </w:rPr>
        <w:t>Some of their stories are provide</w:t>
      </w:r>
      <w:r w:rsidR="00D4761C" w:rsidRPr="00560223">
        <w:rPr>
          <w:sz w:val="22"/>
        </w:rPr>
        <w:t>d throughout this section</w:t>
      </w:r>
      <w:r w:rsidR="00AC0AB2" w:rsidRPr="00560223">
        <w:rPr>
          <w:sz w:val="22"/>
        </w:rPr>
        <w:t>. The remainder</w:t>
      </w:r>
      <w:r w:rsidRPr="00560223">
        <w:rPr>
          <w:sz w:val="22"/>
        </w:rPr>
        <w:t xml:space="preserve"> are included at Annex One.</w:t>
      </w:r>
      <w:r w:rsidR="000107EE">
        <w:rPr>
          <w:sz w:val="22"/>
        </w:rPr>
        <w:t xml:space="preserve"> </w:t>
      </w:r>
    </w:p>
    <w:p w14:paraId="3B64265F" w14:textId="48A9464D" w:rsidR="00325B21" w:rsidRDefault="00325B21" w:rsidP="00D4761C">
      <w:pPr>
        <w:spacing w:before="120" w:after="120"/>
      </w:pPr>
    </w:p>
    <w:p w14:paraId="0A1247DD" w14:textId="53538033" w:rsidR="00AC0AB2" w:rsidRPr="00D4761C" w:rsidRDefault="00AC0AB2" w:rsidP="00D4761C"/>
    <w:p w14:paraId="788C3D79" w14:textId="2B3180C8" w:rsidR="00325B21" w:rsidRDefault="00325B21" w:rsidP="009F54DE">
      <w:pPr>
        <w:pStyle w:val="ListBullet"/>
        <w:numPr>
          <w:ilvl w:val="0"/>
          <w:numId w:val="0"/>
        </w:numPr>
        <w:tabs>
          <w:tab w:val="left" w:pos="720"/>
        </w:tabs>
        <w:spacing w:after="120" w:line="240" w:lineRule="auto"/>
        <w:rPr>
          <w:rFonts w:asciiTheme="minorHAnsi" w:eastAsiaTheme="minorEastAsia" w:hAnsiTheme="minorHAnsi" w:cstheme="minorHAnsi"/>
          <w:b/>
          <w:sz w:val="22"/>
          <w:szCs w:val="22"/>
          <w:lang w:val="en-AU"/>
        </w:rPr>
      </w:pPr>
      <w:bookmarkStart w:id="13" w:name="_Toc74409717"/>
      <w:bookmarkStart w:id="14" w:name="_Toc74409934"/>
    </w:p>
    <w:p w14:paraId="0DB77888" w14:textId="4AF65272" w:rsidR="00325B21" w:rsidRDefault="00325B21" w:rsidP="009F54DE">
      <w:pPr>
        <w:pStyle w:val="ListBullet"/>
        <w:numPr>
          <w:ilvl w:val="0"/>
          <w:numId w:val="0"/>
        </w:numPr>
        <w:tabs>
          <w:tab w:val="left" w:pos="720"/>
        </w:tabs>
        <w:spacing w:after="120" w:line="240" w:lineRule="auto"/>
        <w:rPr>
          <w:rFonts w:asciiTheme="minorHAnsi" w:eastAsiaTheme="minorEastAsia" w:hAnsiTheme="minorHAnsi" w:cstheme="minorHAnsi"/>
          <w:b/>
          <w:sz w:val="22"/>
          <w:szCs w:val="22"/>
          <w:lang w:val="en-AU"/>
        </w:rPr>
      </w:pPr>
    </w:p>
    <w:p w14:paraId="7B28C5E2" w14:textId="4B395E9D" w:rsidR="00325B21" w:rsidRDefault="00325B21" w:rsidP="009F54DE">
      <w:pPr>
        <w:pStyle w:val="ListBullet"/>
        <w:numPr>
          <w:ilvl w:val="0"/>
          <w:numId w:val="0"/>
        </w:numPr>
        <w:tabs>
          <w:tab w:val="left" w:pos="720"/>
        </w:tabs>
        <w:spacing w:after="120" w:line="240" w:lineRule="auto"/>
        <w:rPr>
          <w:rFonts w:asciiTheme="minorHAnsi" w:eastAsiaTheme="minorEastAsia" w:hAnsiTheme="minorHAnsi" w:cstheme="minorHAnsi"/>
          <w:b/>
          <w:sz w:val="22"/>
          <w:szCs w:val="22"/>
          <w:lang w:val="en-AU"/>
        </w:rPr>
      </w:pPr>
    </w:p>
    <w:p w14:paraId="6477DF0B" w14:textId="77777777" w:rsidR="00325B21" w:rsidRDefault="00325B21" w:rsidP="009F54DE">
      <w:pPr>
        <w:pStyle w:val="ListBullet"/>
        <w:numPr>
          <w:ilvl w:val="0"/>
          <w:numId w:val="0"/>
        </w:numPr>
        <w:tabs>
          <w:tab w:val="left" w:pos="720"/>
        </w:tabs>
        <w:spacing w:after="120" w:line="240" w:lineRule="auto"/>
        <w:rPr>
          <w:rFonts w:asciiTheme="minorHAnsi" w:eastAsiaTheme="minorEastAsia" w:hAnsiTheme="minorHAnsi" w:cstheme="minorHAnsi"/>
          <w:b/>
          <w:sz w:val="22"/>
          <w:szCs w:val="22"/>
          <w:lang w:val="en-AU"/>
        </w:rPr>
      </w:pPr>
    </w:p>
    <w:p w14:paraId="6132F169" w14:textId="6DC9BA6A" w:rsidR="00325B21" w:rsidRDefault="00325B21" w:rsidP="00560223">
      <w:pPr>
        <w:pStyle w:val="ListBullet"/>
        <w:numPr>
          <w:ilvl w:val="0"/>
          <w:numId w:val="0"/>
        </w:numPr>
        <w:tabs>
          <w:tab w:val="left" w:pos="720"/>
        </w:tabs>
        <w:spacing w:line="240" w:lineRule="auto"/>
        <w:rPr>
          <w:rFonts w:asciiTheme="minorHAnsi" w:eastAsiaTheme="minorEastAsia" w:hAnsiTheme="minorHAnsi" w:cstheme="minorHAnsi"/>
          <w:b/>
          <w:sz w:val="22"/>
          <w:szCs w:val="22"/>
          <w:lang w:val="en-AU"/>
        </w:rPr>
      </w:pPr>
      <w:r w:rsidRPr="00F34A39">
        <w:rPr>
          <w:rFonts w:cstheme="minorHAnsi"/>
          <w:noProof/>
          <w:sz w:val="22"/>
          <w:szCs w:val="22"/>
          <w:lang w:val="en-AU" w:eastAsia="en-AU" w:bidi="ar-SA"/>
        </w:rPr>
        <w:lastRenderedPageBreak/>
        <w:drawing>
          <wp:anchor distT="0" distB="0" distL="114300" distR="114300" simplePos="0" relativeHeight="251621888" behindDoc="1" locked="0" layoutInCell="1" allowOverlap="1" wp14:anchorId="2481E0F7" wp14:editId="0A26508B">
            <wp:simplePos x="0" y="0"/>
            <wp:positionH relativeFrom="margin">
              <wp:align>right</wp:align>
            </wp:positionH>
            <wp:positionV relativeFrom="paragraph">
              <wp:posOffset>94615</wp:posOffset>
            </wp:positionV>
            <wp:extent cx="5815965" cy="719455"/>
            <wp:effectExtent l="0" t="0" r="13335" b="4445"/>
            <wp:wrapTight wrapText="bothSides">
              <wp:wrapPolygon edited="0">
                <wp:start x="142" y="0"/>
                <wp:lineTo x="0" y="8579"/>
                <wp:lineTo x="0" y="14298"/>
                <wp:lineTo x="142" y="21162"/>
                <wp:lineTo x="566" y="21162"/>
                <wp:lineTo x="708" y="19446"/>
                <wp:lineTo x="21579" y="16586"/>
                <wp:lineTo x="21579" y="4575"/>
                <wp:lineTo x="566" y="0"/>
                <wp:lineTo x="142" y="0"/>
              </wp:wrapPolygon>
            </wp:wrapTight>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p>
    <w:p w14:paraId="683241C4" w14:textId="2E9D2F1A" w:rsidR="00325B21" w:rsidRPr="00325B21" w:rsidRDefault="00325B21" w:rsidP="009F54DE">
      <w:pPr>
        <w:pStyle w:val="ListBullet"/>
        <w:numPr>
          <w:ilvl w:val="0"/>
          <w:numId w:val="0"/>
        </w:numPr>
        <w:tabs>
          <w:tab w:val="left" w:pos="720"/>
        </w:tabs>
        <w:spacing w:after="120" w:line="240" w:lineRule="auto"/>
        <w:rPr>
          <w:rFonts w:asciiTheme="minorHAnsi" w:eastAsiaTheme="minorEastAsia" w:hAnsiTheme="minorHAnsi" w:cstheme="minorHAnsi"/>
          <w:b/>
          <w:sz w:val="10"/>
          <w:szCs w:val="22"/>
          <w:lang w:val="en-AU"/>
        </w:rPr>
      </w:pPr>
    </w:p>
    <w:bookmarkEnd w:id="13"/>
    <w:bookmarkEnd w:id="14"/>
    <w:p w14:paraId="5AA32CDE" w14:textId="0A876B6C" w:rsidR="00AC0AB2" w:rsidRDefault="00325B21" w:rsidP="009F54DE">
      <w:pPr>
        <w:pStyle w:val="ListBullet"/>
        <w:numPr>
          <w:ilvl w:val="0"/>
          <w:numId w:val="0"/>
        </w:numPr>
        <w:tabs>
          <w:tab w:val="left" w:pos="720"/>
        </w:tabs>
        <w:spacing w:after="120" w:line="240" w:lineRule="auto"/>
        <w:rPr>
          <w:rFonts w:asciiTheme="minorHAnsi" w:hAnsiTheme="minorHAnsi" w:cstheme="minorHAnsi"/>
          <w:sz w:val="22"/>
          <w:szCs w:val="22"/>
          <w:lang w:val="en-AU"/>
        </w:rPr>
      </w:pPr>
      <w:r w:rsidRPr="00250110">
        <w:rPr>
          <w:rFonts w:cstheme="minorHAnsi"/>
          <w:b/>
          <w:noProof/>
          <w:color w:val="806600" w:themeColor="accent6" w:themeShade="80"/>
          <w:sz w:val="26"/>
          <w:szCs w:val="26"/>
          <w:lang w:val="en-AU" w:eastAsia="en-AU" w:bidi="ar-SA"/>
        </w:rPr>
        <mc:AlternateContent>
          <mc:Choice Requires="wps">
            <w:drawing>
              <wp:anchor distT="0" distB="0" distL="114300" distR="114300" simplePos="0" relativeHeight="251662848" behindDoc="0" locked="0" layoutInCell="1" allowOverlap="1" wp14:anchorId="350E14B8" wp14:editId="7AECA78E">
                <wp:simplePos x="0" y="0"/>
                <wp:positionH relativeFrom="margin">
                  <wp:align>right</wp:align>
                </wp:positionH>
                <wp:positionV relativeFrom="paragraph">
                  <wp:posOffset>2595245</wp:posOffset>
                </wp:positionV>
                <wp:extent cx="5791200" cy="5238750"/>
                <wp:effectExtent l="19050" t="19050" r="19050" b="19050"/>
                <wp:wrapSquare wrapText="bothSides"/>
                <wp:docPr id="3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5238750"/>
                        </a:xfrm>
                        <a:prstGeom prst="rect">
                          <a:avLst/>
                        </a:prstGeom>
                        <a:ln w="28575">
                          <a:solidFill>
                            <a:schemeClr val="accent3"/>
                          </a:solidFill>
                          <a:headEnd/>
                          <a:tailEnd/>
                        </a:ln>
                      </wps:spPr>
                      <wps:style>
                        <a:lnRef idx="2">
                          <a:schemeClr val="accent5"/>
                        </a:lnRef>
                        <a:fillRef idx="1">
                          <a:schemeClr val="lt1"/>
                        </a:fillRef>
                        <a:effectRef idx="0">
                          <a:schemeClr val="accent5"/>
                        </a:effectRef>
                        <a:fontRef idx="minor">
                          <a:schemeClr val="dk1"/>
                        </a:fontRef>
                      </wps:style>
                      <wps:txbx>
                        <w:txbxContent>
                          <w:p w14:paraId="2509E621" w14:textId="77777777" w:rsidR="00CA4E85" w:rsidRPr="00995634" w:rsidRDefault="00CA4E85" w:rsidP="00794AD9">
                            <w:pPr>
                              <w:autoSpaceDE w:val="0"/>
                              <w:autoSpaceDN w:val="0"/>
                              <w:adjustRightInd w:val="0"/>
                              <w:spacing w:before="120" w:after="120"/>
                              <w:jc w:val="center"/>
                              <w:rPr>
                                <w:rFonts w:cstheme="minorHAnsi"/>
                                <w:b/>
                                <w:color w:val="00667C" w:themeColor="accent1"/>
                                <w:sz w:val="26"/>
                                <w:szCs w:val="26"/>
                              </w:rPr>
                            </w:pPr>
                            <w:r w:rsidRPr="00995634">
                              <w:rPr>
                                <w:rFonts w:cstheme="minorHAnsi"/>
                                <w:b/>
                                <w:color w:val="00667C" w:themeColor="accent1"/>
                                <w:sz w:val="26"/>
                                <w:szCs w:val="26"/>
                              </w:rPr>
                              <w:t>Republic of the Marshall Islands</w:t>
                            </w:r>
                          </w:p>
                          <w:p w14:paraId="15FA1166" w14:textId="77777777" w:rsidR="00CA4E85" w:rsidRPr="005E0DD2" w:rsidRDefault="00CA4E85" w:rsidP="005E0DD2">
                            <w:pPr>
                              <w:autoSpaceDE w:val="0"/>
                              <w:autoSpaceDN w:val="0"/>
                              <w:adjustRightInd w:val="0"/>
                              <w:spacing w:before="120"/>
                              <w:rPr>
                                <w:rFonts w:cstheme="minorHAnsi"/>
                                <w:i/>
                                <w:color w:val="000000"/>
                                <w:sz w:val="22"/>
                                <w:szCs w:val="22"/>
                              </w:rPr>
                            </w:pPr>
                            <w:r w:rsidRPr="005E0DD2">
                              <w:rPr>
                                <w:rFonts w:cstheme="minorHAnsi"/>
                                <w:i/>
                                <w:color w:val="000000"/>
                                <w:sz w:val="22"/>
                                <w:szCs w:val="22"/>
                              </w:rPr>
                              <w:t>PJSI/PJDP have proven to be of great value.  The programs have assisted the Marshall Islands Judiciary in its effort to provide access to a fair, efficient, and effective judiciary. RMI was the first court in the region to publicly publish its performance against the Cook Islands Indicators. We have done so each year since 2011. This enabled us to provide objective evidence over time that the judiciary is performing efficiently and that its requests for funding major projects are merited. This include a new courthouse to serve the people of Ebeye. On the basis of its documented evidence, $1.2M had been allocated for the new courthouse. We also include and use the results of access and fairness surveys to further improve our services.</w:t>
                            </w:r>
                          </w:p>
                          <w:p w14:paraId="357A2DBA" w14:textId="77777777" w:rsidR="00CA4E85" w:rsidRPr="005E0DD2" w:rsidRDefault="00CA4E85" w:rsidP="005E0DD2">
                            <w:pPr>
                              <w:autoSpaceDE w:val="0"/>
                              <w:autoSpaceDN w:val="0"/>
                              <w:adjustRightInd w:val="0"/>
                              <w:spacing w:before="120"/>
                              <w:rPr>
                                <w:rFonts w:cstheme="minorHAnsi"/>
                                <w:i/>
                                <w:color w:val="000000"/>
                                <w:sz w:val="22"/>
                                <w:szCs w:val="22"/>
                              </w:rPr>
                            </w:pPr>
                            <w:r w:rsidRPr="005E0DD2">
                              <w:rPr>
                                <w:rFonts w:cstheme="minorHAnsi"/>
                                <w:i/>
                                <w:color w:val="000000"/>
                                <w:sz w:val="22"/>
                                <w:szCs w:val="22"/>
                              </w:rPr>
                              <w:t>PJSI/PJDP assisted us to reduce backlogs and the levels of pending cases. Moving from cumbersome Excel case sheets to a Case Tracking System has significantly improved our ability to manage our caseload. Judges and staff can determine if cases are moving to conclusion and take action if they are not. With PJSI’s encouragement, we also have lowered or eliminated fees for vulnerable parties, broadly published information about fee waivers, forms and court services and adopted clear procedures for Ge</w:t>
                            </w:r>
                            <w:r>
                              <w:rPr>
                                <w:rFonts w:cstheme="minorHAnsi"/>
                                <w:i/>
                                <w:color w:val="000000"/>
                                <w:sz w:val="22"/>
                                <w:szCs w:val="22"/>
                              </w:rPr>
                              <w:t>nder and Family Violence cases.</w:t>
                            </w:r>
                          </w:p>
                          <w:p w14:paraId="2B3910D6" w14:textId="77777777" w:rsidR="00CA4E85" w:rsidRPr="005E0DD2" w:rsidRDefault="00CA4E85" w:rsidP="005E0DD2">
                            <w:pPr>
                              <w:autoSpaceDE w:val="0"/>
                              <w:autoSpaceDN w:val="0"/>
                              <w:adjustRightInd w:val="0"/>
                              <w:spacing w:before="120"/>
                              <w:rPr>
                                <w:rFonts w:cstheme="minorHAnsi"/>
                                <w:i/>
                                <w:color w:val="000000"/>
                                <w:sz w:val="22"/>
                                <w:szCs w:val="22"/>
                              </w:rPr>
                            </w:pPr>
                            <w:r w:rsidRPr="005E0DD2">
                              <w:rPr>
                                <w:rFonts w:cstheme="minorHAnsi"/>
                                <w:i/>
                                <w:color w:val="000000"/>
                                <w:sz w:val="22"/>
                                <w:szCs w:val="22"/>
                              </w:rPr>
                              <w:t>The PJSI partnership with USP has enabled lay-judges and staff to take courses toward a Certificate of Justice and Diploma of Justice. It is our hope that through this path, lay-judges and staff can eventually earn an LLB degree. Our most recent graduate is now studying for an the LLB degree, and is assisting Traditional Rights Court judges and District Court judges design and deliver training for Community Court judges. Through PJSI Train-the-Trainer workshops, we provide more effective training for our ou</w:t>
                            </w:r>
                            <w:r>
                              <w:rPr>
                                <w:rFonts w:cstheme="minorHAnsi"/>
                                <w:i/>
                                <w:color w:val="000000"/>
                                <w:sz w:val="22"/>
                                <w:szCs w:val="22"/>
                              </w:rPr>
                              <w:t>ter-island lay-judges.</w:t>
                            </w:r>
                          </w:p>
                          <w:p w14:paraId="4747BA88" w14:textId="77777777" w:rsidR="00CA4E85" w:rsidRDefault="00CA4E85" w:rsidP="005E0DD2">
                            <w:pPr>
                              <w:autoSpaceDE w:val="0"/>
                              <w:autoSpaceDN w:val="0"/>
                              <w:adjustRightInd w:val="0"/>
                              <w:spacing w:before="120"/>
                              <w:rPr>
                                <w:rFonts w:cstheme="minorHAnsi"/>
                                <w:i/>
                                <w:color w:val="000000"/>
                                <w:sz w:val="22"/>
                                <w:szCs w:val="22"/>
                              </w:rPr>
                            </w:pPr>
                            <w:r w:rsidRPr="005E0DD2">
                              <w:rPr>
                                <w:rFonts w:cstheme="minorHAnsi"/>
                                <w:i/>
                                <w:color w:val="000000"/>
                                <w:sz w:val="22"/>
                                <w:szCs w:val="22"/>
                              </w:rPr>
                              <w:t>These results combine to demonstrate that we are more responsive, efficient and professional. We work with a sense of urgency to make sure things are dealt with in a timely and appropriate manner and ensure nothing falls through the cracks or gets lost in the system. We are extremely grateful to have been a part of PJDP/PJSI programs that have helped us bring about positive changes and improvements, for individuals and the R</w:t>
                            </w:r>
                            <w:r>
                              <w:rPr>
                                <w:rFonts w:cstheme="minorHAnsi"/>
                                <w:i/>
                                <w:color w:val="000000"/>
                                <w:sz w:val="22"/>
                                <w:szCs w:val="22"/>
                              </w:rPr>
                              <w:t>MI Judiciary as an institution.</w:t>
                            </w:r>
                          </w:p>
                          <w:p w14:paraId="25CBD69D" w14:textId="77777777" w:rsidR="00CA4E85" w:rsidRPr="005A5EEC" w:rsidRDefault="00CA4E85" w:rsidP="005E0DD2">
                            <w:pPr>
                              <w:autoSpaceDE w:val="0"/>
                              <w:autoSpaceDN w:val="0"/>
                              <w:adjustRightInd w:val="0"/>
                              <w:spacing w:before="120"/>
                              <w:jc w:val="right"/>
                              <w:rPr>
                                <w:sz w:val="20"/>
                                <w:szCs w:val="20"/>
                                <w:lang w:val="en-AU"/>
                              </w:rPr>
                            </w:pPr>
                            <w:r w:rsidRPr="005E0DD2">
                              <w:rPr>
                                <w:rFonts w:cstheme="minorHAnsi"/>
                                <w:b/>
                                <w:i/>
                                <w:color w:val="000000"/>
                                <w:sz w:val="20"/>
                                <w:szCs w:val="20"/>
                              </w:rPr>
                              <w:t>The Hon. Chief Justice Ingram</w:t>
                            </w:r>
                          </w:p>
                          <w:p w14:paraId="17F50B65" w14:textId="77777777" w:rsidR="00CA4E85" w:rsidRDefault="00CA4E85" w:rsidP="005E0DD2"/>
                          <w:p w14:paraId="7178459B" w14:textId="77777777" w:rsidR="00CA4E85" w:rsidRDefault="00CA4E85" w:rsidP="005E0DD2">
                            <w:pPr>
                              <w:autoSpaceDE w:val="0"/>
                              <w:autoSpaceDN w:val="0"/>
                              <w:adjustRightInd w:val="0"/>
                              <w:spacing w:after="12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E14B8" id="_x0000_s1033" type="#_x0000_t202" style="position:absolute;margin-left:404.8pt;margin-top:204.35pt;width:456pt;height:412.5pt;z-index:251662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ed0ZgIAAAcFAAAOAAAAZHJzL2Uyb0RvYy54bWysVG1v0zAQ/o7Ef7D8nabJGtpFS6fRMYQ0&#10;XsTGD3Adp7Hm+IztNim/nrOThjKQkBBfIjt399w9d8/56rpvFTkI6yTokqazOSVCc6ik3pX06+Pd&#10;qxUlzjNdMQValPQoHL1ev3xx1ZlCZNCAqoQlCKJd0ZmSNt6bIkkcb0TL3AyM0GiswbbM49Xuksqy&#10;DtFblWTz+eukA1sZC1w4h39vByNdR/y6Ftx/qmsnPFElxdp8/Nr43YZvsr5ixc4y00g+lsH+oYqW&#10;SY1JJ6hb5hnZW/kbVCu5BQe1n3FoE6hryUXkgGzS+TM2Dw0zInLB5jgztcn9P1j+8fDZElmV9CJd&#10;pZRo1uKUHkXvyRvoSRYa1BlXoN+DQU/f428cdCTrzD3wJ0c0bBqmd+LGWugawSosMA2RyVnogOMC&#10;yLb7ABWmYXsPEaivbRu6h/0giI6DOk7DCaVw/JkvL1OcOCUcbXl2sVrmcXwJK07hxjr/TkBLwqGk&#10;Fqcf4dnh3vlQDitOLiGb0qQrabbKl/lAB5Ss7qRSwRgVKDbKkgND7TDOhfYXkRQazz0D4be6ikry&#10;TKrhjLmUHjsQSI/0/VGJIfcXUWPfkVg2JA+Kf54vH/Mpjd4hrMbqpsBxCL8GKj90fvINYSJuwhQ4&#10;/3vGKSJmBe2n4FZqsH8CqJ6mzIP/if3AOUjB99s+im150tUWqiMqwsKwmfiS4KEB+52SDreypO7b&#10;nllBiXqvUVWX6WIR1jheFvkyw4s9t2zPLUxzhCqpp2Q4bnxc/cBJww2qr5ZRF6G2oZKxZty2KJfx&#10;ZQjrfH6PXj/fr/UPAAAA//8DAFBLAwQUAAYACAAAACEARGfFod8AAAAJAQAADwAAAGRycy9kb3du&#10;cmV2LnhtbEyPzU7DMBCE70i8g7VI3KiTFEgb4lT8qEKVuBAQZzdekqj2OsRuGt6e5QTHnRnNflNu&#10;ZmfFhGPoPSlIFwkIpMabnloF72/bqxWIEDUZbT2hgm8MsKnOz0pdGH+iV5zq2AouoVBoBV2MQyFl&#10;aDp0Oiz8gMTepx+djnyOrTSjPnG5szJLklvpdE/8odMDPnbYHOqjUxAe4stNPDzn693Uftiatk+7&#10;r1Spy4v5/g5ExDn+heEXn9GhYqa9P5IJwirgIVHBdbLKQbC9TjNW9pzLlsscZFXK/wuqHwAAAP//&#10;AwBQSwECLQAUAAYACAAAACEAtoM4kv4AAADhAQAAEwAAAAAAAAAAAAAAAAAAAAAAW0NvbnRlbnRf&#10;VHlwZXNdLnhtbFBLAQItABQABgAIAAAAIQA4/SH/1gAAAJQBAAALAAAAAAAAAAAAAAAAAC8BAABf&#10;cmVscy8ucmVsc1BLAQItABQABgAIAAAAIQC6fed0ZgIAAAcFAAAOAAAAAAAAAAAAAAAAAC4CAABk&#10;cnMvZTJvRG9jLnhtbFBLAQItABQABgAIAAAAIQBEZ8Wh3wAAAAkBAAAPAAAAAAAAAAAAAAAAAMAE&#10;AABkcnMvZG93bnJldi54bWxQSwUGAAAAAAQABADzAAAAzAUAAAAA&#10;" fillcolor="white [3201]" strokecolor="#b31b34 [3206]" strokeweight="2.25pt">
                <v:textbox>
                  <w:txbxContent>
                    <w:p w14:paraId="2509E621" w14:textId="77777777" w:rsidR="00CA4E85" w:rsidRPr="00995634" w:rsidRDefault="00CA4E85" w:rsidP="00794AD9">
                      <w:pPr>
                        <w:autoSpaceDE w:val="0"/>
                        <w:autoSpaceDN w:val="0"/>
                        <w:adjustRightInd w:val="0"/>
                        <w:spacing w:before="120" w:after="120"/>
                        <w:jc w:val="center"/>
                        <w:rPr>
                          <w:rFonts w:cstheme="minorHAnsi"/>
                          <w:b/>
                          <w:color w:val="00667C" w:themeColor="accent1"/>
                          <w:sz w:val="26"/>
                          <w:szCs w:val="26"/>
                        </w:rPr>
                      </w:pPr>
                      <w:r w:rsidRPr="00995634">
                        <w:rPr>
                          <w:rFonts w:cstheme="minorHAnsi"/>
                          <w:b/>
                          <w:color w:val="00667C" w:themeColor="accent1"/>
                          <w:sz w:val="26"/>
                          <w:szCs w:val="26"/>
                        </w:rPr>
                        <w:t>Republic of the Marshall Islands</w:t>
                      </w:r>
                    </w:p>
                    <w:p w14:paraId="15FA1166" w14:textId="77777777" w:rsidR="00CA4E85" w:rsidRPr="005E0DD2" w:rsidRDefault="00CA4E85" w:rsidP="005E0DD2">
                      <w:pPr>
                        <w:autoSpaceDE w:val="0"/>
                        <w:autoSpaceDN w:val="0"/>
                        <w:adjustRightInd w:val="0"/>
                        <w:spacing w:before="120"/>
                        <w:rPr>
                          <w:rFonts w:cstheme="minorHAnsi"/>
                          <w:i/>
                          <w:color w:val="000000"/>
                          <w:sz w:val="22"/>
                          <w:szCs w:val="22"/>
                        </w:rPr>
                      </w:pPr>
                      <w:r w:rsidRPr="005E0DD2">
                        <w:rPr>
                          <w:rFonts w:cstheme="minorHAnsi"/>
                          <w:i/>
                          <w:color w:val="000000"/>
                          <w:sz w:val="22"/>
                          <w:szCs w:val="22"/>
                        </w:rPr>
                        <w:t>PJSI/PJDP have proven to be of great value.  The programs have assisted the Marshall Islands Judiciary in its effort to provide access to a fair, efficient, and effective judiciary. RMI was the first court in the region to publicly publish its performance against the Cook Islands Indicators. We have done so each year since 2011. This enabled us to provide objective evidence over time that the judiciary is performing efficiently and that its requests for funding major projects are merited. This include a new courthouse to serve the people of Ebeye. On the basis of its documented evidence, $1.2M had been allocated for the new courthouse. We also include and use the results of access and fairness surveys to further improve our services.</w:t>
                      </w:r>
                    </w:p>
                    <w:p w14:paraId="357A2DBA" w14:textId="77777777" w:rsidR="00CA4E85" w:rsidRPr="005E0DD2" w:rsidRDefault="00CA4E85" w:rsidP="005E0DD2">
                      <w:pPr>
                        <w:autoSpaceDE w:val="0"/>
                        <w:autoSpaceDN w:val="0"/>
                        <w:adjustRightInd w:val="0"/>
                        <w:spacing w:before="120"/>
                        <w:rPr>
                          <w:rFonts w:cstheme="minorHAnsi"/>
                          <w:i/>
                          <w:color w:val="000000"/>
                          <w:sz w:val="22"/>
                          <w:szCs w:val="22"/>
                        </w:rPr>
                      </w:pPr>
                      <w:r w:rsidRPr="005E0DD2">
                        <w:rPr>
                          <w:rFonts w:cstheme="minorHAnsi"/>
                          <w:i/>
                          <w:color w:val="000000"/>
                          <w:sz w:val="22"/>
                          <w:szCs w:val="22"/>
                        </w:rPr>
                        <w:t>PJSI/PJDP assisted us to reduce backlogs and the levels of pending cases. Moving from cumbersome Excel case sheets to a Case Tracking System has significantly improved our ability to manage our caseload. Judges and staff can determine if cases are moving to conclusion and take action if they are not. With PJSI’s encouragement, we also have lowered or eliminated fees for vulnerable parties, broadly published information about fee waivers, forms and court services and adopted clear procedures for Ge</w:t>
                      </w:r>
                      <w:r>
                        <w:rPr>
                          <w:rFonts w:cstheme="minorHAnsi"/>
                          <w:i/>
                          <w:color w:val="000000"/>
                          <w:sz w:val="22"/>
                          <w:szCs w:val="22"/>
                        </w:rPr>
                        <w:t>nder and Family Violence cases.</w:t>
                      </w:r>
                    </w:p>
                    <w:p w14:paraId="2B3910D6" w14:textId="77777777" w:rsidR="00CA4E85" w:rsidRPr="005E0DD2" w:rsidRDefault="00CA4E85" w:rsidP="005E0DD2">
                      <w:pPr>
                        <w:autoSpaceDE w:val="0"/>
                        <w:autoSpaceDN w:val="0"/>
                        <w:adjustRightInd w:val="0"/>
                        <w:spacing w:before="120"/>
                        <w:rPr>
                          <w:rFonts w:cstheme="minorHAnsi"/>
                          <w:i/>
                          <w:color w:val="000000"/>
                          <w:sz w:val="22"/>
                          <w:szCs w:val="22"/>
                        </w:rPr>
                      </w:pPr>
                      <w:r w:rsidRPr="005E0DD2">
                        <w:rPr>
                          <w:rFonts w:cstheme="minorHAnsi"/>
                          <w:i/>
                          <w:color w:val="000000"/>
                          <w:sz w:val="22"/>
                          <w:szCs w:val="22"/>
                        </w:rPr>
                        <w:t>The PJSI partnership with USP has enabled lay-judges and staff to take courses toward a Certificate of Justice and Diploma of Justice. It is our hope that through this path, lay-judges and staff can eventually earn an LLB degree. Our most recent graduate is now studying for an the LLB degree, and is assisting Traditional Rights Court judges and District Court judges design and deliver training for Community Court judges. Through PJSI Train-the-Trainer workshops, we provide more effective training for our ou</w:t>
                      </w:r>
                      <w:r>
                        <w:rPr>
                          <w:rFonts w:cstheme="minorHAnsi"/>
                          <w:i/>
                          <w:color w:val="000000"/>
                          <w:sz w:val="22"/>
                          <w:szCs w:val="22"/>
                        </w:rPr>
                        <w:t>ter-island lay-judges.</w:t>
                      </w:r>
                    </w:p>
                    <w:p w14:paraId="4747BA88" w14:textId="77777777" w:rsidR="00CA4E85" w:rsidRDefault="00CA4E85" w:rsidP="005E0DD2">
                      <w:pPr>
                        <w:autoSpaceDE w:val="0"/>
                        <w:autoSpaceDN w:val="0"/>
                        <w:adjustRightInd w:val="0"/>
                        <w:spacing w:before="120"/>
                        <w:rPr>
                          <w:rFonts w:cstheme="minorHAnsi"/>
                          <w:i/>
                          <w:color w:val="000000"/>
                          <w:sz w:val="22"/>
                          <w:szCs w:val="22"/>
                        </w:rPr>
                      </w:pPr>
                      <w:r w:rsidRPr="005E0DD2">
                        <w:rPr>
                          <w:rFonts w:cstheme="minorHAnsi"/>
                          <w:i/>
                          <w:color w:val="000000"/>
                          <w:sz w:val="22"/>
                          <w:szCs w:val="22"/>
                        </w:rPr>
                        <w:t>These results combine to demonstrate that we are more responsive, efficient and professional. We work with a sense of urgency to make sure things are dealt with in a timely and appropriate manner and ensure nothing falls through the cracks or gets lost in the system. We are extremely grateful to have been a part of PJDP/PJSI programs that have helped us bring about positive changes and improvements, for individuals and the R</w:t>
                      </w:r>
                      <w:r>
                        <w:rPr>
                          <w:rFonts w:cstheme="minorHAnsi"/>
                          <w:i/>
                          <w:color w:val="000000"/>
                          <w:sz w:val="22"/>
                          <w:szCs w:val="22"/>
                        </w:rPr>
                        <w:t>MI Judiciary as an institution.</w:t>
                      </w:r>
                    </w:p>
                    <w:p w14:paraId="25CBD69D" w14:textId="77777777" w:rsidR="00CA4E85" w:rsidRPr="005A5EEC" w:rsidRDefault="00CA4E85" w:rsidP="005E0DD2">
                      <w:pPr>
                        <w:autoSpaceDE w:val="0"/>
                        <w:autoSpaceDN w:val="0"/>
                        <w:adjustRightInd w:val="0"/>
                        <w:spacing w:before="120"/>
                        <w:jc w:val="right"/>
                        <w:rPr>
                          <w:sz w:val="20"/>
                          <w:szCs w:val="20"/>
                          <w:lang w:val="en-AU"/>
                        </w:rPr>
                      </w:pPr>
                      <w:r w:rsidRPr="005E0DD2">
                        <w:rPr>
                          <w:rFonts w:cstheme="minorHAnsi"/>
                          <w:b/>
                          <w:i/>
                          <w:color w:val="000000"/>
                          <w:sz w:val="20"/>
                          <w:szCs w:val="20"/>
                        </w:rPr>
                        <w:t>The Hon. Chief Justice Ingram</w:t>
                      </w:r>
                    </w:p>
                    <w:p w14:paraId="17F50B65" w14:textId="77777777" w:rsidR="00CA4E85" w:rsidRDefault="00CA4E85" w:rsidP="005E0DD2"/>
                    <w:p w14:paraId="7178459B" w14:textId="77777777" w:rsidR="00CA4E85" w:rsidRDefault="00CA4E85" w:rsidP="005E0DD2">
                      <w:pPr>
                        <w:autoSpaceDE w:val="0"/>
                        <w:autoSpaceDN w:val="0"/>
                        <w:adjustRightInd w:val="0"/>
                        <w:spacing w:after="120"/>
                      </w:pPr>
                    </w:p>
                  </w:txbxContent>
                </v:textbox>
                <w10:wrap type="square" anchorx="margin"/>
              </v:shape>
            </w:pict>
          </mc:Fallback>
        </mc:AlternateContent>
      </w:r>
      <w:r w:rsidRPr="00F34A39">
        <w:rPr>
          <w:rFonts w:cstheme="minorHAnsi"/>
          <w:noProof/>
          <w:color w:val="000000"/>
          <w:sz w:val="22"/>
          <w:szCs w:val="22"/>
          <w:lang w:val="en-AU" w:eastAsia="en-AU" w:bidi="ar-SA"/>
        </w:rPr>
        <mc:AlternateContent>
          <mc:Choice Requires="wps">
            <w:drawing>
              <wp:anchor distT="45720" distB="45720" distL="114300" distR="114300" simplePos="0" relativeHeight="251683328" behindDoc="1" locked="0" layoutInCell="1" allowOverlap="1" wp14:anchorId="6D0DB874" wp14:editId="63E4E23A">
                <wp:simplePos x="0" y="0"/>
                <wp:positionH relativeFrom="margin">
                  <wp:align>left</wp:align>
                </wp:positionH>
                <wp:positionV relativeFrom="paragraph">
                  <wp:posOffset>1126490</wp:posOffset>
                </wp:positionV>
                <wp:extent cx="2838450" cy="1313815"/>
                <wp:effectExtent l="19050" t="19050" r="19050" b="19685"/>
                <wp:wrapTight wrapText="bothSides">
                  <wp:wrapPolygon edited="0">
                    <wp:start x="-145" y="-313"/>
                    <wp:lineTo x="-145" y="21610"/>
                    <wp:lineTo x="21600" y="21610"/>
                    <wp:lineTo x="21600" y="-313"/>
                    <wp:lineTo x="-145" y="-313"/>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313815"/>
                        </a:xfrm>
                        <a:prstGeom prst="rect">
                          <a:avLst/>
                        </a:prstGeom>
                        <a:ln w="28575">
                          <a:solidFill>
                            <a:schemeClr val="accent1"/>
                          </a:solidFill>
                          <a:headEnd/>
                          <a:tailEnd/>
                        </a:ln>
                      </wps:spPr>
                      <wps:style>
                        <a:lnRef idx="2">
                          <a:schemeClr val="accent6"/>
                        </a:lnRef>
                        <a:fillRef idx="1">
                          <a:schemeClr val="lt1"/>
                        </a:fillRef>
                        <a:effectRef idx="0">
                          <a:schemeClr val="accent6"/>
                        </a:effectRef>
                        <a:fontRef idx="minor">
                          <a:schemeClr val="dk1"/>
                        </a:fontRef>
                      </wps:style>
                      <wps:txbx>
                        <w:txbxContent>
                          <w:p w14:paraId="2C3F91C0" w14:textId="77777777" w:rsidR="00CA4E85" w:rsidRDefault="00CA4E85" w:rsidP="00325B21">
                            <w:pPr>
                              <w:autoSpaceDE w:val="0"/>
                              <w:autoSpaceDN w:val="0"/>
                              <w:adjustRightInd w:val="0"/>
                              <w:rPr>
                                <w:rFonts w:cstheme="minorHAnsi"/>
                                <w:i/>
                                <w:color w:val="000000"/>
                                <w:sz w:val="20"/>
                                <w:szCs w:val="20"/>
                              </w:rPr>
                            </w:pPr>
                            <w:r>
                              <w:rPr>
                                <w:rFonts w:cstheme="minorHAnsi"/>
                                <w:i/>
                                <w:color w:val="000000"/>
                                <w:sz w:val="20"/>
                                <w:szCs w:val="20"/>
                              </w:rPr>
                              <w:t>“After my unlawful removal from office, I was given strong personal and rule of law support, which I believe would not have been given at all, or so confidently, had the PJDP program not been conducted. PJDP gave confidence to judges that they could resist such abuses of power.”</w:t>
                            </w:r>
                          </w:p>
                          <w:p w14:paraId="1DC73AC2" w14:textId="77777777" w:rsidR="00CA4E85" w:rsidRPr="00AF0BCA" w:rsidRDefault="00CA4E85" w:rsidP="00325B21">
                            <w:pPr>
                              <w:autoSpaceDE w:val="0"/>
                              <w:autoSpaceDN w:val="0"/>
                              <w:adjustRightInd w:val="0"/>
                              <w:spacing w:before="120"/>
                              <w:rPr>
                                <w:rFonts w:cstheme="minorHAnsi"/>
                                <w:i/>
                                <w:color w:val="000000"/>
                                <w:sz w:val="20"/>
                                <w:szCs w:val="20"/>
                              </w:rPr>
                            </w:pPr>
                            <w:r w:rsidRPr="006E44A3">
                              <w:rPr>
                                <w:rFonts w:cstheme="minorHAnsi"/>
                                <w:b/>
                                <w:i/>
                                <w:color w:val="000000"/>
                                <w:sz w:val="20"/>
                                <w:szCs w:val="20"/>
                              </w:rPr>
                              <w:t xml:space="preserve">Chief Justice Eames, Nauru </w:t>
                            </w:r>
                            <w:r w:rsidRPr="006E44A3">
                              <w:rPr>
                                <w:rFonts w:cstheme="minorHAnsi"/>
                                <w:i/>
                                <w:sz w:val="20"/>
                                <w:szCs w:val="20"/>
                              </w:rPr>
                              <w:t>(Retired)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DB874" id="_x0000_s1034" type="#_x0000_t202" style="position:absolute;margin-left:0;margin-top:88.7pt;width:223.5pt;height:103.45pt;z-index:-2516331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bhiYAIAAAQFAAAOAAAAZHJzL2Uyb0RvYy54bWysVG1v0zAQ/o7Ef7D8nabpy1aiptPoGEIa&#10;L2LjB7iO3VhzfMb2mpRfz9lJQxlISIgvlu27e+6e83NeX3WNJgfhvAJT0nwypUQYDpUy+5J+fbh9&#10;taLEB2YqpsGIkh6Fp1ebly/WrS3EDGrQlXAEQYwvWlvSOgRbZJnntWiYn4AVBo0SXMMCHt0+qxxr&#10;Eb3R2Ww6vchacJV1wIX3eHvTG+km4UspePgkpReB6JJibSGtLq27uGabNSv2jtla8aEM9g9VNEwZ&#10;TDpC3bDAyJNTv0E1ijvwIMOEQ5OBlIqLxAHZ5NNnbO5rZkXigs3xdmyT/3+w/OPhsyOqKumCEsMa&#10;fKIH0QXyBjoyi91prS/Q6d6iW+jwGl85MfX2DvijJwa2NTN7ce0ctLVgFVaXx8jsLLTH8RFk136A&#10;CtOwpwAJqJOuia3DZhBEx1c6ji8TS+F4OVvNV4slmjja8nk+X+XLlIMVp3DrfHgnoCFxU1KHT5/g&#10;2eHOh1gOK04uMZs2pI24y8tlTwe0qm6V1tGY5Ce22pEDQ+EwzoUJPSk0nntGwm9NlWQUmNL9HnNp&#10;M3Qgkh7oh6MWfe4vQmLTI7E+eZT783wXA0Ft0DuGSaxuDBwe4ddAPRY5+MYwkcZgDJz+PeMYkbKC&#10;CWNwowy4PwFUj6f2yN7/xL7nHKUQul2XlLY66WoH1REV4aAfS/xGcFOD+05JiyNZUv/tiTlBiX5v&#10;UFWv88UiznA6LJaXMzy4c8vu3MIMR6iSBkr67TakuY+cDFyj+qRKuoi19ZUMNeOoJbkM30Kc5fNz&#10;8vr5eW1+AAAA//8DAFBLAwQUAAYACAAAACEAQFE7uuAAAAAIAQAADwAAAGRycy9kb3ducmV2Lnht&#10;bEyPQUvDQBCF74L/YRnBi9iNNpiQZlNEKAg9FGsq9rbNjkkwOxt3t238944nPc57jzffK5eTHcQJ&#10;fegdKbibJSCQGmd6ahXUr6vbHESImoweHKGCbwywrC4vSl0Yd6YXPG1jK7iEQqEVdDGOhZSh6dDq&#10;MHMjEnsfzlsd+fStNF6fudwO8j5JHqTVPfGHTo/41GHzuT1aBfnuef12s6tD7Tfrflxt8Ot9j0pd&#10;X02PCxARp/gXhl98RoeKmQ7uSCaIQQEPiaxmWQqC7TTNWDkomOfpHGRVyv8Dqh8AAAD//wMAUEsB&#10;Ai0AFAAGAAgAAAAhALaDOJL+AAAA4QEAABMAAAAAAAAAAAAAAAAAAAAAAFtDb250ZW50X1R5cGVz&#10;XS54bWxQSwECLQAUAAYACAAAACEAOP0h/9YAAACUAQAACwAAAAAAAAAAAAAAAAAvAQAAX3JlbHMv&#10;LnJlbHNQSwECLQAUAAYACAAAACEAwsW4YmACAAAEBQAADgAAAAAAAAAAAAAAAAAuAgAAZHJzL2Uy&#10;b0RvYy54bWxQSwECLQAUAAYACAAAACEAQFE7uuAAAAAIAQAADwAAAAAAAAAAAAAAAAC6BAAAZHJz&#10;L2Rvd25yZXYueG1sUEsFBgAAAAAEAAQA8wAAAMcFAAAAAA==&#10;" fillcolor="white [3201]" strokecolor="#00667c [3204]" strokeweight="2.25pt">
                <v:textbox>
                  <w:txbxContent>
                    <w:p w14:paraId="2C3F91C0" w14:textId="77777777" w:rsidR="00CA4E85" w:rsidRDefault="00CA4E85" w:rsidP="00325B21">
                      <w:pPr>
                        <w:autoSpaceDE w:val="0"/>
                        <w:autoSpaceDN w:val="0"/>
                        <w:adjustRightInd w:val="0"/>
                        <w:rPr>
                          <w:rFonts w:cstheme="minorHAnsi"/>
                          <w:i/>
                          <w:color w:val="000000"/>
                          <w:sz w:val="20"/>
                          <w:szCs w:val="20"/>
                        </w:rPr>
                      </w:pPr>
                      <w:r>
                        <w:rPr>
                          <w:rFonts w:cstheme="minorHAnsi"/>
                          <w:i/>
                          <w:color w:val="000000"/>
                          <w:sz w:val="20"/>
                          <w:szCs w:val="20"/>
                        </w:rPr>
                        <w:t>“After my unlawful removal from office, I was given strong personal and rule of law support, which I believe would not have been given at all, or so confidently, had the PJDP program not been conducted. PJDP gave confidence to judges that they could resist such abuses of power.”</w:t>
                      </w:r>
                    </w:p>
                    <w:p w14:paraId="1DC73AC2" w14:textId="77777777" w:rsidR="00CA4E85" w:rsidRPr="00AF0BCA" w:rsidRDefault="00CA4E85" w:rsidP="00325B21">
                      <w:pPr>
                        <w:autoSpaceDE w:val="0"/>
                        <w:autoSpaceDN w:val="0"/>
                        <w:adjustRightInd w:val="0"/>
                        <w:spacing w:before="120"/>
                        <w:rPr>
                          <w:rFonts w:cstheme="minorHAnsi"/>
                          <w:i/>
                          <w:color w:val="000000"/>
                          <w:sz w:val="20"/>
                          <w:szCs w:val="20"/>
                        </w:rPr>
                      </w:pPr>
                      <w:r w:rsidRPr="006E44A3">
                        <w:rPr>
                          <w:rFonts w:cstheme="minorHAnsi"/>
                          <w:b/>
                          <w:i/>
                          <w:color w:val="000000"/>
                          <w:sz w:val="20"/>
                          <w:szCs w:val="20"/>
                        </w:rPr>
                        <w:t xml:space="preserve">Chief Justice Eames, Nauru </w:t>
                      </w:r>
                      <w:r w:rsidRPr="006E44A3">
                        <w:rPr>
                          <w:rFonts w:cstheme="minorHAnsi"/>
                          <w:i/>
                          <w:sz w:val="20"/>
                          <w:szCs w:val="20"/>
                        </w:rPr>
                        <w:t>(Retired)</w:t>
                      </w:r>
                    </w:p>
                  </w:txbxContent>
                </v:textbox>
                <w10:wrap type="tight" anchorx="margin"/>
              </v:shape>
            </w:pict>
          </mc:Fallback>
        </mc:AlternateContent>
      </w:r>
      <w:r w:rsidRPr="00F34A39">
        <w:rPr>
          <w:rFonts w:cstheme="minorHAnsi"/>
          <w:noProof/>
          <w:color w:val="000000"/>
          <w:sz w:val="22"/>
          <w:szCs w:val="22"/>
          <w:lang w:val="en-AU" w:eastAsia="en-AU" w:bidi="ar-SA"/>
        </w:rPr>
        <mc:AlternateContent>
          <mc:Choice Requires="wps">
            <w:drawing>
              <wp:anchor distT="45720" distB="45720" distL="114300" distR="114300" simplePos="0" relativeHeight="251666944" behindDoc="1" locked="0" layoutInCell="1" allowOverlap="1" wp14:anchorId="089C3AF1" wp14:editId="5EC7BDC9">
                <wp:simplePos x="0" y="0"/>
                <wp:positionH relativeFrom="margin">
                  <wp:align>right</wp:align>
                </wp:positionH>
                <wp:positionV relativeFrom="paragraph">
                  <wp:posOffset>1127125</wp:posOffset>
                </wp:positionV>
                <wp:extent cx="2790825" cy="1314450"/>
                <wp:effectExtent l="19050" t="19050" r="28575" b="1905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314450"/>
                        </a:xfrm>
                        <a:prstGeom prst="rect">
                          <a:avLst/>
                        </a:prstGeom>
                        <a:ln w="28575">
                          <a:solidFill>
                            <a:schemeClr val="accent1"/>
                          </a:solidFill>
                          <a:headEnd/>
                          <a:tailEnd/>
                        </a:ln>
                      </wps:spPr>
                      <wps:style>
                        <a:lnRef idx="2">
                          <a:schemeClr val="accent6"/>
                        </a:lnRef>
                        <a:fillRef idx="1">
                          <a:schemeClr val="lt1"/>
                        </a:fillRef>
                        <a:effectRef idx="0">
                          <a:schemeClr val="accent6"/>
                        </a:effectRef>
                        <a:fontRef idx="minor">
                          <a:schemeClr val="dk1"/>
                        </a:fontRef>
                      </wps:style>
                      <wps:txbx>
                        <w:txbxContent>
                          <w:p w14:paraId="1CA01CA6" w14:textId="3936DCD4" w:rsidR="00CA4E85" w:rsidRPr="00485782" w:rsidRDefault="00CA4E85" w:rsidP="00AF0BCA">
                            <w:pPr>
                              <w:autoSpaceDE w:val="0"/>
                              <w:autoSpaceDN w:val="0"/>
                              <w:adjustRightInd w:val="0"/>
                              <w:ind w:left="142"/>
                              <w:jc w:val="right"/>
                              <w:rPr>
                                <w:rFonts w:cstheme="minorHAnsi"/>
                                <w:i/>
                                <w:color w:val="000000"/>
                                <w:sz w:val="20"/>
                                <w:szCs w:val="20"/>
                              </w:rPr>
                            </w:pPr>
                            <w:r w:rsidRPr="00485782">
                              <w:rPr>
                                <w:rFonts w:cstheme="minorHAnsi"/>
                                <w:i/>
                                <w:color w:val="000000"/>
                                <w:sz w:val="20"/>
                                <w:szCs w:val="20"/>
                              </w:rPr>
                              <w:t>“The overarching benefit of PJDP/PJSI was to bring small jurisdictions together in a joint effort to avoid problems. I th</w:t>
                            </w:r>
                            <w:r>
                              <w:rPr>
                                <w:rFonts w:cstheme="minorHAnsi"/>
                                <w:i/>
                                <w:color w:val="000000"/>
                                <w:sz w:val="20"/>
                                <w:szCs w:val="20"/>
                              </w:rPr>
                              <w:t xml:space="preserve">ink that at our meetings and </w:t>
                            </w:r>
                            <w:r w:rsidRPr="00485782">
                              <w:rPr>
                                <w:rFonts w:cstheme="minorHAnsi"/>
                                <w:i/>
                                <w:color w:val="000000"/>
                                <w:sz w:val="20"/>
                                <w:szCs w:val="20"/>
                              </w:rPr>
                              <w:t>discussions we were able to discover and reinforce a joint determination to administer our jurisdictions efficiently and fairly.”</w:t>
                            </w:r>
                          </w:p>
                          <w:p w14:paraId="4577C121" w14:textId="77777777" w:rsidR="00CA4E85" w:rsidRPr="00485782" w:rsidRDefault="00CA4E85" w:rsidP="00AF0BCA">
                            <w:pPr>
                              <w:autoSpaceDE w:val="0"/>
                              <w:autoSpaceDN w:val="0"/>
                              <w:adjustRightInd w:val="0"/>
                              <w:spacing w:before="120"/>
                              <w:ind w:left="142"/>
                              <w:jc w:val="right"/>
                              <w:rPr>
                                <w:rFonts w:cstheme="minorHAnsi"/>
                                <w:b/>
                                <w:i/>
                                <w:color w:val="000000"/>
                                <w:sz w:val="20"/>
                                <w:szCs w:val="20"/>
                              </w:rPr>
                            </w:pPr>
                            <w:r w:rsidRPr="00485782">
                              <w:rPr>
                                <w:rFonts w:cstheme="minorHAnsi"/>
                                <w:i/>
                                <w:color w:val="000000"/>
                                <w:sz w:val="20"/>
                                <w:szCs w:val="20"/>
                              </w:rPr>
                              <w:t xml:space="preserve"> </w:t>
                            </w:r>
                            <w:r w:rsidRPr="0042563B">
                              <w:rPr>
                                <w:rFonts w:cstheme="minorHAnsi"/>
                                <w:b/>
                                <w:i/>
                                <w:color w:val="000000"/>
                                <w:sz w:val="20"/>
                                <w:szCs w:val="20"/>
                              </w:rPr>
                              <w:t xml:space="preserve">Chief Justice Scott, Tonga </w:t>
                            </w:r>
                            <w:r w:rsidRPr="0042563B">
                              <w:rPr>
                                <w:rFonts w:cstheme="minorHAnsi"/>
                                <w:i/>
                                <w:sz w:val="20"/>
                                <w:szCs w:val="20"/>
                              </w:rPr>
                              <w:t>(Retired)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9C3AF1" id="_x0000_s1035" type="#_x0000_t202" style="position:absolute;margin-left:168.55pt;margin-top:88.75pt;width:219.75pt;height:103.5pt;z-index:-2516495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beMYwIAAAYFAAAOAAAAZHJzL2Uyb0RvYy54bWysVNtu2zAMfR+wfxD0vthxkzYx4hRdug4D&#10;ugvW7gMUWYqFyqInKbHTrx8lO17WDRgw7MWQTPKQhzzU6rqrNTkI6xSYgk4nKSXCcCiV2RX02+Pd&#10;mwUlzjNTMg1GFPQoHL1ev361aptcZFCBLoUlCGJc3jYFrbxv8iRxvBI1cxNohEGjBFszj1e7S0rL&#10;WkSvdZKl6WXSgi0bC1w4h39veyNdR3wpBfefpXTCE11QrM3Hr43fbfgm6xXLd5Y1leJDGewfqqiZ&#10;Mph0hLplnpG9Vb9B1YpbcCD9hEOdgJSKi8gB2UzTF2weKtaIyAWb45qxTe7/wfJPhy+WqBJndzGj&#10;xLAah/QoOk/eQkey0J+2cTm6PTTo6Dv8jb6Rq2vugT85YmBTMbMTN9ZCWwlWYn3TEJmchfY4LoBs&#10;249QYhq29xCBOmnr0DxsB0F0nNNxnE0ohePP7GqZLrI5JRxt04vpbDaP00tYfgpvrPPvBdQkHApq&#10;cfgRnh3unQ/lsPzkErJpQ1rEXcyv5j0d0Kq8U1oHYxSg2GhLDgylwzgXxvek0HjuGQi/M2UUkmdK&#10;92fMpc3QgUB6oO+PWvS5vwqJbQ/E+uRB8C/zXcYmBiT0DmESqxsDhyH8GqjHIgffECbiIoyB6d8z&#10;jhExKxg/BtfKgP0TQPl0ao/s/U/se85BCr7bdlFry5OutlAeUREW+sXEhwQPFdhnSlpcyoK673tm&#10;BSX6g0FVLXHsYYvjZTa/yvBizy3bcwszHKEK6inpjxsfNz9wMnCD6pMq6iLU1lcy1IzLFuUyPAxh&#10;m8/v0evn87X+AQAA//8DAFBLAwQUAAYACAAAACEAJvjqKuEAAAAIAQAADwAAAGRycy9kb3ducmV2&#10;LnhtbEyPzU7DMBCE70i8g7VIXFDrQP9CiFMhpEpIPVSUFMHNjZckIl4H223D23c5wW13ZzT7Tb4c&#10;bCeO6EPrSMHtOAGBVDnTUq2gfF2NUhAhajK6c4QKfjDAsri8yHVm3Ile8LiNteAQCplW0MTYZ1KG&#10;qkGrw9j1SKx9Om915NXX0nh94nDbybskmUurW+IPje7xqcHqa3uwCtLd8/rtZleG0m/Wbb/a4Pf7&#10;Byp1fTU8PoCIOMQ/M/ziMzoUzLR3BzJBdAq4SOTrYjEDwfJ0cs/DXsEknc5AFrn8X6A4AwAA//8D&#10;AFBLAQItABQABgAIAAAAIQC2gziS/gAAAOEBAAATAAAAAAAAAAAAAAAAAAAAAABbQ29udGVudF9U&#10;eXBlc10ueG1sUEsBAi0AFAAGAAgAAAAhADj9If/WAAAAlAEAAAsAAAAAAAAAAAAAAAAALwEAAF9y&#10;ZWxzLy5yZWxzUEsBAi0AFAAGAAgAAAAhAPAVt4xjAgAABgUAAA4AAAAAAAAAAAAAAAAALgIAAGRy&#10;cy9lMm9Eb2MueG1sUEsBAi0AFAAGAAgAAAAhACb46irhAAAACAEAAA8AAAAAAAAAAAAAAAAAvQQA&#10;AGRycy9kb3ducmV2LnhtbFBLBQYAAAAABAAEAPMAAADLBQAAAAA=&#10;" fillcolor="white [3201]" strokecolor="#00667c [3204]" strokeweight="2.25pt">
                <v:textbox>
                  <w:txbxContent>
                    <w:p w14:paraId="1CA01CA6" w14:textId="3936DCD4" w:rsidR="00CA4E85" w:rsidRPr="00485782" w:rsidRDefault="00CA4E85" w:rsidP="00AF0BCA">
                      <w:pPr>
                        <w:autoSpaceDE w:val="0"/>
                        <w:autoSpaceDN w:val="0"/>
                        <w:adjustRightInd w:val="0"/>
                        <w:ind w:left="142"/>
                        <w:jc w:val="right"/>
                        <w:rPr>
                          <w:rFonts w:cstheme="minorHAnsi"/>
                          <w:i/>
                          <w:color w:val="000000"/>
                          <w:sz w:val="20"/>
                          <w:szCs w:val="20"/>
                        </w:rPr>
                      </w:pPr>
                      <w:r w:rsidRPr="00485782">
                        <w:rPr>
                          <w:rFonts w:cstheme="minorHAnsi"/>
                          <w:i/>
                          <w:color w:val="000000"/>
                          <w:sz w:val="20"/>
                          <w:szCs w:val="20"/>
                        </w:rPr>
                        <w:t>“The overarching benefit of PJDP/PJSI was to bring small jurisdictions together in a joint effort to avoid problems. I th</w:t>
                      </w:r>
                      <w:r>
                        <w:rPr>
                          <w:rFonts w:cstheme="minorHAnsi"/>
                          <w:i/>
                          <w:color w:val="000000"/>
                          <w:sz w:val="20"/>
                          <w:szCs w:val="20"/>
                        </w:rPr>
                        <w:t xml:space="preserve">ink that at our meetings and </w:t>
                      </w:r>
                      <w:r w:rsidRPr="00485782">
                        <w:rPr>
                          <w:rFonts w:cstheme="minorHAnsi"/>
                          <w:i/>
                          <w:color w:val="000000"/>
                          <w:sz w:val="20"/>
                          <w:szCs w:val="20"/>
                        </w:rPr>
                        <w:t>discussions we were able to discover and reinforce a joint determination to administer our jurisdictions efficiently and fairly.”</w:t>
                      </w:r>
                    </w:p>
                    <w:p w14:paraId="4577C121" w14:textId="77777777" w:rsidR="00CA4E85" w:rsidRPr="00485782" w:rsidRDefault="00CA4E85" w:rsidP="00AF0BCA">
                      <w:pPr>
                        <w:autoSpaceDE w:val="0"/>
                        <w:autoSpaceDN w:val="0"/>
                        <w:adjustRightInd w:val="0"/>
                        <w:spacing w:before="120"/>
                        <w:ind w:left="142"/>
                        <w:jc w:val="right"/>
                        <w:rPr>
                          <w:rFonts w:cstheme="minorHAnsi"/>
                          <w:b/>
                          <w:i/>
                          <w:color w:val="000000"/>
                          <w:sz w:val="20"/>
                          <w:szCs w:val="20"/>
                        </w:rPr>
                      </w:pPr>
                      <w:r w:rsidRPr="00485782">
                        <w:rPr>
                          <w:rFonts w:cstheme="minorHAnsi"/>
                          <w:i/>
                          <w:color w:val="000000"/>
                          <w:sz w:val="20"/>
                          <w:szCs w:val="20"/>
                        </w:rPr>
                        <w:t xml:space="preserve"> </w:t>
                      </w:r>
                      <w:r w:rsidRPr="0042563B">
                        <w:rPr>
                          <w:rFonts w:cstheme="minorHAnsi"/>
                          <w:b/>
                          <w:i/>
                          <w:color w:val="000000"/>
                          <w:sz w:val="20"/>
                          <w:szCs w:val="20"/>
                        </w:rPr>
                        <w:t xml:space="preserve">Chief Justice Scott, Tonga </w:t>
                      </w:r>
                      <w:r w:rsidRPr="0042563B">
                        <w:rPr>
                          <w:rFonts w:cstheme="minorHAnsi"/>
                          <w:i/>
                          <w:sz w:val="20"/>
                          <w:szCs w:val="20"/>
                        </w:rPr>
                        <w:t>(Retired)</w:t>
                      </w:r>
                    </w:p>
                  </w:txbxContent>
                </v:textbox>
                <w10:wrap type="square" anchorx="margin"/>
              </v:shape>
            </w:pict>
          </mc:Fallback>
        </mc:AlternateContent>
      </w:r>
      <w:r w:rsidR="00AF0BCA">
        <w:rPr>
          <w:rFonts w:asciiTheme="minorHAnsi" w:eastAsiaTheme="minorEastAsia" w:hAnsiTheme="minorHAnsi" w:cstheme="minorHAnsi"/>
          <w:b/>
          <w:sz w:val="22"/>
          <w:szCs w:val="22"/>
          <w:lang w:val="en-AU"/>
        </w:rPr>
        <w:t xml:space="preserve">Partner </w:t>
      </w:r>
      <w:r w:rsidR="00AF0BCA" w:rsidRPr="00F34A39">
        <w:rPr>
          <w:rFonts w:asciiTheme="minorHAnsi" w:eastAsiaTheme="minorEastAsia" w:hAnsiTheme="minorHAnsi" w:cstheme="minorHAnsi"/>
          <w:b/>
          <w:sz w:val="22"/>
          <w:szCs w:val="22"/>
          <w:lang w:val="en-AU"/>
        </w:rPr>
        <w:t>Courts proactively address and produce results in strategically important reforms</w:t>
      </w:r>
      <w:r w:rsidR="00AF0BCA" w:rsidRPr="00F34A39">
        <w:rPr>
          <w:rFonts w:asciiTheme="minorHAnsi" w:eastAsiaTheme="minorEastAsia" w:hAnsiTheme="minorHAnsi" w:cstheme="minorHAnsi"/>
          <w:sz w:val="22"/>
          <w:szCs w:val="22"/>
          <w:lang w:val="en-AU"/>
        </w:rPr>
        <w:t xml:space="preserve">. PJSI has supported a fourfold increase in </w:t>
      </w:r>
      <w:r w:rsidR="00AF0BCA" w:rsidRPr="00F34A39">
        <w:rPr>
          <w:rFonts w:asciiTheme="minorHAnsi" w:hAnsiTheme="minorHAnsi"/>
          <w:sz w:val="22"/>
          <w:szCs w:val="22"/>
          <w:lang w:val="en-AU"/>
        </w:rPr>
        <w:t>Partner Courts</w:t>
      </w:r>
      <w:r w:rsidR="00AF0BCA" w:rsidRPr="00F34A39" w:rsidDel="00FA7421">
        <w:rPr>
          <w:rFonts w:asciiTheme="minorHAnsi" w:hAnsiTheme="minorHAnsi"/>
          <w:sz w:val="22"/>
          <w:szCs w:val="22"/>
          <w:lang w:val="en-AU"/>
        </w:rPr>
        <w:t xml:space="preserve"> </w:t>
      </w:r>
      <w:r w:rsidR="00AF0BCA" w:rsidRPr="0097659A">
        <w:rPr>
          <w:rFonts w:asciiTheme="minorHAnsi" w:eastAsiaTheme="minorEastAsia" w:hAnsiTheme="minorHAnsi" w:cstheme="minorHAnsi"/>
          <w:sz w:val="22"/>
          <w:szCs w:val="22"/>
          <w:lang w:val="en-AU"/>
        </w:rPr>
        <w:t>developing</w:t>
      </w:r>
      <w:r w:rsidR="00AF0BCA" w:rsidRPr="00F34A39">
        <w:rPr>
          <w:rFonts w:asciiTheme="minorHAnsi" w:eastAsiaTheme="minorEastAsia" w:hAnsiTheme="minorHAnsi" w:cstheme="minorHAnsi"/>
          <w:sz w:val="22"/>
          <w:szCs w:val="22"/>
          <w:lang w:val="en-AU"/>
        </w:rPr>
        <w:t xml:space="preserve"> s</w:t>
      </w:r>
      <w:r w:rsidR="00AF0BCA" w:rsidRPr="00E417C5">
        <w:rPr>
          <w:rFonts w:asciiTheme="minorHAnsi" w:eastAsiaTheme="minorEastAsia" w:hAnsiTheme="minorHAnsi" w:cstheme="minorHAnsi"/>
          <w:sz w:val="22"/>
          <w:szCs w:val="22"/>
          <w:lang w:val="en-AU"/>
        </w:rPr>
        <w:t xml:space="preserve">trategic plans to address priority performance challenges - from 3 in 2016, to 13 in 2021. Of the </w:t>
      </w:r>
      <w:r w:rsidR="00FF4AD6" w:rsidRPr="00E417C5">
        <w:rPr>
          <w:rFonts w:asciiTheme="minorHAnsi" w:eastAsiaTheme="minorEastAsia" w:hAnsiTheme="minorHAnsi" w:cstheme="minorHAnsi"/>
          <w:sz w:val="22"/>
          <w:szCs w:val="22"/>
          <w:lang w:val="en-AU"/>
        </w:rPr>
        <w:t>8</w:t>
      </w:r>
      <w:r w:rsidR="00AF0BCA" w:rsidRPr="00E417C5">
        <w:rPr>
          <w:rFonts w:asciiTheme="minorHAnsi" w:eastAsiaTheme="minorEastAsia" w:hAnsiTheme="minorHAnsi" w:cstheme="minorHAnsi"/>
          <w:sz w:val="22"/>
          <w:szCs w:val="22"/>
          <w:lang w:val="en-AU"/>
        </w:rPr>
        <w:t>7 LI</w:t>
      </w:r>
      <w:r w:rsidR="00AF0BCA" w:rsidRPr="00F34A39">
        <w:rPr>
          <w:rFonts w:asciiTheme="minorHAnsi" w:eastAsiaTheme="minorEastAsia" w:hAnsiTheme="minorHAnsi" w:cstheme="minorHAnsi"/>
          <w:sz w:val="22"/>
          <w:szCs w:val="22"/>
          <w:lang w:val="en-AU"/>
        </w:rPr>
        <w:t>F-fund</w:t>
      </w:r>
      <w:r w:rsidR="00AF0BCA">
        <w:rPr>
          <w:rFonts w:asciiTheme="minorHAnsi" w:eastAsiaTheme="minorEastAsia" w:hAnsiTheme="minorHAnsi" w:cstheme="minorHAnsi"/>
          <w:sz w:val="22"/>
          <w:szCs w:val="22"/>
          <w:lang w:val="en-AU"/>
        </w:rPr>
        <w:t xml:space="preserve">ed local activities delivered, </w:t>
      </w:r>
      <w:r w:rsidR="00AF0BCA" w:rsidRPr="001C1E32">
        <w:rPr>
          <w:rFonts w:asciiTheme="minorHAnsi" w:eastAsiaTheme="minorEastAsia" w:hAnsiTheme="minorHAnsi" w:cstheme="minorHAnsi"/>
          <w:sz w:val="22"/>
          <w:szCs w:val="22"/>
          <w:lang w:val="en-AU"/>
        </w:rPr>
        <w:t>85% successfully</w:t>
      </w:r>
      <w:r w:rsidR="00AF0BCA">
        <w:rPr>
          <w:rFonts w:asciiTheme="minorHAnsi" w:eastAsiaTheme="minorEastAsia" w:hAnsiTheme="minorHAnsi" w:cstheme="minorHAnsi"/>
          <w:sz w:val="22"/>
          <w:szCs w:val="22"/>
          <w:lang w:val="en-AU"/>
        </w:rPr>
        <w:t xml:space="preserve"> achieved</w:t>
      </w:r>
      <w:r w:rsidR="00AF0BCA" w:rsidRPr="00F34A39">
        <w:rPr>
          <w:rFonts w:asciiTheme="minorHAnsi" w:eastAsiaTheme="minorEastAsia" w:hAnsiTheme="minorHAnsi" w:cstheme="minorHAnsi"/>
          <w:sz w:val="22"/>
          <w:szCs w:val="22"/>
          <w:lang w:val="en-AU"/>
        </w:rPr>
        <w:t xml:space="preserve"> their objectives. As a result of this experience, </w:t>
      </w:r>
      <w:r w:rsidR="00AF0BCA" w:rsidRPr="00F34A39">
        <w:rPr>
          <w:rFonts w:asciiTheme="minorHAnsi" w:hAnsiTheme="minorHAnsi"/>
          <w:sz w:val="22"/>
          <w:szCs w:val="22"/>
          <w:lang w:val="en-AU"/>
        </w:rPr>
        <w:t>Partner Courts</w:t>
      </w:r>
      <w:r w:rsidR="00AF0BCA" w:rsidRPr="00F34A39" w:rsidDel="00FA7421">
        <w:rPr>
          <w:rFonts w:asciiTheme="minorHAnsi" w:hAnsiTheme="minorHAnsi"/>
          <w:sz w:val="22"/>
          <w:szCs w:val="22"/>
          <w:lang w:val="en-AU"/>
        </w:rPr>
        <w:t xml:space="preserve"> </w:t>
      </w:r>
      <w:r w:rsidR="00AF0BCA" w:rsidRPr="00F34A39">
        <w:rPr>
          <w:rFonts w:asciiTheme="minorHAnsi" w:eastAsiaTheme="minorEastAsia" w:hAnsiTheme="minorHAnsi" w:cstheme="minorHAnsi"/>
          <w:sz w:val="22"/>
          <w:szCs w:val="22"/>
          <w:lang w:val="en-AU"/>
        </w:rPr>
        <w:t xml:space="preserve">capacity to </w:t>
      </w:r>
      <w:r w:rsidR="00AF0BCA" w:rsidRPr="00F34A39">
        <w:rPr>
          <w:rFonts w:asciiTheme="minorHAnsi" w:hAnsiTheme="minorHAnsi" w:cstheme="minorHAnsi"/>
          <w:sz w:val="22"/>
          <w:szCs w:val="22"/>
          <w:lang w:val="en-AU"/>
        </w:rPr>
        <w:t>assess and prioritise institutional strengthening and human capacity needs, design and deliver solutions/training has improved.</w:t>
      </w:r>
    </w:p>
    <w:p w14:paraId="562786CC" w14:textId="4CA8827F" w:rsidR="00BA28E2" w:rsidRPr="00325B21" w:rsidRDefault="00423B8F" w:rsidP="009F54DE">
      <w:pPr>
        <w:pStyle w:val="ListBullet"/>
        <w:numPr>
          <w:ilvl w:val="0"/>
          <w:numId w:val="0"/>
        </w:numPr>
        <w:tabs>
          <w:tab w:val="left" w:pos="720"/>
        </w:tabs>
        <w:spacing w:after="120" w:line="240" w:lineRule="auto"/>
        <w:rPr>
          <w:rFonts w:asciiTheme="minorHAnsi" w:hAnsiTheme="minorHAnsi" w:cstheme="minorHAnsi"/>
          <w:sz w:val="22"/>
          <w:szCs w:val="22"/>
          <w:lang w:val="en-AU"/>
        </w:rPr>
      </w:pPr>
      <w:r w:rsidRPr="00F34A39">
        <w:rPr>
          <w:rFonts w:cstheme="minorHAnsi"/>
          <w:noProof/>
          <w:sz w:val="22"/>
          <w:szCs w:val="22"/>
          <w:lang w:val="en-AU" w:eastAsia="en-AU" w:bidi="ar-SA"/>
        </w:rPr>
        <w:lastRenderedPageBreak/>
        <w:drawing>
          <wp:anchor distT="0" distB="0" distL="114300" distR="114300" simplePos="0" relativeHeight="251622912" behindDoc="1" locked="0" layoutInCell="1" allowOverlap="1" wp14:anchorId="06368E6D" wp14:editId="2FC8A562">
            <wp:simplePos x="0" y="0"/>
            <wp:positionH relativeFrom="margin">
              <wp:align>right</wp:align>
            </wp:positionH>
            <wp:positionV relativeFrom="paragraph">
              <wp:posOffset>5182235</wp:posOffset>
            </wp:positionV>
            <wp:extent cx="5867400" cy="719455"/>
            <wp:effectExtent l="0" t="0" r="19050" b="4445"/>
            <wp:wrapTight wrapText="bothSides">
              <wp:wrapPolygon edited="0">
                <wp:start x="140" y="0"/>
                <wp:lineTo x="0" y="8579"/>
                <wp:lineTo x="0" y="14298"/>
                <wp:lineTo x="140" y="21162"/>
                <wp:lineTo x="561" y="21162"/>
                <wp:lineTo x="701" y="19446"/>
                <wp:lineTo x="21600" y="16586"/>
                <wp:lineTo x="21600" y="4575"/>
                <wp:lineTo x="561" y="0"/>
                <wp:lineTo x="140" y="0"/>
              </wp:wrapPolygon>
            </wp:wrapTight>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margin">
              <wp14:pctWidth>0</wp14:pctWidth>
            </wp14:sizeRelH>
            <wp14:sizeRelV relativeFrom="margin">
              <wp14:pctHeight>0</wp14:pctHeight>
            </wp14:sizeRelV>
          </wp:anchor>
        </w:drawing>
      </w:r>
      <w:r w:rsidR="00ED4DA4" w:rsidRPr="00250110">
        <w:rPr>
          <w:rFonts w:cstheme="minorHAnsi"/>
          <w:noProof/>
          <w:lang w:val="en-AU" w:eastAsia="en-AU" w:bidi="ar-SA"/>
        </w:rPr>
        <mc:AlternateContent>
          <mc:Choice Requires="wps">
            <w:drawing>
              <wp:anchor distT="0" distB="0" distL="114300" distR="114300" simplePos="0" relativeHeight="251663872" behindDoc="0" locked="0" layoutInCell="1" allowOverlap="1" wp14:anchorId="29CAABF6" wp14:editId="3F7D6084">
                <wp:simplePos x="0" y="0"/>
                <wp:positionH relativeFrom="margin">
                  <wp:align>right</wp:align>
                </wp:positionH>
                <wp:positionV relativeFrom="paragraph">
                  <wp:posOffset>19050</wp:posOffset>
                </wp:positionV>
                <wp:extent cx="5791200" cy="5048250"/>
                <wp:effectExtent l="19050" t="19050" r="19050" b="19050"/>
                <wp:wrapSquare wrapText="bothSides"/>
                <wp:docPr id="3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5048250"/>
                        </a:xfrm>
                        <a:prstGeom prst="rect">
                          <a:avLst/>
                        </a:prstGeom>
                        <a:ln w="28575">
                          <a:solidFill>
                            <a:schemeClr val="accent3"/>
                          </a:solidFill>
                          <a:headEnd/>
                          <a:tailEnd/>
                        </a:ln>
                      </wps:spPr>
                      <wps:style>
                        <a:lnRef idx="2">
                          <a:schemeClr val="accent6"/>
                        </a:lnRef>
                        <a:fillRef idx="1">
                          <a:schemeClr val="lt1"/>
                        </a:fillRef>
                        <a:effectRef idx="0">
                          <a:schemeClr val="accent6"/>
                        </a:effectRef>
                        <a:fontRef idx="minor">
                          <a:schemeClr val="dk1"/>
                        </a:fontRef>
                      </wps:style>
                      <wps:txbx>
                        <w:txbxContent>
                          <w:p w14:paraId="456571B4" w14:textId="77777777" w:rsidR="00CA4E85" w:rsidRPr="00995634" w:rsidRDefault="00CA4E85" w:rsidP="00AC0AB2">
                            <w:pPr>
                              <w:spacing w:before="120" w:after="120"/>
                              <w:jc w:val="center"/>
                              <w:rPr>
                                <w:color w:val="00667C" w:themeColor="accent1"/>
                                <w:sz w:val="22"/>
                                <w:szCs w:val="22"/>
                                <w:lang w:val="en-AU"/>
                              </w:rPr>
                            </w:pPr>
                            <w:r w:rsidRPr="00995634">
                              <w:rPr>
                                <w:rFonts w:cstheme="minorHAnsi"/>
                                <w:b/>
                                <w:bCs/>
                                <w:color w:val="00667C" w:themeColor="accent1"/>
                                <w:sz w:val="26"/>
                                <w:szCs w:val="26"/>
                              </w:rPr>
                              <w:t>Federated States of Micronesia</w:t>
                            </w:r>
                          </w:p>
                          <w:p w14:paraId="5FC7D789" w14:textId="77777777" w:rsidR="00CA4E85" w:rsidRPr="007B7B44" w:rsidRDefault="00CA4E85" w:rsidP="00AC0AB2">
                            <w:pPr>
                              <w:pStyle w:val="p1"/>
                              <w:spacing w:after="120"/>
                              <w:rPr>
                                <w:rFonts w:asciiTheme="minorHAnsi" w:hAnsiTheme="minorHAnsi" w:cstheme="minorHAnsi"/>
                                <w:bCs/>
                                <w:i/>
                                <w:sz w:val="22"/>
                                <w:szCs w:val="22"/>
                              </w:rPr>
                            </w:pPr>
                            <w:r w:rsidRPr="007B7B44">
                              <w:rPr>
                                <w:rFonts w:asciiTheme="minorHAnsi" w:hAnsiTheme="minorHAnsi" w:cstheme="minorHAnsi"/>
                                <w:bCs/>
                                <w:i/>
                                <w:sz w:val="22"/>
                                <w:szCs w:val="22"/>
                              </w:rPr>
                              <w:t>The court is in compliance with all of the 20 Cook Island Indicators.</w:t>
                            </w:r>
                          </w:p>
                          <w:p w14:paraId="10A4981C" w14:textId="77777777" w:rsidR="00CA4E85" w:rsidRPr="007B7B44" w:rsidRDefault="00CA4E85" w:rsidP="00AC0AB2">
                            <w:pPr>
                              <w:pStyle w:val="p1"/>
                              <w:spacing w:before="120" w:after="120"/>
                              <w:rPr>
                                <w:rFonts w:asciiTheme="minorHAnsi" w:hAnsiTheme="minorHAnsi" w:cstheme="minorHAnsi"/>
                                <w:bCs/>
                                <w:i/>
                                <w:sz w:val="22"/>
                                <w:szCs w:val="22"/>
                              </w:rPr>
                            </w:pPr>
                            <w:r w:rsidRPr="007B7B44">
                              <w:rPr>
                                <w:rFonts w:asciiTheme="minorHAnsi" w:hAnsiTheme="minorHAnsi" w:cstheme="minorHAnsi"/>
                                <w:bCs/>
                                <w:i/>
                                <w:sz w:val="22"/>
                                <w:szCs w:val="22"/>
                              </w:rPr>
                              <w:t>We have a number of other success stories as well: The court transitioned from case logbooks which we had been using since 1981 to a data dashboard, then to a Case Tracking System - systems provided by PJSI. Our data is now reliably accurate, immediately available and accessible to the public. And, no cases drop off the radar. We have also been able to use this information to continue and expand transparency by including it in our Annual Statistical Reports. We are upgrading data input using more sophisticated software and more specific aggregate data capabilities, thanks to PJSIs ongoing assistance.</w:t>
                            </w:r>
                          </w:p>
                          <w:p w14:paraId="156C2EE2" w14:textId="78434E42" w:rsidR="00CA4E85" w:rsidRPr="007B7B44" w:rsidRDefault="00CA4E85" w:rsidP="00AC0AB2">
                            <w:pPr>
                              <w:pStyle w:val="p1"/>
                              <w:spacing w:before="120" w:after="120"/>
                              <w:rPr>
                                <w:rFonts w:asciiTheme="minorHAnsi" w:hAnsiTheme="minorHAnsi" w:cstheme="minorHAnsi"/>
                                <w:bCs/>
                                <w:i/>
                                <w:sz w:val="22"/>
                                <w:szCs w:val="22"/>
                              </w:rPr>
                            </w:pPr>
                            <w:r w:rsidRPr="007B7B44">
                              <w:rPr>
                                <w:rFonts w:asciiTheme="minorHAnsi" w:hAnsiTheme="minorHAnsi" w:cstheme="minorHAnsi"/>
                                <w:bCs/>
                                <w:i/>
                                <w:sz w:val="22"/>
                                <w:szCs w:val="22"/>
                              </w:rPr>
                              <w:t>The Court is now also equipped with video conferencing equipment and virtual court proceedings (along with training) are regularly conducted. We upgraded our technology and physical infrastructure to meet the challenges of serving four geographically separated states. This proved vital during COVID-19, enabling us to remain open for justice. We have also made our court more accessible to people with disabilities by adding parking spaces and ramps. We have also made available a ‘safe room’ for women coming to court to defend GFV cases. With professional development opportunities demonstrating staff now taking ownership of their work and the procedural changes we made.</w:t>
                            </w:r>
                          </w:p>
                          <w:p w14:paraId="724F5D3B" w14:textId="77777777" w:rsidR="00CA4E85" w:rsidRPr="007B7B44" w:rsidRDefault="00CA4E85" w:rsidP="00AC0AB2">
                            <w:pPr>
                              <w:autoSpaceDE w:val="0"/>
                              <w:autoSpaceDN w:val="0"/>
                              <w:adjustRightInd w:val="0"/>
                              <w:spacing w:before="120"/>
                              <w:rPr>
                                <w:rFonts w:cstheme="minorHAnsi"/>
                                <w:i/>
                                <w:color w:val="000000"/>
                                <w:sz w:val="22"/>
                                <w:szCs w:val="22"/>
                              </w:rPr>
                            </w:pPr>
                            <w:r w:rsidRPr="007B7B44">
                              <w:rPr>
                                <w:rFonts w:cstheme="minorHAnsi"/>
                                <w:i/>
                                <w:color w:val="000000"/>
                                <w:sz w:val="22"/>
                                <w:szCs w:val="22"/>
                              </w:rPr>
                              <w:t>Since our awareness raising activities in all four states about the newly passed Human Trafficking Act in all four states, related cases are being filed at the National and State Courts on human trafficking cases, as people now understand what it is and where it can be reported. We collect and present this to the public – which demonstrates that 99% of victims are minors and 100% are female. The message that we want to send is that this is not a foreign concept – as in 90% of cases the perpetrators are from FSM. Our work in this area has had a major impact on the general public. Combined, these developments enable us to function in line with our mission to serve the people through timely and fair administration of justice.</w:t>
                            </w:r>
                          </w:p>
                          <w:p w14:paraId="69B8850F" w14:textId="77777777" w:rsidR="00CA4E85" w:rsidRPr="00C43892" w:rsidRDefault="00CA4E85" w:rsidP="00AC0AB2">
                            <w:pPr>
                              <w:spacing w:before="120"/>
                              <w:jc w:val="right"/>
                              <w:rPr>
                                <w:rFonts w:ascii="0@¯/e'18ƒ…©∞EH" w:eastAsiaTheme="minorEastAsia" w:hAnsi="0@¯/e'18ƒ…©∞EH" w:cs="0@¯/e'18ƒ…©∞EH"/>
                                <w:b/>
                                <w:i/>
                                <w:sz w:val="20"/>
                                <w:szCs w:val="20"/>
                                <w:lang w:eastAsia="ja-JP"/>
                              </w:rPr>
                            </w:pPr>
                            <w:r w:rsidRPr="000C6986">
                              <w:rPr>
                                <w:rFonts w:cstheme="minorHAnsi"/>
                                <w:b/>
                                <w:i/>
                                <w:color w:val="000000"/>
                                <w:sz w:val="20"/>
                                <w:szCs w:val="20"/>
                              </w:rPr>
                              <w:t xml:space="preserve">Chief Justice Yamase </w:t>
                            </w:r>
                            <w:r>
                              <w:rPr>
                                <w:rFonts w:cstheme="minorHAnsi"/>
                                <w:b/>
                                <w:i/>
                                <w:color w:val="000000"/>
                                <w:sz w:val="20"/>
                                <w:szCs w:val="20"/>
                              </w:rPr>
                              <w:t>and Director of Court Administration,</w:t>
                            </w:r>
                            <w:r w:rsidRPr="000C6986">
                              <w:rPr>
                                <w:rFonts w:cstheme="minorHAnsi"/>
                                <w:b/>
                                <w:i/>
                                <w:color w:val="000000"/>
                                <w:sz w:val="20"/>
                                <w:szCs w:val="20"/>
                              </w:rPr>
                              <w:t xml:space="preserve"> E</w:t>
                            </w:r>
                            <w:r>
                              <w:rPr>
                                <w:rFonts w:cstheme="minorHAnsi"/>
                                <w:b/>
                                <w:i/>
                                <w:color w:val="000000"/>
                                <w:sz w:val="20"/>
                                <w:szCs w:val="20"/>
                              </w:rPr>
                              <w:t>meliana</w:t>
                            </w:r>
                            <w:r w:rsidRPr="000C6986">
                              <w:rPr>
                                <w:rFonts w:cstheme="minorHAnsi"/>
                                <w:b/>
                                <w:i/>
                                <w:color w:val="000000"/>
                                <w:sz w:val="20"/>
                                <w:szCs w:val="20"/>
                              </w:rPr>
                              <w:t xml:space="preserve"> </w:t>
                            </w:r>
                            <w:r w:rsidRPr="000C6986">
                              <w:rPr>
                                <w:rFonts w:ascii="0@¯/e'18ƒ…©∞EH" w:eastAsiaTheme="minorEastAsia" w:hAnsi="0@¯/e'18ƒ…©∞EH" w:cs="0@¯/e'18ƒ…©∞EH"/>
                                <w:b/>
                                <w:i/>
                                <w:sz w:val="20"/>
                                <w:szCs w:val="20"/>
                                <w:lang w:eastAsia="ja-JP"/>
                              </w:rPr>
                              <w:t>Musrasrik‐Carl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AABF6" id="_x0000_s1036" type="#_x0000_t202" style="position:absolute;margin-left:404.8pt;margin-top:1.5pt;width:456pt;height:397.5pt;z-index:251663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EylZQIAAAgFAAAOAAAAZHJzL2Uyb0RvYy54bWysVNtu2zAMfR+wfxD0vvjSuEmNOEWXrsOA&#10;7oK1+wBFlmOhsuhJSuzs60fJjpt1AwYMezEkkTyHhxevrvtGkYMwVoIuaDKLKRGaQyn1rqDfHu/e&#10;LCmxjumSKdCioEdh6fX69atV1+YihRpUKQxBEG3zri1o7VybR5HltWiYnUErNBorMA1zeDW7qDSs&#10;Q/RGRWkcX0YdmLI1wIW1+Ho7GOk64FeV4O5zVVnhiCoo5ubC14Tv1n+j9YrlO8PaWvIxDfYPWTRM&#10;aiSdoG6ZY2Rv5G9QjeQGLFRuxqGJoKokF0EDqkniF2oeataKoAWLY9upTPb/wfJPhy+GyLKgF8ni&#10;khLNGuzSo+gdeQs9SX2Butbm6PfQoqfr8RkbHcTa9h74kyUaNjXTO3FjDHS1YCUmmPjI6Cx0wLEe&#10;ZNt9hBJp2N5BAOor0/jqYT0IomOjjlNzfCocH7PFVYIdp4SjLYvnyzQL7YtYfgpvjXXvBTTEHwpq&#10;sPsBnh3urfPpsPzk4tmUJl1B02W2yAY5oGR5J5XyxjCBYqMMOTCcHca50O4iiELjuacX/E6XYZIc&#10;k2o4I5fSYwW86FG+OyoxcH8VFdYdhaUDuZ/4l3yXI5/S6O3DKsxuChyb8GugckPlJ18fJsImTIHx&#10;3xmniMAK2k3BjdRg/gRQPk3Mg/9J/aDZj4Lrt30YtiS0zj9toTziSBgYVhN/JXiowfygpMO1LKj9&#10;vmdGUKI+aByrq2Q+93scLvNskeLFnFu25xamOUIV1FEyHDcu7L4XpeEGx6+SYTCeMxmTxnUL8zL+&#10;Gvw+n9+D1/MPbP0TAAD//wMAUEsDBBQABgAIAAAAIQBDsC853AAAAAYBAAAPAAAAZHJzL2Rvd25y&#10;ZXYueG1sTI/NTsNADITvSLzDykjc6CZF0CbEqfhRhSpxISDO28QkUXe9IbtNw9tjTnDyWGPNfC42&#10;s7NqojH0nhHSRQKKuPZNzy3C+9v2ag0qRMONsZ4J4ZsCbMrzs8LkjT/xK01VbJWEcMgNQhfjkGsd&#10;6o6cCQs/EIv36Udnoqxjq5vRnCTcWb1MklvtTM/S0JmBHjuqD9XRIYSH+HITD8+rbDe1H7bi7dPu&#10;K0W8vJjv70BFmuPfMfziCzqUwrT3R26CsgjySES4liFmli5F7BFW2ToBXRb6P375AwAA//8DAFBL&#10;AQItABQABgAIAAAAIQC2gziS/gAAAOEBAAATAAAAAAAAAAAAAAAAAAAAAABbQ29udGVudF9UeXBl&#10;c10ueG1sUEsBAi0AFAAGAAgAAAAhADj9If/WAAAAlAEAAAsAAAAAAAAAAAAAAAAALwEAAF9yZWxz&#10;Ly5yZWxzUEsBAi0AFAAGAAgAAAAhALwETKVlAgAACAUAAA4AAAAAAAAAAAAAAAAALgIAAGRycy9l&#10;Mm9Eb2MueG1sUEsBAi0AFAAGAAgAAAAhAEOwLzncAAAABgEAAA8AAAAAAAAAAAAAAAAAvwQAAGRy&#10;cy9kb3ducmV2LnhtbFBLBQYAAAAABAAEAPMAAADIBQAAAAA=&#10;" fillcolor="white [3201]" strokecolor="#b31b34 [3206]" strokeweight="2.25pt">
                <v:textbox>
                  <w:txbxContent>
                    <w:p w14:paraId="456571B4" w14:textId="77777777" w:rsidR="00CA4E85" w:rsidRPr="00995634" w:rsidRDefault="00CA4E85" w:rsidP="00AC0AB2">
                      <w:pPr>
                        <w:spacing w:before="120" w:after="120"/>
                        <w:jc w:val="center"/>
                        <w:rPr>
                          <w:color w:val="00667C" w:themeColor="accent1"/>
                          <w:sz w:val="22"/>
                          <w:szCs w:val="22"/>
                          <w:lang w:val="en-AU"/>
                        </w:rPr>
                      </w:pPr>
                      <w:r w:rsidRPr="00995634">
                        <w:rPr>
                          <w:rFonts w:cstheme="minorHAnsi"/>
                          <w:b/>
                          <w:bCs/>
                          <w:color w:val="00667C" w:themeColor="accent1"/>
                          <w:sz w:val="26"/>
                          <w:szCs w:val="26"/>
                        </w:rPr>
                        <w:t>Federated States of Micronesia</w:t>
                      </w:r>
                    </w:p>
                    <w:p w14:paraId="5FC7D789" w14:textId="77777777" w:rsidR="00CA4E85" w:rsidRPr="007B7B44" w:rsidRDefault="00CA4E85" w:rsidP="00AC0AB2">
                      <w:pPr>
                        <w:pStyle w:val="p1"/>
                        <w:spacing w:after="120"/>
                        <w:rPr>
                          <w:rFonts w:asciiTheme="minorHAnsi" w:hAnsiTheme="minorHAnsi" w:cstheme="minorHAnsi"/>
                          <w:bCs/>
                          <w:i/>
                          <w:sz w:val="22"/>
                          <w:szCs w:val="22"/>
                        </w:rPr>
                      </w:pPr>
                      <w:r w:rsidRPr="007B7B44">
                        <w:rPr>
                          <w:rFonts w:asciiTheme="minorHAnsi" w:hAnsiTheme="minorHAnsi" w:cstheme="minorHAnsi"/>
                          <w:bCs/>
                          <w:i/>
                          <w:sz w:val="22"/>
                          <w:szCs w:val="22"/>
                        </w:rPr>
                        <w:t>The court is in compliance with all of the 20 Cook Island Indicators.</w:t>
                      </w:r>
                    </w:p>
                    <w:p w14:paraId="10A4981C" w14:textId="77777777" w:rsidR="00CA4E85" w:rsidRPr="007B7B44" w:rsidRDefault="00CA4E85" w:rsidP="00AC0AB2">
                      <w:pPr>
                        <w:pStyle w:val="p1"/>
                        <w:spacing w:before="120" w:after="120"/>
                        <w:rPr>
                          <w:rFonts w:asciiTheme="minorHAnsi" w:hAnsiTheme="minorHAnsi" w:cstheme="minorHAnsi"/>
                          <w:bCs/>
                          <w:i/>
                          <w:sz w:val="22"/>
                          <w:szCs w:val="22"/>
                        </w:rPr>
                      </w:pPr>
                      <w:r w:rsidRPr="007B7B44">
                        <w:rPr>
                          <w:rFonts w:asciiTheme="minorHAnsi" w:hAnsiTheme="minorHAnsi" w:cstheme="minorHAnsi"/>
                          <w:bCs/>
                          <w:i/>
                          <w:sz w:val="22"/>
                          <w:szCs w:val="22"/>
                        </w:rPr>
                        <w:t>We have a number of other success stories as well: The court transitioned from case logbooks which we had been using since 1981 to a data dashboard, then to a Case Tracking System - systems provided by PJSI. Our data is now reliably accurate, immediately available and accessible to the public. And, no cases drop off the radar. We have also been able to use this information to continue and expand transparency by including it in our Annual Statistical Reports. We are upgrading data input using more sophisticated software and more specific aggregate data capabilities, thanks to PJSIs ongoing assistance.</w:t>
                      </w:r>
                    </w:p>
                    <w:p w14:paraId="156C2EE2" w14:textId="78434E42" w:rsidR="00CA4E85" w:rsidRPr="007B7B44" w:rsidRDefault="00CA4E85" w:rsidP="00AC0AB2">
                      <w:pPr>
                        <w:pStyle w:val="p1"/>
                        <w:spacing w:before="120" w:after="120"/>
                        <w:rPr>
                          <w:rFonts w:asciiTheme="minorHAnsi" w:hAnsiTheme="minorHAnsi" w:cstheme="minorHAnsi"/>
                          <w:bCs/>
                          <w:i/>
                          <w:sz w:val="22"/>
                          <w:szCs w:val="22"/>
                        </w:rPr>
                      </w:pPr>
                      <w:r w:rsidRPr="007B7B44">
                        <w:rPr>
                          <w:rFonts w:asciiTheme="minorHAnsi" w:hAnsiTheme="minorHAnsi" w:cstheme="minorHAnsi"/>
                          <w:bCs/>
                          <w:i/>
                          <w:sz w:val="22"/>
                          <w:szCs w:val="22"/>
                        </w:rPr>
                        <w:t>The Court is now also equipped with video conferencing equipment and virtual court proceedings (along with training) are regularly conducted. We upgraded our technology and physical infrastructure to meet the challenges of serving four geographically separated states. This proved vital during COVID-19, enabling us to remain open for justice. We have also made our court more accessible to people with disabilities by adding parking spaces and ramps. We have also made available a ‘safe room’ for women coming to court to defend GFV cases. With professional development opportunities demonstrating staff now taking ownership of their work and the procedural changes we made.</w:t>
                      </w:r>
                    </w:p>
                    <w:p w14:paraId="724F5D3B" w14:textId="77777777" w:rsidR="00CA4E85" w:rsidRPr="007B7B44" w:rsidRDefault="00CA4E85" w:rsidP="00AC0AB2">
                      <w:pPr>
                        <w:autoSpaceDE w:val="0"/>
                        <w:autoSpaceDN w:val="0"/>
                        <w:adjustRightInd w:val="0"/>
                        <w:spacing w:before="120"/>
                        <w:rPr>
                          <w:rFonts w:cstheme="minorHAnsi"/>
                          <w:i/>
                          <w:color w:val="000000"/>
                          <w:sz w:val="22"/>
                          <w:szCs w:val="22"/>
                        </w:rPr>
                      </w:pPr>
                      <w:r w:rsidRPr="007B7B44">
                        <w:rPr>
                          <w:rFonts w:cstheme="minorHAnsi"/>
                          <w:i/>
                          <w:color w:val="000000"/>
                          <w:sz w:val="22"/>
                          <w:szCs w:val="22"/>
                        </w:rPr>
                        <w:t>Since our awareness raising activities in all four states about the newly passed Human Trafficking Act in all four states, related cases are being filed at the National and State Courts on human trafficking cases, as people now understand what it is and where it can be reported. We collect and present this to the public – which demonstrates that 99% of victims are minors and 100% are female. The message that we want to send is that this is not a foreign concept – as in 90% of cases the perpetrators are from FSM. Our work in this area has had a major impact on the general public. Combined, these developments enable us to function in line with our mission to serve the people through timely and fair administration of justice.</w:t>
                      </w:r>
                    </w:p>
                    <w:p w14:paraId="69B8850F" w14:textId="77777777" w:rsidR="00CA4E85" w:rsidRPr="00C43892" w:rsidRDefault="00CA4E85" w:rsidP="00AC0AB2">
                      <w:pPr>
                        <w:spacing w:before="120"/>
                        <w:jc w:val="right"/>
                        <w:rPr>
                          <w:rFonts w:ascii="0@¯/e'18ƒ…©∞EH" w:eastAsiaTheme="minorEastAsia" w:hAnsi="0@¯/e'18ƒ…©∞EH" w:cs="0@¯/e'18ƒ…©∞EH"/>
                          <w:b/>
                          <w:i/>
                          <w:sz w:val="20"/>
                          <w:szCs w:val="20"/>
                          <w:lang w:eastAsia="ja-JP"/>
                        </w:rPr>
                      </w:pPr>
                      <w:r w:rsidRPr="000C6986">
                        <w:rPr>
                          <w:rFonts w:cstheme="minorHAnsi"/>
                          <w:b/>
                          <w:i/>
                          <w:color w:val="000000"/>
                          <w:sz w:val="20"/>
                          <w:szCs w:val="20"/>
                        </w:rPr>
                        <w:t xml:space="preserve">Chief Justice Yamase </w:t>
                      </w:r>
                      <w:r>
                        <w:rPr>
                          <w:rFonts w:cstheme="minorHAnsi"/>
                          <w:b/>
                          <w:i/>
                          <w:color w:val="000000"/>
                          <w:sz w:val="20"/>
                          <w:szCs w:val="20"/>
                        </w:rPr>
                        <w:t>and Director of Court Administration,</w:t>
                      </w:r>
                      <w:r w:rsidRPr="000C6986">
                        <w:rPr>
                          <w:rFonts w:cstheme="minorHAnsi"/>
                          <w:b/>
                          <w:i/>
                          <w:color w:val="000000"/>
                          <w:sz w:val="20"/>
                          <w:szCs w:val="20"/>
                        </w:rPr>
                        <w:t xml:space="preserve"> E</w:t>
                      </w:r>
                      <w:r>
                        <w:rPr>
                          <w:rFonts w:cstheme="minorHAnsi"/>
                          <w:b/>
                          <w:i/>
                          <w:color w:val="000000"/>
                          <w:sz w:val="20"/>
                          <w:szCs w:val="20"/>
                        </w:rPr>
                        <w:t>meliana</w:t>
                      </w:r>
                      <w:r w:rsidRPr="000C6986">
                        <w:rPr>
                          <w:rFonts w:cstheme="minorHAnsi"/>
                          <w:b/>
                          <w:i/>
                          <w:color w:val="000000"/>
                          <w:sz w:val="20"/>
                          <w:szCs w:val="20"/>
                        </w:rPr>
                        <w:t xml:space="preserve"> </w:t>
                      </w:r>
                      <w:r w:rsidRPr="000C6986">
                        <w:rPr>
                          <w:rFonts w:ascii="0@¯/e'18ƒ…©∞EH" w:eastAsiaTheme="minorEastAsia" w:hAnsi="0@¯/e'18ƒ…©∞EH" w:cs="0@¯/e'18ƒ…©∞EH"/>
                          <w:b/>
                          <w:i/>
                          <w:sz w:val="20"/>
                          <w:szCs w:val="20"/>
                          <w:lang w:eastAsia="ja-JP"/>
                        </w:rPr>
                        <w:t>Musrasrik‐Carl</w:t>
                      </w:r>
                    </w:p>
                  </w:txbxContent>
                </v:textbox>
                <w10:wrap type="square" anchorx="margin"/>
              </v:shape>
            </w:pict>
          </mc:Fallback>
        </mc:AlternateContent>
      </w:r>
    </w:p>
    <w:p w14:paraId="42761357" w14:textId="4D3B2B2F" w:rsidR="00325B21" w:rsidRPr="00325B21" w:rsidRDefault="007852AC" w:rsidP="009F54DE">
      <w:pPr>
        <w:pStyle w:val="ListBullet"/>
        <w:numPr>
          <w:ilvl w:val="0"/>
          <w:numId w:val="0"/>
        </w:numPr>
        <w:tabs>
          <w:tab w:val="left" w:pos="720"/>
        </w:tabs>
        <w:spacing w:after="120" w:line="240" w:lineRule="auto"/>
        <w:rPr>
          <w:rFonts w:asciiTheme="minorHAnsi" w:hAnsiTheme="minorHAnsi" w:cstheme="minorHAnsi"/>
          <w:b/>
          <w:bCs/>
          <w:sz w:val="10"/>
          <w:szCs w:val="22"/>
          <w:lang w:val="en-AU"/>
        </w:rPr>
      </w:pPr>
      <w:r>
        <w:rPr>
          <w:noProof/>
          <w:lang w:val="en-AU" w:eastAsia="en-AU" w:bidi="ar-SA"/>
        </w:rPr>
        <w:drawing>
          <wp:anchor distT="0" distB="0" distL="114300" distR="114300" simplePos="0" relativeHeight="251674112" behindDoc="1" locked="0" layoutInCell="1" allowOverlap="1" wp14:anchorId="18F8C38B" wp14:editId="721E2C86">
            <wp:simplePos x="0" y="0"/>
            <wp:positionH relativeFrom="margin">
              <wp:posOffset>2988048</wp:posOffset>
            </wp:positionH>
            <wp:positionV relativeFrom="paragraph">
              <wp:posOffset>598581</wp:posOffset>
            </wp:positionV>
            <wp:extent cx="2840355" cy="2324100"/>
            <wp:effectExtent l="0" t="0" r="0" b="0"/>
            <wp:wrapTight wrapText="bothSides">
              <wp:wrapPolygon edited="0">
                <wp:start x="0" y="0"/>
                <wp:lineTo x="0" y="21423"/>
                <wp:lineTo x="21441" y="21423"/>
                <wp:lineTo x="21441" y="0"/>
                <wp:lineTo x="0" y="0"/>
              </wp:wrapPolygon>
            </wp:wrapTight>
            <wp:docPr id="4675" name="Picture 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40355"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214BA2" w14:textId="05E8C0DA" w:rsidR="009F54DE" w:rsidRPr="00F34A39" w:rsidRDefault="00325B21" w:rsidP="009F54DE">
      <w:pPr>
        <w:pStyle w:val="ListBullet"/>
        <w:numPr>
          <w:ilvl w:val="0"/>
          <w:numId w:val="0"/>
        </w:numPr>
        <w:tabs>
          <w:tab w:val="left" w:pos="720"/>
        </w:tabs>
        <w:spacing w:after="120" w:line="240" w:lineRule="auto"/>
        <w:rPr>
          <w:rFonts w:asciiTheme="minorHAnsi" w:hAnsiTheme="minorHAnsi" w:cstheme="minorHAnsi"/>
          <w:sz w:val="22"/>
          <w:szCs w:val="22"/>
          <w:lang w:val="en-AU"/>
        </w:rPr>
      </w:pPr>
      <w:r>
        <w:rPr>
          <w:noProof/>
          <w:lang w:val="en-AU" w:eastAsia="en-AU" w:bidi="ar-SA"/>
        </w:rPr>
        <mc:AlternateContent>
          <mc:Choice Requires="wps">
            <w:drawing>
              <wp:anchor distT="0" distB="0" distL="114300" distR="114300" simplePos="0" relativeHeight="251684352" behindDoc="1" locked="0" layoutInCell="1" allowOverlap="1" wp14:anchorId="4D46CA56" wp14:editId="1ED13D4A">
                <wp:simplePos x="0" y="0"/>
                <wp:positionH relativeFrom="column">
                  <wp:posOffset>3013075</wp:posOffset>
                </wp:positionH>
                <wp:positionV relativeFrom="paragraph">
                  <wp:posOffset>2340610</wp:posOffset>
                </wp:positionV>
                <wp:extent cx="2840355" cy="635"/>
                <wp:effectExtent l="0" t="0" r="0" b="0"/>
                <wp:wrapTight wrapText="bothSides">
                  <wp:wrapPolygon edited="0">
                    <wp:start x="0" y="0"/>
                    <wp:lineTo x="0" y="21600"/>
                    <wp:lineTo x="21600" y="21600"/>
                    <wp:lineTo x="21600" y="0"/>
                  </wp:wrapPolygon>
                </wp:wrapTight>
                <wp:docPr id="1035" name="Text Box 1035"/>
                <wp:cNvGraphicFramePr/>
                <a:graphic xmlns:a="http://schemas.openxmlformats.org/drawingml/2006/main">
                  <a:graphicData uri="http://schemas.microsoft.com/office/word/2010/wordprocessingShape">
                    <wps:wsp>
                      <wps:cNvSpPr txBox="1"/>
                      <wps:spPr>
                        <a:xfrm>
                          <a:off x="0" y="0"/>
                          <a:ext cx="2840355" cy="635"/>
                        </a:xfrm>
                        <a:prstGeom prst="rect">
                          <a:avLst/>
                        </a:prstGeom>
                        <a:solidFill>
                          <a:prstClr val="white"/>
                        </a:solidFill>
                        <a:ln>
                          <a:noFill/>
                        </a:ln>
                      </wps:spPr>
                      <wps:txbx>
                        <w:txbxContent>
                          <w:p w14:paraId="215BE5B6" w14:textId="4AB7B687" w:rsidR="00CA4E85" w:rsidRPr="00325B21" w:rsidRDefault="00CA4E85" w:rsidP="00325B21">
                            <w:pPr>
                              <w:pStyle w:val="Caption"/>
                              <w:rPr>
                                <w:rFonts w:ascii="Verdana" w:hAnsi="Verdana"/>
                                <w:i w:val="0"/>
                                <w:noProof/>
                                <w:color w:val="auto"/>
                                <w:sz w:val="20"/>
                                <w:szCs w:val="24"/>
                              </w:rPr>
                            </w:pPr>
                            <w:r w:rsidRPr="00231F8D">
                              <w:rPr>
                                <w:i w:val="0"/>
                                <w:color w:val="auto"/>
                              </w:rPr>
                              <w:t>Figure 4</w:t>
                            </w:r>
                            <w:r>
                              <w:rPr>
                                <w:i w:val="0"/>
                                <w:color w:val="auto"/>
                              </w:rPr>
                              <w:t>:</w:t>
                            </w:r>
                            <w:r w:rsidRPr="00325B21">
                              <w:rPr>
                                <w:i w:val="0"/>
                                <w:color w:val="auto"/>
                              </w:rPr>
                              <w:t xml:space="preserve"> </w:t>
                            </w:r>
                            <w:r>
                              <w:rPr>
                                <w:i w:val="0"/>
                                <w:color w:val="auto"/>
                              </w:rPr>
                              <w:t>Project Management and Activity Preparation Workshop, Vanuatu, February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46CA56" id="Text Box 1035" o:spid="_x0000_s1037" type="#_x0000_t202" style="position:absolute;margin-left:237.25pt;margin-top:184.3pt;width:223.65pt;height:.05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SheLgIAAGsEAAAOAAAAZHJzL2Uyb0RvYy54bWysVMGO2jAQvVfqP1i+lwBtVytEWFFWVJXQ&#10;7kpQ7dk4DonkeFzbkGy/vs8Oge22p6oXM54Zv8m8N8P8rms0OynnazI5n4zGnCkjqajNIeffd+sP&#10;t5z5IEwhNBmV8xfl+d3i/bt5a2dqShXpQjkGEONnrc15FYKdZZmXlWqEH5FVBsGSXCMCru6QFU60&#10;QG90Nh2Pb7KWXGEdSeU9vPd9kC8SflkqGR7L0qvAdM7xbSGdLp37eGaLuZgdnLBVLc+fIf7hKxpR&#10;GxS9QN2LINjR1X9ANbV05KkMI0lNRmVZS5V6QDeT8ZtutpWwKvUCcry90OT/H6x8OD05VhfQbvzx&#10;M2dGNFBpp7rAvlDHkhMctdbPkLq1SA4dIsiP3EW/hzO23pWuib9oiiEOtl8uDEc8Cef09hPKoI5E&#10;7AYFgZFdn1rnw1dFDYtGzh3kS6yK08aHPnVIiZU86bpY11rHSwystGMnAanbqg7qDP5bljYx11B8&#10;1QNGT3btI1qh23c9J5cm91S8oHdH/QR5K9c1Cm6ED0/CYWTQLtYgPOIoNbU5p7PFWUXu59/8MR9K&#10;IspZixHMuf9xFE5xpr8ZaBzndTDcYOwHwxybFaHVCRbMymTigQt6MEtHzTO2YxmrICSMRK2ch8Fc&#10;hX4RsF1SLZcpCVNpRdiYrZUReiB21z0LZ8+yBKj5QMNwitkbdfrcpI9dHgOoTtJFYnsWz3xjopP4&#10;5+2LK/P6nrKu/xGLXwAAAP//AwBQSwMEFAAGAAgAAAAhAIeUC1biAAAACwEAAA8AAABkcnMvZG93&#10;bnJldi54bWxMj7FOwzAQhnck3sE6JBZEnbYhLSFOVVUwlKUidGFz42sciO3Idtrw9j1YYLy7T/99&#10;f7EaTcdO6EPrrIDpJAGGtnaqtY2A/fvL/RJYiNIq2TmLAr4xwKq8vipkrtzZvuGpig2jEBtyKUDH&#10;2Oech1qjkWHierR0OzpvZKTRN1x5eaZw0/FZkmTcyNbSBy173Gisv6rBCNilHzt9NxyfX9fp3G/3&#10;wyb7bCohbm/G9ROwiGP8g+FHn9ShJKeDG6wKrBOQLtIHQgXMs2UGjIjH2ZTKHH43C+Blwf93KC8A&#10;AAD//wMAUEsBAi0AFAAGAAgAAAAhALaDOJL+AAAA4QEAABMAAAAAAAAAAAAAAAAAAAAAAFtDb250&#10;ZW50X1R5cGVzXS54bWxQSwECLQAUAAYACAAAACEAOP0h/9YAAACUAQAACwAAAAAAAAAAAAAAAAAv&#10;AQAAX3JlbHMvLnJlbHNQSwECLQAUAAYACAAAACEAp8UoXi4CAABrBAAADgAAAAAAAAAAAAAAAAAu&#10;AgAAZHJzL2Uyb0RvYy54bWxQSwECLQAUAAYACAAAACEAh5QLVuIAAAALAQAADwAAAAAAAAAAAAAA&#10;AACIBAAAZHJzL2Rvd25yZXYueG1sUEsFBgAAAAAEAAQA8wAAAJcFAAAAAA==&#10;" stroked="f">
                <v:textbox style="mso-fit-shape-to-text:t" inset="0,0,0,0">
                  <w:txbxContent>
                    <w:p w14:paraId="215BE5B6" w14:textId="4AB7B687" w:rsidR="00CA4E85" w:rsidRPr="00325B21" w:rsidRDefault="00CA4E85" w:rsidP="00325B21">
                      <w:pPr>
                        <w:pStyle w:val="Caption"/>
                        <w:rPr>
                          <w:rFonts w:ascii="Verdana" w:hAnsi="Verdana"/>
                          <w:i w:val="0"/>
                          <w:noProof/>
                          <w:color w:val="auto"/>
                          <w:sz w:val="20"/>
                          <w:szCs w:val="24"/>
                        </w:rPr>
                      </w:pPr>
                      <w:r w:rsidRPr="00231F8D">
                        <w:rPr>
                          <w:i w:val="0"/>
                          <w:color w:val="auto"/>
                        </w:rPr>
                        <w:t>Figure 4</w:t>
                      </w:r>
                      <w:r>
                        <w:rPr>
                          <w:i w:val="0"/>
                          <w:color w:val="auto"/>
                        </w:rPr>
                        <w:t>:</w:t>
                      </w:r>
                      <w:r w:rsidRPr="00325B21">
                        <w:rPr>
                          <w:i w:val="0"/>
                          <w:color w:val="auto"/>
                        </w:rPr>
                        <w:t xml:space="preserve"> </w:t>
                      </w:r>
                      <w:r>
                        <w:rPr>
                          <w:i w:val="0"/>
                          <w:color w:val="auto"/>
                        </w:rPr>
                        <w:t>Project Management and Activity Preparation Workshop, Vanuatu, February 2019</w:t>
                      </w:r>
                    </w:p>
                  </w:txbxContent>
                </v:textbox>
                <w10:wrap type="tight"/>
              </v:shape>
            </w:pict>
          </mc:Fallback>
        </mc:AlternateContent>
      </w:r>
      <w:r w:rsidR="009F54DE" w:rsidRPr="00F34A39">
        <w:rPr>
          <w:rFonts w:asciiTheme="minorHAnsi" w:hAnsiTheme="minorHAnsi" w:cstheme="minorHAnsi"/>
          <w:b/>
          <w:bCs/>
          <w:sz w:val="22"/>
          <w:szCs w:val="22"/>
          <w:lang w:val="en-AU"/>
        </w:rPr>
        <w:t>The external outlook and community relations of Partner Courts is transformed</w:t>
      </w:r>
      <w:r w:rsidR="0097659A">
        <w:rPr>
          <w:rFonts w:asciiTheme="minorHAnsi" w:hAnsiTheme="minorHAnsi" w:cstheme="minorHAnsi"/>
          <w:b/>
          <w:bCs/>
          <w:sz w:val="22"/>
          <w:szCs w:val="22"/>
          <w:lang w:val="en-AU"/>
        </w:rPr>
        <w:t>.</w:t>
      </w:r>
      <w:r w:rsidR="0097659A">
        <w:rPr>
          <w:rFonts w:asciiTheme="minorHAnsi" w:hAnsiTheme="minorHAnsi" w:cstheme="minorHAnsi"/>
          <w:bCs/>
          <w:sz w:val="22"/>
          <w:szCs w:val="22"/>
          <w:lang w:val="en-AU"/>
        </w:rPr>
        <w:t xml:space="preserve"> Formerly</w:t>
      </w:r>
      <w:r w:rsidR="009F54DE" w:rsidRPr="00F34A39">
        <w:rPr>
          <w:rFonts w:asciiTheme="minorHAnsi" w:hAnsiTheme="minorHAnsi" w:cstheme="minorHAnsi"/>
          <w:b/>
          <w:bCs/>
          <w:sz w:val="22"/>
          <w:szCs w:val="22"/>
          <w:lang w:val="en-AU"/>
        </w:rPr>
        <w:t xml:space="preserve"> </w:t>
      </w:r>
      <w:r w:rsidR="0097659A">
        <w:rPr>
          <w:rFonts w:asciiTheme="minorHAnsi" w:hAnsiTheme="minorHAnsi" w:cstheme="minorHAnsi"/>
          <w:sz w:val="22"/>
          <w:szCs w:val="22"/>
          <w:lang w:val="en-AU"/>
        </w:rPr>
        <w:t xml:space="preserve">reactive, insulated and isolated to preserve independence, </w:t>
      </w:r>
      <w:r w:rsidR="002950E4">
        <w:rPr>
          <w:rFonts w:asciiTheme="minorHAnsi" w:hAnsiTheme="minorHAnsi" w:cstheme="minorHAnsi"/>
          <w:sz w:val="22"/>
          <w:szCs w:val="22"/>
          <w:lang w:val="en-AU"/>
        </w:rPr>
        <w:t>Partner Courts</w:t>
      </w:r>
      <w:r w:rsidR="0097659A">
        <w:rPr>
          <w:rFonts w:asciiTheme="minorHAnsi" w:hAnsiTheme="minorHAnsi" w:cstheme="minorHAnsi"/>
          <w:sz w:val="22"/>
          <w:szCs w:val="22"/>
          <w:lang w:val="en-AU"/>
        </w:rPr>
        <w:t xml:space="preserve"> now</w:t>
      </w:r>
      <w:r w:rsidR="009F54DE" w:rsidRPr="00F34A39">
        <w:rPr>
          <w:rFonts w:asciiTheme="minorHAnsi" w:hAnsiTheme="minorHAnsi" w:cstheme="minorHAnsi"/>
          <w:sz w:val="22"/>
          <w:szCs w:val="22"/>
          <w:lang w:val="en-AU"/>
        </w:rPr>
        <w:t xml:space="preserve"> proactively</w:t>
      </w:r>
      <w:r w:rsidR="002950E4">
        <w:rPr>
          <w:rFonts w:asciiTheme="minorHAnsi" w:hAnsiTheme="minorHAnsi" w:cstheme="minorHAnsi"/>
          <w:sz w:val="22"/>
          <w:szCs w:val="22"/>
          <w:lang w:val="en-AU"/>
        </w:rPr>
        <w:t xml:space="preserve"> reach</w:t>
      </w:r>
      <w:r w:rsidR="0097659A">
        <w:rPr>
          <w:rFonts w:asciiTheme="minorHAnsi" w:hAnsiTheme="minorHAnsi" w:cstheme="minorHAnsi"/>
          <w:sz w:val="22"/>
          <w:szCs w:val="22"/>
          <w:lang w:val="en-AU"/>
        </w:rPr>
        <w:t xml:space="preserve"> out to, and</w:t>
      </w:r>
      <w:r w:rsidR="002950E4">
        <w:rPr>
          <w:rFonts w:asciiTheme="minorHAnsi" w:hAnsiTheme="minorHAnsi" w:cstheme="minorHAnsi"/>
          <w:sz w:val="22"/>
          <w:szCs w:val="22"/>
          <w:lang w:val="en-AU"/>
        </w:rPr>
        <w:t xml:space="preserve"> engage</w:t>
      </w:r>
      <w:r w:rsidR="009F54DE" w:rsidRPr="00F34A39">
        <w:rPr>
          <w:rFonts w:asciiTheme="minorHAnsi" w:hAnsiTheme="minorHAnsi" w:cstheme="minorHAnsi"/>
          <w:sz w:val="22"/>
          <w:szCs w:val="22"/>
          <w:lang w:val="en-AU"/>
        </w:rPr>
        <w:t xml:space="preserve"> with their communities to promote access to justice. Most notably with</w:t>
      </w:r>
      <w:r w:rsidR="002950E4">
        <w:rPr>
          <w:rFonts w:asciiTheme="minorHAnsi" w:hAnsiTheme="minorHAnsi" w:cstheme="minorHAnsi"/>
          <w:sz w:val="22"/>
          <w:szCs w:val="22"/>
          <w:lang w:val="en-AU"/>
        </w:rPr>
        <w:t>in</w:t>
      </w:r>
      <w:r w:rsidR="009F54DE" w:rsidRPr="00F34A39">
        <w:rPr>
          <w:rFonts w:asciiTheme="minorHAnsi" w:hAnsiTheme="minorHAnsi" w:cstheme="minorHAnsi"/>
          <w:sz w:val="22"/>
          <w:szCs w:val="22"/>
          <w:lang w:val="en-AU"/>
        </w:rPr>
        <w:t xml:space="preserve"> Kiribati and Vanuatu, but also R</w:t>
      </w:r>
      <w:r w:rsidR="000A6B48" w:rsidRPr="00F34A39">
        <w:rPr>
          <w:rFonts w:asciiTheme="minorHAnsi" w:hAnsiTheme="minorHAnsi" w:cstheme="minorHAnsi"/>
          <w:sz w:val="22"/>
          <w:szCs w:val="22"/>
          <w:lang w:val="en-AU"/>
        </w:rPr>
        <w:t xml:space="preserve">epublic of </w:t>
      </w:r>
      <w:r w:rsidR="009F54DE" w:rsidRPr="00F34A39">
        <w:rPr>
          <w:rFonts w:asciiTheme="minorHAnsi" w:hAnsiTheme="minorHAnsi" w:cstheme="minorHAnsi"/>
          <w:sz w:val="22"/>
          <w:szCs w:val="22"/>
          <w:lang w:val="en-AU"/>
        </w:rPr>
        <w:t>M</w:t>
      </w:r>
      <w:r w:rsidR="000A6B48" w:rsidRPr="00F34A39">
        <w:rPr>
          <w:rFonts w:asciiTheme="minorHAnsi" w:hAnsiTheme="minorHAnsi" w:cstheme="minorHAnsi"/>
          <w:sz w:val="22"/>
          <w:szCs w:val="22"/>
          <w:lang w:val="en-AU"/>
        </w:rPr>
        <w:t xml:space="preserve">arshall </w:t>
      </w:r>
      <w:r w:rsidR="009F54DE" w:rsidRPr="00F34A39">
        <w:rPr>
          <w:rFonts w:asciiTheme="minorHAnsi" w:hAnsiTheme="minorHAnsi" w:cstheme="minorHAnsi"/>
          <w:sz w:val="22"/>
          <w:szCs w:val="22"/>
          <w:lang w:val="en-AU"/>
        </w:rPr>
        <w:t>I</w:t>
      </w:r>
      <w:r w:rsidR="000A6B48" w:rsidRPr="00F34A39">
        <w:rPr>
          <w:rFonts w:asciiTheme="minorHAnsi" w:hAnsiTheme="minorHAnsi" w:cstheme="minorHAnsi"/>
          <w:sz w:val="22"/>
          <w:szCs w:val="22"/>
          <w:lang w:val="en-AU"/>
        </w:rPr>
        <w:t>slands (RMI)</w:t>
      </w:r>
      <w:r w:rsidR="009F54DE" w:rsidRPr="00F34A39">
        <w:rPr>
          <w:rFonts w:asciiTheme="minorHAnsi" w:hAnsiTheme="minorHAnsi" w:cstheme="minorHAnsi"/>
          <w:sz w:val="22"/>
          <w:szCs w:val="22"/>
          <w:lang w:val="en-AU"/>
        </w:rPr>
        <w:t xml:space="preserve"> and F</w:t>
      </w:r>
      <w:r w:rsidR="000A6B48" w:rsidRPr="00F34A39">
        <w:rPr>
          <w:rFonts w:asciiTheme="minorHAnsi" w:hAnsiTheme="minorHAnsi" w:cstheme="minorHAnsi"/>
          <w:sz w:val="22"/>
          <w:szCs w:val="22"/>
          <w:lang w:val="en-AU"/>
        </w:rPr>
        <w:t xml:space="preserve">ederated </w:t>
      </w:r>
      <w:r w:rsidR="009F54DE" w:rsidRPr="00F34A39">
        <w:rPr>
          <w:rFonts w:asciiTheme="minorHAnsi" w:hAnsiTheme="minorHAnsi" w:cstheme="minorHAnsi"/>
          <w:sz w:val="22"/>
          <w:szCs w:val="22"/>
          <w:lang w:val="en-AU"/>
        </w:rPr>
        <w:t>S</w:t>
      </w:r>
      <w:r w:rsidR="000A6B48" w:rsidRPr="00F34A39">
        <w:rPr>
          <w:rFonts w:asciiTheme="minorHAnsi" w:hAnsiTheme="minorHAnsi" w:cstheme="minorHAnsi"/>
          <w:sz w:val="22"/>
          <w:szCs w:val="22"/>
          <w:lang w:val="en-AU"/>
        </w:rPr>
        <w:t xml:space="preserve">tates of </w:t>
      </w:r>
      <w:r w:rsidR="009F54DE" w:rsidRPr="00F34A39">
        <w:rPr>
          <w:rFonts w:asciiTheme="minorHAnsi" w:hAnsiTheme="minorHAnsi" w:cstheme="minorHAnsi"/>
          <w:sz w:val="22"/>
          <w:szCs w:val="22"/>
          <w:lang w:val="en-AU"/>
        </w:rPr>
        <w:t>M</w:t>
      </w:r>
      <w:r w:rsidR="000A6B48" w:rsidRPr="00F34A39">
        <w:rPr>
          <w:rFonts w:asciiTheme="minorHAnsi" w:hAnsiTheme="minorHAnsi" w:cstheme="minorHAnsi"/>
          <w:sz w:val="22"/>
          <w:szCs w:val="22"/>
          <w:lang w:val="en-AU"/>
        </w:rPr>
        <w:t>icronesia (FSM)</w:t>
      </w:r>
      <w:r w:rsidR="009F54DE" w:rsidRPr="00F34A39">
        <w:rPr>
          <w:rFonts w:asciiTheme="minorHAnsi" w:hAnsiTheme="minorHAnsi" w:cstheme="minorHAnsi"/>
          <w:sz w:val="22"/>
          <w:szCs w:val="22"/>
          <w:lang w:val="en-AU"/>
        </w:rPr>
        <w:t>. This included establishing access to justice plans; p</w:t>
      </w:r>
      <w:r w:rsidR="002950E4">
        <w:rPr>
          <w:rFonts w:asciiTheme="minorHAnsi" w:hAnsiTheme="minorHAnsi" w:cstheme="minorHAnsi"/>
          <w:sz w:val="22"/>
          <w:szCs w:val="22"/>
          <w:lang w:val="en-AU"/>
        </w:rPr>
        <w:t>ublishing and distributing information</w:t>
      </w:r>
      <w:r w:rsidR="009F54DE" w:rsidRPr="00F34A39">
        <w:rPr>
          <w:rFonts w:asciiTheme="minorHAnsi" w:hAnsiTheme="minorHAnsi" w:cstheme="minorHAnsi"/>
          <w:sz w:val="22"/>
          <w:szCs w:val="22"/>
          <w:lang w:val="en-AU"/>
        </w:rPr>
        <w:t xml:space="preserve"> on court services; conducting public seminars on the role of the courts; conducting remote-island and community outreach; court open days and public </w:t>
      </w:r>
      <w:r w:rsidR="002950E4">
        <w:rPr>
          <w:rFonts w:asciiTheme="minorHAnsi" w:hAnsiTheme="minorHAnsi" w:cstheme="minorHAnsi"/>
          <w:sz w:val="22"/>
          <w:szCs w:val="22"/>
          <w:lang w:val="en-AU"/>
        </w:rPr>
        <w:t>awareness programs</w:t>
      </w:r>
      <w:r w:rsidR="009F54DE" w:rsidRPr="00F34A39">
        <w:rPr>
          <w:rFonts w:asciiTheme="minorHAnsi" w:hAnsiTheme="minorHAnsi" w:cstheme="minorHAnsi"/>
          <w:sz w:val="22"/>
          <w:szCs w:val="22"/>
          <w:lang w:val="en-AU"/>
        </w:rPr>
        <w:t xml:space="preserve"> and court-users satisfaction </w:t>
      </w:r>
      <w:r w:rsidR="009F54DE" w:rsidRPr="00F34A39">
        <w:rPr>
          <w:rFonts w:asciiTheme="minorHAnsi" w:hAnsiTheme="minorHAnsi" w:cstheme="minorHAnsi"/>
          <w:sz w:val="22"/>
          <w:szCs w:val="22"/>
          <w:lang w:val="en-AU"/>
        </w:rPr>
        <w:lastRenderedPageBreak/>
        <w:t xml:space="preserve">surveys. </w:t>
      </w:r>
      <w:r w:rsidR="007F3724">
        <w:rPr>
          <w:rFonts w:asciiTheme="minorHAnsi" w:hAnsiTheme="minorHAnsi" w:cstheme="minorHAnsi"/>
          <w:sz w:val="22"/>
          <w:szCs w:val="22"/>
          <w:lang w:val="en-AU"/>
        </w:rPr>
        <w:t>Six Partner Courts have also created secondary education civics courses.</w:t>
      </w:r>
      <w:r w:rsidR="007F3724">
        <w:rPr>
          <w:rStyle w:val="FootnoteReference"/>
          <w:rFonts w:asciiTheme="minorHAnsi" w:hAnsiTheme="minorHAnsi" w:cstheme="minorHAnsi"/>
          <w:sz w:val="22"/>
          <w:szCs w:val="22"/>
          <w:lang w:val="en-AU"/>
        </w:rPr>
        <w:footnoteReference w:id="7"/>
      </w:r>
      <w:r w:rsidR="007F3724">
        <w:rPr>
          <w:rFonts w:asciiTheme="minorHAnsi" w:hAnsiTheme="minorHAnsi" w:cstheme="minorHAnsi"/>
          <w:sz w:val="22"/>
          <w:szCs w:val="22"/>
          <w:lang w:val="en-AU"/>
        </w:rPr>
        <w:t xml:space="preserve"> </w:t>
      </w:r>
    </w:p>
    <w:p w14:paraId="1682F853" w14:textId="53A57FB7" w:rsidR="00325B21" w:rsidRDefault="009F54DE" w:rsidP="00325B21">
      <w:pPr>
        <w:autoSpaceDE w:val="0"/>
        <w:autoSpaceDN w:val="0"/>
        <w:adjustRightInd w:val="0"/>
        <w:spacing w:before="120" w:after="120"/>
        <w:rPr>
          <w:rFonts w:cstheme="minorHAnsi"/>
          <w:noProof/>
          <w:sz w:val="22"/>
          <w:szCs w:val="22"/>
          <w:lang w:val="en-AU"/>
        </w:rPr>
      </w:pPr>
      <w:r w:rsidRPr="00F34A39">
        <w:rPr>
          <w:rFonts w:cstheme="minorHAnsi"/>
          <w:sz w:val="22"/>
          <w:szCs w:val="22"/>
          <w:lang w:val="en-AU"/>
        </w:rPr>
        <w:t xml:space="preserve">As a result of the collective efforts of these </w:t>
      </w:r>
      <w:r w:rsidR="005F6CFA" w:rsidRPr="00F34A39">
        <w:rPr>
          <w:sz w:val="22"/>
          <w:szCs w:val="22"/>
          <w:lang w:val="en-AU"/>
        </w:rPr>
        <w:t>Partner Courts</w:t>
      </w:r>
      <w:r w:rsidRPr="00F34A39">
        <w:rPr>
          <w:rFonts w:cstheme="minorHAnsi"/>
          <w:sz w:val="22"/>
          <w:szCs w:val="22"/>
          <w:lang w:val="en-AU"/>
        </w:rPr>
        <w:t>, 1</w:t>
      </w:r>
      <w:r w:rsidR="00BA5A59" w:rsidRPr="00F34A39">
        <w:rPr>
          <w:rFonts w:cstheme="minorHAnsi"/>
          <w:sz w:val="22"/>
          <w:szCs w:val="22"/>
          <w:lang w:val="en-AU"/>
        </w:rPr>
        <w:t>,</w:t>
      </w:r>
      <w:r w:rsidRPr="00F34A39">
        <w:rPr>
          <w:rFonts w:cstheme="minorHAnsi"/>
          <w:sz w:val="22"/>
          <w:szCs w:val="22"/>
          <w:lang w:val="en-AU"/>
        </w:rPr>
        <w:t xml:space="preserve">898 people are better aware of their rights and how to claim them in court. This is complemented by six procedural changes in seven </w:t>
      </w:r>
      <w:r w:rsidR="00BA5A59" w:rsidRPr="00F34A39">
        <w:rPr>
          <w:rFonts w:cstheme="minorHAnsi"/>
          <w:sz w:val="22"/>
          <w:szCs w:val="22"/>
          <w:lang w:val="en-AU"/>
        </w:rPr>
        <w:t xml:space="preserve">Partner Courts </w:t>
      </w:r>
      <w:r w:rsidRPr="00F34A39">
        <w:rPr>
          <w:rFonts w:cstheme="minorHAnsi"/>
          <w:sz w:val="22"/>
          <w:szCs w:val="22"/>
          <w:lang w:val="en-AU"/>
        </w:rPr>
        <w:t xml:space="preserve">to promote accessibility. These include Tonga publishing the Pacific’s </w:t>
      </w:r>
      <w:hyperlink r:id="rId57" w:history="1">
        <w:r w:rsidR="00280527" w:rsidRPr="00280527">
          <w:rPr>
            <w:rStyle w:val="Hyperlink"/>
            <w:rFonts w:cstheme="minorHAnsi"/>
            <w:sz w:val="22"/>
            <w:szCs w:val="22"/>
            <w:lang w:val="en-AU"/>
          </w:rPr>
          <w:t>Court Disability Policy</w:t>
        </w:r>
      </w:hyperlink>
      <w:r w:rsidRPr="00F34A39">
        <w:rPr>
          <w:sz w:val="22"/>
          <w:szCs w:val="26"/>
          <w:lang w:val="en-AU"/>
        </w:rPr>
        <w:t xml:space="preserve"> </w:t>
      </w:r>
      <w:r w:rsidRPr="00F34A39">
        <w:rPr>
          <w:rFonts w:cstheme="minorHAnsi"/>
          <w:sz w:val="22"/>
          <w:szCs w:val="22"/>
          <w:lang w:val="en-AU"/>
        </w:rPr>
        <w:t xml:space="preserve">adding physical accessibility infrastructure to accommodate people with disabilities (FSM, Tonga), safe rooms for women involved in </w:t>
      </w:r>
      <w:r w:rsidR="00BA5A59" w:rsidRPr="00F34A39">
        <w:rPr>
          <w:rFonts w:cstheme="minorHAnsi"/>
          <w:sz w:val="22"/>
          <w:szCs w:val="22"/>
          <w:lang w:val="en-AU"/>
        </w:rPr>
        <w:t>Gender and Family Violence (</w:t>
      </w:r>
      <w:r w:rsidRPr="00F34A39">
        <w:rPr>
          <w:rFonts w:cstheme="minorHAnsi"/>
          <w:sz w:val="22"/>
          <w:szCs w:val="22"/>
          <w:lang w:val="en-AU"/>
        </w:rPr>
        <w:t>GFV</w:t>
      </w:r>
      <w:r w:rsidR="00BA5A59" w:rsidRPr="00F34A39">
        <w:rPr>
          <w:rFonts w:cstheme="minorHAnsi"/>
          <w:sz w:val="22"/>
          <w:szCs w:val="22"/>
          <w:lang w:val="en-AU"/>
        </w:rPr>
        <w:t>)</w:t>
      </w:r>
      <w:r w:rsidRPr="00F34A39">
        <w:rPr>
          <w:rFonts w:cstheme="minorHAnsi"/>
          <w:sz w:val="22"/>
          <w:szCs w:val="22"/>
          <w:lang w:val="en-AU"/>
        </w:rPr>
        <w:t xml:space="preserve"> cases (FSM, Palau), fee waivers (RMI), legal and procedural information </w:t>
      </w:r>
      <w:r w:rsidR="0097659A">
        <w:rPr>
          <w:rFonts w:cstheme="minorHAnsi"/>
          <w:sz w:val="22"/>
          <w:szCs w:val="22"/>
          <w:lang w:val="en-AU"/>
        </w:rPr>
        <w:t xml:space="preserve">distributed </w:t>
      </w:r>
      <w:r w:rsidRPr="00F34A39">
        <w:rPr>
          <w:rFonts w:cstheme="minorHAnsi"/>
          <w:sz w:val="22"/>
          <w:szCs w:val="22"/>
          <w:lang w:val="en-AU"/>
        </w:rPr>
        <w:t xml:space="preserve">to </w:t>
      </w:r>
      <w:r w:rsidR="0097659A">
        <w:rPr>
          <w:rFonts w:cstheme="minorHAnsi"/>
          <w:sz w:val="22"/>
          <w:szCs w:val="22"/>
          <w:lang w:val="en-AU"/>
        </w:rPr>
        <w:t xml:space="preserve">residents including </w:t>
      </w:r>
      <w:r w:rsidRPr="00F34A39">
        <w:rPr>
          <w:rFonts w:cstheme="minorHAnsi"/>
          <w:sz w:val="22"/>
          <w:szCs w:val="22"/>
          <w:lang w:val="en-AU"/>
        </w:rPr>
        <w:t>self-represented litigan</w:t>
      </w:r>
      <w:r w:rsidRPr="005821BC">
        <w:rPr>
          <w:rFonts w:cstheme="minorHAnsi"/>
          <w:sz w:val="22"/>
          <w:szCs w:val="22"/>
          <w:lang w:val="en-AU"/>
        </w:rPr>
        <w:t>ts (Kiribati</w:t>
      </w:r>
      <w:r w:rsidR="00AB35A8" w:rsidRPr="005821BC">
        <w:rPr>
          <w:rFonts w:cstheme="minorHAnsi"/>
          <w:sz w:val="22"/>
          <w:szCs w:val="22"/>
          <w:lang w:val="en-AU"/>
        </w:rPr>
        <w:t>;</w:t>
      </w:r>
      <w:r w:rsidRPr="005821BC">
        <w:rPr>
          <w:rFonts w:cstheme="minorHAnsi"/>
          <w:sz w:val="22"/>
          <w:szCs w:val="22"/>
          <w:lang w:val="en-AU"/>
        </w:rPr>
        <w:t xml:space="preserve"> Vanuatu</w:t>
      </w:r>
      <w:r w:rsidR="00AB35A8" w:rsidRPr="005821BC">
        <w:rPr>
          <w:rFonts w:cstheme="minorHAnsi"/>
          <w:sz w:val="22"/>
          <w:szCs w:val="22"/>
          <w:lang w:val="en-AU"/>
        </w:rPr>
        <w:t>, 20,000</w:t>
      </w:r>
      <w:r w:rsidR="00AB35A8" w:rsidRPr="005821BC">
        <w:rPr>
          <w:rStyle w:val="FootnoteReference"/>
          <w:rFonts w:cstheme="minorHAnsi"/>
          <w:sz w:val="22"/>
          <w:szCs w:val="22"/>
          <w:lang w:val="en-AU"/>
        </w:rPr>
        <w:footnoteReference w:id="8"/>
      </w:r>
      <w:r w:rsidRPr="005821BC">
        <w:rPr>
          <w:rFonts w:cstheme="minorHAnsi"/>
          <w:sz w:val="22"/>
          <w:szCs w:val="22"/>
          <w:lang w:val="en-AU"/>
        </w:rPr>
        <w:t>),</w:t>
      </w:r>
      <w:r w:rsidRPr="00F34A39">
        <w:rPr>
          <w:rFonts w:cstheme="minorHAnsi"/>
          <w:sz w:val="22"/>
          <w:szCs w:val="22"/>
          <w:lang w:val="en-AU"/>
        </w:rPr>
        <w:t xml:space="preserve"> securing funding to conduct circuit/mobile courts (Solomon Islands, Kiribati).</w:t>
      </w:r>
      <w:r w:rsidR="00325B21" w:rsidRPr="00325B21">
        <w:rPr>
          <w:rFonts w:cstheme="minorHAnsi"/>
          <w:noProof/>
          <w:sz w:val="22"/>
          <w:szCs w:val="22"/>
          <w:lang w:val="en-AU"/>
        </w:rPr>
        <w:t xml:space="preserve"> </w:t>
      </w:r>
    </w:p>
    <w:p w14:paraId="31C56D69" w14:textId="7F2B8133" w:rsidR="009F54DE" w:rsidRPr="00F34A39" w:rsidRDefault="002C66D9" w:rsidP="00325B21">
      <w:pPr>
        <w:autoSpaceDE w:val="0"/>
        <w:autoSpaceDN w:val="0"/>
        <w:adjustRightInd w:val="0"/>
        <w:spacing w:before="120" w:after="120"/>
        <w:rPr>
          <w:rFonts w:cstheme="minorHAnsi"/>
          <w:sz w:val="22"/>
          <w:szCs w:val="22"/>
          <w:lang w:val="en-AU"/>
        </w:rPr>
      </w:pPr>
      <w:r w:rsidRPr="00F34A39">
        <w:rPr>
          <w:rFonts w:cstheme="minorHAnsi"/>
          <w:noProof/>
          <w:szCs w:val="22"/>
          <w:lang w:val="en-AU"/>
        </w:rPr>
        <mc:AlternateContent>
          <mc:Choice Requires="wps">
            <w:drawing>
              <wp:anchor distT="45720" distB="45720" distL="114300" distR="114300" simplePos="0" relativeHeight="251623936" behindDoc="0" locked="0" layoutInCell="1" allowOverlap="1" wp14:anchorId="39CB4096" wp14:editId="5D5401B6">
                <wp:simplePos x="0" y="0"/>
                <wp:positionH relativeFrom="margin">
                  <wp:align>right</wp:align>
                </wp:positionH>
                <wp:positionV relativeFrom="paragraph">
                  <wp:posOffset>798830</wp:posOffset>
                </wp:positionV>
                <wp:extent cx="2327910" cy="1495425"/>
                <wp:effectExtent l="19050" t="19050" r="15240" b="28575"/>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910" cy="1495425"/>
                        </a:xfrm>
                        <a:prstGeom prst="rect">
                          <a:avLst/>
                        </a:prstGeom>
                        <a:ln w="28575">
                          <a:solidFill>
                            <a:schemeClr val="accent1"/>
                          </a:solidFill>
                          <a:headEnd/>
                          <a:tailEnd/>
                        </a:ln>
                      </wps:spPr>
                      <wps:style>
                        <a:lnRef idx="2">
                          <a:schemeClr val="accent4"/>
                        </a:lnRef>
                        <a:fillRef idx="1">
                          <a:schemeClr val="lt1"/>
                        </a:fillRef>
                        <a:effectRef idx="0">
                          <a:schemeClr val="accent4"/>
                        </a:effectRef>
                        <a:fontRef idx="minor">
                          <a:schemeClr val="dk1"/>
                        </a:fontRef>
                      </wps:style>
                      <wps:txbx>
                        <w:txbxContent>
                          <w:p w14:paraId="75D3E6AF" w14:textId="7D105CBB" w:rsidR="00CA4E85" w:rsidRPr="002C66D9" w:rsidRDefault="00CA4E85" w:rsidP="002C66D9">
                            <w:pPr>
                              <w:spacing w:before="100" w:beforeAutospacing="1" w:after="120"/>
                              <w:ind w:left="142"/>
                              <w:jc w:val="right"/>
                              <w:rPr>
                                <w:sz w:val="20"/>
                                <w:szCs w:val="20"/>
                                <w:lang w:val="en-AU"/>
                              </w:rPr>
                            </w:pPr>
                            <w:r w:rsidRPr="002C66D9">
                              <w:rPr>
                                <w:i/>
                                <w:sz w:val="20"/>
                                <w:szCs w:val="20"/>
                                <w:lang w:val="en-AU"/>
                              </w:rPr>
                              <w:t>“</w:t>
                            </w:r>
                            <w:r w:rsidRPr="002C66D9">
                              <w:rPr>
                                <w:i/>
                                <w:iCs/>
                                <w:sz w:val="20"/>
                                <w:szCs w:val="20"/>
                              </w:rPr>
                              <w:t xml:space="preserve">In terms of the professional development of staff, about 6 of my staff have enrolled this year into the Certificate of Justice Program at USP, thanks to PJSI for funding it, the staff feel motivated and dedicated towards this certificate program. </w:t>
                            </w:r>
                          </w:p>
                          <w:p w14:paraId="6F027139" w14:textId="23F99F7B" w:rsidR="00CA4E85" w:rsidRPr="0069366C" w:rsidRDefault="00CA4E85" w:rsidP="00196238">
                            <w:pPr>
                              <w:jc w:val="right"/>
                              <w:rPr>
                                <w:i/>
                                <w:sz w:val="20"/>
                                <w:szCs w:val="20"/>
                                <w:lang w:val="en-AU"/>
                              </w:rPr>
                            </w:pPr>
                            <w:r w:rsidRPr="002C66D9">
                              <w:rPr>
                                <w:b/>
                                <w:i/>
                                <w:iCs/>
                                <w:sz w:val="20"/>
                                <w:szCs w:val="20"/>
                              </w:rPr>
                              <w:t>Registrar, Ronald Prakash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B4096" id="_x0000_s1038" type="#_x0000_t202" style="position:absolute;margin-left:132.1pt;margin-top:62.9pt;width:183.3pt;height:117.75pt;z-index:251623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YOlYAIAAAcFAAAOAAAAZHJzL2Uyb0RvYy54bWysVG1v0zAQ/o7Ef7D8nabNWrZGTafRMYQ0&#10;XsTGD3Adu7Hm+ILtNim/nrOdhjKQkBBfLNt399zznO+8uu4bTQ7COgWmpLPJlBJhOFTK7Er69fHu&#10;1RUlzjNTMQ1GlPQoHL1ev3yx6tpC5FCDroQlCGJc0bUlrb1viyxzvBYNcxNohUGjBNswj0e7yyrL&#10;OkRvdJZPp6+zDmzVWuDCOby9TUa6jvhSCu4/SemEJ7qkyM3H1cZ1G9ZsvWLFzrK2Vnygwf6BRcOU&#10;waQj1C3zjOyt+g2qUdyCA+knHJoMpFRcRA2oZjZ9puahZq2IWrA4rh3L5P4fLP94+GyJqvDtLrA+&#10;hjX4SI+i9+QN9CQP9elaV6DbQ4uOvsdr9I1aXXsP/MkRA5uamZ24sRa6WrAK+c1CZHYWmnBcANl2&#10;H6DCNGzvIQL10jaheFgOgujI4zi+TaDC8TK/yC+XMzRxtM3my8U8X8QcrDiFt9b5dwIaEjYltfj4&#10;EZ4d7p0PdFhxcgnZtCEd4l4tLhdJDmhV3SmtgzE2oNhoSw4MW4dxLoxPotB47hkEvzVVbCTPlE57&#10;zKXNUIEgepDvj1qk3F+ExLIHYSl5aPjn+eaDQG3QO4RJZDcGDo/wa6AeSQ6+IUzEQRgDp3/POEbE&#10;rGD8GNwoA/ZPANXTqTwy+Z/UJ82hFXy/7VOvjY21heqILWEhTSb+JLipwX6npMOpLKn7tmdWUKLf&#10;G2yr5Ww+D2McD/PFZY4He27ZnluY4QhVUk9J2m58HP0gysANtp9UsTECucRkII3TFvtl+BnCOJ+f&#10;o9fP/2v9AwAA//8DAFBLAwQUAAYACAAAACEAqiP6qeAAAAAIAQAADwAAAGRycy9kb3ducmV2Lnht&#10;bEyPQWvCQBCF7wX/wzJCL6VuVBokzUZKQSh4kGqU9rZmp0lodjbdXTX99x1P9TYz7/Hme/lysJ04&#10;ow+tIwXTSQICqXKmpVpBuVs9LkCEqMnozhEq+MUAy2J0l+vMuAu943kba8EhFDKtoImxz6QMVYNW&#10;h4nrkVj7ct7qyKuvpfH6wuG2k7MkSaXVLfGHRvf42mD1vT1ZBYv92/rwsC9D6Tfrtl9t8OfjE5W6&#10;Hw8vzyAiDvHfDFd8RoeCmY7uRCaITgEXiXydPXEBludpmoI4XofpHGSRy9sCxR8AAAD//wMAUEsB&#10;Ai0AFAAGAAgAAAAhALaDOJL+AAAA4QEAABMAAAAAAAAAAAAAAAAAAAAAAFtDb250ZW50X1R5cGVz&#10;XS54bWxQSwECLQAUAAYACAAAACEAOP0h/9YAAACUAQAACwAAAAAAAAAAAAAAAAAvAQAAX3JlbHMv&#10;LnJlbHNQSwECLQAUAAYACAAAACEANyWDpWACAAAHBQAADgAAAAAAAAAAAAAAAAAuAgAAZHJzL2Uy&#10;b0RvYy54bWxQSwECLQAUAAYACAAAACEAqiP6qeAAAAAIAQAADwAAAAAAAAAAAAAAAAC6BAAAZHJz&#10;L2Rvd25yZXYueG1sUEsFBgAAAAAEAAQA8wAAAMcFAAAAAA==&#10;" fillcolor="white [3201]" strokecolor="#00667c [3204]" strokeweight="2.25pt">
                <v:textbox>
                  <w:txbxContent>
                    <w:p w14:paraId="75D3E6AF" w14:textId="7D105CBB" w:rsidR="00CA4E85" w:rsidRPr="002C66D9" w:rsidRDefault="00CA4E85" w:rsidP="002C66D9">
                      <w:pPr>
                        <w:spacing w:before="100" w:beforeAutospacing="1" w:after="120"/>
                        <w:ind w:left="142"/>
                        <w:jc w:val="right"/>
                        <w:rPr>
                          <w:sz w:val="20"/>
                          <w:szCs w:val="20"/>
                          <w:lang w:val="en-AU"/>
                        </w:rPr>
                      </w:pPr>
                      <w:r w:rsidRPr="002C66D9">
                        <w:rPr>
                          <w:i/>
                          <w:sz w:val="20"/>
                          <w:szCs w:val="20"/>
                          <w:lang w:val="en-AU"/>
                        </w:rPr>
                        <w:t>“</w:t>
                      </w:r>
                      <w:r w:rsidRPr="002C66D9">
                        <w:rPr>
                          <w:i/>
                          <w:iCs/>
                          <w:sz w:val="20"/>
                          <w:szCs w:val="20"/>
                        </w:rPr>
                        <w:t xml:space="preserve">In terms of the professional development of staff, about 6 of my staff have enrolled this year into the Certificate of Justice Program at USP, thanks to PJSI for funding it, the staff feel motivated and dedicated towards this certificate program. </w:t>
                      </w:r>
                    </w:p>
                    <w:p w14:paraId="6F027139" w14:textId="23F99F7B" w:rsidR="00CA4E85" w:rsidRPr="0069366C" w:rsidRDefault="00CA4E85" w:rsidP="00196238">
                      <w:pPr>
                        <w:jc w:val="right"/>
                        <w:rPr>
                          <w:i/>
                          <w:sz w:val="20"/>
                          <w:szCs w:val="20"/>
                          <w:lang w:val="en-AU"/>
                        </w:rPr>
                      </w:pPr>
                      <w:r w:rsidRPr="002C66D9">
                        <w:rPr>
                          <w:b/>
                          <w:i/>
                          <w:iCs/>
                          <w:sz w:val="20"/>
                          <w:szCs w:val="20"/>
                        </w:rPr>
                        <w:t>Registrar, Ronald Prakash</w:t>
                      </w:r>
                    </w:p>
                  </w:txbxContent>
                </v:textbox>
                <w10:wrap type="square" anchorx="margin"/>
              </v:shape>
            </w:pict>
          </mc:Fallback>
        </mc:AlternateContent>
      </w:r>
      <w:r w:rsidR="00325B21" w:rsidRPr="00F34A39">
        <w:rPr>
          <w:rFonts w:cstheme="minorHAnsi"/>
          <w:noProof/>
          <w:sz w:val="22"/>
          <w:szCs w:val="22"/>
          <w:lang w:val="en-AU"/>
        </w:rPr>
        <w:drawing>
          <wp:inline distT="0" distB="0" distL="0" distR="0" wp14:anchorId="30EBE461" wp14:editId="49616D37">
            <wp:extent cx="5817600" cy="720000"/>
            <wp:effectExtent l="19050" t="0" r="31115" b="4445"/>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5803AFB0" w14:textId="7FA21D83" w:rsidR="009F54DE" w:rsidRPr="00F34A39" w:rsidRDefault="009F54DE" w:rsidP="009F54DE">
      <w:pPr>
        <w:pStyle w:val="CommentText"/>
        <w:spacing w:before="120" w:after="120"/>
        <w:rPr>
          <w:rFonts w:asciiTheme="minorHAnsi" w:hAnsiTheme="minorHAnsi" w:cstheme="minorHAnsi"/>
          <w:bCs/>
          <w:sz w:val="22"/>
          <w:szCs w:val="22"/>
          <w:lang w:val="en-AU"/>
        </w:rPr>
      </w:pPr>
      <w:r w:rsidRPr="00F34A39">
        <w:rPr>
          <w:rFonts w:asciiTheme="minorHAnsi" w:hAnsiTheme="minorHAnsi" w:cstheme="minorHAnsi"/>
          <w:b/>
          <w:bCs/>
          <w:sz w:val="22"/>
          <w:szCs w:val="22"/>
          <w:lang w:val="en-AU"/>
        </w:rPr>
        <w:t xml:space="preserve">The region’s court services are professionalised </w:t>
      </w:r>
      <w:r w:rsidRPr="00F34A39">
        <w:rPr>
          <w:rFonts w:asciiTheme="minorHAnsi" w:hAnsiTheme="minorHAnsi" w:cstheme="minorHAnsi"/>
          <w:bCs/>
          <w:sz w:val="22"/>
          <w:szCs w:val="22"/>
          <w:lang w:val="en-AU"/>
        </w:rPr>
        <w:t>by enabling court officers to train and qualify as judicial officers</w:t>
      </w:r>
      <w:r w:rsidR="00A35112" w:rsidRPr="00F34A39">
        <w:rPr>
          <w:rFonts w:asciiTheme="minorHAnsi" w:hAnsiTheme="minorHAnsi" w:cstheme="minorHAnsi"/>
          <w:bCs/>
          <w:sz w:val="22"/>
          <w:szCs w:val="22"/>
          <w:lang w:val="en-AU"/>
        </w:rPr>
        <w:t>;</w:t>
      </w:r>
      <w:r w:rsidRPr="00F34A39">
        <w:rPr>
          <w:rFonts w:asciiTheme="minorHAnsi" w:hAnsiTheme="minorHAnsi" w:cstheme="minorHAnsi"/>
          <w:bCs/>
          <w:sz w:val="22"/>
          <w:szCs w:val="22"/>
          <w:lang w:val="en-AU"/>
        </w:rPr>
        <w:t xml:space="preserve"> and undertake ongoing professional development and specialist training. </w:t>
      </w:r>
    </w:p>
    <w:p w14:paraId="7A69A9FC" w14:textId="7770E204" w:rsidR="00AC0AB2" w:rsidRPr="00554978" w:rsidRDefault="009F54DE" w:rsidP="009F54DE">
      <w:pPr>
        <w:pStyle w:val="CommentText"/>
        <w:spacing w:before="120" w:after="120"/>
        <w:rPr>
          <w:rFonts w:asciiTheme="minorHAnsi" w:hAnsiTheme="minorHAnsi" w:cstheme="minorHAnsi"/>
          <w:b/>
          <w:bCs/>
          <w:sz w:val="22"/>
          <w:szCs w:val="22"/>
          <w:lang w:val="en-AU"/>
        </w:rPr>
      </w:pPr>
      <w:r w:rsidRPr="00F34A39">
        <w:rPr>
          <w:rFonts w:asciiTheme="minorHAnsi" w:hAnsiTheme="minorHAnsi" w:cstheme="minorHAnsi"/>
          <w:bCs/>
          <w:sz w:val="22"/>
          <w:szCs w:val="22"/>
          <w:lang w:val="en-AU"/>
        </w:rPr>
        <w:t>The former was achieved</w:t>
      </w:r>
      <w:r w:rsidRPr="00F34A39">
        <w:rPr>
          <w:rFonts w:asciiTheme="minorHAnsi" w:hAnsiTheme="minorHAnsi" w:cstheme="minorHAnsi"/>
          <w:sz w:val="22"/>
          <w:szCs w:val="22"/>
          <w:lang w:val="en-AU"/>
        </w:rPr>
        <w:t xml:space="preserve"> by initiating the introduction, piloting and establishment of the University of the South Pacific’s Certificate of Justice and Diploma of Justice programs. These programs transform the career prospects and path of lay judicial officers, court officers and others working in the courts across the region by providing induction and bridging training in justice and the courts. </w:t>
      </w:r>
      <w:r w:rsidRPr="008579CA">
        <w:rPr>
          <w:rFonts w:asciiTheme="minorHAnsi" w:hAnsiTheme="minorHAnsi" w:cstheme="minorHAnsi"/>
          <w:sz w:val="22"/>
          <w:szCs w:val="22"/>
          <w:lang w:val="en-AU"/>
        </w:rPr>
        <w:t>8</w:t>
      </w:r>
      <w:r w:rsidR="00E31647" w:rsidRPr="008579CA">
        <w:rPr>
          <w:rFonts w:asciiTheme="minorHAnsi" w:hAnsiTheme="minorHAnsi" w:cstheme="minorHAnsi"/>
          <w:sz w:val="22"/>
          <w:szCs w:val="22"/>
          <w:lang w:val="en-AU"/>
        </w:rPr>
        <w:t>3</w:t>
      </w:r>
      <w:r w:rsidRPr="008579CA">
        <w:rPr>
          <w:rFonts w:asciiTheme="minorHAnsi" w:hAnsiTheme="minorHAnsi" w:cstheme="minorHAnsi"/>
          <w:sz w:val="22"/>
          <w:szCs w:val="22"/>
          <w:lang w:val="en-AU"/>
        </w:rPr>
        <w:t xml:space="preserve">% of the </w:t>
      </w:r>
      <w:r w:rsidR="00E31647" w:rsidRPr="008579CA">
        <w:rPr>
          <w:rFonts w:asciiTheme="minorHAnsi" w:hAnsiTheme="minorHAnsi" w:cstheme="minorHAnsi"/>
          <w:sz w:val="22"/>
          <w:szCs w:val="22"/>
          <w:lang w:val="en-AU"/>
        </w:rPr>
        <w:t xml:space="preserve">201 </w:t>
      </w:r>
      <w:r w:rsidRPr="008579CA">
        <w:rPr>
          <w:rFonts w:asciiTheme="minorHAnsi" w:hAnsiTheme="minorHAnsi" w:cstheme="minorHAnsi"/>
          <w:sz w:val="22"/>
          <w:szCs w:val="22"/>
          <w:lang w:val="en-AU"/>
        </w:rPr>
        <w:t>people</w:t>
      </w:r>
      <w:r w:rsidRPr="00F34A39">
        <w:rPr>
          <w:rFonts w:asciiTheme="minorHAnsi" w:hAnsiTheme="minorHAnsi" w:cstheme="minorHAnsi"/>
          <w:sz w:val="22"/>
          <w:szCs w:val="22"/>
          <w:lang w:val="en-AU"/>
        </w:rPr>
        <w:t xml:space="preserve"> PJSI funded to </w:t>
      </w:r>
      <w:r w:rsidR="008579CA">
        <w:rPr>
          <w:rFonts w:asciiTheme="minorHAnsi" w:hAnsiTheme="minorHAnsi" w:cstheme="minorHAnsi"/>
          <w:sz w:val="22"/>
          <w:szCs w:val="22"/>
          <w:lang w:val="en-AU"/>
        </w:rPr>
        <w:t xml:space="preserve">successfully </w:t>
      </w:r>
      <w:r w:rsidRPr="00F34A39">
        <w:rPr>
          <w:rFonts w:asciiTheme="minorHAnsi" w:hAnsiTheme="minorHAnsi" w:cstheme="minorHAnsi"/>
          <w:sz w:val="22"/>
          <w:szCs w:val="22"/>
          <w:lang w:val="en-AU"/>
        </w:rPr>
        <w:t xml:space="preserve">complete these programs, passed. Four graduates have enrolled in the Bachelor of Law program which will enable them to qualify to become judicial officers in years to come. </w:t>
      </w:r>
    </w:p>
    <w:p w14:paraId="5A0DB8BA" w14:textId="362E26AD" w:rsidR="00F061AB" w:rsidRPr="0036504A" w:rsidRDefault="004E2E2D" w:rsidP="0036504A">
      <w:pPr>
        <w:pStyle w:val="CommentText"/>
        <w:spacing w:before="240" w:after="120"/>
        <w:rPr>
          <w:rFonts w:asciiTheme="minorHAnsi" w:hAnsiTheme="minorHAnsi" w:cstheme="minorHAnsi"/>
          <w:sz w:val="22"/>
          <w:szCs w:val="22"/>
          <w:lang w:val="en-AU"/>
        </w:rPr>
      </w:pPr>
      <w:r>
        <w:rPr>
          <w:noProof/>
          <w:lang w:val="en-AU"/>
        </w:rPr>
        <w:drawing>
          <wp:anchor distT="0" distB="0" distL="114300" distR="114300" simplePos="0" relativeHeight="251716096" behindDoc="0" locked="0" layoutInCell="1" allowOverlap="1" wp14:anchorId="4487A367" wp14:editId="1F99EFB0">
            <wp:simplePos x="0" y="0"/>
            <wp:positionH relativeFrom="margin">
              <wp:align>center</wp:align>
            </wp:positionH>
            <wp:positionV relativeFrom="paragraph">
              <wp:posOffset>1410335</wp:posOffset>
            </wp:positionV>
            <wp:extent cx="4505325" cy="2314575"/>
            <wp:effectExtent l="0" t="0" r="0" b="0"/>
            <wp:wrapSquare wrapText="bothSides"/>
            <wp:docPr id="4707" name="Chart 47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anchor>
        </w:drawing>
      </w:r>
      <w:r w:rsidR="0032178B">
        <w:rPr>
          <w:noProof/>
          <w:lang w:val="en-AU"/>
        </w:rPr>
        <mc:AlternateContent>
          <mc:Choice Requires="wps">
            <w:drawing>
              <wp:anchor distT="0" distB="0" distL="114300" distR="114300" simplePos="0" relativeHeight="251710976" behindDoc="1" locked="0" layoutInCell="1" allowOverlap="1" wp14:anchorId="1117C8FE" wp14:editId="5591D135">
                <wp:simplePos x="0" y="0"/>
                <wp:positionH relativeFrom="margin">
                  <wp:posOffset>1250315</wp:posOffset>
                </wp:positionH>
                <wp:positionV relativeFrom="paragraph">
                  <wp:posOffset>1226185</wp:posOffset>
                </wp:positionV>
                <wp:extent cx="3867150" cy="635"/>
                <wp:effectExtent l="0" t="0" r="0" b="0"/>
                <wp:wrapTight wrapText="bothSides">
                  <wp:wrapPolygon edited="0">
                    <wp:start x="0" y="0"/>
                    <wp:lineTo x="0" y="20057"/>
                    <wp:lineTo x="21494" y="20057"/>
                    <wp:lineTo x="21494"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3867150" cy="635"/>
                        </a:xfrm>
                        <a:prstGeom prst="rect">
                          <a:avLst/>
                        </a:prstGeom>
                        <a:noFill/>
                        <a:ln>
                          <a:noFill/>
                        </a:ln>
                      </wps:spPr>
                      <wps:txbx>
                        <w:txbxContent>
                          <w:p w14:paraId="25CE30B3" w14:textId="63305509" w:rsidR="00CA4E85" w:rsidRPr="00415AEA" w:rsidRDefault="00CA4E85" w:rsidP="00415AEA">
                            <w:pPr>
                              <w:pStyle w:val="Caption"/>
                              <w:rPr>
                                <w:rFonts w:ascii="Arial" w:hAnsi="Arial" w:cs="Arial"/>
                                <w:i w:val="0"/>
                                <w:noProof/>
                                <w:color w:val="auto"/>
                                <w:sz w:val="20"/>
                                <w:szCs w:val="20"/>
                              </w:rPr>
                            </w:pPr>
                            <w:r w:rsidRPr="00E417C5">
                              <w:rPr>
                                <w:i w:val="0"/>
                                <w:color w:val="auto"/>
                              </w:rPr>
                              <w:t>Figure 5: Capacity Building Activities by Theme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17C8FE" id="Text Box 36" o:spid="_x0000_s1039" type="#_x0000_t202" style="position:absolute;margin-left:98.45pt;margin-top:96.55pt;width:304.5pt;height:.05pt;z-index:-2516055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pygHgIAAD8EAAAOAAAAZHJzL2Uyb0RvYy54bWysU8Fu2zAMvQ/YPwi6L04aNCuCOEXWIsOA&#10;oC2QDD0rshwbsERNUmJ3X78nOU67bqdhF5kmqSfy8XFx2+mGnZTzNZmcT0ZjzpSRVNTmkPPvu/Wn&#10;G858EKYQDRmV8xfl+e3y44dFa+fqiipqCuUYQIyftzbnVQh2nmVeVkoLPyKrDIIlOS0Cft0hK5xo&#10;ga6b7Go8nmUtucI6ksp7eO/7IF8m/LJUMjyWpVeBNTlHbSGdLp37eGbLhZgfnLBVLc9liH+oQova&#10;4NEL1L0Igh1d/QeUrqUjT2UYSdIZlWUtVeoB3UzG77rZVsKq1AvI8fZCk/9/sPLh9ORYXeR8OuPM&#10;CI0Z7VQX2BfqGFzgp7V+jrStRWLo4MecB7+HM7bdlU7HLxpiiIPplwu7EU3COb2ZfZ5cIyQRm02v&#10;I0b2etU6H74q0iwaOXcYXWJUnDY+9KlDSnzJ0LpumjS+xvzmAGb0ZLHuvr5ohW7fpT4n06H4PRUv&#10;6MlRrwpv5brG2xvhw5NwkAFqhbTDI46yoTbndLY4q8j9/Js/5mM6iHLWQlY59z+OwinOmm8Gc4sa&#10;HAw3GPvBMEd9R1DqBEtjZTJxwYVmMEtH+hmKX8VXEBJG4q2ch8G8C724sTFSrVYpCUqzImzM1soI&#10;HcmKTO66Z+Hsme6AKT3QIDgxf8d6nxtvers6BnCfRhKJ7Vk88w2VpqGeNyquwdv/lPW698tfAAAA&#10;//8DAFBLAwQUAAYACAAAACEAIbyxhd0AAAALAQAADwAAAGRycy9kb3ducmV2LnhtbEyPMU/DMBCF&#10;dyT+g3VILIg6CSJq0jgVQrCw0bKwufGRRLXPUewmob+eKwts9949vfuu2i7OignH0HtSkK4SEEiN&#10;Nz21Cj72r/drECFqMtp6QgXfGGBbX19VujR+pnecdrEVXEKh1Aq6GIdSytB06HRY+QGJd19+dDqy&#10;HFtpRj1zubMyS5JcOt0TX+j0gM8dNsfdySnIl5fh7q3AbD43dqLPc5pGTJW6vVmeNiAiLvEvDBd8&#10;RoeamQ7+RCYIy7rIC45ehocUBCfWySM7h18nA1lX8v8P9Q8AAAD//wMAUEsBAi0AFAAGAAgAAAAh&#10;ALaDOJL+AAAA4QEAABMAAAAAAAAAAAAAAAAAAAAAAFtDb250ZW50X1R5cGVzXS54bWxQSwECLQAU&#10;AAYACAAAACEAOP0h/9YAAACUAQAACwAAAAAAAAAAAAAAAAAvAQAAX3JlbHMvLnJlbHNQSwECLQAU&#10;AAYACAAAACEAj1qcoB4CAAA/BAAADgAAAAAAAAAAAAAAAAAuAgAAZHJzL2Uyb0RvYy54bWxQSwEC&#10;LQAUAAYACAAAACEAIbyxhd0AAAALAQAADwAAAAAAAAAAAAAAAAB4BAAAZHJzL2Rvd25yZXYueG1s&#10;UEsFBgAAAAAEAAQA8wAAAIIFAAAAAA==&#10;" filled="f" stroked="f">
                <v:textbox style="mso-fit-shape-to-text:t" inset="0,0,0,0">
                  <w:txbxContent>
                    <w:p w14:paraId="25CE30B3" w14:textId="63305509" w:rsidR="00CA4E85" w:rsidRPr="00415AEA" w:rsidRDefault="00CA4E85" w:rsidP="00415AEA">
                      <w:pPr>
                        <w:pStyle w:val="Caption"/>
                        <w:rPr>
                          <w:rFonts w:ascii="Arial" w:hAnsi="Arial" w:cs="Arial"/>
                          <w:i w:val="0"/>
                          <w:noProof/>
                          <w:color w:val="auto"/>
                          <w:sz w:val="20"/>
                          <w:szCs w:val="20"/>
                        </w:rPr>
                      </w:pPr>
                      <w:r w:rsidRPr="00E417C5">
                        <w:rPr>
                          <w:i w:val="0"/>
                          <w:color w:val="auto"/>
                        </w:rPr>
                        <w:t>Figure 5: Capacity Building Activities by Theme</w:t>
                      </w:r>
                    </w:p>
                  </w:txbxContent>
                </v:textbox>
                <w10:wrap type="tight" anchorx="margin"/>
              </v:shape>
            </w:pict>
          </mc:Fallback>
        </mc:AlternateContent>
      </w:r>
      <w:r w:rsidR="00AC0AB2">
        <w:rPr>
          <w:rFonts w:asciiTheme="minorHAnsi" w:hAnsiTheme="minorHAnsi" w:cstheme="minorHAnsi"/>
          <w:sz w:val="22"/>
          <w:szCs w:val="22"/>
          <w:lang w:val="en-AU"/>
        </w:rPr>
        <w:t>The goal of providing in-region, ongoing professional education was achieved by supporting</w:t>
      </w:r>
      <w:r w:rsidR="005466A3">
        <w:rPr>
          <w:rFonts w:asciiTheme="minorHAnsi" w:hAnsiTheme="minorHAnsi" w:cstheme="minorHAnsi"/>
          <w:sz w:val="22"/>
          <w:szCs w:val="22"/>
          <w:lang w:val="en-AU"/>
        </w:rPr>
        <w:t xml:space="preserve"> </w:t>
      </w:r>
      <w:r w:rsidR="006A1B21" w:rsidRPr="00F34A39">
        <w:rPr>
          <w:rFonts w:asciiTheme="minorHAnsi" w:hAnsiTheme="minorHAnsi" w:cstheme="minorHAnsi"/>
          <w:sz w:val="22"/>
          <w:szCs w:val="22"/>
          <w:lang w:val="en-AU"/>
        </w:rPr>
        <w:t>Papua New Guinea’s (</w:t>
      </w:r>
      <w:r w:rsidR="009F54DE" w:rsidRPr="00F34A39">
        <w:rPr>
          <w:rFonts w:asciiTheme="minorHAnsi" w:hAnsiTheme="minorHAnsi" w:cstheme="minorHAnsi"/>
          <w:sz w:val="22"/>
          <w:szCs w:val="22"/>
          <w:lang w:val="en-AU"/>
        </w:rPr>
        <w:t>PNG</w:t>
      </w:r>
      <w:r w:rsidR="006A1B21" w:rsidRPr="00F34A39">
        <w:rPr>
          <w:rFonts w:asciiTheme="minorHAnsi" w:hAnsiTheme="minorHAnsi" w:cstheme="minorHAnsi"/>
          <w:sz w:val="22"/>
          <w:szCs w:val="22"/>
          <w:lang w:val="en-AU"/>
        </w:rPr>
        <w:t>)</w:t>
      </w:r>
      <w:r w:rsidR="009F54DE" w:rsidRPr="00F34A39">
        <w:rPr>
          <w:rFonts w:asciiTheme="minorHAnsi" w:hAnsiTheme="minorHAnsi" w:cstheme="minorHAnsi"/>
          <w:sz w:val="22"/>
          <w:szCs w:val="22"/>
          <w:lang w:val="en-AU"/>
        </w:rPr>
        <w:t xml:space="preserve"> Centre for Judicial Excellence to acquire the staffing, infrastructure, budget and expertise to start conducting judicial training </w:t>
      </w:r>
      <w:r w:rsidR="002950E4">
        <w:rPr>
          <w:rFonts w:asciiTheme="minorHAnsi" w:hAnsiTheme="minorHAnsi" w:cstheme="minorHAnsi"/>
          <w:sz w:val="22"/>
          <w:szCs w:val="22"/>
          <w:lang w:val="en-AU"/>
        </w:rPr>
        <w:t>prog</w:t>
      </w:r>
      <w:r w:rsidR="002950E4" w:rsidRPr="008579CA">
        <w:rPr>
          <w:rFonts w:asciiTheme="minorHAnsi" w:hAnsiTheme="minorHAnsi" w:cstheme="minorHAnsi"/>
          <w:sz w:val="22"/>
          <w:szCs w:val="22"/>
          <w:lang w:val="en-AU"/>
        </w:rPr>
        <w:t xml:space="preserve">rams </w:t>
      </w:r>
      <w:r w:rsidR="009F54DE" w:rsidRPr="008579CA">
        <w:rPr>
          <w:rFonts w:asciiTheme="minorHAnsi" w:hAnsiTheme="minorHAnsi" w:cstheme="minorHAnsi"/>
          <w:sz w:val="22"/>
          <w:szCs w:val="22"/>
          <w:lang w:val="en-AU"/>
        </w:rPr>
        <w:t>for the region.  During its term, PJSI also provided seven orientation and seven train-the-trainer training</w:t>
      </w:r>
      <w:r w:rsidR="001C38B0" w:rsidRPr="008579CA">
        <w:rPr>
          <w:rFonts w:asciiTheme="minorHAnsi" w:hAnsiTheme="minorHAnsi" w:cstheme="minorHAnsi"/>
          <w:sz w:val="22"/>
          <w:szCs w:val="22"/>
          <w:lang w:val="en-AU"/>
        </w:rPr>
        <w:t xml:space="preserve"> programs</w:t>
      </w:r>
      <w:r w:rsidR="009F54DE" w:rsidRPr="008579CA">
        <w:rPr>
          <w:rFonts w:asciiTheme="minorHAnsi" w:hAnsiTheme="minorHAnsi" w:cstheme="minorHAnsi"/>
          <w:sz w:val="22"/>
          <w:szCs w:val="22"/>
          <w:lang w:val="en-AU"/>
        </w:rPr>
        <w:t xml:space="preserve"> to 228 judicial and court officers</w:t>
      </w:r>
      <w:r w:rsidR="004C339C" w:rsidRPr="008579CA">
        <w:rPr>
          <w:rFonts w:asciiTheme="minorHAnsi" w:hAnsiTheme="minorHAnsi" w:cstheme="minorHAnsi"/>
          <w:sz w:val="22"/>
          <w:szCs w:val="22"/>
          <w:lang w:val="en-AU"/>
        </w:rPr>
        <w:t xml:space="preserve">. </w:t>
      </w:r>
      <w:r w:rsidR="00ED498C" w:rsidRPr="008579CA">
        <w:rPr>
          <w:rFonts w:asciiTheme="minorHAnsi" w:hAnsiTheme="minorHAnsi" w:cstheme="minorHAnsi"/>
          <w:sz w:val="22"/>
          <w:szCs w:val="22"/>
          <w:lang w:val="en-AU"/>
        </w:rPr>
        <w:t>Further supporting professionalism, PJSI</w:t>
      </w:r>
      <w:r w:rsidR="004C339C" w:rsidRPr="008579CA">
        <w:rPr>
          <w:rFonts w:asciiTheme="minorHAnsi" w:hAnsiTheme="minorHAnsi" w:cstheme="minorHAnsi"/>
          <w:sz w:val="22"/>
          <w:szCs w:val="22"/>
          <w:lang w:val="en-AU"/>
        </w:rPr>
        <w:t xml:space="preserve"> </w:t>
      </w:r>
      <w:r w:rsidR="00B60ACF" w:rsidRPr="008579CA">
        <w:rPr>
          <w:rFonts w:asciiTheme="minorHAnsi" w:hAnsiTheme="minorHAnsi" w:cstheme="minorHAnsi"/>
          <w:sz w:val="22"/>
          <w:szCs w:val="22"/>
          <w:lang w:val="en-AU"/>
        </w:rPr>
        <w:t>delivered</w:t>
      </w:r>
      <w:r w:rsidR="004C339C" w:rsidRPr="008579CA">
        <w:rPr>
          <w:rFonts w:asciiTheme="minorHAnsi" w:hAnsiTheme="minorHAnsi" w:cstheme="minorHAnsi"/>
          <w:sz w:val="22"/>
          <w:szCs w:val="22"/>
          <w:lang w:val="en-AU"/>
        </w:rPr>
        <w:t xml:space="preserve"> </w:t>
      </w:r>
      <w:r w:rsidR="00ED498C" w:rsidRPr="008579CA">
        <w:rPr>
          <w:rFonts w:asciiTheme="minorHAnsi" w:hAnsiTheme="minorHAnsi" w:cstheme="minorHAnsi"/>
          <w:sz w:val="22"/>
          <w:szCs w:val="22"/>
          <w:lang w:val="en-AU"/>
        </w:rPr>
        <w:t xml:space="preserve">an </w:t>
      </w:r>
      <w:r w:rsidR="003D1CA5" w:rsidRPr="008579CA">
        <w:rPr>
          <w:rFonts w:asciiTheme="minorHAnsi" w:hAnsiTheme="minorHAnsi" w:cstheme="minorHAnsi"/>
          <w:sz w:val="22"/>
          <w:szCs w:val="22"/>
          <w:lang w:val="en-AU"/>
        </w:rPr>
        <w:t>additional</w:t>
      </w:r>
      <w:r w:rsidR="004C339C" w:rsidRPr="008579CA">
        <w:rPr>
          <w:rFonts w:asciiTheme="minorHAnsi" w:hAnsiTheme="minorHAnsi" w:cstheme="minorHAnsi"/>
          <w:b/>
          <w:sz w:val="22"/>
          <w:szCs w:val="22"/>
          <w:lang w:val="en-AU"/>
        </w:rPr>
        <w:t xml:space="preserve"> </w:t>
      </w:r>
      <w:r w:rsidR="00CC2AE8" w:rsidRPr="008579CA">
        <w:rPr>
          <w:rFonts w:asciiTheme="minorHAnsi" w:hAnsiTheme="minorHAnsi" w:cstheme="minorHAnsi"/>
          <w:sz w:val="22"/>
          <w:szCs w:val="22"/>
          <w:lang w:val="en-AU"/>
        </w:rPr>
        <w:t>92</w:t>
      </w:r>
      <w:r w:rsidR="00A949CB" w:rsidRPr="008579CA">
        <w:rPr>
          <w:rFonts w:asciiTheme="minorHAnsi" w:hAnsiTheme="minorHAnsi" w:cstheme="minorHAnsi"/>
          <w:sz w:val="22"/>
          <w:szCs w:val="22"/>
          <w:lang w:val="en-AU"/>
        </w:rPr>
        <w:t xml:space="preserve"> </w:t>
      </w:r>
      <w:r w:rsidR="00B60ACF" w:rsidRPr="008579CA">
        <w:rPr>
          <w:rFonts w:asciiTheme="minorHAnsi" w:hAnsiTheme="minorHAnsi" w:cstheme="minorHAnsi"/>
          <w:sz w:val="22"/>
          <w:szCs w:val="22"/>
          <w:lang w:val="en-AU"/>
        </w:rPr>
        <w:t>capacity building activities</w:t>
      </w:r>
      <w:r w:rsidR="003D1CA5" w:rsidRPr="008579CA">
        <w:rPr>
          <w:rFonts w:asciiTheme="minorHAnsi" w:hAnsiTheme="minorHAnsi" w:cstheme="minorHAnsi"/>
          <w:sz w:val="22"/>
          <w:szCs w:val="22"/>
          <w:lang w:val="en-AU"/>
        </w:rPr>
        <w:t xml:space="preserve"> </w:t>
      </w:r>
      <w:r w:rsidR="00ED498C" w:rsidRPr="008579CA">
        <w:rPr>
          <w:rFonts w:asciiTheme="minorHAnsi" w:hAnsiTheme="minorHAnsi" w:cstheme="minorHAnsi"/>
          <w:sz w:val="22"/>
          <w:szCs w:val="22"/>
          <w:lang w:val="en-AU"/>
        </w:rPr>
        <w:t xml:space="preserve">to </w:t>
      </w:r>
      <w:r w:rsidR="00A949CB" w:rsidRPr="008579CA">
        <w:rPr>
          <w:rFonts w:asciiTheme="minorHAnsi" w:hAnsiTheme="minorHAnsi" w:cstheme="minorHAnsi"/>
          <w:sz w:val="22"/>
          <w:szCs w:val="22"/>
          <w:lang w:val="en-AU"/>
        </w:rPr>
        <w:t>1</w:t>
      </w:r>
      <w:r w:rsidR="00D21EF1" w:rsidRPr="008579CA">
        <w:rPr>
          <w:rFonts w:asciiTheme="minorHAnsi" w:hAnsiTheme="minorHAnsi" w:cstheme="minorHAnsi"/>
          <w:sz w:val="22"/>
          <w:szCs w:val="22"/>
          <w:lang w:val="en-AU"/>
        </w:rPr>
        <w:t>,96</w:t>
      </w:r>
      <w:r w:rsidR="00A949CB" w:rsidRPr="008579CA">
        <w:rPr>
          <w:rFonts w:asciiTheme="minorHAnsi" w:hAnsiTheme="minorHAnsi" w:cstheme="minorHAnsi"/>
          <w:sz w:val="22"/>
          <w:szCs w:val="22"/>
          <w:lang w:val="en-AU"/>
        </w:rPr>
        <w:t>9</w:t>
      </w:r>
      <w:r w:rsidR="00ED498C" w:rsidRPr="008579CA">
        <w:rPr>
          <w:rFonts w:asciiTheme="minorHAnsi" w:hAnsiTheme="minorHAnsi" w:cstheme="minorHAnsi"/>
          <w:b/>
          <w:sz w:val="22"/>
          <w:szCs w:val="22"/>
          <w:lang w:val="en-AU"/>
        </w:rPr>
        <w:t xml:space="preserve"> </w:t>
      </w:r>
      <w:r w:rsidR="00ED498C" w:rsidRPr="008579CA">
        <w:rPr>
          <w:rFonts w:asciiTheme="minorHAnsi" w:hAnsiTheme="minorHAnsi" w:cstheme="minorHAnsi"/>
          <w:sz w:val="22"/>
          <w:szCs w:val="22"/>
          <w:lang w:val="en-AU"/>
        </w:rPr>
        <w:t xml:space="preserve">people </w:t>
      </w:r>
      <w:r w:rsidR="0092579D" w:rsidRPr="008579CA">
        <w:rPr>
          <w:rFonts w:asciiTheme="minorHAnsi" w:hAnsiTheme="minorHAnsi" w:cstheme="minorHAnsi"/>
          <w:sz w:val="22"/>
          <w:szCs w:val="22"/>
          <w:lang w:val="en-AU"/>
        </w:rPr>
        <w:t>(</w:t>
      </w:r>
      <w:r w:rsidR="00A949CB" w:rsidRPr="008579CA">
        <w:rPr>
          <w:rFonts w:asciiTheme="minorHAnsi" w:hAnsiTheme="minorHAnsi" w:cstheme="minorHAnsi"/>
          <w:sz w:val="22"/>
          <w:szCs w:val="22"/>
          <w:lang w:val="en-AU"/>
        </w:rPr>
        <w:t>4</w:t>
      </w:r>
      <w:r w:rsidR="00B946DD" w:rsidRPr="008579CA">
        <w:rPr>
          <w:rFonts w:asciiTheme="minorHAnsi" w:hAnsiTheme="minorHAnsi" w:cstheme="minorHAnsi"/>
          <w:sz w:val="22"/>
          <w:szCs w:val="22"/>
          <w:lang w:val="en-AU"/>
        </w:rPr>
        <w:t>8</w:t>
      </w:r>
      <w:r w:rsidR="00ED498C" w:rsidRPr="008579CA">
        <w:rPr>
          <w:rFonts w:asciiTheme="minorHAnsi" w:hAnsiTheme="minorHAnsi" w:cstheme="minorHAnsi"/>
          <w:sz w:val="22"/>
          <w:szCs w:val="22"/>
          <w:lang w:val="en-AU"/>
        </w:rPr>
        <w:t xml:space="preserve">% female) </w:t>
      </w:r>
      <w:r w:rsidR="003D1CA5" w:rsidRPr="008579CA">
        <w:rPr>
          <w:rFonts w:asciiTheme="minorHAnsi" w:hAnsiTheme="minorHAnsi" w:cstheme="minorHAnsi"/>
          <w:sz w:val="22"/>
          <w:szCs w:val="22"/>
          <w:lang w:val="en-AU"/>
        </w:rPr>
        <w:t>through PJSIs</w:t>
      </w:r>
      <w:r w:rsidR="003D1CA5" w:rsidRPr="00A949CB">
        <w:rPr>
          <w:rFonts w:asciiTheme="minorHAnsi" w:hAnsiTheme="minorHAnsi" w:cstheme="minorHAnsi"/>
          <w:sz w:val="22"/>
          <w:szCs w:val="22"/>
          <w:lang w:val="en-AU"/>
        </w:rPr>
        <w:t xml:space="preserve"> other themes</w:t>
      </w:r>
      <w:r w:rsidR="0036504A" w:rsidRPr="00A949CB">
        <w:rPr>
          <w:rFonts w:asciiTheme="minorHAnsi" w:hAnsiTheme="minorHAnsi" w:cstheme="minorHAnsi"/>
          <w:sz w:val="22"/>
          <w:szCs w:val="22"/>
          <w:lang w:val="en-AU"/>
        </w:rPr>
        <w:t xml:space="preserve"> as depicted be</w:t>
      </w:r>
      <w:r w:rsidR="00415AEA" w:rsidRPr="00A949CB">
        <w:rPr>
          <w:rFonts w:asciiTheme="minorHAnsi" w:hAnsiTheme="minorHAnsi" w:cstheme="minorHAnsi"/>
          <w:sz w:val="22"/>
          <w:szCs w:val="22"/>
          <w:lang w:val="en-AU"/>
        </w:rPr>
        <w:t>low.</w:t>
      </w:r>
      <w:r w:rsidR="0032178B" w:rsidRPr="0032178B">
        <w:rPr>
          <w:noProof/>
          <w:lang w:val="en-AU"/>
        </w:rPr>
        <w:t xml:space="preserve"> </w:t>
      </w:r>
    </w:p>
    <w:p w14:paraId="79C0D65D" w14:textId="4DBA229C" w:rsidR="00415AEA" w:rsidRPr="00415AEA" w:rsidRDefault="00415AEA" w:rsidP="00CE6782">
      <w:pPr>
        <w:pStyle w:val="CommentText"/>
        <w:spacing w:before="240" w:after="120"/>
        <w:rPr>
          <w:rFonts w:asciiTheme="minorHAnsi" w:hAnsiTheme="minorHAnsi" w:cstheme="minorHAnsi"/>
          <w:sz w:val="22"/>
          <w:szCs w:val="22"/>
          <w:lang w:val="en-AU"/>
        </w:rPr>
      </w:pPr>
      <w:r w:rsidRPr="00CE6782">
        <w:rPr>
          <w:rFonts w:asciiTheme="minorHAnsi" w:hAnsiTheme="minorHAnsi" w:cstheme="minorHAnsi"/>
          <w:noProof/>
          <w:sz w:val="22"/>
          <w:szCs w:val="22"/>
          <w:lang w:val="en-AU"/>
        </w:rPr>
        <w:lastRenderedPageBreak/>
        <w:drawing>
          <wp:anchor distT="0" distB="0" distL="114300" distR="114300" simplePos="0" relativeHeight="251624960" behindDoc="1" locked="0" layoutInCell="1" allowOverlap="1" wp14:anchorId="65E5BF69" wp14:editId="26546049">
            <wp:simplePos x="0" y="0"/>
            <wp:positionH relativeFrom="margin">
              <wp:posOffset>-1270</wp:posOffset>
            </wp:positionH>
            <wp:positionV relativeFrom="paragraph">
              <wp:posOffset>3093720</wp:posOffset>
            </wp:positionV>
            <wp:extent cx="5817600" cy="720000"/>
            <wp:effectExtent l="0" t="0" r="12065" b="4445"/>
            <wp:wrapSquare wrapText="bothSides"/>
            <wp:docPr id="131" name="Diagram 1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14:sizeRelH relativeFrom="margin">
              <wp14:pctWidth>0</wp14:pctWidth>
            </wp14:sizeRelH>
            <wp14:sizeRelV relativeFrom="margin">
              <wp14:pctHeight>0</wp14:pctHeight>
            </wp14:sizeRelV>
          </wp:anchor>
        </w:drawing>
      </w:r>
      <w:r w:rsidR="009B0722" w:rsidRPr="00CE6782">
        <w:rPr>
          <w:rFonts w:asciiTheme="minorHAnsi" w:hAnsiTheme="minorHAnsi" w:cstheme="minorHAnsi"/>
          <w:noProof/>
          <w:lang w:val="en-AU"/>
        </w:rPr>
        <mc:AlternateContent>
          <mc:Choice Requires="wps">
            <w:drawing>
              <wp:anchor distT="45720" distB="45720" distL="114300" distR="114300" simplePos="0" relativeHeight="251667968" behindDoc="0" locked="0" layoutInCell="1" allowOverlap="1" wp14:anchorId="634F77D1" wp14:editId="0DFE8772">
                <wp:simplePos x="0" y="0"/>
                <wp:positionH relativeFrom="margin">
                  <wp:align>right</wp:align>
                </wp:positionH>
                <wp:positionV relativeFrom="paragraph">
                  <wp:posOffset>38735</wp:posOffset>
                </wp:positionV>
                <wp:extent cx="5781675" cy="2933700"/>
                <wp:effectExtent l="19050" t="19050" r="28575" b="19050"/>
                <wp:wrapSquare wrapText="bothSides"/>
                <wp:docPr id="3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2933700"/>
                        </a:xfrm>
                        <a:prstGeom prst="rect">
                          <a:avLst/>
                        </a:prstGeom>
                        <a:solidFill>
                          <a:srgbClr val="FFFFFF"/>
                        </a:solidFill>
                        <a:ln w="28575">
                          <a:solidFill>
                            <a:schemeClr val="accent3"/>
                          </a:solidFill>
                          <a:miter lim="800000"/>
                          <a:headEnd/>
                          <a:tailEnd/>
                        </a:ln>
                      </wps:spPr>
                      <wps:txbx>
                        <w:txbxContent>
                          <w:p w14:paraId="6961830B" w14:textId="77777777" w:rsidR="00CA4E85" w:rsidRPr="00995634" w:rsidRDefault="00CA4E85" w:rsidP="00415AEA">
                            <w:pPr>
                              <w:autoSpaceDE w:val="0"/>
                              <w:autoSpaceDN w:val="0"/>
                              <w:adjustRightInd w:val="0"/>
                              <w:spacing w:before="120" w:after="120"/>
                              <w:jc w:val="center"/>
                              <w:rPr>
                                <w:rFonts w:cstheme="minorHAnsi"/>
                                <w:b/>
                                <w:color w:val="00667C" w:themeColor="accent1"/>
                                <w:sz w:val="26"/>
                                <w:szCs w:val="26"/>
                              </w:rPr>
                            </w:pPr>
                            <w:r w:rsidRPr="00995634">
                              <w:rPr>
                                <w:rFonts w:cstheme="minorHAnsi"/>
                                <w:b/>
                                <w:color w:val="00667C" w:themeColor="accent1"/>
                                <w:sz w:val="26"/>
                                <w:szCs w:val="26"/>
                              </w:rPr>
                              <w:t>Papua New Guinea</w:t>
                            </w:r>
                          </w:p>
                          <w:p w14:paraId="5CED3B2D" w14:textId="77777777" w:rsidR="00CA4E85" w:rsidRPr="007B7B44" w:rsidRDefault="00CA4E85" w:rsidP="00554978">
                            <w:pPr>
                              <w:autoSpaceDE w:val="0"/>
                              <w:autoSpaceDN w:val="0"/>
                              <w:adjustRightInd w:val="0"/>
                              <w:spacing w:after="120"/>
                              <w:ind w:left="142"/>
                              <w:rPr>
                                <w:rFonts w:cstheme="minorHAnsi"/>
                                <w:i/>
                                <w:sz w:val="22"/>
                                <w:szCs w:val="22"/>
                              </w:rPr>
                            </w:pPr>
                            <w:r w:rsidRPr="007B7B44">
                              <w:rPr>
                                <w:rFonts w:cstheme="minorHAnsi"/>
                                <w:i/>
                                <w:sz w:val="22"/>
                                <w:szCs w:val="22"/>
                              </w:rPr>
                              <w:t xml:space="preserve">The most significant change of all was the results of our organization in being able to deliver judicial education and training in Papua New Guinea as distinct from mere event planning of programs or workshops. Initially the small team was of the view that planning an event where there are participants and facilitators who were brought in from outside of the country to deliver training was the ideal way of delivering training. </w:t>
                            </w:r>
                          </w:p>
                          <w:p w14:paraId="140402B2" w14:textId="77777777" w:rsidR="00CA4E85" w:rsidRPr="007B7B44" w:rsidRDefault="00CA4E85" w:rsidP="00554978">
                            <w:pPr>
                              <w:autoSpaceDE w:val="0"/>
                              <w:autoSpaceDN w:val="0"/>
                              <w:adjustRightInd w:val="0"/>
                              <w:spacing w:before="120" w:after="120"/>
                              <w:ind w:left="142"/>
                              <w:rPr>
                                <w:rFonts w:cstheme="minorHAnsi"/>
                                <w:i/>
                                <w:sz w:val="22"/>
                                <w:szCs w:val="22"/>
                              </w:rPr>
                            </w:pPr>
                            <w:r w:rsidRPr="007B7B44">
                              <w:rPr>
                                <w:rFonts w:cstheme="minorHAnsi"/>
                                <w:i/>
                                <w:sz w:val="22"/>
                                <w:szCs w:val="22"/>
                              </w:rPr>
                              <w:t xml:space="preserve">There was training by PJSI covering curriculum development, project management, delivering training and preparing a learner centred environment. This resulted in team members becoming engaged in a systematic approach to being able to plan and develop programs for implementation which met the needs of stakeholders in a meaningful way that was measurable through monitoring and evaluation. </w:t>
                            </w:r>
                          </w:p>
                          <w:p w14:paraId="78E815DE" w14:textId="77777777" w:rsidR="00CA4E85" w:rsidRPr="007B7B44" w:rsidRDefault="00CA4E85" w:rsidP="00554978">
                            <w:pPr>
                              <w:autoSpaceDE w:val="0"/>
                              <w:autoSpaceDN w:val="0"/>
                              <w:adjustRightInd w:val="0"/>
                              <w:spacing w:before="120" w:after="120"/>
                              <w:ind w:left="142"/>
                              <w:rPr>
                                <w:rFonts w:cstheme="minorHAnsi"/>
                                <w:i/>
                                <w:sz w:val="22"/>
                                <w:szCs w:val="22"/>
                              </w:rPr>
                            </w:pPr>
                            <w:r w:rsidRPr="007B7B44">
                              <w:rPr>
                                <w:rFonts w:cstheme="minorHAnsi"/>
                                <w:i/>
                                <w:sz w:val="22"/>
                                <w:szCs w:val="22"/>
                              </w:rPr>
                              <w:t>We went from having 3 or 4 disorganized adhoc programs per year to 35 plus programs per annum with growth potential for double this in the next 12 months.</w:t>
                            </w:r>
                          </w:p>
                          <w:p w14:paraId="7A9BD01E" w14:textId="11D89E13" w:rsidR="00CA4E85" w:rsidRPr="00C0419F" w:rsidRDefault="00CA4E85" w:rsidP="00554978">
                            <w:pPr>
                              <w:autoSpaceDE w:val="0"/>
                              <w:autoSpaceDN w:val="0"/>
                              <w:adjustRightInd w:val="0"/>
                              <w:spacing w:before="120" w:after="120"/>
                              <w:ind w:left="142"/>
                              <w:jc w:val="right"/>
                              <w:rPr>
                                <w:rFonts w:eastAsiaTheme="minorEastAsia" w:cstheme="minorHAnsi"/>
                                <w:b/>
                                <w:i/>
                                <w:sz w:val="20"/>
                                <w:szCs w:val="20"/>
                                <w:lang w:eastAsia="ja-JP"/>
                              </w:rPr>
                            </w:pPr>
                            <w:r w:rsidRPr="0042563B">
                              <w:rPr>
                                <w:rFonts w:cstheme="minorHAnsi"/>
                                <w:b/>
                                <w:i/>
                                <w:sz w:val="20"/>
                                <w:szCs w:val="20"/>
                              </w:rPr>
                              <w:t>Dr J Carey, Executive Director, PNGCJE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F77D1" id="_x0000_s1040" type="#_x0000_t202" style="position:absolute;margin-left:404.05pt;margin-top:3.05pt;width:455.25pt;height:231pt;z-index:2516679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eosMQIAAFQEAAAOAAAAZHJzL2Uyb0RvYy54bWysVNtu2zAMfR+wfxD0vtjOpUmNOEWXLsOA&#10;7gK0+wBalmNhsuhJSuzs60spaRq0exrmB0EUqaPDQ9LLm6HVbC+tU2gKno1SzqQRWCmzLfjPx82H&#10;BWfOg6lAo5EFP0jHb1bv3y37LpdjbFBX0jICMS7vu4I33nd5kjjRyBbcCDtpyFmjbcGTabdJZaEn&#10;9FYn4zS9Snq0VWdRSOfo9O7o5KuIX9dS+O917aRnuuDEzcfVxrUMa7JaQr610DVKnGjAP7BoQRl6&#10;9Ax1Bx7Yzqo3UK0SFh3WfiSwTbCulZAxB8omS19l89BAJ2MuJI7rzjK5/wcrvu1/WKaqgk+yxYwz&#10;Ay1V6VEOnn3EgY2DQH3ncop76CjSD3RMhY7Juu4exS/HDK4bMFt5ay32jYSKCGbhZnJx9YjjAkjZ&#10;f8WKnoGdxwg01LYN6pEejNCpUIdzcQIVQYez+SK7mhNFQb7x9WQyT2P5Esifr3fW+c8SWxY2BbdU&#10;/QgP+3vnAx3In0PCaw61qjZK62jYbbnWlu2BOmUTv5jBqzBtWE/PL2bE5C1G6Fp5RgEhpPGTv8G0&#10;ylPba9UWfJGGLwRBHrT7ZKq496D0cU+0tTmJGfQ7KumHcoiFy6bhclC6xOpA8lo8tjmNJW0atH84&#10;66nFC+5+78BKzvQXQyW6zqbTMBPRmM7mYzLspae89IARBFVwz9lxu/ZxjgJvg7dUylpFkV+YnDhT&#10;60btT2MWZuPSjlEvP4PVEwAAAP//AwBQSwMEFAAGAAgAAAAhABBervHdAAAABgEAAA8AAABkcnMv&#10;ZG93bnJldi54bWxMj81OwzAQhO9IvIO1SNyoE36iNs2mKkgcUA8IlwNHJ16SQLyObLdN3x5zguNo&#10;RjPfVJvZjuJIPgyOEfJFBoK4dWbgDuF9/3yzBBGiZqNHx4RwpgCb+vKi0qVxJ36jo4qdSCUcSo3Q&#10;xziVUoa2J6vDwk3Eyft03uqYpO+k8fqUyu0ob7OskFYPnBZ6PdFTT+23OliExxf1wba52311nvbq&#10;vN2pV9kgXl/N2zWISHP8C8MvfkKHOjE17sAmiBEhHYkIRQ4imas8ewDRINwXyxxkXcn/+PUPAAAA&#10;//8DAFBLAQItABQABgAIAAAAIQC2gziS/gAAAOEBAAATAAAAAAAAAAAAAAAAAAAAAABbQ29udGVu&#10;dF9UeXBlc10ueG1sUEsBAi0AFAAGAAgAAAAhADj9If/WAAAAlAEAAAsAAAAAAAAAAAAAAAAALwEA&#10;AF9yZWxzLy5yZWxzUEsBAi0AFAAGAAgAAAAhAHN16iwxAgAAVAQAAA4AAAAAAAAAAAAAAAAALgIA&#10;AGRycy9lMm9Eb2MueG1sUEsBAi0AFAAGAAgAAAAhABBervHdAAAABgEAAA8AAAAAAAAAAAAAAAAA&#10;iwQAAGRycy9kb3ducmV2LnhtbFBLBQYAAAAABAAEAPMAAACVBQAAAAA=&#10;" strokecolor="#b31b34 [3206]" strokeweight="2.25pt">
                <v:textbox>
                  <w:txbxContent>
                    <w:p w14:paraId="6961830B" w14:textId="77777777" w:rsidR="00CA4E85" w:rsidRPr="00995634" w:rsidRDefault="00CA4E85" w:rsidP="00415AEA">
                      <w:pPr>
                        <w:autoSpaceDE w:val="0"/>
                        <w:autoSpaceDN w:val="0"/>
                        <w:adjustRightInd w:val="0"/>
                        <w:spacing w:before="120" w:after="120"/>
                        <w:jc w:val="center"/>
                        <w:rPr>
                          <w:rFonts w:cstheme="minorHAnsi"/>
                          <w:b/>
                          <w:color w:val="00667C" w:themeColor="accent1"/>
                          <w:sz w:val="26"/>
                          <w:szCs w:val="26"/>
                        </w:rPr>
                      </w:pPr>
                      <w:r w:rsidRPr="00995634">
                        <w:rPr>
                          <w:rFonts w:cstheme="minorHAnsi"/>
                          <w:b/>
                          <w:color w:val="00667C" w:themeColor="accent1"/>
                          <w:sz w:val="26"/>
                          <w:szCs w:val="26"/>
                        </w:rPr>
                        <w:t>Papua New Guinea</w:t>
                      </w:r>
                    </w:p>
                    <w:p w14:paraId="5CED3B2D" w14:textId="77777777" w:rsidR="00CA4E85" w:rsidRPr="007B7B44" w:rsidRDefault="00CA4E85" w:rsidP="00554978">
                      <w:pPr>
                        <w:autoSpaceDE w:val="0"/>
                        <w:autoSpaceDN w:val="0"/>
                        <w:adjustRightInd w:val="0"/>
                        <w:spacing w:after="120"/>
                        <w:ind w:left="142"/>
                        <w:rPr>
                          <w:rFonts w:cstheme="minorHAnsi"/>
                          <w:i/>
                          <w:sz w:val="22"/>
                          <w:szCs w:val="22"/>
                        </w:rPr>
                      </w:pPr>
                      <w:r w:rsidRPr="007B7B44">
                        <w:rPr>
                          <w:rFonts w:cstheme="minorHAnsi"/>
                          <w:i/>
                          <w:sz w:val="22"/>
                          <w:szCs w:val="22"/>
                        </w:rPr>
                        <w:t xml:space="preserve">The most significant change of all was the results of our organization in being able to deliver judicial education and training in Papua New Guinea as distinct from mere event planning of programs or workshops. Initially the small team was of the view that planning an event where there are participants and facilitators who were brought in from outside of the country to deliver training was the ideal way of delivering training. </w:t>
                      </w:r>
                    </w:p>
                    <w:p w14:paraId="140402B2" w14:textId="77777777" w:rsidR="00CA4E85" w:rsidRPr="007B7B44" w:rsidRDefault="00CA4E85" w:rsidP="00554978">
                      <w:pPr>
                        <w:autoSpaceDE w:val="0"/>
                        <w:autoSpaceDN w:val="0"/>
                        <w:adjustRightInd w:val="0"/>
                        <w:spacing w:before="120" w:after="120"/>
                        <w:ind w:left="142"/>
                        <w:rPr>
                          <w:rFonts w:cstheme="minorHAnsi"/>
                          <w:i/>
                          <w:sz w:val="22"/>
                          <w:szCs w:val="22"/>
                        </w:rPr>
                      </w:pPr>
                      <w:r w:rsidRPr="007B7B44">
                        <w:rPr>
                          <w:rFonts w:cstheme="minorHAnsi"/>
                          <w:i/>
                          <w:sz w:val="22"/>
                          <w:szCs w:val="22"/>
                        </w:rPr>
                        <w:t xml:space="preserve">There was training by PJSI covering curriculum development, project management, delivering training and preparing a learner centred environment. This resulted in team members becoming engaged in a systematic approach to being able to plan and develop programs for implementation which met the needs of stakeholders in a meaningful way that was measurable through monitoring and evaluation. </w:t>
                      </w:r>
                    </w:p>
                    <w:p w14:paraId="78E815DE" w14:textId="77777777" w:rsidR="00CA4E85" w:rsidRPr="007B7B44" w:rsidRDefault="00CA4E85" w:rsidP="00554978">
                      <w:pPr>
                        <w:autoSpaceDE w:val="0"/>
                        <w:autoSpaceDN w:val="0"/>
                        <w:adjustRightInd w:val="0"/>
                        <w:spacing w:before="120" w:after="120"/>
                        <w:ind w:left="142"/>
                        <w:rPr>
                          <w:rFonts w:cstheme="minorHAnsi"/>
                          <w:i/>
                          <w:sz w:val="22"/>
                          <w:szCs w:val="22"/>
                        </w:rPr>
                      </w:pPr>
                      <w:r w:rsidRPr="007B7B44">
                        <w:rPr>
                          <w:rFonts w:cstheme="minorHAnsi"/>
                          <w:i/>
                          <w:sz w:val="22"/>
                          <w:szCs w:val="22"/>
                        </w:rPr>
                        <w:t>We went from having 3 or 4 disorganized adhoc programs per year to 35 plus programs per annum with growth potential for double this in the next 12 months.</w:t>
                      </w:r>
                    </w:p>
                    <w:p w14:paraId="7A9BD01E" w14:textId="11D89E13" w:rsidR="00CA4E85" w:rsidRPr="00C0419F" w:rsidRDefault="00CA4E85" w:rsidP="00554978">
                      <w:pPr>
                        <w:autoSpaceDE w:val="0"/>
                        <w:autoSpaceDN w:val="0"/>
                        <w:adjustRightInd w:val="0"/>
                        <w:spacing w:before="120" w:after="120"/>
                        <w:ind w:left="142"/>
                        <w:jc w:val="right"/>
                        <w:rPr>
                          <w:rFonts w:eastAsiaTheme="minorEastAsia" w:cstheme="minorHAnsi"/>
                          <w:b/>
                          <w:i/>
                          <w:sz w:val="20"/>
                          <w:szCs w:val="20"/>
                          <w:lang w:eastAsia="ja-JP"/>
                        </w:rPr>
                      </w:pPr>
                      <w:r w:rsidRPr="0042563B">
                        <w:rPr>
                          <w:rFonts w:cstheme="minorHAnsi"/>
                          <w:b/>
                          <w:i/>
                          <w:sz w:val="20"/>
                          <w:szCs w:val="20"/>
                        </w:rPr>
                        <w:t>Dr J Carey, Executive Director, PNGCJE</w:t>
                      </w:r>
                    </w:p>
                  </w:txbxContent>
                </v:textbox>
                <w10:wrap type="square" anchorx="margin"/>
              </v:shape>
            </w:pict>
          </mc:Fallback>
        </mc:AlternateContent>
      </w:r>
      <w:r w:rsidR="009F54DE" w:rsidRPr="00CE6782">
        <w:rPr>
          <w:rFonts w:asciiTheme="minorHAnsi" w:eastAsiaTheme="minorEastAsia" w:hAnsiTheme="minorHAnsi" w:cstheme="minorHAnsi"/>
          <w:b/>
          <w:sz w:val="22"/>
          <w:szCs w:val="22"/>
          <w:lang w:val="en-AU" w:eastAsia="ja-JP"/>
        </w:rPr>
        <w:t>Partner Courts better understand and respect the rights of vulnerable and marginalised groups.</w:t>
      </w:r>
      <w:r w:rsidR="009F54DE" w:rsidRPr="00CE6782">
        <w:rPr>
          <w:rFonts w:asciiTheme="minorHAnsi" w:eastAsiaTheme="minorEastAsia" w:hAnsiTheme="minorHAnsi" w:cstheme="minorHAnsi"/>
          <w:sz w:val="22"/>
          <w:szCs w:val="22"/>
          <w:lang w:val="en-AU" w:eastAsia="ja-JP"/>
        </w:rPr>
        <w:t xml:space="preserve"> This </w:t>
      </w:r>
      <w:bookmarkStart w:id="15" w:name="_Hlk92360272"/>
      <w:r w:rsidR="009F54DE" w:rsidRPr="00CE6782">
        <w:rPr>
          <w:rFonts w:asciiTheme="minorHAnsi" w:eastAsiaTheme="minorEastAsia" w:hAnsiTheme="minorHAnsi" w:cstheme="minorHAnsi"/>
          <w:sz w:val="22"/>
          <w:szCs w:val="22"/>
          <w:lang w:val="en-AU" w:eastAsia="ja-JP"/>
        </w:rPr>
        <w:t>was achieved by</w:t>
      </w:r>
      <w:r w:rsidR="009F54DE" w:rsidRPr="00CE6782">
        <w:rPr>
          <w:rFonts w:asciiTheme="minorHAnsi" w:eastAsiaTheme="minorEastAsia" w:hAnsiTheme="minorHAnsi" w:cstheme="minorHAnsi"/>
          <w:b/>
          <w:sz w:val="22"/>
          <w:szCs w:val="22"/>
          <w:lang w:val="en-AU" w:eastAsia="ja-JP"/>
        </w:rPr>
        <w:t xml:space="preserve"> </w:t>
      </w:r>
      <w:r w:rsidR="009F54DE" w:rsidRPr="00CE6782">
        <w:rPr>
          <w:rFonts w:asciiTheme="minorHAnsi" w:hAnsiTheme="minorHAnsi" w:cstheme="minorHAnsi"/>
          <w:sz w:val="22"/>
          <w:szCs w:val="22"/>
          <w:lang w:val="en-AU"/>
        </w:rPr>
        <w:t>catalysing a new way of understanding the role and responsibility of courts, as one of the three pillars of the state; to protect and uphold human rights standards in all aspects of their function</w:t>
      </w:r>
      <w:bookmarkEnd w:id="15"/>
      <w:r w:rsidR="009F54DE" w:rsidRPr="00CE6782">
        <w:rPr>
          <w:rFonts w:asciiTheme="minorHAnsi" w:hAnsiTheme="minorHAnsi" w:cstheme="minorHAnsi"/>
          <w:sz w:val="22"/>
          <w:szCs w:val="22"/>
          <w:lang w:val="en-AU"/>
        </w:rPr>
        <w:t xml:space="preserve">. Resultant activities produced wide ranging changed behaviours by court actors in all seven </w:t>
      </w:r>
      <w:r w:rsidR="00E70C59" w:rsidRPr="00CE6782">
        <w:rPr>
          <w:rFonts w:asciiTheme="minorHAnsi" w:hAnsiTheme="minorHAnsi" w:cstheme="minorHAnsi"/>
          <w:sz w:val="22"/>
          <w:szCs w:val="22"/>
          <w:lang w:val="en-AU"/>
        </w:rPr>
        <w:t>Partner Courts</w:t>
      </w:r>
      <w:r w:rsidR="00E70C59" w:rsidRPr="00CE6782" w:rsidDel="00FA7421">
        <w:rPr>
          <w:rFonts w:asciiTheme="minorHAnsi" w:hAnsiTheme="minorHAnsi" w:cstheme="minorHAnsi"/>
          <w:sz w:val="22"/>
          <w:szCs w:val="22"/>
          <w:lang w:val="en-AU"/>
        </w:rPr>
        <w:t xml:space="preserve"> </w:t>
      </w:r>
      <w:r w:rsidR="009F54DE" w:rsidRPr="00CE6782">
        <w:rPr>
          <w:rFonts w:asciiTheme="minorHAnsi" w:hAnsiTheme="minorHAnsi" w:cstheme="minorHAnsi"/>
          <w:sz w:val="22"/>
          <w:szCs w:val="22"/>
          <w:lang w:val="en-AU"/>
        </w:rPr>
        <w:t>with which it worked - Tonga, Vanuatu, Pal</w:t>
      </w:r>
      <w:r w:rsidR="00CE6782">
        <w:rPr>
          <w:rFonts w:asciiTheme="minorHAnsi" w:hAnsiTheme="minorHAnsi" w:cstheme="minorHAnsi"/>
          <w:sz w:val="22"/>
          <w:szCs w:val="22"/>
          <w:lang w:val="en-AU"/>
        </w:rPr>
        <w:t>au, FSM, Samoa, Solomon Islands and</w:t>
      </w:r>
      <w:r w:rsidR="009F54DE" w:rsidRPr="00CE6782">
        <w:rPr>
          <w:rFonts w:asciiTheme="minorHAnsi" w:hAnsiTheme="minorHAnsi" w:cstheme="minorHAnsi"/>
          <w:sz w:val="22"/>
          <w:szCs w:val="22"/>
          <w:lang w:val="en-AU"/>
        </w:rPr>
        <w:t xml:space="preserve"> Nauru. This was achieved through training, strategic planning and practical guidance on how human rights obligations translate into specific actions to be taken. </w:t>
      </w:r>
    </w:p>
    <w:p w14:paraId="6F73357E" w14:textId="740E8A8E" w:rsidR="00CD02E0" w:rsidRDefault="00415AEA" w:rsidP="009F54DE">
      <w:pPr>
        <w:spacing w:before="40" w:after="160"/>
        <w:rPr>
          <w:rFonts w:eastAsiaTheme="minorHAnsi" w:cstheme="minorBidi"/>
          <w:sz w:val="22"/>
          <w:szCs w:val="22"/>
          <w:lang w:val="en-AU" w:eastAsia="en-US"/>
        </w:rPr>
      </w:pPr>
      <w:r>
        <w:rPr>
          <w:noProof/>
          <w:lang w:val="en-AU"/>
        </w:rPr>
        <mc:AlternateContent>
          <mc:Choice Requires="wps">
            <w:drawing>
              <wp:anchor distT="0" distB="0" distL="114300" distR="114300" simplePos="0" relativeHeight="251676160" behindDoc="1" locked="0" layoutInCell="1" allowOverlap="1" wp14:anchorId="3A4D6416" wp14:editId="789ED95B">
                <wp:simplePos x="0" y="0"/>
                <wp:positionH relativeFrom="margin">
                  <wp:align>left</wp:align>
                </wp:positionH>
                <wp:positionV relativeFrom="paragraph">
                  <wp:posOffset>2569210</wp:posOffset>
                </wp:positionV>
                <wp:extent cx="2535555" cy="476250"/>
                <wp:effectExtent l="0" t="0" r="0" b="0"/>
                <wp:wrapTight wrapText="bothSides">
                  <wp:wrapPolygon edited="0">
                    <wp:start x="0" y="0"/>
                    <wp:lineTo x="0" y="20736"/>
                    <wp:lineTo x="21421" y="20736"/>
                    <wp:lineTo x="21421" y="0"/>
                    <wp:lineTo x="0" y="0"/>
                  </wp:wrapPolygon>
                </wp:wrapTight>
                <wp:docPr id="24" name="Text Box 24"/>
                <wp:cNvGraphicFramePr/>
                <a:graphic xmlns:a="http://schemas.openxmlformats.org/drawingml/2006/main">
                  <a:graphicData uri="http://schemas.microsoft.com/office/word/2010/wordprocessingShape">
                    <wps:wsp>
                      <wps:cNvSpPr txBox="1"/>
                      <wps:spPr>
                        <a:xfrm>
                          <a:off x="0" y="0"/>
                          <a:ext cx="2535555" cy="476250"/>
                        </a:xfrm>
                        <a:prstGeom prst="rect">
                          <a:avLst/>
                        </a:prstGeom>
                        <a:solidFill>
                          <a:prstClr val="white"/>
                        </a:solidFill>
                        <a:ln>
                          <a:noFill/>
                        </a:ln>
                      </wps:spPr>
                      <wps:txbx>
                        <w:txbxContent>
                          <w:p w14:paraId="74A62FAA" w14:textId="5DF0A2FD" w:rsidR="00CA4E85" w:rsidRPr="00415AEA" w:rsidRDefault="00CA4E85" w:rsidP="00B21166">
                            <w:pPr>
                              <w:pStyle w:val="Caption"/>
                              <w:rPr>
                                <w:rFonts w:ascii="Arial" w:hAnsi="Arial" w:cstheme="minorHAnsi"/>
                                <w:i w:val="0"/>
                                <w:noProof/>
                                <w:color w:val="auto"/>
                              </w:rPr>
                            </w:pPr>
                            <w:r w:rsidRPr="00415AEA">
                              <w:rPr>
                                <w:i w:val="0"/>
                                <w:color w:val="auto"/>
                              </w:rPr>
                              <w:t>Figure 6: T</w:t>
                            </w:r>
                            <w:r>
                              <w:rPr>
                                <w:i w:val="0"/>
                                <w:color w:val="auto"/>
                              </w:rPr>
                              <w:t>hematic Training-of-T</w:t>
                            </w:r>
                            <w:r w:rsidRPr="00415AEA">
                              <w:rPr>
                                <w:i w:val="0"/>
                                <w:color w:val="auto"/>
                              </w:rPr>
                              <w:t>rainers: Promoting Substantive Justice Workshop, Vanuatu, February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D6416" id="Text Box 24" o:spid="_x0000_s1041" type="#_x0000_t202" style="position:absolute;margin-left:0;margin-top:202.3pt;width:199.65pt;height:37.5pt;z-index:-251640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dx5NAIAAGoEAAAOAAAAZHJzL2Uyb0RvYy54bWysVMFuGjEQvVfqP1i+lwUa0mjFElEiqkoo&#10;iQRVzsZrs5Zsj2sbdunXd+xlSZv2VJWDGc+Mx37vzez8vjOanIQPCmxFJ6MxJcJyqJU9VPTbbv3h&#10;jpIQma2ZBisqehaB3i/ev5u3rhRTaEDXwhMsYkPZuoo2MbqyKAJvhGFhBE5YDErwhkXc+kNRe9Zi&#10;daOL6Xh8W7Tga+eBixDQ+9AH6SLXl1Lw+CRlEJHoiuLbYl59XvdpLRZzVh48c43il2ewf3iFYcri&#10;pddSDywycvTqj1JGcQ8BZBxxMAVIqbjIGBDNZPwGzbZhTmQsSE5wV5rC/yvLH0/Pnqi6otMbSiwz&#10;qNFOdJF8ho6gC/lpXSgxbeswMXboR50Hf0Bngt1Jb9I/AiIYR6bPV3ZTNY7O6ezjDH+UcIzdfLqd&#10;zjL9xetp50P8IsCQZFTUo3qZVHbahIgvwdQhJV0WQKt6rbROmxRYaU9ODJVuGxVFeiOe+C1L25Rr&#10;IZ3qw8lTJIg9lGTFbt9lSiazAece6jPC99A3UHB8rfDCDQvxmXnsGESMUxCfcJEa2orCxaKkAf/j&#10;b/6Uj0JilJIWO7Ci4fuReUGJ/mpR4tSug+EHYz8Y9mhWgFAnOF+OZxMP+KgHU3owLzgcy3QLhpjl&#10;eFdF42CuYj8HOFxcLJc5CZvSsbixW8dT6YHYXffCvLvIElHQRxh6k5Vv1Olze5qXxwhSZekSsT2L&#10;F76xobM+l+FLE/PrPme9fiIWPwEAAP//AwBQSwMEFAAGAAgAAAAhADEXXbreAAAACAEAAA8AAABk&#10;cnMvZG93bnJldi54bWxMj8FOwzAQRO9I/IO1SFwQdWirQEKcClq4lUNL1fM2NklEvI5sp0n/nuUE&#10;x9lZzbwpVpPtxNn40DpS8DBLQBiqnG6pVnD4fL9/AhEiksbOkVFwMQFW5fVVgbl2I+3MeR9rwSEU&#10;clTQxNjnUoaqMRbDzPWG2Pty3mJk6WupPY4cbjs5T5JUWmyJGxrszbox1fd+sArSjR/GHa3vNoe3&#10;LX709fz4ejkqdXszvTyDiGaKf8/wi8/oUDLTyQ2kg+gU8JCoYJksUxBsL7JsAeLEl8csBVkW8v+A&#10;8gcAAP//AwBQSwECLQAUAAYACAAAACEAtoM4kv4AAADhAQAAEwAAAAAAAAAAAAAAAAAAAAAAW0Nv&#10;bnRlbnRfVHlwZXNdLnhtbFBLAQItABQABgAIAAAAIQA4/SH/1gAAAJQBAAALAAAAAAAAAAAAAAAA&#10;AC8BAABfcmVscy8ucmVsc1BLAQItABQABgAIAAAAIQCE7dx5NAIAAGoEAAAOAAAAAAAAAAAAAAAA&#10;AC4CAABkcnMvZTJvRG9jLnhtbFBLAQItABQABgAIAAAAIQAxF1263gAAAAgBAAAPAAAAAAAAAAAA&#10;AAAAAI4EAABkcnMvZG93bnJldi54bWxQSwUGAAAAAAQABADzAAAAmQUAAAAA&#10;" stroked="f">
                <v:textbox inset="0,0,0,0">
                  <w:txbxContent>
                    <w:p w14:paraId="74A62FAA" w14:textId="5DF0A2FD" w:rsidR="00CA4E85" w:rsidRPr="00415AEA" w:rsidRDefault="00CA4E85" w:rsidP="00B21166">
                      <w:pPr>
                        <w:pStyle w:val="Caption"/>
                        <w:rPr>
                          <w:rFonts w:ascii="Arial" w:hAnsi="Arial" w:cstheme="minorHAnsi"/>
                          <w:i w:val="0"/>
                          <w:noProof/>
                          <w:color w:val="auto"/>
                        </w:rPr>
                      </w:pPr>
                      <w:r w:rsidRPr="00415AEA">
                        <w:rPr>
                          <w:i w:val="0"/>
                          <w:color w:val="auto"/>
                        </w:rPr>
                        <w:t>Figure 6: T</w:t>
                      </w:r>
                      <w:r>
                        <w:rPr>
                          <w:i w:val="0"/>
                          <w:color w:val="auto"/>
                        </w:rPr>
                        <w:t>hematic Training-of-T</w:t>
                      </w:r>
                      <w:r w:rsidRPr="00415AEA">
                        <w:rPr>
                          <w:i w:val="0"/>
                          <w:color w:val="auto"/>
                        </w:rPr>
                        <w:t>rainers: Promoting Substantive Justice Workshop, Vanuatu, February 2018</w:t>
                      </w:r>
                    </w:p>
                  </w:txbxContent>
                </v:textbox>
                <w10:wrap type="tight" anchorx="margin"/>
              </v:shape>
            </w:pict>
          </mc:Fallback>
        </mc:AlternateContent>
      </w:r>
      <w:r>
        <w:rPr>
          <w:rFonts w:cstheme="minorHAnsi"/>
          <w:noProof/>
          <w:sz w:val="22"/>
          <w:szCs w:val="22"/>
          <w:lang w:val="en-AU"/>
        </w:rPr>
        <w:drawing>
          <wp:anchor distT="0" distB="0" distL="114300" distR="114300" simplePos="0" relativeHeight="251672064" behindDoc="1" locked="0" layoutInCell="1" allowOverlap="1" wp14:anchorId="290F08C1" wp14:editId="01057A10">
            <wp:simplePos x="0" y="0"/>
            <wp:positionH relativeFrom="margin">
              <wp:posOffset>19050</wp:posOffset>
            </wp:positionH>
            <wp:positionV relativeFrom="paragraph">
              <wp:posOffset>635000</wp:posOffset>
            </wp:positionV>
            <wp:extent cx="2516505" cy="1995170"/>
            <wp:effectExtent l="0" t="0" r="0" b="5080"/>
            <wp:wrapTight wrapText="bothSides">
              <wp:wrapPolygon edited="0">
                <wp:start x="0" y="0"/>
                <wp:lineTo x="0" y="21449"/>
                <wp:lineTo x="21420" y="21449"/>
                <wp:lineTo x="21420" y="0"/>
                <wp:lineTo x="0" y="0"/>
              </wp:wrapPolygon>
            </wp:wrapTight>
            <wp:docPr id="4674" name="Picture 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16505" cy="1995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54DE" w:rsidRPr="00F34A39">
        <w:rPr>
          <w:rFonts w:eastAsiaTheme="minorHAnsi" w:cstheme="minorBidi"/>
          <w:sz w:val="22"/>
          <w:szCs w:val="22"/>
          <w:lang w:val="en-AU" w:eastAsia="en-US"/>
        </w:rPr>
        <w:t>PJSI successfully challenged traditionally held patriarchal and discriminatory views, mindsets, behaviours, practices, procedures, judgments and interpretations of law relative to women and gendered violence. In place, it inculcated cultures of responsibility for victim protection and perpetrator accountability. This has included activities that promote physical access to courts, simplifying protection orders applications, providing more information on court services, protection rooms for women (FSM, Palau). While sentencing remains a challenge among the broader body of judges in the Partner Courts with which we worked and across the region, there is evidence of merging</w:t>
      </w:r>
      <w:r w:rsidR="009B0722">
        <w:rPr>
          <w:rFonts w:eastAsiaTheme="minorHAnsi" w:cstheme="minorBidi"/>
          <w:sz w:val="22"/>
          <w:szCs w:val="22"/>
          <w:lang w:val="en-AU" w:eastAsia="en-US"/>
        </w:rPr>
        <w:t xml:space="preserve"> d</w:t>
      </w:r>
      <w:r w:rsidR="009F54DE" w:rsidRPr="00F34A39">
        <w:rPr>
          <w:rFonts w:eastAsiaTheme="minorHAnsi" w:cstheme="minorBidi"/>
          <w:sz w:val="22"/>
          <w:szCs w:val="22"/>
          <w:lang w:val="en-AU" w:eastAsia="en-US"/>
        </w:rPr>
        <w:t>eterrent punishments (Vanuatu</w:t>
      </w:r>
      <w:r w:rsidR="009F54DE" w:rsidRPr="00F34A39">
        <w:rPr>
          <w:rStyle w:val="FootnoteReference"/>
          <w:rFonts w:eastAsiaTheme="minorHAnsi" w:cstheme="minorBidi"/>
          <w:sz w:val="22"/>
          <w:szCs w:val="22"/>
          <w:lang w:val="en-AU" w:eastAsia="en-US"/>
        </w:rPr>
        <w:footnoteReference w:id="9"/>
      </w:r>
      <w:r w:rsidR="009F54DE" w:rsidRPr="00F34A39">
        <w:rPr>
          <w:rFonts w:eastAsiaTheme="minorHAnsi" w:cstheme="minorBidi"/>
          <w:sz w:val="22"/>
          <w:szCs w:val="22"/>
          <w:lang w:val="en-AU" w:eastAsia="en-US"/>
        </w:rPr>
        <w:t>) and judgments including strong condemnation of violence against women and rebuttals of traditional ‘excuses’ (Vanuatu, FSM). Furthermore, proactive collaboration with other agencies has seen courts provide referrals for suppor</w:t>
      </w:r>
      <w:r w:rsidR="00CD02E0">
        <w:rPr>
          <w:rFonts w:eastAsiaTheme="minorHAnsi" w:cstheme="minorBidi"/>
          <w:sz w:val="22"/>
          <w:szCs w:val="22"/>
          <w:lang w:val="en-AU" w:eastAsia="en-US"/>
        </w:rPr>
        <w:t>t and prevention (Vanuatu, FSM).</w:t>
      </w:r>
      <w:r w:rsidR="00A8395E">
        <w:rPr>
          <w:rFonts w:eastAsiaTheme="minorHAnsi" w:cstheme="minorBidi"/>
          <w:sz w:val="22"/>
          <w:szCs w:val="22"/>
          <w:lang w:val="en-AU" w:eastAsia="en-US"/>
        </w:rPr>
        <w:t xml:space="preserve"> </w:t>
      </w:r>
    </w:p>
    <w:p w14:paraId="61628866" w14:textId="49F08701" w:rsidR="00423B8F" w:rsidRPr="00CE6782" w:rsidRDefault="00415AEA" w:rsidP="009B0722">
      <w:pPr>
        <w:spacing w:before="40" w:after="160"/>
        <w:rPr>
          <w:sz w:val="22"/>
          <w:szCs w:val="22"/>
          <w:lang w:val="en-AU"/>
        </w:rPr>
      </w:pPr>
      <w:r w:rsidRPr="00CE6782">
        <w:rPr>
          <w:rFonts w:cstheme="minorHAnsi"/>
          <w:noProof/>
          <w:color w:val="000000"/>
          <w:sz w:val="22"/>
          <w:szCs w:val="22"/>
          <w:lang w:val="en-AU"/>
        </w:rPr>
        <w:lastRenderedPageBreak/>
        <mc:AlternateContent>
          <mc:Choice Requires="wps">
            <w:drawing>
              <wp:anchor distT="0" distB="0" distL="114300" distR="114300" simplePos="0" relativeHeight="251665920" behindDoc="1" locked="0" layoutInCell="1" allowOverlap="1" wp14:anchorId="48EE8E82" wp14:editId="222866DE">
                <wp:simplePos x="0" y="0"/>
                <wp:positionH relativeFrom="margin">
                  <wp:align>right</wp:align>
                </wp:positionH>
                <wp:positionV relativeFrom="paragraph">
                  <wp:posOffset>3743960</wp:posOffset>
                </wp:positionV>
                <wp:extent cx="5791200" cy="3295650"/>
                <wp:effectExtent l="19050" t="19050" r="19050" b="19050"/>
                <wp:wrapTopAndBottom/>
                <wp:docPr id="3183" name="Text Box 3183"/>
                <wp:cNvGraphicFramePr/>
                <a:graphic xmlns:a="http://schemas.openxmlformats.org/drawingml/2006/main">
                  <a:graphicData uri="http://schemas.microsoft.com/office/word/2010/wordprocessingShape">
                    <wps:wsp>
                      <wps:cNvSpPr txBox="1"/>
                      <wps:spPr>
                        <a:xfrm>
                          <a:off x="0" y="0"/>
                          <a:ext cx="5791200" cy="3295650"/>
                        </a:xfrm>
                        <a:prstGeom prst="rect">
                          <a:avLst/>
                        </a:prstGeom>
                        <a:ln w="28575">
                          <a:solidFill>
                            <a:schemeClr val="accent3"/>
                          </a:solidFill>
                        </a:ln>
                      </wps:spPr>
                      <wps:style>
                        <a:lnRef idx="2">
                          <a:schemeClr val="accent4"/>
                        </a:lnRef>
                        <a:fillRef idx="1">
                          <a:schemeClr val="lt1"/>
                        </a:fillRef>
                        <a:effectRef idx="0">
                          <a:schemeClr val="accent4"/>
                        </a:effectRef>
                        <a:fontRef idx="minor">
                          <a:schemeClr val="dk1"/>
                        </a:fontRef>
                      </wps:style>
                      <wps:txbx>
                        <w:txbxContent>
                          <w:p w14:paraId="6B00719B" w14:textId="77777777" w:rsidR="00CA4E85" w:rsidRPr="00995634" w:rsidRDefault="00CA4E85" w:rsidP="009B0722">
                            <w:pPr>
                              <w:autoSpaceDE w:val="0"/>
                              <w:autoSpaceDN w:val="0"/>
                              <w:adjustRightInd w:val="0"/>
                              <w:spacing w:before="240" w:after="240"/>
                              <w:jc w:val="center"/>
                              <w:rPr>
                                <w:rFonts w:cstheme="minorHAnsi"/>
                                <w:b/>
                                <w:color w:val="00667C" w:themeColor="accent1"/>
                                <w:sz w:val="26"/>
                                <w:szCs w:val="26"/>
                              </w:rPr>
                            </w:pPr>
                            <w:r w:rsidRPr="00995634">
                              <w:rPr>
                                <w:rFonts w:cstheme="minorHAnsi"/>
                                <w:b/>
                                <w:color w:val="00667C" w:themeColor="accent1"/>
                                <w:sz w:val="26"/>
                                <w:szCs w:val="26"/>
                              </w:rPr>
                              <w:t>Republic of Palau</w:t>
                            </w:r>
                          </w:p>
                          <w:p w14:paraId="79A06CE4" w14:textId="77777777" w:rsidR="00CA4E85" w:rsidRPr="007B7B44" w:rsidRDefault="00CA4E85" w:rsidP="00776167">
                            <w:pPr>
                              <w:autoSpaceDE w:val="0"/>
                              <w:autoSpaceDN w:val="0"/>
                              <w:adjustRightInd w:val="0"/>
                              <w:spacing w:before="120" w:after="120"/>
                              <w:ind w:left="142"/>
                              <w:rPr>
                                <w:rFonts w:cstheme="minorHAnsi"/>
                                <w:i/>
                                <w:color w:val="000000"/>
                                <w:sz w:val="22"/>
                                <w:szCs w:val="22"/>
                              </w:rPr>
                            </w:pPr>
                            <w:r w:rsidRPr="007B7B44">
                              <w:rPr>
                                <w:rFonts w:cstheme="minorHAnsi"/>
                                <w:i/>
                                <w:color w:val="000000"/>
                                <w:sz w:val="22"/>
                                <w:szCs w:val="22"/>
                              </w:rPr>
                              <w:t>In 2014 we passed the Family Protection Act. PJSI assisted our understanding of GFV and the best way to implement the Act. We set goals and integrated reporting and protocols for interagency collaboration. We have since presented information about these cases, being transparent and letting the public know how seriously the Courts take the issue.</w:t>
                            </w:r>
                          </w:p>
                          <w:p w14:paraId="1A7E60F7" w14:textId="5BE7F6F2" w:rsidR="00CA4E85" w:rsidRPr="007B7B44" w:rsidRDefault="00CA4E85" w:rsidP="00776167">
                            <w:pPr>
                              <w:autoSpaceDE w:val="0"/>
                              <w:autoSpaceDN w:val="0"/>
                              <w:adjustRightInd w:val="0"/>
                              <w:spacing w:before="120" w:after="120"/>
                              <w:ind w:left="142"/>
                              <w:rPr>
                                <w:rFonts w:eastAsiaTheme="minorEastAsia" w:cstheme="minorHAnsi"/>
                                <w:i/>
                                <w:sz w:val="22"/>
                                <w:szCs w:val="22"/>
                                <w:lang w:eastAsia="ja-JP"/>
                              </w:rPr>
                            </w:pPr>
                            <w:r w:rsidRPr="007B7B44">
                              <w:rPr>
                                <w:rFonts w:cstheme="minorHAnsi"/>
                                <w:i/>
                                <w:sz w:val="22"/>
                                <w:szCs w:val="22"/>
                              </w:rPr>
                              <w:t xml:space="preserve">With respect to efficiency and accountability, we were fortunate that PJSI supported an upgrade </w:t>
                            </w:r>
                            <w:r>
                              <w:rPr>
                                <w:rFonts w:cstheme="minorHAnsi"/>
                                <w:i/>
                                <w:sz w:val="22"/>
                                <w:szCs w:val="22"/>
                              </w:rPr>
                              <w:t xml:space="preserve">to </w:t>
                            </w:r>
                            <w:r w:rsidRPr="007B7B44">
                              <w:rPr>
                                <w:rFonts w:cstheme="minorHAnsi"/>
                                <w:i/>
                                <w:sz w:val="22"/>
                                <w:szCs w:val="22"/>
                              </w:rPr>
                              <w:t xml:space="preserve">our case management system. Staff learned to appreciate </w:t>
                            </w:r>
                            <w:r w:rsidRPr="007B7B44">
                              <w:rPr>
                                <w:rFonts w:eastAsiaTheme="minorEastAsia" w:cstheme="minorHAnsi"/>
                                <w:i/>
                                <w:sz w:val="22"/>
                                <w:szCs w:val="22"/>
                                <w:lang w:eastAsia="ja-JP"/>
                              </w:rPr>
                              <w:t>and understand their role in the process, including that judges rely on their accuracy, comprehensiveness and timeliness of their data entry. Staff have become more accountable and this has been a big change and helped the judicial officers issue timely decisions.</w:t>
                            </w:r>
                          </w:p>
                          <w:p w14:paraId="7D5A9A33" w14:textId="61C59D5F" w:rsidR="00CA4E85" w:rsidRPr="00E35ED8" w:rsidRDefault="00CA4E85" w:rsidP="00776167">
                            <w:pPr>
                              <w:autoSpaceDE w:val="0"/>
                              <w:autoSpaceDN w:val="0"/>
                              <w:adjustRightInd w:val="0"/>
                              <w:spacing w:before="120" w:after="120"/>
                              <w:ind w:left="142"/>
                              <w:rPr>
                                <w:rFonts w:cstheme="minorHAnsi"/>
                                <w:color w:val="000000"/>
                                <w:sz w:val="22"/>
                                <w:szCs w:val="22"/>
                              </w:rPr>
                            </w:pPr>
                            <w:r w:rsidRPr="007B7B44">
                              <w:rPr>
                                <w:rFonts w:cstheme="minorHAnsi"/>
                                <w:i/>
                                <w:color w:val="000000"/>
                                <w:sz w:val="22"/>
                                <w:szCs w:val="22"/>
                              </w:rPr>
                              <w:t>With leadership training, grant-funding and expertise from PJSI, we were able to conduct hearings by video. Not</w:t>
                            </w:r>
                            <w:r>
                              <w:rPr>
                                <w:rFonts w:cstheme="minorHAnsi"/>
                                <w:i/>
                                <w:color w:val="000000"/>
                                <w:sz w:val="22"/>
                                <w:szCs w:val="22"/>
                              </w:rPr>
                              <w:t xml:space="preserve"> only has this reduced the cost and </w:t>
                            </w:r>
                            <w:r w:rsidRPr="007B7B44">
                              <w:rPr>
                                <w:rFonts w:cstheme="minorHAnsi"/>
                                <w:i/>
                                <w:color w:val="000000"/>
                                <w:sz w:val="22"/>
                                <w:szCs w:val="22"/>
                              </w:rPr>
                              <w:t>time, but it has also enabled the elderly, disabled and traumatised victims to access court and for us to remain ‘open’ during the COVID-19 pandemic.</w:t>
                            </w:r>
                          </w:p>
                          <w:p w14:paraId="17DA98C1" w14:textId="1C58E202" w:rsidR="00CA4E85" w:rsidRPr="00C0419F" w:rsidRDefault="00CA4E85" w:rsidP="00776167">
                            <w:pPr>
                              <w:autoSpaceDE w:val="0"/>
                              <w:autoSpaceDN w:val="0"/>
                              <w:adjustRightInd w:val="0"/>
                              <w:spacing w:before="120" w:after="120"/>
                              <w:ind w:left="142"/>
                              <w:jc w:val="right"/>
                              <w:rPr>
                                <w:rFonts w:eastAsiaTheme="minorEastAsia" w:cstheme="minorHAnsi"/>
                                <w:b/>
                                <w:i/>
                                <w:sz w:val="20"/>
                                <w:szCs w:val="20"/>
                                <w:lang w:eastAsia="ja-JP"/>
                              </w:rPr>
                            </w:pPr>
                            <w:r w:rsidRPr="004D3A02">
                              <w:rPr>
                                <w:rFonts w:cstheme="minorHAnsi"/>
                                <w:b/>
                                <w:i/>
                                <w:sz w:val="20"/>
                                <w:szCs w:val="20"/>
                              </w:rPr>
                              <w:t>Associate Justice Rudimch</w:t>
                            </w:r>
                          </w:p>
                        </w:txbxContent>
                      </wps:txbx>
                      <wps:bodyPr rot="0" spcFirstLastPara="0" vertOverflow="overflow" horzOverflow="overflow" vert="horz" wrap="square" lIns="0" tIns="0" rIns="2286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E8E82" id="Text Box 3183" o:spid="_x0000_s1042" type="#_x0000_t202" style="position:absolute;margin-left:404.8pt;margin-top:294.8pt;width:456pt;height:259.5pt;z-index:-251650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PbmQIAAHgFAAAOAAAAZHJzL2Uyb0RvYy54bWysVE1v2zAMvQ/YfxB0Xx07S5oGdYqsRYcB&#10;RVssHXpWZKkxJomapMTOfv0o+aNFl9Owiy2Rj6RIPvLyqtWKHITzNZiS5mcTSoThUNXmpaQ/nm4/&#10;LSjxgZmKKTCipEfh6dXq44fLxi5FATtQlXAEnRi/bGxJdyHYZZZ5vhOa+TOwwqBSgtMs4NW9ZJVj&#10;DXrXKismk3nWgKusAy68R+lNp6Sr5F9KwcODlF4EokqKbwvp69J3G7/Z6pItXxyzu5r3z2D/8ArN&#10;aoNBR1c3LDCyd/VfrnTNHXiQ4YyDzkDKmouUA2aTT95ls9kxK1IuWBxvxzL5/+eW3x8eHamrkk7z&#10;xZQSwzR26Um0gXyBliQh1qixfonQjUVwaFGDvY61i3KPwph6K52Of0yKoB6rfRwrHP1xFM7OL3Js&#10;GyUcddPiYjafpR5kr+bW+fBVgCbxUFKHLUyVZYc7HzAkQgdIjKYMaUpaLGbnswTzoOrqtlYqKhON&#10;xLVy5MCQAIxzYcI0Phy9vEHiTRkUvqaTTuGoRBfju5BYJEyg6IJEer73+7n3qwyio5nEV4yG+SlD&#10;FVIVMXyPjWYi0XY0nJwy7DIZIo4WKSqYMBrr2oA75aD6OUbu8EP2Xc4x/dBu28SMfD60egvVERng&#10;oJsjb/ltjV26Yz48MoeDg53FZRAe8CMVYGOgP1GyA/f7lDzikc+opaTBQSyp/7VnTlCivhlkepza&#10;4eDSoSgW88ih7SA2e30N2N8cd43l6YhqF9RwlA70My6KdQyFKmY4BiwpD264XIduK+Cq4WK9TjAc&#10;UcvCndlYHp3H6kbqPbXPzNmenwGpfQ/DpLLlO5p22GhpYL0PIOvE4Vjfrph93XG8Eyn7VRT3x9t7&#10;Qr0uzNUfAAAA//8DAFBLAwQUAAYACAAAACEAWXXPEd0AAAAJAQAADwAAAGRycy9kb3ducmV2Lnht&#10;bEyPzU7DMBCE70i8g7VI3KidokZJiFMhxN+FAy0SVzdekqj2OoqdNrw9ywmOOzOa/abeLt6JE05x&#10;CKQhWykQSG2wA3UaPvZPNwWImAxZ4wKhhm+MsG0uL2pT2XCmdzztUie4hGJlNPQpjZWUse3Rm7gK&#10;IxJ7X2HyJvE5ddJO5szl3sm1Urn0ZiD+0JsRH3psj7vZa3jGV/o0s3dh35Yv8S0eN+r2Uevrq+X+&#10;DkTCJf2F4Ref0aFhpkOYyUbhNPCQpGFTlDkItstszcqBc5kqcpBNLf8vaH4AAAD//wMAUEsBAi0A&#10;FAAGAAgAAAAhALaDOJL+AAAA4QEAABMAAAAAAAAAAAAAAAAAAAAAAFtDb250ZW50X1R5cGVzXS54&#10;bWxQSwECLQAUAAYACAAAACEAOP0h/9YAAACUAQAACwAAAAAAAAAAAAAAAAAvAQAAX3JlbHMvLnJl&#10;bHNQSwECLQAUAAYACAAAACEAof6T25kCAAB4BQAADgAAAAAAAAAAAAAAAAAuAgAAZHJzL2Uyb0Rv&#10;Yy54bWxQSwECLQAUAAYACAAAACEAWXXPEd0AAAAJAQAADwAAAAAAAAAAAAAAAADzBAAAZHJzL2Rv&#10;d25yZXYueG1sUEsFBgAAAAAEAAQA8wAAAP0FAAAAAA==&#10;" fillcolor="white [3201]" strokecolor="#b31b34 [3206]" strokeweight="2.25pt">
                <v:textbox inset="0,0,18pt,0">
                  <w:txbxContent>
                    <w:p w14:paraId="6B00719B" w14:textId="77777777" w:rsidR="00CA4E85" w:rsidRPr="00995634" w:rsidRDefault="00CA4E85" w:rsidP="009B0722">
                      <w:pPr>
                        <w:autoSpaceDE w:val="0"/>
                        <w:autoSpaceDN w:val="0"/>
                        <w:adjustRightInd w:val="0"/>
                        <w:spacing w:before="240" w:after="240"/>
                        <w:jc w:val="center"/>
                        <w:rPr>
                          <w:rFonts w:cstheme="minorHAnsi"/>
                          <w:b/>
                          <w:color w:val="00667C" w:themeColor="accent1"/>
                          <w:sz w:val="26"/>
                          <w:szCs w:val="26"/>
                        </w:rPr>
                      </w:pPr>
                      <w:r w:rsidRPr="00995634">
                        <w:rPr>
                          <w:rFonts w:cstheme="minorHAnsi"/>
                          <w:b/>
                          <w:color w:val="00667C" w:themeColor="accent1"/>
                          <w:sz w:val="26"/>
                          <w:szCs w:val="26"/>
                        </w:rPr>
                        <w:t>Republic of Palau</w:t>
                      </w:r>
                    </w:p>
                    <w:p w14:paraId="79A06CE4" w14:textId="77777777" w:rsidR="00CA4E85" w:rsidRPr="007B7B44" w:rsidRDefault="00CA4E85" w:rsidP="00776167">
                      <w:pPr>
                        <w:autoSpaceDE w:val="0"/>
                        <w:autoSpaceDN w:val="0"/>
                        <w:adjustRightInd w:val="0"/>
                        <w:spacing w:before="120" w:after="120"/>
                        <w:ind w:left="142"/>
                        <w:rPr>
                          <w:rFonts w:cstheme="minorHAnsi"/>
                          <w:i/>
                          <w:color w:val="000000"/>
                          <w:sz w:val="22"/>
                          <w:szCs w:val="22"/>
                        </w:rPr>
                      </w:pPr>
                      <w:r w:rsidRPr="007B7B44">
                        <w:rPr>
                          <w:rFonts w:cstheme="minorHAnsi"/>
                          <w:i/>
                          <w:color w:val="000000"/>
                          <w:sz w:val="22"/>
                          <w:szCs w:val="22"/>
                        </w:rPr>
                        <w:t>In 2014 we passed the Family Protection Act. PJSI assisted our understanding of GFV and the best way to implement the Act. We set goals and integrated reporting and protocols for interagency collaboration. We have since presented information about these cases, being transparent and letting the public know how seriously the Courts take the issue.</w:t>
                      </w:r>
                    </w:p>
                    <w:p w14:paraId="1A7E60F7" w14:textId="5BE7F6F2" w:rsidR="00CA4E85" w:rsidRPr="007B7B44" w:rsidRDefault="00CA4E85" w:rsidP="00776167">
                      <w:pPr>
                        <w:autoSpaceDE w:val="0"/>
                        <w:autoSpaceDN w:val="0"/>
                        <w:adjustRightInd w:val="0"/>
                        <w:spacing w:before="120" w:after="120"/>
                        <w:ind w:left="142"/>
                        <w:rPr>
                          <w:rFonts w:eastAsiaTheme="minorEastAsia" w:cstheme="minorHAnsi"/>
                          <w:i/>
                          <w:sz w:val="22"/>
                          <w:szCs w:val="22"/>
                          <w:lang w:eastAsia="ja-JP"/>
                        </w:rPr>
                      </w:pPr>
                      <w:r w:rsidRPr="007B7B44">
                        <w:rPr>
                          <w:rFonts w:cstheme="minorHAnsi"/>
                          <w:i/>
                          <w:sz w:val="22"/>
                          <w:szCs w:val="22"/>
                        </w:rPr>
                        <w:t xml:space="preserve">With respect to efficiency and accountability, we were fortunate that PJSI supported an upgrade </w:t>
                      </w:r>
                      <w:r>
                        <w:rPr>
                          <w:rFonts w:cstheme="minorHAnsi"/>
                          <w:i/>
                          <w:sz w:val="22"/>
                          <w:szCs w:val="22"/>
                        </w:rPr>
                        <w:t xml:space="preserve">to </w:t>
                      </w:r>
                      <w:r w:rsidRPr="007B7B44">
                        <w:rPr>
                          <w:rFonts w:cstheme="minorHAnsi"/>
                          <w:i/>
                          <w:sz w:val="22"/>
                          <w:szCs w:val="22"/>
                        </w:rPr>
                        <w:t xml:space="preserve">our case management system. Staff learned to appreciate </w:t>
                      </w:r>
                      <w:r w:rsidRPr="007B7B44">
                        <w:rPr>
                          <w:rFonts w:eastAsiaTheme="minorEastAsia" w:cstheme="minorHAnsi"/>
                          <w:i/>
                          <w:sz w:val="22"/>
                          <w:szCs w:val="22"/>
                          <w:lang w:eastAsia="ja-JP"/>
                        </w:rPr>
                        <w:t>and understand their role in the process, including that judges rely on their accuracy, comprehensiveness and timeliness of their data entry. Staff have become more accountable and this has been a big change and helped the judicial officers issue timely decisions.</w:t>
                      </w:r>
                    </w:p>
                    <w:p w14:paraId="7D5A9A33" w14:textId="61C59D5F" w:rsidR="00CA4E85" w:rsidRPr="00E35ED8" w:rsidRDefault="00CA4E85" w:rsidP="00776167">
                      <w:pPr>
                        <w:autoSpaceDE w:val="0"/>
                        <w:autoSpaceDN w:val="0"/>
                        <w:adjustRightInd w:val="0"/>
                        <w:spacing w:before="120" w:after="120"/>
                        <w:ind w:left="142"/>
                        <w:rPr>
                          <w:rFonts w:cstheme="minorHAnsi"/>
                          <w:color w:val="000000"/>
                          <w:sz w:val="22"/>
                          <w:szCs w:val="22"/>
                        </w:rPr>
                      </w:pPr>
                      <w:r w:rsidRPr="007B7B44">
                        <w:rPr>
                          <w:rFonts w:cstheme="minorHAnsi"/>
                          <w:i/>
                          <w:color w:val="000000"/>
                          <w:sz w:val="22"/>
                          <w:szCs w:val="22"/>
                        </w:rPr>
                        <w:t>With leadership training, grant-funding and expertise from PJSI, we were able to conduct hearings by video. Not</w:t>
                      </w:r>
                      <w:r>
                        <w:rPr>
                          <w:rFonts w:cstheme="minorHAnsi"/>
                          <w:i/>
                          <w:color w:val="000000"/>
                          <w:sz w:val="22"/>
                          <w:szCs w:val="22"/>
                        </w:rPr>
                        <w:t xml:space="preserve"> only has this reduced the cost and </w:t>
                      </w:r>
                      <w:r w:rsidRPr="007B7B44">
                        <w:rPr>
                          <w:rFonts w:cstheme="minorHAnsi"/>
                          <w:i/>
                          <w:color w:val="000000"/>
                          <w:sz w:val="22"/>
                          <w:szCs w:val="22"/>
                        </w:rPr>
                        <w:t>time, but it has also enabled the elderly, disabled and traumatised victims to access court and for us to remain ‘open’ during the COVID-19 pandemic.</w:t>
                      </w:r>
                    </w:p>
                    <w:p w14:paraId="17DA98C1" w14:textId="1C58E202" w:rsidR="00CA4E85" w:rsidRPr="00C0419F" w:rsidRDefault="00CA4E85" w:rsidP="00776167">
                      <w:pPr>
                        <w:autoSpaceDE w:val="0"/>
                        <w:autoSpaceDN w:val="0"/>
                        <w:adjustRightInd w:val="0"/>
                        <w:spacing w:before="120" w:after="120"/>
                        <w:ind w:left="142"/>
                        <w:jc w:val="right"/>
                        <w:rPr>
                          <w:rFonts w:eastAsiaTheme="minorEastAsia" w:cstheme="minorHAnsi"/>
                          <w:b/>
                          <w:i/>
                          <w:sz w:val="20"/>
                          <w:szCs w:val="20"/>
                          <w:lang w:eastAsia="ja-JP"/>
                        </w:rPr>
                      </w:pPr>
                      <w:r w:rsidRPr="004D3A02">
                        <w:rPr>
                          <w:rFonts w:cstheme="minorHAnsi"/>
                          <w:b/>
                          <w:i/>
                          <w:sz w:val="20"/>
                          <w:szCs w:val="20"/>
                        </w:rPr>
                        <w:t>Associate Justice Rudimch</w:t>
                      </w:r>
                    </w:p>
                  </w:txbxContent>
                </v:textbox>
                <w10:wrap type="topAndBottom" anchorx="margin"/>
              </v:shape>
            </w:pict>
          </mc:Fallback>
        </mc:AlternateContent>
      </w:r>
      <w:r w:rsidR="00653652" w:rsidRPr="00CE6782">
        <w:rPr>
          <w:noProof/>
          <w:sz w:val="22"/>
          <w:szCs w:val="22"/>
          <w:lang w:val="en-AU"/>
        </w:rPr>
        <mc:AlternateContent>
          <mc:Choice Requires="wps">
            <w:drawing>
              <wp:anchor distT="0" distB="0" distL="114300" distR="114300" simplePos="0" relativeHeight="251654656" behindDoc="0" locked="0" layoutInCell="1" allowOverlap="1" wp14:anchorId="42B1F3D0" wp14:editId="0C833DBB">
                <wp:simplePos x="0" y="0"/>
                <wp:positionH relativeFrom="margin">
                  <wp:align>left</wp:align>
                </wp:positionH>
                <wp:positionV relativeFrom="paragraph">
                  <wp:posOffset>2425065</wp:posOffset>
                </wp:positionV>
                <wp:extent cx="1666875" cy="285750"/>
                <wp:effectExtent l="0" t="0" r="9525" b="0"/>
                <wp:wrapSquare wrapText="bothSides"/>
                <wp:docPr id="4754" name="Text Box 4754"/>
                <wp:cNvGraphicFramePr/>
                <a:graphic xmlns:a="http://schemas.openxmlformats.org/drawingml/2006/main">
                  <a:graphicData uri="http://schemas.microsoft.com/office/word/2010/wordprocessingShape">
                    <wps:wsp>
                      <wps:cNvSpPr txBox="1"/>
                      <wps:spPr>
                        <a:xfrm>
                          <a:off x="0" y="0"/>
                          <a:ext cx="1666875" cy="285750"/>
                        </a:xfrm>
                        <a:prstGeom prst="rect">
                          <a:avLst/>
                        </a:prstGeom>
                        <a:solidFill>
                          <a:prstClr val="white"/>
                        </a:solidFill>
                        <a:ln>
                          <a:noFill/>
                        </a:ln>
                      </wps:spPr>
                      <wps:txbx>
                        <w:txbxContent>
                          <w:p w14:paraId="565CE856" w14:textId="2F9BED8E" w:rsidR="00CA4E85" w:rsidRPr="00415AEA" w:rsidRDefault="00CA4E85" w:rsidP="008F2CB8">
                            <w:pPr>
                              <w:pStyle w:val="Caption"/>
                              <w:rPr>
                                <w:rFonts w:eastAsiaTheme="minorHAnsi"/>
                                <w:i w:val="0"/>
                                <w:noProof/>
                                <w:color w:val="auto"/>
                              </w:rPr>
                            </w:pPr>
                            <w:r w:rsidRPr="00415AEA">
                              <w:rPr>
                                <w:i w:val="0"/>
                                <w:color w:val="auto"/>
                              </w:rPr>
                              <w:t>Figure 7: Six Human Rights Checklists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1F3D0" id="Text Box 4754" o:spid="_x0000_s1043" type="#_x0000_t202" style="position:absolute;margin-left:0;margin-top:190.95pt;width:131.25pt;height:22.5pt;z-index:251654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TX/NgIAAG4EAAAOAAAAZHJzL2Uyb0RvYy54bWysVE2P2jAQvVfqf7B8LwG0fCgirCgrqkpo&#10;dyWo9mwcm1hyPK5tSOiv79gh0G57qnoxk5nxjN97Mywe21qTs3BegSnoaDCkRBgOpTLHgn7bbz7N&#10;KfGBmZJpMKKgF+Hp4/Ljh0VjczGGCnQpHMEixueNLWgVgs2zzPNK1MwPwAqDQQmuZgE/3TErHWuw&#10;eq2z8XA4zRpwpXXAhffofeqCdJnqSyl4eJHSi0B0QfFtIZ0unYd4ZssFy4+O2Urx6zPYP7yiZspg&#10;01upJxYYOTn1R6lacQceZBhwqDOQUnGRMCCa0fAdml3FrEhYkBxvbzT5/1eWP59fHVFlQR9mkwdK&#10;DKtRpb1oA/kMLUlO5KixPsfUncXk0GIEtY7cRb9HZ4TeSlfHXwRFMI5sX24Mx3o8XppOp/PZhBKO&#10;sfF8MpskCbL7bet8+CKgJtEoqEMFE7HsvPUBO2JqnxKbedCq3Cit40cMrLUjZ4ZqN5UKIr4Rb/yW&#10;pU3MNRBvdeHoye5QohXaQ5toGc16nAcoLwjfQTdE3vKNwoZb5sMrczg1iBg3IbzgITU0BYWrRUkF&#10;7sff/DEfxcQoJQ1OYUH99xNzghL91aDMcWR7w/XGoTfMqV4DQh3hjlmeTLzggu5N6aB+wwVZxS4Y&#10;YoZjr4KG3lyHbhdwwbhYrVISDqZlYWt2lsfSPbH79o05e5UloKDP0M8ny9+p0+V2NK9OAaRK0kVi&#10;OxavfONQJ32uCxi35tfvlHX/m1j+BAAA//8DAFBLAwQUAAYACAAAACEAR+nvWN8AAAAIAQAADwAA&#10;AGRycy9kb3ducmV2LnhtbEyPwU7DMBBE70j8g7VIXBB1aiBqQzYVtHArh5aqZzdekoh4HcVOk/49&#10;5gTH0Yxm3uSrybbiTL1vHCPMZwkI4tKZhiuEw+f7/QKED5qNbh0TwoU8rIrrq1xnxo28o/M+VCKW&#10;sM80Qh1Cl0npy5qs9jPXEUfvy/VWhyj7Sppej7HctlIlSSqtbjgu1LqjdU3l936wCOmmH8Ydr+82&#10;h7et/ugqdXy9HBFvb6aXZxCBpvAXhl/8iA5FZDq5gY0XLUI8EhAeFvMliGirVD2BOCE8qnQJssjl&#10;/wPFDwAAAP//AwBQSwECLQAUAAYACAAAACEAtoM4kv4AAADhAQAAEwAAAAAAAAAAAAAAAAAAAAAA&#10;W0NvbnRlbnRfVHlwZXNdLnhtbFBLAQItABQABgAIAAAAIQA4/SH/1gAAAJQBAAALAAAAAAAAAAAA&#10;AAAAAC8BAABfcmVscy8ucmVsc1BLAQItABQABgAIAAAAIQBbKTX/NgIAAG4EAAAOAAAAAAAAAAAA&#10;AAAAAC4CAABkcnMvZTJvRG9jLnhtbFBLAQItABQABgAIAAAAIQBH6e9Y3wAAAAgBAAAPAAAAAAAA&#10;AAAAAAAAAJAEAABkcnMvZG93bnJldi54bWxQSwUGAAAAAAQABADzAAAAnAUAAAAA&#10;" stroked="f">
                <v:textbox inset="0,0,0,0">
                  <w:txbxContent>
                    <w:p w14:paraId="565CE856" w14:textId="2F9BED8E" w:rsidR="00CA4E85" w:rsidRPr="00415AEA" w:rsidRDefault="00CA4E85" w:rsidP="008F2CB8">
                      <w:pPr>
                        <w:pStyle w:val="Caption"/>
                        <w:rPr>
                          <w:rFonts w:eastAsiaTheme="minorHAnsi"/>
                          <w:i w:val="0"/>
                          <w:noProof/>
                          <w:color w:val="auto"/>
                        </w:rPr>
                      </w:pPr>
                      <w:r w:rsidRPr="00415AEA">
                        <w:rPr>
                          <w:i w:val="0"/>
                          <w:color w:val="auto"/>
                        </w:rPr>
                        <w:t>Figure 7: Six Human Rights Checklists</w:t>
                      </w:r>
                    </w:p>
                  </w:txbxContent>
                </v:textbox>
                <w10:wrap type="square" anchorx="margin"/>
              </v:shape>
            </w:pict>
          </mc:Fallback>
        </mc:AlternateContent>
      </w:r>
      <w:r w:rsidRPr="00CE6782">
        <w:rPr>
          <w:rFonts w:eastAsiaTheme="minorHAnsi" w:cstheme="minorBidi"/>
          <w:noProof/>
          <w:sz w:val="22"/>
          <w:szCs w:val="22"/>
          <w:lang w:val="en-AU"/>
        </w:rPr>
        <w:drawing>
          <wp:anchor distT="0" distB="0" distL="114300" distR="114300" simplePos="0" relativeHeight="251685376" behindDoc="1" locked="0" layoutInCell="1" allowOverlap="1" wp14:anchorId="49167E8B" wp14:editId="21E3E722">
            <wp:simplePos x="0" y="0"/>
            <wp:positionH relativeFrom="margin">
              <wp:posOffset>1905</wp:posOffset>
            </wp:positionH>
            <wp:positionV relativeFrom="paragraph">
              <wp:posOffset>105410</wp:posOffset>
            </wp:positionV>
            <wp:extent cx="1628775" cy="2313305"/>
            <wp:effectExtent l="76200" t="95250" r="85725" b="86995"/>
            <wp:wrapThrough wrapText="bothSides">
              <wp:wrapPolygon edited="0">
                <wp:start x="-1011" y="-889"/>
                <wp:lineTo x="-1011" y="22234"/>
                <wp:lineTo x="22484" y="22234"/>
                <wp:lineTo x="22484" y="-889"/>
                <wp:lineTo x="-1011" y="-889"/>
              </wp:wrapPolygon>
            </wp:wrapThrough>
            <wp:docPr id="4753" name="Picture 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3" name="Cover - HR Checklist 1.PNG"/>
                    <pic:cNvPicPr/>
                  </pic:nvPicPr>
                  <pic:blipFill>
                    <a:blip r:embed="rId70">
                      <a:extLst>
                        <a:ext uri="{28A0092B-C50C-407E-A947-70E740481C1C}">
                          <a14:useLocalDpi xmlns:a14="http://schemas.microsoft.com/office/drawing/2010/main" val="0"/>
                        </a:ext>
                      </a:extLst>
                    </a:blip>
                    <a:stretch>
                      <a:fillRect/>
                    </a:stretch>
                  </pic:blipFill>
                  <pic:spPr>
                    <a:xfrm>
                      <a:off x="0" y="0"/>
                      <a:ext cx="1628775" cy="231330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F54DE" w:rsidRPr="00CE6782">
        <w:rPr>
          <w:sz w:val="22"/>
          <w:szCs w:val="22"/>
          <w:lang w:val="en-AU"/>
        </w:rPr>
        <w:t>Judicial and court officers in Tonga, Solomon Islands, Kiribati</w:t>
      </w:r>
      <w:r w:rsidR="004B0A80">
        <w:rPr>
          <w:sz w:val="22"/>
          <w:szCs w:val="22"/>
          <w:lang w:val="en-AU"/>
        </w:rPr>
        <w:t>, Samoa, Vanuatu</w:t>
      </w:r>
      <w:r w:rsidR="009F54DE" w:rsidRPr="00CE6782">
        <w:rPr>
          <w:sz w:val="22"/>
          <w:szCs w:val="22"/>
          <w:lang w:val="en-AU"/>
        </w:rPr>
        <w:t xml:space="preserve"> and PNG know and understand applicable international and constitutional human rights standards. Chief Justices understand the specific human rights issues afflicting their country and are taking action to address them. This includes detention of juveniles, arbitrary detention and high numbers of remandees (Solomon Islands) and persecution of LGBTIQ communities (PNG). There are demonstrable increases in the application of standards in day-to-day performance</w:t>
      </w:r>
      <w:r w:rsidR="004757C9" w:rsidRPr="00CE6782">
        <w:rPr>
          <w:sz w:val="22"/>
          <w:szCs w:val="22"/>
          <w:lang w:val="en-AU"/>
        </w:rPr>
        <w:t>,</w:t>
      </w:r>
      <w:r w:rsidR="009F54DE" w:rsidRPr="00CE6782">
        <w:rPr>
          <w:rStyle w:val="FootnoteReference"/>
          <w:sz w:val="22"/>
          <w:szCs w:val="22"/>
          <w:lang w:val="en-AU"/>
        </w:rPr>
        <w:footnoteReference w:id="10"/>
      </w:r>
      <w:r w:rsidR="004757C9" w:rsidRPr="00CE6782">
        <w:rPr>
          <w:sz w:val="22"/>
          <w:szCs w:val="22"/>
          <w:lang w:val="en-AU"/>
        </w:rPr>
        <w:t xml:space="preserve"> </w:t>
      </w:r>
      <w:r w:rsidR="009F54DE" w:rsidRPr="00CE6782">
        <w:rPr>
          <w:sz w:val="22"/>
          <w:szCs w:val="22"/>
          <w:lang w:val="en-AU"/>
        </w:rPr>
        <w:t>including use of PJSI</w:t>
      </w:r>
      <w:r w:rsidR="006A1B21" w:rsidRPr="00CE6782">
        <w:rPr>
          <w:sz w:val="22"/>
          <w:szCs w:val="22"/>
          <w:lang w:val="en-AU"/>
        </w:rPr>
        <w:t>’</w:t>
      </w:r>
      <w:r w:rsidR="004757C9" w:rsidRPr="00CE6782">
        <w:rPr>
          <w:sz w:val="22"/>
          <w:szCs w:val="22"/>
          <w:lang w:val="en-AU"/>
        </w:rPr>
        <w:t>s Human Rights Checklists</w:t>
      </w:r>
      <w:r w:rsidR="009F54DE" w:rsidRPr="00CE6782">
        <w:rPr>
          <w:sz w:val="22"/>
          <w:szCs w:val="22"/>
          <w:lang w:val="en-AU"/>
        </w:rPr>
        <w:t>. There are also observable increases in judicial and court officers explaining and assisting court users with court processes.</w:t>
      </w:r>
      <w:r w:rsidR="009F54DE" w:rsidRPr="00CE6782">
        <w:rPr>
          <w:rStyle w:val="FootnoteReference"/>
          <w:sz w:val="22"/>
          <w:szCs w:val="22"/>
          <w:lang w:val="en-AU"/>
        </w:rPr>
        <w:footnoteReference w:id="11"/>
      </w:r>
      <w:r w:rsidR="009F54DE" w:rsidRPr="00CE6782">
        <w:rPr>
          <w:sz w:val="22"/>
          <w:szCs w:val="22"/>
          <w:lang w:val="en-AU"/>
        </w:rPr>
        <w:t xml:space="preserve"> This includes providing information, assisting with form filling, navigating facilities, assisting people with disabilities and providing referrals to other support services (particularly in GFV cases). Partner Courts have also increased outr</w:t>
      </w:r>
      <w:r w:rsidR="004757C9" w:rsidRPr="00CE6782">
        <w:rPr>
          <w:sz w:val="22"/>
          <w:szCs w:val="22"/>
          <w:lang w:val="en-AU"/>
        </w:rPr>
        <w:t xml:space="preserve">each through community outreach and </w:t>
      </w:r>
      <w:r w:rsidR="009F54DE" w:rsidRPr="00CE6782">
        <w:rPr>
          <w:sz w:val="22"/>
          <w:szCs w:val="22"/>
          <w:lang w:val="en-AU"/>
        </w:rPr>
        <w:t>awareness raising activities and visits to prisons (PNG, Tonga). Human rights-based considerations have been incorporated into strategic planning, infrastructure developments and resource allocation, and sentencing guidelines have been drafted to assist judicial officers (Vanuatu, Tonga).</w:t>
      </w:r>
      <w:r w:rsidR="00F061AB" w:rsidRPr="00CE6782">
        <w:rPr>
          <w:sz w:val="22"/>
          <w:szCs w:val="22"/>
          <w:lang w:val="en-AU"/>
        </w:rPr>
        <w:t xml:space="preserve"> </w:t>
      </w:r>
      <w:r w:rsidR="009F54DE" w:rsidRPr="00CE6782">
        <w:rPr>
          <w:sz w:val="22"/>
          <w:szCs w:val="22"/>
          <w:lang w:val="en-AU"/>
        </w:rPr>
        <w:t>Counterparts in the Solomon Islands, Tonga and PNG reported that the most significant change resulting from PJSIs</w:t>
      </w:r>
      <w:r w:rsidR="00F061AB" w:rsidRPr="00CE6782">
        <w:rPr>
          <w:sz w:val="22"/>
          <w:szCs w:val="22"/>
          <w:lang w:val="en-AU"/>
        </w:rPr>
        <w:t xml:space="preserve"> </w:t>
      </w:r>
      <w:r w:rsidR="009F54DE" w:rsidRPr="00CE6782">
        <w:rPr>
          <w:sz w:val="22"/>
          <w:szCs w:val="22"/>
          <w:lang w:val="en-AU"/>
        </w:rPr>
        <w:t>assistance related to improvements in the court’s assistance to victims of family and sexual violence, juveniles, people with disabilities (Tonga) and unrepresented litigants.</w:t>
      </w:r>
    </w:p>
    <w:p w14:paraId="425F6680" w14:textId="77777777" w:rsidR="004D3A02" w:rsidRDefault="004D3A02" w:rsidP="00FA5910">
      <w:pPr>
        <w:spacing w:before="40" w:after="160"/>
        <w:rPr>
          <w:rFonts w:cs="CKBUWN+Optima-Regular"/>
          <w:b/>
          <w:color w:val="000000"/>
          <w:sz w:val="22"/>
          <w:szCs w:val="22"/>
          <w:lang w:val="en-AU"/>
        </w:rPr>
      </w:pPr>
    </w:p>
    <w:p w14:paraId="3C855F47" w14:textId="4F852814" w:rsidR="00304944" w:rsidRDefault="00AA5222" w:rsidP="00FA5910">
      <w:pPr>
        <w:spacing w:before="40" w:after="160"/>
        <w:rPr>
          <w:rFonts w:cs="CKBUWN+Optima-Regular"/>
          <w:color w:val="000000"/>
          <w:sz w:val="22"/>
          <w:szCs w:val="22"/>
          <w:lang w:val="en-AU"/>
        </w:rPr>
      </w:pPr>
      <w:r w:rsidRPr="00CE6782">
        <w:rPr>
          <w:rFonts w:cstheme="minorHAnsi"/>
          <w:noProof/>
          <w:sz w:val="22"/>
          <w:szCs w:val="22"/>
          <w:lang w:val="en-AU"/>
        </w:rPr>
        <w:lastRenderedPageBreak/>
        <w:drawing>
          <wp:anchor distT="0" distB="0" distL="114300" distR="114300" simplePos="0" relativeHeight="251625984" behindDoc="1" locked="0" layoutInCell="1" allowOverlap="1" wp14:anchorId="539CE745" wp14:editId="3F26BFAB">
            <wp:simplePos x="0" y="0"/>
            <wp:positionH relativeFrom="margin">
              <wp:align>right</wp:align>
            </wp:positionH>
            <wp:positionV relativeFrom="paragraph">
              <wp:posOffset>0</wp:posOffset>
            </wp:positionV>
            <wp:extent cx="5817600" cy="720000"/>
            <wp:effectExtent l="0" t="0" r="12065" b="4445"/>
            <wp:wrapTopAndBottom/>
            <wp:docPr id="132" name="Diagram 1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14:sizeRelH relativeFrom="margin">
              <wp14:pctWidth>0</wp14:pctWidth>
            </wp14:sizeRelH>
            <wp14:sizeRelV relativeFrom="margin">
              <wp14:pctHeight>0</wp14:pctHeight>
            </wp14:sizeRelV>
          </wp:anchor>
        </w:drawing>
      </w:r>
      <w:r w:rsidR="006F4812" w:rsidRPr="00B76B17">
        <w:rPr>
          <w:rFonts w:cs="CKBUWN+Optima-Regular"/>
          <w:b/>
          <w:color w:val="000000"/>
          <w:sz w:val="22"/>
          <w:szCs w:val="22"/>
          <w:lang w:val="en-AU"/>
        </w:rPr>
        <w:t xml:space="preserve">The performance of nine courts in six </w:t>
      </w:r>
      <w:r w:rsidR="00E70C59" w:rsidRPr="00CD02E0">
        <w:rPr>
          <w:b/>
          <w:sz w:val="22"/>
          <w:szCs w:val="22"/>
          <w:lang w:val="en-AU"/>
        </w:rPr>
        <w:t>Partner Courts</w:t>
      </w:r>
      <w:r w:rsidR="00E70C59" w:rsidRPr="00B76B17" w:rsidDel="00FA7421">
        <w:rPr>
          <w:sz w:val="22"/>
          <w:szCs w:val="22"/>
          <w:lang w:val="en-AU"/>
        </w:rPr>
        <w:t xml:space="preserve"> </w:t>
      </w:r>
      <w:r w:rsidR="006F4812" w:rsidRPr="00B76B17">
        <w:rPr>
          <w:rFonts w:cs="CKBUWN+Optima-Regular"/>
          <w:b/>
          <w:color w:val="000000"/>
          <w:sz w:val="22"/>
          <w:szCs w:val="22"/>
          <w:lang w:val="en-AU"/>
        </w:rPr>
        <w:t>has impro</w:t>
      </w:r>
      <w:r w:rsidR="00FA5910" w:rsidRPr="00B76B17">
        <w:rPr>
          <w:rFonts w:cs="CKBUWN+Optima-Regular"/>
          <w:b/>
          <w:color w:val="000000"/>
          <w:sz w:val="22"/>
          <w:szCs w:val="22"/>
          <w:lang w:val="en-AU"/>
        </w:rPr>
        <w:t xml:space="preserve">ved </w:t>
      </w:r>
      <w:r w:rsidR="00FA5910" w:rsidRPr="00CD02E0">
        <w:rPr>
          <w:rFonts w:cs="CKBUWN+Optima-Regular"/>
          <w:color w:val="000000"/>
          <w:sz w:val="22"/>
          <w:szCs w:val="22"/>
          <w:lang w:val="en-AU"/>
        </w:rPr>
        <w:t>against PJSIs 2016 baseline</w:t>
      </w:r>
      <w:r w:rsidR="00FA5910" w:rsidRPr="00B76B17">
        <w:rPr>
          <w:rFonts w:cs="CKBUWN+Optima-Regular"/>
          <w:b/>
          <w:color w:val="000000"/>
          <w:sz w:val="22"/>
          <w:szCs w:val="22"/>
          <w:lang w:val="en-AU"/>
        </w:rPr>
        <w:t xml:space="preserve"> </w:t>
      </w:r>
      <w:r w:rsidR="00FA5910" w:rsidRPr="00B76B17">
        <w:rPr>
          <w:rFonts w:cs="CKBUWN+Optima-Regular"/>
          <w:color w:val="000000"/>
          <w:sz w:val="22"/>
          <w:szCs w:val="22"/>
          <w:lang w:val="en-AU"/>
        </w:rPr>
        <w:t>- FSM, RMI, Palau, Samoa, Tonga and Vanuatu.</w:t>
      </w:r>
      <w:r w:rsidR="006F4812" w:rsidRPr="00B76B17">
        <w:rPr>
          <w:rFonts w:cs="CKBUWN+Optima-Regular"/>
          <w:b/>
          <w:color w:val="000000"/>
          <w:sz w:val="22"/>
          <w:szCs w:val="22"/>
          <w:lang w:val="en-AU"/>
        </w:rPr>
        <w:t xml:space="preserve"> </w:t>
      </w:r>
      <w:r w:rsidR="006F4812" w:rsidRPr="00B76B17">
        <w:rPr>
          <w:rFonts w:cs="CKBUWN+Optima-Regular"/>
          <w:color w:val="000000"/>
          <w:sz w:val="22"/>
          <w:szCs w:val="22"/>
          <w:lang w:val="en-AU"/>
        </w:rPr>
        <w:t xml:space="preserve">The performance of courts in three </w:t>
      </w:r>
      <w:r w:rsidR="00E70C59" w:rsidRPr="00B76B17">
        <w:rPr>
          <w:sz w:val="22"/>
          <w:szCs w:val="22"/>
          <w:lang w:val="en-AU"/>
        </w:rPr>
        <w:t>Partner Courts</w:t>
      </w:r>
      <w:r w:rsidR="00E70C59" w:rsidRPr="00B76B17" w:rsidDel="00FA7421">
        <w:rPr>
          <w:sz w:val="22"/>
          <w:szCs w:val="22"/>
          <w:lang w:val="en-AU"/>
        </w:rPr>
        <w:t xml:space="preserve"> </w:t>
      </w:r>
      <w:r w:rsidR="006F4812" w:rsidRPr="00B76B17">
        <w:rPr>
          <w:rFonts w:cs="CKBUWN+Optima-Regular"/>
          <w:color w:val="000000"/>
          <w:sz w:val="22"/>
          <w:szCs w:val="22"/>
          <w:lang w:val="en-AU"/>
        </w:rPr>
        <w:t>also stabilised during this time</w:t>
      </w:r>
      <w:r w:rsidR="00FA5910" w:rsidRPr="00B76B17">
        <w:rPr>
          <w:rFonts w:cs="CKBUWN+Optima-Regular"/>
          <w:color w:val="000000"/>
          <w:sz w:val="22"/>
          <w:szCs w:val="22"/>
          <w:lang w:val="en-AU"/>
        </w:rPr>
        <w:t xml:space="preserve"> – RMI, PNG, Vanuatu</w:t>
      </w:r>
      <w:r w:rsidR="006F4812" w:rsidRPr="00B76B17">
        <w:rPr>
          <w:rFonts w:cs="CKBUWN+Optima-Regular"/>
          <w:color w:val="000000"/>
          <w:sz w:val="22"/>
          <w:szCs w:val="22"/>
          <w:lang w:val="en-AU"/>
        </w:rPr>
        <w:t>. Court performance was measured by reference to</w:t>
      </w:r>
      <w:r w:rsidR="00B4667C" w:rsidRPr="00B76B17">
        <w:rPr>
          <w:rFonts w:cs="CKBUWN+Optima-Regular"/>
          <w:color w:val="000000"/>
          <w:sz w:val="22"/>
          <w:szCs w:val="22"/>
          <w:lang w:val="en-AU"/>
        </w:rPr>
        <w:t xml:space="preserve"> improvements in </w:t>
      </w:r>
      <w:r w:rsidR="006F4812" w:rsidRPr="00B76B17">
        <w:rPr>
          <w:rFonts w:cs="CKBUWN+Optima-Regular"/>
          <w:color w:val="000000"/>
          <w:sz w:val="22"/>
          <w:szCs w:val="22"/>
          <w:lang w:val="en-AU"/>
        </w:rPr>
        <w:t xml:space="preserve">average </w:t>
      </w:r>
      <w:r w:rsidR="00FA5910" w:rsidRPr="00B76B17">
        <w:rPr>
          <w:rFonts w:cs="CKBUWN+Optima-Regular"/>
          <w:color w:val="000000"/>
          <w:sz w:val="22"/>
          <w:szCs w:val="22"/>
          <w:lang w:val="en-AU"/>
        </w:rPr>
        <w:t xml:space="preserve">case </w:t>
      </w:r>
      <w:r w:rsidR="006F4812" w:rsidRPr="00B76B17">
        <w:rPr>
          <w:rFonts w:cs="CKBUWN+Optima-Regular"/>
          <w:color w:val="000000"/>
          <w:sz w:val="22"/>
          <w:szCs w:val="22"/>
          <w:lang w:val="en-AU"/>
        </w:rPr>
        <w:t>clearance rates;</w:t>
      </w:r>
      <w:r w:rsidR="006F4812" w:rsidRPr="00B76B17">
        <w:rPr>
          <w:sz w:val="22"/>
          <w:szCs w:val="22"/>
          <w:lang w:val="en-AU"/>
        </w:rPr>
        <w:t xml:space="preserve"> c</w:t>
      </w:r>
      <w:r w:rsidR="006F4812" w:rsidRPr="00B76B17">
        <w:rPr>
          <w:rFonts w:cs="CKBUWN+Optima-Regular"/>
          <w:color w:val="000000"/>
          <w:sz w:val="22"/>
          <w:szCs w:val="22"/>
          <w:lang w:val="en-AU"/>
        </w:rPr>
        <w:t>ase disposal time</w:t>
      </w:r>
      <w:r w:rsidR="006F4812" w:rsidRPr="00B76B17">
        <w:rPr>
          <w:sz w:val="22"/>
          <w:szCs w:val="22"/>
          <w:lang w:val="en-AU"/>
        </w:rPr>
        <w:t>; a</w:t>
      </w:r>
      <w:r w:rsidR="006F4812" w:rsidRPr="00B76B17">
        <w:rPr>
          <w:rFonts w:cs="CKBUWN+Optima-Regular"/>
          <w:color w:val="000000"/>
          <w:sz w:val="22"/>
          <w:szCs w:val="22"/>
          <w:lang w:val="en-AU"/>
        </w:rPr>
        <w:t>ttendance rates</w:t>
      </w:r>
      <w:r w:rsidR="006F4812" w:rsidRPr="00B76B17">
        <w:rPr>
          <w:sz w:val="22"/>
          <w:szCs w:val="22"/>
          <w:lang w:val="en-AU"/>
        </w:rPr>
        <w:t>; p</w:t>
      </w:r>
      <w:r w:rsidR="006F4812" w:rsidRPr="00B76B17">
        <w:rPr>
          <w:rFonts w:cs="CKBUWN+Optima-Regular"/>
          <w:color w:val="000000"/>
          <w:sz w:val="22"/>
          <w:szCs w:val="22"/>
          <w:lang w:val="en-AU"/>
        </w:rPr>
        <w:t xml:space="preserve">ending case rates; and </w:t>
      </w:r>
      <w:r w:rsidR="006F4812" w:rsidRPr="00B76B17">
        <w:rPr>
          <w:sz w:val="22"/>
          <w:szCs w:val="22"/>
          <w:lang w:val="en-AU"/>
        </w:rPr>
        <w:t>t</w:t>
      </w:r>
      <w:r w:rsidR="006F4812" w:rsidRPr="00B76B17">
        <w:rPr>
          <w:rFonts w:cs="CKBUWN+Optima-Regular"/>
          <w:color w:val="000000"/>
          <w:sz w:val="22"/>
          <w:szCs w:val="22"/>
          <w:lang w:val="en-AU"/>
        </w:rPr>
        <w:t xml:space="preserve">he ratio between pending and disposed cases. </w:t>
      </w:r>
    </w:p>
    <w:p w14:paraId="58177D45" w14:textId="1C5D4F3C" w:rsidR="00CA3567" w:rsidRDefault="00CA3567" w:rsidP="00CA3567">
      <w:pPr>
        <w:spacing w:before="40" w:after="160"/>
        <w:rPr>
          <w:rFonts w:cs="CKBUWN+Optima-Regular"/>
          <w:color w:val="000000"/>
          <w:sz w:val="22"/>
          <w:szCs w:val="22"/>
          <w:lang w:val="en-AU"/>
        </w:rPr>
      </w:pPr>
      <w:r>
        <w:rPr>
          <w:rFonts w:cs="CKBUWN+Optima-Regular"/>
          <w:b/>
          <w:bCs/>
          <w:color w:val="000000"/>
          <w:sz w:val="22"/>
          <w:szCs w:val="22"/>
          <w:lang w:val="en-AU"/>
        </w:rPr>
        <w:t xml:space="preserve">Four </w:t>
      </w:r>
      <w:r w:rsidRPr="00BF0639">
        <w:rPr>
          <w:rFonts w:cs="CKBUWN+Optima-Regular"/>
          <w:b/>
          <w:bCs/>
          <w:color w:val="000000"/>
          <w:sz w:val="22"/>
          <w:szCs w:val="22"/>
          <w:lang w:val="en-AU"/>
        </w:rPr>
        <w:t xml:space="preserve">Partner Courts have transformed or </w:t>
      </w:r>
      <w:r>
        <w:rPr>
          <w:rFonts w:cs="CKBUWN+Optima-Regular"/>
          <w:b/>
          <w:bCs/>
          <w:color w:val="000000"/>
          <w:sz w:val="22"/>
          <w:szCs w:val="22"/>
          <w:lang w:val="en-AU"/>
        </w:rPr>
        <w:t xml:space="preserve">made </w:t>
      </w:r>
      <w:r w:rsidRPr="00642D42">
        <w:rPr>
          <w:rFonts w:cs="CKBUWN+Optima-Regular"/>
          <w:b/>
          <w:bCs/>
          <w:color w:val="000000"/>
          <w:sz w:val="22"/>
          <w:szCs w:val="22"/>
          <w:lang w:val="en-AU"/>
        </w:rPr>
        <w:t>significant</w:t>
      </w:r>
      <w:r w:rsidRPr="00BF0639">
        <w:rPr>
          <w:rFonts w:cs="CKBUWN+Optima-Regular"/>
          <w:b/>
          <w:bCs/>
          <w:color w:val="000000"/>
          <w:sz w:val="22"/>
          <w:szCs w:val="22"/>
          <w:lang w:val="en-AU"/>
        </w:rPr>
        <w:t xml:space="preserve"> improve</w:t>
      </w:r>
      <w:r>
        <w:rPr>
          <w:rFonts w:cs="CKBUWN+Optima-Regular"/>
          <w:b/>
          <w:bCs/>
          <w:color w:val="000000"/>
          <w:sz w:val="22"/>
          <w:szCs w:val="22"/>
          <w:lang w:val="en-AU"/>
        </w:rPr>
        <w:t>ments to</w:t>
      </w:r>
      <w:r w:rsidRPr="00BF0639">
        <w:rPr>
          <w:rFonts w:cs="CKBUWN+Optima-Regular"/>
          <w:b/>
          <w:bCs/>
          <w:color w:val="000000"/>
          <w:sz w:val="22"/>
          <w:szCs w:val="22"/>
          <w:lang w:val="en-AU"/>
        </w:rPr>
        <w:t xml:space="preserve"> their efficiency</w:t>
      </w:r>
      <w:r>
        <w:rPr>
          <w:rFonts w:cs="CKBUWN+Optima-Regular"/>
          <w:color w:val="000000"/>
          <w:sz w:val="22"/>
          <w:szCs w:val="22"/>
          <w:lang w:val="en-AU"/>
        </w:rPr>
        <w:t xml:space="preserve"> in order to guarantee a fair trial in a reas</w:t>
      </w:r>
      <w:r w:rsidR="004757C9">
        <w:rPr>
          <w:rFonts w:cs="CKBUWN+Optima-Regular"/>
          <w:color w:val="000000"/>
          <w:sz w:val="22"/>
          <w:szCs w:val="22"/>
          <w:lang w:val="en-AU"/>
        </w:rPr>
        <w:t>onable time (Palau, Nauru, Niue</w:t>
      </w:r>
      <w:r>
        <w:rPr>
          <w:rFonts w:cs="CKBUWN+Optima-Regular"/>
          <w:color w:val="000000"/>
          <w:sz w:val="22"/>
          <w:szCs w:val="22"/>
          <w:lang w:val="en-AU"/>
        </w:rPr>
        <w:t xml:space="preserve"> and PNG</w:t>
      </w:r>
      <w:r w:rsidR="004757C9">
        <w:rPr>
          <w:rFonts w:cs="CKBUWN+Optima-Regular"/>
          <w:color w:val="000000"/>
          <w:sz w:val="22"/>
          <w:szCs w:val="22"/>
          <w:lang w:val="en-AU"/>
        </w:rPr>
        <w:t>) by conducting an</w:t>
      </w:r>
      <w:r>
        <w:rPr>
          <w:rFonts w:cs="CKBUWN+Optima-Regular"/>
          <w:color w:val="000000"/>
          <w:sz w:val="22"/>
          <w:szCs w:val="22"/>
          <w:lang w:val="en-AU"/>
        </w:rPr>
        <w:t xml:space="preserve"> Efficiency Self-Assessment against seven key Efficiency Areas. These improvements include judges being more conscious of timeliness, firmer with counsel, less lenient with adjournments and generally more vigilant in preventing delay and backlog. These court have made, or are in the process of making, wide ranging improvements to procedures and processes to support efficient case flow, with some jurisdictions experiencing a significant reduction in delay, reduction in the number of cases pending and an increased focus on the timely delivery of reserve judgments. These efficiency improvements dovetail with related activities to generate and use Court Performance Reporting and Annual Reporting. </w:t>
      </w:r>
    </w:p>
    <w:p w14:paraId="30BBB3B2" w14:textId="6BD472A7" w:rsidR="002B5DCD" w:rsidRPr="000C2049" w:rsidRDefault="002B5DCD" w:rsidP="00FA5910">
      <w:pPr>
        <w:spacing w:before="40" w:after="160"/>
        <w:rPr>
          <w:rFonts w:cs="CKBUWN+Optima-Regular"/>
          <w:b/>
          <w:color w:val="000000"/>
          <w:sz w:val="22"/>
          <w:szCs w:val="22"/>
          <w:lang w:val="en-AU"/>
        </w:rPr>
      </w:pPr>
      <w:r>
        <w:rPr>
          <w:rFonts w:cs="CKBUWN+Optima-Regular"/>
          <w:b/>
          <w:color w:val="000000"/>
          <w:sz w:val="22"/>
          <w:szCs w:val="22"/>
          <w:lang w:val="en-AU"/>
        </w:rPr>
        <w:t>N</w:t>
      </w:r>
      <w:r w:rsidRPr="002B5DCD">
        <w:rPr>
          <w:rFonts w:cs="CKBUWN+Optima-Regular"/>
          <w:b/>
          <w:color w:val="000000"/>
          <w:sz w:val="22"/>
          <w:szCs w:val="22"/>
          <w:lang w:val="en-AU"/>
        </w:rPr>
        <w:t>early all Partner Courts were able to remain open during the pandemic</w:t>
      </w:r>
      <w:r>
        <w:rPr>
          <w:rFonts w:cs="CKBUWN+Optima-Regular"/>
          <w:color w:val="000000"/>
          <w:sz w:val="22"/>
          <w:szCs w:val="22"/>
          <w:lang w:val="en-AU"/>
        </w:rPr>
        <w:t>. PJSI supported Partner Courts with plans, policies, procedures, software and training enabling them to conduct proceedings remotely. This capacity will remain post-COVID enabling courts, parties and other stakeholders to benefit from the cost, time and other logistical efficiencies of remote proceedings.</w:t>
      </w:r>
    </w:p>
    <w:p w14:paraId="4D3F7698" w14:textId="6A14F476" w:rsidR="00183CA3" w:rsidRDefault="00653652" w:rsidP="00AA5222">
      <w:pPr>
        <w:spacing w:before="40" w:after="160"/>
        <w:rPr>
          <w:rFonts w:cs="CKBUWN+Optima-Regular"/>
          <w:color w:val="000000"/>
          <w:sz w:val="22"/>
          <w:szCs w:val="22"/>
          <w:lang w:val="en-AU"/>
        </w:rPr>
      </w:pPr>
      <w:r>
        <w:rPr>
          <w:noProof/>
          <w:lang w:val="en-AU"/>
        </w:rPr>
        <mc:AlternateContent>
          <mc:Choice Requires="wps">
            <w:drawing>
              <wp:anchor distT="0" distB="0" distL="114300" distR="114300" simplePos="0" relativeHeight="251677184" behindDoc="1" locked="0" layoutInCell="1" allowOverlap="1" wp14:anchorId="14D3C719" wp14:editId="4C93E56D">
                <wp:simplePos x="0" y="0"/>
                <wp:positionH relativeFrom="margin">
                  <wp:posOffset>2631440</wp:posOffset>
                </wp:positionH>
                <wp:positionV relativeFrom="paragraph">
                  <wp:posOffset>2084705</wp:posOffset>
                </wp:positionV>
                <wp:extent cx="3188335" cy="352425"/>
                <wp:effectExtent l="0" t="0" r="0" b="9525"/>
                <wp:wrapTight wrapText="bothSides">
                  <wp:wrapPolygon edited="0">
                    <wp:start x="0" y="0"/>
                    <wp:lineTo x="0" y="21016"/>
                    <wp:lineTo x="21424" y="21016"/>
                    <wp:lineTo x="21424"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3188335" cy="352425"/>
                        </a:xfrm>
                        <a:prstGeom prst="rect">
                          <a:avLst/>
                        </a:prstGeom>
                        <a:solidFill>
                          <a:prstClr val="white"/>
                        </a:solidFill>
                        <a:ln>
                          <a:noFill/>
                        </a:ln>
                      </wps:spPr>
                      <wps:txbx>
                        <w:txbxContent>
                          <w:p w14:paraId="2329AE89" w14:textId="422A0426" w:rsidR="00CA4E85" w:rsidRPr="00415AEA" w:rsidRDefault="00CA4E85" w:rsidP="00B21166">
                            <w:pPr>
                              <w:pStyle w:val="Caption"/>
                              <w:rPr>
                                <w:rFonts w:cstheme="minorHAnsi"/>
                                <w:i w:val="0"/>
                                <w:noProof/>
                                <w:color w:val="auto"/>
                              </w:rPr>
                            </w:pPr>
                            <w:r w:rsidRPr="00415AEA">
                              <w:rPr>
                                <w:i w:val="0"/>
                                <w:color w:val="auto"/>
                              </w:rPr>
                              <w:t>Figure 8</w:t>
                            </w:r>
                            <w:r>
                              <w:rPr>
                                <w:i w:val="0"/>
                                <w:color w:val="auto"/>
                              </w:rPr>
                              <w:t>:</w:t>
                            </w:r>
                            <w:r w:rsidRPr="00415AEA">
                              <w:rPr>
                                <w:i w:val="0"/>
                                <w:color w:val="auto"/>
                              </w:rPr>
                              <w:t xml:space="preserve"> Activity Preparation and Refresher Training-of-Trainer Workshops, Federated States of Micronesia, July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3C719" id="Text Box 34" o:spid="_x0000_s1044" type="#_x0000_t202" style="position:absolute;margin-left:207.2pt;margin-top:164.15pt;width:251.05pt;height:27.7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iBbMwIAAGoEAAAOAAAAZHJzL2Uyb0RvYy54bWysVE2P2yAQvVfqf0DcG+djU0VWnFWaVapK&#10;0e5KSbVngiFGwgwFEjv99R2wnd1ue6p6wcPMMPDem/Hyvq01uQjnFZiCTkZjSoThUCpzKuj3w/bT&#10;ghIfmCmZBiMKehWe3q8+flg2NhdTqECXwhEsYnze2IJWIdg8yzyvRM38CKwwGJTgahZw605Z6ViD&#10;1WudTcfjz1kDrrQOuPAevQ9dkK5SfSkFD09SehGILii+LaTVpfUY12y1ZPnJMVsp3j+D/cMraqYM&#10;Xnor9cACI2en/ihVK+7AgwwjDnUGUiouEgZEMxm/Q7OvmBUJC5Lj7Y0m///K8sfLsyOqLOjsjhLD&#10;atToINpAvkBL0IX8NNbnmLa3mBha9KPOg9+jM8JupavjFwERjCPT1xu7sRpH52yyWMxmc0o4xmbz&#10;6d10Hstkr6et8+GrgJpEo6AO1UukssvOhy51SImXedCq3Cqt4yYGNtqRC0Olm0oF0Rf/LUubmGsg&#10;nuoKRk8WIXZQohXaY5somSwGnEcorwjfQddA3vKtwgt3zIdn5rBjEDFOQXjCRWpoCgq9RUkF7uff&#10;/DEfhcQoJQ12YEH9jzNzghL9zaDEsV0Hww3GcTDMud4AQp3gfFmeTDzggh5M6aB+weFYx1swxAzH&#10;uwoaBnMTujnA4eJivU5J2JSWhZ3ZWx5LD8Qe2hfmbC9LQEEfYehNlr9Tp8vtaF6fA0iVpIvEdiz2&#10;fGNDJ/H74YsT83afsl5/EatfAAAA//8DAFBLAwQUAAYACAAAACEAG0AXAOEAAAALAQAADwAAAGRy&#10;cy9kb3ducmV2LnhtbEyPy07DMBBF90j8gzVIbBB1XkQhxKmghR0sWqqu3dgkEfE4sp0m/XuGFSxn&#10;5ujOudV6MQM7a+d7iwLiVQRMY2NVj62Aw+fbfQHMB4lKDha1gIv2sK6vrypZKjvjTp/3oWUUgr6U&#10;AroQxpJz33TaSL+yo0a6fVlnZKDRtVw5OVO4GXgSRTk3skf60MlRbzrdfO8nIyDfumne4eZue3h9&#10;lx9jmxxfLkchbm+W5ydgQS/hD4ZffVKHmpxOdkLl2SAgi7OMUAFpUqTAiHiM8wdgJ9oUaQG8rvj/&#10;DvUPAAAA//8DAFBLAQItABQABgAIAAAAIQC2gziS/gAAAOEBAAATAAAAAAAAAAAAAAAAAAAAAABb&#10;Q29udGVudF9UeXBlc10ueG1sUEsBAi0AFAAGAAgAAAAhADj9If/WAAAAlAEAAAsAAAAAAAAAAAAA&#10;AAAALwEAAF9yZWxzLy5yZWxzUEsBAi0AFAAGAAgAAAAhAEomIFszAgAAagQAAA4AAAAAAAAAAAAA&#10;AAAALgIAAGRycy9lMm9Eb2MueG1sUEsBAi0AFAAGAAgAAAAhABtAFwDhAAAACwEAAA8AAAAAAAAA&#10;AAAAAAAAjQQAAGRycy9kb3ducmV2LnhtbFBLBQYAAAAABAAEAPMAAACbBQAAAAA=&#10;" stroked="f">
                <v:textbox inset="0,0,0,0">
                  <w:txbxContent>
                    <w:p w14:paraId="2329AE89" w14:textId="422A0426" w:rsidR="00CA4E85" w:rsidRPr="00415AEA" w:rsidRDefault="00CA4E85" w:rsidP="00B21166">
                      <w:pPr>
                        <w:pStyle w:val="Caption"/>
                        <w:rPr>
                          <w:rFonts w:cstheme="minorHAnsi"/>
                          <w:i w:val="0"/>
                          <w:noProof/>
                          <w:color w:val="auto"/>
                        </w:rPr>
                      </w:pPr>
                      <w:r w:rsidRPr="00415AEA">
                        <w:rPr>
                          <w:i w:val="0"/>
                          <w:color w:val="auto"/>
                        </w:rPr>
                        <w:t>Figure 8</w:t>
                      </w:r>
                      <w:r>
                        <w:rPr>
                          <w:i w:val="0"/>
                          <w:color w:val="auto"/>
                        </w:rPr>
                        <w:t>:</w:t>
                      </w:r>
                      <w:r w:rsidRPr="00415AEA">
                        <w:rPr>
                          <w:i w:val="0"/>
                          <w:color w:val="auto"/>
                        </w:rPr>
                        <w:t xml:space="preserve"> Activity Preparation and Refresher Training-of-Trainer Workshops, Federated States of Micronesia, July 2018</w:t>
                      </w:r>
                    </w:p>
                  </w:txbxContent>
                </v:textbox>
                <w10:wrap type="tight" anchorx="margin"/>
              </v:shape>
            </w:pict>
          </mc:Fallback>
        </mc:AlternateContent>
      </w:r>
      <w:r>
        <w:rPr>
          <w:rFonts w:cstheme="minorHAnsi"/>
          <w:noProof/>
          <w:sz w:val="22"/>
          <w:szCs w:val="22"/>
          <w:lang w:val="en-AU"/>
        </w:rPr>
        <w:drawing>
          <wp:anchor distT="0" distB="0" distL="114300" distR="114300" simplePos="0" relativeHeight="251673088" behindDoc="1" locked="0" layoutInCell="1" allowOverlap="1" wp14:anchorId="23484852" wp14:editId="60D56C6C">
            <wp:simplePos x="0" y="0"/>
            <wp:positionH relativeFrom="margin">
              <wp:align>right</wp:align>
            </wp:positionH>
            <wp:positionV relativeFrom="paragraph">
              <wp:posOffset>147320</wp:posOffset>
            </wp:positionV>
            <wp:extent cx="3199765" cy="1934845"/>
            <wp:effectExtent l="0" t="0" r="635" b="8255"/>
            <wp:wrapTight wrapText="bothSides">
              <wp:wrapPolygon edited="0">
                <wp:start x="0" y="0"/>
                <wp:lineTo x="0" y="21479"/>
                <wp:lineTo x="21476" y="21479"/>
                <wp:lineTo x="21476" y="0"/>
                <wp:lineTo x="0" y="0"/>
              </wp:wrapPolygon>
            </wp:wrapTight>
            <wp:docPr id="4673" name="Picture 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99765" cy="1934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5910" w:rsidRPr="00F34A39">
        <w:rPr>
          <w:rFonts w:eastAsiaTheme="minorEastAsia" w:cstheme="minorHAnsi"/>
          <w:b/>
          <w:sz w:val="22"/>
          <w:szCs w:val="22"/>
          <w:lang w:val="en-AU"/>
        </w:rPr>
        <w:t>There has been a 600% increase in</w:t>
      </w:r>
      <w:r w:rsidR="009F54DE" w:rsidRPr="00F34A39">
        <w:rPr>
          <w:rFonts w:eastAsiaTheme="minorEastAsia" w:cstheme="minorHAnsi"/>
          <w:b/>
          <w:sz w:val="22"/>
          <w:szCs w:val="22"/>
          <w:lang w:val="en-AU"/>
        </w:rPr>
        <w:t xml:space="preserve"> Partner Cou</w:t>
      </w:r>
      <w:r w:rsidR="00FA5910" w:rsidRPr="00F34A39">
        <w:rPr>
          <w:rFonts w:eastAsiaTheme="minorEastAsia" w:cstheme="minorHAnsi"/>
          <w:b/>
          <w:sz w:val="22"/>
          <w:szCs w:val="22"/>
          <w:lang w:val="en-AU"/>
        </w:rPr>
        <w:t>rts</w:t>
      </w:r>
      <w:r w:rsidR="009F54DE" w:rsidRPr="00F34A39">
        <w:rPr>
          <w:rFonts w:eastAsiaTheme="minorEastAsia" w:cstheme="minorHAnsi"/>
          <w:b/>
          <w:sz w:val="22"/>
          <w:szCs w:val="22"/>
          <w:lang w:val="en-AU"/>
        </w:rPr>
        <w:t xml:space="preserve"> producing Annual Reports</w:t>
      </w:r>
      <w:r w:rsidR="00FA5910" w:rsidRPr="00F34A39">
        <w:rPr>
          <w:rFonts w:eastAsiaTheme="minorEastAsia" w:cstheme="minorHAnsi"/>
          <w:b/>
          <w:sz w:val="22"/>
          <w:szCs w:val="22"/>
          <w:lang w:val="en-AU"/>
        </w:rPr>
        <w:t>, from two to 14,</w:t>
      </w:r>
      <w:r w:rsidR="009F54DE" w:rsidRPr="00F34A39">
        <w:rPr>
          <w:rFonts w:eastAsiaTheme="minorEastAsia" w:cstheme="minorHAnsi"/>
          <w:b/>
          <w:sz w:val="22"/>
          <w:szCs w:val="22"/>
          <w:lang w:val="en-AU"/>
        </w:rPr>
        <w:t xml:space="preserve"> with extensive insight into their performance. </w:t>
      </w:r>
      <w:r w:rsidR="009F54DE" w:rsidRPr="00F34A39">
        <w:rPr>
          <w:rFonts w:eastAsiaTheme="minorEastAsia" w:cstheme="minorHAnsi"/>
          <w:sz w:val="22"/>
          <w:szCs w:val="22"/>
          <w:lang w:val="en-AU"/>
        </w:rPr>
        <w:t>Current and trend performance data</w:t>
      </w:r>
      <w:r w:rsidR="000351C5">
        <w:rPr>
          <w:rFonts w:eastAsiaTheme="minorEastAsia" w:cstheme="minorHAnsi"/>
          <w:sz w:val="22"/>
          <w:szCs w:val="22"/>
          <w:lang w:val="en-AU"/>
        </w:rPr>
        <w:t>, now available over ten years,</w:t>
      </w:r>
      <w:r w:rsidR="009F54DE" w:rsidRPr="00F34A39">
        <w:rPr>
          <w:rFonts w:eastAsiaTheme="minorEastAsia" w:cstheme="minorHAnsi"/>
          <w:sz w:val="22"/>
          <w:szCs w:val="22"/>
          <w:lang w:val="en-AU"/>
        </w:rPr>
        <w:t xml:space="preserve"> is being used in 13 </w:t>
      </w:r>
      <w:r w:rsidR="00E70C59" w:rsidRPr="00F34A39">
        <w:rPr>
          <w:sz w:val="22"/>
          <w:szCs w:val="22"/>
          <w:lang w:val="en-AU"/>
        </w:rPr>
        <w:t>Partner Courts</w:t>
      </w:r>
      <w:r w:rsidR="00E70C59" w:rsidRPr="00F34A39" w:rsidDel="00FA7421">
        <w:rPr>
          <w:sz w:val="22"/>
          <w:szCs w:val="22"/>
          <w:lang w:val="en-AU"/>
        </w:rPr>
        <w:t xml:space="preserve"> </w:t>
      </w:r>
      <w:r w:rsidR="009F54DE" w:rsidRPr="00F34A39">
        <w:rPr>
          <w:rFonts w:eastAsiaTheme="minorEastAsia" w:cstheme="minorHAnsi"/>
          <w:sz w:val="22"/>
          <w:szCs w:val="22"/>
          <w:lang w:val="en-AU"/>
        </w:rPr>
        <w:t>to identify needs and to develop plans and secure funds to address them.</w:t>
      </w:r>
      <w:r w:rsidR="009F54DE" w:rsidRPr="00F34A39">
        <w:rPr>
          <w:rFonts w:cs="CKBUWN+Optima-Regular"/>
          <w:color w:val="000000"/>
          <w:sz w:val="22"/>
          <w:szCs w:val="22"/>
          <w:lang w:val="en-AU"/>
        </w:rPr>
        <w:t xml:space="preserve"> There is also evidence of a growing realisation amongst judicial leaders that the court performance cycle integrates internal reporting (assisted through case tracking and management systems) and external reporting through Annual Reports and websites. This is the result of interweaving of the work of several Technical Advisers.</w:t>
      </w:r>
      <w:r w:rsidR="00BD0BA7">
        <w:rPr>
          <w:rFonts w:cs="CKBUWN+Optima-Regular"/>
          <w:color w:val="000000"/>
          <w:sz w:val="22"/>
          <w:szCs w:val="22"/>
          <w:lang w:val="en-AU"/>
        </w:rPr>
        <w:t xml:space="preserve"> </w:t>
      </w:r>
    </w:p>
    <w:p w14:paraId="4A01AF34" w14:textId="5C7F1758" w:rsidR="00AA5222" w:rsidRDefault="00AA5222" w:rsidP="00AA5222">
      <w:pPr>
        <w:spacing w:before="40" w:after="160"/>
        <w:rPr>
          <w:rFonts w:cs="CKBUWN+Optima-Regular"/>
          <w:color w:val="000000"/>
          <w:sz w:val="22"/>
          <w:szCs w:val="22"/>
          <w:lang w:val="en-AU"/>
        </w:rPr>
      </w:pPr>
    </w:p>
    <w:p w14:paraId="16938CC3" w14:textId="42E0DA6F" w:rsidR="00AA5222" w:rsidRDefault="00AA5222" w:rsidP="00AA5222">
      <w:pPr>
        <w:spacing w:before="40" w:after="160"/>
        <w:rPr>
          <w:rFonts w:cs="CKBUWN+Optima-Regular"/>
          <w:color w:val="000000"/>
          <w:sz w:val="22"/>
          <w:szCs w:val="22"/>
          <w:lang w:val="en-AU"/>
        </w:rPr>
      </w:pPr>
    </w:p>
    <w:p w14:paraId="4728A279" w14:textId="1351E288" w:rsidR="00AA5222" w:rsidRDefault="00AA5222" w:rsidP="00AA5222">
      <w:pPr>
        <w:spacing w:before="40" w:after="160"/>
        <w:rPr>
          <w:rFonts w:cs="CKBUWN+Optima-Regular"/>
          <w:color w:val="000000"/>
          <w:sz w:val="22"/>
          <w:szCs w:val="22"/>
          <w:lang w:val="en-AU"/>
        </w:rPr>
      </w:pPr>
    </w:p>
    <w:p w14:paraId="476C4510" w14:textId="631BCBDE" w:rsidR="00AA5222" w:rsidRDefault="00AA5222" w:rsidP="00AA5222">
      <w:pPr>
        <w:spacing w:before="40" w:after="160"/>
        <w:rPr>
          <w:rFonts w:cs="CKBUWN+Optima-Regular"/>
          <w:color w:val="000000"/>
          <w:sz w:val="22"/>
          <w:szCs w:val="22"/>
          <w:lang w:val="en-AU"/>
        </w:rPr>
      </w:pPr>
    </w:p>
    <w:p w14:paraId="3C68FAA3" w14:textId="231B20B3" w:rsidR="00AA5222" w:rsidRDefault="00AA5222" w:rsidP="00AA5222">
      <w:pPr>
        <w:spacing w:before="40" w:after="160"/>
        <w:rPr>
          <w:rFonts w:cs="CKBUWN+Optima-Regular"/>
          <w:color w:val="000000"/>
          <w:sz w:val="22"/>
          <w:szCs w:val="22"/>
          <w:lang w:val="en-AU"/>
        </w:rPr>
      </w:pPr>
    </w:p>
    <w:p w14:paraId="62C231BE" w14:textId="172F8A43" w:rsidR="00AA5222" w:rsidRDefault="00AA5222" w:rsidP="00AA5222">
      <w:pPr>
        <w:spacing w:before="40" w:after="160"/>
        <w:rPr>
          <w:rFonts w:cs="CKBUWN+Optima-Regular"/>
          <w:color w:val="000000"/>
          <w:sz w:val="22"/>
          <w:szCs w:val="22"/>
          <w:lang w:val="en-AU"/>
        </w:rPr>
      </w:pPr>
    </w:p>
    <w:p w14:paraId="15D7FB04" w14:textId="3D22F013" w:rsidR="00AA5222" w:rsidRDefault="00653652" w:rsidP="00AA5222">
      <w:pPr>
        <w:spacing w:before="40" w:after="160"/>
        <w:rPr>
          <w:rFonts w:cs="CKBUWN+Optima-Regular"/>
          <w:color w:val="000000"/>
          <w:sz w:val="22"/>
          <w:szCs w:val="22"/>
          <w:lang w:val="en-AU"/>
        </w:rPr>
      </w:pPr>
      <w:r>
        <w:rPr>
          <w:rFonts w:cs="CKBUWN+Optima-Regular"/>
          <w:noProof/>
          <w:color w:val="000000"/>
          <w:sz w:val="22"/>
          <w:szCs w:val="22"/>
          <w:lang w:val="en-AU"/>
        </w:rPr>
        <w:lastRenderedPageBreak/>
        <w:drawing>
          <wp:anchor distT="0" distB="0" distL="114300" distR="114300" simplePos="0" relativeHeight="251686400" behindDoc="0" locked="0" layoutInCell="1" allowOverlap="1" wp14:anchorId="0060E72B" wp14:editId="76AD65AA">
            <wp:simplePos x="0" y="0"/>
            <wp:positionH relativeFrom="margin">
              <wp:align>center</wp:align>
            </wp:positionH>
            <wp:positionV relativeFrom="paragraph">
              <wp:posOffset>19326</wp:posOffset>
            </wp:positionV>
            <wp:extent cx="4899025" cy="3465195"/>
            <wp:effectExtent l="19050" t="19050" r="15875" b="20955"/>
            <wp:wrapTight wrapText="bothSides">
              <wp:wrapPolygon edited="0">
                <wp:start x="-84" y="-119"/>
                <wp:lineTo x="-84" y="21612"/>
                <wp:lineTo x="21586" y="21612"/>
                <wp:lineTo x="21586" y="-119"/>
                <wp:lineTo x="-84" y="-119"/>
              </wp:wrapPolygon>
            </wp:wrapTight>
            <wp:docPr id="3188" name="Chart 3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4AD0F625" w14:textId="165802AF" w:rsidR="00AA5222" w:rsidRPr="00183CA3" w:rsidRDefault="00AA5222" w:rsidP="00AA5222">
      <w:pPr>
        <w:spacing w:before="40" w:after="160"/>
        <w:rPr>
          <w:rFonts w:eastAsiaTheme="minorEastAsia" w:cs="HelveticaNeue-Light"/>
          <w:sz w:val="10"/>
          <w:szCs w:val="10"/>
          <w:lang w:val="en-AU" w:eastAsia="ja-JP"/>
        </w:rPr>
      </w:pPr>
    </w:p>
    <w:p w14:paraId="5323FD02" w14:textId="77777777" w:rsidR="007A02E5" w:rsidRPr="00183CA3" w:rsidRDefault="007A02E5" w:rsidP="00183CA3">
      <w:pPr>
        <w:rPr>
          <w:rFonts w:eastAsiaTheme="minorEastAsia" w:cs="HelveticaNeue-Light"/>
          <w:sz w:val="10"/>
          <w:szCs w:val="10"/>
          <w:lang w:val="en-AU" w:eastAsia="ja-JP"/>
        </w:rPr>
      </w:pPr>
    </w:p>
    <w:p w14:paraId="66637357" w14:textId="77777777" w:rsidR="00AA5222" w:rsidRDefault="00AA5222" w:rsidP="006E44A3">
      <w:pPr>
        <w:spacing w:after="120"/>
        <w:rPr>
          <w:rFonts w:eastAsiaTheme="minorEastAsia" w:cs="HelveticaNeue-Light"/>
          <w:sz w:val="22"/>
          <w:szCs w:val="22"/>
          <w:lang w:val="en-AU" w:eastAsia="ja-JP"/>
        </w:rPr>
      </w:pPr>
    </w:p>
    <w:p w14:paraId="643B78BA" w14:textId="77777777" w:rsidR="00AA5222" w:rsidRDefault="00AA5222" w:rsidP="006E44A3">
      <w:pPr>
        <w:spacing w:after="120"/>
        <w:rPr>
          <w:rFonts w:eastAsiaTheme="minorEastAsia" w:cs="HelveticaNeue-Light"/>
          <w:sz w:val="22"/>
          <w:szCs w:val="22"/>
          <w:lang w:val="en-AU" w:eastAsia="ja-JP"/>
        </w:rPr>
      </w:pPr>
    </w:p>
    <w:p w14:paraId="1139E086" w14:textId="714D0E58" w:rsidR="00AA5222" w:rsidRDefault="00653652" w:rsidP="006E44A3">
      <w:pPr>
        <w:spacing w:after="120"/>
        <w:rPr>
          <w:rFonts w:eastAsiaTheme="minorEastAsia" w:cs="HelveticaNeue-Light"/>
          <w:sz w:val="22"/>
          <w:szCs w:val="22"/>
          <w:lang w:val="en-AU" w:eastAsia="ja-JP"/>
        </w:rPr>
      </w:pPr>
      <w:r>
        <w:rPr>
          <w:rFonts w:eastAsiaTheme="minorEastAsia" w:cs="HelveticaNeue-Light"/>
          <w:noProof/>
          <w:sz w:val="22"/>
          <w:szCs w:val="22"/>
          <w:lang w:val="en-AU"/>
        </w:rPr>
        <mc:AlternateContent>
          <mc:Choice Requires="wps">
            <w:drawing>
              <wp:anchor distT="0" distB="0" distL="114300" distR="114300" simplePos="0" relativeHeight="251687424" behindDoc="0" locked="0" layoutInCell="1" allowOverlap="1" wp14:anchorId="342C3889" wp14:editId="75222351">
                <wp:simplePos x="0" y="0"/>
                <wp:positionH relativeFrom="column">
                  <wp:posOffset>1039308</wp:posOffset>
                </wp:positionH>
                <wp:positionV relativeFrom="paragraph">
                  <wp:posOffset>72508</wp:posOffset>
                </wp:positionV>
                <wp:extent cx="4197493" cy="0"/>
                <wp:effectExtent l="0" t="19050" r="0" b="19050"/>
                <wp:wrapTight wrapText="bothSides">
                  <wp:wrapPolygon edited="0">
                    <wp:start x="0" y="-1"/>
                    <wp:lineTo x="0" y="-1"/>
                    <wp:lineTo x="21469" y="-1"/>
                    <wp:lineTo x="21469" y="-1"/>
                    <wp:lineTo x="0" y="-1"/>
                  </wp:wrapPolygon>
                </wp:wrapTight>
                <wp:docPr id="3189" name="Straight Connector 1"/>
                <wp:cNvGraphicFramePr/>
                <a:graphic xmlns:a="http://schemas.openxmlformats.org/drawingml/2006/main">
                  <a:graphicData uri="http://schemas.microsoft.com/office/word/2010/wordprocessingShape">
                    <wps:wsp>
                      <wps:cNvCnPr/>
                      <wps:spPr>
                        <a:xfrm>
                          <a:off x="0" y="0"/>
                          <a:ext cx="4197493" cy="0"/>
                        </a:xfrm>
                        <a:prstGeom prst="line">
                          <a:avLst/>
                        </a:prstGeom>
                        <a:ln w="28575">
                          <a:solidFill>
                            <a:srgbClr val="004D5D">
                              <a:alpha val="85000"/>
                            </a:srgb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8CE1396" id="Straight Connector 1"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81.85pt,5.7pt" to="412.3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Da+QEAAEoEAAAOAAAAZHJzL2Uyb0RvYy54bWysVNuO2yAQfa/Uf0C8N7azSTex4uxDou1L&#10;1Ubd9gMIhhiJmwYaJ3/fATveXlZateoLhmHOmTkH8ObhYjQ5CwjK2YZWs5ISYblrlT019NvXx3cr&#10;SkJktmXaWdHQqwj0Yfv2zab3tZi7zulWAEESG+reN7SL0ddFEXgnDAsz54XFTenAsIhLOBUtsB7Z&#10;jS7mZfm+6B20HhwXIWB0P2zSbeaXUvD4WcogItENxd5iHiGPxzQW2w2rT8B8p/jYBvuHLgxTFotO&#10;VHsWGfkO6g8qozi44GSccWcKJ6XiImtANVX5m5qnjnmRtaA5wU82hf9Hyz+dD0BU29C7arWmxDKD&#10;p/QUgalTF8nOWYseOiBVsqr3oUbEzh5gXAV/gKT7IsGkLyoil2zvdbJXXCLhGFxU6/vF+o4Sftsr&#10;noEeQvwgnCFp0lCtbFLOanb+GCIWw9RbSgprS/qGzlfL+2VOC06r9lFpnTYDnI47DeTM0qmXi/1y&#10;P3Bp37EhulqWZT595B3Tc41feFLBPQvdAGlxlkxAhLb4SWYM8vMsXrUYOvsiJDqKgquhtXSXxdQP&#10;41zYmO3MTJidYBJ7n4Dl68AxP0FFvud/A54QubKzcQIbZR28VD1ebi3LIf/mwKA7WXB07TVfjGwN&#10;Xtjs1fi40ov4eZ3hz7+A7Q8AAAD//wMAUEsDBBQABgAIAAAAIQAvFUsf3QAAAAkBAAAPAAAAZHJz&#10;L2Rvd25yZXYueG1sTI/RSsNAEEXfhf7DMoW+2U1iqCVmU0QpFKyCbT5gm50modnZkN028e8d8UHf&#10;5t653DmTbybbiRsOvnWkIF5GIJAqZ1qqFZTH7f0ahA+ajO4coYIv9LApZne5zowb6RNvh1ALLiGf&#10;aQVNCH0mpa8atNovXY/Eu7MbrA4sh1qaQY9cbjuZRNFKWt0SX2h0jy8NVpfD1SpIyuq4TdqP+C19&#10;fcdxL90+LXdKLebT8xOIgFP4C8MPPqNDwUwndyXjRcd69fDIUR7iFAQH1knKxunXkEUu/39QfAMA&#10;AP//AwBQSwECLQAUAAYACAAAACEAtoM4kv4AAADhAQAAEwAAAAAAAAAAAAAAAAAAAAAAW0NvbnRl&#10;bnRfVHlwZXNdLnhtbFBLAQItABQABgAIAAAAIQA4/SH/1gAAAJQBAAALAAAAAAAAAAAAAAAAAC8B&#10;AABfcmVscy8ucmVsc1BLAQItABQABgAIAAAAIQBydvDa+QEAAEoEAAAOAAAAAAAAAAAAAAAAAC4C&#10;AABkcnMvZTJvRG9jLnhtbFBLAQItABQABgAIAAAAIQAvFUsf3QAAAAkBAAAPAAAAAAAAAAAAAAAA&#10;AFMEAABkcnMvZG93bnJldi54bWxQSwUGAAAAAAQABADzAAAAXQUAAAAA&#10;" strokecolor="#004d5d" strokeweight="2.25pt">
                <v:stroke dashstyle="dash" opacity="55769f" joinstyle="miter"/>
                <w10:wrap type="tight"/>
              </v:line>
            </w:pict>
          </mc:Fallback>
        </mc:AlternateContent>
      </w:r>
    </w:p>
    <w:p w14:paraId="1A78DFF8" w14:textId="77777777" w:rsidR="00AA5222" w:rsidRDefault="00AA5222" w:rsidP="006E44A3">
      <w:pPr>
        <w:spacing w:after="120"/>
        <w:rPr>
          <w:rFonts w:eastAsiaTheme="minorEastAsia" w:cs="HelveticaNeue-Light"/>
          <w:sz w:val="22"/>
          <w:szCs w:val="22"/>
          <w:lang w:val="en-AU" w:eastAsia="ja-JP"/>
        </w:rPr>
      </w:pPr>
    </w:p>
    <w:p w14:paraId="69751B5D" w14:textId="77777777" w:rsidR="00AA5222" w:rsidRDefault="00AA5222" w:rsidP="006E44A3">
      <w:pPr>
        <w:spacing w:after="120"/>
        <w:rPr>
          <w:rFonts w:eastAsiaTheme="minorEastAsia" w:cs="HelveticaNeue-Light"/>
          <w:sz w:val="22"/>
          <w:szCs w:val="22"/>
          <w:lang w:val="en-AU" w:eastAsia="ja-JP"/>
        </w:rPr>
      </w:pPr>
    </w:p>
    <w:p w14:paraId="658E7CEE" w14:textId="661FD392" w:rsidR="00AA5222" w:rsidRDefault="00653652" w:rsidP="006E44A3">
      <w:pPr>
        <w:spacing w:after="120"/>
        <w:rPr>
          <w:rFonts w:eastAsiaTheme="minorEastAsia" w:cs="HelveticaNeue-Light"/>
          <w:sz w:val="22"/>
          <w:szCs w:val="22"/>
          <w:lang w:val="en-AU" w:eastAsia="ja-JP"/>
        </w:rPr>
      </w:pPr>
      <w:r>
        <w:rPr>
          <w:rFonts w:eastAsiaTheme="minorEastAsia" w:cs="HelveticaNeue-Light"/>
          <w:noProof/>
          <w:sz w:val="22"/>
          <w:szCs w:val="22"/>
          <w:lang w:val="en-AU"/>
        </w:rPr>
        <mc:AlternateContent>
          <mc:Choice Requires="wps">
            <w:drawing>
              <wp:anchor distT="0" distB="0" distL="114300" distR="114300" simplePos="0" relativeHeight="251688448" behindDoc="0" locked="0" layoutInCell="1" allowOverlap="1" wp14:anchorId="6E04864A" wp14:editId="39B1BE4E">
                <wp:simplePos x="0" y="0"/>
                <wp:positionH relativeFrom="column">
                  <wp:posOffset>1030869</wp:posOffset>
                </wp:positionH>
                <wp:positionV relativeFrom="paragraph">
                  <wp:posOffset>147320</wp:posOffset>
                </wp:positionV>
                <wp:extent cx="4197493" cy="0"/>
                <wp:effectExtent l="0" t="19050" r="0" b="19050"/>
                <wp:wrapTight wrapText="bothSides">
                  <wp:wrapPolygon edited="0">
                    <wp:start x="0" y="-1"/>
                    <wp:lineTo x="0" y="-1"/>
                    <wp:lineTo x="21469" y="-1"/>
                    <wp:lineTo x="21469" y="-1"/>
                    <wp:lineTo x="0" y="-1"/>
                  </wp:wrapPolygon>
                </wp:wrapTight>
                <wp:docPr id="3190" name="Straight Connector 1"/>
                <wp:cNvGraphicFramePr/>
                <a:graphic xmlns:a="http://schemas.openxmlformats.org/drawingml/2006/main">
                  <a:graphicData uri="http://schemas.microsoft.com/office/word/2010/wordprocessingShape">
                    <wps:wsp>
                      <wps:cNvCnPr/>
                      <wps:spPr>
                        <a:xfrm>
                          <a:off x="0" y="0"/>
                          <a:ext cx="4197493" cy="0"/>
                        </a:xfrm>
                        <a:prstGeom prst="line">
                          <a:avLst/>
                        </a:prstGeom>
                        <a:ln w="28575">
                          <a:solidFill>
                            <a:srgbClr val="6F6D00">
                              <a:alpha val="85000"/>
                            </a:srgb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066EE89" id="Straight Connector 1"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81.15pt,11.6pt" to="411.6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12H+wEAAEoEAAAOAAAAZHJzL2Uyb0RvYy54bWysVE2P2yAQvVfqf0DcG9vZTTax4uwhUXqp&#10;2qjb/QEEg43El4DGyb/vAI53u20PrXrBMMybee8B3jxelERn5rwwusHVrMSIaWpaobsGP387fFhh&#10;5APRLZFGswZfmceP2/fvNoOt2dz0RrbMISiifT3YBvch2LooPO2ZIn5mLNOwyY1TJMDSdUXryADV&#10;lSzmZbksBuNa6wxl3kN0nzfxNtXnnNHwhXPPApINBm4hjS6NpzgW2w2pO0dsL+hIg/wDC0WEhqZT&#10;qT0JBH134pdSSlBnvOFhRo0qDOeCsqQB1FTlGzVPPbEsaQFzvJ1s8v+vLP18Pjok2gbfVWswSBMF&#10;p/QUHBFdH9DOaA0eGoeqaNVgfQ2InT66ceXt0UXdF+5U/IIidEn2Xid72SUgCsH7av1wv77DiN72&#10;ihegdT58ZEahOGmwFDoqJzU5f/IBmkHqLSWGpUZDg+erxcMipXkjRXsQUsZN77rTTjp0JnDqy8Ny&#10;X5a5lrQ9ydHVooRgrjumpx4/1YkN98T3GdLCbERIDcnRjCw/zcJVsszsK+PgKAiuMrV4l9nEh1DK&#10;dEh2giapITvCOHCfgJluegR/Ao75EcrSPf8b8IRInY0OE1gJbdzvaIfLjTLP+TcHsu5owcm013Qx&#10;kjVwYZOj4+OKL+L1OsFffgHbHwAAAP//AwBQSwMEFAAGAAgAAAAhAEWXESvcAAAACQEAAA8AAABk&#10;cnMvZG93bnJldi54bWxMj0FLw0AQhe+C/2EZwZvdNIFQYzalFLxJxVhEb9vsmA3uzobstk3/vSMe&#10;9PjefLx5r17P3okTTnEIpGC5yEAgdcEM1CvYvz7erUDEpMloFwgVXDDCurm+qnVlwple8NSmXnAI&#10;xUorsCmNlZSxs+h1XIQRiW+fYfI6sZx6aSZ95nDvZJ5lpfR6IP5g9Yhbi91Xe/QK3rYX9/zU3pfx&#10;Y5fhLm0G+75slbq9mTcPIBLO6Q+Gn/pcHRrudAhHMlE41mVeMKogL3IQDKzygo3DryGbWv5f0HwD&#10;AAD//wMAUEsBAi0AFAAGAAgAAAAhALaDOJL+AAAA4QEAABMAAAAAAAAAAAAAAAAAAAAAAFtDb250&#10;ZW50X1R5cGVzXS54bWxQSwECLQAUAAYACAAAACEAOP0h/9YAAACUAQAACwAAAAAAAAAAAAAAAAAv&#10;AQAAX3JlbHMvLnJlbHNQSwECLQAUAAYACAAAACEAhSNdh/sBAABKBAAADgAAAAAAAAAAAAAAAAAu&#10;AgAAZHJzL2Uyb0RvYy54bWxQSwECLQAUAAYACAAAACEARZcRK9wAAAAJAQAADwAAAAAAAAAAAAAA&#10;AABVBAAAZHJzL2Rvd25yZXYueG1sUEsFBgAAAAAEAAQA8wAAAF4FAAAAAA==&#10;" strokecolor="#6f6d00" strokeweight="2.25pt">
                <v:stroke dashstyle="dash" opacity="55769f" joinstyle="miter"/>
                <w10:wrap type="tight"/>
              </v:line>
            </w:pict>
          </mc:Fallback>
        </mc:AlternateContent>
      </w:r>
    </w:p>
    <w:p w14:paraId="680E2601" w14:textId="77777777" w:rsidR="00AA5222" w:rsidRDefault="00AA5222" w:rsidP="006E44A3">
      <w:pPr>
        <w:spacing w:after="120"/>
        <w:rPr>
          <w:rFonts w:eastAsiaTheme="minorEastAsia" w:cs="HelveticaNeue-Light"/>
          <w:sz w:val="22"/>
          <w:szCs w:val="22"/>
          <w:lang w:val="en-AU" w:eastAsia="ja-JP"/>
        </w:rPr>
      </w:pPr>
    </w:p>
    <w:p w14:paraId="175E2FFC" w14:textId="77777777" w:rsidR="00AA5222" w:rsidRDefault="00AA5222" w:rsidP="006E44A3">
      <w:pPr>
        <w:spacing w:after="120"/>
        <w:rPr>
          <w:rFonts w:eastAsiaTheme="minorEastAsia" w:cs="HelveticaNeue-Light"/>
          <w:sz w:val="22"/>
          <w:szCs w:val="22"/>
          <w:lang w:val="en-AU" w:eastAsia="ja-JP"/>
        </w:rPr>
      </w:pPr>
    </w:p>
    <w:p w14:paraId="58A0DE21" w14:textId="77777777" w:rsidR="00AA5222" w:rsidRDefault="00AA5222" w:rsidP="006E44A3">
      <w:pPr>
        <w:spacing w:after="120"/>
        <w:rPr>
          <w:rFonts w:eastAsiaTheme="minorEastAsia" w:cs="HelveticaNeue-Light"/>
          <w:sz w:val="22"/>
          <w:szCs w:val="22"/>
          <w:lang w:val="en-AU" w:eastAsia="ja-JP"/>
        </w:rPr>
      </w:pPr>
    </w:p>
    <w:p w14:paraId="6C52D36F" w14:textId="77777777" w:rsidR="00AA5222" w:rsidRDefault="00AA5222" w:rsidP="006E44A3">
      <w:pPr>
        <w:spacing w:after="120"/>
        <w:rPr>
          <w:rFonts w:eastAsiaTheme="minorEastAsia" w:cs="HelveticaNeue-Light"/>
          <w:sz w:val="22"/>
          <w:szCs w:val="22"/>
          <w:lang w:val="en-AU" w:eastAsia="ja-JP"/>
        </w:rPr>
      </w:pPr>
    </w:p>
    <w:p w14:paraId="737496BF" w14:textId="7A0EFC46" w:rsidR="00AA5222" w:rsidRDefault="00653652" w:rsidP="006E44A3">
      <w:pPr>
        <w:spacing w:after="120"/>
        <w:rPr>
          <w:rFonts w:eastAsiaTheme="minorEastAsia" w:cs="HelveticaNeue-Light"/>
          <w:sz w:val="22"/>
          <w:szCs w:val="22"/>
          <w:lang w:val="en-AU" w:eastAsia="ja-JP"/>
        </w:rPr>
      </w:pPr>
      <w:r>
        <w:rPr>
          <w:rFonts w:eastAsiaTheme="minorEastAsia" w:cs="HelveticaNeue-Light"/>
          <w:noProof/>
          <w:sz w:val="22"/>
          <w:szCs w:val="22"/>
          <w:lang w:val="en-AU"/>
        </w:rPr>
        <mc:AlternateContent>
          <mc:Choice Requires="wps">
            <w:drawing>
              <wp:anchor distT="0" distB="0" distL="114300" distR="114300" simplePos="0" relativeHeight="251689472" behindDoc="0" locked="0" layoutInCell="1" allowOverlap="1" wp14:anchorId="2BF0F720" wp14:editId="72DE951E">
                <wp:simplePos x="0" y="0"/>
                <wp:positionH relativeFrom="column">
                  <wp:posOffset>3046090</wp:posOffset>
                </wp:positionH>
                <wp:positionV relativeFrom="paragraph">
                  <wp:posOffset>230134</wp:posOffset>
                </wp:positionV>
                <wp:extent cx="524448" cy="240647"/>
                <wp:effectExtent l="0" t="0" r="0" b="0"/>
                <wp:wrapTight wrapText="bothSides">
                  <wp:wrapPolygon edited="0">
                    <wp:start x="2356" y="0"/>
                    <wp:lineTo x="2356" y="18857"/>
                    <wp:lineTo x="18851" y="18857"/>
                    <wp:lineTo x="18851" y="0"/>
                    <wp:lineTo x="2356" y="0"/>
                  </wp:wrapPolygon>
                </wp:wrapTight>
                <wp:docPr id="3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448" cy="240647"/>
                        </a:xfrm>
                        <a:prstGeom prst="rect">
                          <a:avLst/>
                        </a:prstGeom>
                        <a:noFill/>
                        <a:ln w="9525">
                          <a:noFill/>
                          <a:miter lim="800000"/>
                          <a:headEnd/>
                          <a:tailEnd/>
                        </a:ln>
                      </wps:spPr>
                      <wps:txbx>
                        <w:txbxContent>
                          <w:p w14:paraId="459EB7F5" w14:textId="77777777" w:rsidR="00CA4E85" w:rsidRPr="001173DA" w:rsidRDefault="00CA4E85" w:rsidP="00AA5222">
                            <w:pPr>
                              <w:rPr>
                                <w:sz w:val="18"/>
                              </w:rPr>
                            </w:pPr>
                            <w:r w:rsidRPr="001173DA">
                              <w:rPr>
                                <w:sz w:val="18"/>
                              </w:rPr>
                              <w:t>Target</w:t>
                            </w:r>
                          </w:p>
                        </w:txbxContent>
                      </wps:txbx>
                      <wps:bodyPr rot="0" vert="horz" wrap="square" lIns="91440" tIns="45720" rIns="91440" bIns="45720" anchor="t" anchorCtr="0">
                        <a:spAutoFit/>
                      </wps:bodyPr>
                    </wps:wsp>
                  </a:graphicData>
                </a:graphic>
              </wp:anchor>
            </w:drawing>
          </mc:Choice>
          <mc:Fallback>
            <w:pict>
              <v:shape w14:anchorId="2BF0F720" id="_x0000_s1045" type="#_x0000_t202" style="position:absolute;margin-left:239.85pt;margin-top:18.1pt;width:41.3pt;height:18.95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jtpEgIAAPwDAAAOAAAAZHJzL2Uyb0RvYy54bWysU8tu2zAQvBfoPxC813pUTmLBcpAmdVEg&#10;fQBJP4CmKIsoyWVJ2pL79V1Stmskt6I6CCSXO7szO1zejlqRvXBegmloMcspEYZDK822oT+e1+9u&#10;KPGBmZYpMKKhB+Hp7ertm+Vga1FCD6oVjiCI8fVgG9qHYOss87wXmvkZWGEw2IHTLODWbbPWsQHR&#10;tcrKPL/KBnCtdcCF93j6MAXpKuF3neDhW9d5EYhqKPYW0t+l/yb+s9WS1VvHbC/5sQ32D11oJg0W&#10;PUM9sMDIzslXUFpyBx66MOOgM+g6yUXigGyK/AWbp55ZkbigON6eZfL/D5Z/3X93RLYNfV8sCkoM&#10;0zilZzEG8gFGUkaBButrvPdk8WYY8RgHnch6+wj8pycG7ntmtuLOORh6wVpssIiZ2UXqhOMjyGb4&#10;Ai2WYbsACWjsnI7qoR4E0XFQh/NwYiscD+dlVVXoJo6hssqvqutUgdWnZOt8+CRAk7hoqMPZJ3C2&#10;f/QhNsPq05VYy8BaKpXmrwwZGrqYl/OUcBHRMqA9ldQNvcnjNxkmcvxo2pQcmFTTGgsocyQdeU6M&#10;w7gZk8DF4iTmBtoDyuBgsiM+H1z04H5TMqAVG+p/7ZgTlKjPBqVcFFUVvZs21fy6xI27jGwuI8xw&#10;hGpooGRa3ofk98jZ2zuUfC2THHE2UyfHntFiSaXjc4gevtynW38f7eoPAAAA//8DAFBLAwQUAAYA&#10;CAAAACEA6oFvid8AAAAJAQAADwAAAGRycy9kb3ducmV2LnhtbEyPy26DMBBF95X6D9ZU6q4xkAQa&#10;iomiPqQusmlK9xM8AVQ8RtgJ5O/rrtrl6B7de6bYzqYXFxpdZ1lBvIhAENdWd9woqD7fHh5BOI+s&#10;sbdMCq7kYFve3hSYazvxB10OvhGhhF2OClrvh1xKV7dk0C3sQByykx0N+nCOjdQjTqHc9DKJolQa&#10;7DgstDjQc0v19+FsFHivd/G1ejXu/Wvev0xtVK+xUur+bt49gfA0+z8YfvWDOpTB6WjPrJ3oFayy&#10;TRZQBcs0ARGAdZosQRwVZKsYZFnI/x+UPwAAAP//AwBQSwECLQAUAAYACAAAACEAtoM4kv4AAADh&#10;AQAAEwAAAAAAAAAAAAAAAAAAAAAAW0NvbnRlbnRfVHlwZXNdLnhtbFBLAQItABQABgAIAAAAIQA4&#10;/SH/1gAAAJQBAAALAAAAAAAAAAAAAAAAAC8BAABfcmVscy8ucmVsc1BLAQItABQABgAIAAAAIQAs&#10;GjtpEgIAAPwDAAAOAAAAAAAAAAAAAAAAAC4CAABkcnMvZTJvRG9jLnhtbFBLAQItABQABgAIAAAA&#10;IQDqgW+J3wAAAAkBAAAPAAAAAAAAAAAAAAAAAGwEAABkcnMvZG93bnJldi54bWxQSwUGAAAAAAQA&#10;BADzAAAAeAUAAAAA&#10;" filled="f" stroked="f">
                <v:textbox style="mso-fit-shape-to-text:t">
                  <w:txbxContent>
                    <w:p w14:paraId="459EB7F5" w14:textId="77777777" w:rsidR="00CA4E85" w:rsidRPr="001173DA" w:rsidRDefault="00CA4E85" w:rsidP="00AA5222">
                      <w:pPr>
                        <w:rPr>
                          <w:sz w:val="18"/>
                        </w:rPr>
                      </w:pPr>
                      <w:r w:rsidRPr="001173DA">
                        <w:rPr>
                          <w:sz w:val="18"/>
                        </w:rPr>
                        <w:t>Target</w:t>
                      </w:r>
                    </w:p>
                  </w:txbxContent>
                </v:textbox>
                <w10:wrap type="tight"/>
              </v:shape>
            </w:pict>
          </mc:Fallback>
        </mc:AlternateContent>
      </w:r>
    </w:p>
    <w:p w14:paraId="712163BD" w14:textId="0E4AEEAF" w:rsidR="00AA5222" w:rsidRDefault="00653652" w:rsidP="006E44A3">
      <w:pPr>
        <w:spacing w:after="120"/>
        <w:rPr>
          <w:rFonts w:eastAsiaTheme="minorEastAsia" w:cs="HelveticaNeue-Light"/>
          <w:sz w:val="22"/>
          <w:szCs w:val="22"/>
          <w:lang w:val="en-AU" w:eastAsia="ja-JP"/>
        </w:rPr>
      </w:pPr>
      <w:r>
        <w:rPr>
          <w:rFonts w:eastAsiaTheme="minorEastAsia" w:cs="HelveticaNeue-Light"/>
          <w:noProof/>
          <w:sz w:val="22"/>
          <w:szCs w:val="22"/>
          <w:lang w:val="en-AU"/>
        </w:rPr>
        <mc:AlternateContent>
          <mc:Choice Requires="wpg">
            <w:drawing>
              <wp:anchor distT="0" distB="0" distL="114300" distR="114300" simplePos="0" relativeHeight="251690496" behindDoc="0" locked="0" layoutInCell="1" allowOverlap="1" wp14:anchorId="6BB358C8" wp14:editId="600B977B">
                <wp:simplePos x="0" y="0"/>
                <wp:positionH relativeFrom="column">
                  <wp:posOffset>2786433</wp:posOffset>
                </wp:positionH>
                <wp:positionV relativeFrom="paragraph">
                  <wp:posOffset>126677</wp:posOffset>
                </wp:positionV>
                <wp:extent cx="323826" cy="3"/>
                <wp:effectExtent l="0" t="19050" r="38735" b="19050"/>
                <wp:wrapTight wrapText="bothSides">
                  <wp:wrapPolygon edited="0">
                    <wp:start x="0" y="-1"/>
                    <wp:lineTo x="0" y="-1"/>
                    <wp:lineTo x="22916" y="-1"/>
                    <wp:lineTo x="22916" y="-1"/>
                    <wp:lineTo x="0" y="-1"/>
                  </wp:wrapPolygon>
                </wp:wrapTight>
                <wp:docPr id="3198" name="Group 3198"/>
                <wp:cNvGraphicFramePr/>
                <a:graphic xmlns:a="http://schemas.openxmlformats.org/drawingml/2006/main">
                  <a:graphicData uri="http://schemas.microsoft.com/office/word/2010/wordprocessingGroup">
                    <wpg:wgp>
                      <wpg:cNvGrpSpPr/>
                      <wpg:grpSpPr>
                        <a:xfrm>
                          <a:off x="0" y="0"/>
                          <a:ext cx="323826" cy="3"/>
                          <a:chOff x="0" y="-1"/>
                          <a:chExt cx="447344" cy="3"/>
                        </a:xfrm>
                      </wpg:grpSpPr>
                      <wps:wsp>
                        <wps:cNvPr id="3194" name="Straight Connector 3194"/>
                        <wps:cNvCnPr/>
                        <wps:spPr>
                          <a:xfrm>
                            <a:off x="0" y="2"/>
                            <a:ext cx="89536" cy="0"/>
                          </a:xfrm>
                          <a:prstGeom prst="line">
                            <a:avLst/>
                          </a:prstGeom>
                          <a:ln w="34925">
                            <a:solidFill>
                              <a:srgbClr val="00667C">
                                <a:alpha val="85000"/>
                              </a:srgbClr>
                            </a:solidFill>
                          </a:ln>
                        </wps:spPr>
                        <wps:style>
                          <a:lnRef idx="1">
                            <a:schemeClr val="accent1"/>
                          </a:lnRef>
                          <a:fillRef idx="0">
                            <a:schemeClr val="accent1"/>
                          </a:fillRef>
                          <a:effectRef idx="0">
                            <a:schemeClr val="accent1"/>
                          </a:effectRef>
                          <a:fontRef idx="minor">
                            <a:schemeClr val="tx1"/>
                          </a:fontRef>
                        </wps:style>
                        <wps:bodyPr/>
                      </wps:wsp>
                      <wps:wsp>
                        <wps:cNvPr id="3195" name="Straight Connector 3195"/>
                        <wps:cNvCnPr/>
                        <wps:spPr>
                          <a:xfrm>
                            <a:off x="119268" y="1"/>
                            <a:ext cx="89536" cy="0"/>
                          </a:xfrm>
                          <a:prstGeom prst="line">
                            <a:avLst/>
                          </a:prstGeom>
                          <a:ln w="34925">
                            <a:solidFill>
                              <a:srgbClr val="949200">
                                <a:alpha val="85000"/>
                              </a:srgbClr>
                            </a:solidFill>
                          </a:ln>
                        </wps:spPr>
                        <wps:style>
                          <a:lnRef idx="1">
                            <a:schemeClr val="accent1"/>
                          </a:lnRef>
                          <a:fillRef idx="0">
                            <a:schemeClr val="accent1"/>
                          </a:fillRef>
                          <a:effectRef idx="0">
                            <a:schemeClr val="accent1"/>
                          </a:effectRef>
                          <a:fontRef idx="minor">
                            <a:schemeClr val="tx1"/>
                          </a:fontRef>
                        </wps:style>
                        <wps:bodyPr/>
                      </wps:wsp>
                      <wps:wsp>
                        <wps:cNvPr id="3196" name="Straight Connector 3196"/>
                        <wps:cNvCnPr/>
                        <wps:spPr>
                          <a:xfrm>
                            <a:off x="238538" y="1"/>
                            <a:ext cx="89536" cy="0"/>
                          </a:xfrm>
                          <a:prstGeom prst="line">
                            <a:avLst/>
                          </a:prstGeom>
                          <a:ln w="34925">
                            <a:solidFill>
                              <a:srgbClr val="B31B34">
                                <a:alpha val="85000"/>
                              </a:srgbClr>
                            </a:solidFill>
                          </a:ln>
                        </wps:spPr>
                        <wps:style>
                          <a:lnRef idx="1">
                            <a:schemeClr val="accent1"/>
                          </a:lnRef>
                          <a:fillRef idx="0">
                            <a:schemeClr val="accent1"/>
                          </a:fillRef>
                          <a:effectRef idx="0">
                            <a:schemeClr val="accent1"/>
                          </a:effectRef>
                          <a:fontRef idx="minor">
                            <a:schemeClr val="tx1"/>
                          </a:fontRef>
                        </wps:style>
                        <wps:bodyPr/>
                      </wps:wsp>
                      <wps:wsp>
                        <wps:cNvPr id="3197" name="Straight Connector 3197"/>
                        <wps:cNvCnPr/>
                        <wps:spPr>
                          <a:xfrm>
                            <a:off x="357808" y="-1"/>
                            <a:ext cx="89536" cy="0"/>
                          </a:xfrm>
                          <a:prstGeom prst="line">
                            <a:avLst/>
                          </a:prstGeom>
                          <a:ln w="34925">
                            <a:solidFill>
                              <a:srgbClr val="81ADB5">
                                <a:alpha val="85000"/>
                              </a:srgb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96C32F8" id="Group 3198" o:spid="_x0000_s1026" style="position:absolute;margin-left:219.4pt;margin-top:9.95pt;width:25.5pt;height:0;z-index:251695104" coordorigin=",-1" coordsize="4473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eIRwQIAAFUNAAAOAAAAZHJzL2Uyb0RvYy54bWzsV9lu1DAUfUfiH6y8t9lniTpT0Sn0BUFF&#10;4QNcx1kkx7ZsdzLz91zbSaYqUDRFUCr1Jcv1Xc49Pnacs/Ndx9CWKt0Kvgri0yhAlBNRtrxeBd++&#10;fjhZBEgbzEvMBKerYE91cL5+++aslwVNRCNYSRWCJFwXvVwFjTGyCENNGtphfSok5TBYCdVhA6+q&#10;DkuFe8jesTCJolnYC1VKJQjVGqyXfjBYu/xVRYn5XFWaGsRWAWAz7qrc9dZew/UZLmqFZdOSAQZ+&#10;AooOtxyKTqkuscHoTrU/pOpaooQWlTklogtFVbWEuh6gmzh60M2VEnfS9VIXfS0nmoDaBzw9OS35&#10;tL1WqC1XQRovYa447mCWXGHkLEBQL+sC/K6UvJHXajDU/s32vKtUZ+/QDdo5avcTtXRnEAFjmqSL&#10;ZBYgAkOpZ500MDWHgJN4NL8fYrJsnmbZvZhwrBVaSBOCXoJ29IEe/Wf03DRYUse6tm0f6AEonp4b&#10;o3BbNwZtBOcgMaEsV5nFb7FA0IYPROlCA2e/ZCnxPY8sLZZ5OpDkpDk1jAuptLmiokP2YRWwlluM&#10;uMDbj9pAYXAdXayZcdQD09kyyZ2bFqwtP7SM2UGt6tsNU2iL7aqIZrP5xudissHeusijaIQwuLsa&#10;9/JARcbBaFv2Tbons2fUI/hCK1AWTH7sIdg1Tae6mBDKjZt0lwm8bVgFGKfA6PeBg78NpW69HxM8&#10;RbjKgpspuGu5UD+rbnYj5Mr7jwz4vi0Ft6Lcu+l31IAyvSz+hUTzxyWaHyXROF4mM9gTYMkOa/M5&#10;dboELYMk7UzhV52OS+uF6hQ2uce20tlROoVPS57+Nzq9SOOLNHvVaTHsj/4T8EJ1On9cp/OjdJrm&#10;80XkdToedp5zQ13E7y4v/OngdUP9Wx9+d1KFs7s7PA3/Gfbn4P67O0Ec/obW3wEAAP//AwBQSwME&#10;FAAGAAgAAAAhAG/U/jPeAAAACQEAAA8AAABkcnMvZG93bnJldi54bWxMj0FLw0AQhe+C/2GZgje7&#10;ia2SpNmUUtRTEWwF8TbNTpPQ7G7IbpP03zviQY/z3uPN9/L1ZFoxUO8bZxXE8wgE2dLpxlYKPg4v&#10;9wkIH9BqbJ0lBVfysC5ub3LMtBvtOw37UAkusT5DBXUIXSalL2sy6OeuI8veyfUGA599JXWPI5eb&#10;Vj5E0ZM02Fj+UGNH25rK8/5iFLyOOG4W8fOwO5+216/D49vnLial7mbTZgUi0BT+wvCDz+hQMNPR&#10;Xaz2olWwXCSMHthIUxAcWCYpC8dfQRa5/L+g+AYAAP//AwBQSwECLQAUAAYACAAAACEAtoM4kv4A&#10;AADhAQAAEwAAAAAAAAAAAAAAAAAAAAAAW0NvbnRlbnRfVHlwZXNdLnhtbFBLAQItABQABgAIAAAA&#10;IQA4/SH/1gAAAJQBAAALAAAAAAAAAAAAAAAAAC8BAABfcmVscy8ucmVsc1BLAQItABQABgAIAAAA&#10;IQDgneIRwQIAAFUNAAAOAAAAAAAAAAAAAAAAAC4CAABkcnMvZTJvRG9jLnhtbFBLAQItABQABgAI&#10;AAAAIQBv1P4z3gAAAAkBAAAPAAAAAAAAAAAAAAAAABsFAABkcnMvZG93bnJldi54bWxQSwUGAAAA&#10;AAQABADzAAAAJgYAAAAA&#10;">
                <v:line id="Straight Connector 3194" o:spid="_x0000_s1027" style="position:absolute;visibility:visible;mso-wrap-style:square" from="0,2" to="895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HsxgAAAN0AAAAPAAAAZHJzL2Rvd25yZXYueG1sRI9Ba8JA&#10;FITvgv9heUIvUje2RTRmIyUgtD0Z9dLbI/tMgtm3cXfV9N93CwWPw8x8w2SbwXTiRs63lhXMZwkI&#10;4srqlmsFx8P2eQnCB2SNnWVS8EMeNvl4lGGq7Z1Luu1DLSKEfYoKmhD6VEpfNWTQz2xPHL2TdQZD&#10;lK6W2uE9wk0nX5JkIQ22HBca7KloqDrvr0bB0lx2n9ty93117uvCRTJMCy6VepoM72sQgYbwCP+3&#10;P7SC1/nqDf7exCcg818AAAD//wMAUEsBAi0AFAAGAAgAAAAhANvh9svuAAAAhQEAABMAAAAAAAAA&#10;AAAAAAAAAAAAAFtDb250ZW50X1R5cGVzXS54bWxQSwECLQAUAAYACAAAACEAWvQsW78AAAAVAQAA&#10;CwAAAAAAAAAAAAAAAAAfAQAAX3JlbHMvLnJlbHNQSwECLQAUAAYACAAAACEA84HB7MYAAADdAAAA&#10;DwAAAAAAAAAAAAAAAAAHAgAAZHJzL2Rvd25yZXYueG1sUEsFBgAAAAADAAMAtwAAAPoCAAAAAA==&#10;" strokecolor="#00667c" strokeweight="2.75pt">
                  <v:stroke opacity="55769f" joinstyle="miter"/>
                </v:line>
                <v:line id="Straight Connector 3195" o:spid="_x0000_s1028" style="position:absolute;visibility:visible;mso-wrap-style:square" from="119268,1" to="2088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lNexQAAAN0AAAAPAAAAZHJzL2Rvd25yZXYueG1sRI9BawIx&#10;FITvhf6H8AreanZrK+3WKKUgCD1IdQt6e2yeydLNy7KJ7vrvjSB4HGbmG2a2GFwjTtSF2rOCfJyB&#10;IK68rtkoKLfL53cQISJrbDyTgjMFWMwfH2ZYaN/zL5020YgE4VCgAhtjW0gZKksOw9i3xMk7+M5h&#10;TLIzUnfYJ7hr5EuWTaXDmtOCxZa+LVX/m6NTgAey3u5fc79bl9zkP735K41So6fh6xNEpCHew7f2&#10;SiuY5B9vcH2TnoCcXwAAAP//AwBQSwECLQAUAAYACAAAACEA2+H2y+4AAACFAQAAEwAAAAAAAAAA&#10;AAAAAAAAAAAAW0NvbnRlbnRfVHlwZXNdLnhtbFBLAQItABQABgAIAAAAIQBa9CxbvwAAABUBAAAL&#10;AAAAAAAAAAAAAAAAAB8BAABfcmVscy8ucmVsc1BLAQItABQABgAIAAAAIQD5SlNexQAAAN0AAAAP&#10;AAAAAAAAAAAAAAAAAAcCAABkcnMvZG93bnJldi54bWxQSwUGAAAAAAMAAwC3AAAA+QIAAAAA&#10;" strokecolor="#949200" strokeweight="2.75pt">
                  <v:stroke opacity="55769f" joinstyle="miter"/>
                </v:line>
                <v:line id="Straight Connector 3196" o:spid="_x0000_s1029" style="position:absolute;visibility:visible;mso-wrap-style:square" from="238538,1" to="3280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DwMxgAAAN0AAAAPAAAAZHJzL2Rvd25yZXYueG1sRI9LawIx&#10;FIX3hf6HcAtuimbUIjoaRYW2Yt34AF1eJ9fJ4ORmmKQ6/feNUOjycB4fZzJrbCluVPvCsYJuJwFB&#10;nDldcK7gsH9vD0H4gKyxdEwKfsjDbPr8NMFUuztv6bYLuYgj7FNUYEKoUil9Zsii77iKOHoXV1sM&#10;Uda51DXe47gtZS9JBtJiwZFgsKKloey6+7aRezbH9dfQ8ps/jfrZZ7X42Lw2SrVemvkYRKAm/If/&#10;2iutoN8dDeDxJj4BOf0FAAD//wMAUEsBAi0AFAAGAAgAAAAhANvh9svuAAAAhQEAABMAAAAAAAAA&#10;AAAAAAAAAAAAAFtDb250ZW50X1R5cGVzXS54bWxQSwECLQAUAAYACAAAACEAWvQsW78AAAAVAQAA&#10;CwAAAAAAAAAAAAAAAAAfAQAAX3JlbHMvLnJlbHNQSwECLQAUAAYACAAAACEAdRA8DMYAAADdAAAA&#10;DwAAAAAAAAAAAAAAAAAHAgAAZHJzL2Rvd25yZXYueG1sUEsFBgAAAAADAAMAtwAAAPoCAAAAAA==&#10;" strokecolor="#b31b34" strokeweight="2.75pt">
                  <v:stroke opacity="55769f" joinstyle="miter"/>
                </v:line>
                <v:line id="Straight Connector 3197" o:spid="_x0000_s1030" style="position:absolute;visibility:visible;mso-wrap-style:square" from="357808,-1" to="4473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CLXxwAAAN0AAAAPAAAAZHJzL2Rvd25yZXYueG1sRI9Ba8JA&#10;FITvBf/D8oRepG60aGp0FREKQgvWtBdvj+wzCWbfht1tkvbXdwuFHoeZ+YbZ7AbTiI6cry0rmE0T&#10;EMSF1TWXCj7enx+eQPiArLGxTAq+yMNuO7rbYKZtz2fq8lCKCGGfoYIqhDaT0hcVGfRT2xJH72qd&#10;wRClK6V22Ee4aeQ8SZbSYM1xocKWDhUVt/zTKKhxf3mdvH0fTyku8v7UpU5eX5S6Hw/7NYhAQ/gP&#10;/7WPWsHjbJXC75v4BOT2BwAA//8DAFBLAQItABQABgAIAAAAIQDb4fbL7gAAAIUBAAATAAAAAAAA&#10;AAAAAAAAAAAAAABbQ29udGVudF9UeXBlc10ueG1sUEsBAi0AFAAGAAgAAAAhAFr0LFu/AAAAFQEA&#10;AAsAAAAAAAAAAAAAAAAAHwEAAF9yZWxzLy5yZWxzUEsBAi0AFAAGAAgAAAAhAB10ItfHAAAA3QAA&#10;AA8AAAAAAAAAAAAAAAAABwIAAGRycy9kb3ducmV2LnhtbFBLBQYAAAAAAwADALcAAAD7AgAAAAA=&#10;" strokecolor="#81adb5" strokeweight="2.75pt">
                  <v:stroke opacity="55769f" joinstyle="miter"/>
                </v:line>
                <w10:wrap type="tight"/>
              </v:group>
            </w:pict>
          </mc:Fallback>
        </mc:AlternateContent>
      </w:r>
    </w:p>
    <w:p w14:paraId="37CDDA7D" w14:textId="7CF873CB" w:rsidR="00BF73A9" w:rsidRPr="003A44CE" w:rsidRDefault="003A44CE" w:rsidP="006E44A3">
      <w:pPr>
        <w:spacing w:after="120"/>
        <w:rPr>
          <w:rFonts w:eastAsiaTheme="minorEastAsia" w:cs="HelveticaNeue-Light"/>
          <w:sz w:val="22"/>
          <w:szCs w:val="22"/>
          <w:lang w:val="en-AU" w:eastAsia="ja-JP"/>
        </w:rPr>
      </w:pPr>
      <w:r>
        <w:rPr>
          <w:noProof/>
          <w:lang w:val="en-AU"/>
        </w:rPr>
        <mc:AlternateContent>
          <mc:Choice Requires="wps">
            <w:drawing>
              <wp:anchor distT="0" distB="0" distL="114300" distR="114300" simplePos="0" relativeHeight="251658752" behindDoc="0" locked="0" layoutInCell="1" allowOverlap="1" wp14:anchorId="44261461" wp14:editId="37BF45FE">
                <wp:simplePos x="0" y="0"/>
                <wp:positionH relativeFrom="margin">
                  <wp:posOffset>459740</wp:posOffset>
                </wp:positionH>
                <wp:positionV relativeFrom="paragraph">
                  <wp:posOffset>54610</wp:posOffset>
                </wp:positionV>
                <wp:extent cx="4999990" cy="200025"/>
                <wp:effectExtent l="0" t="0" r="10160" b="9525"/>
                <wp:wrapNone/>
                <wp:docPr id="159" name="Text Box 159"/>
                <wp:cNvGraphicFramePr/>
                <a:graphic xmlns:a="http://schemas.openxmlformats.org/drawingml/2006/main">
                  <a:graphicData uri="http://schemas.microsoft.com/office/word/2010/wordprocessingShape">
                    <wps:wsp>
                      <wps:cNvSpPr txBox="1"/>
                      <wps:spPr>
                        <a:xfrm>
                          <a:off x="0" y="0"/>
                          <a:ext cx="4999990" cy="200025"/>
                        </a:xfrm>
                        <a:prstGeom prst="rect">
                          <a:avLst/>
                        </a:prstGeom>
                        <a:noFill/>
                        <a:ln>
                          <a:noFill/>
                        </a:ln>
                      </wps:spPr>
                      <wps:txbx>
                        <w:txbxContent>
                          <w:p w14:paraId="0CB03869" w14:textId="6EB873CE" w:rsidR="00CA4E85" w:rsidRPr="00415AEA" w:rsidRDefault="00CA4E85" w:rsidP="00063F54">
                            <w:pPr>
                              <w:pStyle w:val="Caption"/>
                              <w:rPr>
                                <w:rFonts w:cs="HelveticaNeue-Light"/>
                                <w:i w:val="0"/>
                                <w:noProof/>
                                <w:color w:val="auto"/>
                                <w:sz w:val="20"/>
                                <w:szCs w:val="20"/>
                              </w:rPr>
                            </w:pPr>
                            <w:r w:rsidRPr="00415AEA">
                              <w:rPr>
                                <w:i w:val="0"/>
                                <w:color w:val="auto"/>
                                <w:sz w:val="20"/>
                                <w:szCs w:val="20"/>
                              </w:rPr>
                              <w:t>Figure 9</w:t>
                            </w:r>
                            <w:r>
                              <w:rPr>
                                <w:i w:val="0"/>
                                <w:color w:val="auto"/>
                                <w:sz w:val="20"/>
                                <w:szCs w:val="20"/>
                              </w:rPr>
                              <w:t>:</w:t>
                            </w:r>
                            <w:r w:rsidRPr="00415AEA">
                              <w:rPr>
                                <w:i w:val="0"/>
                                <w:color w:val="auto"/>
                                <w:sz w:val="20"/>
                                <w:szCs w:val="20"/>
                              </w:rPr>
                              <w:t xml:space="preserve"> PJSI Partner Courts Producing and Publishing Annual Reports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261461" id="Text Box 159" o:spid="_x0000_s1046" type="#_x0000_t202" style="position:absolute;margin-left:36.2pt;margin-top:4.3pt;width:393.7pt;height:15.75pt;z-index:2516587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02MHAIAAEQEAAAOAAAAZHJzL2Uyb0RvYy54bWysU8Fu2zAMvQ/YPwi6L3aCdViNOEXWIsOA&#10;oC2QDD0rshQbsESNUmJnXz9KjpOu22mYDzJN0hT53uP8rjctOyr0DdiSTyc5Z8pKqBq7L/n37erD&#10;Z858ELYSLVhV8pPy/G7x/t28c4WaQQ1tpZBREeuLzpW8DsEVWeZlrYzwE3DKUlADGhHoE/dZhaKj&#10;6qbNZnn+KesAK4cglffkfRiCfJHqa61keNLaq8DaklNvIZ2Yzl08s8VcFHsUrm7kuQ3xD10Y0Vi6&#10;9FLqQQTBDtj8Uco0EsGDDhMJJgOtG6nSDDTNNH8zzaYWTqVZCBzvLjD5/1dWPh6fkTUVcXdzy5kV&#10;hkjaqj6wL9Cz6COEOucLStw4Sg09BSh79HtyxsF7jSa+aSRGccL6dME3lpPk/HgbHwpJihF7+ewm&#10;lsmufzv04asCw6JRciT+EqziuPZhSB1T4mUWVk3bJg5b+5uDakZPFlsfWoxW6Hd9GnaWmI+uHVQn&#10;GgthkIZ3ctXQ3Wvhw7NA0gK1S/oOT3ToFrqSw9nirAb8+Td/zCeKKMpZR9oquf9xEKg4a79ZIi8K&#10;cTRwNHajYQ/mHkiuU9ocJ5NJP2BoR1MjmBeS/TLeQiFhJd1V8jCa92FQOK2NVMtlSiK5ORHWduNk&#10;LB3Bikhu+xeB7gx3IKIeYVSdKN6gPuQOMC8PAXSTKLmieMabpJpIPa9V3IXX3ynruvyLXwAAAP//&#10;AwBQSwMEFAAGAAgAAAAhAGbvMFLdAAAABwEAAA8AAABkcnMvZG93bnJldi54bWxMj8FOwzAQRO9I&#10;/IO1SNyo3aqENGRTVQhOSIg0HDg68TaJGq9D7Lbh7zEnOI5mNPMm3852EGeafO8YYblQIIgbZ3pu&#10;ET6ql7sUhA+ajR4cE8I3edgW11e5zoy7cEnnfWhFLGGfaYQuhDGT0jcdWe0XbiSO3sFNVocop1aa&#10;SV9iuR3kSqlEWt1zXOj0SE8dNcf9ySLsPrl87r/e6vfyUPZVtVH8mhwRb2/m3SOIQHP4C8MvfkSH&#10;IjLV7sTGiwHhYbWOSYQ0ARHt9H4Tn9QIa7UEWeTyP3/xAwAA//8DAFBLAQItABQABgAIAAAAIQC2&#10;gziS/gAAAOEBAAATAAAAAAAAAAAAAAAAAAAAAABbQ29udGVudF9UeXBlc10ueG1sUEsBAi0AFAAG&#10;AAgAAAAhADj9If/WAAAAlAEAAAsAAAAAAAAAAAAAAAAALwEAAF9yZWxzLy5yZWxzUEsBAi0AFAAG&#10;AAgAAAAhAE7bTYwcAgAARAQAAA4AAAAAAAAAAAAAAAAALgIAAGRycy9lMm9Eb2MueG1sUEsBAi0A&#10;FAAGAAgAAAAhAGbvMFLdAAAABwEAAA8AAAAAAAAAAAAAAAAAdgQAAGRycy9kb3ducmV2LnhtbFBL&#10;BQYAAAAABAAEAPMAAACABQAAAAA=&#10;" filled="f" stroked="f">
                <v:textbox inset="0,0,0,0">
                  <w:txbxContent>
                    <w:p w14:paraId="0CB03869" w14:textId="6EB873CE" w:rsidR="00CA4E85" w:rsidRPr="00415AEA" w:rsidRDefault="00CA4E85" w:rsidP="00063F54">
                      <w:pPr>
                        <w:pStyle w:val="Caption"/>
                        <w:rPr>
                          <w:rFonts w:cs="HelveticaNeue-Light"/>
                          <w:i w:val="0"/>
                          <w:noProof/>
                          <w:color w:val="auto"/>
                          <w:sz w:val="20"/>
                          <w:szCs w:val="20"/>
                        </w:rPr>
                      </w:pPr>
                      <w:r w:rsidRPr="00415AEA">
                        <w:rPr>
                          <w:i w:val="0"/>
                          <w:color w:val="auto"/>
                          <w:sz w:val="20"/>
                          <w:szCs w:val="20"/>
                        </w:rPr>
                        <w:t>Figure 9</w:t>
                      </w:r>
                      <w:r>
                        <w:rPr>
                          <w:i w:val="0"/>
                          <w:color w:val="auto"/>
                          <w:sz w:val="20"/>
                          <w:szCs w:val="20"/>
                        </w:rPr>
                        <w:t>:</w:t>
                      </w:r>
                      <w:r w:rsidRPr="00415AEA">
                        <w:rPr>
                          <w:i w:val="0"/>
                          <w:color w:val="auto"/>
                          <w:sz w:val="20"/>
                          <w:szCs w:val="20"/>
                        </w:rPr>
                        <w:t xml:space="preserve"> PJSI Partner Courts Producing and Publishing Annual Reports </w:t>
                      </w:r>
                    </w:p>
                  </w:txbxContent>
                </v:textbox>
                <w10:wrap anchorx="margin"/>
              </v:shape>
            </w:pict>
          </mc:Fallback>
        </mc:AlternateContent>
      </w:r>
    </w:p>
    <w:p w14:paraId="68FA53B5" w14:textId="77777777" w:rsidR="003A44CE" w:rsidRPr="003A44CE" w:rsidRDefault="003A44CE" w:rsidP="006E44A3">
      <w:pPr>
        <w:spacing w:after="120"/>
        <w:rPr>
          <w:rFonts w:eastAsiaTheme="minorEastAsia" w:cs="HelveticaNeue-Light"/>
          <w:sz w:val="2"/>
          <w:szCs w:val="22"/>
          <w:lang w:val="en-AU" w:eastAsia="ja-JP"/>
        </w:rPr>
      </w:pPr>
    </w:p>
    <w:p w14:paraId="06A37E62" w14:textId="2C238036" w:rsidR="009F54DE" w:rsidRDefault="00183CA3" w:rsidP="006E44A3">
      <w:pPr>
        <w:spacing w:after="120"/>
        <w:rPr>
          <w:rFonts w:cstheme="minorHAnsi"/>
          <w:sz w:val="22"/>
          <w:szCs w:val="22"/>
          <w:lang w:val="en-AU"/>
        </w:rPr>
      </w:pPr>
      <w:r>
        <w:rPr>
          <w:rFonts w:eastAsiaTheme="minorEastAsia" w:cs="HelveticaNeue-Light"/>
          <w:sz w:val="22"/>
          <w:szCs w:val="22"/>
          <w:lang w:val="en-AU" w:eastAsia="ja-JP"/>
        </w:rPr>
        <w:t>By</w:t>
      </w:r>
      <w:r w:rsidR="003E09E9">
        <w:rPr>
          <w:rFonts w:eastAsiaTheme="minorEastAsia" w:cs="HelveticaNeue-Light"/>
          <w:sz w:val="22"/>
          <w:szCs w:val="22"/>
          <w:lang w:val="en-AU" w:eastAsia="ja-JP"/>
        </w:rPr>
        <w:t xml:space="preserve"> 2</w:t>
      </w:r>
      <w:r w:rsidR="009F54DE" w:rsidRPr="00F34A39">
        <w:rPr>
          <w:rFonts w:eastAsiaTheme="minorEastAsia" w:cs="HelveticaNeue-Light"/>
          <w:sz w:val="22"/>
          <w:szCs w:val="22"/>
          <w:lang w:val="en-AU" w:eastAsia="ja-JP"/>
        </w:rPr>
        <w:t xml:space="preserve">016, PJDP </w:t>
      </w:r>
      <w:r>
        <w:rPr>
          <w:rFonts w:eastAsiaTheme="minorEastAsia" w:cs="HelveticaNeue-Light"/>
          <w:sz w:val="22"/>
          <w:szCs w:val="22"/>
          <w:lang w:val="en-AU" w:eastAsia="ja-JP"/>
        </w:rPr>
        <w:t xml:space="preserve">had established the Cook Island </w:t>
      </w:r>
      <w:r w:rsidR="009F54DE" w:rsidRPr="00F34A39">
        <w:rPr>
          <w:rFonts w:eastAsiaTheme="minorEastAsia" w:cs="HelveticaNeue-Light"/>
          <w:sz w:val="22"/>
          <w:szCs w:val="22"/>
          <w:lang w:val="en-AU" w:eastAsia="ja-JP"/>
        </w:rPr>
        <w:t>Indicators (CII) and had seen transformative gains on its baselin</w:t>
      </w:r>
      <w:r w:rsidR="009F54DE" w:rsidRPr="00BD0BA7">
        <w:rPr>
          <w:rFonts w:eastAsiaTheme="minorEastAsia" w:cs="HelveticaNeue-Light"/>
          <w:sz w:val="22"/>
          <w:szCs w:val="22"/>
          <w:lang w:val="en-AU" w:eastAsia="ja-JP"/>
        </w:rPr>
        <w:t xml:space="preserve">e - two </w:t>
      </w:r>
      <w:r w:rsidR="00405EEB" w:rsidRPr="00BD0BA7">
        <w:rPr>
          <w:rFonts w:eastAsiaTheme="minorEastAsia" w:cs="HelveticaNeue-Light"/>
          <w:sz w:val="22"/>
          <w:szCs w:val="22"/>
          <w:lang w:val="en-AU" w:eastAsia="ja-JP"/>
        </w:rPr>
        <w:t xml:space="preserve">Partner Courts </w:t>
      </w:r>
      <w:r w:rsidR="009F54DE" w:rsidRPr="00BD0BA7">
        <w:rPr>
          <w:rFonts w:eastAsiaTheme="minorEastAsia" w:cs="HelveticaNeue-Light"/>
          <w:sz w:val="22"/>
          <w:szCs w:val="22"/>
          <w:lang w:val="en-AU" w:eastAsia="ja-JP"/>
        </w:rPr>
        <w:t xml:space="preserve">were producing annual reports (Vanuatu, RMI), </w:t>
      </w:r>
      <w:r w:rsidR="009F54DE" w:rsidRPr="00BD0BA7">
        <w:rPr>
          <w:rFonts w:cstheme="minorHAnsi"/>
          <w:sz w:val="22"/>
          <w:szCs w:val="22"/>
          <w:lang w:val="en-AU"/>
        </w:rPr>
        <w:t xml:space="preserve">one </w:t>
      </w:r>
      <w:r w:rsidR="00405EEB" w:rsidRPr="00BD0BA7">
        <w:rPr>
          <w:rFonts w:eastAsiaTheme="minorEastAsia" w:cs="HelveticaNeue-Light"/>
          <w:sz w:val="22"/>
          <w:szCs w:val="22"/>
          <w:lang w:val="en-AU" w:eastAsia="ja-JP"/>
        </w:rPr>
        <w:t>Partner Court</w:t>
      </w:r>
      <w:r w:rsidR="00405EEB" w:rsidRPr="00BD0BA7" w:rsidDel="00405EEB">
        <w:rPr>
          <w:rFonts w:cstheme="minorHAnsi"/>
          <w:sz w:val="22"/>
          <w:szCs w:val="22"/>
          <w:lang w:val="en-AU"/>
        </w:rPr>
        <w:t xml:space="preserve"> </w:t>
      </w:r>
      <w:r w:rsidR="009F54DE" w:rsidRPr="00BD0BA7">
        <w:rPr>
          <w:rFonts w:cstheme="minorHAnsi"/>
          <w:sz w:val="22"/>
          <w:szCs w:val="22"/>
          <w:lang w:val="en-AU"/>
        </w:rPr>
        <w:t xml:space="preserve">(RMI) collected significant performance data with remaining </w:t>
      </w:r>
      <w:r w:rsidR="00405EEB" w:rsidRPr="00BD0BA7">
        <w:rPr>
          <w:rFonts w:eastAsiaTheme="minorEastAsia" w:cs="HelveticaNeue-Light"/>
          <w:sz w:val="22"/>
          <w:szCs w:val="22"/>
          <w:lang w:val="en-AU" w:eastAsia="ja-JP"/>
        </w:rPr>
        <w:t>Partner Courts</w:t>
      </w:r>
      <w:r w:rsidR="00592025">
        <w:rPr>
          <w:rFonts w:cstheme="minorHAnsi"/>
          <w:sz w:val="22"/>
          <w:szCs w:val="22"/>
          <w:lang w:val="en-AU"/>
        </w:rPr>
        <w:t xml:space="preserve"> being able to collect n</w:t>
      </w:r>
      <w:r w:rsidR="00BF0639">
        <w:rPr>
          <w:rFonts w:cstheme="minorHAnsi"/>
          <w:sz w:val="22"/>
          <w:szCs w:val="22"/>
          <w:lang w:val="en-AU"/>
        </w:rPr>
        <w:t>o data or</w:t>
      </w:r>
      <w:r w:rsidR="000351C5">
        <w:rPr>
          <w:rFonts w:cstheme="minorHAnsi"/>
          <w:sz w:val="22"/>
          <w:szCs w:val="22"/>
          <w:lang w:val="en-AU"/>
        </w:rPr>
        <w:t>,</w:t>
      </w:r>
      <w:r w:rsidR="00BF0639">
        <w:rPr>
          <w:rFonts w:cstheme="minorHAnsi"/>
          <w:sz w:val="22"/>
          <w:szCs w:val="22"/>
          <w:lang w:val="en-AU"/>
        </w:rPr>
        <w:t xml:space="preserve"> only</w:t>
      </w:r>
      <w:r w:rsidR="009F54DE" w:rsidRPr="00BD0BA7">
        <w:rPr>
          <w:rFonts w:cstheme="minorHAnsi"/>
          <w:sz w:val="22"/>
          <w:szCs w:val="22"/>
          <w:lang w:val="en-AU"/>
        </w:rPr>
        <w:t xml:space="preserve"> basic </w:t>
      </w:r>
      <w:r w:rsidR="009F54DE" w:rsidRPr="00592025">
        <w:rPr>
          <w:rFonts w:cstheme="minorHAnsi"/>
          <w:sz w:val="22"/>
          <w:szCs w:val="22"/>
          <w:lang w:val="en-AU"/>
        </w:rPr>
        <w:t>data. By 2016</w:t>
      </w:r>
      <w:r w:rsidR="00592025">
        <w:rPr>
          <w:rFonts w:cstheme="minorHAnsi"/>
          <w:sz w:val="22"/>
          <w:szCs w:val="22"/>
          <w:lang w:val="en-AU"/>
        </w:rPr>
        <w:t>,</w:t>
      </w:r>
      <w:r w:rsidR="009F54DE" w:rsidRPr="00592025">
        <w:rPr>
          <w:rFonts w:cstheme="minorHAnsi"/>
          <w:sz w:val="22"/>
          <w:szCs w:val="22"/>
          <w:lang w:val="en-AU"/>
        </w:rPr>
        <w:t xml:space="preserve"> the Court had</w:t>
      </w:r>
      <w:r w:rsidR="009F54DE" w:rsidRPr="00F34A39">
        <w:rPr>
          <w:rFonts w:cstheme="minorHAnsi"/>
          <w:sz w:val="22"/>
          <w:szCs w:val="22"/>
          <w:lang w:val="en-AU"/>
        </w:rPr>
        <w:t xml:space="preserve"> also established time goals and reengineered case management to produce reliable data upon which to base efficiency gains in. Data to support improvements in the treatment of people with disabilities and GFV cases however, was collected by one </w:t>
      </w:r>
      <w:r w:rsidR="00405EEB" w:rsidRPr="00F34A39">
        <w:rPr>
          <w:rFonts w:eastAsiaTheme="minorEastAsia" w:cs="HelveticaNeue-Light"/>
          <w:sz w:val="22"/>
          <w:szCs w:val="22"/>
          <w:lang w:val="en-AU" w:eastAsia="ja-JP"/>
        </w:rPr>
        <w:t>Partner Court</w:t>
      </w:r>
      <w:r w:rsidR="009F54DE" w:rsidRPr="00F34A39">
        <w:rPr>
          <w:rFonts w:cstheme="minorHAnsi"/>
          <w:sz w:val="22"/>
          <w:szCs w:val="22"/>
          <w:lang w:val="en-AU"/>
        </w:rPr>
        <w:t xml:space="preserve">, and public perception surveys had only been conducted in two </w:t>
      </w:r>
      <w:r w:rsidR="00405EEB" w:rsidRPr="00F34A39">
        <w:rPr>
          <w:rFonts w:eastAsiaTheme="minorEastAsia" w:cs="HelveticaNeue-Light"/>
          <w:sz w:val="22"/>
          <w:szCs w:val="22"/>
          <w:lang w:val="en-AU" w:eastAsia="ja-JP"/>
        </w:rPr>
        <w:t>Partner Courts</w:t>
      </w:r>
      <w:r w:rsidR="00405EEB" w:rsidRPr="00F34A39" w:rsidDel="00405EEB">
        <w:rPr>
          <w:rFonts w:cstheme="minorHAnsi"/>
          <w:sz w:val="22"/>
          <w:szCs w:val="22"/>
          <w:lang w:val="en-AU"/>
        </w:rPr>
        <w:t xml:space="preserve"> </w:t>
      </w:r>
      <w:r w:rsidR="009F54DE" w:rsidRPr="00F34A39">
        <w:rPr>
          <w:rFonts w:cstheme="minorHAnsi"/>
          <w:sz w:val="22"/>
          <w:szCs w:val="22"/>
          <w:lang w:val="en-AU"/>
        </w:rPr>
        <w:t>(Palau, PNG).</w:t>
      </w:r>
    </w:p>
    <w:p w14:paraId="49341E4A" w14:textId="33056898" w:rsidR="009F54DE" w:rsidRPr="00F34A39" w:rsidRDefault="009F54DE" w:rsidP="009F54DE">
      <w:pPr>
        <w:autoSpaceDE w:val="0"/>
        <w:autoSpaceDN w:val="0"/>
        <w:adjustRightInd w:val="0"/>
        <w:spacing w:before="120" w:after="120"/>
        <w:rPr>
          <w:rFonts w:cstheme="minorHAnsi"/>
          <w:sz w:val="22"/>
          <w:szCs w:val="22"/>
          <w:lang w:val="en-AU"/>
        </w:rPr>
      </w:pPr>
      <w:r w:rsidRPr="00F34A39">
        <w:rPr>
          <w:rFonts w:cstheme="minorHAnsi"/>
          <w:sz w:val="22"/>
          <w:szCs w:val="22"/>
          <w:lang w:val="en-AU"/>
        </w:rPr>
        <w:t xml:space="preserve">The diagram </w:t>
      </w:r>
      <w:r w:rsidR="003E09E9">
        <w:rPr>
          <w:rFonts w:cstheme="minorHAnsi"/>
          <w:sz w:val="22"/>
          <w:szCs w:val="22"/>
          <w:lang w:val="en-AU"/>
        </w:rPr>
        <w:t xml:space="preserve">above </w:t>
      </w:r>
      <w:r w:rsidRPr="00F34A39">
        <w:rPr>
          <w:rFonts w:cstheme="minorHAnsi"/>
          <w:sz w:val="22"/>
          <w:szCs w:val="22"/>
          <w:lang w:val="en-AU"/>
        </w:rPr>
        <w:t xml:space="preserve">shows the increase in transparency among </w:t>
      </w:r>
      <w:r w:rsidR="00405EEB" w:rsidRPr="00F34A39">
        <w:rPr>
          <w:rFonts w:eastAsiaTheme="minorEastAsia" w:cs="HelveticaNeue-Light"/>
          <w:sz w:val="22"/>
          <w:szCs w:val="22"/>
          <w:lang w:val="en-AU" w:eastAsia="ja-JP"/>
        </w:rPr>
        <w:t>Partner Courts</w:t>
      </w:r>
      <w:r w:rsidR="00405EEB" w:rsidRPr="00F34A39" w:rsidDel="00405EEB">
        <w:rPr>
          <w:rFonts w:cstheme="minorHAnsi"/>
          <w:sz w:val="22"/>
          <w:szCs w:val="22"/>
          <w:lang w:val="en-AU"/>
        </w:rPr>
        <w:t xml:space="preserve"> </w:t>
      </w:r>
      <w:r w:rsidRPr="00F34A39">
        <w:rPr>
          <w:rFonts w:cstheme="minorHAnsi"/>
          <w:sz w:val="22"/>
          <w:szCs w:val="22"/>
          <w:lang w:val="en-AU"/>
        </w:rPr>
        <w:t xml:space="preserve">with respect to the breadth and depth of court performance information collected and reported publicly. </w:t>
      </w:r>
      <w:r w:rsidR="00B86465">
        <w:rPr>
          <w:rFonts w:cstheme="minorHAnsi"/>
          <w:sz w:val="22"/>
          <w:szCs w:val="22"/>
          <w:lang w:val="en-AU"/>
        </w:rPr>
        <w:t>The diagram below shows the increase over time of Partner Courts being able to collect data against more CII.</w:t>
      </w:r>
    </w:p>
    <w:p w14:paraId="5D3F1330" w14:textId="39E5AFE2" w:rsidR="00794AD9" w:rsidRDefault="009F54DE" w:rsidP="00BF73A9">
      <w:pPr>
        <w:autoSpaceDE w:val="0"/>
        <w:autoSpaceDN w:val="0"/>
        <w:adjustRightInd w:val="0"/>
        <w:spacing w:before="120" w:after="120"/>
        <w:rPr>
          <w:noProof/>
          <w:lang w:val="en-AU"/>
        </w:rPr>
      </w:pPr>
      <w:r w:rsidRPr="00F34A39">
        <w:rPr>
          <w:rFonts w:cstheme="minorHAnsi"/>
          <w:sz w:val="22"/>
          <w:szCs w:val="22"/>
          <w:lang w:val="en-AU"/>
        </w:rPr>
        <w:t>Given the importance</w:t>
      </w:r>
      <w:r w:rsidR="000351C5">
        <w:rPr>
          <w:rFonts w:cstheme="minorHAnsi"/>
          <w:sz w:val="22"/>
          <w:szCs w:val="22"/>
          <w:lang w:val="en-AU"/>
        </w:rPr>
        <w:t xml:space="preserve"> of data about marginalised </w:t>
      </w:r>
      <w:r w:rsidRPr="00F34A39">
        <w:rPr>
          <w:rFonts w:cstheme="minorHAnsi"/>
          <w:sz w:val="22"/>
          <w:szCs w:val="22"/>
          <w:lang w:val="en-AU"/>
        </w:rPr>
        <w:t>people accessing courts and just</w:t>
      </w:r>
      <w:r w:rsidR="000351C5">
        <w:rPr>
          <w:rFonts w:cstheme="minorHAnsi"/>
          <w:sz w:val="22"/>
          <w:szCs w:val="22"/>
          <w:lang w:val="en-AU"/>
        </w:rPr>
        <w:t>ice</w:t>
      </w:r>
      <w:r w:rsidRPr="00F34A39">
        <w:rPr>
          <w:rFonts w:cstheme="minorHAnsi"/>
          <w:sz w:val="22"/>
          <w:szCs w:val="22"/>
          <w:lang w:val="en-AU"/>
        </w:rPr>
        <w:t xml:space="preserve"> an additional five </w:t>
      </w:r>
      <w:r w:rsidR="000351C5">
        <w:rPr>
          <w:rFonts w:cstheme="minorHAnsi"/>
          <w:sz w:val="22"/>
          <w:szCs w:val="22"/>
          <w:lang w:val="en-AU"/>
        </w:rPr>
        <w:t>indicators</w:t>
      </w:r>
      <w:r w:rsidRPr="00F34A39">
        <w:rPr>
          <w:rFonts w:cstheme="minorHAnsi"/>
          <w:sz w:val="22"/>
          <w:szCs w:val="22"/>
          <w:lang w:val="en-AU"/>
        </w:rPr>
        <w:t xml:space="preserve"> were agreed </w:t>
      </w:r>
      <w:r w:rsidR="00846FB2" w:rsidRPr="00F34A39">
        <w:rPr>
          <w:rFonts w:cstheme="minorHAnsi"/>
          <w:sz w:val="22"/>
          <w:szCs w:val="22"/>
          <w:lang w:val="en-AU"/>
        </w:rPr>
        <w:t xml:space="preserve">by </w:t>
      </w:r>
      <w:r w:rsidRPr="00F34A39">
        <w:rPr>
          <w:rFonts w:cstheme="minorHAnsi"/>
          <w:sz w:val="22"/>
          <w:szCs w:val="22"/>
          <w:lang w:val="en-AU"/>
        </w:rPr>
        <w:t>the region’s Chief Justice</w:t>
      </w:r>
      <w:r w:rsidR="000351C5">
        <w:rPr>
          <w:rFonts w:cstheme="minorHAnsi"/>
          <w:sz w:val="22"/>
          <w:szCs w:val="22"/>
          <w:lang w:val="en-AU"/>
        </w:rPr>
        <w:t xml:space="preserve"> to form part of the CII</w:t>
      </w:r>
      <w:r w:rsidRPr="00F34A39">
        <w:rPr>
          <w:rFonts w:cstheme="minorHAnsi"/>
          <w:sz w:val="22"/>
          <w:szCs w:val="22"/>
          <w:lang w:val="en-AU"/>
        </w:rPr>
        <w:t xml:space="preserve">. The indicators relate to the gender, age and disabilities of parties. The 2019 Annual Reports from six </w:t>
      </w:r>
      <w:r w:rsidR="00846FB2" w:rsidRPr="00F34A39">
        <w:rPr>
          <w:rFonts w:eastAsiaTheme="minorEastAsia" w:cs="HelveticaNeue-Light"/>
          <w:sz w:val="22"/>
          <w:szCs w:val="22"/>
          <w:lang w:val="en-AU" w:eastAsia="ja-JP"/>
        </w:rPr>
        <w:t>Partner Courts</w:t>
      </w:r>
      <w:r w:rsidR="00846FB2" w:rsidRPr="00F34A39" w:rsidDel="00846FB2">
        <w:rPr>
          <w:rFonts w:cstheme="minorHAnsi"/>
          <w:sz w:val="22"/>
          <w:szCs w:val="22"/>
          <w:lang w:val="en-AU"/>
        </w:rPr>
        <w:t xml:space="preserve"> </w:t>
      </w:r>
      <w:r w:rsidRPr="00F34A39">
        <w:rPr>
          <w:rFonts w:cstheme="minorHAnsi"/>
          <w:sz w:val="22"/>
          <w:szCs w:val="22"/>
          <w:lang w:val="en-AU"/>
        </w:rPr>
        <w:t>(Kiribati, FSM, RMI, Palau, Tonga and Vanuatu) for the first time presented ag</w:t>
      </w:r>
      <w:r w:rsidR="000351C5">
        <w:rPr>
          <w:rFonts w:cstheme="minorHAnsi"/>
          <w:sz w:val="22"/>
          <w:szCs w:val="22"/>
          <w:lang w:val="en-AU"/>
        </w:rPr>
        <w:t>e and sex disaggregated data related</w:t>
      </w:r>
      <w:r w:rsidRPr="00F34A39">
        <w:rPr>
          <w:rFonts w:cstheme="minorHAnsi"/>
          <w:sz w:val="22"/>
          <w:szCs w:val="22"/>
          <w:lang w:val="en-AU"/>
        </w:rPr>
        <w:t xml:space="preserve"> to family law and violence cases. T</w:t>
      </w:r>
      <w:r w:rsidR="00427556">
        <w:rPr>
          <w:rFonts w:cstheme="minorHAnsi"/>
          <w:sz w:val="22"/>
          <w:szCs w:val="22"/>
          <w:lang w:val="en-AU"/>
        </w:rPr>
        <w:t>wo</w:t>
      </w:r>
      <w:r w:rsidRPr="00F34A39">
        <w:rPr>
          <w:rFonts w:cstheme="minorHAnsi"/>
          <w:sz w:val="22"/>
          <w:szCs w:val="22"/>
          <w:lang w:val="en-AU"/>
        </w:rPr>
        <w:t xml:space="preserve"> </w:t>
      </w:r>
      <w:r w:rsidR="00846FB2" w:rsidRPr="00F34A39">
        <w:rPr>
          <w:rFonts w:eastAsiaTheme="minorEastAsia" w:cs="HelveticaNeue-Light"/>
          <w:sz w:val="22"/>
          <w:szCs w:val="22"/>
          <w:lang w:val="en-AU" w:eastAsia="ja-JP"/>
        </w:rPr>
        <w:t>Partner Courts</w:t>
      </w:r>
      <w:r w:rsidR="00846FB2" w:rsidRPr="00F34A39" w:rsidDel="00846FB2">
        <w:rPr>
          <w:rFonts w:cstheme="minorHAnsi"/>
          <w:sz w:val="22"/>
          <w:szCs w:val="22"/>
          <w:lang w:val="en-AU"/>
        </w:rPr>
        <w:t xml:space="preserve"> </w:t>
      </w:r>
      <w:r w:rsidRPr="00F34A39">
        <w:rPr>
          <w:rFonts w:cstheme="minorHAnsi"/>
          <w:sz w:val="22"/>
          <w:szCs w:val="22"/>
          <w:lang w:val="en-AU"/>
        </w:rPr>
        <w:t xml:space="preserve">also </w:t>
      </w:r>
      <w:r w:rsidR="000351C5">
        <w:rPr>
          <w:rFonts w:cstheme="minorHAnsi"/>
          <w:sz w:val="22"/>
          <w:szCs w:val="22"/>
          <w:lang w:val="en-AU"/>
        </w:rPr>
        <w:t xml:space="preserve">now </w:t>
      </w:r>
      <w:r w:rsidRPr="00F34A39">
        <w:rPr>
          <w:rFonts w:cstheme="minorHAnsi"/>
          <w:sz w:val="22"/>
          <w:szCs w:val="22"/>
          <w:lang w:val="en-AU"/>
        </w:rPr>
        <w:t>collect</w:t>
      </w:r>
      <w:r w:rsidR="000351C5">
        <w:rPr>
          <w:rFonts w:cstheme="minorHAnsi"/>
          <w:sz w:val="22"/>
          <w:szCs w:val="22"/>
          <w:lang w:val="en-AU"/>
        </w:rPr>
        <w:t xml:space="preserve"> disability da</w:t>
      </w:r>
      <w:r w:rsidR="00427556">
        <w:rPr>
          <w:rFonts w:cstheme="minorHAnsi"/>
          <w:sz w:val="22"/>
          <w:szCs w:val="22"/>
          <w:lang w:val="en-AU"/>
        </w:rPr>
        <w:t>ta (Palau and RMI),</w:t>
      </w:r>
      <w:r w:rsidR="00210120">
        <w:rPr>
          <w:rFonts w:cstheme="minorHAnsi"/>
          <w:sz w:val="22"/>
          <w:szCs w:val="22"/>
          <w:lang w:val="en-AU"/>
        </w:rPr>
        <w:t xml:space="preserve"> and</w:t>
      </w:r>
      <w:r w:rsidR="00427556">
        <w:rPr>
          <w:rFonts w:cstheme="minorHAnsi"/>
          <w:sz w:val="22"/>
          <w:szCs w:val="22"/>
          <w:lang w:val="en-AU"/>
        </w:rPr>
        <w:t xml:space="preserve"> six</w:t>
      </w:r>
      <w:r w:rsidR="00846FB2" w:rsidRPr="00F34A39" w:rsidDel="00846FB2">
        <w:rPr>
          <w:rFonts w:cstheme="minorHAnsi"/>
          <w:sz w:val="22"/>
          <w:szCs w:val="22"/>
          <w:lang w:val="en-AU"/>
        </w:rPr>
        <w:t xml:space="preserve"> </w:t>
      </w:r>
      <w:r w:rsidRPr="00F34A39">
        <w:rPr>
          <w:rFonts w:cstheme="minorHAnsi"/>
          <w:sz w:val="22"/>
          <w:szCs w:val="22"/>
          <w:lang w:val="en-AU"/>
        </w:rPr>
        <w:t>(</w:t>
      </w:r>
      <w:r w:rsidRPr="00F34A39">
        <w:rPr>
          <w:sz w:val="22"/>
          <w:szCs w:val="22"/>
          <w:lang w:val="en-AU"/>
        </w:rPr>
        <w:t>PNG, F</w:t>
      </w:r>
      <w:r w:rsidR="000351C5">
        <w:rPr>
          <w:sz w:val="22"/>
          <w:szCs w:val="22"/>
          <w:lang w:val="en-AU"/>
        </w:rPr>
        <w:t>SM, RMI, Tonga, Pal</w:t>
      </w:r>
      <w:r w:rsidR="00427556">
        <w:rPr>
          <w:sz w:val="22"/>
          <w:szCs w:val="22"/>
          <w:lang w:val="en-AU"/>
        </w:rPr>
        <w:t>au and</w:t>
      </w:r>
      <w:r w:rsidR="000351C5">
        <w:rPr>
          <w:sz w:val="22"/>
          <w:szCs w:val="22"/>
          <w:lang w:val="en-AU"/>
        </w:rPr>
        <w:t xml:space="preserve"> Kiribati</w:t>
      </w:r>
      <w:r w:rsidRPr="00F34A39">
        <w:rPr>
          <w:sz w:val="22"/>
          <w:szCs w:val="22"/>
          <w:lang w:val="en-AU"/>
        </w:rPr>
        <w:t xml:space="preserve">) </w:t>
      </w:r>
      <w:r w:rsidRPr="00F34A39">
        <w:rPr>
          <w:rFonts w:cstheme="minorHAnsi"/>
          <w:sz w:val="22"/>
          <w:szCs w:val="22"/>
          <w:lang w:val="en-AU"/>
        </w:rPr>
        <w:t>conduct court user surveys and integr</w:t>
      </w:r>
      <w:r w:rsidR="000351C5">
        <w:rPr>
          <w:rFonts w:cstheme="minorHAnsi"/>
          <w:sz w:val="22"/>
          <w:szCs w:val="22"/>
          <w:lang w:val="en-AU"/>
        </w:rPr>
        <w:t xml:space="preserve">ate feedback into their </w:t>
      </w:r>
      <w:r w:rsidRPr="00F34A39">
        <w:rPr>
          <w:rFonts w:cstheme="minorHAnsi"/>
          <w:sz w:val="22"/>
          <w:szCs w:val="22"/>
          <w:lang w:val="en-AU"/>
        </w:rPr>
        <w:t xml:space="preserve">improvement plans. </w:t>
      </w:r>
      <w:r w:rsidR="0073396A" w:rsidRPr="00102B59">
        <w:rPr>
          <w:rFonts w:cstheme="minorHAnsi"/>
          <w:sz w:val="22"/>
          <w:szCs w:val="22"/>
          <w:lang w:val="en-AU"/>
        </w:rPr>
        <w:t>11</w:t>
      </w:r>
      <w:r w:rsidRPr="00102B59">
        <w:rPr>
          <w:rFonts w:cstheme="minorHAnsi"/>
          <w:sz w:val="22"/>
          <w:szCs w:val="22"/>
          <w:lang w:val="en-AU"/>
        </w:rPr>
        <w:t xml:space="preserve"> </w:t>
      </w:r>
      <w:r w:rsidR="00846FB2" w:rsidRPr="00102B59">
        <w:rPr>
          <w:rFonts w:eastAsiaTheme="minorEastAsia" w:cs="HelveticaNeue-Light"/>
          <w:sz w:val="22"/>
          <w:szCs w:val="22"/>
          <w:lang w:val="en-AU" w:eastAsia="ja-JP"/>
        </w:rPr>
        <w:t>Partner Courts</w:t>
      </w:r>
      <w:r w:rsidR="0073396A" w:rsidRPr="00102B59">
        <w:rPr>
          <w:rStyle w:val="FootnoteReference"/>
          <w:rFonts w:eastAsiaTheme="minorEastAsia" w:cs="HelveticaNeue-Light"/>
          <w:sz w:val="22"/>
          <w:szCs w:val="22"/>
          <w:lang w:val="en-AU" w:eastAsia="ja-JP"/>
        </w:rPr>
        <w:footnoteReference w:id="12"/>
      </w:r>
      <w:r w:rsidR="000351C5">
        <w:rPr>
          <w:sz w:val="22"/>
          <w:szCs w:val="22"/>
          <w:lang w:val="en-AU"/>
        </w:rPr>
        <w:t xml:space="preserve"> now present</w:t>
      </w:r>
      <w:r w:rsidRPr="00102B59">
        <w:rPr>
          <w:sz w:val="22"/>
          <w:szCs w:val="22"/>
          <w:lang w:val="en-AU"/>
        </w:rPr>
        <w:t xml:space="preserve"> data on the percentage of civil ca</w:t>
      </w:r>
      <w:r w:rsidR="00A84981">
        <w:rPr>
          <w:sz w:val="22"/>
          <w:szCs w:val="22"/>
          <w:lang w:val="en-AU"/>
        </w:rPr>
        <w:t>ses granted a</w:t>
      </w:r>
      <w:r w:rsidR="000351C5">
        <w:rPr>
          <w:sz w:val="22"/>
          <w:szCs w:val="22"/>
          <w:lang w:val="en-AU"/>
        </w:rPr>
        <w:t xml:space="preserve"> fee waiver and nine</w:t>
      </w:r>
      <w:r w:rsidR="00ED5BB4">
        <w:rPr>
          <w:rStyle w:val="FootnoteReference"/>
          <w:rFonts w:eastAsiaTheme="minorEastAsia" w:cs="HelveticaNeue-Light"/>
          <w:sz w:val="22"/>
          <w:szCs w:val="22"/>
          <w:lang w:val="en-AU" w:eastAsia="ja-JP"/>
        </w:rPr>
        <w:footnoteReference w:id="13"/>
      </w:r>
      <w:r w:rsidR="00846FB2" w:rsidRPr="00F34A39" w:rsidDel="00846FB2">
        <w:rPr>
          <w:sz w:val="22"/>
          <w:szCs w:val="22"/>
          <w:lang w:val="en-AU"/>
        </w:rPr>
        <w:t xml:space="preserve"> </w:t>
      </w:r>
      <w:r w:rsidRPr="00F34A39">
        <w:rPr>
          <w:sz w:val="22"/>
          <w:szCs w:val="22"/>
          <w:lang w:val="en-AU"/>
        </w:rPr>
        <w:t xml:space="preserve">calculate the percentage of legal aid cases. </w:t>
      </w:r>
      <w:r w:rsidR="00FA5910" w:rsidRPr="00F34A39">
        <w:rPr>
          <w:rFonts w:cstheme="minorHAnsi"/>
          <w:sz w:val="22"/>
          <w:szCs w:val="22"/>
          <w:lang w:val="en-AU"/>
        </w:rPr>
        <w:t xml:space="preserve">Partner Courts now understand the proportion of cases coming through the formal justice system, the outcomes and the challenges faced by court users, particularly vulnerable and marginalised groups. Courts also understand how they are performing with new insight into key data. The courts are using these and broader insights gleaned through improved data collection and analysis to improve service </w:t>
      </w:r>
      <w:bookmarkStart w:id="16" w:name="_Toc77423616"/>
      <w:bookmarkStart w:id="17" w:name="_Toc75185174"/>
      <w:bookmarkEnd w:id="12"/>
      <w:r w:rsidR="00A84981" w:rsidRPr="00F34A39">
        <w:rPr>
          <w:rFonts w:cstheme="minorHAnsi"/>
          <w:sz w:val="22"/>
          <w:szCs w:val="22"/>
          <w:lang w:val="en-AU"/>
        </w:rPr>
        <w:t>provision through strategic planning cycles and the successful delivery of activities that respond to quantified shortfalls.</w:t>
      </w:r>
      <w:r w:rsidR="00B21166" w:rsidRPr="00B21166">
        <w:rPr>
          <w:noProof/>
          <w:lang w:val="en-AU"/>
        </w:rPr>
        <w:t xml:space="preserve"> </w:t>
      </w:r>
    </w:p>
    <w:p w14:paraId="56268A49" w14:textId="2F4D4EED" w:rsidR="00653652" w:rsidRPr="00BF73A9" w:rsidRDefault="00DD7359" w:rsidP="00DD7359">
      <w:pPr>
        <w:autoSpaceDE w:val="0"/>
        <w:autoSpaceDN w:val="0"/>
        <w:adjustRightInd w:val="0"/>
        <w:spacing w:before="120" w:after="120"/>
        <w:ind w:left="-426"/>
        <w:rPr>
          <w:sz w:val="22"/>
          <w:szCs w:val="22"/>
          <w:lang w:val="en-AU"/>
        </w:rPr>
      </w:pPr>
      <w:r>
        <w:rPr>
          <w:noProof/>
          <w:sz w:val="22"/>
          <w:szCs w:val="22"/>
          <w:lang w:val="en-AU"/>
        </w:rPr>
        <w:lastRenderedPageBreak/>
        <w:drawing>
          <wp:inline distT="0" distB="0" distL="0" distR="0" wp14:anchorId="1FA96EBD" wp14:editId="397AD059">
            <wp:extent cx="5972175" cy="51339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72175" cy="5133975"/>
                    </a:xfrm>
                    <a:prstGeom prst="rect">
                      <a:avLst/>
                    </a:prstGeom>
                    <a:noFill/>
                    <a:ln>
                      <a:noFill/>
                    </a:ln>
                  </pic:spPr>
                </pic:pic>
              </a:graphicData>
            </a:graphic>
          </wp:inline>
        </w:drawing>
      </w:r>
      <w:r w:rsidR="00653652">
        <w:rPr>
          <w:noProof/>
          <w:lang w:val="en-AU"/>
        </w:rPr>
        <mc:AlternateContent>
          <mc:Choice Requires="wps">
            <w:drawing>
              <wp:anchor distT="0" distB="0" distL="114300" distR="114300" simplePos="0" relativeHeight="251705856" behindDoc="0" locked="0" layoutInCell="1" allowOverlap="1" wp14:anchorId="09F234DC" wp14:editId="43D9B4C3">
                <wp:simplePos x="0" y="0"/>
                <wp:positionH relativeFrom="column">
                  <wp:posOffset>-245110</wp:posOffset>
                </wp:positionH>
                <wp:positionV relativeFrom="paragraph">
                  <wp:posOffset>635</wp:posOffset>
                </wp:positionV>
                <wp:extent cx="6320155" cy="200025"/>
                <wp:effectExtent l="0" t="0" r="4445" b="9525"/>
                <wp:wrapSquare wrapText="bothSides"/>
                <wp:docPr id="1044" name="Text Box 1044"/>
                <wp:cNvGraphicFramePr/>
                <a:graphic xmlns:a="http://schemas.openxmlformats.org/drawingml/2006/main">
                  <a:graphicData uri="http://schemas.microsoft.com/office/word/2010/wordprocessingShape">
                    <wps:wsp>
                      <wps:cNvSpPr txBox="1"/>
                      <wps:spPr>
                        <a:xfrm>
                          <a:off x="0" y="0"/>
                          <a:ext cx="6320155" cy="200025"/>
                        </a:xfrm>
                        <a:prstGeom prst="rect">
                          <a:avLst/>
                        </a:prstGeom>
                        <a:solidFill>
                          <a:prstClr val="white"/>
                        </a:solidFill>
                        <a:ln>
                          <a:noFill/>
                        </a:ln>
                      </wps:spPr>
                      <wps:txbx>
                        <w:txbxContent>
                          <w:p w14:paraId="4BB2762B" w14:textId="05B1330C" w:rsidR="00CA4E85" w:rsidRPr="002E47A1" w:rsidRDefault="00CA4E85" w:rsidP="00653652">
                            <w:pPr>
                              <w:pStyle w:val="Caption"/>
                              <w:rPr>
                                <w:i w:val="0"/>
                                <w:noProof/>
                                <w:color w:val="auto"/>
                              </w:rPr>
                            </w:pPr>
                            <w:r w:rsidRPr="002E47A1">
                              <w:rPr>
                                <w:i w:val="0"/>
                                <w:color w:val="auto"/>
                              </w:rPr>
                              <w:t>Table 1: 14 PJSI Partner Courts that currently report on the 15 Indicators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F234DC" id="Text Box 1044" o:spid="_x0000_s1047" type="#_x0000_t202" style="position:absolute;left:0;text-align:left;margin-left:-19.3pt;margin-top:.05pt;width:497.65pt;height:15.75pt;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HkMQIAAG4EAAAOAAAAZHJzL2Uyb0RvYy54bWysVMGO2yAQvVfqPyDujZ10s6qsOKs0q1SV&#10;ot2VkmrPBEOMhBkKJHb69R2wnbTbnqpe8DAzDLz3Zrx46BpNzsJ5Baak00lOiTAcKmWOJf2233z4&#10;RIkPzFRMgxElvQhPH5bv3y1aW4gZ1KAr4QgWMb5obUnrEGyRZZ7XomF+AlYYDEpwDQu4dcescqzF&#10;6o3OZnl+n7XgKuuAC+/R+9gH6TLVl1Lw8CylF4HokuLbQlpdWg9xzZYLVhwds7XiwzPYP7yiYcrg&#10;pddSjywwcnLqj1KN4g48yDDh0GQgpeIiYUA00/wNml3NrEhYkBxvrzT5/1eWP51fHFEVapff3VFi&#10;WIMq7UUXyGfoSHIiR631BabuLCaHDiOYH7mLfo/OCL2TrolfBEUwjmxfrgzHehyd9x8R5nxOCccY&#10;6pfP5rFMdjttnQ9fBDQkGiV1qGAilp23PvSpY0q8zINW1UZpHTcxsNaOnBmq3dYqiKH4b1naxFwD&#10;8VRfMHqyG5Rohe7QJVpmV5wHqC4I30HfRN7yjcILt8yHF+awaxAxTkJ4xkVqaEsKg0VJDe7H3/wx&#10;H8XEKCUtdmFJ/fcTc4IS/dWgzLFlR8ONxmE0zKlZA0Kd4oxZnkw84IIeTemgecUBWcVbMMQMx7tK&#10;GkZzHfpZwAHjYrVKSdiYloWt2VkeS4/E7rtX5uwgS0BBn2DsT1a8UafP7WlenQJIlaSLxPYsDnxj&#10;UyfxhwGMU/PrPmXdfhPLnwAAAP//AwBQSwMEFAAGAAgAAAAhAKpvmZzcAAAABwEAAA8AAABkcnMv&#10;ZG93bnJldi54bWxMjsFOwzAQRO9I/IO1SFxQ67QVoYQ4FbRwK4eWqudtvCQR8TqynSb9e9wTHEdv&#10;NPPy1WhacSbnG8sKZtMEBHFpdcOVgsPXx2QJwgdkja1lUnAhD6vi9ibHTNuBd3Teh0rEEfYZKqhD&#10;6DIpfVmTQT+1HXFk39YZDDG6SmqHQxw3rZwnSSoNNhwfauxoXVP5s++NgnTj+mHH64fN4X2Ln101&#10;P75djkrd342vLyACjeGvDFf9qA5FdDrZnrUXrYLJYpnG6hWIiJ8f0ycQJwWLWQqyyOV//+IXAAD/&#10;/wMAUEsBAi0AFAAGAAgAAAAhALaDOJL+AAAA4QEAABMAAAAAAAAAAAAAAAAAAAAAAFtDb250ZW50&#10;X1R5cGVzXS54bWxQSwECLQAUAAYACAAAACEAOP0h/9YAAACUAQAACwAAAAAAAAAAAAAAAAAvAQAA&#10;X3JlbHMvLnJlbHNQSwECLQAUAAYACAAAACEAIQRR5DECAABuBAAADgAAAAAAAAAAAAAAAAAuAgAA&#10;ZHJzL2Uyb0RvYy54bWxQSwECLQAUAAYACAAAACEAqm+ZnNwAAAAHAQAADwAAAAAAAAAAAAAAAACL&#10;BAAAZHJzL2Rvd25yZXYueG1sUEsFBgAAAAAEAAQA8wAAAJQFAAAAAA==&#10;" stroked="f">
                <v:textbox inset="0,0,0,0">
                  <w:txbxContent>
                    <w:p w14:paraId="4BB2762B" w14:textId="05B1330C" w:rsidR="00CA4E85" w:rsidRPr="002E47A1" w:rsidRDefault="00CA4E85" w:rsidP="00653652">
                      <w:pPr>
                        <w:pStyle w:val="Caption"/>
                        <w:rPr>
                          <w:i w:val="0"/>
                          <w:noProof/>
                          <w:color w:val="auto"/>
                        </w:rPr>
                      </w:pPr>
                      <w:r w:rsidRPr="002E47A1">
                        <w:rPr>
                          <w:i w:val="0"/>
                          <w:color w:val="auto"/>
                        </w:rPr>
                        <w:t>Table 1: 14 PJSI Partner Courts that currently report on the 15 Indicators</w:t>
                      </w:r>
                    </w:p>
                  </w:txbxContent>
                </v:textbox>
                <w10:wrap type="square"/>
              </v:shape>
            </w:pict>
          </mc:Fallback>
        </mc:AlternateContent>
      </w:r>
    </w:p>
    <w:p w14:paraId="5BF41CFD" w14:textId="68B34278" w:rsidR="00423B8F" w:rsidRDefault="00423B8F" w:rsidP="00423B8F">
      <w:pPr>
        <w:rPr>
          <w:lang w:val="en-AU"/>
        </w:rPr>
      </w:pPr>
      <w:r w:rsidRPr="00423B8F">
        <w:rPr>
          <w:rFonts w:cstheme="minorHAnsi"/>
          <w:noProof/>
          <w:lang w:val="en-AU"/>
        </w:rPr>
        <w:lastRenderedPageBreak/>
        <mc:AlternateContent>
          <mc:Choice Requires="wps">
            <w:drawing>
              <wp:inline distT="0" distB="0" distL="0" distR="0" wp14:anchorId="16755779" wp14:editId="70BD2C22">
                <wp:extent cx="5781675" cy="4029075"/>
                <wp:effectExtent l="19050" t="19050" r="28575" b="28575"/>
                <wp:docPr id="3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4029075"/>
                        </a:xfrm>
                        <a:prstGeom prst="rect">
                          <a:avLst/>
                        </a:prstGeom>
                        <a:solidFill>
                          <a:srgbClr val="FFFFFF"/>
                        </a:solidFill>
                        <a:ln w="28575">
                          <a:solidFill>
                            <a:schemeClr val="accent3"/>
                          </a:solidFill>
                          <a:miter lim="800000"/>
                          <a:headEnd/>
                          <a:tailEnd/>
                        </a:ln>
                      </wps:spPr>
                      <wps:txbx>
                        <w:txbxContent>
                          <w:p w14:paraId="1C26E334" w14:textId="77777777" w:rsidR="00CA4E85" w:rsidRPr="00794AD9" w:rsidRDefault="00CA4E85" w:rsidP="00794AD9">
                            <w:pPr>
                              <w:autoSpaceDE w:val="0"/>
                              <w:autoSpaceDN w:val="0"/>
                              <w:adjustRightInd w:val="0"/>
                              <w:spacing w:before="240" w:after="240"/>
                              <w:jc w:val="center"/>
                              <w:rPr>
                                <w:rFonts w:cstheme="minorHAnsi"/>
                                <w:b/>
                                <w:color w:val="00667C" w:themeColor="accent1"/>
                                <w:sz w:val="30"/>
                                <w:szCs w:val="30"/>
                              </w:rPr>
                            </w:pPr>
                            <w:r w:rsidRPr="00794AD9">
                              <w:rPr>
                                <w:rFonts w:cstheme="minorHAnsi"/>
                                <w:b/>
                                <w:color w:val="00667C" w:themeColor="accent1"/>
                                <w:sz w:val="30"/>
                                <w:szCs w:val="30"/>
                              </w:rPr>
                              <w:t>Vanuatu</w:t>
                            </w:r>
                          </w:p>
                          <w:p w14:paraId="1AE70DB8" w14:textId="77777777" w:rsidR="00CA4E85" w:rsidRPr="00932780" w:rsidRDefault="00CA4E85" w:rsidP="00794AD9">
                            <w:pPr>
                              <w:spacing w:after="120"/>
                              <w:rPr>
                                <w:rFonts w:cstheme="minorHAnsi"/>
                                <w:color w:val="000000" w:themeColor="text1"/>
                                <w:sz w:val="22"/>
                                <w:szCs w:val="22"/>
                              </w:rPr>
                            </w:pPr>
                            <w:r w:rsidRPr="00932780">
                              <w:rPr>
                                <w:rFonts w:cstheme="minorHAnsi"/>
                                <w:color w:val="000000" w:themeColor="text1"/>
                                <w:sz w:val="22"/>
                                <w:szCs w:val="22"/>
                              </w:rPr>
                              <w:t xml:space="preserve">In January 2020, the Chief Justice presented publicly a comprehensive </w:t>
                            </w:r>
                            <w:hyperlink r:id="rId79" w:history="1">
                              <w:r w:rsidRPr="00932780">
                                <w:rPr>
                                  <w:rStyle w:val="Hyperlink"/>
                                  <w:rFonts w:cstheme="minorHAnsi"/>
                                  <w:sz w:val="22"/>
                                  <w:szCs w:val="22"/>
                                </w:rPr>
                                <w:t>Statistical Overview</w:t>
                              </w:r>
                            </w:hyperlink>
                            <w:r>
                              <w:rPr>
                                <w:rFonts w:cstheme="minorHAnsi"/>
                                <w:color w:val="000000" w:themeColor="text1"/>
                                <w:sz w:val="22"/>
                                <w:szCs w:val="22"/>
                              </w:rPr>
                              <w:t xml:space="preserve"> of the court’s work, i</w:t>
                            </w:r>
                            <w:r w:rsidRPr="00932780">
                              <w:rPr>
                                <w:rFonts w:cstheme="minorHAnsi"/>
                                <w:color w:val="000000" w:themeColor="text1"/>
                                <w:sz w:val="22"/>
                                <w:szCs w:val="22"/>
                              </w:rPr>
                              <w:t>nclud</w:t>
                            </w:r>
                            <w:r>
                              <w:rPr>
                                <w:rFonts w:cstheme="minorHAnsi"/>
                                <w:color w:val="000000" w:themeColor="text1"/>
                                <w:sz w:val="22"/>
                                <w:szCs w:val="22"/>
                              </w:rPr>
                              <w:t>ing</w:t>
                            </w:r>
                            <w:r w:rsidRPr="00932780">
                              <w:rPr>
                                <w:rFonts w:cstheme="minorHAnsi"/>
                                <w:color w:val="000000" w:themeColor="text1"/>
                                <w:sz w:val="22"/>
                                <w:szCs w:val="22"/>
                              </w:rPr>
                              <w:t xml:space="preserve"> seven years of trend data for many of the Cook Island Indicators. For the first time, Vanuatu was able to include sex-disaggregated and protection order data. </w:t>
                            </w:r>
                          </w:p>
                          <w:p w14:paraId="2D061ECA" w14:textId="77777777" w:rsidR="00CA4E85" w:rsidRDefault="00CA4E85" w:rsidP="00794AD9">
                            <w:pPr>
                              <w:autoSpaceDE w:val="0"/>
                              <w:autoSpaceDN w:val="0"/>
                              <w:adjustRightInd w:val="0"/>
                              <w:spacing w:before="120" w:after="120"/>
                              <w:rPr>
                                <w:rFonts w:cstheme="minorHAnsi"/>
                                <w:i/>
                                <w:iCs/>
                                <w:color w:val="262626"/>
                                <w:sz w:val="22"/>
                                <w:szCs w:val="22"/>
                              </w:rPr>
                            </w:pPr>
                            <w:r w:rsidRPr="00932780">
                              <w:rPr>
                                <w:rFonts w:cstheme="minorHAnsi"/>
                                <w:i/>
                                <w:iCs/>
                                <w:color w:val="262626"/>
                                <w:sz w:val="22"/>
                                <w:szCs w:val="22"/>
                              </w:rPr>
                              <w:t>“We have greater transparency about the performance of the courts, and insights into case management…we will continue to drill into more specifics such as who appears before us – their age, gender for example, as well the orders and outcomes associated with the cases. Our ability to present…our 2019 performance analysis…is testament to the work of many.</w:t>
                            </w:r>
                            <w:r>
                              <w:rPr>
                                <w:rFonts w:cstheme="minorHAnsi"/>
                                <w:i/>
                                <w:iCs/>
                                <w:color w:val="262626"/>
                                <w:sz w:val="22"/>
                                <w:szCs w:val="22"/>
                              </w:rPr>
                              <w:t>”</w:t>
                            </w:r>
                          </w:p>
                          <w:p w14:paraId="5ED80824" w14:textId="77777777" w:rsidR="00CA4E85" w:rsidRPr="00B62621" w:rsidRDefault="00CA4E85" w:rsidP="00794AD9">
                            <w:pPr>
                              <w:autoSpaceDE w:val="0"/>
                              <w:autoSpaceDN w:val="0"/>
                              <w:adjustRightInd w:val="0"/>
                              <w:spacing w:after="120"/>
                              <w:jc w:val="right"/>
                              <w:rPr>
                                <w:rFonts w:cstheme="minorHAnsi"/>
                                <w:b/>
                                <w:i/>
                                <w:iCs/>
                                <w:color w:val="262626"/>
                                <w:sz w:val="20"/>
                                <w:szCs w:val="20"/>
                              </w:rPr>
                            </w:pPr>
                            <w:r w:rsidRPr="000E45DF">
                              <w:rPr>
                                <w:rFonts w:cstheme="minorHAnsi"/>
                                <w:b/>
                                <w:i/>
                                <w:iCs/>
                                <w:color w:val="262626"/>
                                <w:sz w:val="20"/>
                                <w:szCs w:val="20"/>
                              </w:rPr>
                              <w:t>The Hon. Chief Justice Vincent Lunabek</w:t>
                            </w:r>
                          </w:p>
                          <w:p w14:paraId="20BD4856" w14:textId="77777777" w:rsidR="00CA4E85" w:rsidRDefault="00CA4E85" w:rsidP="00794AD9">
                            <w:pPr>
                              <w:rPr>
                                <w:i/>
                                <w:sz w:val="22"/>
                                <w:szCs w:val="22"/>
                                <w:lang w:val="en-AU"/>
                              </w:rPr>
                            </w:pPr>
                            <w:r w:rsidRPr="00932780">
                              <w:rPr>
                                <w:i/>
                                <w:sz w:val="22"/>
                                <w:szCs w:val="22"/>
                                <w:lang w:val="en-AU"/>
                              </w:rPr>
                              <w:t>“When we were appraised of the case data for all our courts, we could see significant reductions in filings in the Island Court, especially around maintenance matters. We also saw that cases were not being finalised and pending cases were increasing. Following our and PJSIs focus on training island courts justice, in 2020 we see a big difference.  In Efate for example, there has been an increase in case registration by 21% and of 13% in finalizing cases. Lay justices are more confident in delivering oral judgments without delay, and more people are confident in the justice system and coming forth to register their cases. Judges, Magistrates and Island Court Justices can now measure their performance against key indicators. The results have shown a very promising consistent management of cases to effectively deliver justic</w:t>
                            </w:r>
                            <w:r>
                              <w:rPr>
                                <w:i/>
                                <w:sz w:val="22"/>
                                <w:szCs w:val="22"/>
                                <w:lang w:val="en-AU"/>
                              </w:rPr>
                              <w:t>e in a timely manner.</w:t>
                            </w:r>
                          </w:p>
                          <w:p w14:paraId="188CDD5E" w14:textId="77777777" w:rsidR="00CA4E85" w:rsidRPr="00B62621" w:rsidRDefault="00CA4E85" w:rsidP="00794AD9">
                            <w:pPr>
                              <w:spacing w:before="120"/>
                              <w:jc w:val="right"/>
                              <w:rPr>
                                <w:i/>
                                <w:sz w:val="20"/>
                                <w:szCs w:val="20"/>
                                <w:lang w:val="en-AU"/>
                              </w:rPr>
                            </w:pPr>
                            <w:r w:rsidRPr="000E45DF">
                              <w:rPr>
                                <w:b/>
                                <w:i/>
                                <w:sz w:val="20"/>
                                <w:szCs w:val="20"/>
                                <w:lang w:val="en-AU"/>
                              </w:rPr>
                              <w:t>Chief Registrar, Joel Shemi</w:t>
                            </w:r>
                          </w:p>
                          <w:p w14:paraId="6F15159E" w14:textId="77777777" w:rsidR="00CA4E85" w:rsidRPr="00C0419F" w:rsidRDefault="00CA4E85" w:rsidP="00794AD9">
                            <w:pPr>
                              <w:autoSpaceDE w:val="0"/>
                              <w:autoSpaceDN w:val="0"/>
                              <w:adjustRightInd w:val="0"/>
                              <w:spacing w:before="120" w:after="120"/>
                              <w:ind w:left="142"/>
                              <w:jc w:val="right"/>
                              <w:rPr>
                                <w:rFonts w:eastAsiaTheme="minorEastAsia" w:cstheme="minorHAnsi"/>
                                <w:b/>
                                <w:i/>
                                <w:sz w:val="20"/>
                                <w:szCs w:val="20"/>
                                <w:lang w:eastAsia="ja-JP"/>
                              </w:rPr>
                            </w:pPr>
                          </w:p>
                          <w:p w14:paraId="16EB50A0" w14:textId="77777777" w:rsidR="00CA4E85" w:rsidRDefault="00CA4E85" w:rsidP="00794AD9"/>
                        </w:txbxContent>
                      </wps:txbx>
                      <wps:bodyPr rot="0" vert="horz" wrap="square" lIns="91440" tIns="45720" rIns="91440" bIns="45720" anchor="t" anchorCtr="0">
                        <a:noAutofit/>
                      </wps:bodyPr>
                    </wps:wsp>
                  </a:graphicData>
                </a:graphic>
              </wp:inline>
            </w:drawing>
          </mc:Choice>
          <mc:Fallback>
            <w:pict>
              <v:shape w14:anchorId="16755779" id="Text Box 2" o:spid="_x0000_s1048" type="#_x0000_t202" style="width:455.25pt;height:3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L5xLwIAAFQEAAAOAAAAZHJzL2Uyb0RvYy54bWysVNuO0zAQfUfiHyy/01zabtuo6WrpUoS0&#10;XKRdPsBxnMbC9gTbbVK+nrHTLYXlCZEHa8YzPp45Z5z17aAVOQrrJJiSZpOUEmE41NLsS/r1afdm&#10;SYnzzNRMgRElPQlHbzevX637rhA5tKBqYQmCGFf0XUlb77siSRxvhWZuAp0wGGzAaubRtfuktqxH&#10;dK2SPE1vkh5s3VngwjncvR+DdBPxm0Zw/7lpnPBElRRr83G1ca3CmmzWrNhb1rWSn8tg/1CFZtLg&#10;pReoe+YZOVj5AkpLbsFB4yccdAJNI7mIPWA3WfpHN48t60TsBclx3YUm9/9g+afjF0tkXdJptppS&#10;YphGlZ7E4MlbGEgeCOo7V2DeY4eZfsBtFDo267oH4N8cMbBtmdmLO2uhbwWrscAsnEyujo44LoBU&#10;/Ueo8Rp28BCBhsbqwB7yQRAdhTpdxAmlcNycL5bZzWJOCcfYLM1XKTrhDlY8H++s8+8FaBKMklpU&#10;P8Kz44PzY+pzSrjNgZL1TioVHbuvtsqSI8NJ2cXvjP5bmjKkL2m+nOPlLzHC1IoLCuNcGD/9G4yW&#10;HsdeSV3SZRq+kMSKwN07U0fbM6lGGztU5kxm4G9k0g/VEIXLLyJVUJ+QXgvjmOOzRKMF+4OSHke8&#10;pO77gVlBifpgUKJVNpuFNxGd2XyRo2OvI9V1hBmOUCX1lIzm1sd3FOo2cIdSNjKSHDQfKznXjKMb&#10;ZTo/s/A2rv2Y9etnsPkJAAD//wMAUEsDBBQABgAIAAAAIQDl9m9B3AAAAAUBAAAPAAAAZHJzL2Rv&#10;d25yZXYueG1sTI/BTsMwEETvSP0Haytxo05bWkHIpmqROKAeEC4Hjk68JIF4Hdlum/49hgtcVhrN&#10;aOZtsRltL07kQ+cYYT7LQBDXznTcILwdnm7uQISo2ejeMSFcKMCmnFwVOjfuzK90UrERqYRDrhHa&#10;GIdcylC3ZHWYuYE4eR/OWx2T9I00Xp9Tue3lIsvW0uqO00KrB3psqf5SR4uwe1bvbKvl/rPxdFCX&#10;7V69yArxejpuH0BEGuNfGH7wEzqUialyRzZB9Ajpkfh7k3c/z1YgKoT18nYFsizkf/ryGwAA//8D&#10;AFBLAQItABQABgAIAAAAIQC2gziS/gAAAOEBAAATAAAAAAAAAAAAAAAAAAAAAABbQ29udGVudF9U&#10;eXBlc10ueG1sUEsBAi0AFAAGAAgAAAAhADj9If/WAAAAlAEAAAsAAAAAAAAAAAAAAAAALwEAAF9y&#10;ZWxzLy5yZWxzUEsBAi0AFAAGAAgAAAAhAMucvnEvAgAAVAQAAA4AAAAAAAAAAAAAAAAALgIAAGRy&#10;cy9lMm9Eb2MueG1sUEsBAi0AFAAGAAgAAAAhAOX2b0HcAAAABQEAAA8AAAAAAAAAAAAAAAAAiQQA&#10;AGRycy9kb3ducmV2LnhtbFBLBQYAAAAABAAEAPMAAACSBQAAAAA=&#10;" strokecolor="#b31b34 [3206]" strokeweight="2.25pt">
                <v:textbox>
                  <w:txbxContent>
                    <w:p w14:paraId="1C26E334" w14:textId="77777777" w:rsidR="00CA4E85" w:rsidRPr="00794AD9" w:rsidRDefault="00CA4E85" w:rsidP="00794AD9">
                      <w:pPr>
                        <w:autoSpaceDE w:val="0"/>
                        <w:autoSpaceDN w:val="0"/>
                        <w:adjustRightInd w:val="0"/>
                        <w:spacing w:before="240" w:after="240"/>
                        <w:jc w:val="center"/>
                        <w:rPr>
                          <w:rFonts w:cstheme="minorHAnsi"/>
                          <w:b/>
                          <w:color w:val="00667C" w:themeColor="accent1"/>
                          <w:sz w:val="30"/>
                          <w:szCs w:val="30"/>
                        </w:rPr>
                      </w:pPr>
                      <w:r w:rsidRPr="00794AD9">
                        <w:rPr>
                          <w:rFonts w:cstheme="minorHAnsi"/>
                          <w:b/>
                          <w:color w:val="00667C" w:themeColor="accent1"/>
                          <w:sz w:val="30"/>
                          <w:szCs w:val="30"/>
                        </w:rPr>
                        <w:t>Vanuatu</w:t>
                      </w:r>
                    </w:p>
                    <w:p w14:paraId="1AE70DB8" w14:textId="77777777" w:rsidR="00CA4E85" w:rsidRPr="00932780" w:rsidRDefault="00CA4E85" w:rsidP="00794AD9">
                      <w:pPr>
                        <w:spacing w:after="120"/>
                        <w:rPr>
                          <w:rFonts w:cstheme="minorHAnsi"/>
                          <w:color w:val="000000" w:themeColor="text1"/>
                          <w:sz w:val="22"/>
                          <w:szCs w:val="22"/>
                        </w:rPr>
                      </w:pPr>
                      <w:r w:rsidRPr="00932780">
                        <w:rPr>
                          <w:rFonts w:cstheme="minorHAnsi"/>
                          <w:color w:val="000000" w:themeColor="text1"/>
                          <w:sz w:val="22"/>
                          <w:szCs w:val="22"/>
                        </w:rPr>
                        <w:t xml:space="preserve">In January 2020, the Chief Justice presented publicly a comprehensive </w:t>
                      </w:r>
                      <w:hyperlink r:id="rId80" w:history="1">
                        <w:r w:rsidRPr="00932780">
                          <w:rPr>
                            <w:rStyle w:val="Hyperlink"/>
                            <w:rFonts w:cstheme="minorHAnsi"/>
                            <w:sz w:val="22"/>
                            <w:szCs w:val="22"/>
                          </w:rPr>
                          <w:t>Statistical Overview</w:t>
                        </w:r>
                      </w:hyperlink>
                      <w:r>
                        <w:rPr>
                          <w:rFonts w:cstheme="minorHAnsi"/>
                          <w:color w:val="000000" w:themeColor="text1"/>
                          <w:sz w:val="22"/>
                          <w:szCs w:val="22"/>
                        </w:rPr>
                        <w:t xml:space="preserve"> of the court’s work, i</w:t>
                      </w:r>
                      <w:r w:rsidRPr="00932780">
                        <w:rPr>
                          <w:rFonts w:cstheme="minorHAnsi"/>
                          <w:color w:val="000000" w:themeColor="text1"/>
                          <w:sz w:val="22"/>
                          <w:szCs w:val="22"/>
                        </w:rPr>
                        <w:t>nclud</w:t>
                      </w:r>
                      <w:r>
                        <w:rPr>
                          <w:rFonts w:cstheme="minorHAnsi"/>
                          <w:color w:val="000000" w:themeColor="text1"/>
                          <w:sz w:val="22"/>
                          <w:szCs w:val="22"/>
                        </w:rPr>
                        <w:t>ing</w:t>
                      </w:r>
                      <w:r w:rsidRPr="00932780">
                        <w:rPr>
                          <w:rFonts w:cstheme="minorHAnsi"/>
                          <w:color w:val="000000" w:themeColor="text1"/>
                          <w:sz w:val="22"/>
                          <w:szCs w:val="22"/>
                        </w:rPr>
                        <w:t xml:space="preserve"> seven years of trend data for many of the Cook Island Indicators. For the first time, Vanuatu was able to include sex-disaggregated and protection order data. </w:t>
                      </w:r>
                    </w:p>
                    <w:p w14:paraId="2D061ECA" w14:textId="77777777" w:rsidR="00CA4E85" w:rsidRDefault="00CA4E85" w:rsidP="00794AD9">
                      <w:pPr>
                        <w:autoSpaceDE w:val="0"/>
                        <w:autoSpaceDN w:val="0"/>
                        <w:adjustRightInd w:val="0"/>
                        <w:spacing w:before="120" w:after="120"/>
                        <w:rPr>
                          <w:rFonts w:cstheme="minorHAnsi"/>
                          <w:i/>
                          <w:iCs/>
                          <w:color w:val="262626"/>
                          <w:sz w:val="22"/>
                          <w:szCs w:val="22"/>
                        </w:rPr>
                      </w:pPr>
                      <w:r w:rsidRPr="00932780">
                        <w:rPr>
                          <w:rFonts w:cstheme="minorHAnsi"/>
                          <w:i/>
                          <w:iCs/>
                          <w:color w:val="262626"/>
                          <w:sz w:val="22"/>
                          <w:szCs w:val="22"/>
                        </w:rPr>
                        <w:t>“We have greater transparency about the performance of the courts, and insights into case management…we will continue to drill into more specifics such as who appears before us – their age, gender for example, as well the orders and outcomes associated with the cases. Our ability to present…our 2019 performance analysis…is testament to the work of many.</w:t>
                      </w:r>
                      <w:r>
                        <w:rPr>
                          <w:rFonts w:cstheme="minorHAnsi"/>
                          <w:i/>
                          <w:iCs/>
                          <w:color w:val="262626"/>
                          <w:sz w:val="22"/>
                          <w:szCs w:val="22"/>
                        </w:rPr>
                        <w:t>”</w:t>
                      </w:r>
                    </w:p>
                    <w:p w14:paraId="5ED80824" w14:textId="77777777" w:rsidR="00CA4E85" w:rsidRPr="00B62621" w:rsidRDefault="00CA4E85" w:rsidP="00794AD9">
                      <w:pPr>
                        <w:autoSpaceDE w:val="0"/>
                        <w:autoSpaceDN w:val="0"/>
                        <w:adjustRightInd w:val="0"/>
                        <w:spacing w:after="120"/>
                        <w:jc w:val="right"/>
                        <w:rPr>
                          <w:rFonts w:cstheme="minorHAnsi"/>
                          <w:b/>
                          <w:i/>
                          <w:iCs/>
                          <w:color w:val="262626"/>
                          <w:sz w:val="20"/>
                          <w:szCs w:val="20"/>
                        </w:rPr>
                      </w:pPr>
                      <w:r w:rsidRPr="000E45DF">
                        <w:rPr>
                          <w:rFonts w:cstheme="minorHAnsi"/>
                          <w:b/>
                          <w:i/>
                          <w:iCs/>
                          <w:color w:val="262626"/>
                          <w:sz w:val="20"/>
                          <w:szCs w:val="20"/>
                        </w:rPr>
                        <w:t>The Hon. Chief Justice Vincent Lunabek</w:t>
                      </w:r>
                    </w:p>
                    <w:p w14:paraId="20BD4856" w14:textId="77777777" w:rsidR="00CA4E85" w:rsidRDefault="00CA4E85" w:rsidP="00794AD9">
                      <w:pPr>
                        <w:rPr>
                          <w:i/>
                          <w:sz w:val="22"/>
                          <w:szCs w:val="22"/>
                          <w:lang w:val="en-AU"/>
                        </w:rPr>
                      </w:pPr>
                      <w:r w:rsidRPr="00932780">
                        <w:rPr>
                          <w:i/>
                          <w:sz w:val="22"/>
                          <w:szCs w:val="22"/>
                          <w:lang w:val="en-AU"/>
                        </w:rPr>
                        <w:t>“When we were appraised of the case data for all our courts, we could see significant reductions in filings in the Island Court, especially around maintenance matters. We also saw that cases were not being finalised and pending cases were increasing. Following our and PJSIs focus on training island courts justice, in 2020 we see a big difference.  In Efate for example, there has been an increase in case registration by 21% and of 13% in finalizing cases. Lay justices are more confident in delivering oral judgments without delay, and more people are confident in the justice system and coming forth to register their cases. Judges, Magistrates and Island Court Justices can now measure their performance against key indicators. The results have shown a very promising consistent management of cases to effectively deliver justic</w:t>
                      </w:r>
                      <w:r>
                        <w:rPr>
                          <w:i/>
                          <w:sz w:val="22"/>
                          <w:szCs w:val="22"/>
                          <w:lang w:val="en-AU"/>
                        </w:rPr>
                        <w:t>e in a timely manner.</w:t>
                      </w:r>
                    </w:p>
                    <w:p w14:paraId="188CDD5E" w14:textId="77777777" w:rsidR="00CA4E85" w:rsidRPr="00B62621" w:rsidRDefault="00CA4E85" w:rsidP="00794AD9">
                      <w:pPr>
                        <w:spacing w:before="120"/>
                        <w:jc w:val="right"/>
                        <w:rPr>
                          <w:i/>
                          <w:sz w:val="20"/>
                          <w:szCs w:val="20"/>
                          <w:lang w:val="en-AU"/>
                        </w:rPr>
                      </w:pPr>
                      <w:r w:rsidRPr="000E45DF">
                        <w:rPr>
                          <w:b/>
                          <w:i/>
                          <w:sz w:val="20"/>
                          <w:szCs w:val="20"/>
                          <w:lang w:val="en-AU"/>
                        </w:rPr>
                        <w:t>Chief Registrar, Joel Shemi</w:t>
                      </w:r>
                    </w:p>
                    <w:p w14:paraId="6F15159E" w14:textId="77777777" w:rsidR="00CA4E85" w:rsidRPr="00C0419F" w:rsidRDefault="00CA4E85" w:rsidP="00794AD9">
                      <w:pPr>
                        <w:autoSpaceDE w:val="0"/>
                        <w:autoSpaceDN w:val="0"/>
                        <w:adjustRightInd w:val="0"/>
                        <w:spacing w:before="120" w:after="120"/>
                        <w:ind w:left="142"/>
                        <w:jc w:val="right"/>
                        <w:rPr>
                          <w:rFonts w:eastAsiaTheme="minorEastAsia" w:cstheme="minorHAnsi"/>
                          <w:b/>
                          <w:i/>
                          <w:sz w:val="20"/>
                          <w:szCs w:val="20"/>
                          <w:lang w:eastAsia="ja-JP"/>
                        </w:rPr>
                      </w:pPr>
                    </w:p>
                    <w:p w14:paraId="16EB50A0" w14:textId="77777777" w:rsidR="00CA4E85" w:rsidRDefault="00CA4E85" w:rsidP="00794AD9"/>
                  </w:txbxContent>
                </v:textbox>
                <w10:anchorlock/>
              </v:shape>
            </w:pict>
          </mc:Fallback>
        </mc:AlternateContent>
      </w:r>
    </w:p>
    <w:p w14:paraId="7DEE6775" w14:textId="57EF7237" w:rsidR="00423B8F" w:rsidRPr="00423B8F" w:rsidRDefault="00423B8F" w:rsidP="00423B8F">
      <w:pPr>
        <w:rPr>
          <w:sz w:val="20"/>
          <w:lang w:val="en-AU"/>
        </w:rPr>
      </w:pPr>
    </w:p>
    <w:p w14:paraId="174F2726" w14:textId="34962125" w:rsidR="00DD0600" w:rsidRPr="00423B8F" w:rsidRDefault="00FB76B0" w:rsidP="00423B8F">
      <w:pPr>
        <w:pStyle w:val="HBHeading1"/>
        <w:spacing w:before="0"/>
        <w:rPr>
          <w:rFonts w:cstheme="minorHAnsi"/>
          <w:color w:val="004B5C" w:themeColor="accent1" w:themeShade="BF"/>
          <w:sz w:val="22"/>
          <w:szCs w:val="22"/>
          <w:lang w:val="en-AU"/>
        </w:rPr>
      </w:pPr>
      <w:bookmarkStart w:id="18" w:name="_Toc90564309"/>
      <w:r w:rsidRPr="00423B8F">
        <w:rPr>
          <w:color w:val="004B5C" w:themeColor="accent1" w:themeShade="BF"/>
          <w:lang w:val="en-AU"/>
        </w:rPr>
        <w:t>COVID Pivot</w:t>
      </w:r>
      <w:bookmarkEnd w:id="16"/>
      <w:bookmarkEnd w:id="18"/>
      <w:r w:rsidR="009A49A2" w:rsidRPr="00423B8F">
        <w:rPr>
          <w:color w:val="004B5C" w:themeColor="accent1" w:themeShade="BF"/>
          <w:lang w:val="en-AU"/>
        </w:rPr>
        <w:t xml:space="preserve"> </w:t>
      </w:r>
    </w:p>
    <w:p w14:paraId="1D223E2C" w14:textId="1BE1DE65" w:rsidR="00FB76B0" w:rsidRDefault="00FB76B0" w:rsidP="00FB76B0">
      <w:pPr>
        <w:spacing w:before="120" w:after="120"/>
        <w:rPr>
          <w:sz w:val="22"/>
          <w:szCs w:val="22"/>
          <w:lang w:val="en-AU"/>
        </w:rPr>
      </w:pPr>
      <w:r>
        <w:rPr>
          <w:sz w:val="22"/>
          <w:szCs w:val="22"/>
          <w:lang w:val="en-AU"/>
        </w:rPr>
        <w:t xml:space="preserve">Following the </w:t>
      </w:r>
      <w:r w:rsidR="000E618D">
        <w:rPr>
          <w:sz w:val="22"/>
          <w:szCs w:val="22"/>
          <w:lang w:val="en-AU"/>
        </w:rPr>
        <w:t xml:space="preserve">World Health Organisation’s declaration </w:t>
      </w:r>
      <w:r w:rsidR="00E9166A">
        <w:rPr>
          <w:sz w:val="22"/>
          <w:szCs w:val="22"/>
          <w:lang w:val="en-AU"/>
        </w:rPr>
        <w:t xml:space="preserve">in March 2020 </w:t>
      </w:r>
      <w:r>
        <w:rPr>
          <w:sz w:val="22"/>
          <w:szCs w:val="22"/>
          <w:lang w:val="en-AU"/>
        </w:rPr>
        <w:t xml:space="preserve">that COVID-19 had reached pandemic levels, PJSI was re-designed.  Responding </w:t>
      </w:r>
      <w:r w:rsidR="00241F64">
        <w:rPr>
          <w:sz w:val="22"/>
          <w:szCs w:val="22"/>
          <w:lang w:val="en-AU"/>
        </w:rPr>
        <w:t xml:space="preserve">to the most immediate challenges exacerbated by the pandemic and pivoting its delivery modalities to </w:t>
      </w:r>
      <w:r w:rsidR="00E9166A">
        <w:rPr>
          <w:sz w:val="22"/>
          <w:szCs w:val="22"/>
          <w:lang w:val="en-AU"/>
        </w:rPr>
        <w:t>‘</w:t>
      </w:r>
      <w:r w:rsidR="00241F64">
        <w:rPr>
          <w:sz w:val="22"/>
          <w:szCs w:val="22"/>
          <w:lang w:val="en-AU"/>
        </w:rPr>
        <w:t>remote</w:t>
      </w:r>
      <w:r w:rsidR="00E9166A">
        <w:rPr>
          <w:sz w:val="22"/>
          <w:szCs w:val="22"/>
          <w:lang w:val="en-AU"/>
        </w:rPr>
        <w:t>’</w:t>
      </w:r>
      <w:r w:rsidR="00241F64">
        <w:rPr>
          <w:sz w:val="22"/>
          <w:szCs w:val="22"/>
          <w:lang w:val="en-AU"/>
        </w:rPr>
        <w:t xml:space="preserve">, PJSI continued delivering activities throughout. </w:t>
      </w:r>
      <w:r w:rsidR="00E9166A">
        <w:rPr>
          <w:sz w:val="22"/>
          <w:szCs w:val="22"/>
          <w:lang w:val="en-AU"/>
        </w:rPr>
        <w:t xml:space="preserve">Its interventions </w:t>
      </w:r>
      <w:r w:rsidR="00241F64">
        <w:rPr>
          <w:sz w:val="22"/>
          <w:szCs w:val="22"/>
          <w:lang w:val="en-AU"/>
        </w:rPr>
        <w:t>enable</w:t>
      </w:r>
      <w:r w:rsidR="00E9166A">
        <w:rPr>
          <w:sz w:val="22"/>
          <w:szCs w:val="22"/>
          <w:lang w:val="en-AU"/>
        </w:rPr>
        <w:t>d</w:t>
      </w:r>
      <w:r w:rsidR="00241F64">
        <w:rPr>
          <w:sz w:val="22"/>
          <w:szCs w:val="22"/>
          <w:lang w:val="en-AU"/>
        </w:rPr>
        <w:t xml:space="preserve"> court proceedings to be conducted remotely</w:t>
      </w:r>
      <w:r w:rsidR="00E9166A">
        <w:rPr>
          <w:sz w:val="22"/>
          <w:szCs w:val="22"/>
          <w:lang w:val="en-AU"/>
        </w:rPr>
        <w:t xml:space="preserve"> and</w:t>
      </w:r>
      <w:r w:rsidR="00241F64">
        <w:rPr>
          <w:sz w:val="22"/>
          <w:szCs w:val="22"/>
          <w:lang w:val="en-AU"/>
        </w:rPr>
        <w:t xml:space="preserve"> Partner Courts to </w:t>
      </w:r>
      <w:r w:rsidR="00E9166A">
        <w:rPr>
          <w:sz w:val="22"/>
          <w:szCs w:val="22"/>
          <w:lang w:val="en-AU"/>
        </w:rPr>
        <w:t xml:space="preserve">therefore </w:t>
      </w:r>
      <w:r w:rsidR="00241F64">
        <w:rPr>
          <w:sz w:val="22"/>
          <w:szCs w:val="22"/>
          <w:lang w:val="en-AU"/>
        </w:rPr>
        <w:t>remain open. PJSI also provided targeted assistance to expedite and improve Partner Courts’ responses to sharply escalating numbers of women and girls suffering gender and family violence during extending periods of physical movement restrictions.</w:t>
      </w:r>
    </w:p>
    <w:p w14:paraId="05740883" w14:textId="1DEDE8B3" w:rsidR="003A44CE" w:rsidRDefault="003A44CE" w:rsidP="002B5DCD">
      <w:pPr>
        <w:spacing w:before="120" w:after="120"/>
        <w:rPr>
          <w:sz w:val="22"/>
          <w:szCs w:val="22"/>
          <w:lang w:val="en-AU"/>
        </w:rPr>
      </w:pPr>
      <w:r>
        <w:rPr>
          <w:noProof/>
          <w:lang w:val="en-AU"/>
        </w:rPr>
        <w:drawing>
          <wp:anchor distT="0" distB="0" distL="114300" distR="114300" simplePos="0" relativeHeight="251650560" behindDoc="1" locked="0" layoutInCell="1" allowOverlap="1" wp14:anchorId="2EAF4B9D" wp14:editId="376E36D6">
            <wp:simplePos x="0" y="0"/>
            <wp:positionH relativeFrom="margin">
              <wp:align>center</wp:align>
            </wp:positionH>
            <wp:positionV relativeFrom="paragraph">
              <wp:posOffset>177800</wp:posOffset>
            </wp:positionV>
            <wp:extent cx="4143375" cy="2150745"/>
            <wp:effectExtent l="0" t="0" r="9525" b="1905"/>
            <wp:wrapSquare wrapText="bothSides"/>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Opening - Chief Justice Palmer (1).png"/>
                    <pic:cNvPicPr/>
                  </pic:nvPicPr>
                  <pic:blipFill rotWithShape="1">
                    <a:blip r:embed="rId81">
                      <a:extLst>
                        <a:ext uri="{28A0092B-C50C-407E-A947-70E740481C1C}">
                          <a14:useLocalDpi xmlns:a14="http://schemas.microsoft.com/office/drawing/2010/main" val="0"/>
                        </a:ext>
                      </a:extLst>
                    </a:blip>
                    <a:srcRect t="13780" r="5215" b="17997"/>
                    <a:stretch/>
                  </pic:blipFill>
                  <pic:spPr bwMode="auto">
                    <a:xfrm>
                      <a:off x="0" y="0"/>
                      <a:ext cx="4143375" cy="2150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1D4B46" w14:textId="00A9B962" w:rsidR="003A44CE" w:rsidRDefault="003A44CE" w:rsidP="002B5DCD">
      <w:pPr>
        <w:spacing w:before="120" w:after="120"/>
        <w:rPr>
          <w:sz w:val="22"/>
          <w:szCs w:val="22"/>
          <w:lang w:val="en-AU"/>
        </w:rPr>
      </w:pPr>
      <w:r>
        <w:rPr>
          <w:noProof/>
          <w:lang w:val="en-AU"/>
        </w:rPr>
        <mc:AlternateContent>
          <mc:Choice Requires="wps">
            <w:drawing>
              <wp:anchor distT="0" distB="0" distL="114300" distR="114300" simplePos="0" relativeHeight="251651584" behindDoc="0" locked="0" layoutInCell="1" allowOverlap="1" wp14:anchorId="1F6BCA5A" wp14:editId="1A3A7906">
                <wp:simplePos x="0" y="0"/>
                <wp:positionH relativeFrom="margin">
                  <wp:posOffset>830580</wp:posOffset>
                </wp:positionH>
                <wp:positionV relativeFrom="paragraph">
                  <wp:posOffset>2093595</wp:posOffset>
                </wp:positionV>
                <wp:extent cx="4162425" cy="333375"/>
                <wp:effectExtent l="0" t="0" r="9525" b="9525"/>
                <wp:wrapSquare wrapText="bothSides"/>
                <wp:docPr id="501" name="Text Box 501"/>
                <wp:cNvGraphicFramePr/>
                <a:graphic xmlns:a="http://schemas.openxmlformats.org/drawingml/2006/main">
                  <a:graphicData uri="http://schemas.microsoft.com/office/word/2010/wordprocessingShape">
                    <wps:wsp>
                      <wps:cNvSpPr txBox="1"/>
                      <wps:spPr>
                        <a:xfrm>
                          <a:off x="0" y="0"/>
                          <a:ext cx="4162425" cy="333375"/>
                        </a:xfrm>
                        <a:prstGeom prst="rect">
                          <a:avLst/>
                        </a:prstGeom>
                        <a:solidFill>
                          <a:prstClr val="white"/>
                        </a:solidFill>
                        <a:ln>
                          <a:noFill/>
                        </a:ln>
                      </wps:spPr>
                      <wps:txbx>
                        <w:txbxContent>
                          <w:p w14:paraId="3F0C1E39" w14:textId="2B5CEFF6" w:rsidR="00CA4E85" w:rsidRPr="002E47A1" w:rsidRDefault="00CA4E85" w:rsidP="00DD0600">
                            <w:pPr>
                              <w:pStyle w:val="Caption"/>
                              <w:rPr>
                                <w:i w:val="0"/>
                                <w:noProof/>
                                <w:color w:val="auto"/>
                                <w:sz w:val="23"/>
                                <w:szCs w:val="24"/>
                              </w:rPr>
                            </w:pPr>
                            <w:r w:rsidRPr="002E47A1">
                              <w:rPr>
                                <w:i w:val="0"/>
                                <w:color w:val="auto"/>
                              </w:rPr>
                              <w:t>Figure 10: The Hon. Chief Justice Palmer Opening the Solomon Islands National Judicial</w:t>
                            </w:r>
                            <w:r>
                              <w:rPr>
                                <w:i w:val="0"/>
                                <w:color w:val="auto"/>
                              </w:rPr>
                              <w:t xml:space="preserve"> Workshop, Honiara, October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BCA5A" id="Text Box 501" o:spid="_x0000_s1049" type="#_x0000_t202" style="position:absolute;margin-left:65.4pt;margin-top:164.85pt;width:327.75pt;height:26.2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odMgIAAGwEAAAOAAAAZHJzL2Uyb0RvYy54bWysVMFuGjEQvVfqP1i+lwUS0mrFElEiqkoo&#10;iQRVzsZrs5Zsj2sbdunXd+xlSZv2VJWDGc+Mx37vzez8vjOanIQPCmxFJ6MxJcJyqJU9VPTbbv3h&#10;EyUhMlszDVZU9CwCvV+8fzdvXSmm0ICuhSdYxIaydRVtYnRlUQTeCMPCCJywGJTgDYu49Yei9qzF&#10;6kYX0/H4rmjB184DFyGg96EP0kWuL6Xg8UnKICLRFcW3xbz6vO7TWizmrDx45hrFL89g//AKw5TF&#10;S6+lHlhk5OjVH6WM4h4CyDjiYAqQUnGRMSCayfgNmm3DnMhYkJzgrjSF/1eWP56ePVF1RWfjCSWW&#10;GRRpJ7pIPkNHkg8Zal0oMXHrMDV2GEClB39AZwLeSW/SP0IiGEeuz1d+UzmOztvJ3fR2OqOEY+wG&#10;fx9nqUzxetr5EL8IMCQZFfWoX6aVnTYh9qlDSrosgFb1WmmdNimw0p6cGGrdNiqKS/HfsrRNuRbS&#10;qb5g8hQJYg8lWbHbd5mU6c2Acw/1GeF76FsoOL5WeOGGhfjMPPYMIsY5iE+4SA1tReFiUdKA//E3&#10;f8pHKTFKSYs9WNHw/ci8oER/tShyatjB8IOxHwx7NCtAqCgbviabeMBHPZjSg3nB8VimWzDELMe7&#10;KhoHcxX7ScDx4mK5zEnYlo7Fjd06nkoPxO66F+bdRZaIgj7C0J2sfKNOn9vTvDxGkCpLl4jtWbzw&#10;jS2dxb+MX5qZX/c56/UjsfgJAAD//wMAUEsDBBQABgAIAAAAIQC7398d4AAAAAsBAAAPAAAAZHJz&#10;L2Rvd25yZXYueG1sTI/BTsMwEETvSPyDtUhcEHVwpDRN41TQwg0OLVXPbmySiHgd2U6T/j3LCY6z&#10;M5p5W25m27OL8aFzKOFpkQAzWDvdYSPh+Pn2mAMLUaFWvUMj4WoCbKrbm1IV2k24N5dDbBiVYCiU&#10;hDbGoeA81K2xKizcYJC8L+etiiR9w7VXE5XbnoskybhVHdJCqwazbU39fRithGznx2mP24fd8fVd&#10;fQyNOL1cT1Le383Pa2DRzPEvDL/4hA4VMZ3diDqwnnSaEHqUkIrVEhgllnmWAjvTJRcCeFXy/z9U&#10;PwAAAP//AwBQSwECLQAUAAYACAAAACEAtoM4kv4AAADhAQAAEwAAAAAAAAAAAAAAAAAAAAAAW0Nv&#10;bnRlbnRfVHlwZXNdLnhtbFBLAQItABQABgAIAAAAIQA4/SH/1gAAAJQBAAALAAAAAAAAAAAAAAAA&#10;AC8BAABfcmVscy8ucmVsc1BLAQItABQABgAIAAAAIQAZgvodMgIAAGwEAAAOAAAAAAAAAAAAAAAA&#10;AC4CAABkcnMvZTJvRG9jLnhtbFBLAQItABQABgAIAAAAIQC7398d4AAAAAsBAAAPAAAAAAAAAAAA&#10;AAAAAIwEAABkcnMvZG93bnJldi54bWxQSwUGAAAAAAQABADzAAAAmQUAAAAA&#10;" stroked="f">
                <v:textbox inset="0,0,0,0">
                  <w:txbxContent>
                    <w:p w14:paraId="3F0C1E39" w14:textId="2B5CEFF6" w:rsidR="00CA4E85" w:rsidRPr="002E47A1" w:rsidRDefault="00CA4E85" w:rsidP="00DD0600">
                      <w:pPr>
                        <w:pStyle w:val="Caption"/>
                        <w:rPr>
                          <w:i w:val="0"/>
                          <w:noProof/>
                          <w:color w:val="auto"/>
                          <w:sz w:val="23"/>
                          <w:szCs w:val="24"/>
                        </w:rPr>
                      </w:pPr>
                      <w:r w:rsidRPr="002E47A1">
                        <w:rPr>
                          <w:i w:val="0"/>
                          <w:color w:val="auto"/>
                        </w:rPr>
                        <w:t>Figure 10: The Hon. Chief Justice Palmer Opening the Solomon Islands National Judicial</w:t>
                      </w:r>
                      <w:r>
                        <w:rPr>
                          <w:i w:val="0"/>
                          <w:color w:val="auto"/>
                        </w:rPr>
                        <w:t xml:space="preserve"> Workshop, Honiara, October 2020</w:t>
                      </w:r>
                    </w:p>
                  </w:txbxContent>
                </v:textbox>
                <w10:wrap type="square" anchorx="margin"/>
              </v:shape>
            </w:pict>
          </mc:Fallback>
        </mc:AlternateContent>
      </w:r>
    </w:p>
    <w:p w14:paraId="515D7E35" w14:textId="77777777" w:rsidR="003A44CE" w:rsidRDefault="003A44CE" w:rsidP="002B5DCD">
      <w:pPr>
        <w:spacing w:before="120" w:after="120"/>
        <w:rPr>
          <w:sz w:val="22"/>
          <w:szCs w:val="22"/>
          <w:lang w:val="en-AU"/>
        </w:rPr>
      </w:pPr>
    </w:p>
    <w:p w14:paraId="54931948" w14:textId="77777777" w:rsidR="003A44CE" w:rsidRDefault="003A44CE" w:rsidP="002B5DCD">
      <w:pPr>
        <w:spacing w:before="120" w:after="120"/>
        <w:rPr>
          <w:sz w:val="22"/>
          <w:szCs w:val="22"/>
          <w:lang w:val="en-AU"/>
        </w:rPr>
      </w:pPr>
    </w:p>
    <w:p w14:paraId="51DCC562" w14:textId="77777777" w:rsidR="003A44CE" w:rsidRDefault="003A44CE" w:rsidP="002B5DCD">
      <w:pPr>
        <w:spacing w:before="120" w:after="120"/>
        <w:rPr>
          <w:sz w:val="22"/>
          <w:szCs w:val="22"/>
          <w:lang w:val="en-AU"/>
        </w:rPr>
      </w:pPr>
    </w:p>
    <w:p w14:paraId="1E5C8863" w14:textId="77777777" w:rsidR="003A44CE" w:rsidRDefault="003A44CE" w:rsidP="002B5DCD">
      <w:pPr>
        <w:spacing w:before="120" w:after="120"/>
        <w:rPr>
          <w:sz w:val="22"/>
          <w:szCs w:val="22"/>
          <w:lang w:val="en-AU"/>
        </w:rPr>
      </w:pPr>
    </w:p>
    <w:p w14:paraId="19794AE2" w14:textId="77777777" w:rsidR="003A44CE" w:rsidRDefault="003A44CE" w:rsidP="002B5DCD">
      <w:pPr>
        <w:spacing w:before="120" w:after="120"/>
        <w:rPr>
          <w:sz w:val="22"/>
          <w:szCs w:val="22"/>
          <w:lang w:val="en-AU"/>
        </w:rPr>
      </w:pPr>
    </w:p>
    <w:p w14:paraId="5EA1EFCC" w14:textId="77777777" w:rsidR="003A44CE" w:rsidRDefault="003A44CE" w:rsidP="002B5DCD">
      <w:pPr>
        <w:spacing w:before="120" w:after="120"/>
        <w:rPr>
          <w:sz w:val="22"/>
          <w:szCs w:val="22"/>
          <w:lang w:val="en-AU"/>
        </w:rPr>
      </w:pPr>
    </w:p>
    <w:p w14:paraId="62B34912" w14:textId="77777777" w:rsidR="003A44CE" w:rsidRDefault="003A44CE" w:rsidP="002B5DCD">
      <w:pPr>
        <w:spacing w:before="120" w:after="120"/>
        <w:rPr>
          <w:sz w:val="22"/>
          <w:szCs w:val="22"/>
          <w:lang w:val="en-AU"/>
        </w:rPr>
      </w:pPr>
    </w:p>
    <w:p w14:paraId="0A662B91" w14:textId="77777777" w:rsidR="003A44CE" w:rsidRDefault="003A44CE" w:rsidP="002B5DCD">
      <w:pPr>
        <w:spacing w:before="120" w:after="120"/>
        <w:rPr>
          <w:sz w:val="22"/>
          <w:szCs w:val="22"/>
          <w:lang w:val="en-AU"/>
        </w:rPr>
      </w:pPr>
    </w:p>
    <w:p w14:paraId="55974D25" w14:textId="77777777" w:rsidR="003A44CE" w:rsidRDefault="003A44CE" w:rsidP="002B5DCD">
      <w:pPr>
        <w:spacing w:before="120" w:after="120"/>
        <w:rPr>
          <w:sz w:val="22"/>
          <w:szCs w:val="22"/>
          <w:lang w:val="en-AU"/>
        </w:rPr>
      </w:pPr>
    </w:p>
    <w:p w14:paraId="4B6EB9CB" w14:textId="49454B41" w:rsidR="003A44CE" w:rsidRDefault="003A44CE" w:rsidP="002B5DCD">
      <w:pPr>
        <w:spacing w:before="120" w:after="120"/>
        <w:rPr>
          <w:sz w:val="22"/>
          <w:szCs w:val="22"/>
          <w:lang w:val="en-AU"/>
        </w:rPr>
      </w:pPr>
    </w:p>
    <w:p w14:paraId="6036384B" w14:textId="53E3EB82" w:rsidR="003A44CE" w:rsidRPr="008579CA" w:rsidRDefault="003E35D9" w:rsidP="002B5DCD">
      <w:pPr>
        <w:spacing w:before="120" w:after="120"/>
        <w:rPr>
          <w:sz w:val="2"/>
          <w:szCs w:val="22"/>
          <w:lang w:val="en-AU"/>
        </w:rPr>
      </w:pPr>
      <w:r w:rsidRPr="008579CA">
        <w:rPr>
          <w:noProof/>
          <w:sz w:val="22"/>
          <w:szCs w:val="22"/>
          <w:lang w:val="en-AU"/>
        </w:rPr>
        <w:lastRenderedPageBreak/>
        <mc:AlternateContent>
          <mc:Choice Requires="wps">
            <w:drawing>
              <wp:anchor distT="45720" distB="45720" distL="114300" distR="114300" simplePos="0" relativeHeight="251694592" behindDoc="1" locked="0" layoutInCell="1" allowOverlap="1" wp14:anchorId="300D9FD7" wp14:editId="02392ABC">
                <wp:simplePos x="0" y="0"/>
                <wp:positionH relativeFrom="margin">
                  <wp:align>right</wp:align>
                </wp:positionH>
                <wp:positionV relativeFrom="margin">
                  <wp:align>top</wp:align>
                </wp:positionV>
                <wp:extent cx="5781675" cy="2171700"/>
                <wp:effectExtent l="19050" t="19050" r="28575" b="19050"/>
                <wp:wrapTight wrapText="bothSides">
                  <wp:wrapPolygon edited="0">
                    <wp:start x="-71" y="-189"/>
                    <wp:lineTo x="-71" y="21600"/>
                    <wp:lineTo x="21636" y="21600"/>
                    <wp:lineTo x="21636" y="-189"/>
                    <wp:lineTo x="-71" y="-189"/>
                  </wp:wrapPolygon>
                </wp:wrapTight>
                <wp:docPr id="4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2171700"/>
                        </a:xfrm>
                        <a:prstGeom prst="rect">
                          <a:avLst/>
                        </a:prstGeom>
                        <a:noFill/>
                        <a:ln w="28575">
                          <a:solidFill>
                            <a:schemeClr val="accent2"/>
                          </a:solidFill>
                          <a:miter lim="800000"/>
                          <a:headEnd/>
                          <a:tailEnd/>
                        </a:ln>
                      </wps:spPr>
                      <wps:txbx>
                        <w:txbxContent>
                          <w:p w14:paraId="6561C1F8" w14:textId="3EA06E4D" w:rsidR="00CA4E85" w:rsidRDefault="00CA4E8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D9FD7" id="_x0000_s1050" type="#_x0000_t202" style="position:absolute;margin-left:404.05pt;margin-top:0;width:455.25pt;height:171pt;z-index:-251621888;visibility:visible;mso-wrap-style:square;mso-width-percent:0;mso-height-percent:0;mso-wrap-distance-left:9pt;mso-wrap-distance-top:3.6pt;mso-wrap-distance-right:9pt;mso-wrap-distance-bottom:3.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7zKQIAACsEAAAOAAAAZHJzL2Uyb0RvYy54bWysU9tu2zAMfR+wfxD0vjg2kiY14hRdug4D&#10;ugvQ7gMYWY6FSaInKbGzrx8lJ1m2vQ3TgyCK1CF5eLS6G4xmB+m8QlvxfDLlTFqBtbK7in99eXyz&#10;5MwHsDVotLLiR+n53fr1q1XflbLAFnUtHSMQ68u+q3gbQldmmRetNOAn2ElLzgadgUCm22W1g57Q&#10;jc6K6fQm69HVnUMhvafbh9HJ1wm/aaQIn5vGy8B0xam2kHaX9m3cs/UKyp2DrlXiVAb8QxUGlKWk&#10;F6gHCMD2Tv0FZZRw6LEJE4Emw6ZRQqYeqJt8+kc3zy10MvVC5PjuQpP/f7Di0+GLY6qu+Ky4LTiz&#10;YGhKL3II7C0OrIgE9Z0vKe65o8gw0DUNOjXruycU3zyzuGnB7uS9c9i3EmoqMI8vs6unI46PINv+&#10;I9aUBvYBE9DQOBPZIz4YodOgjpfhxFIEXc4Xy/xmMedMkK/IF/limsaXQXl+3jkf3ks0LB4q7mj6&#10;CR4OTz7EcqA8h8RsFh+V1kkB2rKeUJdzShBdHrWqozcZUYxyox07AMkIhJA2JGYI8LdIowKpWStT&#10;8eU0rlFfkZJ3tk6ZAig9numxtieOIi0jQWHYDmkexezM/RbrI7HmcFQv/TY6tOh+cNaTcivuv+/B&#10;Sc70B0vM3+azWZR6MmbzRUGGu/Zsrz1gBUFVPHA2HjchfY+RoHuaUKMSd3GUYyWnmkmRidLT74mS&#10;v7ZT1K8/vv4JAAD//wMAUEsDBBQABgAIAAAAIQC060y53QAAAAUBAAAPAAAAZHJzL2Rvd25yZXYu&#10;eG1sTI/BTsMwEETvSPyDtUhcELUbCpQQpypIvaEiChI9uvGSRI3XkddNw99jeoHLSqMZzbwtFqPr&#10;xICBW08aphMFAqnytqVaw8f76noOgqMhazpPqOEbGRbl+VlhcuuP9IbDJtYilRDnRkMTY59LyVWD&#10;zvDE90jJ+/LBmZhkqKUN5pjKXSczpe6kMy2lhcb0+Nxgtd8cnIbXIJfhM9uuntYDj1f3rNbVy17r&#10;y4tx+Qgi4hj/wvCLn9ChTEw7fyDLotOQHomnm7yHqboFsdNwM8sUyLKQ/+nLHwAAAP//AwBQSwEC&#10;LQAUAAYACAAAACEAtoM4kv4AAADhAQAAEwAAAAAAAAAAAAAAAAAAAAAAW0NvbnRlbnRfVHlwZXNd&#10;LnhtbFBLAQItABQABgAIAAAAIQA4/SH/1gAAAJQBAAALAAAAAAAAAAAAAAAAAC8BAABfcmVscy8u&#10;cmVsc1BLAQItABQABgAIAAAAIQDaE/7zKQIAACsEAAAOAAAAAAAAAAAAAAAAAC4CAABkcnMvZTJv&#10;RG9jLnhtbFBLAQItABQABgAIAAAAIQC060y53QAAAAUBAAAPAAAAAAAAAAAAAAAAAIMEAABkcnMv&#10;ZG93bnJldi54bWxQSwUGAAAAAAQABADzAAAAjQUAAAAA&#10;" filled="f" strokecolor="#f1aa00 [3205]" strokeweight="2.25pt">
                <v:textbox>
                  <w:txbxContent>
                    <w:p w14:paraId="6561C1F8" w14:textId="3EA06E4D" w:rsidR="00CA4E85" w:rsidRDefault="00CA4E85"/>
                  </w:txbxContent>
                </v:textbox>
                <w10:wrap type="tight" anchorx="margin" anchory="margin"/>
              </v:shape>
            </w:pict>
          </mc:Fallback>
        </mc:AlternateContent>
      </w:r>
      <w:r w:rsidRPr="008579CA">
        <w:rPr>
          <w:noProof/>
          <w:lang w:val="en-AU"/>
        </w:rPr>
        <w:drawing>
          <wp:anchor distT="0" distB="0" distL="114300" distR="114300" simplePos="0" relativeHeight="251601916" behindDoc="1" locked="0" layoutInCell="1" allowOverlap="1" wp14:anchorId="2E0084DB" wp14:editId="020CA0E0">
            <wp:simplePos x="0" y="0"/>
            <wp:positionH relativeFrom="margin">
              <wp:posOffset>3569970</wp:posOffset>
            </wp:positionH>
            <wp:positionV relativeFrom="paragraph">
              <wp:posOffset>0</wp:posOffset>
            </wp:positionV>
            <wp:extent cx="2369185" cy="2196000"/>
            <wp:effectExtent l="0" t="0" r="0" b="0"/>
            <wp:wrapTight wrapText="bothSides">
              <wp:wrapPolygon edited="0">
                <wp:start x="0" y="0"/>
                <wp:lineTo x="0" y="21363"/>
                <wp:lineTo x="21363" y="21363"/>
                <wp:lineTo x="21363" y="0"/>
                <wp:lineTo x="0" y="0"/>
              </wp:wrapPolygon>
            </wp:wrapTight>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r w:rsidR="004B5861" w:rsidRPr="008579CA">
        <w:rPr>
          <w:noProof/>
          <w:lang w:val="en-AU"/>
        </w:rPr>
        <w:drawing>
          <wp:anchor distT="0" distB="0" distL="114300" distR="114300" simplePos="0" relativeHeight="251611135" behindDoc="0" locked="0" layoutInCell="1" allowOverlap="1" wp14:anchorId="49BB6D8D" wp14:editId="58CE549F">
            <wp:simplePos x="0" y="0"/>
            <wp:positionH relativeFrom="margin">
              <wp:posOffset>1741805</wp:posOffset>
            </wp:positionH>
            <wp:positionV relativeFrom="paragraph">
              <wp:posOffset>0</wp:posOffset>
            </wp:positionV>
            <wp:extent cx="2159635" cy="2195830"/>
            <wp:effectExtent l="0" t="0" r="0" b="0"/>
            <wp:wrapTopAndBottom/>
            <wp:docPr id="4706" name="Chart 470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r w:rsidR="004B5861" w:rsidRPr="008579CA">
        <w:rPr>
          <w:noProof/>
          <w:lang w:val="en-AU"/>
        </w:rPr>
        <w:drawing>
          <wp:anchor distT="0" distB="0" distL="114300" distR="114300" simplePos="0" relativeHeight="251601404" behindDoc="0" locked="0" layoutInCell="1" allowOverlap="1" wp14:anchorId="646BB3D2" wp14:editId="285C8FFD">
            <wp:simplePos x="0" y="0"/>
            <wp:positionH relativeFrom="margin">
              <wp:posOffset>3522345</wp:posOffset>
            </wp:positionH>
            <wp:positionV relativeFrom="paragraph">
              <wp:posOffset>0</wp:posOffset>
            </wp:positionV>
            <wp:extent cx="2369185" cy="2105025"/>
            <wp:effectExtent l="0" t="0" r="0" b="0"/>
            <wp:wrapTopAndBottom/>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anchor>
        </w:drawing>
      </w:r>
      <w:r w:rsidR="004B5861" w:rsidRPr="008579CA">
        <w:rPr>
          <w:noProof/>
          <w:lang w:val="en-AU"/>
        </w:rPr>
        <w:drawing>
          <wp:anchor distT="0" distB="0" distL="114300" distR="114300" simplePos="0" relativeHeight="251611391" behindDoc="0" locked="0" layoutInCell="1" allowOverlap="1" wp14:anchorId="42A3ECD1" wp14:editId="4F7C4BD7">
            <wp:simplePos x="0" y="0"/>
            <wp:positionH relativeFrom="column">
              <wp:posOffset>-83185</wp:posOffset>
            </wp:positionH>
            <wp:positionV relativeFrom="paragraph">
              <wp:posOffset>0</wp:posOffset>
            </wp:positionV>
            <wp:extent cx="2159635" cy="2195830"/>
            <wp:effectExtent l="0" t="0" r="0" b="0"/>
            <wp:wrapTopAndBottom/>
            <wp:docPr id="4708" name="Chart 4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anchor>
        </w:drawing>
      </w:r>
      <w:r w:rsidR="003A44CE" w:rsidRPr="008579CA">
        <w:rPr>
          <w:noProof/>
          <w:lang w:val="en-AU"/>
        </w:rPr>
        <mc:AlternateContent>
          <mc:Choice Requires="wps">
            <w:drawing>
              <wp:anchor distT="0" distB="0" distL="114300" distR="114300" simplePos="0" relativeHeight="251693568" behindDoc="0" locked="0" layoutInCell="1" allowOverlap="1" wp14:anchorId="0E9EF28A" wp14:editId="5041A762">
                <wp:simplePos x="0" y="0"/>
                <wp:positionH relativeFrom="margin">
                  <wp:align>right</wp:align>
                </wp:positionH>
                <wp:positionV relativeFrom="paragraph">
                  <wp:posOffset>2232660</wp:posOffset>
                </wp:positionV>
                <wp:extent cx="5781675" cy="219075"/>
                <wp:effectExtent l="0" t="0" r="9525" b="9525"/>
                <wp:wrapSquare wrapText="bothSides"/>
                <wp:docPr id="484" name="Text Box 484"/>
                <wp:cNvGraphicFramePr/>
                <a:graphic xmlns:a="http://schemas.openxmlformats.org/drawingml/2006/main">
                  <a:graphicData uri="http://schemas.microsoft.com/office/word/2010/wordprocessingShape">
                    <wps:wsp>
                      <wps:cNvSpPr txBox="1"/>
                      <wps:spPr>
                        <a:xfrm>
                          <a:off x="0" y="0"/>
                          <a:ext cx="5781675" cy="219075"/>
                        </a:xfrm>
                        <a:prstGeom prst="rect">
                          <a:avLst/>
                        </a:prstGeom>
                        <a:solidFill>
                          <a:prstClr val="white"/>
                        </a:solidFill>
                        <a:ln>
                          <a:noFill/>
                        </a:ln>
                      </wps:spPr>
                      <wps:txbx>
                        <w:txbxContent>
                          <w:p w14:paraId="4635BACF" w14:textId="6D91ACED" w:rsidR="00CA4E85" w:rsidRPr="002E47A1" w:rsidRDefault="00CA4E85" w:rsidP="00BF73A9">
                            <w:pPr>
                              <w:pStyle w:val="Caption"/>
                              <w:rPr>
                                <w:i w:val="0"/>
                                <w:noProof/>
                                <w:color w:val="auto"/>
                                <w:sz w:val="20"/>
                              </w:rPr>
                            </w:pPr>
                            <w:r w:rsidRPr="008579CA">
                              <w:rPr>
                                <w:i w:val="0"/>
                                <w:color w:val="auto"/>
                                <w:sz w:val="20"/>
                              </w:rPr>
                              <w:t>Figure 11: Change in Allocation between Regional, Local and Remote Activities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9EF28A" id="Text Box 484" o:spid="_x0000_s1051" type="#_x0000_t202" style="position:absolute;margin-left:404.05pt;margin-top:175.8pt;width:455.25pt;height:17.25pt;z-index:2516935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stnMwIAAGwEAAAOAAAAZHJzL2Uyb0RvYy54bWysVE2P2yAQvVfqf0DcGyfRfmStOKs0q1SV&#10;ot2VkmrPBOMYCRgKJHb66ztgO2m3PVW94GFmePDezHj+2GpFTsJ5Caagk9GYEmE4lNIcCvptt/40&#10;o8QHZkqmwIiCnoWnj4uPH+aNzcUUalClcARBjM8bW9A6BJtnmee10MyPwAqDwQqcZgG37pCVjjWI&#10;rlU2HY/vsgZcaR1w4T16n7ogXST8qhI8vFSVF4GoguLbQlpdWvdxzRZzlh8cs7Xk/TPYP7xCM2nw&#10;0gvUEwuMHJ38A0pL7sBDFUYcdAZVJblIHJDNZPyOzbZmViQuKI63F5n8/4Plz6dXR2RZ0JvZDSWG&#10;aSzSTrSBfIaWRB8q1FifY+LWYmpoMYCVHvwenZF4Wzkdv0iJYBy1Pl/0jXAcnbf3s8nd/S0lHGPT&#10;ycMYbYTPrqet8+GLAE2iUVCH9UuystPGhy51SImXeVCyXEul4iYGVsqRE8NaN7UMogf/LUuZmGsg&#10;nuoAoyeLFDsq0Qrtvk2iTNMDo2sP5RnpO+hayFu+lnjhhvnwyhz2DDLGOQgvuFQKmoJCb1FSg/vx&#10;N3/Mx1JilJIGe7Cg/vuROUGJ+mqwyLFhB8MNxn4wzFGvAKlOcMIsTyYecEENZuVAv+F4LOMtGGKG&#10;410FDYO5Ct0k4HhxsVymJGxLy8LGbC2P0IOwu/aNOduXJWBBn2HoTpa/q06X28m8PAaoZCrdVcVe&#10;b2zpVPx+/OLM/LpPWdefxOInAAAA//8DAFBLAwQUAAYACAAAACEAZBYIvN4AAAAIAQAADwAAAGRy&#10;cy9kb3ducmV2LnhtbEyPwU7DMBBE70j8g7VIXBB1UtSohDgVtPQGh5aqZzdekoh4HdlOk/492xMc&#10;Z2c186ZYTbYTZ/ShdaQgnSUgkCpnWqoVHL62j0sQIWoyunOECi4YYFXe3hQ6N26kHZ73sRYcQiHX&#10;CpoY+1zKUDVodZi5Hom9b+etjix9LY3XI4fbTs6TJJNWt8QNje5x3WD1sx+sgmzjh3FH64fN4f1D&#10;f/b1/Ph2OSp1fze9voCIOMW/Z7jiMzqUzHRyA5kgOgU8JCp4WqQZCLaf02QB4sSXZZaCLAv5f0D5&#10;CwAA//8DAFBLAQItABQABgAIAAAAIQC2gziS/gAAAOEBAAATAAAAAAAAAAAAAAAAAAAAAABbQ29u&#10;dGVudF9UeXBlc10ueG1sUEsBAi0AFAAGAAgAAAAhADj9If/WAAAAlAEAAAsAAAAAAAAAAAAAAAAA&#10;LwEAAF9yZWxzLy5yZWxzUEsBAi0AFAAGAAgAAAAhADwKy2czAgAAbAQAAA4AAAAAAAAAAAAAAAAA&#10;LgIAAGRycy9lMm9Eb2MueG1sUEsBAi0AFAAGAAgAAAAhAGQWCLzeAAAACAEAAA8AAAAAAAAAAAAA&#10;AAAAjQQAAGRycy9kb3ducmV2LnhtbFBLBQYAAAAABAAEAPMAAACYBQAAAAA=&#10;" stroked="f">
                <v:textbox inset="0,0,0,0">
                  <w:txbxContent>
                    <w:p w14:paraId="4635BACF" w14:textId="6D91ACED" w:rsidR="00CA4E85" w:rsidRPr="002E47A1" w:rsidRDefault="00CA4E85" w:rsidP="00BF73A9">
                      <w:pPr>
                        <w:pStyle w:val="Caption"/>
                        <w:rPr>
                          <w:i w:val="0"/>
                          <w:noProof/>
                          <w:color w:val="auto"/>
                          <w:sz w:val="20"/>
                        </w:rPr>
                      </w:pPr>
                      <w:r w:rsidRPr="008579CA">
                        <w:rPr>
                          <w:i w:val="0"/>
                          <w:color w:val="auto"/>
                          <w:sz w:val="20"/>
                        </w:rPr>
                        <w:t>Figure 11: Change in Allocation between Regional, Local and Remote Activities</w:t>
                      </w:r>
                    </w:p>
                  </w:txbxContent>
                </v:textbox>
                <w10:wrap type="square" anchorx="margin"/>
              </v:shape>
            </w:pict>
          </mc:Fallback>
        </mc:AlternateContent>
      </w:r>
    </w:p>
    <w:p w14:paraId="1A95FEBD" w14:textId="71C5FF66" w:rsidR="002B5DCD" w:rsidRPr="008579CA" w:rsidRDefault="00AC5E93" w:rsidP="002B5DCD">
      <w:pPr>
        <w:spacing w:before="120" w:after="120"/>
        <w:rPr>
          <w:sz w:val="22"/>
          <w:szCs w:val="22"/>
          <w:lang w:val="en-AU"/>
        </w:rPr>
      </w:pPr>
      <w:r w:rsidRPr="008579CA">
        <w:rPr>
          <w:noProof/>
          <w:lang w:val="en-AU"/>
        </w:rPr>
        <w:drawing>
          <wp:anchor distT="0" distB="0" distL="114300" distR="114300" simplePos="0" relativeHeight="251628032" behindDoc="0" locked="0" layoutInCell="1" allowOverlap="1" wp14:anchorId="461598CE" wp14:editId="4D6918A8">
            <wp:simplePos x="0" y="0"/>
            <wp:positionH relativeFrom="page">
              <wp:posOffset>4504690</wp:posOffset>
            </wp:positionH>
            <wp:positionV relativeFrom="paragraph">
              <wp:posOffset>800735</wp:posOffset>
            </wp:positionV>
            <wp:extent cx="3000375" cy="2743200"/>
            <wp:effectExtent l="0" t="0" r="0" b="0"/>
            <wp:wrapSquare wrapText="bothSides"/>
            <wp:docPr id="4313" name="Chart 4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r w:rsidR="00241F64" w:rsidRPr="008579CA">
        <w:rPr>
          <w:sz w:val="22"/>
          <w:szCs w:val="22"/>
          <w:lang w:val="en-AU"/>
        </w:rPr>
        <w:t>As a result of these activities, PJSI was recognised as one of the world’s most effective justice projects functioning during the pand</w:t>
      </w:r>
      <w:r w:rsidR="00BF73A9" w:rsidRPr="008579CA">
        <w:rPr>
          <w:sz w:val="22"/>
          <w:szCs w:val="22"/>
          <w:lang w:val="en-AU"/>
        </w:rPr>
        <w:t xml:space="preserve">emic.  Of 425 applications from </w:t>
      </w:r>
      <w:r w:rsidR="00241F64" w:rsidRPr="008579CA">
        <w:rPr>
          <w:sz w:val="22"/>
          <w:szCs w:val="22"/>
          <w:lang w:val="en-AU"/>
        </w:rPr>
        <w:t xml:space="preserve">114 countries, PJSI reached the final of the </w:t>
      </w:r>
      <w:hyperlink r:id="rId87" w:history="1">
        <w:r w:rsidR="00241F64" w:rsidRPr="008579CA">
          <w:rPr>
            <w:rStyle w:val="Hyperlink"/>
            <w:sz w:val="22"/>
            <w:szCs w:val="22"/>
            <w:lang w:val="en-AU"/>
          </w:rPr>
          <w:t>World Justice Challenge 2021</w:t>
        </w:r>
      </w:hyperlink>
      <w:r w:rsidR="00241F64" w:rsidRPr="008579CA">
        <w:rPr>
          <w:sz w:val="22"/>
          <w:szCs w:val="22"/>
          <w:lang w:val="en-AU"/>
        </w:rPr>
        <w:t xml:space="preserve">. A short video of PJSIs entry, featuring Chief Justice Palmer and Her Worship Tangi Taoro can be viewed </w:t>
      </w:r>
      <w:hyperlink r:id="rId88" w:history="1">
        <w:r w:rsidR="00241F64" w:rsidRPr="008579CA">
          <w:rPr>
            <w:rStyle w:val="Hyperlink"/>
            <w:sz w:val="22"/>
            <w:szCs w:val="22"/>
            <w:lang w:val="en-AU"/>
          </w:rPr>
          <w:t>here</w:t>
        </w:r>
      </w:hyperlink>
      <w:r w:rsidR="00B11B80" w:rsidRPr="008579CA">
        <w:rPr>
          <w:sz w:val="22"/>
          <w:szCs w:val="22"/>
          <w:lang w:val="en-AU"/>
        </w:rPr>
        <w:t>.</w:t>
      </w:r>
      <w:r w:rsidR="00004414" w:rsidRPr="008579CA">
        <w:rPr>
          <w:sz w:val="22"/>
          <w:szCs w:val="22"/>
          <w:lang w:val="en-AU"/>
        </w:rPr>
        <w:t xml:space="preserve"> </w:t>
      </w:r>
    </w:p>
    <w:p w14:paraId="41108F7A" w14:textId="7E339B45" w:rsidR="00BF73A9" w:rsidRPr="008579CA" w:rsidRDefault="00BF73A9" w:rsidP="00BF73A9">
      <w:pPr>
        <w:rPr>
          <w:lang w:val="en-AU"/>
        </w:rPr>
      </w:pPr>
    </w:p>
    <w:p w14:paraId="331F73EE" w14:textId="7C5F8CAA" w:rsidR="00BF73A9" w:rsidRPr="008579CA" w:rsidRDefault="00596715" w:rsidP="0047601F">
      <w:pPr>
        <w:pStyle w:val="HBHeading1"/>
        <w:spacing w:before="0"/>
        <w:rPr>
          <w:color w:val="004B5C" w:themeColor="accent1" w:themeShade="BF"/>
          <w:lang w:val="en-AU"/>
        </w:rPr>
      </w:pPr>
      <w:bookmarkStart w:id="19" w:name="_Toc90564310"/>
      <w:r w:rsidRPr="008579CA">
        <w:rPr>
          <w:noProof/>
          <w:lang w:val="en-AU"/>
        </w:rPr>
        <w:drawing>
          <wp:anchor distT="0" distB="0" distL="114300" distR="114300" simplePos="0" relativeHeight="251600379" behindDoc="1" locked="0" layoutInCell="1" allowOverlap="1" wp14:anchorId="2C31B9A3" wp14:editId="4FC53B9F">
            <wp:simplePos x="0" y="0"/>
            <wp:positionH relativeFrom="margin">
              <wp:posOffset>4260215</wp:posOffset>
            </wp:positionH>
            <wp:positionV relativeFrom="paragraph">
              <wp:posOffset>321945</wp:posOffset>
            </wp:positionV>
            <wp:extent cx="1786890" cy="1802130"/>
            <wp:effectExtent l="0" t="0" r="3810" b="7620"/>
            <wp:wrapTight wrapText="bothSides">
              <wp:wrapPolygon edited="0">
                <wp:start x="0" y="0"/>
                <wp:lineTo x="0" y="21463"/>
                <wp:lineTo x="21416" y="21463"/>
                <wp:lineTo x="21416" y="0"/>
                <wp:lineTo x="0" y="0"/>
              </wp:wrapPolygon>
            </wp:wrapTight>
            <wp:docPr id="4710" name="Chart 47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r w:rsidR="005346FA" w:rsidRPr="008579CA">
        <w:rPr>
          <w:color w:val="004B5C" w:themeColor="accent1" w:themeShade="BF"/>
          <w:lang w:val="en-AU"/>
        </w:rPr>
        <w:t>Output Summary</w:t>
      </w:r>
      <w:bookmarkEnd w:id="19"/>
    </w:p>
    <w:p w14:paraId="1FED8974" w14:textId="77FE95F6" w:rsidR="00965250" w:rsidRPr="007471C8" w:rsidRDefault="000366BF" w:rsidP="00965250">
      <w:pPr>
        <w:spacing w:before="120" w:after="120"/>
        <w:rPr>
          <w:sz w:val="22"/>
          <w:szCs w:val="22"/>
          <w:lang w:val="en-AU"/>
        </w:rPr>
      </w:pPr>
      <w:r w:rsidRPr="008579CA">
        <w:rPr>
          <w:sz w:val="22"/>
          <w:szCs w:val="22"/>
          <w:lang w:val="en-AU"/>
        </w:rPr>
        <w:t xml:space="preserve">PJSI delivered </w:t>
      </w:r>
      <w:r w:rsidR="00FF4AD6" w:rsidRPr="008579CA">
        <w:rPr>
          <w:sz w:val="22"/>
          <w:szCs w:val="22"/>
          <w:lang w:val="en-AU"/>
        </w:rPr>
        <w:t>2</w:t>
      </w:r>
      <w:r w:rsidR="004E2E2D" w:rsidRPr="008579CA">
        <w:rPr>
          <w:sz w:val="22"/>
          <w:szCs w:val="22"/>
          <w:lang w:val="en-AU"/>
        </w:rPr>
        <w:t>37</w:t>
      </w:r>
      <w:r w:rsidR="00FF4AD6" w:rsidRPr="008579CA">
        <w:rPr>
          <w:sz w:val="22"/>
          <w:szCs w:val="22"/>
          <w:lang w:val="en-AU"/>
        </w:rPr>
        <w:t xml:space="preserve"> </w:t>
      </w:r>
      <w:r w:rsidRPr="008579CA">
        <w:rPr>
          <w:sz w:val="22"/>
          <w:szCs w:val="22"/>
          <w:lang w:val="en-AU"/>
        </w:rPr>
        <w:t>activities across its five themes, supporting 3,</w:t>
      </w:r>
      <w:r w:rsidR="003E35D9" w:rsidRPr="008579CA">
        <w:rPr>
          <w:sz w:val="22"/>
          <w:szCs w:val="22"/>
          <w:lang w:val="en-AU"/>
        </w:rPr>
        <w:t>49</w:t>
      </w:r>
      <w:r w:rsidR="00E32E1B" w:rsidRPr="008579CA">
        <w:rPr>
          <w:sz w:val="22"/>
          <w:szCs w:val="22"/>
          <w:lang w:val="en-AU"/>
        </w:rPr>
        <w:t>6</w:t>
      </w:r>
      <w:r w:rsidRPr="008579CA">
        <w:rPr>
          <w:sz w:val="22"/>
          <w:szCs w:val="22"/>
          <w:lang w:val="en-AU"/>
        </w:rPr>
        <w:t xml:space="preserve"> people among all Partner Courts. </w:t>
      </w:r>
      <w:r w:rsidR="00965250" w:rsidRPr="00E837AC">
        <w:rPr>
          <w:rFonts w:cstheme="minorHAnsi"/>
          <w:sz w:val="22"/>
          <w:szCs w:val="22"/>
        </w:rPr>
        <w:t xml:space="preserve">During the no-cost extension </w:t>
      </w:r>
      <w:r w:rsidR="00965250">
        <w:rPr>
          <w:rFonts w:cstheme="minorHAnsi"/>
          <w:sz w:val="22"/>
          <w:szCs w:val="22"/>
        </w:rPr>
        <w:t>(</w:t>
      </w:r>
      <w:r w:rsidR="00965250" w:rsidRPr="00E837AC">
        <w:rPr>
          <w:rFonts w:cstheme="minorHAnsi"/>
          <w:sz w:val="22"/>
          <w:szCs w:val="22"/>
        </w:rPr>
        <w:t>June-</w:t>
      </w:r>
      <w:r w:rsidR="00965250">
        <w:rPr>
          <w:rFonts w:cstheme="minorHAnsi"/>
          <w:sz w:val="22"/>
          <w:szCs w:val="22"/>
        </w:rPr>
        <w:t>December</w:t>
      </w:r>
      <w:r w:rsidR="00965250" w:rsidRPr="00E837AC">
        <w:rPr>
          <w:rFonts w:cstheme="minorHAnsi"/>
          <w:sz w:val="22"/>
          <w:szCs w:val="22"/>
        </w:rPr>
        <w:t xml:space="preserve"> 2021</w:t>
      </w:r>
      <w:r w:rsidR="00965250">
        <w:rPr>
          <w:rFonts w:cstheme="minorHAnsi"/>
          <w:sz w:val="22"/>
          <w:szCs w:val="22"/>
        </w:rPr>
        <w:t>)</w:t>
      </w:r>
      <w:r w:rsidR="00965250" w:rsidRPr="00E837AC">
        <w:rPr>
          <w:rFonts w:cstheme="minorHAnsi"/>
          <w:sz w:val="22"/>
          <w:szCs w:val="22"/>
        </w:rPr>
        <w:t>, PJSI delivered 36 activities t</w:t>
      </w:r>
      <w:r w:rsidR="00965250">
        <w:rPr>
          <w:rFonts w:cstheme="minorHAnsi"/>
          <w:sz w:val="22"/>
          <w:szCs w:val="22"/>
        </w:rPr>
        <w:t xml:space="preserve">o 437 participants (39% female), see Annex Thirteen for a list of these additional activities. </w:t>
      </w:r>
    </w:p>
    <w:p w14:paraId="2B3F3A5D" w14:textId="42CA8D15" w:rsidR="007A02E5" w:rsidRPr="008579CA" w:rsidRDefault="000366BF" w:rsidP="000366BF">
      <w:pPr>
        <w:spacing w:before="120" w:after="120"/>
        <w:rPr>
          <w:sz w:val="22"/>
          <w:szCs w:val="22"/>
        </w:rPr>
      </w:pPr>
      <w:r w:rsidRPr="008579CA">
        <w:rPr>
          <w:sz w:val="22"/>
          <w:szCs w:val="22"/>
        </w:rPr>
        <w:t xml:space="preserve">Following </w:t>
      </w:r>
      <w:r w:rsidR="001F705F" w:rsidRPr="008579CA">
        <w:rPr>
          <w:sz w:val="22"/>
          <w:szCs w:val="22"/>
        </w:rPr>
        <w:t xml:space="preserve">every </w:t>
      </w:r>
      <w:r w:rsidRPr="008579CA">
        <w:rPr>
          <w:sz w:val="22"/>
          <w:szCs w:val="22"/>
        </w:rPr>
        <w:t>activit</w:t>
      </w:r>
      <w:r w:rsidR="001F705F" w:rsidRPr="008579CA">
        <w:rPr>
          <w:sz w:val="22"/>
          <w:szCs w:val="22"/>
        </w:rPr>
        <w:t>y</w:t>
      </w:r>
      <w:r w:rsidRPr="008579CA">
        <w:rPr>
          <w:sz w:val="22"/>
          <w:szCs w:val="22"/>
        </w:rPr>
        <w:t xml:space="preserve">, PJSI surveyed participants. On average participants felt </w:t>
      </w:r>
      <w:r w:rsidRPr="008579CA">
        <w:rPr>
          <w:b/>
          <w:sz w:val="22"/>
          <w:szCs w:val="22"/>
        </w:rPr>
        <w:t>8</w:t>
      </w:r>
      <w:r w:rsidR="003E35D9" w:rsidRPr="008579CA">
        <w:rPr>
          <w:b/>
          <w:sz w:val="22"/>
          <w:szCs w:val="22"/>
        </w:rPr>
        <w:t>1</w:t>
      </w:r>
      <w:r w:rsidRPr="008579CA">
        <w:rPr>
          <w:b/>
          <w:sz w:val="22"/>
          <w:szCs w:val="22"/>
        </w:rPr>
        <w:t xml:space="preserve">% </w:t>
      </w:r>
      <w:r w:rsidRPr="008579CA">
        <w:rPr>
          <w:sz w:val="22"/>
          <w:szCs w:val="22"/>
        </w:rPr>
        <w:t xml:space="preserve">more confident in their role and recorded an average of </w:t>
      </w:r>
      <w:r w:rsidRPr="008579CA">
        <w:rPr>
          <w:b/>
          <w:sz w:val="22"/>
          <w:szCs w:val="22"/>
        </w:rPr>
        <w:t>2</w:t>
      </w:r>
      <w:r w:rsidR="00FF4AD6" w:rsidRPr="008579CA">
        <w:rPr>
          <w:b/>
          <w:sz w:val="22"/>
          <w:szCs w:val="22"/>
        </w:rPr>
        <w:t>04</w:t>
      </w:r>
      <w:r w:rsidRPr="008579CA">
        <w:rPr>
          <w:b/>
          <w:sz w:val="22"/>
          <w:szCs w:val="22"/>
        </w:rPr>
        <w:t xml:space="preserve">% </w:t>
      </w:r>
      <w:r w:rsidRPr="008579CA">
        <w:rPr>
          <w:sz w:val="22"/>
          <w:szCs w:val="22"/>
        </w:rPr>
        <w:t xml:space="preserve">knowledge gain. </w:t>
      </w:r>
    </w:p>
    <w:p w14:paraId="168B9973" w14:textId="26445153" w:rsidR="000366BF" w:rsidRPr="008579CA" w:rsidRDefault="00D86246" w:rsidP="000366BF">
      <w:pPr>
        <w:spacing w:before="120" w:after="120"/>
        <w:rPr>
          <w:sz w:val="22"/>
          <w:szCs w:val="22"/>
        </w:rPr>
      </w:pPr>
      <w:r w:rsidRPr="008579CA">
        <w:rPr>
          <w:noProof/>
          <w:lang w:val="en-AU"/>
        </w:rPr>
        <mc:AlternateContent>
          <mc:Choice Requires="wps">
            <w:drawing>
              <wp:anchor distT="0" distB="0" distL="114300" distR="114300" simplePos="0" relativeHeight="251657728" behindDoc="1" locked="0" layoutInCell="1" allowOverlap="1" wp14:anchorId="3D5ED20D" wp14:editId="33160DF5">
                <wp:simplePos x="0" y="0"/>
                <wp:positionH relativeFrom="margin">
                  <wp:posOffset>4156801</wp:posOffset>
                </wp:positionH>
                <wp:positionV relativeFrom="paragraph">
                  <wp:posOffset>318135</wp:posOffset>
                </wp:positionV>
                <wp:extent cx="1914525" cy="635"/>
                <wp:effectExtent l="0" t="0" r="9525" b="3810"/>
                <wp:wrapSquare wrapText="bothSides"/>
                <wp:docPr id="158" name="Text Box 158"/>
                <wp:cNvGraphicFramePr/>
                <a:graphic xmlns:a="http://schemas.openxmlformats.org/drawingml/2006/main">
                  <a:graphicData uri="http://schemas.microsoft.com/office/word/2010/wordprocessingShape">
                    <wps:wsp>
                      <wps:cNvSpPr txBox="1"/>
                      <wps:spPr>
                        <a:xfrm>
                          <a:off x="0" y="0"/>
                          <a:ext cx="1914525" cy="635"/>
                        </a:xfrm>
                        <a:prstGeom prst="rect">
                          <a:avLst/>
                        </a:prstGeom>
                        <a:solidFill>
                          <a:prstClr val="white"/>
                        </a:solidFill>
                        <a:ln>
                          <a:noFill/>
                        </a:ln>
                      </wps:spPr>
                      <wps:txbx>
                        <w:txbxContent>
                          <w:p w14:paraId="00DC51E5" w14:textId="4C479AB9" w:rsidR="00CA4E85" w:rsidRPr="002E47A1" w:rsidRDefault="00CA4E85" w:rsidP="00063F54">
                            <w:pPr>
                              <w:pStyle w:val="Caption"/>
                              <w:rPr>
                                <w:i w:val="0"/>
                                <w:noProof/>
                                <w:color w:val="auto"/>
                                <w:sz w:val="20"/>
                                <w:szCs w:val="20"/>
                              </w:rPr>
                            </w:pPr>
                            <w:r w:rsidRPr="008579CA">
                              <w:rPr>
                                <w:i w:val="0"/>
                                <w:color w:val="auto"/>
                                <w:sz w:val="20"/>
                                <w:szCs w:val="20"/>
                              </w:rPr>
                              <w:t>Figure 12: PJSI Training Participants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5ED20D" id="Text Box 158" o:spid="_x0000_s1052" type="#_x0000_t202" style="position:absolute;margin-left:327.3pt;margin-top:25.05pt;width:150.75pt;height:.05pt;z-index:-251658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oSkLwIAAGkEAAAOAAAAZHJzL2Uyb0RvYy54bWysVMGO2jAQvVfqP1i+lwAtqI0IK8qKqhLa&#10;XQmqPRvHIZYcjzs2JPTrO3YI2257qnpxxjPjsd97M1ncdY1hZ4Vegy34ZDTmTFkJpbbHgn/bb959&#10;5MwHYUthwKqCX5Tnd8u3bxaty9UUajClQkZFrM9bV/A6BJdnmZe1aoQfgVOWghVgIwJt8ZiVKFqq&#10;3phsOh7PsxawdAhSeU/e+z7Il6l+VSkZHqvKq8BMweltIa2Y1kNcs+VC5EcUrtby+gzxD69ohLZ0&#10;6a3UvQiCnVD/UarREsFDFUYSmgyqSkuVMBCayfgVml0tnEpYiBzvbjT5/1dWPpyfkOmStJuRVFY0&#10;JNJedYF9ho5FHzHUOp9T4s5RaugoQNmD35MzAu8qbOKXIDGKE9eXG7+xnIyHPk0+zKYzziTF5u9n&#10;sUb2ctShD18UNCwaBUcSL3Eqzlsf+tQhJd7kwehyo42JmxhYG2RnQUK3tQ7qWvy3LGNjroV4qi8Y&#10;PVnE1+OIVugOXWJkOh9AHqC8EHaEvn+8kxtNF26FD08CqWEILg1BeKSlMtAWHK4WZzXgj7/5Yz7p&#10;SFHOWmrAgvvvJ4GKM/PVksKxWwcDB+MwGPbUrIGgTmi8nEwmHcBgBrNCaJ5pNlbxFgoJK+mugofB&#10;XId+DGi2pFqtUhL1pBNha3dOxtIDsfvuWaC7yhJIzQcYWlPkr9Tpc5M+bnUKRHWSLhLbs3jlm/o5&#10;iX+dvTgwv+5T1ssfYvkTAAD//wMAUEsDBBQABgAIAAAAIQB3aeLH4AAAAAkBAAAPAAAAZHJzL2Rv&#10;d25yZXYueG1sTI89T8MwEIZ3JP6DdUgsiDotiVVCnKqqYIClInTp5sZuHIjPUey04d9zncp2H4/e&#10;e65YTa5jJzOE1qOE+SwBZrD2usVGwu7r7XEJLESFWnUejYRfE2BV3t4UKtf+jJ/mVMWGUQiGXEmw&#10;MfY556G2xqkw871B2h394FSkdmi4HtSZwl3HF0kiuFMt0gWrerOxpv6pRidhm+639mE8vn6s06fh&#10;fTduxHdTSXl/N61fgEUzxSsMF31Sh5KcDn5EHVgnQWSpIFRClsyBEfCcCSoOl8ECeFnw/x+UfwAA&#10;AP//AwBQSwECLQAUAAYACAAAACEAtoM4kv4AAADhAQAAEwAAAAAAAAAAAAAAAAAAAAAAW0NvbnRl&#10;bnRfVHlwZXNdLnhtbFBLAQItABQABgAIAAAAIQA4/SH/1gAAAJQBAAALAAAAAAAAAAAAAAAAAC8B&#10;AABfcmVscy8ucmVsc1BLAQItABQABgAIAAAAIQDfLoSkLwIAAGkEAAAOAAAAAAAAAAAAAAAAAC4C&#10;AABkcnMvZTJvRG9jLnhtbFBLAQItABQABgAIAAAAIQB3aeLH4AAAAAkBAAAPAAAAAAAAAAAAAAAA&#10;AIkEAABkcnMvZG93bnJldi54bWxQSwUGAAAAAAQABADzAAAAlgUAAAAA&#10;" stroked="f">
                <v:textbox style="mso-fit-shape-to-text:t" inset="0,0,0,0">
                  <w:txbxContent>
                    <w:p w14:paraId="00DC51E5" w14:textId="4C479AB9" w:rsidR="00CA4E85" w:rsidRPr="002E47A1" w:rsidRDefault="00CA4E85" w:rsidP="00063F54">
                      <w:pPr>
                        <w:pStyle w:val="Caption"/>
                        <w:rPr>
                          <w:i w:val="0"/>
                          <w:noProof/>
                          <w:color w:val="auto"/>
                          <w:sz w:val="20"/>
                          <w:szCs w:val="20"/>
                        </w:rPr>
                      </w:pPr>
                      <w:r w:rsidRPr="008579CA">
                        <w:rPr>
                          <w:i w:val="0"/>
                          <w:color w:val="auto"/>
                          <w:sz w:val="20"/>
                          <w:szCs w:val="20"/>
                        </w:rPr>
                        <w:t>Figure 12: PJSI Training Participants</w:t>
                      </w:r>
                    </w:p>
                  </w:txbxContent>
                </v:textbox>
                <w10:wrap type="square" anchorx="margin"/>
              </v:shape>
            </w:pict>
          </mc:Fallback>
        </mc:AlternateContent>
      </w:r>
      <w:r w:rsidR="001F705F" w:rsidRPr="008579CA">
        <w:rPr>
          <w:sz w:val="22"/>
          <w:szCs w:val="22"/>
        </w:rPr>
        <w:t>Over all activities, p</w:t>
      </w:r>
      <w:r w:rsidR="000366BF" w:rsidRPr="008579CA">
        <w:rPr>
          <w:sz w:val="22"/>
          <w:szCs w:val="22"/>
        </w:rPr>
        <w:t xml:space="preserve">articipants were </w:t>
      </w:r>
      <w:r w:rsidR="00FF4AD6" w:rsidRPr="008579CA">
        <w:rPr>
          <w:b/>
          <w:sz w:val="22"/>
          <w:szCs w:val="22"/>
        </w:rPr>
        <w:t>89</w:t>
      </w:r>
      <w:r w:rsidR="000366BF" w:rsidRPr="008579CA">
        <w:rPr>
          <w:b/>
          <w:sz w:val="22"/>
          <w:szCs w:val="22"/>
        </w:rPr>
        <w:t xml:space="preserve">% </w:t>
      </w:r>
      <w:r w:rsidR="000366BF" w:rsidRPr="008579CA">
        <w:rPr>
          <w:sz w:val="22"/>
          <w:szCs w:val="22"/>
        </w:rPr>
        <w:t xml:space="preserve">satisfied </w:t>
      </w:r>
      <w:r w:rsidR="001F705F" w:rsidRPr="008579CA">
        <w:rPr>
          <w:sz w:val="22"/>
          <w:szCs w:val="22"/>
        </w:rPr>
        <w:t xml:space="preserve">in aggregate </w:t>
      </w:r>
      <w:r w:rsidR="000366BF" w:rsidRPr="008579CA">
        <w:rPr>
          <w:sz w:val="22"/>
          <w:szCs w:val="22"/>
        </w:rPr>
        <w:t>with all aspects of activities, comprising:</w:t>
      </w:r>
    </w:p>
    <w:p w14:paraId="33A0938B" w14:textId="77C1799D" w:rsidR="000B5A4A" w:rsidRPr="008579CA" w:rsidRDefault="000B5A4A" w:rsidP="000B5A4A">
      <w:pPr>
        <w:pStyle w:val="ListParagraph"/>
        <w:autoSpaceDE w:val="0"/>
        <w:autoSpaceDN w:val="0"/>
        <w:adjustRightInd w:val="0"/>
        <w:spacing w:before="120" w:after="120"/>
        <w:rPr>
          <w:rFonts w:eastAsiaTheme="minorEastAsia" w:cstheme="minorHAnsi"/>
          <w:sz w:val="8"/>
          <w:szCs w:val="22"/>
          <w:lang w:eastAsia="ja-JP"/>
        </w:rPr>
      </w:pPr>
    </w:p>
    <w:p w14:paraId="048A89F4" w14:textId="24B76134" w:rsidR="000366BF" w:rsidRPr="008579CA" w:rsidRDefault="000366BF" w:rsidP="008579CA">
      <w:pPr>
        <w:pStyle w:val="ListParagraph"/>
        <w:numPr>
          <w:ilvl w:val="0"/>
          <w:numId w:val="12"/>
        </w:numPr>
        <w:autoSpaceDE w:val="0"/>
        <w:autoSpaceDN w:val="0"/>
        <w:adjustRightInd w:val="0"/>
        <w:spacing w:before="120" w:after="120"/>
        <w:ind w:left="426" w:hanging="426"/>
        <w:rPr>
          <w:rFonts w:eastAsiaTheme="minorEastAsia" w:cstheme="minorHAnsi"/>
          <w:szCs w:val="22"/>
          <w:lang w:eastAsia="ja-JP"/>
        </w:rPr>
      </w:pPr>
      <w:r w:rsidRPr="008579CA">
        <w:rPr>
          <w:rFonts w:eastAsiaTheme="minorEastAsia" w:cstheme="minorHAnsi"/>
          <w:szCs w:val="22"/>
          <w:lang w:eastAsia="ja-JP"/>
        </w:rPr>
        <w:t>Achievement of</w:t>
      </w:r>
      <w:r w:rsidR="000B5A4A" w:rsidRPr="008579CA">
        <w:rPr>
          <w:rFonts w:eastAsiaTheme="minorEastAsia" w:cstheme="minorHAnsi"/>
          <w:szCs w:val="22"/>
          <w:lang w:eastAsia="ja-JP"/>
        </w:rPr>
        <w:t xml:space="preserve"> </w:t>
      </w:r>
      <w:r w:rsidRPr="008579CA">
        <w:rPr>
          <w:rFonts w:eastAsiaTheme="minorEastAsia" w:cstheme="minorHAnsi"/>
          <w:szCs w:val="22"/>
          <w:lang w:eastAsia="ja-JP"/>
        </w:rPr>
        <w:t xml:space="preserve">objectives:  </w:t>
      </w:r>
      <w:r w:rsidR="00FF4AD6" w:rsidRPr="008579CA">
        <w:rPr>
          <w:rFonts w:eastAsiaTheme="minorEastAsia" w:cstheme="minorHAnsi"/>
          <w:b/>
          <w:bCs/>
          <w:iCs/>
          <w:szCs w:val="22"/>
          <w:lang w:eastAsia="ja-JP"/>
        </w:rPr>
        <w:t>82</w:t>
      </w:r>
      <w:r w:rsidRPr="008579CA">
        <w:rPr>
          <w:rFonts w:eastAsiaTheme="minorEastAsia" w:cstheme="minorHAnsi"/>
          <w:b/>
          <w:szCs w:val="22"/>
          <w:lang w:eastAsia="ja-JP"/>
        </w:rPr>
        <w:t>%</w:t>
      </w:r>
    </w:p>
    <w:p w14:paraId="51DAF975" w14:textId="51618BFD" w:rsidR="000366BF" w:rsidRPr="008579CA" w:rsidRDefault="000366BF" w:rsidP="008579CA">
      <w:pPr>
        <w:pStyle w:val="ListParagraph"/>
        <w:numPr>
          <w:ilvl w:val="0"/>
          <w:numId w:val="12"/>
        </w:numPr>
        <w:autoSpaceDE w:val="0"/>
        <w:autoSpaceDN w:val="0"/>
        <w:adjustRightInd w:val="0"/>
        <w:spacing w:before="120" w:after="120"/>
        <w:ind w:left="426" w:hanging="426"/>
        <w:rPr>
          <w:rFonts w:eastAsiaTheme="minorEastAsia" w:cstheme="minorHAnsi"/>
          <w:szCs w:val="22"/>
          <w:lang w:eastAsia="ja-JP"/>
        </w:rPr>
      </w:pPr>
      <w:r w:rsidRPr="008579CA">
        <w:rPr>
          <w:rFonts w:eastAsiaTheme="minorEastAsia" w:cstheme="minorHAnsi"/>
          <w:szCs w:val="22"/>
          <w:lang w:eastAsia="ja-JP"/>
        </w:rPr>
        <w:t>Rel</w:t>
      </w:r>
      <w:r w:rsidR="000B5A4A" w:rsidRPr="008579CA">
        <w:rPr>
          <w:rFonts w:eastAsiaTheme="minorEastAsia" w:cstheme="minorHAnsi"/>
          <w:szCs w:val="22"/>
          <w:lang w:eastAsia="ja-JP"/>
        </w:rPr>
        <w:t>evance and utility of resources</w:t>
      </w:r>
      <w:r w:rsidRPr="008579CA">
        <w:rPr>
          <w:rFonts w:eastAsiaTheme="minorEastAsia" w:cstheme="minorHAnsi"/>
          <w:szCs w:val="22"/>
          <w:lang w:eastAsia="ja-JP"/>
        </w:rPr>
        <w:t xml:space="preserve">:  </w:t>
      </w:r>
      <w:r w:rsidRPr="008579CA">
        <w:rPr>
          <w:rFonts w:eastAsiaTheme="minorEastAsia" w:cstheme="minorHAnsi"/>
          <w:b/>
          <w:bCs/>
          <w:iCs/>
          <w:szCs w:val="22"/>
          <w:lang w:eastAsia="ja-JP"/>
        </w:rPr>
        <w:t>9</w:t>
      </w:r>
      <w:r w:rsidR="00FF4AD6" w:rsidRPr="008579CA">
        <w:rPr>
          <w:rFonts w:eastAsiaTheme="minorEastAsia" w:cstheme="minorHAnsi"/>
          <w:b/>
          <w:bCs/>
          <w:iCs/>
          <w:szCs w:val="22"/>
          <w:lang w:eastAsia="ja-JP"/>
        </w:rPr>
        <w:t>1</w:t>
      </w:r>
      <w:r w:rsidRPr="008579CA">
        <w:rPr>
          <w:rFonts w:eastAsiaTheme="minorEastAsia" w:cstheme="minorHAnsi"/>
          <w:b/>
          <w:szCs w:val="22"/>
          <w:lang w:eastAsia="ja-JP"/>
        </w:rPr>
        <w:t>%</w:t>
      </w:r>
    </w:p>
    <w:p w14:paraId="57823DEE" w14:textId="61F16B87" w:rsidR="000B5A4A" w:rsidRPr="008579CA" w:rsidRDefault="000366BF" w:rsidP="008579CA">
      <w:pPr>
        <w:pStyle w:val="ListParagraph"/>
        <w:numPr>
          <w:ilvl w:val="0"/>
          <w:numId w:val="12"/>
        </w:numPr>
        <w:autoSpaceDE w:val="0"/>
        <w:autoSpaceDN w:val="0"/>
        <w:adjustRightInd w:val="0"/>
        <w:spacing w:before="120" w:after="120"/>
        <w:ind w:left="426" w:hanging="426"/>
        <w:rPr>
          <w:rFonts w:eastAsiaTheme="minorEastAsia" w:cstheme="minorHAnsi"/>
          <w:szCs w:val="22"/>
          <w:lang w:eastAsia="ja-JP"/>
        </w:rPr>
      </w:pPr>
      <w:r w:rsidRPr="008579CA">
        <w:rPr>
          <w:rFonts w:eastAsiaTheme="minorEastAsia" w:cstheme="minorHAnsi"/>
          <w:szCs w:val="22"/>
          <w:lang w:eastAsia="ja-JP"/>
        </w:rPr>
        <w:t xml:space="preserve">Relevance and utility of the activity:  </w:t>
      </w:r>
      <w:r w:rsidRPr="008579CA">
        <w:rPr>
          <w:rFonts w:eastAsiaTheme="minorEastAsia" w:cstheme="minorHAnsi"/>
          <w:b/>
          <w:bCs/>
          <w:iCs/>
          <w:szCs w:val="22"/>
          <w:lang w:eastAsia="ja-JP"/>
        </w:rPr>
        <w:t>9</w:t>
      </w:r>
      <w:r w:rsidR="00FF4AD6" w:rsidRPr="008579CA">
        <w:rPr>
          <w:rFonts w:eastAsiaTheme="minorEastAsia" w:cstheme="minorHAnsi"/>
          <w:b/>
          <w:bCs/>
          <w:iCs/>
          <w:szCs w:val="22"/>
          <w:lang w:eastAsia="ja-JP"/>
        </w:rPr>
        <w:t>0</w:t>
      </w:r>
      <w:r w:rsidRPr="008579CA">
        <w:rPr>
          <w:rFonts w:eastAsiaTheme="minorEastAsia" w:cstheme="minorHAnsi"/>
          <w:b/>
          <w:szCs w:val="22"/>
          <w:lang w:eastAsia="ja-JP"/>
        </w:rPr>
        <w:t>%</w:t>
      </w:r>
    </w:p>
    <w:p w14:paraId="500831AA" w14:textId="6490AA6E" w:rsidR="000366BF" w:rsidRPr="008579CA" w:rsidRDefault="000B5A4A" w:rsidP="008579CA">
      <w:pPr>
        <w:pStyle w:val="ListParagraph"/>
        <w:numPr>
          <w:ilvl w:val="0"/>
          <w:numId w:val="12"/>
        </w:numPr>
        <w:autoSpaceDE w:val="0"/>
        <w:autoSpaceDN w:val="0"/>
        <w:adjustRightInd w:val="0"/>
        <w:spacing w:before="120" w:after="120"/>
        <w:ind w:left="426" w:hanging="426"/>
        <w:rPr>
          <w:rFonts w:eastAsiaTheme="minorEastAsia" w:cstheme="minorHAnsi"/>
          <w:szCs w:val="22"/>
          <w:lang w:eastAsia="ja-JP"/>
        </w:rPr>
      </w:pPr>
      <w:r w:rsidRPr="008579CA">
        <w:rPr>
          <w:rFonts w:eastAsiaTheme="minorEastAsia" w:cstheme="minorHAnsi"/>
          <w:szCs w:val="22"/>
          <w:lang w:eastAsia="ja-JP"/>
        </w:rPr>
        <w:t>E</w:t>
      </w:r>
      <w:r w:rsidR="000366BF" w:rsidRPr="008579CA">
        <w:rPr>
          <w:rFonts w:eastAsiaTheme="minorEastAsia" w:cstheme="minorHAnsi"/>
          <w:szCs w:val="22"/>
          <w:lang w:eastAsia="ja-JP"/>
        </w:rPr>
        <w:t xml:space="preserve">ffectiveness of the facilitators:  </w:t>
      </w:r>
      <w:r w:rsidR="000366BF" w:rsidRPr="008579CA">
        <w:rPr>
          <w:rFonts w:eastAsiaTheme="minorEastAsia" w:cstheme="minorHAnsi"/>
          <w:b/>
          <w:bCs/>
          <w:iCs/>
          <w:szCs w:val="22"/>
          <w:lang w:eastAsia="ja-JP"/>
        </w:rPr>
        <w:t>9</w:t>
      </w:r>
      <w:r w:rsidR="00FF4AD6" w:rsidRPr="008579CA">
        <w:rPr>
          <w:rFonts w:eastAsiaTheme="minorEastAsia" w:cstheme="minorHAnsi"/>
          <w:b/>
          <w:bCs/>
          <w:iCs/>
          <w:szCs w:val="22"/>
          <w:lang w:eastAsia="ja-JP"/>
        </w:rPr>
        <w:t>0</w:t>
      </w:r>
      <w:r w:rsidR="000366BF" w:rsidRPr="008579CA">
        <w:rPr>
          <w:rFonts w:eastAsiaTheme="minorEastAsia" w:cstheme="minorHAnsi"/>
          <w:b/>
          <w:szCs w:val="22"/>
          <w:lang w:eastAsia="ja-JP"/>
        </w:rPr>
        <w:t>%</w:t>
      </w:r>
    </w:p>
    <w:p w14:paraId="120CA37C" w14:textId="77777777" w:rsidR="003A44CE" w:rsidRPr="003A44CE" w:rsidRDefault="003A44CE" w:rsidP="000366BF">
      <w:pPr>
        <w:spacing w:before="120" w:after="120"/>
        <w:rPr>
          <w:sz w:val="2"/>
          <w:szCs w:val="22"/>
          <w:lang w:val="en-AU"/>
        </w:rPr>
      </w:pPr>
    </w:p>
    <w:p w14:paraId="6A13FB31" w14:textId="7EB1327F" w:rsidR="000366BF" w:rsidRDefault="007471C8" w:rsidP="000366BF">
      <w:pPr>
        <w:spacing w:before="120" w:after="120"/>
        <w:rPr>
          <w:sz w:val="22"/>
          <w:szCs w:val="22"/>
          <w:lang w:val="en-AU"/>
        </w:rPr>
      </w:pPr>
      <w:r>
        <w:rPr>
          <w:sz w:val="22"/>
          <w:szCs w:val="22"/>
          <w:lang w:val="en-AU"/>
        </w:rPr>
        <w:t xml:space="preserve">A list of all the resources created by PJSI is provided at Annex </w:t>
      </w:r>
      <w:r w:rsidR="00777AE7">
        <w:rPr>
          <w:sz w:val="22"/>
          <w:szCs w:val="22"/>
          <w:lang w:val="en-AU"/>
        </w:rPr>
        <w:t>S</w:t>
      </w:r>
      <w:r w:rsidR="00DD424F">
        <w:rPr>
          <w:sz w:val="22"/>
          <w:szCs w:val="22"/>
          <w:lang w:val="en-AU"/>
        </w:rPr>
        <w:t>even</w:t>
      </w:r>
      <w:r>
        <w:rPr>
          <w:sz w:val="22"/>
          <w:szCs w:val="22"/>
          <w:lang w:val="en-AU"/>
        </w:rPr>
        <w:t>.</w:t>
      </w:r>
    </w:p>
    <w:p w14:paraId="38F6024B" w14:textId="74B4050A" w:rsidR="00965250" w:rsidRDefault="00965250" w:rsidP="000366BF">
      <w:pPr>
        <w:spacing w:before="120" w:after="120"/>
        <w:rPr>
          <w:sz w:val="22"/>
          <w:szCs w:val="22"/>
          <w:lang w:val="en-AU"/>
        </w:rPr>
      </w:pPr>
    </w:p>
    <w:p w14:paraId="123F9A4F" w14:textId="77777777" w:rsidR="003A44CE" w:rsidRDefault="003A44CE" w:rsidP="000366BF">
      <w:pPr>
        <w:spacing w:before="120" w:after="120"/>
        <w:rPr>
          <w:b/>
          <w:sz w:val="22"/>
          <w:szCs w:val="22"/>
          <w:lang w:val="en-AU"/>
        </w:rPr>
      </w:pPr>
    </w:p>
    <w:p w14:paraId="41D01B75" w14:textId="77777777" w:rsidR="003A44CE" w:rsidRDefault="003A44CE" w:rsidP="000366BF">
      <w:pPr>
        <w:spacing w:before="120" w:after="120"/>
        <w:rPr>
          <w:b/>
          <w:sz w:val="22"/>
          <w:szCs w:val="22"/>
          <w:lang w:val="en-AU"/>
        </w:rPr>
      </w:pPr>
    </w:p>
    <w:p w14:paraId="6BEE182D" w14:textId="4569BCA4" w:rsidR="002E47A1" w:rsidRDefault="002E47A1">
      <w:pPr>
        <w:rPr>
          <w:b/>
          <w:sz w:val="22"/>
          <w:szCs w:val="22"/>
          <w:lang w:val="en-AU"/>
        </w:rPr>
      </w:pPr>
      <w:r>
        <w:rPr>
          <w:b/>
          <w:sz w:val="22"/>
          <w:szCs w:val="22"/>
          <w:lang w:val="en-AU"/>
        </w:rPr>
        <w:br w:type="page"/>
      </w:r>
    </w:p>
    <w:p w14:paraId="65470528" w14:textId="7DCD3ABA" w:rsidR="000366BF" w:rsidRPr="008C15D6" w:rsidRDefault="002E47A1" w:rsidP="000366BF">
      <w:pPr>
        <w:spacing w:before="120" w:after="120"/>
        <w:rPr>
          <w:b/>
          <w:sz w:val="22"/>
          <w:szCs w:val="22"/>
          <w:lang w:val="en-AU"/>
        </w:rPr>
      </w:pPr>
      <w:r w:rsidRPr="008C15D6">
        <w:rPr>
          <w:rFonts w:cstheme="minorHAnsi"/>
          <w:b/>
          <w:noProof/>
          <w:sz w:val="48"/>
          <w:szCs w:val="48"/>
          <w:lang w:val="en-AU"/>
        </w:rPr>
        <w:lastRenderedPageBreak/>
        <w:drawing>
          <wp:anchor distT="0" distB="0" distL="114300" distR="114300" simplePos="0" relativeHeight="251712000" behindDoc="1" locked="0" layoutInCell="1" allowOverlap="1" wp14:anchorId="1B08FF7A" wp14:editId="70F42589">
            <wp:simplePos x="0" y="0"/>
            <wp:positionH relativeFrom="margin">
              <wp:align>left</wp:align>
            </wp:positionH>
            <wp:positionV relativeFrom="paragraph">
              <wp:posOffset>810260</wp:posOffset>
            </wp:positionV>
            <wp:extent cx="2675890" cy="1419225"/>
            <wp:effectExtent l="0" t="0" r="0" b="9525"/>
            <wp:wrapTight wrapText="bothSides">
              <wp:wrapPolygon edited="0">
                <wp:start x="0" y="0"/>
                <wp:lineTo x="0" y="21455"/>
                <wp:lineTo x="21374" y="21455"/>
                <wp:lineTo x="21374"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elinda2.jpg"/>
                    <pic:cNvPicPr/>
                  </pic:nvPicPr>
                  <pic:blipFill rotWithShape="1">
                    <a:blip r:embed="rId90">
                      <a:extLst>
                        <a:ext uri="{28A0092B-C50C-407E-A947-70E740481C1C}">
                          <a14:useLocalDpi xmlns:a14="http://schemas.microsoft.com/office/drawing/2010/main" val="0"/>
                        </a:ext>
                      </a:extLst>
                    </a:blip>
                    <a:srcRect l="-1"/>
                    <a:stretch/>
                  </pic:blipFill>
                  <pic:spPr bwMode="auto">
                    <a:xfrm>
                      <a:off x="0" y="0"/>
                      <a:ext cx="2675890" cy="141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44CE" w:rsidRPr="008C15D6">
        <w:rPr>
          <w:rFonts w:cstheme="minorHAnsi"/>
          <w:noProof/>
          <w:sz w:val="22"/>
          <w:szCs w:val="22"/>
          <w:lang w:val="en-AU"/>
        </w:rPr>
        <w:drawing>
          <wp:anchor distT="0" distB="0" distL="114300" distR="114300" simplePos="0" relativeHeight="251635200" behindDoc="0" locked="0" layoutInCell="1" allowOverlap="1" wp14:anchorId="1472E997" wp14:editId="109628A6">
            <wp:simplePos x="0" y="0"/>
            <wp:positionH relativeFrom="margin">
              <wp:align>right</wp:align>
            </wp:positionH>
            <wp:positionV relativeFrom="paragraph">
              <wp:posOffset>0</wp:posOffset>
            </wp:positionV>
            <wp:extent cx="5817235" cy="719455"/>
            <wp:effectExtent l="0" t="0" r="12065" b="4445"/>
            <wp:wrapSquare wrapText="bothSides"/>
            <wp:docPr id="60" name="Di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14:sizeRelH relativeFrom="page">
              <wp14:pctWidth>0</wp14:pctWidth>
            </wp14:sizeRelH>
            <wp14:sizeRelV relativeFrom="page">
              <wp14:pctHeight>0</wp14:pctHeight>
            </wp14:sizeRelV>
          </wp:anchor>
        </w:drawing>
      </w:r>
      <w:r w:rsidR="007F3F67" w:rsidRPr="008C15D6">
        <w:rPr>
          <w:b/>
          <w:sz w:val="22"/>
          <w:szCs w:val="22"/>
          <w:lang w:val="en-AU"/>
        </w:rPr>
        <w:t>21</w:t>
      </w:r>
      <w:r w:rsidR="000366BF" w:rsidRPr="008C15D6">
        <w:rPr>
          <w:b/>
          <w:sz w:val="22"/>
          <w:szCs w:val="22"/>
          <w:lang w:val="en-AU"/>
        </w:rPr>
        <w:t xml:space="preserve"> Regional Leadership Activities</w:t>
      </w:r>
      <w:r w:rsidR="000366BF" w:rsidRPr="008C15D6">
        <w:rPr>
          <w:sz w:val="22"/>
          <w:szCs w:val="22"/>
          <w:lang w:val="en-AU"/>
        </w:rPr>
        <w:t xml:space="preserve">: </w:t>
      </w:r>
      <w:r w:rsidR="007F3F67" w:rsidRPr="008C15D6">
        <w:rPr>
          <w:sz w:val="22"/>
          <w:szCs w:val="22"/>
          <w:lang w:val="en-AU"/>
        </w:rPr>
        <w:t xml:space="preserve">eight </w:t>
      </w:r>
      <w:r w:rsidR="000366BF" w:rsidRPr="008C15D6">
        <w:rPr>
          <w:sz w:val="22"/>
          <w:szCs w:val="22"/>
          <w:lang w:val="en-AU"/>
        </w:rPr>
        <w:t>Chief Justices’ Leadership Forum, 1</w:t>
      </w:r>
      <w:r w:rsidR="007F3F67" w:rsidRPr="008C15D6">
        <w:rPr>
          <w:sz w:val="22"/>
          <w:szCs w:val="22"/>
          <w:lang w:val="en-AU"/>
        </w:rPr>
        <w:t>1</w:t>
      </w:r>
      <w:r w:rsidR="000366BF" w:rsidRPr="008C15D6">
        <w:rPr>
          <w:sz w:val="22"/>
          <w:szCs w:val="22"/>
          <w:lang w:val="en-AU"/>
        </w:rPr>
        <w:t xml:space="preserve"> Initiative Executive Committee meetings, producing strategic direction and approvals of PJSIs progress and plans and two Judicial Leadership workshops.  Also supporting the region’s judicial leaders, PJSI produced a series of three COVID-19 webinars and 12 resource newsletters.</w:t>
      </w:r>
    </w:p>
    <w:p w14:paraId="36254C86" w14:textId="79BBF642" w:rsidR="003A44CE" w:rsidRPr="008C15D6" w:rsidRDefault="002E47A1" w:rsidP="000366BF">
      <w:pPr>
        <w:spacing w:before="120" w:after="120"/>
        <w:rPr>
          <w:b/>
          <w:sz w:val="22"/>
          <w:szCs w:val="22"/>
          <w:lang w:val="en-AU"/>
        </w:rPr>
      </w:pPr>
      <w:r w:rsidRPr="008C15D6">
        <w:rPr>
          <w:noProof/>
          <w:lang w:val="en-AU"/>
        </w:rPr>
        <mc:AlternateContent>
          <mc:Choice Requires="wps">
            <w:drawing>
              <wp:anchor distT="0" distB="0" distL="114300" distR="114300" simplePos="0" relativeHeight="251678208" behindDoc="1" locked="0" layoutInCell="1" allowOverlap="1" wp14:anchorId="3FE492D0" wp14:editId="7664488E">
                <wp:simplePos x="0" y="0"/>
                <wp:positionH relativeFrom="margin">
                  <wp:align>left</wp:align>
                </wp:positionH>
                <wp:positionV relativeFrom="paragraph">
                  <wp:posOffset>8890</wp:posOffset>
                </wp:positionV>
                <wp:extent cx="2952750" cy="342900"/>
                <wp:effectExtent l="0" t="0" r="0" b="0"/>
                <wp:wrapTight wrapText="bothSides">
                  <wp:wrapPolygon edited="0">
                    <wp:start x="0" y="0"/>
                    <wp:lineTo x="0" y="20400"/>
                    <wp:lineTo x="21461" y="20400"/>
                    <wp:lineTo x="21461" y="0"/>
                    <wp:lineTo x="0" y="0"/>
                  </wp:wrapPolygon>
                </wp:wrapTight>
                <wp:docPr id="4677" name="Text Box 4677"/>
                <wp:cNvGraphicFramePr/>
                <a:graphic xmlns:a="http://schemas.openxmlformats.org/drawingml/2006/main">
                  <a:graphicData uri="http://schemas.microsoft.com/office/word/2010/wordprocessingShape">
                    <wps:wsp>
                      <wps:cNvSpPr txBox="1"/>
                      <wps:spPr>
                        <a:xfrm>
                          <a:off x="0" y="0"/>
                          <a:ext cx="2952750" cy="342900"/>
                        </a:xfrm>
                        <a:prstGeom prst="rect">
                          <a:avLst/>
                        </a:prstGeom>
                        <a:solidFill>
                          <a:prstClr val="white"/>
                        </a:solidFill>
                        <a:ln>
                          <a:noFill/>
                        </a:ln>
                      </wps:spPr>
                      <wps:txbx>
                        <w:txbxContent>
                          <w:p w14:paraId="7D26881C" w14:textId="5178458F" w:rsidR="00CA4E85" w:rsidRPr="00B21166" w:rsidRDefault="00CA4E85" w:rsidP="00B21166">
                            <w:pPr>
                              <w:pStyle w:val="Caption"/>
                              <w:rPr>
                                <w:i w:val="0"/>
                                <w:noProof/>
                                <w:color w:val="auto"/>
                                <w:sz w:val="23"/>
                                <w:szCs w:val="24"/>
                              </w:rPr>
                            </w:pPr>
                            <w:r w:rsidRPr="008D19AB">
                              <w:rPr>
                                <w:i w:val="0"/>
                                <w:color w:val="auto"/>
                              </w:rPr>
                              <w:t>Figure 13:</w:t>
                            </w:r>
                            <w:r w:rsidRPr="00B21166">
                              <w:rPr>
                                <w:i w:val="0"/>
                                <w:color w:val="auto"/>
                              </w:rPr>
                              <w:t xml:space="preserve"> </w:t>
                            </w:r>
                            <w:r>
                              <w:rPr>
                                <w:i w:val="0"/>
                                <w:color w:val="auto"/>
                              </w:rPr>
                              <w:t>Project Management &amp; Activity Preparation Workshop, Vanuatu, February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492D0" id="Text Box 4677" o:spid="_x0000_s1053" type="#_x0000_t202" style="position:absolute;margin-left:0;margin-top:.7pt;width:232.5pt;height:27pt;z-index:-25163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j8NwIAAG4EAAAOAAAAZHJzL2Uyb0RvYy54bWysVFFv2jAQfp+0/2D5fQSytqwRoWJUTJNQ&#10;WwmmPhvHIZZsn2cbEvbrd3YIbN2epr2Yy935zt/33TF76LQiR+G8BFPSyWhMiTAcKmn2Jf22XX34&#10;RIkPzFRMgRElPQlPH+bv381aW4gcGlCVcASLGF+0tqRNCLbIMs8boZkfgRUGgzU4zQJ+un1WOdZi&#10;da2yfDy+y1pwlXXAhffofeyDdJ7q17Xg4bmuvQhElRTfFtLp0rmLZzafsWLvmG0kPz+D/cMrNJMG&#10;m15KPbLAyMHJP0ppyR14qMOIg86griUXCQOimYzfoNk0zIqEBcnx9kKT/39l+dPxxRFZlfTmbjql&#10;xDCNKm1FF8hn6EhyIket9QWmbiwmhw4jqHXkLvo9OiP0rnY6/iIognFk+3RhONbj6Mzvb/PpLYY4&#10;xj7e5PfjJEF2vW2dD18EaBKNkjpUMBHLjmsfsCOmDimxmQclq5VUKn7EwFI5cmSodtvIIOIb8cZv&#10;WcrEXAPxVh+OnuwKJVqh23WJlnw64NxBdUL4Dvoh8pavJDZcMx9emMOpQVi4CeEZj1pBW1I4W5Q0&#10;4H78zR/zUUyMUtLiFJbUfz8wJyhRXw3KHEd2MNxg7AbDHPQSEOoEd8zyZOIFF9Rg1g70Ky7IInbB&#10;EDMce5U0DOYy9LuAC8bFYpGScDAtC2uzsTyWHojddq/M2bMsAQV9gmE+WfFGnT63p3lxCFDLJF0k&#10;tmfxzDcOddLnvIBxa379TlnXv4n5TwAAAP//AwBQSwMEFAAGAAgAAAAhAPepEujbAAAABQEAAA8A&#10;AABkcnMvZG93bnJldi54bWxMj8FOwzAQRO9I/IO1SFwQdaiSCKVxKmjhBoeWqmc33iYR8TqynSb9&#10;e5YTHGdnNfOmXM+2Fxf0oXOk4GmRgECqnemoUXD4en98BhGiJqN7R6jgigHW1e1NqQvjJtrhZR8b&#10;wSEUCq2gjXEopAx1i1aHhRuQ2Ds7b3Vk6RtpvJ443PZymSS5tLojbmj1gJsW6+/9aBXkWz9OO9o8&#10;bA9vH/pzaJbH1+tRqfu7+WUFIuIc/57hF5/RoWKmkxvJBNEr4CGRrykINtM8Y31SkGUpyKqU/+mr&#10;HwAAAP//AwBQSwECLQAUAAYACAAAACEAtoM4kv4AAADhAQAAEwAAAAAAAAAAAAAAAAAAAAAAW0Nv&#10;bnRlbnRfVHlwZXNdLnhtbFBLAQItABQABgAIAAAAIQA4/SH/1gAAAJQBAAALAAAAAAAAAAAAAAAA&#10;AC8BAABfcmVscy8ucmVsc1BLAQItABQABgAIAAAAIQATdmj8NwIAAG4EAAAOAAAAAAAAAAAAAAAA&#10;AC4CAABkcnMvZTJvRG9jLnhtbFBLAQItABQABgAIAAAAIQD3qRLo2wAAAAUBAAAPAAAAAAAAAAAA&#10;AAAAAJEEAABkcnMvZG93bnJldi54bWxQSwUGAAAAAAQABADzAAAAmQUAAAAA&#10;" stroked="f">
                <v:textbox inset="0,0,0,0">
                  <w:txbxContent>
                    <w:p w14:paraId="7D26881C" w14:textId="5178458F" w:rsidR="00CA4E85" w:rsidRPr="00B21166" w:rsidRDefault="00CA4E85" w:rsidP="00B21166">
                      <w:pPr>
                        <w:pStyle w:val="Caption"/>
                        <w:rPr>
                          <w:i w:val="0"/>
                          <w:noProof/>
                          <w:color w:val="auto"/>
                          <w:sz w:val="23"/>
                          <w:szCs w:val="24"/>
                        </w:rPr>
                      </w:pPr>
                      <w:r w:rsidRPr="008D19AB">
                        <w:rPr>
                          <w:i w:val="0"/>
                          <w:color w:val="auto"/>
                        </w:rPr>
                        <w:t>Figure 13:</w:t>
                      </w:r>
                      <w:r w:rsidRPr="00B21166">
                        <w:rPr>
                          <w:i w:val="0"/>
                          <w:color w:val="auto"/>
                        </w:rPr>
                        <w:t xml:space="preserve"> </w:t>
                      </w:r>
                      <w:r>
                        <w:rPr>
                          <w:i w:val="0"/>
                          <w:color w:val="auto"/>
                        </w:rPr>
                        <w:t>Project Management &amp; Activity Preparation Workshop, Vanuatu, February 2019</w:t>
                      </w:r>
                    </w:p>
                  </w:txbxContent>
                </v:textbox>
                <w10:wrap type="tight" anchorx="margin"/>
              </v:shape>
            </w:pict>
          </mc:Fallback>
        </mc:AlternateContent>
      </w:r>
    </w:p>
    <w:p w14:paraId="6AE9632F" w14:textId="2931368E" w:rsidR="003A44CE" w:rsidRPr="008C15D6" w:rsidRDefault="003A44CE" w:rsidP="000366BF">
      <w:pPr>
        <w:spacing w:before="120" w:after="120"/>
        <w:rPr>
          <w:b/>
          <w:sz w:val="2"/>
          <w:szCs w:val="22"/>
          <w:lang w:val="en-AU"/>
        </w:rPr>
      </w:pPr>
    </w:p>
    <w:p w14:paraId="709DB9B4" w14:textId="2FC064E2" w:rsidR="000366BF" w:rsidRPr="008C15D6" w:rsidRDefault="00E32E1B" w:rsidP="000366BF">
      <w:pPr>
        <w:spacing w:before="120" w:after="120"/>
        <w:rPr>
          <w:noProof/>
          <w:sz w:val="22"/>
          <w:szCs w:val="22"/>
          <w:lang w:val="en-AU"/>
        </w:rPr>
      </w:pPr>
      <w:r w:rsidRPr="008C15D6">
        <w:rPr>
          <w:b/>
          <w:sz w:val="22"/>
          <w:szCs w:val="22"/>
          <w:lang w:val="en-AU"/>
        </w:rPr>
        <w:t>10</w:t>
      </w:r>
      <w:r w:rsidR="000366BF" w:rsidRPr="008C15D6">
        <w:rPr>
          <w:b/>
          <w:sz w:val="22"/>
          <w:szCs w:val="22"/>
          <w:lang w:val="en-AU"/>
        </w:rPr>
        <w:t xml:space="preserve"> National Leadership Activities</w:t>
      </w:r>
      <w:r w:rsidR="000366BF" w:rsidRPr="008C15D6">
        <w:rPr>
          <w:sz w:val="22"/>
          <w:szCs w:val="22"/>
          <w:lang w:val="en-AU"/>
        </w:rPr>
        <w:t>: one regional with 13 Partner Courts</w:t>
      </w:r>
      <w:r w:rsidR="000366BF" w:rsidRPr="008C15D6" w:rsidDel="00FA7421">
        <w:rPr>
          <w:sz w:val="22"/>
          <w:szCs w:val="22"/>
          <w:lang w:val="en-AU"/>
        </w:rPr>
        <w:t xml:space="preserve"> </w:t>
      </w:r>
      <w:r w:rsidR="000366BF" w:rsidRPr="008C15D6">
        <w:rPr>
          <w:sz w:val="22"/>
          <w:szCs w:val="22"/>
          <w:lang w:val="en-AU"/>
        </w:rPr>
        <w:t>(</w:t>
      </w:r>
      <w:r w:rsidR="000366BF" w:rsidRPr="008C15D6">
        <w:rPr>
          <w:noProof/>
          <w:sz w:val="22"/>
          <w:szCs w:val="22"/>
          <w:lang w:val="en-AU"/>
        </w:rPr>
        <w:t xml:space="preserve">Cook Islands, FSM, Kiribati, RMI, Nauru, Niue, Palau, PNG, Samoa, Solomon Islands, Tokelau, Tonga) and seven local activities with five </w:t>
      </w:r>
      <w:r w:rsidR="000366BF" w:rsidRPr="008C15D6">
        <w:rPr>
          <w:sz w:val="22"/>
          <w:szCs w:val="22"/>
          <w:lang w:val="en-AU"/>
        </w:rPr>
        <w:t>Partner Courts</w:t>
      </w:r>
      <w:r w:rsidR="000366BF" w:rsidRPr="008C15D6" w:rsidDel="00FA7421">
        <w:rPr>
          <w:sz w:val="22"/>
          <w:szCs w:val="22"/>
          <w:lang w:val="en-AU"/>
        </w:rPr>
        <w:t xml:space="preserve"> </w:t>
      </w:r>
      <w:r w:rsidR="000366BF" w:rsidRPr="008C15D6">
        <w:rPr>
          <w:sz w:val="22"/>
          <w:szCs w:val="22"/>
          <w:lang w:val="en-AU"/>
        </w:rPr>
        <w:t xml:space="preserve">(Vanuatu, Tokelau, FSM, PNG, Fiji). Building local capacity to plan, design, manage and evaluate projects, some of the key outputs include Vanuatu’s 2020 and 2021 Judicial Management Improvement Plans, FSM’s COVID-19 Response Plan and 85% of LIF activities that have achieved their aims. </w:t>
      </w:r>
    </w:p>
    <w:p w14:paraId="405FC011" w14:textId="63818E35" w:rsidR="003A44CE" w:rsidRPr="008C15D6" w:rsidRDefault="00FF4AD6" w:rsidP="000366BF">
      <w:pPr>
        <w:spacing w:before="120" w:after="120"/>
        <w:rPr>
          <w:sz w:val="22"/>
          <w:szCs w:val="22"/>
          <w:lang w:val="en-AU"/>
        </w:rPr>
      </w:pPr>
      <w:r w:rsidRPr="008C15D6">
        <w:rPr>
          <w:rFonts w:cstheme="minorHAnsi"/>
          <w:noProof/>
          <w:sz w:val="22"/>
          <w:szCs w:val="22"/>
          <w:lang w:val="en-AU"/>
        </w:rPr>
        <w:drawing>
          <wp:anchor distT="0" distB="0" distL="114300" distR="114300" simplePos="0" relativeHeight="251719168" behindDoc="1" locked="0" layoutInCell="1" allowOverlap="1" wp14:anchorId="1FF7FDF5" wp14:editId="1E376037">
            <wp:simplePos x="0" y="0"/>
            <wp:positionH relativeFrom="margin">
              <wp:posOffset>2540</wp:posOffset>
            </wp:positionH>
            <wp:positionV relativeFrom="paragraph">
              <wp:posOffset>358140</wp:posOffset>
            </wp:positionV>
            <wp:extent cx="5817235" cy="719455"/>
            <wp:effectExtent l="0" t="0" r="12065" b="4445"/>
            <wp:wrapTight wrapText="bothSides">
              <wp:wrapPolygon edited="0">
                <wp:start x="141" y="0"/>
                <wp:lineTo x="0" y="8579"/>
                <wp:lineTo x="0" y="14298"/>
                <wp:lineTo x="141" y="21162"/>
                <wp:lineTo x="566" y="21162"/>
                <wp:lineTo x="707" y="19446"/>
                <wp:lineTo x="21574" y="16586"/>
                <wp:lineTo x="21574" y="4575"/>
                <wp:lineTo x="566" y="0"/>
                <wp:lineTo x="141" y="0"/>
              </wp:wrapPolygon>
            </wp:wrapTight>
            <wp:docPr id="4712" name="Diagram 47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14:sizeRelH relativeFrom="margin">
              <wp14:pctWidth>0</wp14:pctWidth>
            </wp14:sizeRelH>
            <wp14:sizeRelV relativeFrom="margin">
              <wp14:pctHeight>0</wp14:pctHeight>
            </wp14:sizeRelV>
          </wp:anchor>
        </w:drawing>
      </w:r>
      <w:r w:rsidRPr="008C15D6">
        <w:rPr>
          <w:b/>
          <w:sz w:val="22"/>
          <w:szCs w:val="22"/>
          <w:lang w:val="en-AU"/>
        </w:rPr>
        <w:t xml:space="preserve">87 </w:t>
      </w:r>
      <w:r w:rsidR="000366BF" w:rsidRPr="008C15D6">
        <w:rPr>
          <w:b/>
          <w:sz w:val="22"/>
          <w:szCs w:val="22"/>
          <w:lang w:val="en-AU"/>
        </w:rPr>
        <w:t>Leadership Incentive Fund Activities</w:t>
      </w:r>
      <w:r w:rsidR="000366BF" w:rsidRPr="008C15D6">
        <w:rPr>
          <w:sz w:val="22"/>
          <w:szCs w:val="22"/>
          <w:lang w:val="en-AU"/>
        </w:rPr>
        <w:t>: in 1</w:t>
      </w:r>
      <w:r w:rsidR="00066FC6" w:rsidRPr="008C15D6">
        <w:rPr>
          <w:sz w:val="22"/>
          <w:szCs w:val="22"/>
          <w:lang w:val="en-AU"/>
        </w:rPr>
        <w:t>3</w:t>
      </w:r>
      <w:r w:rsidR="000366BF" w:rsidRPr="008C15D6">
        <w:rPr>
          <w:sz w:val="22"/>
          <w:szCs w:val="22"/>
          <w:lang w:val="en-AU"/>
        </w:rPr>
        <w:t xml:space="preserve"> Partner Courts</w:t>
      </w:r>
      <w:r w:rsidR="000366BF" w:rsidRPr="008C15D6" w:rsidDel="00FA7421">
        <w:rPr>
          <w:sz w:val="22"/>
          <w:szCs w:val="22"/>
          <w:lang w:val="en-AU"/>
        </w:rPr>
        <w:t xml:space="preserve"> </w:t>
      </w:r>
      <w:r w:rsidR="000366BF" w:rsidRPr="008C15D6">
        <w:rPr>
          <w:sz w:val="22"/>
          <w:szCs w:val="22"/>
          <w:lang w:val="en-AU"/>
        </w:rPr>
        <w:t>which directly addressed local priorities not otherwise treated by PJSI or other projects.</w:t>
      </w:r>
    </w:p>
    <w:p w14:paraId="29B3EE97" w14:textId="51E36EB1" w:rsidR="003A44CE" w:rsidRPr="008C15D6" w:rsidRDefault="003A44CE" w:rsidP="003A44CE">
      <w:pPr>
        <w:rPr>
          <w:b/>
          <w:sz w:val="22"/>
          <w:szCs w:val="22"/>
          <w:lang w:val="en-AU"/>
        </w:rPr>
      </w:pPr>
    </w:p>
    <w:p w14:paraId="3A49112A" w14:textId="2ACB5C0F" w:rsidR="000366BF" w:rsidRPr="008C15D6" w:rsidRDefault="00A175EB" w:rsidP="00A175EB">
      <w:pPr>
        <w:rPr>
          <w:rFonts w:cstheme="minorHAnsi"/>
          <w:sz w:val="22"/>
          <w:szCs w:val="22"/>
          <w:lang w:val="en-AU"/>
        </w:rPr>
      </w:pPr>
      <w:r w:rsidRPr="001A46A4">
        <w:rPr>
          <w:noProof/>
          <w:lang w:val="en-AU"/>
        </w:rPr>
        <mc:AlternateContent>
          <mc:Choice Requires="wps">
            <w:drawing>
              <wp:anchor distT="0" distB="0" distL="114300" distR="114300" simplePos="0" relativeHeight="251679232" behindDoc="1" locked="0" layoutInCell="1" allowOverlap="1" wp14:anchorId="00F0C793" wp14:editId="3460E880">
                <wp:simplePos x="0" y="0"/>
                <wp:positionH relativeFrom="margin">
                  <wp:align>right</wp:align>
                </wp:positionH>
                <wp:positionV relativeFrom="paragraph">
                  <wp:posOffset>3096895</wp:posOffset>
                </wp:positionV>
                <wp:extent cx="3667125" cy="635"/>
                <wp:effectExtent l="0" t="0" r="9525" b="0"/>
                <wp:wrapTight wrapText="bothSides">
                  <wp:wrapPolygon edited="0">
                    <wp:start x="0" y="0"/>
                    <wp:lineTo x="0" y="20282"/>
                    <wp:lineTo x="21544" y="20282"/>
                    <wp:lineTo x="21544" y="0"/>
                    <wp:lineTo x="0" y="0"/>
                  </wp:wrapPolygon>
                </wp:wrapTight>
                <wp:docPr id="4678" name="Text Box 4678"/>
                <wp:cNvGraphicFramePr/>
                <a:graphic xmlns:a="http://schemas.openxmlformats.org/drawingml/2006/main">
                  <a:graphicData uri="http://schemas.microsoft.com/office/word/2010/wordprocessingShape">
                    <wps:wsp>
                      <wps:cNvSpPr txBox="1"/>
                      <wps:spPr>
                        <a:xfrm>
                          <a:off x="0" y="0"/>
                          <a:ext cx="3667125" cy="635"/>
                        </a:xfrm>
                        <a:prstGeom prst="rect">
                          <a:avLst/>
                        </a:prstGeom>
                        <a:solidFill>
                          <a:prstClr val="white"/>
                        </a:solidFill>
                        <a:ln>
                          <a:noFill/>
                        </a:ln>
                      </wps:spPr>
                      <wps:txbx>
                        <w:txbxContent>
                          <w:p w14:paraId="7EBA8BE0" w14:textId="114F66AE" w:rsidR="00CA4E85" w:rsidRPr="002E47A1" w:rsidRDefault="00CA4E85" w:rsidP="00B21166">
                            <w:pPr>
                              <w:pStyle w:val="Caption"/>
                              <w:rPr>
                                <w:i w:val="0"/>
                                <w:noProof/>
                                <w:color w:val="auto"/>
                              </w:rPr>
                            </w:pPr>
                            <w:r w:rsidRPr="002E47A1">
                              <w:rPr>
                                <w:i w:val="0"/>
                                <w:color w:val="auto"/>
                              </w:rPr>
                              <w:t>Figure 14: Access to Justice</w:t>
                            </w:r>
                            <w:r>
                              <w:rPr>
                                <w:i w:val="0"/>
                                <w:color w:val="auto"/>
                              </w:rPr>
                              <w:t xml:space="preserve"> -</w:t>
                            </w:r>
                            <w:r w:rsidRPr="002E47A1">
                              <w:rPr>
                                <w:i w:val="0"/>
                                <w:color w:val="auto"/>
                              </w:rPr>
                              <w:t xml:space="preserve"> Enabling Rights and Unrepresented Litigants, Vanuatu, March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F0C793" id="Text Box 4678" o:spid="_x0000_s1054" type="#_x0000_t202" style="position:absolute;margin-left:237.55pt;margin-top:243.85pt;width:288.75pt;height:.05pt;z-index:-2516372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SL7MwIAAGsEAAAOAAAAZHJzL2Uyb0RvYy54bWysVFFv2yAQfp+0/4B4X5yka1pZcaosVaZJ&#10;UVspmfpMMI6RgGNAYme/fge2k67b07QXfNwdH9z33Xn+0GpFTsJ5Caagk9GYEmE4lNIcCvp9t/50&#10;T4kPzJRMgREFPQtPHxYfP8wbm4sp1KBK4QiCGJ83tqB1CDbPMs9roZkfgRUGgxU4zQJu3SErHWsQ&#10;XatsOh7PsgZcaR1w4T16H7sgXST8qhI8PFeVF4GoguLbQlpdWvdxzRZzlh8cs7Xk/TPYP7xCM2nw&#10;0gvUIwuMHJ38A0pL7sBDFUYcdAZVJblINWA1k/G7arY1syLVguR4e6HJ/z9Y/nR6cUSWBf08u0Ot&#10;DNOo0k60gXyBliQnctRYn2Pq1mJyaDGCWkfuot+jM5beVk7HLxZFMI5sny8MRzyOzpvZ7G4yvaWE&#10;Y2x2cxsxsutR63z4KkCTaBTUoXyJVXba+NClDinxJg9KlmupVNzEwEo5cmIodVPLIHrw37KUibkG&#10;4qkOMHqyax3RCu2+TZxM74ci91CesXYHXQd5y9cSL9wwH16Yw5bBcnEMwjMulYKmoNBblNTgfv7N&#10;H/NRSYxS0mALFtT/ODInKFHfDGoc+3Uw3GDsB8Mc9Qqw1AkOmOXJxAMuqMGsHOhXnI5lvAVDzHC8&#10;q6BhMFehGwScLi6Wy5SEXWlZ2Jit5RF6IHbXvjJne1kCqvkEQ3Oy/J06XW7Sxy6PAalO0kViOxZ7&#10;vrGjk/j99MWRebtPWdd/xOIXAAAA//8DAFBLAwQUAAYACAAAACEADVS/8d8AAAAIAQAADwAAAGRy&#10;cy9kb3ducmV2LnhtbEyPwU7DMBBE70j8g7VIXBB1gLSJ0jhVVcEBLhWhl97ceBsH4nVkO234e0wv&#10;cJyd1cybcjWZnp3Q+c6SgIdZAgypsaqjVsDu4+U+B+aDJCV7SyjgGz2squurUhbKnukdT3VoWQwh&#10;X0gBOoSh4Nw3Go30MzsgRe9onZEhStdy5eQ5hpuePybJghvZUWzQcsCNxuarHo2Abbrf6rvx+Py2&#10;Tp/c627cLD7bWojbm2m9BBZwCn/P8Isf0aGKTAc7kvKsFxCHBAFpnmXAoj3Psjmww+WSA69K/n9A&#10;9QMAAP//AwBQSwECLQAUAAYACAAAACEAtoM4kv4AAADhAQAAEwAAAAAAAAAAAAAAAAAAAAAAW0Nv&#10;bnRlbnRfVHlwZXNdLnhtbFBLAQItABQABgAIAAAAIQA4/SH/1gAAAJQBAAALAAAAAAAAAAAAAAAA&#10;AC8BAABfcmVscy8ucmVsc1BLAQItABQABgAIAAAAIQDEvSL7MwIAAGsEAAAOAAAAAAAAAAAAAAAA&#10;AC4CAABkcnMvZTJvRG9jLnhtbFBLAQItABQABgAIAAAAIQANVL/x3wAAAAgBAAAPAAAAAAAAAAAA&#10;AAAAAI0EAABkcnMvZG93bnJldi54bWxQSwUGAAAAAAQABADzAAAAmQUAAAAA&#10;" stroked="f">
                <v:textbox style="mso-fit-shape-to-text:t" inset="0,0,0,0">
                  <w:txbxContent>
                    <w:p w14:paraId="7EBA8BE0" w14:textId="114F66AE" w:rsidR="00CA4E85" w:rsidRPr="002E47A1" w:rsidRDefault="00CA4E85" w:rsidP="00B21166">
                      <w:pPr>
                        <w:pStyle w:val="Caption"/>
                        <w:rPr>
                          <w:i w:val="0"/>
                          <w:noProof/>
                          <w:color w:val="auto"/>
                        </w:rPr>
                      </w:pPr>
                      <w:r w:rsidRPr="002E47A1">
                        <w:rPr>
                          <w:i w:val="0"/>
                          <w:color w:val="auto"/>
                        </w:rPr>
                        <w:t>Figure 14: Access to Justice</w:t>
                      </w:r>
                      <w:r>
                        <w:rPr>
                          <w:i w:val="0"/>
                          <w:color w:val="auto"/>
                        </w:rPr>
                        <w:t xml:space="preserve"> -</w:t>
                      </w:r>
                      <w:r w:rsidRPr="002E47A1">
                        <w:rPr>
                          <w:i w:val="0"/>
                          <w:color w:val="auto"/>
                        </w:rPr>
                        <w:t xml:space="preserve"> Enabling Rights and Unrepresented Litigants, Vanuatu, March 2019</w:t>
                      </w:r>
                    </w:p>
                  </w:txbxContent>
                </v:textbox>
                <w10:wrap type="tight" anchorx="margin"/>
              </v:shape>
            </w:pict>
          </mc:Fallback>
        </mc:AlternateContent>
      </w:r>
      <w:r w:rsidRPr="001A46A4">
        <w:rPr>
          <w:noProof/>
          <w:sz w:val="22"/>
          <w:szCs w:val="22"/>
          <w:lang w:val="en-AU"/>
        </w:rPr>
        <w:drawing>
          <wp:anchor distT="0" distB="0" distL="114300" distR="114300" simplePos="0" relativeHeight="251668992" behindDoc="1" locked="0" layoutInCell="1" allowOverlap="1" wp14:anchorId="5E58E7F9" wp14:editId="3AAAAE4E">
            <wp:simplePos x="0" y="0"/>
            <wp:positionH relativeFrom="margin">
              <wp:align>right</wp:align>
            </wp:positionH>
            <wp:positionV relativeFrom="paragraph">
              <wp:posOffset>769620</wp:posOffset>
            </wp:positionV>
            <wp:extent cx="3667125" cy="2310130"/>
            <wp:effectExtent l="0" t="0" r="9525" b="0"/>
            <wp:wrapTight wrapText="bothSides">
              <wp:wrapPolygon edited="0">
                <wp:start x="0" y="0"/>
                <wp:lineTo x="0" y="21374"/>
                <wp:lineTo x="21544" y="21374"/>
                <wp:lineTo x="21544" y="0"/>
                <wp:lineTo x="0" y="0"/>
              </wp:wrapPolygon>
            </wp:wrapTight>
            <wp:docPr id="4676" name="Picture 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67125" cy="2310130"/>
                    </a:xfrm>
                    <a:prstGeom prst="rect">
                      <a:avLst/>
                    </a:prstGeom>
                    <a:noFill/>
                    <a:ln>
                      <a:noFill/>
                    </a:ln>
                  </pic:spPr>
                </pic:pic>
              </a:graphicData>
            </a:graphic>
          </wp:anchor>
        </w:drawing>
      </w:r>
      <w:r w:rsidR="00E32E1B" w:rsidRPr="001A46A4">
        <w:rPr>
          <w:b/>
          <w:sz w:val="22"/>
          <w:szCs w:val="22"/>
          <w:lang w:val="en-AU"/>
        </w:rPr>
        <w:t>1</w:t>
      </w:r>
      <w:r w:rsidR="004E3980" w:rsidRPr="001A46A4">
        <w:rPr>
          <w:b/>
          <w:sz w:val="22"/>
          <w:szCs w:val="22"/>
          <w:lang w:val="en-AU"/>
        </w:rPr>
        <w:t>6</w:t>
      </w:r>
      <w:r w:rsidR="000366BF" w:rsidRPr="001A46A4">
        <w:rPr>
          <w:b/>
          <w:sz w:val="22"/>
          <w:szCs w:val="22"/>
          <w:lang w:val="en-AU"/>
        </w:rPr>
        <w:t xml:space="preserve"> Access to Justice Activities:</w:t>
      </w:r>
      <w:r w:rsidR="000366BF" w:rsidRPr="008C15D6">
        <w:rPr>
          <w:sz w:val="22"/>
          <w:szCs w:val="22"/>
          <w:lang w:val="en-AU"/>
        </w:rPr>
        <w:t xml:space="preserve"> A regional situational analysis </w:t>
      </w:r>
      <w:r w:rsidR="00592025" w:rsidRPr="008C15D6">
        <w:rPr>
          <w:sz w:val="22"/>
          <w:szCs w:val="22"/>
          <w:lang w:val="en-AU"/>
        </w:rPr>
        <w:t>explored</w:t>
      </w:r>
      <w:r w:rsidR="000366BF" w:rsidRPr="008C15D6">
        <w:rPr>
          <w:sz w:val="22"/>
          <w:szCs w:val="22"/>
          <w:lang w:val="en-AU"/>
        </w:rPr>
        <w:t xml:space="preserve"> legal aid models throughout the </w:t>
      </w:r>
      <w:r w:rsidR="00592025" w:rsidRPr="008C15D6">
        <w:rPr>
          <w:sz w:val="22"/>
          <w:szCs w:val="22"/>
          <w:lang w:val="en-AU"/>
        </w:rPr>
        <w:t>P</w:t>
      </w:r>
      <w:r w:rsidR="000366BF" w:rsidRPr="008C15D6">
        <w:rPr>
          <w:sz w:val="22"/>
          <w:szCs w:val="22"/>
          <w:lang w:val="en-AU"/>
        </w:rPr>
        <w:t>acific, providing suggestions to close national and regional gaps in</w:t>
      </w:r>
      <w:r w:rsidR="000366BF" w:rsidRPr="00F34A39">
        <w:rPr>
          <w:sz w:val="22"/>
          <w:szCs w:val="22"/>
          <w:lang w:val="en-AU"/>
        </w:rPr>
        <w:t xml:space="preserve"> legal aid coverage. The report was discussed among 91 regional stakeholders from 12 Partner Courts</w:t>
      </w:r>
      <w:r w:rsidR="000366BF" w:rsidRPr="00F34A39" w:rsidDel="00FA7421">
        <w:rPr>
          <w:sz w:val="22"/>
          <w:szCs w:val="22"/>
          <w:lang w:val="en-AU"/>
        </w:rPr>
        <w:t xml:space="preserve"> </w:t>
      </w:r>
      <w:r w:rsidR="000366BF" w:rsidRPr="00F34A39">
        <w:rPr>
          <w:sz w:val="22"/>
          <w:szCs w:val="22"/>
          <w:lang w:val="en-AU"/>
        </w:rPr>
        <w:t>to develop a roadmap to increase the availability of legal aid in the region. Bilateral support to five Partner Courts</w:t>
      </w:r>
      <w:r w:rsidR="000366BF" w:rsidRPr="00F34A39" w:rsidDel="00FA7421">
        <w:rPr>
          <w:sz w:val="22"/>
          <w:szCs w:val="22"/>
          <w:lang w:val="en-AU"/>
        </w:rPr>
        <w:t xml:space="preserve"> </w:t>
      </w:r>
      <w:r w:rsidR="000366BF" w:rsidRPr="00F34A39">
        <w:rPr>
          <w:sz w:val="22"/>
          <w:szCs w:val="22"/>
          <w:lang w:val="en-AU"/>
        </w:rPr>
        <w:t>(</w:t>
      </w:r>
      <w:r w:rsidR="000366BF" w:rsidRPr="00F34A39">
        <w:rPr>
          <w:rFonts w:cstheme="minorHAnsi"/>
          <w:sz w:val="22"/>
          <w:szCs w:val="22"/>
          <w:lang w:val="en-AU"/>
        </w:rPr>
        <w:t xml:space="preserve">Kiribati, FSM, RMI, Cook Islands, Vanuatu), produced Access to Justice Plans in Kiribati, Vanuatu, FSM, Cook Islands. Plans are being implemented in Kiribati and Vanuatu including court open days, community consultation and user surveys, broad dissemination </w:t>
      </w:r>
      <w:r w:rsidR="000366BF" w:rsidRPr="00A175EB">
        <w:rPr>
          <w:rFonts w:cstheme="minorHAnsi"/>
          <w:sz w:val="22"/>
          <w:szCs w:val="22"/>
          <w:lang w:val="en-AU"/>
        </w:rPr>
        <w:t>of information pamphlets, website redesign and developing a ‘Governance’ curriculum and resources for secondary schools (also with FSM, Palau, Tonga</w:t>
      </w:r>
      <w:r w:rsidR="00133CAB" w:rsidRPr="00A175EB">
        <w:rPr>
          <w:rFonts w:cstheme="minorHAnsi"/>
          <w:sz w:val="22"/>
          <w:szCs w:val="22"/>
          <w:lang w:val="en-AU"/>
        </w:rPr>
        <w:t>, PNG</w:t>
      </w:r>
      <w:r w:rsidR="000366BF" w:rsidRPr="00A175EB">
        <w:rPr>
          <w:rFonts w:cstheme="minorHAnsi"/>
          <w:sz w:val="22"/>
          <w:szCs w:val="22"/>
          <w:lang w:val="en-AU"/>
        </w:rPr>
        <w:t>).</w:t>
      </w:r>
      <w:r w:rsidRPr="00A175EB">
        <w:rPr>
          <w:rFonts w:cstheme="minorHAnsi"/>
          <w:sz w:val="22"/>
          <w:szCs w:val="22"/>
          <w:lang w:val="en-AU"/>
        </w:rPr>
        <w:t xml:space="preserve"> </w:t>
      </w:r>
      <w:r w:rsidR="008C15D6" w:rsidRPr="00A175EB">
        <w:rPr>
          <w:rFonts w:cstheme="minorHAnsi"/>
          <w:sz w:val="22"/>
          <w:szCs w:val="22"/>
          <w:lang w:val="en-AU"/>
        </w:rPr>
        <w:t xml:space="preserve">A </w:t>
      </w:r>
      <w:hyperlink r:id="rId102" w:history="1">
        <w:r w:rsidR="008C15D6" w:rsidRPr="00A175EB">
          <w:rPr>
            <w:rStyle w:val="Hyperlink"/>
            <w:rFonts w:cstheme="minorHAnsi"/>
            <w:sz w:val="22"/>
            <w:szCs w:val="22"/>
            <w:lang w:val="en-AU"/>
          </w:rPr>
          <w:t>Community Engagement Guidance Note</w:t>
        </w:r>
      </w:hyperlink>
      <w:r w:rsidR="008C15D6" w:rsidRPr="00A175EB">
        <w:rPr>
          <w:rFonts w:cstheme="minorHAnsi"/>
          <w:sz w:val="22"/>
          <w:szCs w:val="22"/>
          <w:lang w:val="en-AU"/>
        </w:rPr>
        <w:t xml:space="preserve"> was also developed and launched among Partner Courts.</w:t>
      </w:r>
      <w:r w:rsidR="008C15D6">
        <w:rPr>
          <w:rFonts w:cstheme="minorHAnsi"/>
          <w:sz w:val="22"/>
          <w:szCs w:val="22"/>
          <w:lang w:val="en-AU"/>
        </w:rPr>
        <w:t xml:space="preserve">  </w:t>
      </w:r>
    </w:p>
    <w:p w14:paraId="202458D8" w14:textId="59723F85" w:rsidR="000366BF" w:rsidRPr="008C15D6" w:rsidRDefault="000366BF" w:rsidP="000366BF">
      <w:pPr>
        <w:rPr>
          <w:lang w:val="en-AU"/>
        </w:rPr>
      </w:pPr>
    </w:p>
    <w:p w14:paraId="6F367A21" w14:textId="3615E9EC" w:rsidR="00944A7E" w:rsidRPr="008C15D6" w:rsidRDefault="00944A7E" w:rsidP="00944A7E">
      <w:pPr>
        <w:rPr>
          <w:b/>
          <w:sz w:val="22"/>
          <w:szCs w:val="22"/>
          <w:lang w:val="en-AU"/>
        </w:rPr>
      </w:pPr>
    </w:p>
    <w:p w14:paraId="3C771ED8" w14:textId="3C793A93" w:rsidR="002E47A1" w:rsidRPr="008C15D6" w:rsidRDefault="002E47A1" w:rsidP="00944A7E">
      <w:pPr>
        <w:rPr>
          <w:b/>
          <w:sz w:val="22"/>
          <w:szCs w:val="22"/>
          <w:lang w:val="en-AU"/>
        </w:rPr>
      </w:pPr>
      <w:r w:rsidRPr="008C15D6">
        <w:rPr>
          <w:rFonts w:cstheme="minorHAnsi"/>
          <w:noProof/>
          <w:sz w:val="22"/>
          <w:szCs w:val="22"/>
          <w:lang w:val="en-AU"/>
        </w:rPr>
        <w:lastRenderedPageBreak/>
        <w:drawing>
          <wp:anchor distT="0" distB="0" distL="114300" distR="114300" simplePos="0" relativeHeight="251632128" behindDoc="1" locked="0" layoutInCell="1" allowOverlap="1" wp14:anchorId="50EF260F" wp14:editId="0CFA8DEE">
            <wp:simplePos x="0" y="0"/>
            <wp:positionH relativeFrom="margin">
              <wp:align>right</wp:align>
            </wp:positionH>
            <wp:positionV relativeFrom="paragraph">
              <wp:posOffset>0</wp:posOffset>
            </wp:positionV>
            <wp:extent cx="5817600" cy="720000"/>
            <wp:effectExtent l="0" t="0" r="12065" b="4445"/>
            <wp:wrapTight wrapText="bothSides">
              <wp:wrapPolygon edited="0">
                <wp:start x="141" y="0"/>
                <wp:lineTo x="0" y="8579"/>
                <wp:lineTo x="0" y="14298"/>
                <wp:lineTo x="141" y="21162"/>
                <wp:lineTo x="566" y="21162"/>
                <wp:lineTo x="707" y="19446"/>
                <wp:lineTo x="21574" y="16586"/>
                <wp:lineTo x="21574" y="4575"/>
                <wp:lineTo x="566" y="0"/>
                <wp:lineTo x="141" y="0"/>
              </wp:wrapPolygon>
            </wp:wrapTight>
            <wp:docPr id="62" name="Di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14:sizeRelH relativeFrom="margin">
              <wp14:pctWidth>0</wp14:pctWidth>
            </wp14:sizeRelH>
            <wp14:sizeRelV relativeFrom="margin">
              <wp14:pctHeight>0</wp14:pctHeight>
            </wp14:sizeRelV>
          </wp:anchor>
        </w:drawing>
      </w:r>
    </w:p>
    <w:p w14:paraId="6537D7BA" w14:textId="2890220D" w:rsidR="000366BF" w:rsidRPr="008C15D6" w:rsidRDefault="000366BF" w:rsidP="00944A7E">
      <w:pPr>
        <w:rPr>
          <w:sz w:val="22"/>
          <w:szCs w:val="22"/>
          <w:lang w:val="en-AU"/>
        </w:rPr>
      </w:pPr>
      <w:r w:rsidRPr="008C15D6">
        <w:rPr>
          <w:b/>
          <w:sz w:val="22"/>
          <w:szCs w:val="22"/>
          <w:lang w:val="en-AU"/>
        </w:rPr>
        <w:t>10 Professional Development Activities</w:t>
      </w:r>
      <w:r w:rsidRPr="008C15D6">
        <w:rPr>
          <w:sz w:val="22"/>
          <w:szCs w:val="22"/>
          <w:lang w:val="en-AU"/>
        </w:rPr>
        <w:t xml:space="preserve">: Building on earlier work by PJDP, this project conducted 10 training activities (3 regional, 7 local) with 10 Partner Courts (Cook Islands, FSM, Kiribati, RMI, Nauru, Niue, PNG, Samoa, Solomon Islands, Tokelau, Tonga, Vanuatu) and 150 participants over the project period. A key output was the repositioning of ToT programs from stand-alone support to enhancing judicial officer’s capacity ‘by doing’. PJSI co-jointly provided further support through orientation activities, where local actors conducted training themselves, thereby improving locally-delivered judicial orientations across the region and contributing to improved public confidence and satisfaction in the performance of the courts. </w:t>
      </w:r>
    </w:p>
    <w:p w14:paraId="2A5BEA97" w14:textId="5E8B75CE" w:rsidR="000366BF" w:rsidRPr="008C15D6" w:rsidRDefault="000366BF" w:rsidP="000366BF">
      <w:pPr>
        <w:spacing w:before="120" w:after="120"/>
        <w:rPr>
          <w:sz w:val="22"/>
          <w:szCs w:val="22"/>
          <w:lang w:val="en-AU"/>
        </w:rPr>
      </w:pPr>
      <w:r w:rsidRPr="000A0C5E">
        <w:rPr>
          <w:b/>
          <w:sz w:val="22"/>
          <w:szCs w:val="22"/>
          <w:lang w:val="en-AU"/>
        </w:rPr>
        <w:t>1</w:t>
      </w:r>
      <w:r w:rsidR="004E3980" w:rsidRPr="000A0C5E">
        <w:rPr>
          <w:b/>
          <w:sz w:val="22"/>
          <w:szCs w:val="22"/>
          <w:lang w:val="en-AU"/>
        </w:rPr>
        <w:t>4</w:t>
      </w:r>
      <w:r w:rsidRPr="008C15D6">
        <w:rPr>
          <w:b/>
          <w:sz w:val="22"/>
          <w:szCs w:val="22"/>
          <w:lang w:val="en-AU"/>
        </w:rPr>
        <w:t xml:space="preserve"> Localising Professional Capacity Building Activities: </w:t>
      </w:r>
      <w:r w:rsidRPr="008C15D6">
        <w:rPr>
          <w:sz w:val="22"/>
          <w:szCs w:val="22"/>
          <w:lang w:val="en-AU"/>
        </w:rPr>
        <w:t xml:space="preserve">3 regional ToTs and </w:t>
      </w:r>
      <w:r w:rsidR="00ED17EE">
        <w:rPr>
          <w:sz w:val="22"/>
          <w:szCs w:val="22"/>
          <w:lang w:val="en-AU"/>
        </w:rPr>
        <w:t>eleven regional webinars to 307</w:t>
      </w:r>
      <w:r w:rsidRPr="008C15D6">
        <w:rPr>
          <w:sz w:val="22"/>
          <w:szCs w:val="22"/>
          <w:lang w:val="en-AU"/>
        </w:rPr>
        <w:t xml:space="preserve"> participants from 14 Partner Courts</w:t>
      </w:r>
      <w:r w:rsidRPr="008C15D6" w:rsidDel="00FA7421">
        <w:rPr>
          <w:sz w:val="22"/>
          <w:szCs w:val="22"/>
          <w:lang w:val="en-AU"/>
        </w:rPr>
        <w:t xml:space="preserve"> </w:t>
      </w:r>
      <w:r w:rsidRPr="008C15D6">
        <w:rPr>
          <w:sz w:val="22"/>
          <w:szCs w:val="22"/>
          <w:lang w:val="en-AU"/>
        </w:rPr>
        <w:t xml:space="preserve">(Cook Islands, FSM, RMI, Nauru, Niue, Palau, PNG, Samoa, Solomon Islands, Tokelau, Tuvalu, Tonga, Kiribati, Vanuatu). Webinars focused on themes within PJSI’s Performance component, familiarised participants with remote technology and supported ongoing learning opportunities by providing webinar recordings. Participants of regional ToTs received certifications as Regional/National trainers and produced Improvement Plans relevant to the activity content. </w:t>
      </w:r>
    </w:p>
    <w:p w14:paraId="6C8147F3" w14:textId="37A778D6" w:rsidR="000366BF" w:rsidRDefault="002B219C" w:rsidP="000366BF">
      <w:pPr>
        <w:spacing w:before="120" w:after="120"/>
        <w:rPr>
          <w:sz w:val="22"/>
          <w:szCs w:val="22"/>
          <w:lang w:val="en-AU"/>
        </w:rPr>
      </w:pPr>
      <w:r w:rsidRPr="008C15D6">
        <w:rPr>
          <w:noProof/>
          <w:sz w:val="22"/>
          <w:szCs w:val="22"/>
          <w:lang w:val="en-AU"/>
        </w:rPr>
        <w:drawing>
          <wp:anchor distT="0" distB="0" distL="114300" distR="114300" simplePos="0" relativeHeight="251671040" behindDoc="1" locked="0" layoutInCell="1" allowOverlap="1" wp14:anchorId="75D674F8" wp14:editId="451BF662">
            <wp:simplePos x="0" y="0"/>
            <wp:positionH relativeFrom="margin">
              <wp:posOffset>88265</wp:posOffset>
            </wp:positionH>
            <wp:positionV relativeFrom="paragraph">
              <wp:posOffset>1348740</wp:posOffset>
            </wp:positionV>
            <wp:extent cx="5353050" cy="3088640"/>
            <wp:effectExtent l="0" t="0" r="0" b="0"/>
            <wp:wrapTight wrapText="bothSides">
              <wp:wrapPolygon edited="0">
                <wp:start x="0" y="0"/>
                <wp:lineTo x="0" y="21449"/>
                <wp:lineTo x="21523" y="21449"/>
                <wp:lineTo x="21523" y="0"/>
                <wp:lineTo x="0" y="0"/>
              </wp:wrapPolygon>
            </wp:wrapTight>
            <wp:docPr id="4682" name="Picture 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53050" cy="3088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15D6">
        <w:rPr>
          <w:noProof/>
          <w:lang w:val="en-AU"/>
        </w:rPr>
        <mc:AlternateContent>
          <mc:Choice Requires="wps">
            <w:drawing>
              <wp:anchor distT="0" distB="0" distL="114300" distR="114300" simplePos="0" relativeHeight="251680256" behindDoc="1" locked="0" layoutInCell="1" allowOverlap="1" wp14:anchorId="354675CE" wp14:editId="540F03A0">
                <wp:simplePos x="0" y="0"/>
                <wp:positionH relativeFrom="margin">
                  <wp:align>right</wp:align>
                </wp:positionH>
                <wp:positionV relativeFrom="paragraph">
                  <wp:posOffset>4450080</wp:posOffset>
                </wp:positionV>
                <wp:extent cx="5823585" cy="298450"/>
                <wp:effectExtent l="0" t="0" r="5715" b="6350"/>
                <wp:wrapTight wrapText="bothSides">
                  <wp:wrapPolygon edited="0">
                    <wp:start x="0" y="0"/>
                    <wp:lineTo x="0" y="20681"/>
                    <wp:lineTo x="21551" y="20681"/>
                    <wp:lineTo x="21551" y="0"/>
                    <wp:lineTo x="0" y="0"/>
                  </wp:wrapPolygon>
                </wp:wrapTight>
                <wp:docPr id="4679" name="Text Box 4679"/>
                <wp:cNvGraphicFramePr/>
                <a:graphic xmlns:a="http://schemas.openxmlformats.org/drawingml/2006/main">
                  <a:graphicData uri="http://schemas.microsoft.com/office/word/2010/wordprocessingShape">
                    <wps:wsp>
                      <wps:cNvSpPr txBox="1"/>
                      <wps:spPr>
                        <a:xfrm>
                          <a:off x="0" y="0"/>
                          <a:ext cx="5823585" cy="298450"/>
                        </a:xfrm>
                        <a:prstGeom prst="rect">
                          <a:avLst/>
                        </a:prstGeom>
                        <a:solidFill>
                          <a:prstClr val="white"/>
                        </a:solidFill>
                        <a:ln>
                          <a:noFill/>
                        </a:ln>
                      </wps:spPr>
                      <wps:txbx>
                        <w:txbxContent>
                          <w:p w14:paraId="2E795DE3" w14:textId="7630073E" w:rsidR="00CA4E85" w:rsidRPr="00C33036" w:rsidRDefault="00CA4E85" w:rsidP="00B21166">
                            <w:pPr>
                              <w:pStyle w:val="Caption"/>
                              <w:rPr>
                                <w:i w:val="0"/>
                                <w:noProof/>
                                <w:color w:val="auto"/>
                              </w:rPr>
                            </w:pPr>
                            <w:r w:rsidRPr="00C33036">
                              <w:rPr>
                                <w:i w:val="0"/>
                                <w:color w:val="auto"/>
                              </w:rPr>
                              <w:t>Figure 15: Training-of-Trainers - Design and Delivery, Papua New Guinea Centre for Judicial Excellence, Papua New Guinea, August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675CE" id="Text Box 4679" o:spid="_x0000_s1055" type="#_x0000_t202" style="position:absolute;margin-left:407.35pt;margin-top:350.4pt;width:458.55pt;height:23.5pt;z-index:-251636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6S+NwIAAG4EAAAOAAAAZHJzL2Uyb0RvYy54bWysVMGO2jAQvVfqP1i+lwBdthARVpQVVSW0&#10;uxJUezaOQyzZHtc2JPTrO3YItNueql7MZGY84/feDPOHVityEs5LMAUdDYaUCMOhlOZQ0G+79Ycp&#10;JT4wUzIFRhT0LDx9WLx/N29sLsZQgyqFI1jE+LyxBa1DsHmWeV4LzfwArDAYrMBpFvDTHbLSsQar&#10;a5WNh8P7rAFXWgdceI/exy5IF6l+VQkenqvKi0BUQfFtIZ0unft4Zos5yw+O2VryyzPYP7xCM2mw&#10;6bXUIwuMHJ38o5SW3IGHKgw46AyqSnKRMCCa0fANmm3NrEhYkBxvrzT5/1eWP51eHJFlQe/uP80o&#10;MUyjSjvRBvIZWpKcyFFjfY6pW4vJocUIah25i36Pzgi9rZyOvwiKYBzZPl8ZjvU4OifT8cfJdEIJ&#10;x9h4Nr2bJAmy223rfPgiQJNoFNShgolYdtr4gB0xtU+JzTwoWa6lUvEjBlbKkRNDtZtaBhHfiDd+&#10;y1Im5hqIt7pw9GQ3KNEK7b5NtIxnPc49lGeE76AbIm/5WmLDDfPhhTmcGkSMmxCe8agUNAWFi0VJ&#10;De7H3/wxH8XEKCUNTmFB/fcjc4IS9dWgzHFke8P1xr43zFGvAKGOcMcsTyZecEH1ZuVAv+KCLGMX&#10;DDHDsVdBQ2+uQrcLuGBcLJcpCQfTsrAxW8tj6Z7YXfvKnL3IElDQJ+jnk+Vv1OlyO5qXxwCVTNJF&#10;YjsWL3zjUCd9LgsYt+bX75R1+5tY/AQAAP//AwBQSwMEFAAGAAgAAAAhADSdhgLeAAAACAEAAA8A&#10;AABkcnMvZG93bnJldi54bWxMj8FOwzAMhu9IvENkJC6IJZ3QOkrTCTZ2g8PGtHPWmraicaokXbu3&#10;xzvB0f6t39+XrybbiTP60DrSkMwUCKTSVS3VGg5f28cliBANVaZzhBouGGBV3N7kJqvcSDs872Mt&#10;uIRCZjQ0MfaZlKFs0Jowcz0SZ9/OWxN59LWsvBm53HZyrtRCWtMSf2hMj+sGy5/9YDUsNn4Yd7R+&#10;2BzeP8xnX8+Pb5ej1vd30+sLiIhT/DuGKz6jQ8FMJzdQFUSngUWihlQpFuD4OUkTECfePKVLkEUu&#10;/wsUvwAAAP//AwBQSwECLQAUAAYACAAAACEAtoM4kv4AAADhAQAAEwAAAAAAAAAAAAAAAAAAAAAA&#10;W0NvbnRlbnRfVHlwZXNdLnhtbFBLAQItABQABgAIAAAAIQA4/SH/1gAAAJQBAAALAAAAAAAAAAAA&#10;AAAAAC8BAABfcmVscy8ucmVsc1BLAQItABQABgAIAAAAIQBpI6S+NwIAAG4EAAAOAAAAAAAAAAAA&#10;AAAAAC4CAABkcnMvZTJvRG9jLnhtbFBLAQItABQABgAIAAAAIQA0nYYC3gAAAAgBAAAPAAAAAAAA&#10;AAAAAAAAAJEEAABkcnMvZG93bnJldi54bWxQSwUGAAAAAAQABADzAAAAnAUAAAAA&#10;" stroked="f">
                <v:textbox inset="0,0,0,0">
                  <w:txbxContent>
                    <w:p w14:paraId="2E795DE3" w14:textId="7630073E" w:rsidR="00CA4E85" w:rsidRPr="00C33036" w:rsidRDefault="00CA4E85" w:rsidP="00B21166">
                      <w:pPr>
                        <w:pStyle w:val="Caption"/>
                        <w:rPr>
                          <w:i w:val="0"/>
                          <w:noProof/>
                          <w:color w:val="auto"/>
                        </w:rPr>
                      </w:pPr>
                      <w:r w:rsidRPr="00C33036">
                        <w:rPr>
                          <w:i w:val="0"/>
                          <w:color w:val="auto"/>
                        </w:rPr>
                        <w:t>Figure 15: Training-of-Trainers - Design and Delivery, Papua New Guinea Centre for Judicial Excellence, Papua New Guinea, August 2020</w:t>
                      </w:r>
                    </w:p>
                  </w:txbxContent>
                </v:textbox>
                <w10:wrap type="tight" anchorx="margin"/>
              </v:shape>
            </w:pict>
          </mc:Fallback>
        </mc:AlternateContent>
      </w:r>
      <w:r w:rsidR="000366BF" w:rsidRPr="008C15D6">
        <w:rPr>
          <w:b/>
          <w:sz w:val="22"/>
          <w:szCs w:val="22"/>
          <w:lang w:val="en-AU"/>
        </w:rPr>
        <w:t>11 Institutionalising Professional Development Activities</w:t>
      </w:r>
      <w:r w:rsidR="000366BF" w:rsidRPr="008C15D6">
        <w:rPr>
          <w:sz w:val="22"/>
          <w:szCs w:val="22"/>
          <w:lang w:val="en-AU"/>
        </w:rPr>
        <w:t xml:space="preserve">: 11 </w:t>
      </w:r>
      <w:r w:rsidR="00D36DEB">
        <w:rPr>
          <w:sz w:val="22"/>
          <w:szCs w:val="22"/>
          <w:lang w:val="en-AU"/>
        </w:rPr>
        <w:t xml:space="preserve">regional </w:t>
      </w:r>
      <w:r w:rsidR="007F3724">
        <w:rPr>
          <w:sz w:val="22"/>
          <w:szCs w:val="22"/>
          <w:lang w:val="en-AU"/>
        </w:rPr>
        <w:t>activities</w:t>
      </w:r>
      <w:r w:rsidR="000366BF" w:rsidRPr="008C15D6">
        <w:rPr>
          <w:sz w:val="22"/>
          <w:szCs w:val="22"/>
          <w:lang w:val="en-AU"/>
        </w:rPr>
        <w:t xml:space="preserve"> focused on the Career Gateway and Career Pathway projects. The </w:t>
      </w:r>
      <w:r w:rsidR="00B3045A">
        <w:rPr>
          <w:sz w:val="22"/>
          <w:szCs w:val="22"/>
          <w:lang w:val="en-AU"/>
        </w:rPr>
        <w:t xml:space="preserve">Career </w:t>
      </w:r>
      <w:r w:rsidR="000366BF" w:rsidRPr="008C15D6">
        <w:rPr>
          <w:sz w:val="22"/>
          <w:szCs w:val="22"/>
          <w:lang w:val="en-AU"/>
        </w:rPr>
        <w:t>Gateway Project introduced, explored and developed a framework for curriculum and costing for a Certificate &amp; Diploma of Justice</w:t>
      </w:r>
      <w:r w:rsidR="008C15D6">
        <w:rPr>
          <w:sz w:val="22"/>
          <w:szCs w:val="22"/>
          <w:lang w:val="en-AU"/>
        </w:rPr>
        <w:t xml:space="preserve"> (CoJ and DoJ) </w:t>
      </w:r>
      <w:r w:rsidR="008C15D6" w:rsidRPr="008C15D6">
        <w:rPr>
          <w:sz w:val="22"/>
          <w:szCs w:val="22"/>
          <w:lang w:val="en-AU"/>
        </w:rPr>
        <w:t>and established a sub-committee to oversee the program</w:t>
      </w:r>
      <w:r w:rsidR="008C15D6">
        <w:rPr>
          <w:sz w:val="22"/>
          <w:szCs w:val="22"/>
          <w:lang w:val="en-AU"/>
        </w:rPr>
        <w:t>s. Between 2018 and 2020</w:t>
      </w:r>
      <w:r w:rsidR="000366BF" w:rsidRPr="008C15D6">
        <w:rPr>
          <w:sz w:val="22"/>
          <w:szCs w:val="22"/>
          <w:lang w:val="en-AU"/>
        </w:rPr>
        <w:t xml:space="preserve"> </w:t>
      </w:r>
      <w:r w:rsidR="003818B6" w:rsidRPr="008C15D6">
        <w:rPr>
          <w:sz w:val="22"/>
          <w:szCs w:val="22"/>
          <w:lang w:val="en-AU"/>
        </w:rPr>
        <w:t>182</w:t>
      </w:r>
      <w:r w:rsidR="008C15D6">
        <w:rPr>
          <w:sz w:val="22"/>
          <w:szCs w:val="22"/>
          <w:lang w:val="en-AU"/>
        </w:rPr>
        <w:t xml:space="preserve"> students</w:t>
      </w:r>
      <w:r w:rsidR="000366BF" w:rsidRPr="008C15D6">
        <w:rPr>
          <w:sz w:val="22"/>
          <w:szCs w:val="22"/>
          <w:lang w:val="en-AU"/>
        </w:rPr>
        <w:t xml:space="preserve"> graduated from</w:t>
      </w:r>
      <w:r w:rsidR="008C15D6">
        <w:rPr>
          <w:sz w:val="22"/>
          <w:szCs w:val="22"/>
          <w:lang w:val="en-AU"/>
        </w:rPr>
        <w:t xml:space="preserve"> the programs, with a further cohort completing the programs in December 2021</w:t>
      </w:r>
      <w:r w:rsidR="00D36DEB">
        <w:rPr>
          <w:rStyle w:val="FootnoteReference"/>
          <w:sz w:val="22"/>
          <w:szCs w:val="22"/>
          <w:lang w:val="en-AU"/>
        </w:rPr>
        <w:footnoteReference w:id="14"/>
      </w:r>
      <w:r w:rsidR="008C15D6">
        <w:rPr>
          <w:sz w:val="22"/>
          <w:szCs w:val="22"/>
          <w:lang w:val="en-AU"/>
        </w:rPr>
        <w:t>. PJSI funded almost half of the students</w:t>
      </w:r>
      <w:r w:rsidR="000366BF" w:rsidRPr="008C15D6">
        <w:rPr>
          <w:sz w:val="22"/>
          <w:szCs w:val="22"/>
          <w:lang w:val="en-AU"/>
        </w:rPr>
        <w:t xml:space="preserve">. Four </w:t>
      </w:r>
      <w:r w:rsidR="00B86465" w:rsidRPr="008C15D6">
        <w:rPr>
          <w:sz w:val="22"/>
          <w:szCs w:val="22"/>
          <w:lang w:val="en-AU"/>
        </w:rPr>
        <w:t>s</w:t>
      </w:r>
      <w:r w:rsidR="000366BF" w:rsidRPr="008C15D6">
        <w:rPr>
          <w:sz w:val="22"/>
          <w:szCs w:val="22"/>
          <w:lang w:val="en-AU"/>
        </w:rPr>
        <w:t>tudents who</w:t>
      </w:r>
      <w:r w:rsidR="008C15D6">
        <w:rPr>
          <w:sz w:val="22"/>
          <w:szCs w:val="22"/>
          <w:lang w:val="en-AU"/>
        </w:rPr>
        <w:t xml:space="preserve"> completed the </w:t>
      </w:r>
      <w:r w:rsidR="000366BF" w:rsidRPr="008C15D6">
        <w:rPr>
          <w:sz w:val="22"/>
          <w:szCs w:val="22"/>
          <w:lang w:val="en-AU"/>
        </w:rPr>
        <w:t>CoJ</w:t>
      </w:r>
      <w:r w:rsidR="008C15D6">
        <w:rPr>
          <w:sz w:val="22"/>
          <w:szCs w:val="22"/>
          <w:lang w:val="en-AU"/>
        </w:rPr>
        <w:t xml:space="preserve"> and DoJ are</w:t>
      </w:r>
      <w:r w:rsidR="001F705F" w:rsidRPr="008C15D6">
        <w:rPr>
          <w:sz w:val="22"/>
          <w:szCs w:val="22"/>
          <w:lang w:val="en-AU"/>
        </w:rPr>
        <w:t xml:space="preserve"> </w:t>
      </w:r>
      <w:r w:rsidR="000366BF" w:rsidRPr="008C15D6">
        <w:rPr>
          <w:sz w:val="22"/>
          <w:szCs w:val="22"/>
          <w:lang w:val="en-AU"/>
        </w:rPr>
        <w:t xml:space="preserve">enrolled in USP’s Bachelor of Laws Program. The Career Pathways </w:t>
      </w:r>
      <w:r w:rsidR="00B3045A">
        <w:rPr>
          <w:sz w:val="22"/>
          <w:szCs w:val="22"/>
          <w:lang w:val="en-AU"/>
        </w:rPr>
        <w:t>P</w:t>
      </w:r>
      <w:r w:rsidR="000366BF" w:rsidRPr="008C15D6">
        <w:rPr>
          <w:sz w:val="22"/>
          <w:szCs w:val="22"/>
          <w:lang w:val="en-AU"/>
        </w:rPr>
        <w:t xml:space="preserve">roject focused on supporting the </w:t>
      </w:r>
      <w:r w:rsidR="000366BF" w:rsidRPr="008C15D6">
        <w:rPr>
          <w:sz w:val="22"/>
          <w:szCs w:val="22"/>
          <w:lang w:val="en-AU"/>
        </w:rPr>
        <w:lastRenderedPageBreak/>
        <w:t>establishment of a regional judicial training centre, and provided a transition strategy, budget and in-countr</w:t>
      </w:r>
      <w:r w:rsidR="000366BF" w:rsidRPr="00F34A39">
        <w:rPr>
          <w:sz w:val="22"/>
          <w:szCs w:val="22"/>
          <w:lang w:val="en-AU"/>
        </w:rPr>
        <w:t xml:space="preserve">y institutional capacity building training and advice to PNGCJE. </w:t>
      </w:r>
      <w:r w:rsidR="00E36928">
        <w:rPr>
          <w:sz w:val="22"/>
          <w:szCs w:val="22"/>
          <w:lang w:val="en-AU"/>
        </w:rPr>
        <w:t xml:space="preserve"> </w:t>
      </w:r>
    </w:p>
    <w:p w14:paraId="3F9B823F" w14:textId="2ED3707A" w:rsidR="006C3AA5" w:rsidRDefault="000E4C84" w:rsidP="006C3AA5">
      <w:pPr>
        <w:keepNext/>
        <w:spacing w:before="120" w:after="120"/>
        <w:jc w:val="center"/>
      </w:pPr>
      <w:r>
        <w:rPr>
          <w:noProof/>
          <w:lang w:val="en-AU"/>
        </w:rPr>
        <w:drawing>
          <wp:anchor distT="0" distB="0" distL="114300" distR="114300" simplePos="0" relativeHeight="251722240" behindDoc="0" locked="0" layoutInCell="1" allowOverlap="1" wp14:anchorId="5394E200" wp14:editId="42D8CA4A">
            <wp:simplePos x="0" y="0"/>
            <wp:positionH relativeFrom="margin">
              <wp:align>center</wp:align>
            </wp:positionH>
            <wp:positionV relativeFrom="paragraph">
              <wp:posOffset>0</wp:posOffset>
            </wp:positionV>
            <wp:extent cx="4067175" cy="3400425"/>
            <wp:effectExtent l="0" t="0" r="0" b="0"/>
            <wp:wrapSquare wrapText="bothSides"/>
            <wp:docPr id="4711" name="Chart 47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anchor>
        </w:drawing>
      </w:r>
    </w:p>
    <w:p w14:paraId="4B425363" w14:textId="62AB2D58" w:rsidR="007B6D82" w:rsidRDefault="007B6D82" w:rsidP="006C3AA5">
      <w:pPr>
        <w:pStyle w:val="Caption"/>
        <w:jc w:val="center"/>
        <w:rPr>
          <w:i w:val="0"/>
          <w:color w:val="auto"/>
        </w:rPr>
      </w:pPr>
    </w:p>
    <w:p w14:paraId="390B9E28" w14:textId="6C49DB1C" w:rsidR="007B6D82" w:rsidRDefault="007B6D82" w:rsidP="006C3AA5">
      <w:pPr>
        <w:pStyle w:val="Caption"/>
        <w:jc w:val="center"/>
        <w:rPr>
          <w:i w:val="0"/>
          <w:color w:val="auto"/>
        </w:rPr>
      </w:pPr>
    </w:p>
    <w:p w14:paraId="3E89B488" w14:textId="1207C72F" w:rsidR="007B6D82" w:rsidRDefault="007B6D82" w:rsidP="006C3AA5">
      <w:pPr>
        <w:pStyle w:val="Caption"/>
        <w:jc w:val="center"/>
        <w:rPr>
          <w:i w:val="0"/>
          <w:color w:val="auto"/>
        </w:rPr>
      </w:pPr>
    </w:p>
    <w:p w14:paraId="7440DC46" w14:textId="77777777" w:rsidR="007B6D82" w:rsidRDefault="007B6D82" w:rsidP="006C3AA5">
      <w:pPr>
        <w:pStyle w:val="Caption"/>
        <w:jc w:val="center"/>
        <w:rPr>
          <w:i w:val="0"/>
          <w:color w:val="auto"/>
        </w:rPr>
      </w:pPr>
    </w:p>
    <w:p w14:paraId="77133FA1" w14:textId="77777777" w:rsidR="007B6D82" w:rsidRDefault="007B6D82" w:rsidP="006C3AA5">
      <w:pPr>
        <w:pStyle w:val="Caption"/>
        <w:jc w:val="center"/>
        <w:rPr>
          <w:i w:val="0"/>
          <w:color w:val="auto"/>
        </w:rPr>
      </w:pPr>
    </w:p>
    <w:p w14:paraId="7D477260" w14:textId="77777777" w:rsidR="007B6D82" w:rsidRDefault="007B6D82" w:rsidP="006C3AA5">
      <w:pPr>
        <w:pStyle w:val="Caption"/>
        <w:jc w:val="center"/>
        <w:rPr>
          <w:i w:val="0"/>
          <w:color w:val="auto"/>
        </w:rPr>
      </w:pPr>
    </w:p>
    <w:p w14:paraId="1DC4ED45" w14:textId="77777777" w:rsidR="007B6D82" w:rsidRDefault="007B6D82" w:rsidP="006C3AA5">
      <w:pPr>
        <w:pStyle w:val="Caption"/>
        <w:jc w:val="center"/>
        <w:rPr>
          <w:i w:val="0"/>
          <w:color w:val="auto"/>
        </w:rPr>
      </w:pPr>
    </w:p>
    <w:p w14:paraId="5B247D7B" w14:textId="77777777" w:rsidR="007B6D82" w:rsidRDefault="007B6D82" w:rsidP="006C3AA5">
      <w:pPr>
        <w:pStyle w:val="Caption"/>
        <w:jc w:val="center"/>
        <w:rPr>
          <w:i w:val="0"/>
          <w:color w:val="auto"/>
        </w:rPr>
      </w:pPr>
    </w:p>
    <w:p w14:paraId="56847165" w14:textId="77777777" w:rsidR="007B6D82" w:rsidRDefault="007B6D82" w:rsidP="006C3AA5">
      <w:pPr>
        <w:pStyle w:val="Caption"/>
        <w:jc w:val="center"/>
        <w:rPr>
          <w:i w:val="0"/>
          <w:color w:val="auto"/>
        </w:rPr>
      </w:pPr>
    </w:p>
    <w:p w14:paraId="1E2D14BD" w14:textId="77777777" w:rsidR="007B6D82" w:rsidRDefault="007B6D82" w:rsidP="006C3AA5">
      <w:pPr>
        <w:pStyle w:val="Caption"/>
        <w:jc w:val="center"/>
        <w:rPr>
          <w:i w:val="0"/>
          <w:color w:val="auto"/>
        </w:rPr>
      </w:pPr>
    </w:p>
    <w:p w14:paraId="66AA9AD3" w14:textId="77777777" w:rsidR="007B6D82" w:rsidRDefault="007B6D82" w:rsidP="006C3AA5">
      <w:pPr>
        <w:pStyle w:val="Caption"/>
        <w:jc w:val="center"/>
        <w:rPr>
          <w:i w:val="0"/>
          <w:color w:val="auto"/>
        </w:rPr>
      </w:pPr>
    </w:p>
    <w:p w14:paraId="2C2474D5" w14:textId="77777777" w:rsidR="007B6D82" w:rsidRDefault="007B6D82" w:rsidP="006C3AA5">
      <w:pPr>
        <w:pStyle w:val="Caption"/>
        <w:jc w:val="center"/>
        <w:rPr>
          <w:i w:val="0"/>
          <w:color w:val="auto"/>
        </w:rPr>
      </w:pPr>
    </w:p>
    <w:p w14:paraId="06C2BD07" w14:textId="68C1AE0B" w:rsidR="007B6D82" w:rsidRPr="007B6D82" w:rsidRDefault="00063F54" w:rsidP="007B6D82">
      <w:pPr>
        <w:pStyle w:val="Caption"/>
        <w:spacing w:after="0"/>
        <w:jc w:val="center"/>
        <w:rPr>
          <w:i w:val="0"/>
          <w:color w:val="auto"/>
        </w:rPr>
      </w:pPr>
      <w:r w:rsidRPr="008C15D6">
        <w:rPr>
          <w:i w:val="0"/>
          <w:color w:val="auto"/>
        </w:rPr>
        <w:t>Figure</w:t>
      </w:r>
      <w:r w:rsidR="006C3AA5" w:rsidRPr="008C15D6">
        <w:rPr>
          <w:i w:val="0"/>
          <w:color w:val="auto"/>
        </w:rPr>
        <w:t xml:space="preserve"> </w:t>
      </w:r>
      <w:r w:rsidR="00C33036" w:rsidRPr="008C15D6">
        <w:rPr>
          <w:i w:val="0"/>
          <w:color w:val="auto"/>
        </w:rPr>
        <w:t>16:</w:t>
      </w:r>
      <w:r w:rsidR="006C3AA5" w:rsidRPr="008C15D6">
        <w:rPr>
          <w:i w:val="0"/>
          <w:color w:val="auto"/>
        </w:rPr>
        <w:t xml:space="preserve"> COJ &amp; DOJ Student </w:t>
      </w:r>
      <w:r w:rsidR="00BC70E2" w:rsidRPr="008C15D6">
        <w:rPr>
          <w:i w:val="0"/>
          <w:color w:val="auto"/>
        </w:rPr>
        <w:t xml:space="preserve">Progression </w:t>
      </w:r>
      <w:r w:rsidR="006C3AA5" w:rsidRPr="008C15D6">
        <w:rPr>
          <w:i w:val="0"/>
          <w:color w:val="auto"/>
        </w:rPr>
        <w:t>2018-202</w:t>
      </w:r>
      <w:r w:rsidR="004745D3" w:rsidRPr="008C15D6">
        <w:rPr>
          <w:i w:val="0"/>
          <w:color w:val="auto"/>
        </w:rPr>
        <w:t>1</w:t>
      </w:r>
    </w:p>
    <w:p w14:paraId="264D4BA0" w14:textId="2BC276E9" w:rsidR="000366BF" w:rsidRPr="000366BF" w:rsidRDefault="000366BF" w:rsidP="000366BF">
      <w:pPr>
        <w:spacing w:before="120" w:after="120"/>
        <w:rPr>
          <w:b/>
          <w:sz w:val="22"/>
          <w:szCs w:val="22"/>
          <w:lang w:val="en-AU"/>
        </w:rPr>
      </w:pPr>
      <w:r w:rsidRPr="00F34A39">
        <w:rPr>
          <w:b/>
          <w:sz w:val="22"/>
          <w:szCs w:val="22"/>
          <w:lang w:val="en-AU"/>
        </w:rPr>
        <w:t xml:space="preserve">2 Bar Associations Activities - situation analysis &amp; discussion/roadmap: </w:t>
      </w:r>
      <w:r w:rsidRPr="00F34A39">
        <w:rPr>
          <w:sz w:val="22"/>
          <w:szCs w:val="22"/>
          <w:lang w:val="en-AU"/>
        </w:rPr>
        <w:t xml:space="preserve">A situational analysis </w:t>
      </w:r>
      <w:r w:rsidR="003818B6">
        <w:rPr>
          <w:sz w:val="22"/>
          <w:szCs w:val="22"/>
          <w:lang w:val="en-AU"/>
        </w:rPr>
        <w:t>examined</w:t>
      </w:r>
      <w:r w:rsidRPr="00F34A39">
        <w:rPr>
          <w:sz w:val="22"/>
          <w:szCs w:val="22"/>
          <w:lang w:val="en-AU"/>
        </w:rPr>
        <w:t xml:space="preserve"> the needs of Pacific Law Associations, documenting best practices and existing initiatives, and identifying key priority areas going forward. As the first of its kind in the Pacific, the report was presented to 91 regional stakeholders from 12 PICs to verify key results and recommendations. The discussions achieved consensus with key stakeholders around a clear agenda for strengthening lawyer associations across the Pacific. </w:t>
      </w:r>
    </w:p>
    <w:p w14:paraId="6CFDAA67" w14:textId="77777777" w:rsidR="00D82C96" w:rsidRDefault="000366BF" w:rsidP="00D82C96">
      <w:pPr>
        <w:rPr>
          <w:b/>
          <w:sz w:val="22"/>
          <w:szCs w:val="22"/>
          <w:lang w:val="en-AU"/>
        </w:rPr>
      </w:pPr>
      <w:r w:rsidRPr="00F34A39">
        <w:rPr>
          <w:rFonts w:cstheme="minorHAnsi"/>
          <w:noProof/>
          <w:sz w:val="22"/>
          <w:szCs w:val="22"/>
          <w:lang w:val="en-AU"/>
        </w:rPr>
        <w:drawing>
          <wp:anchor distT="0" distB="0" distL="114300" distR="114300" simplePos="0" relativeHeight="251633152" behindDoc="1" locked="0" layoutInCell="1" allowOverlap="1" wp14:anchorId="66380045" wp14:editId="6F7D666C">
            <wp:simplePos x="0" y="0"/>
            <wp:positionH relativeFrom="margin">
              <wp:align>left</wp:align>
            </wp:positionH>
            <wp:positionV relativeFrom="paragraph">
              <wp:posOffset>10795</wp:posOffset>
            </wp:positionV>
            <wp:extent cx="5817600" cy="720000"/>
            <wp:effectExtent l="0" t="0" r="12065" b="4445"/>
            <wp:wrapTight wrapText="bothSides">
              <wp:wrapPolygon edited="0">
                <wp:start x="141" y="0"/>
                <wp:lineTo x="0" y="8579"/>
                <wp:lineTo x="0" y="14298"/>
                <wp:lineTo x="141" y="21162"/>
                <wp:lineTo x="566" y="21162"/>
                <wp:lineTo x="707" y="19446"/>
                <wp:lineTo x="21574" y="16586"/>
                <wp:lineTo x="21574" y="4575"/>
                <wp:lineTo x="566" y="0"/>
                <wp:lineTo x="141" y="0"/>
              </wp:wrapPolygon>
            </wp:wrapTight>
            <wp:docPr id="3170" name="Diagram 31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14:sizeRelH relativeFrom="margin">
              <wp14:pctWidth>0</wp14:pctWidth>
            </wp14:sizeRelH>
            <wp14:sizeRelV relativeFrom="margin">
              <wp14:pctHeight>0</wp14:pctHeight>
            </wp14:sizeRelV>
          </wp:anchor>
        </w:drawing>
      </w:r>
    </w:p>
    <w:p w14:paraId="10067D28" w14:textId="5D903A4E" w:rsidR="000366BF" w:rsidRPr="00F34A39" w:rsidRDefault="00DE0D92" w:rsidP="00D82C96">
      <w:pPr>
        <w:rPr>
          <w:sz w:val="22"/>
          <w:szCs w:val="22"/>
          <w:lang w:val="en-AU"/>
        </w:rPr>
      </w:pPr>
      <w:r w:rsidRPr="00066FC6">
        <w:rPr>
          <w:b/>
          <w:sz w:val="22"/>
          <w:szCs w:val="22"/>
          <w:lang w:val="en-AU"/>
        </w:rPr>
        <w:t>1</w:t>
      </w:r>
      <w:r w:rsidR="00B516CF">
        <w:rPr>
          <w:b/>
          <w:sz w:val="22"/>
          <w:szCs w:val="22"/>
          <w:lang w:val="en-AU"/>
        </w:rPr>
        <w:t>2</w:t>
      </w:r>
      <w:r w:rsidRPr="00066FC6">
        <w:rPr>
          <w:b/>
          <w:sz w:val="22"/>
          <w:szCs w:val="22"/>
          <w:lang w:val="en-AU"/>
        </w:rPr>
        <w:t xml:space="preserve"> </w:t>
      </w:r>
      <w:r w:rsidR="000366BF" w:rsidRPr="00066FC6">
        <w:rPr>
          <w:b/>
          <w:sz w:val="22"/>
          <w:szCs w:val="22"/>
          <w:lang w:val="en-AU"/>
        </w:rPr>
        <w:t>Human Rights Activities</w:t>
      </w:r>
      <w:r w:rsidR="000366BF" w:rsidRPr="00F34A39">
        <w:rPr>
          <w:b/>
          <w:sz w:val="22"/>
          <w:szCs w:val="22"/>
          <w:lang w:val="en-AU"/>
        </w:rPr>
        <w:t xml:space="preserve">: </w:t>
      </w:r>
      <w:r>
        <w:rPr>
          <w:sz w:val="22"/>
          <w:szCs w:val="22"/>
          <w:lang w:val="en-AU"/>
        </w:rPr>
        <w:t>ten</w:t>
      </w:r>
      <w:r w:rsidRPr="00F34A39">
        <w:rPr>
          <w:sz w:val="22"/>
          <w:szCs w:val="22"/>
          <w:lang w:val="en-AU"/>
        </w:rPr>
        <w:t xml:space="preserve"> </w:t>
      </w:r>
      <w:r w:rsidR="000366BF" w:rsidRPr="00F34A39">
        <w:rPr>
          <w:sz w:val="22"/>
          <w:szCs w:val="22"/>
          <w:lang w:val="en-AU"/>
        </w:rPr>
        <w:t xml:space="preserve">local workshops, one regional workshop, six thematically-based Checklists and one Toolkit developed and piloted. Activities engaged </w:t>
      </w:r>
      <w:r w:rsidR="00817668" w:rsidRPr="008C15D6">
        <w:rPr>
          <w:sz w:val="22"/>
          <w:szCs w:val="22"/>
          <w:lang w:val="en-AU"/>
        </w:rPr>
        <w:t xml:space="preserve">487 </w:t>
      </w:r>
      <w:r w:rsidR="000366BF" w:rsidRPr="008C15D6">
        <w:rPr>
          <w:sz w:val="22"/>
          <w:szCs w:val="22"/>
          <w:lang w:val="en-AU"/>
        </w:rPr>
        <w:t>participants from 1</w:t>
      </w:r>
      <w:r w:rsidR="00341339" w:rsidRPr="008C15D6">
        <w:rPr>
          <w:sz w:val="22"/>
          <w:szCs w:val="22"/>
          <w:lang w:val="en-AU"/>
        </w:rPr>
        <w:t>1</w:t>
      </w:r>
      <w:r w:rsidR="000366BF" w:rsidRPr="008C15D6">
        <w:rPr>
          <w:sz w:val="22"/>
          <w:szCs w:val="22"/>
          <w:lang w:val="en-AU"/>
        </w:rPr>
        <w:t xml:space="preserve"> PICs (Cook Islands, Kiribati, Nauru, RMI, PNG, Palau, </w:t>
      </w:r>
      <w:r w:rsidRPr="008C15D6">
        <w:rPr>
          <w:sz w:val="22"/>
          <w:szCs w:val="22"/>
          <w:lang w:val="en-AU"/>
        </w:rPr>
        <w:t xml:space="preserve">Samoa, </w:t>
      </w:r>
      <w:r w:rsidR="00080D9B" w:rsidRPr="008C15D6">
        <w:rPr>
          <w:sz w:val="22"/>
          <w:szCs w:val="22"/>
          <w:lang w:val="en-AU"/>
        </w:rPr>
        <w:t>Solomon Islands, Tokelau, Tonga and</w:t>
      </w:r>
      <w:r w:rsidR="000366BF" w:rsidRPr="008C15D6">
        <w:rPr>
          <w:sz w:val="22"/>
          <w:szCs w:val="22"/>
          <w:lang w:val="en-AU"/>
        </w:rPr>
        <w:t xml:space="preserve"> Vanuat</w:t>
      </w:r>
      <w:r w:rsidR="000366BF" w:rsidRPr="00F34A39">
        <w:rPr>
          <w:sz w:val="22"/>
          <w:szCs w:val="22"/>
          <w:lang w:val="en-AU"/>
        </w:rPr>
        <w:t>u). Local activities increased the capacity of the courts to apply human rights standards and enhanced the quality of substantive justice delivered to court users. Resources developed through the project support Partner Court’s continuous improvement in the implementation of Human Rights and the application of a human rights-based approach to expanding access to justice and increasing procedural fairness.</w:t>
      </w:r>
    </w:p>
    <w:p w14:paraId="2B7EDBDD" w14:textId="222B3539" w:rsidR="00C33036" w:rsidRDefault="000366BF" w:rsidP="007B6D82">
      <w:pPr>
        <w:spacing w:before="120" w:after="120"/>
        <w:rPr>
          <w:b/>
          <w:sz w:val="22"/>
          <w:szCs w:val="22"/>
          <w:lang w:val="en-AU"/>
        </w:rPr>
      </w:pPr>
      <w:r w:rsidRPr="00F34A39">
        <w:rPr>
          <w:b/>
          <w:sz w:val="22"/>
          <w:szCs w:val="22"/>
          <w:lang w:val="en-AU"/>
        </w:rPr>
        <w:t xml:space="preserve">9 Gender and Family Violence Activities: </w:t>
      </w:r>
      <w:r w:rsidRPr="00F34A39">
        <w:rPr>
          <w:sz w:val="22"/>
          <w:szCs w:val="22"/>
          <w:lang w:val="en-AU"/>
        </w:rPr>
        <w:t>nine local activities with seven PICs (Tonga, Nau</w:t>
      </w:r>
      <w:r w:rsidR="00080D9B">
        <w:rPr>
          <w:sz w:val="22"/>
          <w:szCs w:val="22"/>
          <w:lang w:val="en-AU"/>
        </w:rPr>
        <w:t xml:space="preserve">ru, Vanuatu, Palau, FSM, Samoa and </w:t>
      </w:r>
      <w:r w:rsidRPr="00F34A39">
        <w:rPr>
          <w:sz w:val="22"/>
          <w:szCs w:val="22"/>
          <w:lang w:val="en-AU"/>
        </w:rPr>
        <w:t>Solomon Islands) enhanced the capacity of 288 activity participants.</w:t>
      </w:r>
      <w:r w:rsidRPr="00F34A39">
        <w:rPr>
          <w:bCs/>
          <w:sz w:val="22"/>
          <w:szCs w:val="22"/>
          <w:lang w:val="en-AU"/>
        </w:rPr>
        <w:t xml:space="preserve"> Court’s responses to family violence have been strengthened through the Toolkit, which highlights victim focus, perpetrator accountability, collaboration and prevention, and provides resources for the court to assess their performance and develop Gender and Family Violence Action Plans. Following local workshops,</w:t>
      </w:r>
      <w:r w:rsidRPr="00F34A39">
        <w:rPr>
          <w:sz w:val="22"/>
          <w:szCs w:val="22"/>
          <w:lang w:val="en-AU"/>
        </w:rPr>
        <w:t xml:space="preserve"> five Partner Courts</w:t>
      </w:r>
      <w:r w:rsidRPr="00F34A39" w:rsidDel="00FA7421">
        <w:rPr>
          <w:sz w:val="22"/>
          <w:szCs w:val="22"/>
          <w:lang w:val="en-AU"/>
        </w:rPr>
        <w:t xml:space="preserve"> </w:t>
      </w:r>
      <w:r w:rsidRPr="00F34A39">
        <w:rPr>
          <w:sz w:val="22"/>
          <w:szCs w:val="22"/>
          <w:lang w:val="en-AU"/>
        </w:rPr>
        <w:t xml:space="preserve">have developed Court Action Plans to improve the court response to </w:t>
      </w:r>
      <w:r w:rsidRPr="00F34A39">
        <w:rPr>
          <w:sz w:val="22"/>
          <w:szCs w:val="22"/>
          <w:lang w:val="en-AU"/>
        </w:rPr>
        <w:lastRenderedPageBreak/>
        <w:t>family violence, two of which have made commitments to strengthen the implementation of their action plans by improving data collection and conducting court user feedback forums.</w:t>
      </w:r>
    </w:p>
    <w:p w14:paraId="134A7AC1" w14:textId="57665A45" w:rsidR="00C33036" w:rsidRDefault="00C33036" w:rsidP="00C33036">
      <w:pPr>
        <w:rPr>
          <w:b/>
          <w:sz w:val="22"/>
          <w:szCs w:val="22"/>
          <w:lang w:val="en-AU"/>
        </w:rPr>
      </w:pPr>
      <w:r w:rsidRPr="00F34A39">
        <w:rPr>
          <w:rFonts w:cstheme="minorHAnsi"/>
          <w:noProof/>
          <w:sz w:val="22"/>
          <w:szCs w:val="22"/>
          <w:lang w:val="en-AU"/>
        </w:rPr>
        <w:drawing>
          <wp:anchor distT="0" distB="0" distL="114300" distR="114300" simplePos="0" relativeHeight="251634176" behindDoc="1" locked="0" layoutInCell="1" allowOverlap="1" wp14:anchorId="03628485" wp14:editId="3DF45D21">
            <wp:simplePos x="0" y="0"/>
            <wp:positionH relativeFrom="margin">
              <wp:align>right</wp:align>
            </wp:positionH>
            <wp:positionV relativeFrom="paragraph">
              <wp:posOffset>0</wp:posOffset>
            </wp:positionV>
            <wp:extent cx="5817600" cy="720000"/>
            <wp:effectExtent l="0" t="0" r="12065" b="4445"/>
            <wp:wrapTight wrapText="bothSides">
              <wp:wrapPolygon edited="0">
                <wp:start x="141" y="0"/>
                <wp:lineTo x="0" y="8579"/>
                <wp:lineTo x="0" y="14298"/>
                <wp:lineTo x="141" y="21162"/>
                <wp:lineTo x="566" y="21162"/>
                <wp:lineTo x="707" y="19446"/>
                <wp:lineTo x="21574" y="16586"/>
                <wp:lineTo x="21574" y="4575"/>
                <wp:lineTo x="566" y="0"/>
                <wp:lineTo x="141" y="0"/>
              </wp:wrapPolygon>
            </wp:wrapTight>
            <wp:docPr id="3171" name="Diagram 31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14:sizeRelH relativeFrom="margin">
              <wp14:pctWidth>0</wp14:pctWidth>
            </wp14:sizeRelH>
            <wp14:sizeRelV relativeFrom="margin">
              <wp14:pctHeight>0</wp14:pctHeight>
            </wp14:sizeRelV>
          </wp:anchor>
        </w:drawing>
      </w:r>
    </w:p>
    <w:p w14:paraId="5A1BDA1F" w14:textId="0231ACE2" w:rsidR="000366BF" w:rsidRPr="008C15D6" w:rsidRDefault="00A175EB" w:rsidP="00C33036">
      <w:pPr>
        <w:rPr>
          <w:sz w:val="22"/>
          <w:szCs w:val="22"/>
          <w:lang w:val="en-AU"/>
        </w:rPr>
      </w:pPr>
      <w:r w:rsidRPr="008C15D6">
        <w:rPr>
          <w:noProof/>
          <w:lang w:val="en-AU"/>
        </w:rPr>
        <mc:AlternateContent>
          <mc:Choice Requires="wps">
            <w:drawing>
              <wp:anchor distT="0" distB="0" distL="114300" distR="114300" simplePos="0" relativeHeight="251681280" behindDoc="1" locked="0" layoutInCell="1" allowOverlap="1" wp14:anchorId="11ED49EE" wp14:editId="42585C50">
                <wp:simplePos x="0" y="0"/>
                <wp:positionH relativeFrom="margin">
                  <wp:posOffset>2739390</wp:posOffset>
                </wp:positionH>
                <wp:positionV relativeFrom="paragraph">
                  <wp:posOffset>1843405</wp:posOffset>
                </wp:positionV>
                <wp:extent cx="3056890" cy="342900"/>
                <wp:effectExtent l="0" t="0" r="0" b="0"/>
                <wp:wrapTight wrapText="bothSides">
                  <wp:wrapPolygon edited="0">
                    <wp:start x="0" y="0"/>
                    <wp:lineTo x="0" y="20400"/>
                    <wp:lineTo x="21403" y="20400"/>
                    <wp:lineTo x="21403" y="0"/>
                    <wp:lineTo x="0" y="0"/>
                  </wp:wrapPolygon>
                </wp:wrapTight>
                <wp:docPr id="4687" name="Text Box 4687"/>
                <wp:cNvGraphicFramePr/>
                <a:graphic xmlns:a="http://schemas.openxmlformats.org/drawingml/2006/main">
                  <a:graphicData uri="http://schemas.microsoft.com/office/word/2010/wordprocessingShape">
                    <wps:wsp>
                      <wps:cNvSpPr txBox="1"/>
                      <wps:spPr>
                        <a:xfrm>
                          <a:off x="0" y="0"/>
                          <a:ext cx="3056890" cy="342900"/>
                        </a:xfrm>
                        <a:prstGeom prst="rect">
                          <a:avLst/>
                        </a:prstGeom>
                        <a:solidFill>
                          <a:prstClr val="white"/>
                        </a:solidFill>
                        <a:ln>
                          <a:noFill/>
                        </a:ln>
                      </wps:spPr>
                      <wps:txbx>
                        <w:txbxContent>
                          <w:p w14:paraId="509650FD" w14:textId="13253DDD" w:rsidR="00CA4E85" w:rsidRPr="00C33036" w:rsidRDefault="00CA4E85" w:rsidP="00B21166">
                            <w:pPr>
                              <w:pStyle w:val="Caption"/>
                              <w:rPr>
                                <w:rFonts w:cstheme="minorHAnsi"/>
                                <w:i w:val="0"/>
                                <w:noProof/>
                                <w:color w:val="auto"/>
                              </w:rPr>
                            </w:pPr>
                            <w:r w:rsidRPr="00C33036">
                              <w:rPr>
                                <w:i w:val="0"/>
                                <w:color w:val="auto"/>
                              </w:rPr>
                              <w:t xml:space="preserve">Figure 17: Regional Court Data Management Workshop, Vanuatu, October 2019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D49EE" id="Text Box 4687" o:spid="_x0000_s1056" type="#_x0000_t202" style="position:absolute;margin-left:215.7pt;margin-top:145.15pt;width:240.7pt;height:27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6+sNQIAAG4EAAAOAAAAZHJzL2Uyb0RvYy54bWysVE2P2jAQvVfqf7B8LwmwpSwirCgrqkpo&#10;dyWo9mwch1iyPa5tSOiv79gh0G57qnpxxjPj+XhvJvOHVityEs5LMAUdDnJKhOFQSnMo6Lfd+sOU&#10;Eh+YKZkCIwp6Fp4+LN6/mzd2JkZQgyqFIxjE+FljC1qHYGdZ5nktNPMDsMKgsQKnWcCrO2SlYw1G&#10;1yob5fkka8CV1gEX3qP2sTPSRYpfVYKH56ryIhBVUKwtpNOlcx/PbDFns4Njtpb8Ugb7hyo0kwaT&#10;XkM9ssDI0ck/QmnJHXiowoCDzqCqJBepB+xmmL/pZlszK1IvCI63V5j8/wvLn04vjsiyoHeT6SdK&#10;DNPI0k60gXyGliQlYtRYP0PXrUXn0KIFuY7YRb1HZWy9rZyOX2yKoB3RPl8RjvE4Ksf5x8n0Hk0c&#10;beO70X2eKMhur63z4YsATaJQUIcMJmDZaeMDZkTX3iUm86BkuZZKxUs0rJQjJ4ZsN7UMItaIL37z&#10;Uib6GoivOnPUZLdWohTafZtgGacCo2oP5Rnbd9ANkbd8LTHhhvnwwhxODbaFmxCe8agUNAWFi0RJ&#10;De7H3/TRH8lEKyUNTmFB/fcjc4IS9dUgzXFke8H1wr4XzFGvAFsd4o5ZnkR84ILqxcqBfsUFWcYs&#10;aGKGY66Chl5chW4XcMG4WC6TEw6mZWFjtpbH0D2wu/aVOXuhJSChT9DPJ5u9Yafz7WBeHgNUMlF3&#10;Q/GCNw514ueygHFrfr0nr9tvYvETAAD//wMAUEsDBBQABgAIAAAAIQCQKeaf4QAAAAsBAAAPAAAA&#10;ZHJzL2Rvd25yZXYueG1sTI/LTsMwEEX3SPyDNUhsEHVeqmiIU0ELO1i0VF278ZBExOModpr07xlW&#10;dDmao3vPLdaz7cQZB986UhAvIhBIlTMt1QoOX++PTyB80GR05wgVXNDDury9KXRu3EQ7PO9DLTiE&#10;fK4VNCH0uZS+atBqv3A9Ev++3WB14HOopRn0xOG2k0kULaXVLXFDo3vcNFj97EerYLkdxmlHm4ft&#10;4e1Df/Z1cny9HJW6v5tfnkEEnMM/DH/6rA4lO53cSMaLTkGWxhmjCpJVlIJgYhUnPOakIM2yFGRZ&#10;yOsN5S8AAAD//wMAUEsBAi0AFAAGAAgAAAAhALaDOJL+AAAA4QEAABMAAAAAAAAAAAAAAAAAAAAA&#10;AFtDb250ZW50X1R5cGVzXS54bWxQSwECLQAUAAYACAAAACEAOP0h/9YAAACUAQAACwAAAAAAAAAA&#10;AAAAAAAvAQAAX3JlbHMvLnJlbHNQSwECLQAUAAYACAAAACEAw5+vrDUCAABuBAAADgAAAAAAAAAA&#10;AAAAAAAuAgAAZHJzL2Uyb0RvYy54bWxQSwECLQAUAAYACAAAACEAkCnmn+EAAAALAQAADwAAAAAA&#10;AAAAAAAAAACPBAAAZHJzL2Rvd25yZXYueG1sUEsFBgAAAAAEAAQA8wAAAJ0FAAAAAA==&#10;" stroked="f">
                <v:textbox inset="0,0,0,0">
                  <w:txbxContent>
                    <w:p w14:paraId="509650FD" w14:textId="13253DDD" w:rsidR="00CA4E85" w:rsidRPr="00C33036" w:rsidRDefault="00CA4E85" w:rsidP="00B21166">
                      <w:pPr>
                        <w:pStyle w:val="Caption"/>
                        <w:rPr>
                          <w:rFonts w:cstheme="minorHAnsi"/>
                          <w:i w:val="0"/>
                          <w:noProof/>
                          <w:color w:val="auto"/>
                        </w:rPr>
                      </w:pPr>
                      <w:r w:rsidRPr="00C33036">
                        <w:rPr>
                          <w:i w:val="0"/>
                          <w:color w:val="auto"/>
                        </w:rPr>
                        <w:t xml:space="preserve">Figure 17: Regional Court Data Management Workshop, Vanuatu, October 2019 </w:t>
                      </w:r>
                    </w:p>
                  </w:txbxContent>
                </v:textbox>
                <w10:wrap type="tight" anchorx="margin"/>
              </v:shape>
            </w:pict>
          </mc:Fallback>
        </mc:AlternateContent>
      </w:r>
      <w:r w:rsidRPr="008C15D6">
        <w:rPr>
          <w:rFonts w:cstheme="minorHAnsi"/>
          <w:noProof/>
          <w:sz w:val="22"/>
          <w:szCs w:val="22"/>
          <w:lang w:val="en-AU"/>
        </w:rPr>
        <w:drawing>
          <wp:anchor distT="0" distB="0" distL="114300" distR="114300" simplePos="0" relativeHeight="251670016" behindDoc="1" locked="0" layoutInCell="1" allowOverlap="1" wp14:anchorId="77B1B665" wp14:editId="5D8DA7F7">
            <wp:simplePos x="0" y="0"/>
            <wp:positionH relativeFrom="margin">
              <wp:posOffset>2729865</wp:posOffset>
            </wp:positionH>
            <wp:positionV relativeFrom="paragraph">
              <wp:posOffset>5080</wp:posOffset>
            </wp:positionV>
            <wp:extent cx="3056890" cy="1857375"/>
            <wp:effectExtent l="0" t="0" r="0" b="9525"/>
            <wp:wrapTight wrapText="bothSides">
              <wp:wrapPolygon edited="0">
                <wp:start x="0" y="0"/>
                <wp:lineTo x="0" y="21489"/>
                <wp:lineTo x="21403" y="21489"/>
                <wp:lineTo x="21403" y="0"/>
                <wp:lineTo x="0" y="0"/>
              </wp:wrapPolygon>
            </wp:wrapTight>
            <wp:docPr id="4672" name="Picture 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5689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6BF" w:rsidRPr="008C15D6">
        <w:rPr>
          <w:b/>
          <w:sz w:val="22"/>
          <w:szCs w:val="22"/>
          <w:lang w:val="en-AU"/>
        </w:rPr>
        <w:t>2</w:t>
      </w:r>
      <w:r w:rsidR="00E07CA3" w:rsidRPr="008C15D6">
        <w:rPr>
          <w:b/>
          <w:sz w:val="22"/>
          <w:szCs w:val="22"/>
          <w:lang w:val="en-AU"/>
        </w:rPr>
        <w:t>8</w:t>
      </w:r>
      <w:r w:rsidR="000366BF" w:rsidRPr="008C15D6">
        <w:rPr>
          <w:b/>
          <w:sz w:val="22"/>
          <w:szCs w:val="22"/>
          <w:lang w:val="en-AU"/>
        </w:rPr>
        <w:t xml:space="preserve"> Efficiency Activities: </w:t>
      </w:r>
      <w:r w:rsidR="007F00E7">
        <w:rPr>
          <w:sz w:val="22"/>
          <w:szCs w:val="22"/>
          <w:lang w:val="en-AU"/>
        </w:rPr>
        <w:t>one regional workshop, five</w:t>
      </w:r>
      <w:r w:rsidR="000366BF" w:rsidRPr="008C15D6">
        <w:rPr>
          <w:sz w:val="22"/>
          <w:szCs w:val="22"/>
          <w:lang w:val="en-AU"/>
        </w:rPr>
        <w:t xml:space="preserve"> </w:t>
      </w:r>
      <w:r w:rsidR="003818B6" w:rsidRPr="008C15D6">
        <w:rPr>
          <w:sz w:val="22"/>
          <w:szCs w:val="22"/>
          <w:lang w:val="en-AU"/>
        </w:rPr>
        <w:t>Case Tracking System (CTS)</w:t>
      </w:r>
      <w:r w:rsidR="000366BF" w:rsidRPr="008C15D6">
        <w:rPr>
          <w:sz w:val="22"/>
          <w:szCs w:val="22"/>
          <w:lang w:val="en-AU"/>
        </w:rPr>
        <w:t xml:space="preserve"> systems and </w:t>
      </w:r>
      <w:r w:rsidR="007F00E7">
        <w:rPr>
          <w:sz w:val="22"/>
          <w:szCs w:val="22"/>
          <w:lang w:val="en-AU"/>
        </w:rPr>
        <w:t>22</w:t>
      </w:r>
      <w:r w:rsidR="000366BF" w:rsidRPr="008C15D6">
        <w:rPr>
          <w:sz w:val="22"/>
          <w:szCs w:val="22"/>
          <w:lang w:val="en-AU"/>
        </w:rPr>
        <w:t xml:space="preserve"> local ICT/Efficiency activities were delivered to </w:t>
      </w:r>
      <w:r w:rsidR="00D15AE0">
        <w:rPr>
          <w:sz w:val="22"/>
          <w:szCs w:val="22"/>
          <w:lang w:val="en-AU"/>
        </w:rPr>
        <w:t>366</w:t>
      </w:r>
      <w:r w:rsidR="000366BF" w:rsidRPr="008C15D6">
        <w:rPr>
          <w:sz w:val="22"/>
          <w:szCs w:val="22"/>
          <w:lang w:val="en-AU"/>
        </w:rPr>
        <w:t xml:space="preserve"> participants from 14 Partner Courts</w:t>
      </w:r>
      <w:r w:rsidR="000366BF" w:rsidRPr="008C15D6" w:rsidDel="00FA7421">
        <w:rPr>
          <w:sz w:val="22"/>
          <w:szCs w:val="22"/>
          <w:lang w:val="en-AU"/>
        </w:rPr>
        <w:t xml:space="preserve"> </w:t>
      </w:r>
      <w:r w:rsidR="000366BF" w:rsidRPr="008C15D6">
        <w:rPr>
          <w:sz w:val="22"/>
          <w:szCs w:val="22"/>
          <w:lang w:val="en-AU"/>
        </w:rPr>
        <w:t>(Samoa, PNG, Cook Islands, FSM, Fiji, Kiribati, Nauru, Niue, Palau, RMI, S</w:t>
      </w:r>
      <w:r w:rsidR="00CE6782" w:rsidRPr="008C15D6">
        <w:rPr>
          <w:sz w:val="22"/>
          <w:szCs w:val="22"/>
          <w:lang w:val="en-AU"/>
        </w:rPr>
        <w:t xml:space="preserve">olomon Islands, Tokelau, Tonga and </w:t>
      </w:r>
      <w:r w:rsidR="000366BF" w:rsidRPr="008C15D6">
        <w:rPr>
          <w:sz w:val="22"/>
          <w:szCs w:val="22"/>
          <w:lang w:val="en-AU"/>
        </w:rPr>
        <w:t>Vanuatu). Two PJDP Toolkits were revised and updated and an addition</w:t>
      </w:r>
      <w:r w:rsidR="00080D9B" w:rsidRPr="008C15D6">
        <w:rPr>
          <w:sz w:val="22"/>
          <w:szCs w:val="22"/>
          <w:lang w:val="en-AU"/>
        </w:rPr>
        <w:t>al</w:t>
      </w:r>
      <w:r w:rsidR="000366BF" w:rsidRPr="008C15D6">
        <w:rPr>
          <w:sz w:val="22"/>
          <w:szCs w:val="22"/>
          <w:lang w:val="en-AU"/>
        </w:rPr>
        <w:t xml:space="preserve"> two Toolkits were developed and piloted in the region to support the Partner Courts to provide more accessible, responsive, fair and efficient court services. The CTS systems enabled the better management of data, caseloads and assess court performance, thereby improving efficiency and accountability. Partner Courts</w:t>
      </w:r>
      <w:r w:rsidR="000366BF" w:rsidRPr="008C15D6" w:rsidDel="00FA7421">
        <w:rPr>
          <w:sz w:val="22"/>
          <w:szCs w:val="22"/>
          <w:lang w:val="en-AU"/>
        </w:rPr>
        <w:t xml:space="preserve"> </w:t>
      </w:r>
      <w:r w:rsidR="000366BF" w:rsidRPr="008C15D6">
        <w:rPr>
          <w:sz w:val="22"/>
          <w:szCs w:val="22"/>
          <w:lang w:val="en-AU"/>
        </w:rPr>
        <w:t>engaged with these activities have achieved considerable improvements in case related efficiency and IT capacity; 9 out of 10 Partner Courts cited efficiency related activities as contributing to the most significant change experienced by them, their court and court users.</w:t>
      </w:r>
    </w:p>
    <w:p w14:paraId="798BB79E" w14:textId="31CFCCE9" w:rsidR="000366BF" w:rsidRPr="00F34A39" w:rsidRDefault="00E07CA3" w:rsidP="000366BF">
      <w:pPr>
        <w:spacing w:before="120" w:after="120"/>
        <w:rPr>
          <w:sz w:val="22"/>
          <w:szCs w:val="22"/>
          <w:lang w:val="en-AU"/>
        </w:rPr>
      </w:pPr>
      <w:r w:rsidRPr="008C15D6">
        <w:rPr>
          <w:b/>
          <w:sz w:val="22"/>
          <w:szCs w:val="22"/>
          <w:lang w:val="en-AU"/>
        </w:rPr>
        <w:t>10</w:t>
      </w:r>
      <w:r w:rsidR="000366BF" w:rsidRPr="008C15D6">
        <w:rPr>
          <w:b/>
          <w:sz w:val="22"/>
          <w:szCs w:val="22"/>
          <w:lang w:val="en-AU"/>
        </w:rPr>
        <w:t xml:space="preserve"> Accountability Activities: </w:t>
      </w:r>
      <w:r w:rsidR="00DE0D92" w:rsidRPr="008C15D6">
        <w:rPr>
          <w:sz w:val="22"/>
          <w:szCs w:val="22"/>
          <w:lang w:val="en-AU"/>
        </w:rPr>
        <w:t xml:space="preserve">5 </w:t>
      </w:r>
      <w:r w:rsidR="000366BF" w:rsidRPr="008C15D6">
        <w:rPr>
          <w:sz w:val="22"/>
          <w:szCs w:val="22"/>
          <w:lang w:val="en-AU"/>
        </w:rPr>
        <w:t>local accountability activities, 3 M&amp;E local visits and 2 regiona</w:t>
      </w:r>
      <w:r w:rsidR="001944C9">
        <w:rPr>
          <w:sz w:val="22"/>
          <w:szCs w:val="22"/>
          <w:lang w:val="en-AU"/>
        </w:rPr>
        <w:t>l webinars were delivered to 166</w:t>
      </w:r>
      <w:r w:rsidR="000366BF" w:rsidRPr="008C15D6">
        <w:rPr>
          <w:sz w:val="22"/>
          <w:szCs w:val="22"/>
          <w:lang w:val="en-AU"/>
        </w:rPr>
        <w:t xml:space="preserve"> participants from 13 Partner Courts</w:t>
      </w:r>
      <w:r w:rsidR="000366BF" w:rsidRPr="008C15D6" w:rsidDel="00FA7421">
        <w:rPr>
          <w:sz w:val="22"/>
          <w:szCs w:val="22"/>
          <w:lang w:val="en-AU"/>
        </w:rPr>
        <w:t xml:space="preserve"> </w:t>
      </w:r>
      <w:r w:rsidR="000366BF" w:rsidRPr="008C15D6">
        <w:rPr>
          <w:sz w:val="22"/>
          <w:szCs w:val="22"/>
          <w:lang w:val="en-AU"/>
        </w:rPr>
        <w:t>(Co</w:t>
      </w:r>
      <w:r w:rsidR="000366BF" w:rsidRPr="00F34A39">
        <w:rPr>
          <w:sz w:val="22"/>
          <w:szCs w:val="22"/>
          <w:lang w:val="en-AU"/>
        </w:rPr>
        <w:t>ok Islands, FSM, Kiribati,</w:t>
      </w:r>
      <w:r w:rsidR="00DE0D92">
        <w:rPr>
          <w:sz w:val="22"/>
          <w:szCs w:val="22"/>
          <w:lang w:val="en-AU"/>
        </w:rPr>
        <w:t xml:space="preserve"> Nauru,</w:t>
      </w:r>
      <w:r w:rsidR="000366BF" w:rsidRPr="00F34A39">
        <w:rPr>
          <w:sz w:val="22"/>
          <w:szCs w:val="22"/>
          <w:lang w:val="en-AU"/>
        </w:rPr>
        <w:t xml:space="preserve"> RMI, PNG, Solomon Islands, Tonga, </w:t>
      </w:r>
      <w:r w:rsidR="00DE0D92">
        <w:rPr>
          <w:sz w:val="22"/>
          <w:szCs w:val="22"/>
          <w:lang w:val="en-AU"/>
        </w:rPr>
        <w:t xml:space="preserve">Tokelau, </w:t>
      </w:r>
      <w:r w:rsidR="000366BF" w:rsidRPr="00F34A39">
        <w:rPr>
          <w:sz w:val="22"/>
          <w:szCs w:val="22"/>
          <w:lang w:val="en-AU"/>
        </w:rPr>
        <w:t>Tuva</w:t>
      </w:r>
      <w:r w:rsidR="00080D9B">
        <w:rPr>
          <w:sz w:val="22"/>
          <w:szCs w:val="22"/>
          <w:lang w:val="en-AU"/>
        </w:rPr>
        <w:t>lu, Vanuatu, Palau, Samoa, Fiji and</w:t>
      </w:r>
      <w:r w:rsidR="000366BF" w:rsidRPr="00F34A39">
        <w:rPr>
          <w:sz w:val="22"/>
          <w:szCs w:val="22"/>
          <w:lang w:val="en-AU"/>
        </w:rPr>
        <w:t xml:space="preserve"> Niue) to improve trust and confidence in courts through transparency on court performance data, analysis and knowledge. The Regional Data Management Workshop</w:t>
      </w:r>
      <w:r w:rsidR="00DA62B2">
        <w:rPr>
          <w:sz w:val="22"/>
          <w:szCs w:val="22"/>
          <w:lang w:val="en-AU"/>
        </w:rPr>
        <w:t>s</w:t>
      </w:r>
      <w:r w:rsidR="000366BF" w:rsidRPr="00F34A39">
        <w:rPr>
          <w:sz w:val="22"/>
          <w:szCs w:val="22"/>
          <w:lang w:val="en-AU"/>
        </w:rPr>
        <w:t xml:space="preserve"> commenced discussion</w:t>
      </w:r>
      <w:r w:rsidR="00DA62B2">
        <w:rPr>
          <w:sz w:val="22"/>
          <w:szCs w:val="22"/>
          <w:lang w:val="en-AU"/>
        </w:rPr>
        <w:t>s</w:t>
      </w:r>
      <w:r w:rsidR="000366BF" w:rsidRPr="00F34A39">
        <w:rPr>
          <w:sz w:val="22"/>
          <w:szCs w:val="22"/>
          <w:lang w:val="en-AU"/>
        </w:rPr>
        <w:t xml:space="preserve"> around the importance of collecting disaggregated data; specifically, disability data. In 2020, the Supreme Court of Tonga released a Disability Policy and RMI and Palau amended their CTS to include disability disaggregate</w:t>
      </w:r>
      <w:r w:rsidR="00DA62B2">
        <w:rPr>
          <w:sz w:val="22"/>
          <w:szCs w:val="22"/>
          <w:lang w:val="en-AU"/>
        </w:rPr>
        <w:t>d</w:t>
      </w:r>
      <w:r w:rsidR="000366BF" w:rsidRPr="00F34A39">
        <w:rPr>
          <w:sz w:val="22"/>
          <w:szCs w:val="22"/>
          <w:lang w:val="en-AU"/>
        </w:rPr>
        <w:t xml:space="preserve"> data. Court Annual Reporting activities have enhanced Partner Court’s ability to report on the Cook Island Indicators. The fifth Court Trend Report updated the 2011 PJDP Court Performance Baseline Report, which found that only 33% of the Cook Island Indicators were reported on in 201</w:t>
      </w:r>
      <w:r w:rsidR="00427556">
        <w:rPr>
          <w:sz w:val="22"/>
          <w:szCs w:val="22"/>
          <w:lang w:val="en-AU"/>
        </w:rPr>
        <w:t>1. In 2021, this has risen to 76</w:t>
      </w:r>
      <w:r w:rsidR="000366BF" w:rsidRPr="00F34A39">
        <w:rPr>
          <w:sz w:val="22"/>
          <w:szCs w:val="22"/>
          <w:lang w:val="en-AU"/>
        </w:rPr>
        <w:t>%.</w:t>
      </w:r>
    </w:p>
    <w:p w14:paraId="3F931852" w14:textId="7D083790" w:rsidR="00554978" w:rsidRPr="00D82C96" w:rsidRDefault="00DE3E3E" w:rsidP="00D82C96">
      <w:pPr>
        <w:spacing w:before="120" w:after="120"/>
        <w:rPr>
          <w:sz w:val="22"/>
          <w:szCs w:val="22"/>
          <w:lang w:val="en-AU"/>
        </w:rPr>
      </w:pPr>
      <w:r w:rsidRPr="00E417C5">
        <w:rPr>
          <w:noProof/>
          <w:lang w:val="en-AU"/>
        </w:rPr>
        <mc:AlternateContent>
          <mc:Choice Requires="wps">
            <w:drawing>
              <wp:anchor distT="0" distB="0" distL="114300" distR="114300" simplePos="0" relativeHeight="251656704" behindDoc="1" locked="0" layoutInCell="1" allowOverlap="1" wp14:anchorId="53BE6C8E" wp14:editId="5510C10D">
                <wp:simplePos x="0" y="0"/>
                <wp:positionH relativeFrom="margin">
                  <wp:posOffset>301625</wp:posOffset>
                </wp:positionH>
                <wp:positionV relativeFrom="paragraph">
                  <wp:posOffset>2331720</wp:posOffset>
                </wp:positionV>
                <wp:extent cx="4133850" cy="174625"/>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4133850" cy="174625"/>
                        </a:xfrm>
                        <a:prstGeom prst="rect">
                          <a:avLst/>
                        </a:prstGeom>
                        <a:solidFill>
                          <a:prstClr val="white"/>
                        </a:solidFill>
                        <a:ln>
                          <a:noFill/>
                        </a:ln>
                      </wps:spPr>
                      <wps:txbx>
                        <w:txbxContent>
                          <w:p w14:paraId="031626FA" w14:textId="7FC56759" w:rsidR="00CA4E85" w:rsidRPr="00C33036" w:rsidRDefault="00CA4E85" w:rsidP="006E44A3">
                            <w:pPr>
                              <w:pStyle w:val="Caption"/>
                              <w:rPr>
                                <w:i w:val="0"/>
                                <w:noProof/>
                                <w:color w:val="auto"/>
                              </w:rPr>
                            </w:pPr>
                            <w:r w:rsidRPr="00C33036">
                              <w:rPr>
                                <w:i w:val="0"/>
                                <w:color w:val="auto"/>
                              </w:rPr>
                              <w:t>Figure 18: Regional Court Trend Report Webinar, Regional, February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E6C8E" id="Text Box 154" o:spid="_x0000_s1057" type="#_x0000_t202" style="position:absolute;margin-left:23.75pt;margin-top:183.6pt;width:325.5pt;height:13.7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qlCMgIAAGwEAAAOAAAAZHJzL2Uyb0RvYy54bWysVE1v2zAMvQ/YfxB0X5zPrjDiFFmKDAOK&#10;tkAy9KzIcixAEjVJiZ39+lGynXbdTsMuMkVSlN57pJd3rVbkLJyXYAo6GY0pEYZDKc2xoN/320+3&#10;lPjATMkUGFHQi/D0bvXxw7KxuZhCDaoUjmAR4/PGFrQOweZZ5nktNPMjsMJgsAKnWcCtO2alYw1W&#10;1yqbjsc3WQOutA648B69912QrlL9qhI8PFWVF4GoguLbQlpdWg9xzVZLlh8ds7Xk/TPYP7xCM2nw&#10;0mupexYYOTn5RyktuQMPVRhx0BlUleQiYUA0k/E7NLuaWZGwIDneXmny/68sfzw/OyJL1G4xp8Qw&#10;jSLtRRvIF2hJ9CFDjfU5Ju4spoYWA5g9+D06I/C2cjp+ERLBOHJ9ufIby3F0ziez2e0CQxxjk8/z&#10;m+kilsleT1vnw1cBmkSjoA71S7Sy84MPXeqQEi/zoGS5lUrFTQxslCNnhlo3tQyiL/5bljIx10A8&#10;1RWMnixC7KBEK7SHNpEyu+I8QHlB+A66FvKWbyVe+MB8eGYOewZh4RyEJ1wqBU1BobcoqcH9/Js/&#10;5qOUGKWkwR4sqP9xYk5Qor4ZFDk27GC4wTgMhjnpDSDUCU6Y5cnEAy6owawc6Bccj3W8BUPMcLyr&#10;oGEwN6GbBBwvLtbrlIRtaVl4MDvLY+mB2H37wpztZQko6CMM3cnyd+p0uR3N61OASibpIrEdiz3f&#10;2NJJ/H784sy83aes15/E6hcAAAD//wMAUEsDBBQABgAIAAAAIQCpYr1S4AAAAAoBAAAPAAAAZHJz&#10;L2Rvd25yZXYueG1sTI/BTsMwDIbvSLxDZCQuiKWU0W6l6QQbu8FhY9rZa0Nb0ThVkq7d22NOcPTv&#10;T78/56vJdOKsnW8tKXiYRSA0lbZqqVZw+NzeL0D4gFRhZ0kruGgPq+L6KsessiPt9HkfasEl5DNU&#10;0ITQZ1L6stEG/cz2mnj3ZZ3BwKOrZeVw5HLTyTiKEmmwJb7QYK/XjS6/94NRkGzcMO5ofbc5vL3j&#10;R1/Hx9fLUanbm+nlGUTQU/iD4Vef1aFgp5MdqPKiUzBPn5hU8JikMQgGkuWCkxMny3kKssjl/xeK&#10;HwAAAP//AwBQSwECLQAUAAYACAAAACEAtoM4kv4AAADhAQAAEwAAAAAAAAAAAAAAAAAAAAAAW0Nv&#10;bnRlbnRfVHlwZXNdLnhtbFBLAQItABQABgAIAAAAIQA4/SH/1gAAAJQBAAALAAAAAAAAAAAAAAAA&#10;AC8BAABfcmVscy8ucmVsc1BLAQItABQABgAIAAAAIQAIIqlCMgIAAGwEAAAOAAAAAAAAAAAAAAAA&#10;AC4CAABkcnMvZTJvRG9jLnhtbFBLAQItABQABgAIAAAAIQCpYr1S4AAAAAoBAAAPAAAAAAAAAAAA&#10;AAAAAIwEAABkcnMvZG93bnJldi54bWxQSwUGAAAAAAQABADzAAAAmQUAAAAA&#10;" stroked="f">
                <v:textbox inset="0,0,0,0">
                  <w:txbxContent>
                    <w:p w14:paraId="031626FA" w14:textId="7FC56759" w:rsidR="00CA4E85" w:rsidRPr="00C33036" w:rsidRDefault="00CA4E85" w:rsidP="006E44A3">
                      <w:pPr>
                        <w:pStyle w:val="Caption"/>
                        <w:rPr>
                          <w:i w:val="0"/>
                          <w:noProof/>
                          <w:color w:val="auto"/>
                        </w:rPr>
                      </w:pPr>
                      <w:r w:rsidRPr="00C33036">
                        <w:rPr>
                          <w:i w:val="0"/>
                          <w:color w:val="auto"/>
                        </w:rPr>
                        <w:t>Figure 18: Regional Court Trend Report Webinar, Regional, February 2020</w:t>
                      </w:r>
                    </w:p>
                  </w:txbxContent>
                </v:textbox>
                <w10:wrap anchorx="margin"/>
              </v:shape>
            </w:pict>
          </mc:Fallback>
        </mc:AlternateContent>
      </w:r>
      <w:r w:rsidRPr="00E417C5">
        <w:rPr>
          <w:noProof/>
          <w:lang w:val="en-AU"/>
        </w:rPr>
        <w:drawing>
          <wp:anchor distT="0" distB="0" distL="114300" distR="114300" simplePos="0" relativeHeight="251599354" behindDoc="0" locked="0" layoutInCell="1" allowOverlap="1" wp14:anchorId="4D2C1363" wp14:editId="1B69484A">
            <wp:simplePos x="0" y="0"/>
            <wp:positionH relativeFrom="margin">
              <wp:align>center</wp:align>
            </wp:positionH>
            <wp:positionV relativeFrom="paragraph">
              <wp:posOffset>1089025</wp:posOffset>
            </wp:positionV>
            <wp:extent cx="5239735" cy="118800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articipants.PNG"/>
                    <pic:cNvPicPr/>
                  </pic:nvPicPr>
                  <pic:blipFill rotWithShape="1">
                    <a:blip r:embed="rId121">
                      <a:extLst>
                        <a:ext uri="{28A0092B-C50C-407E-A947-70E740481C1C}">
                          <a14:useLocalDpi xmlns:a14="http://schemas.microsoft.com/office/drawing/2010/main" val="0"/>
                        </a:ext>
                      </a:extLst>
                    </a:blip>
                    <a:srcRect/>
                    <a:stretch/>
                  </pic:blipFill>
                  <pic:spPr bwMode="auto">
                    <a:xfrm>
                      <a:off x="0" y="0"/>
                      <a:ext cx="5239735" cy="118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7CA3" w:rsidRPr="00E417C5">
        <w:rPr>
          <w:b/>
          <w:sz w:val="22"/>
          <w:szCs w:val="22"/>
          <w:lang w:val="en-AU"/>
        </w:rPr>
        <w:t>7</w:t>
      </w:r>
      <w:r w:rsidR="000366BF" w:rsidRPr="00E417C5">
        <w:rPr>
          <w:b/>
          <w:sz w:val="22"/>
          <w:szCs w:val="22"/>
          <w:lang w:val="en-AU"/>
        </w:rPr>
        <w:t xml:space="preserve"> Sustainable Development Goals Activities</w:t>
      </w:r>
      <w:r w:rsidR="000366BF" w:rsidRPr="00E417C5">
        <w:rPr>
          <w:sz w:val="22"/>
          <w:szCs w:val="22"/>
          <w:lang w:val="en-AU"/>
        </w:rPr>
        <w:t>: The</w:t>
      </w:r>
      <w:r w:rsidR="000366BF" w:rsidRPr="00F34A39">
        <w:rPr>
          <w:sz w:val="22"/>
          <w:szCs w:val="22"/>
          <w:lang w:val="en-AU"/>
        </w:rPr>
        <w:t xml:space="preserve"> Webinar series held three regional webinars, delivered to</w:t>
      </w:r>
      <w:r w:rsidR="008C15D6">
        <w:rPr>
          <w:sz w:val="22"/>
          <w:szCs w:val="22"/>
          <w:lang w:val="en-AU"/>
        </w:rPr>
        <w:t xml:space="preserve"> 50 participants in</w:t>
      </w:r>
      <w:r w:rsidR="000366BF" w:rsidRPr="00F34A39">
        <w:rPr>
          <w:sz w:val="22"/>
          <w:szCs w:val="22"/>
          <w:lang w:val="en-AU"/>
        </w:rPr>
        <w:t xml:space="preserve"> 7 Partner Courts</w:t>
      </w:r>
      <w:r w:rsidR="008C15D6">
        <w:rPr>
          <w:sz w:val="22"/>
          <w:szCs w:val="22"/>
          <w:lang w:val="en-AU"/>
        </w:rPr>
        <w:t xml:space="preserve">: </w:t>
      </w:r>
      <w:r w:rsidR="000366BF" w:rsidRPr="00F34A39">
        <w:rPr>
          <w:sz w:val="22"/>
          <w:szCs w:val="22"/>
          <w:lang w:val="en-AU"/>
        </w:rPr>
        <w:t>Vanuatu, Cook Islands, Federated States of Micronesia, Pa</w:t>
      </w:r>
      <w:r w:rsidR="008C15D6">
        <w:rPr>
          <w:sz w:val="22"/>
          <w:szCs w:val="22"/>
          <w:lang w:val="en-AU"/>
        </w:rPr>
        <w:t>lau, Kiribati, Papua New Guinea and the</w:t>
      </w:r>
      <w:r w:rsidR="000366BF" w:rsidRPr="00F34A39">
        <w:rPr>
          <w:sz w:val="22"/>
          <w:szCs w:val="22"/>
          <w:lang w:val="en-AU"/>
        </w:rPr>
        <w:t xml:space="preserve"> R</w:t>
      </w:r>
      <w:r w:rsidR="008C15D6">
        <w:rPr>
          <w:sz w:val="22"/>
          <w:szCs w:val="22"/>
          <w:lang w:val="en-AU"/>
        </w:rPr>
        <w:t>epublic of the Marshall Islands. The activities</w:t>
      </w:r>
      <w:r w:rsidR="007B6D82">
        <w:rPr>
          <w:sz w:val="22"/>
          <w:szCs w:val="22"/>
          <w:lang w:val="en-AU"/>
        </w:rPr>
        <w:t xml:space="preserve"> </w:t>
      </w:r>
      <w:r w:rsidR="000366BF" w:rsidRPr="00F34A39">
        <w:rPr>
          <w:sz w:val="22"/>
          <w:szCs w:val="22"/>
          <w:lang w:val="en-AU"/>
        </w:rPr>
        <w:t>produced an agreed set of indicators and reporting template for Partner Courts</w:t>
      </w:r>
      <w:r w:rsidR="000366BF" w:rsidRPr="00F34A39" w:rsidDel="00FA7421">
        <w:rPr>
          <w:sz w:val="22"/>
          <w:szCs w:val="22"/>
          <w:lang w:val="en-AU"/>
        </w:rPr>
        <w:t xml:space="preserve"> </w:t>
      </w:r>
      <w:r w:rsidR="000366BF" w:rsidRPr="00F34A39">
        <w:rPr>
          <w:sz w:val="22"/>
          <w:szCs w:val="22"/>
          <w:lang w:val="en-AU"/>
        </w:rPr>
        <w:t xml:space="preserve">to demonstrate their contribution to the SDGs. </w:t>
      </w:r>
      <w:r w:rsidR="00EF4406">
        <w:rPr>
          <w:sz w:val="22"/>
          <w:szCs w:val="22"/>
          <w:lang w:val="en-AU"/>
        </w:rPr>
        <w:t>Three b</w:t>
      </w:r>
      <w:r w:rsidR="008C15D6">
        <w:rPr>
          <w:sz w:val="22"/>
          <w:szCs w:val="22"/>
          <w:lang w:val="en-AU"/>
        </w:rPr>
        <w:t xml:space="preserve">ilateral discussions were also held with Palau, FSM and Kiribati to support the development of new sections in their Court Annual Reports to include reference to </w:t>
      </w:r>
      <w:r w:rsidR="00E417C5">
        <w:rPr>
          <w:sz w:val="22"/>
          <w:szCs w:val="22"/>
          <w:lang w:val="en-AU"/>
        </w:rPr>
        <w:lastRenderedPageBreak/>
        <w:t>activities and outcomes that support the SDGs. These activities</w:t>
      </w:r>
      <w:r w:rsidR="000366BF" w:rsidRPr="00F34A39">
        <w:rPr>
          <w:sz w:val="22"/>
          <w:szCs w:val="22"/>
          <w:lang w:val="en-AU"/>
        </w:rPr>
        <w:t xml:space="preserve"> followed the </w:t>
      </w:r>
      <w:r w:rsidR="00E417C5">
        <w:rPr>
          <w:sz w:val="22"/>
          <w:szCs w:val="22"/>
          <w:lang w:val="en-AU"/>
        </w:rPr>
        <w:t xml:space="preserve">development by PJSI of an </w:t>
      </w:r>
      <w:r w:rsidR="000366BF" w:rsidRPr="00F34A39">
        <w:rPr>
          <w:sz w:val="22"/>
          <w:szCs w:val="22"/>
          <w:lang w:val="en-AU"/>
        </w:rPr>
        <w:t xml:space="preserve">SDG </w:t>
      </w:r>
      <w:r w:rsidR="00E417C5">
        <w:rPr>
          <w:sz w:val="22"/>
          <w:szCs w:val="22"/>
          <w:lang w:val="en-AU"/>
        </w:rPr>
        <w:t>Issues</w:t>
      </w:r>
      <w:r w:rsidR="00A175EB">
        <w:rPr>
          <w:sz w:val="22"/>
          <w:szCs w:val="22"/>
          <w:lang w:val="en-AU"/>
        </w:rPr>
        <w:t xml:space="preserve"> </w:t>
      </w:r>
      <w:r w:rsidR="00E417C5">
        <w:rPr>
          <w:sz w:val="22"/>
          <w:szCs w:val="22"/>
          <w:lang w:val="en-AU"/>
        </w:rPr>
        <w:t>Paper in 2020</w:t>
      </w:r>
      <w:r w:rsidR="000366BF" w:rsidRPr="00F34A39">
        <w:rPr>
          <w:sz w:val="22"/>
          <w:szCs w:val="22"/>
          <w:lang w:val="en-AU"/>
        </w:rPr>
        <w:t xml:space="preserve"> that suggested approaches to strengthen</w:t>
      </w:r>
      <w:r w:rsidR="00E417C5">
        <w:rPr>
          <w:sz w:val="22"/>
          <w:szCs w:val="22"/>
          <w:lang w:val="en-AU"/>
        </w:rPr>
        <w:t>ing Partner</w:t>
      </w:r>
      <w:r w:rsidR="00A175EB">
        <w:rPr>
          <w:sz w:val="22"/>
          <w:szCs w:val="22"/>
          <w:lang w:val="en-AU"/>
        </w:rPr>
        <w:t xml:space="preserve"> Court’s capacity to address, </w:t>
      </w:r>
      <w:r w:rsidR="000366BF" w:rsidRPr="00F34A39">
        <w:rPr>
          <w:sz w:val="22"/>
          <w:szCs w:val="22"/>
          <w:lang w:val="en-AU"/>
        </w:rPr>
        <w:t xml:space="preserve">implement, monitor and report against the SDGs. </w:t>
      </w:r>
      <w:bookmarkStart w:id="20" w:name="_Toc77423614"/>
      <w:bookmarkStart w:id="21" w:name="_Toc77423618"/>
      <w:bookmarkStart w:id="22" w:name="_Toc75185175"/>
      <w:bookmarkEnd w:id="17"/>
    </w:p>
    <w:p w14:paraId="2C8471EC" w14:textId="42BBCCF3" w:rsidR="006C3AA5" w:rsidRDefault="00A07C74" w:rsidP="00E417C5">
      <w:pPr>
        <w:pStyle w:val="HBHeading1"/>
        <w:spacing w:before="0"/>
      </w:pPr>
      <w:bookmarkStart w:id="23" w:name="_Toc90564311"/>
      <w:r>
        <w:rPr>
          <w:b w:val="0"/>
          <w:bCs w:val="0"/>
          <w:noProof/>
          <w:lang w:val="en-AU"/>
        </w:rPr>
        <w:drawing>
          <wp:anchor distT="0" distB="0" distL="114300" distR="114300" simplePos="0" relativeHeight="251721216" behindDoc="1" locked="0" layoutInCell="1" allowOverlap="1" wp14:anchorId="392A6BC6" wp14:editId="5A216568">
            <wp:simplePos x="0" y="0"/>
            <wp:positionH relativeFrom="margin">
              <wp:align>left</wp:align>
            </wp:positionH>
            <wp:positionV relativeFrom="paragraph">
              <wp:posOffset>306070</wp:posOffset>
            </wp:positionV>
            <wp:extent cx="5543550" cy="3086100"/>
            <wp:effectExtent l="0" t="0" r="0" b="0"/>
            <wp:wrapTight wrapText="bothSides">
              <wp:wrapPolygon edited="0">
                <wp:start x="0" y="0"/>
                <wp:lineTo x="0" y="21467"/>
                <wp:lineTo x="21526" y="21467"/>
                <wp:lineTo x="21526"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cBubbles.PNG"/>
                    <pic:cNvPicPr/>
                  </pic:nvPicPr>
                  <pic:blipFill rotWithShape="1">
                    <a:blip r:embed="rId122">
                      <a:extLst>
                        <a:ext uri="{28A0092B-C50C-407E-A947-70E740481C1C}">
                          <a14:useLocalDpi xmlns:a14="http://schemas.microsoft.com/office/drawing/2010/main" val="0"/>
                        </a:ext>
                      </a:extLst>
                    </a:blip>
                    <a:srcRect/>
                    <a:stretch/>
                  </pic:blipFill>
                  <pic:spPr bwMode="auto">
                    <a:xfrm>
                      <a:off x="0" y="0"/>
                      <a:ext cx="5543550" cy="3086100"/>
                    </a:xfrm>
                    <a:prstGeom prst="rect">
                      <a:avLst/>
                    </a:prstGeom>
                    <a:ln>
                      <a:noFill/>
                    </a:ln>
                    <a:extLst>
                      <a:ext uri="{53640926-AAD7-44D8-BBD7-CCE9431645EC}">
                        <a14:shadowObscured xmlns:a14="http://schemas.microsoft.com/office/drawing/2010/main"/>
                      </a:ext>
                    </a:extLst>
                  </pic:spPr>
                </pic:pic>
              </a:graphicData>
            </a:graphic>
          </wp:anchor>
        </w:drawing>
      </w:r>
      <w:r w:rsidR="00B86465" w:rsidRPr="00F34A39">
        <w:rPr>
          <w:color w:val="00323E" w:themeColor="accent1" w:themeShade="80"/>
          <w:lang w:val="en-AU"/>
        </w:rPr>
        <w:t>National Results</w:t>
      </w:r>
      <w:bookmarkEnd w:id="20"/>
      <w:bookmarkEnd w:id="23"/>
    </w:p>
    <w:p w14:paraId="6227D51A" w14:textId="6C910339" w:rsidR="00B86465" w:rsidRDefault="006C3AA5" w:rsidP="006C3AA5">
      <w:pPr>
        <w:pStyle w:val="Caption"/>
        <w:rPr>
          <w:i w:val="0"/>
          <w:color w:val="auto"/>
        </w:rPr>
      </w:pPr>
      <w:r w:rsidRPr="00E417C5">
        <w:rPr>
          <w:i w:val="0"/>
          <w:color w:val="auto"/>
        </w:rPr>
        <w:t xml:space="preserve">Figure </w:t>
      </w:r>
      <w:r w:rsidR="00C33036" w:rsidRPr="00E417C5">
        <w:rPr>
          <w:i w:val="0"/>
          <w:color w:val="auto"/>
        </w:rPr>
        <w:t>19:</w:t>
      </w:r>
      <w:r w:rsidRPr="00E417C5">
        <w:rPr>
          <w:i w:val="0"/>
          <w:color w:val="auto"/>
        </w:rPr>
        <w:t xml:space="preserve"> Participation in PJSI Activities per Pacific Island Country</w:t>
      </w:r>
    </w:p>
    <w:p w14:paraId="2D2736EA" w14:textId="0DF581D0" w:rsidR="00B86465" w:rsidRDefault="00B86465" w:rsidP="00B86465">
      <w:pPr>
        <w:spacing w:before="120" w:after="120"/>
        <w:rPr>
          <w:sz w:val="22"/>
          <w:szCs w:val="22"/>
          <w:lang w:val="en-AU"/>
        </w:rPr>
      </w:pPr>
      <w:r w:rsidRPr="00F34A39">
        <w:rPr>
          <w:sz w:val="22"/>
          <w:szCs w:val="22"/>
          <w:lang w:val="en-AU"/>
        </w:rPr>
        <w:t xml:space="preserve">As shown above, Partner Courts participated in a varying number of activities across various projects to achieve their reform objectives. As PJSIs thematic areas and projects are interlinked, a collaborative approach was established among Technical </w:t>
      </w:r>
      <w:r w:rsidR="005466A3">
        <w:rPr>
          <w:sz w:val="22"/>
          <w:szCs w:val="22"/>
          <w:lang w:val="en-AU"/>
        </w:rPr>
        <w:t>Adviser</w:t>
      </w:r>
      <w:r w:rsidRPr="00F34A39">
        <w:rPr>
          <w:sz w:val="22"/>
          <w:szCs w:val="22"/>
          <w:lang w:val="en-AU"/>
        </w:rPr>
        <w:t xml:space="preserve">s to interweave projects to produce expanded results. </w:t>
      </w:r>
      <w:r>
        <w:rPr>
          <w:sz w:val="22"/>
          <w:szCs w:val="22"/>
          <w:lang w:val="en-AU"/>
        </w:rPr>
        <w:t xml:space="preserve">Feedback provided by Chief Justices and other leaders involved in PJSIs activities are included below. </w:t>
      </w:r>
      <w:r w:rsidRPr="00F34A39">
        <w:rPr>
          <w:sz w:val="22"/>
          <w:szCs w:val="22"/>
          <w:lang w:val="en-AU"/>
        </w:rPr>
        <w:t xml:space="preserve">The stories of </w:t>
      </w:r>
      <w:r w:rsidRPr="00F34A39">
        <w:rPr>
          <w:rFonts w:eastAsiaTheme="minorEastAsia" w:cs="HelveticaNeue-Light"/>
          <w:sz w:val="22"/>
          <w:szCs w:val="22"/>
          <w:lang w:val="en-AU" w:eastAsia="ja-JP"/>
        </w:rPr>
        <w:t>Partner Courts</w:t>
      </w:r>
      <w:r w:rsidRPr="00F34A39" w:rsidDel="007E7E05">
        <w:rPr>
          <w:sz w:val="22"/>
          <w:szCs w:val="22"/>
          <w:lang w:val="en-AU"/>
        </w:rPr>
        <w:t xml:space="preserve"> </w:t>
      </w:r>
      <w:r w:rsidRPr="00F34A39">
        <w:rPr>
          <w:sz w:val="22"/>
          <w:szCs w:val="22"/>
          <w:lang w:val="en-AU"/>
        </w:rPr>
        <w:t>that grappled with multiple issues simultaneously, are provided at Annex</w:t>
      </w:r>
      <w:bookmarkStart w:id="24" w:name="_Toc75185172"/>
      <w:r>
        <w:rPr>
          <w:sz w:val="22"/>
          <w:szCs w:val="22"/>
          <w:lang w:val="en-AU"/>
        </w:rPr>
        <w:t xml:space="preserve"> </w:t>
      </w:r>
      <w:r w:rsidR="00D65F8B">
        <w:rPr>
          <w:sz w:val="22"/>
          <w:szCs w:val="22"/>
          <w:lang w:val="en-AU"/>
        </w:rPr>
        <w:t>One</w:t>
      </w:r>
      <w:r>
        <w:rPr>
          <w:sz w:val="22"/>
          <w:szCs w:val="22"/>
          <w:lang w:val="en-AU"/>
        </w:rPr>
        <w:t>.</w:t>
      </w:r>
    </w:p>
    <w:p w14:paraId="2CA38EF7" w14:textId="77777777" w:rsidR="00B21166" w:rsidRPr="00B21166" w:rsidRDefault="00B21166" w:rsidP="00B86465">
      <w:pPr>
        <w:spacing w:before="120" w:after="120"/>
        <w:rPr>
          <w:sz w:val="2"/>
          <w:szCs w:val="22"/>
          <w:lang w:val="en-AU"/>
        </w:rPr>
      </w:pPr>
    </w:p>
    <w:bookmarkEnd w:id="21"/>
    <w:bookmarkEnd w:id="24"/>
    <w:p w14:paraId="4ACC29D1" w14:textId="106B079E" w:rsidR="000F4FFF" w:rsidRPr="00216197" w:rsidRDefault="002401D1" w:rsidP="002401D1">
      <w:pPr>
        <w:spacing w:before="120" w:after="120"/>
        <w:rPr>
          <w:iCs/>
          <w:sz w:val="22"/>
          <w:lang w:val="en-AU"/>
        </w:rPr>
      </w:pPr>
      <w:r>
        <w:rPr>
          <w:iCs/>
          <w:sz w:val="22"/>
          <w:lang w:val="en-AU"/>
        </w:rPr>
        <w:t xml:space="preserve"> </w:t>
      </w:r>
    </w:p>
    <w:p w14:paraId="3B8671EB" w14:textId="77777777" w:rsidR="0010742D" w:rsidRDefault="0010742D" w:rsidP="002401D1">
      <w:pPr>
        <w:spacing w:before="120" w:after="120"/>
        <w:rPr>
          <w:iCs/>
          <w:noProof/>
          <w:sz w:val="22"/>
          <w:lang w:val="en-AU"/>
        </w:rPr>
      </w:pPr>
    </w:p>
    <w:p w14:paraId="721C6B71" w14:textId="77777777" w:rsidR="0010742D" w:rsidRDefault="0010742D" w:rsidP="002401D1">
      <w:pPr>
        <w:spacing w:before="120" w:after="120"/>
        <w:rPr>
          <w:iCs/>
          <w:noProof/>
          <w:sz w:val="22"/>
          <w:lang w:val="en-AU"/>
        </w:rPr>
      </w:pPr>
    </w:p>
    <w:p w14:paraId="2239AED1" w14:textId="77777777" w:rsidR="0010742D" w:rsidRDefault="0010742D" w:rsidP="002401D1">
      <w:pPr>
        <w:spacing w:before="120" w:after="120"/>
        <w:rPr>
          <w:iCs/>
          <w:noProof/>
          <w:sz w:val="22"/>
          <w:lang w:val="en-AU"/>
        </w:rPr>
      </w:pPr>
    </w:p>
    <w:p w14:paraId="0F85AE42" w14:textId="77777777" w:rsidR="0010742D" w:rsidRDefault="0010742D" w:rsidP="002401D1">
      <w:pPr>
        <w:spacing w:before="120" w:after="120"/>
        <w:rPr>
          <w:iCs/>
          <w:noProof/>
          <w:sz w:val="22"/>
          <w:lang w:val="en-AU"/>
        </w:rPr>
      </w:pPr>
    </w:p>
    <w:p w14:paraId="4961A850" w14:textId="77777777" w:rsidR="0010742D" w:rsidRDefault="0010742D" w:rsidP="002401D1">
      <w:pPr>
        <w:spacing w:before="120" w:after="120"/>
        <w:rPr>
          <w:iCs/>
          <w:noProof/>
          <w:sz w:val="22"/>
          <w:lang w:val="en-AU"/>
        </w:rPr>
      </w:pPr>
    </w:p>
    <w:p w14:paraId="73921C97" w14:textId="77777777" w:rsidR="0010742D" w:rsidRDefault="0010742D" w:rsidP="002401D1">
      <w:pPr>
        <w:spacing w:before="120" w:after="120"/>
        <w:rPr>
          <w:iCs/>
          <w:noProof/>
          <w:sz w:val="22"/>
          <w:lang w:val="en-AU"/>
        </w:rPr>
      </w:pPr>
    </w:p>
    <w:p w14:paraId="25ACBEDB" w14:textId="77777777" w:rsidR="0010742D" w:rsidRDefault="0010742D" w:rsidP="002401D1">
      <w:pPr>
        <w:spacing w:before="120" w:after="120"/>
        <w:rPr>
          <w:iCs/>
          <w:noProof/>
          <w:sz w:val="22"/>
          <w:lang w:val="en-AU"/>
        </w:rPr>
      </w:pPr>
    </w:p>
    <w:p w14:paraId="56C470F4" w14:textId="77777777" w:rsidR="0010742D" w:rsidRDefault="0010742D" w:rsidP="002401D1">
      <w:pPr>
        <w:spacing w:before="120" w:after="120"/>
        <w:rPr>
          <w:iCs/>
          <w:noProof/>
          <w:sz w:val="22"/>
          <w:lang w:val="en-AU"/>
        </w:rPr>
      </w:pPr>
    </w:p>
    <w:p w14:paraId="156D0527" w14:textId="3063786E" w:rsidR="000F4FFF" w:rsidRDefault="000F4FFF" w:rsidP="002401D1">
      <w:pPr>
        <w:spacing w:before="120" w:after="120"/>
        <w:rPr>
          <w:iCs/>
          <w:sz w:val="22"/>
          <w:lang w:val="en-AU"/>
        </w:rPr>
      </w:pPr>
      <w:r w:rsidRPr="00216197">
        <w:rPr>
          <w:iCs/>
          <w:sz w:val="22"/>
          <w:lang w:val="en-AU"/>
        </w:rPr>
        <w:t xml:space="preserve"> </w:t>
      </w:r>
    </w:p>
    <w:p w14:paraId="0B3B7313" w14:textId="7BF32AB7" w:rsidR="003907E9" w:rsidRPr="003907E9" w:rsidRDefault="003907E9" w:rsidP="00D82C96">
      <w:pPr>
        <w:keepNext/>
        <w:rPr>
          <w:rFonts w:cstheme="minorHAnsi"/>
          <w:sz w:val="22"/>
          <w:szCs w:val="22"/>
        </w:rPr>
      </w:pPr>
      <w:r>
        <w:rPr>
          <w:rFonts w:cstheme="minorHAnsi"/>
          <w:sz w:val="22"/>
          <w:szCs w:val="22"/>
        </w:rPr>
        <w:lastRenderedPageBreak/>
        <w:t xml:space="preserve">To support the delivery of PJSI (and PJDP) several </w:t>
      </w:r>
      <w:r w:rsidRPr="003907E9">
        <w:rPr>
          <w:rFonts w:cstheme="minorHAnsi"/>
          <w:sz w:val="22"/>
          <w:szCs w:val="22"/>
        </w:rPr>
        <w:t>assets were purchased</w:t>
      </w:r>
      <w:r>
        <w:rPr>
          <w:rFonts w:cstheme="minorHAnsi"/>
          <w:sz w:val="22"/>
          <w:szCs w:val="22"/>
        </w:rPr>
        <w:t xml:space="preserve">. </w:t>
      </w:r>
      <w:r w:rsidRPr="003907E9">
        <w:rPr>
          <w:rFonts w:cstheme="minorHAnsi"/>
          <w:sz w:val="22"/>
          <w:szCs w:val="22"/>
        </w:rPr>
        <w:t xml:space="preserve">In line </w:t>
      </w:r>
      <w:r>
        <w:rPr>
          <w:rFonts w:cstheme="minorHAnsi"/>
          <w:sz w:val="22"/>
          <w:szCs w:val="22"/>
        </w:rPr>
        <w:t>with applicable</w:t>
      </w:r>
      <w:r w:rsidRPr="003907E9">
        <w:rPr>
          <w:rFonts w:cstheme="minorHAnsi"/>
          <w:sz w:val="22"/>
          <w:szCs w:val="22"/>
        </w:rPr>
        <w:t xml:space="preserve"> Commonwealth Procurement </w:t>
      </w:r>
      <w:r>
        <w:rPr>
          <w:rFonts w:cstheme="minorHAnsi"/>
          <w:sz w:val="22"/>
          <w:szCs w:val="22"/>
        </w:rPr>
        <w:t>legislation, policy</w:t>
      </w:r>
      <w:r w:rsidRPr="003907E9">
        <w:rPr>
          <w:rFonts w:cstheme="minorHAnsi"/>
          <w:sz w:val="22"/>
          <w:szCs w:val="22"/>
        </w:rPr>
        <w:t xml:space="preserve"> and procedures</w:t>
      </w:r>
      <w:r>
        <w:rPr>
          <w:rFonts w:cstheme="minorHAnsi"/>
          <w:sz w:val="22"/>
          <w:szCs w:val="22"/>
        </w:rPr>
        <w:t>, at the completion of the Federal Court’s contract to manage the PJSI, the assets will be managed as follows:</w:t>
      </w:r>
    </w:p>
    <w:p w14:paraId="7A4859D6" w14:textId="3285DF37" w:rsidR="00D82C96" w:rsidRPr="00D82C96" w:rsidRDefault="003907E9" w:rsidP="008579CA">
      <w:pPr>
        <w:pStyle w:val="ListParagraph"/>
        <w:numPr>
          <w:ilvl w:val="0"/>
          <w:numId w:val="13"/>
        </w:numPr>
        <w:spacing w:before="120" w:after="120"/>
        <w:ind w:left="567"/>
        <w:rPr>
          <w:rFonts w:asciiTheme="minorHAnsi" w:hAnsiTheme="minorHAnsi" w:cstheme="minorHAnsi"/>
          <w:szCs w:val="22"/>
        </w:rPr>
      </w:pPr>
      <w:r w:rsidRPr="003907E9">
        <w:rPr>
          <w:rFonts w:asciiTheme="minorHAnsi" w:hAnsiTheme="minorHAnsi" w:cstheme="minorHAnsi"/>
          <w:b/>
          <w:i/>
          <w:szCs w:val="22"/>
        </w:rPr>
        <w:t>S</w:t>
      </w:r>
      <w:r>
        <w:rPr>
          <w:rFonts w:asciiTheme="minorHAnsi" w:hAnsiTheme="minorHAnsi" w:cstheme="minorHAnsi"/>
          <w:b/>
          <w:i/>
          <w:szCs w:val="22"/>
        </w:rPr>
        <w:t>old</w:t>
      </w:r>
      <w:r>
        <w:rPr>
          <w:rFonts w:asciiTheme="minorHAnsi" w:hAnsiTheme="minorHAnsi" w:cstheme="minorHAnsi"/>
          <w:szCs w:val="22"/>
        </w:rPr>
        <w:t xml:space="preserve"> (those</w:t>
      </w:r>
      <w:r w:rsidRPr="003907E9">
        <w:rPr>
          <w:rFonts w:asciiTheme="minorHAnsi" w:hAnsiTheme="minorHAnsi" w:cstheme="minorHAnsi"/>
          <w:szCs w:val="22"/>
        </w:rPr>
        <w:t xml:space="preserve"> deemed</w:t>
      </w:r>
      <w:r>
        <w:rPr>
          <w:rFonts w:asciiTheme="minorHAnsi" w:hAnsiTheme="minorHAnsi" w:cstheme="minorHAnsi"/>
          <w:szCs w:val="22"/>
        </w:rPr>
        <w:t xml:space="preserve"> to still hold value)</w:t>
      </w:r>
      <w:r w:rsidRPr="003907E9">
        <w:rPr>
          <w:rFonts w:asciiTheme="minorHAnsi" w:hAnsiTheme="minorHAnsi" w:cstheme="minorHAnsi"/>
          <w:szCs w:val="22"/>
        </w:rPr>
        <w:t xml:space="preserve"> with all </w:t>
      </w:r>
      <w:r>
        <w:rPr>
          <w:rFonts w:asciiTheme="minorHAnsi" w:hAnsiTheme="minorHAnsi" w:cstheme="minorHAnsi"/>
          <w:szCs w:val="22"/>
        </w:rPr>
        <w:t>revenue</w:t>
      </w:r>
      <w:r w:rsidRPr="003907E9">
        <w:rPr>
          <w:rFonts w:asciiTheme="minorHAnsi" w:hAnsiTheme="minorHAnsi" w:cstheme="minorHAnsi"/>
          <w:szCs w:val="22"/>
        </w:rPr>
        <w:t xml:space="preserve"> returned to MFAT </w:t>
      </w:r>
      <w:r>
        <w:rPr>
          <w:rFonts w:asciiTheme="minorHAnsi" w:hAnsiTheme="minorHAnsi" w:cstheme="minorHAnsi"/>
          <w:szCs w:val="22"/>
        </w:rPr>
        <w:t>following approval of</w:t>
      </w:r>
      <w:r w:rsidRPr="003907E9">
        <w:rPr>
          <w:rFonts w:asciiTheme="minorHAnsi" w:hAnsiTheme="minorHAnsi" w:cstheme="minorHAnsi"/>
          <w:szCs w:val="22"/>
        </w:rPr>
        <w:t xml:space="preserve"> the final acquittal in late 2021;</w:t>
      </w:r>
      <w:r>
        <w:rPr>
          <w:rFonts w:asciiTheme="minorHAnsi" w:hAnsiTheme="minorHAnsi" w:cstheme="minorHAnsi"/>
          <w:szCs w:val="22"/>
        </w:rPr>
        <w:t xml:space="preserve"> or</w:t>
      </w:r>
    </w:p>
    <w:p w14:paraId="297E53FE" w14:textId="0A785B7B" w:rsidR="003907E9" w:rsidRDefault="003907E9" w:rsidP="008579CA">
      <w:pPr>
        <w:pStyle w:val="ListParagraph"/>
        <w:numPr>
          <w:ilvl w:val="0"/>
          <w:numId w:val="13"/>
        </w:numPr>
        <w:spacing w:before="120" w:after="120"/>
        <w:ind w:left="567"/>
        <w:rPr>
          <w:rFonts w:asciiTheme="minorHAnsi" w:hAnsiTheme="minorHAnsi" w:cstheme="minorHAnsi"/>
          <w:szCs w:val="22"/>
        </w:rPr>
      </w:pPr>
      <w:r>
        <w:rPr>
          <w:rFonts w:asciiTheme="minorHAnsi" w:hAnsiTheme="minorHAnsi" w:cstheme="minorHAnsi"/>
          <w:b/>
          <w:i/>
          <w:szCs w:val="22"/>
        </w:rPr>
        <w:t>Disposed of</w:t>
      </w:r>
      <w:r>
        <w:rPr>
          <w:rFonts w:asciiTheme="minorHAnsi" w:hAnsiTheme="minorHAnsi" w:cstheme="minorHAnsi"/>
          <w:szCs w:val="22"/>
        </w:rPr>
        <w:t xml:space="preserve"> applicable to assets over eight years old; or</w:t>
      </w:r>
    </w:p>
    <w:p w14:paraId="1A2DD566" w14:textId="2769B7AC" w:rsidR="003907E9" w:rsidRPr="003907E9" w:rsidRDefault="003907E9" w:rsidP="008579CA">
      <w:pPr>
        <w:pStyle w:val="ListParagraph"/>
        <w:numPr>
          <w:ilvl w:val="0"/>
          <w:numId w:val="13"/>
        </w:numPr>
        <w:spacing w:before="120" w:after="120"/>
        <w:ind w:left="567"/>
        <w:rPr>
          <w:rFonts w:asciiTheme="minorHAnsi" w:hAnsiTheme="minorHAnsi" w:cstheme="minorHAnsi"/>
          <w:szCs w:val="22"/>
        </w:rPr>
      </w:pPr>
      <w:r w:rsidRPr="003907E9">
        <w:rPr>
          <w:rFonts w:asciiTheme="minorHAnsi" w:hAnsiTheme="minorHAnsi" w:cstheme="minorHAnsi"/>
          <w:b/>
          <w:i/>
          <w:szCs w:val="22"/>
        </w:rPr>
        <w:t>Gifted</w:t>
      </w:r>
      <w:r w:rsidRPr="003907E9">
        <w:rPr>
          <w:rFonts w:asciiTheme="minorHAnsi" w:hAnsiTheme="minorHAnsi" w:cstheme="minorHAnsi"/>
          <w:szCs w:val="22"/>
        </w:rPr>
        <w:t xml:space="preserve"> to Partner </w:t>
      </w:r>
      <w:r>
        <w:rPr>
          <w:rFonts w:asciiTheme="minorHAnsi" w:hAnsiTheme="minorHAnsi" w:cstheme="minorHAnsi"/>
          <w:szCs w:val="22"/>
        </w:rPr>
        <w:t>Courts with due consideration given to the additional cost of</w:t>
      </w:r>
      <w:r w:rsidRPr="003907E9">
        <w:rPr>
          <w:rFonts w:asciiTheme="minorHAnsi" w:hAnsiTheme="minorHAnsi" w:cstheme="minorHAnsi"/>
          <w:szCs w:val="22"/>
        </w:rPr>
        <w:t xml:space="preserve"> couri</w:t>
      </w:r>
      <w:r>
        <w:rPr>
          <w:rFonts w:asciiTheme="minorHAnsi" w:hAnsiTheme="minorHAnsi" w:cstheme="minorHAnsi"/>
          <w:szCs w:val="22"/>
        </w:rPr>
        <w:t>ering; or</w:t>
      </w:r>
    </w:p>
    <w:p w14:paraId="6B606E89" w14:textId="713EA552" w:rsidR="003907E9" w:rsidRPr="003907E9" w:rsidRDefault="003907E9" w:rsidP="008579CA">
      <w:pPr>
        <w:pStyle w:val="ListParagraph"/>
        <w:numPr>
          <w:ilvl w:val="0"/>
          <w:numId w:val="13"/>
        </w:numPr>
        <w:spacing w:before="120" w:after="120"/>
        <w:ind w:left="567"/>
        <w:rPr>
          <w:rFonts w:asciiTheme="minorHAnsi" w:hAnsiTheme="minorHAnsi" w:cstheme="minorHAnsi"/>
          <w:szCs w:val="22"/>
        </w:rPr>
      </w:pPr>
      <w:r w:rsidRPr="003907E9">
        <w:rPr>
          <w:rFonts w:asciiTheme="minorHAnsi" w:hAnsiTheme="minorHAnsi" w:cstheme="minorHAnsi"/>
          <w:b/>
          <w:i/>
          <w:szCs w:val="22"/>
        </w:rPr>
        <w:t>T</w:t>
      </w:r>
      <w:r>
        <w:rPr>
          <w:rFonts w:asciiTheme="minorHAnsi" w:hAnsiTheme="minorHAnsi" w:cstheme="minorHAnsi"/>
          <w:b/>
          <w:i/>
          <w:szCs w:val="22"/>
        </w:rPr>
        <w:t>ransferred</w:t>
      </w:r>
      <w:r>
        <w:rPr>
          <w:rFonts w:asciiTheme="minorHAnsi" w:hAnsiTheme="minorHAnsi" w:cstheme="minorHAnsi"/>
          <w:szCs w:val="22"/>
        </w:rPr>
        <w:t xml:space="preserve"> to </w:t>
      </w:r>
      <w:r w:rsidRPr="003907E9">
        <w:rPr>
          <w:rFonts w:asciiTheme="minorHAnsi" w:hAnsiTheme="minorHAnsi" w:cstheme="minorHAnsi"/>
          <w:szCs w:val="22"/>
        </w:rPr>
        <w:t xml:space="preserve">Te </w:t>
      </w:r>
      <w:r w:rsidR="00B50DD5">
        <w:rPr>
          <w:rFonts w:asciiTheme="minorHAnsi" w:hAnsiTheme="minorHAnsi" w:cstheme="minorHAnsi"/>
          <w:szCs w:val="22"/>
        </w:rPr>
        <w:t>Kura Kaiwhakawā</w:t>
      </w:r>
      <w:r w:rsidR="003818B6">
        <w:rPr>
          <w:rFonts w:asciiTheme="minorHAnsi" w:hAnsiTheme="minorHAnsi" w:cstheme="minorHAnsi"/>
          <w:szCs w:val="22"/>
        </w:rPr>
        <w:t>, as ongoing implementing agent for MFAT</w:t>
      </w:r>
      <w:r w:rsidRPr="003907E9">
        <w:rPr>
          <w:rFonts w:asciiTheme="minorHAnsi" w:hAnsiTheme="minorHAnsi" w:cstheme="minorHAnsi"/>
          <w:szCs w:val="22"/>
        </w:rPr>
        <w:t>.</w:t>
      </w:r>
    </w:p>
    <w:p w14:paraId="027349EA" w14:textId="0E4C40B9" w:rsidR="00C86B30" w:rsidRDefault="003907E9" w:rsidP="003907E9">
      <w:pPr>
        <w:spacing w:before="120" w:after="120"/>
        <w:rPr>
          <w:rFonts w:cstheme="minorHAnsi"/>
          <w:sz w:val="22"/>
          <w:szCs w:val="22"/>
        </w:rPr>
      </w:pPr>
      <w:r>
        <w:rPr>
          <w:rFonts w:cstheme="minorHAnsi"/>
          <w:sz w:val="22"/>
          <w:szCs w:val="22"/>
        </w:rPr>
        <w:t>T</w:t>
      </w:r>
      <w:r w:rsidRPr="003907E9">
        <w:rPr>
          <w:rFonts w:cstheme="minorHAnsi"/>
          <w:sz w:val="22"/>
          <w:szCs w:val="22"/>
        </w:rPr>
        <w:t xml:space="preserve">he Federal Court’s IT Department </w:t>
      </w:r>
      <w:r>
        <w:rPr>
          <w:rFonts w:cstheme="minorHAnsi"/>
          <w:sz w:val="22"/>
          <w:szCs w:val="22"/>
        </w:rPr>
        <w:t>and its</w:t>
      </w:r>
      <w:r w:rsidRPr="003907E9">
        <w:rPr>
          <w:rFonts w:cstheme="minorHAnsi"/>
          <w:sz w:val="22"/>
          <w:szCs w:val="22"/>
        </w:rPr>
        <w:t xml:space="preserve"> accredited e-waste supplier, ACT Logistics</w:t>
      </w:r>
      <w:r>
        <w:rPr>
          <w:rFonts w:cstheme="minorHAnsi"/>
          <w:sz w:val="22"/>
          <w:szCs w:val="22"/>
        </w:rPr>
        <w:t>;</w:t>
      </w:r>
      <w:r w:rsidRPr="003907E9">
        <w:rPr>
          <w:rFonts w:cstheme="minorHAnsi"/>
          <w:sz w:val="22"/>
          <w:szCs w:val="22"/>
        </w:rPr>
        <w:t xml:space="preserve"> </w:t>
      </w:r>
      <w:r>
        <w:rPr>
          <w:rFonts w:cstheme="minorHAnsi"/>
          <w:sz w:val="22"/>
          <w:szCs w:val="22"/>
        </w:rPr>
        <w:t>have</w:t>
      </w:r>
      <w:r w:rsidRPr="003907E9">
        <w:rPr>
          <w:rFonts w:cstheme="minorHAnsi"/>
          <w:sz w:val="22"/>
          <w:szCs w:val="22"/>
        </w:rPr>
        <w:t xml:space="preserve"> </w:t>
      </w:r>
      <w:r>
        <w:rPr>
          <w:rFonts w:cstheme="minorHAnsi"/>
          <w:sz w:val="22"/>
          <w:szCs w:val="22"/>
        </w:rPr>
        <w:t>assessed</w:t>
      </w:r>
      <w:r w:rsidRPr="003907E9">
        <w:rPr>
          <w:rFonts w:cstheme="minorHAnsi"/>
          <w:sz w:val="22"/>
          <w:szCs w:val="22"/>
        </w:rPr>
        <w:t xml:space="preserve"> PJSI</w:t>
      </w:r>
      <w:r>
        <w:rPr>
          <w:rFonts w:cstheme="minorHAnsi"/>
          <w:sz w:val="22"/>
          <w:szCs w:val="22"/>
        </w:rPr>
        <w:t>s</w:t>
      </w:r>
      <w:r w:rsidRPr="003907E9">
        <w:rPr>
          <w:rFonts w:cstheme="minorHAnsi"/>
          <w:sz w:val="22"/>
          <w:szCs w:val="22"/>
        </w:rPr>
        <w:t xml:space="preserve"> assets. Annex</w:t>
      </w:r>
      <w:r w:rsidR="00D97F4D">
        <w:rPr>
          <w:rFonts w:cstheme="minorHAnsi"/>
          <w:sz w:val="22"/>
          <w:szCs w:val="22"/>
        </w:rPr>
        <w:t xml:space="preserve"> </w:t>
      </w:r>
      <w:r w:rsidR="0025389B">
        <w:rPr>
          <w:rFonts w:cstheme="minorHAnsi"/>
          <w:sz w:val="22"/>
          <w:szCs w:val="22"/>
        </w:rPr>
        <w:t>Eleven</w:t>
      </w:r>
      <w:r w:rsidRPr="003907E9">
        <w:rPr>
          <w:rFonts w:cstheme="minorHAnsi"/>
          <w:sz w:val="22"/>
          <w:szCs w:val="22"/>
        </w:rPr>
        <w:t xml:space="preserve"> </w:t>
      </w:r>
      <w:r>
        <w:rPr>
          <w:rFonts w:cstheme="minorHAnsi"/>
          <w:sz w:val="22"/>
          <w:szCs w:val="22"/>
        </w:rPr>
        <w:t>provides</w:t>
      </w:r>
      <w:r w:rsidRPr="003907E9">
        <w:rPr>
          <w:rFonts w:cstheme="minorHAnsi"/>
          <w:sz w:val="22"/>
          <w:szCs w:val="22"/>
        </w:rPr>
        <w:t xml:space="preserve"> the results of this assessment and outlines the </w:t>
      </w:r>
      <w:r w:rsidR="00EF1885">
        <w:rPr>
          <w:rFonts w:cstheme="minorHAnsi"/>
          <w:sz w:val="22"/>
          <w:szCs w:val="22"/>
        </w:rPr>
        <w:t>MFAT-approved</w:t>
      </w:r>
      <w:r w:rsidR="00EF1885" w:rsidRPr="003907E9">
        <w:rPr>
          <w:rFonts w:cstheme="minorHAnsi"/>
          <w:sz w:val="22"/>
          <w:szCs w:val="22"/>
        </w:rPr>
        <w:t xml:space="preserve"> </w:t>
      </w:r>
      <w:r w:rsidRPr="003907E9">
        <w:rPr>
          <w:rFonts w:cstheme="minorHAnsi"/>
          <w:sz w:val="22"/>
          <w:szCs w:val="22"/>
        </w:rPr>
        <w:t>course of action for disposal of each PJSI asset.</w:t>
      </w:r>
      <w:r w:rsidRPr="003907E9">
        <w:rPr>
          <w:rStyle w:val="FootnoteReference"/>
          <w:rFonts w:cstheme="minorHAnsi"/>
          <w:sz w:val="22"/>
          <w:szCs w:val="22"/>
        </w:rPr>
        <w:footnoteReference w:id="15"/>
      </w:r>
      <w:r w:rsidRPr="003907E9">
        <w:rPr>
          <w:rFonts w:cstheme="minorHAnsi"/>
          <w:sz w:val="22"/>
          <w:szCs w:val="22"/>
        </w:rPr>
        <w:t xml:space="preserve">  </w:t>
      </w:r>
    </w:p>
    <w:p w14:paraId="7D847355" w14:textId="54C3134B" w:rsidR="00EF1885" w:rsidRPr="00E417C5" w:rsidRDefault="00E417C5" w:rsidP="003907E9">
      <w:pPr>
        <w:spacing w:before="120" w:after="120"/>
        <w:rPr>
          <w:rFonts w:cstheme="minorHAnsi"/>
          <w:sz w:val="22"/>
          <w:szCs w:val="22"/>
        </w:rPr>
      </w:pPr>
      <w:r>
        <w:rPr>
          <w:sz w:val="22"/>
          <w:szCs w:val="22"/>
          <w:lang w:val="en-AU"/>
        </w:rPr>
        <w:t xml:space="preserve">On </w:t>
      </w:r>
      <w:r w:rsidR="00EF1885" w:rsidRPr="00E417C5">
        <w:rPr>
          <w:sz w:val="22"/>
          <w:szCs w:val="22"/>
          <w:lang w:val="en-AU"/>
        </w:rPr>
        <w:t>3 December 2021, ACT Logistics</w:t>
      </w:r>
      <w:r w:rsidRPr="00E417C5">
        <w:rPr>
          <w:sz w:val="22"/>
          <w:szCs w:val="22"/>
          <w:lang w:val="en-AU"/>
        </w:rPr>
        <w:t>, at the Court’s request</w:t>
      </w:r>
      <w:r>
        <w:rPr>
          <w:sz w:val="22"/>
          <w:szCs w:val="22"/>
          <w:lang w:val="en-AU"/>
        </w:rPr>
        <w:t>,</w:t>
      </w:r>
      <w:r w:rsidRPr="00E417C5">
        <w:rPr>
          <w:sz w:val="22"/>
          <w:szCs w:val="22"/>
          <w:lang w:val="en-AU"/>
        </w:rPr>
        <w:t xml:space="preserve"> sanitised</w:t>
      </w:r>
      <w:r w:rsidR="00EF1885" w:rsidRPr="00E417C5">
        <w:rPr>
          <w:sz w:val="22"/>
          <w:szCs w:val="22"/>
          <w:lang w:val="en-AU"/>
        </w:rPr>
        <w:t xml:space="preserve"> or </w:t>
      </w:r>
      <w:r w:rsidRPr="00E417C5">
        <w:rPr>
          <w:sz w:val="22"/>
          <w:szCs w:val="22"/>
          <w:lang w:val="en-AU"/>
        </w:rPr>
        <w:t>destroyed</w:t>
      </w:r>
      <w:r w:rsidR="00EF1885" w:rsidRPr="00E417C5">
        <w:rPr>
          <w:sz w:val="22"/>
          <w:szCs w:val="22"/>
          <w:lang w:val="en-AU"/>
        </w:rPr>
        <w:t xml:space="preserve"> all </w:t>
      </w:r>
      <w:r w:rsidRPr="00E417C5">
        <w:rPr>
          <w:sz w:val="22"/>
          <w:szCs w:val="22"/>
          <w:lang w:val="en-AU"/>
        </w:rPr>
        <w:t xml:space="preserve">remaining data held by the Federal Court’s IT department, related to the PJSI. </w:t>
      </w:r>
      <w:r w:rsidR="00EF1885" w:rsidRPr="00E417C5">
        <w:rPr>
          <w:sz w:val="22"/>
          <w:szCs w:val="22"/>
          <w:lang w:val="en-AU"/>
        </w:rPr>
        <w:t>Disposal</w:t>
      </w:r>
      <w:r w:rsidRPr="00E417C5">
        <w:rPr>
          <w:sz w:val="22"/>
          <w:szCs w:val="22"/>
          <w:lang w:val="en-AU"/>
        </w:rPr>
        <w:t xml:space="preserve"> was</w:t>
      </w:r>
      <w:r w:rsidR="00EF1885" w:rsidRPr="00E417C5">
        <w:rPr>
          <w:sz w:val="22"/>
          <w:szCs w:val="22"/>
          <w:lang w:val="en-AU"/>
        </w:rPr>
        <w:t xml:space="preserve"> in accordance with Australian Government Information Security Controls. Media which fail</w:t>
      </w:r>
      <w:r w:rsidRPr="00E417C5">
        <w:rPr>
          <w:sz w:val="22"/>
          <w:szCs w:val="22"/>
          <w:lang w:val="en-AU"/>
        </w:rPr>
        <w:t>ed</w:t>
      </w:r>
      <w:r w:rsidR="00EF1885" w:rsidRPr="00E417C5">
        <w:rPr>
          <w:sz w:val="22"/>
          <w:szCs w:val="22"/>
          <w:lang w:val="en-AU"/>
        </w:rPr>
        <w:t xml:space="preserve"> th</w:t>
      </w:r>
      <w:r w:rsidRPr="00E417C5">
        <w:rPr>
          <w:sz w:val="22"/>
          <w:szCs w:val="22"/>
          <w:lang w:val="en-AU"/>
        </w:rPr>
        <w:t xml:space="preserve">e sanitisation process was removed and </w:t>
      </w:r>
      <w:r w:rsidRPr="000A0C5E">
        <w:rPr>
          <w:sz w:val="22"/>
          <w:szCs w:val="22"/>
          <w:lang w:val="en-AU"/>
        </w:rPr>
        <w:t>destroyed. S</w:t>
      </w:r>
      <w:r w:rsidR="00EF1885" w:rsidRPr="000A0C5E">
        <w:rPr>
          <w:rFonts w:cstheme="minorHAnsi"/>
          <w:sz w:val="22"/>
          <w:szCs w:val="22"/>
        </w:rPr>
        <w:t xml:space="preserve">ee </w:t>
      </w:r>
      <w:r w:rsidR="009455DD" w:rsidRPr="000A0C5E">
        <w:rPr>
          <w:rFonts w:cstheme="minorHAnsi"/>
          <w:sz w:val="22"/>
          <w:szCs w:val="22"/>
        </w:rPr>
        <w:t xml:space="preserve">Annex </w:t>
      </w:r>
      <w:r w:rsidR="008459AC">
        <w:rPr>
          <w:rFonts w:cstheme="minorHAnsi"/>
          <w:sz w:val="22"/>
          <w:szCs w:val="22"/>
        </w:rPr>
        <w:t>Twelve</w:t>
      </w:r>
      <w:r w:rsidR="00EF1885" w:rsidRPr="000A0C5E">
        <w:rPr>
          <w:rFonts w:cstheme="minorHAnsi"/>
          <w:sz w:val="22"/>
          <w:szCs w:val="22"/>
        </w:rPr>
        <w:t xml:space="preserve"> for</w:t>
      </w:r>
      <w:r w:rsidR="00EF1885" w:rsidRPr="00E417C5">
        <w:rPr>
          <w:rFonts w:cstheme="minorHAnsi"/>
          <w:sz w:val="22"/>
          <w:szCs w:val="22"/>
        </w:rPr>
        <w:t xml:space="preserve"> a copy of the Asset Disposal </w:t>
      </w:r>
      <w:r w:rsidR="00D65F8B">
        <w:rPr>
          <w:rFonts w:cstheme="minorHAnsi"/>
          <w:sz w:val="22"/>
          <w:szCs w:val="22"/>
        </w:rPr>
        <w:t>R</w:t>
      </w:r>
      <w:r w:rsidR="00EF1885" w:rsidRPr="00E417C5">
        <w:rPr>
          <w:rFonts w:cstheme="minorHAnsi"/>
          <w:sz w:val="22"/>
          <w:szCs w:val="22"/>
        </w:rPr>
        <w:t>eport.</w:t>
      </w:r>
    </w:p>
    <w:p w14:paraId="170381AB" w14:textId="04ADB17F" w:rsidR="00B86465" w:rsidRPr="00B745F2" w:rsidRDefault="00C86B30" w:rsidP="00431A7E">
      <w:pPr>
        <w:pStyle w:val="HBHeading1"/>
        <w:spacing w:before="0"/>
        <w:rPr>
          <w:rFonts w:cstheme="minorHAnsi"/>
          <w:sz w:val="22"/>
          <w:szCs w:val="22"/>
        </w:rPr>
      </w:pPr>
      <w:r w:rsidRPr="00B745F2">
        <w:rPr>
          <w:rFonts w:cstheme="minorHAnsi"/>
          <w:sz w:val="22"/>
          <w:szCs w:val="22"/>
        </w:rPr>
        <w:br w:type="page"/>
      </w:r>
      <w:bookmarkStart w:id="25" w:name="_Toc77423615"/>
      <w:bookmarkStart w:id="26" w:name="_Toc77423619"/>
      <w:r w:rsidR="00B86465" w:rsidRPr="00431A7E">
        <w:rPr>
          <w:color w:val="00323E" w:themeColor="accent1" w:themeShade="80"/>
          <w:lang w:val="en-AU"/>
        </w:rPr>
        <w:lastRenderedPageBreak/>
        <w:t>Future Directions</w:t>
      </w:r>
      <w:bookmarkEnd w:id="25"/>
    </w:p>
    <w:p w14:paraId="7C923889" w14:textId="77777777" w:rsidR="00B86465" w:rsidRPr="00F34A39" w:rsidRDefault="00B86465" w:rsidP="00B86465">
      <w:pPr>
        <w:spacing w:before="120" w:after="120"/>
        <w:rPr>
          <w:sz w:val="22"/>
          <w:szCs w:val="22"/>
          <w:lang w:val="en-AU"/>
        </w:rPr>
      </w:pPr>
      <w:r w:rsidRPr="00F34A39">
        <w:rPr>
          <w:sz w:val="22"/>
          <w:szCs w:val="22"/>
          <w:lang w:val="en-AU"/>
        </w:rPr>
        <w:t>MFAT’s 2020 independent evaluation of its justice sector programming found that this assistance has been effective in supporting formal justice sectors and is still necessary.</w:t>
      </w:r>
    </w:p>
    <w:p w14:paraId="108FE18C" w14:textId="6029D27A" w:rsidR="00B86465" w:rsidRPr="00F34A39" w:rsidRDefault="00423B8F" w:rsidP="00B86465">
      <w:pPr>
        <w:spacing w:before="120" w:after="120"/>
        <w:rPr>
          <w:sz w:val="22"/>
          <w:szCs w:val="22"/>
          <w:lang w:val="en-AU"/>
        </w:rPr>
      </w:pPr>
      <w:r w:rsidRPr="00F34A39">
        <w:rPr>
          <w:rFonts w:cstheme="minorHAnsi"/>
          <w:noProof/>
          <w:sz w:val="22"/>
          <w:szCs w:val="22"/>
          <w:lang w:val="en-AU"/>
        </w:rPr>
        <w:drawing>
          <wp:anchor distT="0" distB="0" distL="114300" distR="114300" simplePos="0" relativeHeight="251636224" behindDoc="1" locked="0" layoutInCell="1" allowOverlap="1" wp14:anchorId="6FDE1A41" wp14:editId="0FFB5742">
            <wp:simplePos x="0" y="0"/>
            <wp:positionH relativeFrom="margin">
              <wp:align>right</wp:align>
            </wp:positionH>
            <wp:positionV relativeFrom="paragraph">
              <wp:posOffset>687070</wp:posOffset>
            </wp:positionV>
            <wp:extent cx="5817600" cy="720000"/>
            <wp:effectExtent l="0" t="0" r="12065" b="4445"/>
            <wp:wrapSquare wrapText="bothSides"/>
            <wp:docPr id="3368" name="Diagram 33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14:sizeRelH relativeFrom="margin">
              <wp14:pctWidth>0</wp14:pctWidth>
            </wp14:sizeRelH>
            <wp14:sizeRelV relativeFrom="margin">
              <wp14:pctHeight>0</wp14:pctHeight>
            </wp14:sizeRelV>
          </wp:anchor>
        </w:drawing>
      </w:r>
      <w:r w:rsidR="00B86465" w:rsidRPr="00F34A39">
        <w:rPr>
          <w:sz w:val="22"/>
          <w:szCs w:val="22"/>
          <w:lang w:val="en-AU"/>
        </w:rPr>
        <w:t>Not only are there areas requiring ongoing attention in order to maintain and continue improving the status quo, but there are areas that can be expanded both into additional Partner Courts and in substance.</w:t>
      </w:r>
    </w:p>
    <w:p w14:paraId="12B3EC16" w14:textId="77777777" w:rsidR="00B86465" w:rsidRDefault="00B86465" w:rsidP="00B86465">
      <w:pPr>
        <w:spacing w:before="120" w:after="120"/>
        <w:rPr>
          <w:sz w:val="22"/>
          <w:szCs w:val="22"/>
          <w:lang w:val="en-AU"/>
        </w:rPr>
      </w:pPr>
      <w:r w:rsidRPr="00F34A39">
        <w:rPr>
          <w:sz w:val="22"/>
          <w:szCs w:val="22"/>
          <w:lang w:val="en-AU"/>
        </w:rPr>
        <w:t>Ongoing support to bring the region’s judicial leaders together to promote ongoing collegiality and direction for future programming. It is also a critical enabler to reinforce judicial independence, as well as to share challenges to justice and adaptable solutions.</w:t>
      </w:r>
      <w:r>
        <w:rPr>
          <w:sz w:val="22"/>
          <w:szCs w:val="22"/>
          <w:lang w:val="en-AU"/>
        </w:rPr>
        <w:t xml:space="preserve"> It will continue to be important to consider carefully the appropriate balances between activities that are conducted in-person and remotely, as well as locally and regionally. Critical considerations include the need to: </w:t>
      </w:r>
    </w:p>
    <w:p w14:paraId="1B74B7E0" w14:textId="77777777" w:rsidR="00B86465" w:rsidRPr="00E66C32" w:rsidRDefault="00B86465" w:rsidP="008C15D6">
      <w:pPr>
        <w:pStyle w:val="ListParagraph"/>
        <w:numPr>
          <w:ilvl w:val="0"/>
          <w:numId w:val="9"/>
        </w:numPr>
        <w:spacing w:before="120" w:after="120"/>
        <w:rPr>
          <w:szCs w:val="22"/>
          <w:lang w:val="en-AU"/>
        </w:rPr>
      </w:pPr>
      <w:r>
        <w:rPr>
          <w:szCs w:val="22"/>
          <w:lang w:val="en-AU"/>
        </w:rPr>
        <w:t xml:space="preserve">Consider the strength and depth of </w:t>
      </w:r>
      <w:r w:rsidRPr="008A4348">
        <w:rPr>
          <w:szCs w:val="22"/>
          <w:lang w:val="en-AU"/>
        </w:rPr>
        <w:t>relations between individuals in order to</w:t>
      </w:r>
      <w:r>
        <w:rPr>
          <w:szCs w:val="22"/>
          <w:lang w:val="en-AU"/>
        </w:rPr>
        <w:t xml:space="preserve"> ensure that the activity modality </w:t>
      </w:r>
      <w:r w:rsidRPr="00E66C32">
        <w:rPr>
          <w:szCs w:val="22"/>
          <w:lang w:val="en-AU"/>
        </w:rPr>
        <w:t>promotes and sustains engagement and satisfaction among counterparts/participants; and programmatic understanding of local context and progress</w:t>
      </w:r>
    </w:p>
    <w:p w14:paraId="67BEC279" w14:textId="77777777" w:rsidR="00B86465" w:rsidRDefault="00B86465" w:rsidP="008C15D6">
      <w:pPr>
        <w:pStyle w:val="ListParagraph"/>
        <w:numPr>
          <w:ilvl w:val="0"/>
          <w:numId w:val="9"/>
        </w:numPr>
        <w:spacing w:before="120" w:after="120"/>
        <w:rPr>
          <w:szCs w:val="22"/>
          <w:lang w:val="en-AU"/>
        </w:rPr>
      </w:pPr>
      <w:r>
        <w:rPr>
          <w:szCs w:val="22"/>
          <w:lang w:val="en-AU"/>
        </w:rPr>
        <w:t>Enable regional collegiality and sharing</w:t>
      </w:r>
    </w:p>
    <w:p w14:paraId="1C377B58" w14:textId="77777777" w:rsidR="00B86465" w:rsidRDefault="00B86465" w:rsidP="008C15D6">
      <w:pPr>
        <w:pStyle w:val="ListParagraph"/>
        <w:numPr>
          <w:ilvl w:val="0"/>
          <w:numId w:val="9"/>
        </w:numPr>
        <w:spacing w:before="120" w:after="120"/>
        <w:rPr>
          <w:szCs w:val="22"/>
          <w:lang w:val="en-AU"/>
        </w:rPr>
      </w:pPr>
      <w:r>
        <w:rPr>
          <w:szCs w:val="22"/>
          <w:lang w:val="en-AU"/>
        </w:rPr>
        <w:t xml:space="preserve">Ensure local needs are addressed </w:t>
      </w:r>
    </w:p>
    <w:p w14:paraId="17839B37" w14:textId="77777777" w:rsidR="00B86465" w:rsidRPr="00E66C32" w:rsidRDefault="00B86465" w:rsidP="008C15D6">
      <w:pPr>
        <w:pStyle w:val="ListParagraph"/>
        <w:numPr>
          <w:ilvl w:val="0"/>
          <w:numId w:val="9"/>
        </w:numPr>
        <w:spacing w:before="120" w:after="120"/>
        <w:rPr>
          <w:szCs w:val="22"/>
          <w:lang w:val="en-AU"/>
        </w:rPr>
      </w:pPr>
      <w:r>
        <w:rPr>
          <w:szCs w:val="22"/>
          <w:lang w:val="en-AU"/>
        </w:rPr>
        <w:t>Maintain adequately high levels of learning and confidence gain to produce behavioural change</w:t>
      </w:r>
    </w:p>
    <w:p w14:paraId="2EE641F5" w14:textId="77777777" w:rsidR="00B86465" w:rsidRDefault="00B86465" w:rsidP="008C15D6">
      <w:pPr>
        <w:pStyle w:val="ListParagraph"/>
        <w:numPr>
          <w:ilvl w:val="0"/>
          <w:numId w:val="9"/>
        </w:numPr>
        <w:spacing w:before="120" w:after="120"/>
        <w:rPr>
          <w:szCs w:val="22"/>
          <w:lang w:val="en-AU"/>
        </w:rPr>
      </w:pPr>
      <w:r>
        <w:rPr>
          <w:szCs w:val="22"/>
          <w:lang w:val="en-AU"/>
        </w:rPr>
        <w:t>Acknowledge and understand the current operating context in individual Partner Courts</w:t>
      </w:r>
    </w:p>
    <w:p w14:paraId="527D1797" w14:textId="7568A3E5" w:rsidR="00B86465" w:rsidRPr="00E66C32" w:rsidRDefault="00592025" w:rsidP="008C15D6">
      <w:pPr>
        <w:pStyle w:val="ListParagraph"/>
        <w:numPr>
          <w:ilvl w:val="0"/>
          <w:numId w:val="9"/>
        </w:numPr>
        <w:spacing w:before="120" w:after="120"/>
        <w:rPr>
          <w:szCs w:val="22"/>
          <w:lang w:val="en-AU"/>
        </w:rPr>
      </w:pPr>
      <w:r>
        <w:rPr>
          <w:szCs w:val="22"/>
          <w:lang w:val="en-AU"/>
        </w:rPr>
        <w:t>C</w:t>
      </w:r>
      <w:r w:rsidR="00B86465">
        <w:rPr>
          <w:szCs w:val="22"/>
          <w:lang w:val="en-AU"/>
        </w:rPr>
        <w:t>onsider the needs, objectives, types and exigencies of each activity/project</w:t>
      </w:r>
      <w:r>
        <w:rPr>
          <w:szCs w:val="22"/>
          <w:lang w:val="en-AU"/>
        </w:rPr>
        <w:t>.</w:t>
      </w:r>
    </w:p>
    <w:p w14:paraId="0C5EC774" w14:textId="644EE4CF" w:rsidR="00B86465" w:rsidRPr="00F34A39" w:rsidRDefault="00B86465" w:rsidP="00B86465">
      <w:pPr>
        <w:spacing w:before="120" w:after="120"/>
        <w:rPr>
          <w:sz w:val="22"/>
          <w:szCs w:val="22"/>
          <w:lang w:val="en-AU"/>
        </w:rPr>
      </w:pPr>
      <w:r w:rsidRPr="00F34A39">
        <w:rPr>
          <w:rFonts w:cstheme="minorHAnsi"/>
          <w:noProof/>
          <w:sz w:val="22"/>
          <w:szCs w:val="22"/>
          <w:lang w:val="en-AU"/>
        </w:rPr>
        <w:drawing>
          <wp:anchor distT="0" distB="0" distL="114300" distR="114300" simplePos="0" relativeHeight="251637248" behindDoc="1" locked="0" layoutInCell="1" allowOverlap="1" wp14:anchorId="026E0C2A" wp14:editId="384F2950">
            <wp:simplePos x="0" y="0"/>
            <wp:positionH relativeFrom="margin">
              <wp:align>left</wp:align>
            </wp:positionH>
            <wp:positionV relativeFrom="paragraph">
              <wp:posOffset>6985</wp:posOffset>
            </wp:positionV>
            <wp:extent cx="5817600" cy="720000"/>
            <wp:effectExtent l="0" t="0" r="12065" b="4445"/>
            <wp:wrapSquare wrapText="bothSides"/>
            <wp:docPr id="3370" name="Diagram 33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14:sizeRelH relativeFrom="margin">
              <wp14:pctWidth>0</wp14:pctWidth>
            </wp14:sizeRelH>
            <wp14:sizeRelV relativeFrom="margin">
              <wp14:pctHeight>0</wp14:pctHeight>
            </wp14:sizeRelV>
          </wp:anchor>
        </w:drawing>
      </w:r>
      <w:r w:rsidR="00D82C96">
        <w:rPr>
          <w:sz w:val="22"/>
          <w:szCs w:val="22"/>
          <w:lang w:val="en-AU"/>
        </w:rPr>
        <w:t>P</w:t>
      </w:r>
      <w:r w:rsidRPr="00F34A39">
        <w:rPr>
          <w:sz w:val="22"/>
          <w:szCs w:val="22"/>
          <w:lang w:val="en-AU"/>
        </w:rPr>
        <w:t xml:space="preserve">artner Courts actively engaged in community consultation should be supported and encouraged to continue to deliver their Access to Justice Plans.  The needs of marginalised and vulnerable court users, identified during these outreach activities, should be supported to access the services they require in addition to formal courts, including legal aid. The infrastructure for legal aid must be built across the region as proposed by PJSIs situational analysis and recommendations adopted by regional stakeholders. </w:t>
      </w:r>
    </w:p>
    <w:p w14:paraId="3A602E56" w14:textId="02E813CB" w:rsidR="00B86465" w:rsidRPr="00F34A39" w:rsidRDefault="00B86465" w:rsidP="00B86465">
      <w:pPr>
        <w:spacing w:before="120" w:after="120"/>
        <w:rPr>
          <w:sz w:val="22"/>
          <w:szCs w:val="22"/>
          <w:lang w:val="en-AU"/>
        </w:rPr>
      </w:pPr>
      <w:r w:rsidRPr="00F34A39">
        <w:rPr>
          <w:rFonts w:cstheme="minorHAnsi"/>
          <w:noProof/>
          <w:sz w:val="22"/>
          <w:szCs w:val="22"/>
          <w:lang w:val="en-AU"/>
        </w:rPr>
        <w:drawing>
          <wp:anchor distT="0" distB="0" distL="114300" distR="114300" simplePos="0" relativeHeight="251638272" behindDoc="1" locked="0" layoutInCell="1" allowOverlap="1" wp14:anchorId="5C65E2B9" wp14:editId="4FF0AD97">
            <wp:simplePos x="0" y="0"/>
            <wp:positionH relativeFrom="margin">
              <wp:align>left</wp:align>
            </wp:positionH>
            <wp:positionV relativeFrom="paragraph">
              <wp:posOffset>6985</wp:posOffset>
            </wp:positionV>
            <wp:extent cx="5817600" cy="720000"/>
            <wp:effectExtent l="0" t="0" r="12065" b="4445"/>
            <wp:wrapSquare wrapText="bothSides"/>
            <wp:docPr id="3371" name="Diagram 33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14:sizeRelH relativeFrom="margin">
              <wp14:pctWidth>0</wp14:pctWidth>
            </wp14:sizeRelH>
            <wp14:sizeRelV relativeFrom="margin">
              <wp14:pctHeight>0</wp14:pctHeight>
            </wp14:sizeRelV>
          </wp:anchor>
        </w:drawing>
      </w:r>
      <w:r>
        <w:rPr>
          <w:sz w:val="22"/>
          <w:szCs w:val="22"/>
          <w:lang w:val="en-AU"/>
        </w:rPr>
        <w:t xml:space="preserve">It would be beneficial to the region if continued support were provided to </w:t>
      </w:r>
      <w:r w:rsidRPr="00F34A39">
        <w:rPr>
          <w:sz w:val="22"/>
          <w:szCs w:val="22"/>
          <w:lang w:val="en-AU"/>
        </w:rPr>
        <w:t xml:space="preserve">PNGCJE </w:t>
      </w:r>
      <w:r>
        <w:rPr>
          <w:sz w:val="22"/>
          <w:szCs w:val="22"/>
          <w:lang w:val="en-AU"/>
        </w:rPr>
        <w:t xml:space="preserve">enabling </w:t>
      </w:r>
      <w:r w:rsidR="00592025">
        <w:rPr>
          <w:sz w:val="22"/>
          <w:szCs w:val="22"/>
          <w:lang w:val="en-AU"/>
        </w:rPr>
        <w:t xml:space="preserve">it </w:t>
      </w:r>
      <w:r w:rsidR="00592025" w:rsidRPr="00F34A39">
        <w:rPr>
          <w:sz w:val="22"/>
          <w:szCs w:val="22"/>
          <w:lang w:val="en-AU"/>
        </w:rPr>
        <w:t>to</w:t>
      </w:r>
      <w:r w:rsidRPr="00F34A39">
        <w:rPr>
          <w:sz w:val="22"/>
          <w:szCs w:val="22"/>
          <w:lang w:val="en-AU"/>
        </w:rPr>
        <w:t xml:space="preserve"> deliver an expanding range of professional development training to judicial and court officers in the region.  The financial sustainability of both the PNGCJE and USP Certificate and Diploma of Justice courses must also be resolved. Partner Courts should focus training efforts into judicial and court officers in lower courts.</w:t>
      </w:r>
    </w:p>
    <w:p w14:paraId="4EFA994C" w14:textId="4EF30F35" w:rsidR="00B86465" w:rsidRPr="00F34A39" w:rsidRDefault="00B86465" w:rsidP="00B86465">
      <w:pPr>
        <w:spacing w:before="120" w:after="120"/>
        <w:rPr>
          <w:sz w:val="22"/>
          <w:szCs w:val="22"/>
          <w:lang w:val="en-AU"/>
        </w:rPr>
      </w:pPr>
      <w:r w:rsidRPr="00F34A39">
        <w:rPr>
          <w:rFonts w:cstheme="minorHAnsi"/>
          <w:noProof/>
          <w:sz w:val="22"/>
          <w:szCs w:val="22"/>
          <w:lang w:val="en-AU"/>
        </w:rPr>
        <w:lastRenderedPageBreak/>
        <w:drawing>
          <wp:anchor distT="0" distB="0" distL="114300" distR="114300" simplePos="0" relativeHeight="251639296" behindDoc="1" locked="0" layoutInCell="1" allowOverlap="1" wp14:anchorId="6167EC2B" wp14:editId="5F40574A">
            <wp:simplePos x="0" y="0"/>
            <wp:positionH relativeFrom="margin">
              <wp:align>left</wp:align>
            </wp:positionH>
            <wp:positionV relativeFrom="paragraph">
              <wp:posOffset>4445</wp:posOffset>
            </wp:positionV>
            <wp:extent cx="5817600" cy="720000"/>
            <wp:effectExtent l="0" t="0" r="12065" b="4445"/>
            <wp:wrapSquare wrapText="bothSides"/>
            <wp:docPr id="3372" name="Diagram 33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14:sizeRelH relativeFrom="margin">
              <wp14:pctWidth>0</wp14:pctWidth>
            </wp14:sizeRelH>
            <wp14:sizeRelV relativeFrom="margin">
              <wp14:pctHeight>0</wp14:pctHeight>
            </wp14:sizeRelV>
          </wp:anchor>
        </w:drawing>
      </w:r>
      <w:r w:rsidRPr="00F34A39">
        <w:rPr>
          <w:sz w:val="22"/>
          <w:szCs w:val="22"/>
          <w:lang w:val="en-AU"/>
        </w:rPr>
        <w:t xml:space="preserve">While Partner Courts have instituted a significant number of changes to better respond to the needs of marginalised and vulnerable groups, particularly those suffering GFV or human rights abuses, attitudinal change is </w:t>
      </w:r>
      <w:r>
        <w:rPr>
          <w:sz w:val="22"/>
          <w:szCs w:val="22"/>
          <w:lang w:val="en-AU"/>
        </w:rPr>
        <w:t xml:space="preserve">nascent </w:t>
      </w:r>
      <w:r w:rsidRPr="00F34A39">
        <w:rPr>
          <w:sz w:val="22"/>
          <w:szCs w:val="22"/>
          <w:lang w:val="en-AU"/>
        </w:rPr>
        <w:t>and must be continually fostered and expanded among other judicial and court officers in other Partner Courts.</w:t>
      </w:r>
    </w:p>
    <w:p w14:paraId="5E1BE99D" w14:textId="2C866BCA" w:rsidR="00B86465" w:rsidRDefault="00B86465" w:rsidP="00B86465">
      <w:pPr>
        <w:spacing w:before="120" w:after="120"/>
        <w:rPr>
          <w:sz w:val="22"/>
          <w:szCs w:val="22"/>
          <w:lang w:val="en-AU"/>
        </w:rPr>
      </w:pPr>
      <w:r w:rsidRPr="00F34A39">
        <w:rPr>
          <w:rFonts w:cstheme="minorHAnsi"/>
          <w:noProof/>
          <w:sz w:val="22"/>
          <w:szCs w:val="22"/>
          <w:lang w:val="en-AU"/>
        </w:rPr>
        <w:drawing>
          <wp:anchor distT="0" distB="0" distL="114300" distR="114300" simplePos="0" relativeHeight="251640320" behindDoc="1" locked="0" layoutInCell="1" allowOverlap="1" wp14:anchorId="15E34DDF" wp14:editId="42619F21">
            <wp:simplePos x="0" y="0"/>
            <wp:positionH relativeFrom="margin">
              <wp:align>left</wp:align>
            </wp:positionH>
            <wp:positionV relativeFrom="paragraph">
              <wp:posOffset>12065</wp:posOffset>
            </wp:positionV>
            <wp:extent cx="5817600" cy="720000"/>
            <wp:effectExtent l="0" t="0" r="12065" b="4445"/>
            <wp:wrapSquare wrapText="bothSides"/>
            <wp:docPr id="3378" name="Diagram 33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14:sizeRelH relativeFrom="margin">
              <wp14:pctWidth>0</wp14:pctWidth>
            </wp14:sizeRelH>
            <wp14:sizeRelV relativeFrom="margin">
              <wp14:pctHeight>0</wp14:pctHeight>
            </wp14:sizeRelV>
          </wp:anchor>
        </w:drawing>
      </w:r>
      <w:r w:rsidRPr="00F34A39">
        <w:rPr>
          <w:sz w:val="22"/>
          <w:szCs w:val="22"/>
          <w:lang w:val="en-AU"/>
        </w:rPr>
        <w:t xml:space="preserve">Several courts have made impressive gains in </w:t>
      </w:r>
      <w:r w:rsidR="00CA3567">
        <w:rPr>
          <w:sz w:val="22"/>
          <w:szCs w:val="22"/>
          <w:lang w:val="en-AU"/>
        </w:rPr>
        <w:t xml:space="preserve">efficiency, timeliness, delay reduction, </w:t>
      </w:r>
      <w:r w:rsidRPr="00F34A39">
        <w:rPr>
          <w:sz w:val="22"/>
          <w:szCs w:val="22"/>
          <w:lang w:val="en-AU"/>
        </w:rPr>
        <w:t xml:space="preserve">performance and transparency over several years, others continue to struggle to </w:t>
      </w:r>
      <w:r w:rsidR="00CA3567">
        <w:rPr>
          <w:sz w:val="22"/>
          <w:szCs w:val="22"/>
          <w:lang w:val="en-AU"/>
        </w:rPr>
        <w:t xml:space="preserve">identify and address delay; </w:t>
      </w:r>
      <w:r w:rsidRPr="00F34A39">
        <w:rPr>
          <w:sz w:val="22"/>
          <w:szCs w:val="22"/>
          <w:lang w:val="en-AU"/>
        </w:rPr>
        <w:t xml:space="preserve">manage their caseload; and/or collect, analyse, and effectively use case-related data. This insight is of itself transformational in that it was not previously available, and judicial leaders could not understand and reliably isolate problems to address. </w:t>
      </w:r>
      <w:r w:rsidRPr="00F34A39">
        <w:rPr>
          <w:lang w:val="en-AU"/>
        </w:rPr>
        <w:t>The availability of reliable data, and the ability to analyse this data,</w:t>
      </w:r>
      <w:r w:rsidRPr="00F34A39" w:rsidDel="000851E2">
        <w:rPr>
          <w:sz w:val="22"/>
          <w:szCs w:val="22"/>
          <w:lang w:val="en-AU"/>
        </w:rPr>
        <w:t xml:space="preserve"> </w:t>
      </w:r>
      <w:r w:rsidRPr="00F34A39">
        <w:rPr>
          <w:sz w:val="22"/>
          <w:szCs w:val="22"/>
          <w:lang w:val="en-AU"/>
        </w:rPr>
        <w:t>has informed judicial leaders about the nature, scope and magnitude of the priorities they need to address. The performance trend data provides a clear roadmap for future programming and objectives with specific Partner Courts.</w:t>
      </w:r>
    </w:p>
    <w:p w14:paraId="7BE49137" w14:textId="77777777" w:rsidR="00BC1A90" w:rsidRPr="00D82C96" w:rsidRDefault="00BC1A90" w:rsidP="00B86465">
      <w:pPr>
        <w:spacing w:before="120" w:after="120"/>
        <w:rPr>
          <w:sz w:val="4"/>
          <w:szCs w:val="22"/>
          <w:lang w:val="en-AU"/>
        </w:rPr>
      </w:pPr>
    </w:p>
    <w:p w14:paraId="5F696EA2" w14:textId="09AC727D" w:rsidR="008D4313" w:rsidRPr="00F34A39" w:rsidRDefault="008D4313" w:rsidP="00BC1A90">
      <w:pPr>
        <w:pStyle w:val="HBHeading1"/>
        <w:spacing w:before="0"/>
        <w:rPr>
          <w:color w:val="00323E" w:themeColor="accent1" w:themeShade="80"/>
          <w:lang w:val="en-AU"/>
        </w:rPr>
      </w:pPr>
      <w:bookmarkStart w:id="27" w:name="_Toc90564313"/>
      <w:r w:rsidRPr="00F34A39">
        <w:rPr>
          <w:color w:val="00323E" w:themeColor="accent1" w:themeShade="80"/>
          <w:lang w:val="en-AU"/>
        </w:rPr>
        <w:t>Conclusion</w:t>
      </w:r>
      <w:bookmarkEnd w:id="22"/>
      <w:bookmarkEnd w:id="26"/>
      <w:bookmarkEnd w:id="27"/>
    </w:p>
    <w:p w14:paraId="2F2AF61F" w14:textId="4ADD4D39" w:rsidR="003725FD" w:rsidRDefault="003725FD" w:rsidP="00BC1A90">
      <w:pPr>
        <w:spacing w:after="120"/>
        <w:rPr>
          <w:sz w:val="22"/>
          <w:szCs w:val="22"/>
          <w:lang w:val="en-AU"/>
        </w:rPr>
      </w:pPr>
      <w:r>
        <w:rPr>
          <w:sz w:val="22"/>
          <w:szCs w:val="22"/>
          <w:lang w:val="en-AU"/>
        </w:rPr>
        <w:t xml:space="preserve">Under </w:t>
      </w:r>
      <w:r w:rsidR="00B86465">
        <w:rPr>
          <w:sz w:val="22"/>
          <w:szCs w:val="22"/>
          <w:lang w:val="en-AU"/>
        </w:rPr>
        <w:t>MFATs</w:t>
      </w:r>
      <w:r>
        <w:rPr>
          <w:sz w:val="22"/>
          <w:szCs w:val="22"/>
          <w:lang w:val="en-AU"/>
        </w:rPr>
        <w:t xml:space="preserve"> </w:t>
      </w:r>
      <w:r w:rsidR="00300BF4">
        <w:rPr>
          <w:sz w:val="22"/>
          <w:szCs w:val="22"/>
          <w:lang w:val="en-AU"/>
        </w:rPr>
        <w:t xml:space="preserve">continuous </w:t>
      </w:r>
      <w:r>
        <w:rPr>
          <w:sz w:val="22"/>
          <w:szCs w:val="22"/>
          <w:lang w:val="en-AU"/>
        </w:rPr>
        <w:t>stewardshi</w:t>
      </w:r>
      <w:r w:rsidR="00B86465">
        <w:rPr>
          <w:sz w:val="22"/>
          <w:szCs w:val="22"/>
          <w:lang w:val="en-AU"/>
        </w:rPr>
        <w:t>p</w:t>
      </w:r>
      <w:r w:rsidR="00325BD9">
        <w:rPr>
          <w:sz w:val="22"/>
          <w:szCs w:val="22"/>
          <w:lang w:val="en-AU"/>
        </w:rPr>
        <w:t>, PJSI</w:t>
      </w:r>
      <w:r>
        <w:rPr>
          <w:sz w:val="22"/>
          <w:szCs w:val="22"/>
          <w:lang w:val="en-AU"/>
        </w:rPr>
        <w:t xml:space="preserve"> has stood on the shoulders of</w:t>
      </w:r>
      <w:r w:rsidR="00325BD9">
        <w:rPr>
          <w:sz w:val="22"/>
          <w:szCs w:val="22"/>
          <w:lang w:val="en-AU"/>
        </w:rPr>
        <w:t xml:space="preserve"> its predecessor PJDP </w:t>
      </w:r>
      <w:r>
        <w:rPr>
          <w:sz w:val="22"/>
          <w:szCs w:val="22"/>
          <w:lang w:val="en-AU"/>
        </w:rPr>
        <w:t xml:space="preserve">to consolidate and extend the developmental results of earlier support to the courts of law across the Pacific region. </w:t>
      </w:r>
      <w:r w:rsidR="00554978">
        <w:rPr>
          <w:sz w:val="22"/>
          <w:szCs w:val="22"/>
          <w:lang w:val="en-AU"/>
        </w:rPr>
        <w:t>T</w:t>
      </w:r>
      <w:r>
        <w:rPr>
          <w:sz w:val="22"/>
          <w:szCs w:val="22"/>
          <w:lang w:val="en-AU"/>
        </w:rPr>
        <w:t xml:space="preserve">hose results measurably built the capacity of </w:t>
      </w:r>
      <w:r w:rsidR="00B86465">
        <w:rPr>
          <w:sz w:val="22"/>
          <w:szCs w:val="22"/>
          <w:lang w:val="en-AU"/>
        </w:rPr>
        <w:t>Partner C</w:t>
      </w:r>
      <w:r>
        <w:rPr>
          <w:sz w:val="22"/>
          <w:szCs w:val="22"/>
          <w:lang w:val="en-AU"/>
        </w:rPr>
        <w:t xml:space="preserve">ourts to administer justice to the peoples of the Pacific </w:t>
      </w:r>
      <w:r w:rsidR="009E6264">
        <w:rPr>
          <w:sz w:val="22"/>
          <w:szCs w:val="22"/>
          <w:lang w:val="en-AU"/>
        </w:rPr>
        <w:t>and</w:t>
      </w:r>
      <w:r>
        <w:rPr>
          <w:sz w:val="22"/>
          <w:szCs w:val="22"/>
          <w:lang w:val="en-AU"/>
        </w:rPr>
        <w:t xml:space="preserve">, more significantly, those results </w:t>
      </w:r>
      <w:r w:rsidR="009E6264">
        <w:rPr>
          <w:sz w:val="22"/>
          <w:szCs w:val="22"/>
          <w:lang w:val="en-AU"/>
        </w:rPr>
        <w:t xml:space="preserve">have </w:t>
      </w:r>
      <w:r>
        <w:rPr>
          <w:sz w:val="22"/>
          <w:szCs w:val="22"/>
          <w:lang w:val="en-AU"/>
        </w:rPr>
        <w:t>enhanced public confidence and trust in the effectiveness of the courts and the quality of justice they administer</w:t>
      </w:r>
      <w:r>
        <w:rPr>
          <w:rStyle w:val="FootnoteReference"/>
          <w:sz w:val="22"/>
          <w:szCs w:val="22"/>
          <w:lang w:val="en-AU"/>
        </w:rPr>
        <w:footnoteReference w:id="16"/>
      </w:r>
      <w:r>
        <w:rPr>
          <w:sz w:val="22"/>
          <w:szCs w:val="22"/>
          <w:lang w:val="en-AU"/>
        </w:rPr>
        <w:t>. During the current term of PJSI these significant outcomes have been extended further as detailed in this report.</w:t>
      </w:r>
    </w:p>
    <w:p w14:paraId="5157DCCF" w14:textId="5BEDEF99" w:rsidR="008D4313" w:rsidRPr="00F13020" w:rsidRDefault="003725FD" w:rsidP="00F13020">
      <w:pPr>
        <w:spacing w:before="120" w:after="120"/>
        <w:rPr>
          <w:sz w:val="22"/>
          <w:szCs w:val="22"/>
          <w:lang w:val="en-AU"/>
        </w:rPr>
      </w:pPr>
      <w:r>
        <w:rPr>
          <w:sz w:val="22"/>
          <w:szCs w:val="22"/>
          <w:lang w:val="en-AU"/>
        </w:rPr>
        <w:t xml:space="preserve">Building fairer societies by supporting the courts to administer justice better is an essential public good. </w:t>
      </w:r>
      <w:r w:rsidR="009E6264">
        <w:rPr>
          <w:sz w:val="22"/>
          <w:szCs w:val="22"/>
          <w:lang w:val="en-AU"/>
        </w:rPr>
        <w:t>It</w:t>
      </w:r>
      <w:r>
        <w:rPr>
          <w:sz w:val="22"/>
          <w:szCs w:val="22"/>
          <w:lang w:val="en-AU"/>
        </w:rPr>
        <w:t xml:space="preserve"> is </w:t>
      </w:r>
      <w:r w:rsidR="009E6264">
        <w:rPr>
          <w:sz w:val="22"/>
          <w:szCs w:val="22"/>
          <w:lang w:val="en-AU"/>
        </w:rPr>
        <w:t xml:space="preserve">also </w:t>
      </w:r>
      <w:r>
        <w:rPr>
          <w:sz w:val="22"/>
          <w:szCs w:val="22"/>
          <w:lang w:val="en-AU"/>
        </w:rPr>
        <w:t xml:space="preserve">an incremental and continuous journey. The Federal Court of Australia and its team of development professionals has been </w:t>
      </w:r>
      <w:r w:rsidR="009E6264">
        <w:rPr>
          <w:sz w:val="22"/>
          <w:szCs w:val="22"/>
          <w:lang w:val="en-AU"/>
        </w:rPr>
        <w:t xml:space="preserve">deeply </w:t>
      </w:r>
      <w:r>
        <w:rPr>
          <w:sz w:val="22"/>
          <w:szCs w:val="22"/>
          <w:lang w:val="en-AU"/>
        </w:rPr>
        <w:t xml:space="preserve">privileged and </w:t>
      </w:r>
      <w:r w:rsidR="009E6264">
        <w:rPr>
          <w:sz w:val="22"/>
          <w:szCs w:val="22"/>
          <w:lang w:val="en-AU"/>
        </w:rPr>
        <w:t xml:space="preserve">immensely </w:t>
      </w:r>
      <w:r>
        <w:rPr>
          <w:sz w:val="22"/>
          <w:szCs w:val="22"/>
          <w:lang w:val="en-AU"/>
        </w:rPr>
        <w:t xml:space="preserve">proud to collaborate with MFAT and the courts across the region in contributing to </w:t>
      </w:r>
      <w:r w:rsidR="009E6264">
        <w:rPr>
          <w:sz w:val="22"/>
          <w:szCs w:val="22"/>
          <w:lang w:val="en-AU"/>
        </w:rPr>
        <w:t>building fairer societies across the Pacific</w:t>
      </w:r>
      <w:r w:rsidR="00F13020">
        <w:rPr>
          <w:sz w:val="22"/>
          <w:szCs w:val="22"/>
          <w:lang w:val="en-AU"/>
        </w:rPr>
        <w:t>.</w:t>
      </w:r>
    </w:p>
    <w:p w14:paraId="257292B6" w14:textId="4EAFD3E6" w:rsidR="00D82C96" w:rsidRDefault="00C33036" w:rsidP="008D4313">
      <w:pPr>
        <w:rPr>
          <w:noProof/>
          <w:lang w:val="en-AU"/>
        </w:rPr>
      </w:pPr>
      <w:r>
        <w:rPr>
          <w:noProof/>
          <w:lang w:val="en-AU"/>
        </w:rPr>
        <mc:AlternateContent>
          <mc:Choice Requires="wps">
            <w:drawing>
              <wp:anchor distT="0" distB="0" distL="114300" distR="114300" simplePos="0" relativeHeight="251659776" behindDoc="1" locked="0" layoutInCell="1" allowOverlap="1" wp14:anchorId="5F6A573B" wp14:editId="36228862">
                <wp:simplePos x="0" y="0"/>
                <wp:positionH relativeFrom="margin">
                  <wp:posOffset>1069340</wp:posOffset>
                </wp:positionH>
                <wp:positionV relativeFrom="paragraph">
                  <wp:posOffset>1755775</wp:posOffset>
                </wp:positionV>
                <wp:extent cx="3943350" cy="142875"/>
                <wp:effectExtent l="0" t="0" r="0" b="9525"/>
                <wp:wrapTight wrapText="bothSides">
                  <wp:wrapPolygon edited="0">
                    <wp:start x="0" y="0"/>
                    <wp:lineTo x="0" y="20160"/>
                    <wp:lineTo x="21496" y="20160"/>
                    <wp:lineTo x="21496" y="0"/>
                    <wp:lineTo x="0" y="0"/>
                  </wp:wrapPolygon>
                </wp:wrapTight>
                <wp:docPr id="146" name="Text Box 146"/>
                <wp:cNvGraphicFramePr/>
                <a:graphic xmlns:a="http://schemas.openxmlformats.org/drawingml/2006/main">
                  <a:graphicData uri="http://schemas.microsoft.com/office/word/2010/wordprocessingShape">
                    <wps:wsp>
                      <wps:cNvSpPr txBox="1"/>
                      <wps:spPr>
                        <a:xfrm>
                          <a:off x="0" y="0"/>
                          <a:ext cx="3943350" cy="142875"/>
                        </a:xfrm>
                        <a:prstGeom prst="rect">
                          <a:avLst/>
                        </a:prstGeom>
                        <a:noFill/>
                        <a:ln>
                          <a:noFill/>
                        </a:ln>
                      </wps:spPr>
                      <wps:txbx>
                        <w:txbxContent>
                          <w:p w14:paraId="51329BBE" w14:textId="05EA88C2" w:rsidR="00CA4E85" w:rsidRPr="00C33036" w:rsidRDefault="00CA4E85" w:rsidP="00BC1A90">
                            <w:pPr>
                              <w:pStyle w:val="Caption"/>
                              <w:rPr>
                                <w:i w:val="0"/>
                                <w:noProof/>
                                <w:color w:val="auto"/>
                                <w:sz w:val="23"/>
                                <w:szCs w:val="24"/>
                              </w:rPr>
                            </w:pPr>
                            <w:r w:rsidRPr="00C33036">
                              <w:rPr>
                                <w:i w:val="0"/>
                                <w:color w:val="auto"/>
                              </w:rPr>
                              <w:t xml:space="preserve">Figure </w:t>
                            </w:r>
                            <w:r>
                              <w:rPr>
                                <w:i w:val="0"/>
                                <w:color w:val="auto"/>
                              </w:rPr>
                              <w:t>22</w:t>
                            </w:r>
                            <w:r w:rsidRPr="00C33036">
                              <w:rPr>
                                <w:i w:val="0"/>
                                <w:color w:val="auto"/>
                              </w:rPr>
                              <w:t>: Chief Justices Leadership Forum, Palau, April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6A573B" id="Text Box 146" o:spid="_x0000_s1060" type="#_x0000_t202" style="position:absolute;margin-left:84.2pt;margin-top:138.25pt;width:310.5pt;height:11.25pt;z-index:-251656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89sIAIAAEQEAAAOAAAAZHJzL2Uyb0RvYy54bWysU01v2zAMvQ/YfxB0X5yvdp0Rp8haZBhQ&#10;tAWSoWdFlmIDlqhRSuzs14+S43Trdhp2kWmSeiIfHxe3nWnYUaGvwRZ8MhpzpqyEsrb7gn/brj/c&#10;cOaDsKVowKqCn5Tnt8v37xaty9UUKmhKhYxArM9bV/AqBJdnmZeVMsKPwClLQQ1oRKBf3GclipbQ&#10;TZNNx+PrrAUsHYJU3pP3vg/yZcLXWsnwpLVXgTUFp9pCOjGdu3hmy4XI9yhcVctzGeIfqjCitvTo&#10;BepeBMEOWP8BZWqJ4EGHkQSTgda1VKkH6mYyftPNphJOpV6IHO8uNPn/Bysfj8/I6pJmN7/mzApD&#10;Q9qqLrDP0LHoI4Za53NK3DhKDR0FKHvwe3LGxjuNJn6pJUZx4vp04TfCSXLOPs1nsysKSYpN5tOb&#10;j1cRJnu97dCHLwoMi0bBkeaXaBXHBx/61CElPmZhXTdNmmFjf3MQZvRksfS+xGiFbtelZmfzof4d&#10;lCdqC6GXhndyXdPbD8KHZ4GkBSqX9B2e6NANtAWHs8VZBfjjb/6YTyOiKGctaavg/vtBoOKs+Wpp&#10;eFGIg4GDsRsMezB3QHKd0OY4mUy6gKEZTI1gXkj2q/gKhYSV9FbBw2DehV7htDZSrVYpieTmRHiw&#10;GycjdCQrMrntXgS6M92BBvUIg+pE/ob1PreneXUIoOs0kkhsz+KZb5JqGup5reIu/Pqfsl6Xf/kT&#10;AAD//wMAUEsDBBQABgAIAAAAIQD3Hw1x3wAAAAsBAAAPAAAAZHJzL2Rvd25yZXYueG1sTI/BTsMw&#10;EETvSPyDtZW4UbsVpEmIU1UITkiINBw4OrGbWI3XIXbb8Pcsp3Kc2afZmWI7u4GdzRSsRwmrpQBm&#10;sPXaYifhs369T4GFqFCrwaOR8GMCbMvbm0Ll2l+wMud97BiFYMiVhD7GMec8tL1xKiz9aJBuBz85&#10;FUlOHdeTulC4G/haiIQ7ZZE+9Go0z71pj/uTk7D7wurFfr83H9WhsnWdCXxLjlLeLebdE7Bo5niF&#10;4a8+VYeSOjX+hDqwgXSSPhAqYb1JHoERsUkzchpyskwALwv+f0P5CwAA//8DAFBLAQItABQABgAI&#10;AAAAIQC2gziS/gAAAOEBAAATAAAAAAAAAAAAAAAAAAAAAABbQ29udGVudF9UeXBlc10ueG1sUEsB&#10;Ai0AFAAGAAgAAAAhADj9If/WAAAAlAEAAAsAAAAAAAAAAAAAAAAALwEAAF9yZWxzLy5yZWxzUEsB&#10;Ai0AFAAGAAgAAAAhAEo3z2wgAgAARAQAAA4AAAAAAAAAAAAAAAAALgIAAGRycy9lMm9Eb2MueG1s&#10;UEsBAi0AFAAGAAgAAAAhAPcfDXHfAAAACwEAAA8AAAAAAAAAAAAAAAAAegQAAGRycy9kb3ducmV2&#10;LnhtbFBLBQYAAAAABAAEAPMAAACGBQAAAAA=&#10;" filled="f" stroked="f">
                <v:textbox inset="0,0,0,0">
                  <w:txbxContent>
                    <w:p w14:paraId="51329BBE" w14:textId="05EA88C2" w:rsidR="00CA4E85" w:rsidRPr="00C33036" w:rsidRDefault="00CA4E85" w:rsidP="00BC1A90">
                      <w:pPr>
                        <w:pStyle w:val="Caption"/>
                        <w:rPr>
                          <w:i w:val="0"/>
                          <w:noProof/>
                          <w:color w:val="auto"/>
                          <w:sz w:val="23"/>
                          <w:szCs w:val="24"/>
                        </w:rPr>
                      </w:pPr>
                      <w:r w:rsidRPr="00C33036">
                        <w:rPr>
                          <w:i w:val="0"/>
                          <w:color w:val="auto"/>
                        </w:rPr>
                        <w:t xml:space="preserve">Figure </w:t>
                      </w:r>
                      <w:r>
                        <w:rPr>
                          <w:i w:val="0"/>
                          <w:color w:val="auto"/>
                        </w:rPr>
                        <w:t>22</w:t>
                      </w:r>
                      <w:r w:rsidRPr="00C33036">
                        <w:rPr>
                          <w:i w:val="0"/>
                          <w:color w:val="auto"/>
                        </w:rPr>
                        <w:t>: Chief Justices Leadership Forum, Palau, April 2019</w:t>
                      </w:r>
                    </w:p>
                  </w:txbxContent>
                </v:textbox>
                <w10:wrap type="tight" anchorx="margin"/>
              </v:shape>
            </w:pict>
          </mc:Fallback>
        </mc:AlternateContent>
      </w:r>
      <w:r>
        <w:rPr>
          <w:noProof/>
          <w:lang w:val="en-AU"/>
        </w:rPr>
        <w:drawing>
          <wp:anchor distT="0" distB="0" distL="114300" distR="114300" simplePos="0" relativeHeight="251698688" behindDoc="1" locked="0" layoutInCell="1" allowOverlap="1" wp14:anchorId="60B903C0" wp14:editId="65D6F7CF">
            <wp:simplePos x="0" y="0"/>
            <wp:positionH relativeFrom="margin">
              <wp:align>center</wp:align>
            </wp:positionH>
            <wp:positionV relativeFrom="paragraph">
              <wp:posOffset>7620</wp:posOffset>
            </wp:positionV>
            <wp:extent cx="3679825" cy="1764665"/>
            <wp:effectExtent l="0" t="0" r="0" b="6985"/>
            <wp:wrapTight wrapText="bothSides">
              <wp:wrapPolygon edited="0">
                <wp:start x="0" y="0"/>
                <wp:lineTo x="0" y="21452"/>
                <wp:lineTo x="21470" y="21452"/>
                <wp:lineTo x="21470" y="0"/>
                <wp:lineTo x="0" y="0"/>
              </wp:wrapPolygon>
            </wp:wrapTight>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CJs Group.jpg"/>
                    <pic:cNvPicPr/>
                  </pic:nvPicPr>
                  <pic:blipFill rotWithShape="1">
                    <a:blip r:embed="rId148">
                      <a:extLst>
                        <a:ext uri="{28A0092B-C50C-407E-A947-70E740481C1C}">
                          <a14:useLocalDpi xmlns:a14="http://schemas.microsoft.com/office/drawing/2010/main" val="0"/>
                        </a:ext>
                      </a:extLst>
                    </a:blip>
                    <a:srcRect/>
                    <a:stretch/>
                  </pic:blipFill>
                  <pic:spPr bwMode="auto">
                    <a:xfrm>
                      <a:off x="0" y="0"/>
                      <a:ext cx="3679825" cy="1764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F24B72" w14:textId="1F8CDBFD" w:rsidR="006F40E5" w:rsidRPr="00F34A39" w:rsidRDefault="006F40E5" w:rsidP="008D4313">
      <w:pPr>
        <w:rPr>
          <w:lang w:val="en-AU"/>
        </w:rPr>
        <w:sectPr w:rsidR="006F40E5" w:rsidRPr="00F34A39" w:rsidSect="00DF5A0F">
          <w:headerReference w:type="default" r:id="rId149"/>
          <w:footerReference w:type="default" r:id="rId150"/>
          <w:pgSz w:w="11910" w:h="16850"/>
          <w:pgMar w:top="1559" w:right="1361" w:bottom="1418" w:left="1361" w:header="567" w:footer="0" w:gutter="0"/>
          <w:pgNumType w:start="1"/>
          <w:cols w:space="708"/>
          <w:noEndnote/>
          <w:docGrid w:linePitch="313"/>
        </w:sectPr>
      </w:pPr>
    </w:p>
    <w:bookmarkStart w:id="28" w:name="_Toc90564314"/>
    <w:bookmarkStart w:id="29" w:name="_Toc75185176"/>
    <w:bookmarkStart w:id="30" w:name="_Toc77423620"/>
    <w:bookmarkStart w:id="31" w:name="_Toc74386313"/>
    <w:p w14:paraId="73E7AA9A" w14:textId="25BA5952" w:rsidR="00C16A8C" w:rsidRDefault="000B03CF" w:rsidP="004F0874">
      <w:pPr>
        <w:pStyle w:val="HBHeading1"/>
        <w:spacing w:before="0" w:after="120"/>
        <w:rPr>
          <w:color w:val="00323E" w:themeColor="accent1" w:themeShade="80"/>
          <w:lang w:val="en-AU"/>
        </w:rPr>
      </w:pPr>
      <w:r w:rsidRPr="0042563B">
        <w:rPr>
          <w:rFonts w:cstheme="minorHAnsi"/>
          <w:noProof/>
          <w:color w:val="000000"/>
          <w:highlight w:val="yellow"/>
          <w:lang w:val="en-AU"/>
        </w:rPr>
        <w:lastRenderedPageBreak/>
        <mc:AlternateContent>
          <mc:Choice Requires="wps">
            <w:drawing>
              <wp:anchor distT="0" distB="0" distL="114300" distR="114300" simplePos="0" relativeHeight="251664896" behindDoc="1" locked="0" layoutInCell="1" allowOverlap="1" wp14:anchorId="5E0F520C" wp14:editId="4622E076">
                <wp:simplePos x="0" y="0"/>
                <wp:positionH relativeFrom="margin">
                  <wp:posOffset>40640</wp:posOffset>
                </wp:positionH>
                <wp:positionV relativeFrom="margin">
                  <wp:align>bottom</wp:align>
                </wp:positionV>
                <wp:extent cx="5734050" cy="6410325"/>
                <wp:effectExtent l="19050" t="19050" r="19050" b="28575"/>
                <wp:wrapSquare wrapText="bothSides"/>
                <wp:docPr id="3178" name="Text Box 3178"/>
                <wp:cNvGraphicFramePr/>
                <a:graphic xmlns:a="http://schemas.openxmlformats.org/drawingml/2006/main">
                  <a:graphicData uri="http://schemas.microsoft.com/office/word/2010/wordprocessingShape">
                    <wps:wsp>
                      <wps:cNvSpPr txBox="1"/>
                      <wps:spPr>
                        <a:xfrm>
                          <a:off x="0" y="0"/>
                          <a:ext cx="5734050" cy="6410325"/>
                        </a:xfrm>
                        <a:prstGeom prst="rect">
                          <a:avLst/>
                        </a:prstGeom>
                        <a:ln w="28575">
                          <a:solidFill>
                            <a:schemeClr val="accent3"/>
                          </a:solidFill>
                        </a:ln>
                      </wps:spPr>
                      <wps:style>
                        <a:lnRef idx="2">
                          <a:schemeClr val="accent4"/>
                        </a:lnRef>
                        <a:fillRef idx="1">
                          <a:schemeClr val="lt1"/>
                        </a:fillRef>
                        <a:effectRef idx="0">
                          <a:schemeClr val="accent4"/>
                        </a:effectRef>
                        <a:fontRef idx="minor">
                          <a:schemeClr val="dk1"/>
                        </a:fontRef>
                      </wps:style>
                      <wps:txbx>
                        <w:txbxContent>
                          <w:p w14:paraId="4B37E34B" w14:textId="77777777" w:rsidR="00CA4E85" w:rsidRPr="00995634" w:rsidRDefault="00CA4E85" w:rsidP="00CD6146">
                            <w:pPr>
                              <w:autoSpaceDE w:val="0"/>
                              <w:autoSpaceDN w:val="0"/>
                              <w:adjustRightInd w:val="0"/>
                              <w:spacing w:before="60" w:after="60"/>
                              <w:jc w:val="center"/>
                              <w:rPr>
                                <w:rFonts w:cstheme="minorHAnsi"/>
                                <w:b/>
                                <w:color w:val="00667C" w:themeColor="accent1"/>
                                <w:sz w:val="26"/>
                                <w:szCs w:val="26"/>
                              </w:rPr>
                            </w:pPr>
                            <w:r w:rsidRPr="00995634">
                              <w:rPr>
                                <w:rFonts w:cstheme="minorHAnsi"/>
                                <w:b/>
                                <w:color w:val="00667C" w:themeColor="accent1"/>
                                <w:sz w:val="26"/>
                                <w:szCs w:val="26"/>
                              </w:rPr>
                              <w:t>Kiribati</w:t>
                            </w:r>
                          </w:p>
                          <w:p w14:paraId="3A1796A1" w14:textId="77777777" w:rsidR="00CA4E85" w:rsidRPr="00196AD5" w:rsidRDefault="00CA4E85" w:rsidP="0042563B">
                            <w:pPr>
                              <w:autoSpaceDE w:val="0"/>
                              <w:autoSpaceDN w:val="0"/>
                              <w:adjustRightInd w:val="0"/>
                              <w:ind w:left="142"/>
                              <w:rPr>
                                <w:rFonts w:cstheme="minorHAnsi"/>
                                <w:i/>
                                <w:sz w:val="21"/>
                                <w:szCs w:val="21"/>
                              </w:rPr>
                            </w:pPr>
                            <w:r w:rsidRPr="00196AD5">
                              <w:rPr>
                                <w:rFonts w:cstheme="minorHAnsi"/>
                                <w:i/>
                                <w:sz w:val="21"/>
                                <w:szCs w:val="21"/>
                              </w:rPr>
                              <w:t>I take this opportunity to thank you sincerely for all the support that you and the whole PJDP/PJSI Team have rendered to me throughout my stint here in Kiribati. Your assistance and support have indeed been pleasant, fruitful and rewarding, not only to me personally but to the Kiribati Judiciary. On this note, I can say with pride and confidence that with the PJDP/PJSI programme and assistance, the Judiciary in Kiribati has been able to make achievements that we would not have been able to do on our own. That is a testament of the value and spirit of PJSI and its predecessors and the need for its continuation.</w:t>
                            </w:r>
                          </w:p>
                          <w:p w14:paraId="35FA64EC" w14:textId="4BDF9266" w:rsidR="00CA4E85" w:rsidRDefault="00CA4E85" w:rsidP="0042563B">
                            <w:pPr>
                              <w:autoSpaceDE w:val="0"/>
                              <w:autoSpaceDN w:val="0"/>
                              <w:adjustRightInd w:val="0"/>
                              <w:spacing w:after="120"/>
                              <w:ind w:left="142"/>
                              <w:jc w:val="right"/>
                              <w:rPr>
                                <w:rFonts w:cstheme="minorHAnsi"/>
                                <w:b/>
                                <w:i/>
                                <w:sz w:val="20"/>
                                <w:szCs w:val="20"/>
                              </w:rPr>
                            </w:pPr>
                            <w:r w:rsidRPr="0042563B">
                              <w:rPr>
                                <w:rFonts w:cstheme="minorHAnsi"/>
                                <w:b/>
                                <w:i/>
                                <w:sz w:val="20"/>
                                <w:szCs w:val="20"/>
                              </w:rPr>
                              <w:t>The Hon. Chief Justice Sir John Muria</w:t>
                            </w:r>
                            <w:r>
                              <w:rPr>
                                <w:rFonts w:cstheme="minorHAnsi"/>
                                <w:b/>
                                <w:i/>
                                <w:sz w:val="20"/>
                                <w:szCs w:val="20"/>
                              </w:rPr>
                              <w:t xml:space="preserve"> </w:t>
                            </w:r>
                            <w:r w:rsidRPr="0042563B">
                              <w:rPr>
                                <w:rFonts w:cstheme="minorHAnsi"/>
                                <w:sz w:val="20"/>
                                <w:szCs w:val="20"/>
                              </w:rPr>
                              <w:t>(Retired)</w:t>
                            </w:r>
                          </w:p>
                          <w:p w14:paraId="61FE81AE" w14:textId="77777777" w:rsidR="00CA4E85" w:rsidRPr="00196AD5" w:rsidRDefault="00CA4E85" w:rsidP="0042563B">
                            <w:pPr>
                              <w:autoSpaceDE w:val="0"/>
                              <w:autoSpaceDN w:val="0"/>
                              <w:adjustRightInd w:val="0"/>
                              <w:ind w:left="142"/>
                              <w:rPr>
                                <w:rFonts w:cstheme="minorHAnsi"/>
                                <w:i/>
                                <w:sz w:val="21"/>
                                <w:szCs w:val="21"/>
                              </w:rPr>
                            </w:pPr>
                            <w:r w:rsidRPr="00196AD5">
                              <w:rPr>
                                <w:rFonts w:cstheme="minorHAnsi"/>
                                <w:i/>
                                <w:sz w:val="21"/>
                                <w:szCs w:val="21"/>
                              </w:rPr>
                              <w:t>The Enabling Rights project is the biggest community initiative we have ever taken as a court.</w:t>
                            </w:r>
                          </w:p>
                          <w:p w14:paraId="7BC1E924" w14:textId="77777777" w:rsidR="00CA4E85" w:rsidRDefault="00CA4E85" w:rsidP="0042563B">
                            <w:pPr>
                              <w:autoSpaceDE w:val="0"/>
                              <w:autoSpaceDN w:val="0"/>
                              <w:adjustRightInd w:val="0"/>
                              <w:spacing w:after="120"/>
                              <w:ind w:left="142"/>
                              <w:jc w:val="right"/>
                              <w:rPr>
                                <w:rFonts w:cstheme="minorHAnsi"/>
                                <w:b/>
                                <w:i/>
                                <w:sz w:val="20"/>
                                <w:szCs w:val="20"/>
                              </w:rPr>
                            </w:pPr>
                            <w:r w:rsidRPr="001A6F33">
                              <w:rPr>
                                <w:rFonts w:cstheme="minorHAnsi"/>
                                <w:b/>
                                <w:i/>
                                <w:sz w:val="20"/>
                                <w:szCs w:val="20"/>
                              </w:rPr>
                              <w:t>Respondent, Most Significant Change Survey</w:t>
                            </w:r>
                          </w:p>
                          <w:p w14:paraId="591A10B9" w14:textId="77777777" w:rsidR="00CA4E85" w:rsidRPr="00196AD5" w:rsidRDefault="00CA4E85" w:rsidP="00412AA0">
                            <w:pPr>
                              <w:autoSpaceDE w:val="0"/>
                              <w:autoSpaceDN w:val="0"/>
                              <w:adjustRightInd w:val="0"/>
                              <w:spacing w:before="120" w:after="120"/>
                              <w:ind w:left="142"/>
                              <w:rPr>
                                <w:rFonts w:cstheme="minorHAnsi"/>
                                <w:i/>
                                <w:sz w:val="21"/>
                                <w:szCs w:val="21"/>
                              </w:rPr>
                            </w:pPr>
                            <w:r w:rsidRPr="00196AD5">
                              <w:rPr>
                                <w:rFonts w:cstheme="minorHAnsi"/>
                                <w:i/>
                                <w:sz w:val="21"/>
                                <w:szCs w:val="21"/>
                              </w:rPr>
                              <w:t>PJSI as well as other donors have played an important role as the Kiribati Judiciary’s development partners to the people of Kiribati. Without their support and collaboration, [the Line Island Magistrates’ Training] would not have come to realisation.</w:t>
                            </w:r>
                          </w:p>
                          <w:p w14:paraId="580072C8" w14:textId="731B785D" w:rsidR="00CA4E85" w:rsidRPr="00196AD5" w:rsidRDefault="00CA4E85" w:rsidP="00412AA0">
                            <w:pPr>
                              <w:autoSpaceDE w:val="0"/>
                              <w:autoSpaceDN w:val="0"/>
                              <w:adjustRightInd w:val="0"/>
                              <w:spacing w:before="120"/>
                              <w:ind w:left="142"/>
                              <w:rPr>
                                <w:rFonts w:cstheme="minorHAnsi"/>
                                <w:i/>
                                <w:sz w:val="21"/>
                                <w:szCs w:val="21"/>
                              </w:rPr>
                            </w:pPr>
                            <w:r w:rsidRPr="00196AD5">
                              <w:rPr>
                                <w:rFonts w:cstheme="minorHAnsi"/>
                                <w:i/>
                                <w:sz w:val="21"/>
                                <w:szCs w:val="21"/>
                              </w:rPr>
                              <w:t>A big project of the Kiribati Judiciary, with the assistance of PJSI and Dr Livingston, [was] for the first time being able to run a successful Enabling Rights outreach program to all the islands…One immediate change was the increase in the number of complaints being filed from people better able to understand the services offered and the Court process</w:t>
                            </w:r>
                          </w:p>
                          <w:p w14:paraId="244039E0" w14:textId="77777777" w:rsidR="00CA4E85" w:rsidRDefault="00CA4E85" w:rsidP="00412AA0">
                            <w:pPr>
                              <w:autoSpaceDE w:val="0"/>
                              <w:autoSpaceDN w:val="0"/>
                              <w:adjustRightInd w:val="0"/>
                              <w:spacing w:after="120"/>
                              <w:ind w:left="142"/>
                              <w:jc w:val="right"/>
                              <w:rPr>
                                <w:rFonts w:cstheme="minorHAnsi"/>
                                <w:b/>
                                <w:i/>
                                <w:sz w:val="20"/>
                                <w:szCs w:val="20"/>
                              </w:rPr>
                            </w:pPr>
                            <w:r w:rsidRPr="00C33036">
                              <w:rPr>
                                <w:rFonts w:cstheme="minorHAnsi"/>
                                <w:b/>
                                <w:i/>
                                <w:sz w:val="20"/>
                                <w:szCs w:val="20"/>
                              </w:rPr>
                              <w:t>Deputy Chief Registrar, Abuera Uruaaba</w:t>
                            </w:r>
                          </w:p>
                          <w:p w14:paraId="4EF90A56" w14:textId="77777777" w:rsidR="00CA4E85" w:rsidRPr="00196AD5" w:rsidRDefault="00CA4E85" w:rsidP="0042563B">
                            <w:pPr>
                              <w:autoSpaceDE w:val="0"/>
                              <w:autoSpaceDN w:val="0"/>
                              <w:adjustRightInd w:val="0"/>
                              <w:spacing w:before="120"/>
                              <w:ind w:left="142"/>
                              <w:rPr>
                                <w:i/>
                                <w:sz w:val="21"/>
                                <w:szCs w:val="21"/>
                              </w:rPr>
                            </w:pPr>
                            <w:r w:rsidRPr="00196AD5">
                              <w:rPr>
                                <w:i/>
                                <w:sz w:val="21"/>
                                <w:szCs w:val="21"/>
                              </w:rPr>
                              <w:t>I anticipate that the Certificate &amp; Diploma will ultimately support the appointment of Kiribati’s first indigenous judicial officers and in due course, Chief Justice.</w:t>
                            </w:r>
                          </w:p>
                          <w:p w14:paraId="430E556A" w14:textId="77777777" w:rsidR="00CA4E85" w:rsidRPr="001A6F33" w:rsidRDefault="00CA4E85" w:rsidP="0042563B">
                            <w:pPr>
                              <w:autoSpaceDE w:val="0"/>
                              <w:autoSpaceDN w:val="0"/>
                              <w:adjustRightInd w:val="0"/>
                              <w:spacing w:after="120"/>
                              <w:ind w:left="142"/>
                              <w:jc w:val="right"/>
                              <w:rPr>
                                <w:rFonts w:cstheme="minorHAnsi"/>
                                <w:b/>
                                <w:i/>
                                <w:sz w:val="20"/>
                                <w:szCs w:val="20"/>
                              </w:rPr>
                            </w:pPr>
                            <w:r w:rsidRPr="001A6F33">
                              <w:rPr>
                                <w:rFonts w:cstheme="minorHAnsi"/>
                                <w:b/>
                                <w:i/>
                                <w:sz w:val="20"/>
                                <w:szCs w:val="20"/>
                              </w:rPr>
                              <w:t>Respondent, Most Significant Change Survey</w:t>
                            </w:r>
                          </w:p>
                          <w:p w14:paraId="607F5977" w14:textId="3619BC5F" w:rsidR="00CA4E85" w:rsidRPr="004F0874" w:rsidRDefault="00CA4E85" w:rsidP="004F0874">
                            <w:pPr>
                              <w:autoSpaceDE w:val="0"/>
                              <w:autoSpaceDN w:val="0"/>
                              <w:adjustRightInd w:val="0"/>
                              <w:spacing w:before="120" w:after="120"/>
                              <w:ind w:left="142"/>
                              <w:rPr>
                                <w:rFonts w:cstheme="minorHAnsi"/>
                                <w:bCs/>
                                <w:i/>
                                <w:iCs/>
                                <w:sz w:val="21"/>
                                <w:szCs w:val="21"/>
                              </w:rPr>
                            </w:pPr>
                            <w:r w:rsidRPr="00196AD5">
                              <w:rPr>
                                <w:rFonts w:cstheme="minorHAnsi"/>
                                <w:bCs/>
                                <w:i/>
                                <w:iCs/>
                                <w:sz w:val="21"/>
                                <w:szCs w:val="21"/>
                              </w:rPr>
                              <w:t>I would like to talk about the Sustainable Development Goals (SDG), especially number 16, this was the most significant for us. For the past ten years the Kiribati Development Plan</w:t>
                            </w:r>
                            <w:r>
                              <w:rPr>
                                <w:rFonts w:cstheme="minorHAnsi"/>
                                <w:bCs/>
                                <w:i/>
                                <w:iCs/>
                                <w:sz w:val="21"/>
                                <w:szCs w:val="21"/>
                              </w:rPr>
                              <w:t xml:space="preserve"> (KDP)</w:t>
                            </w:r>
                            <w:r w:rsidRPr="00196AD5">
                              <w:rPr>
                                <w:rFonts w:cstheme="minorHAnsi"/>
                                <w:bCs/>
                                <w:i/>
                                <w:iCs/>
                                <w:sz w:val="21"/>
                                <w:szCs w:val="21"/>
                              </w:rPr>
                              <w:t xml:space="preserve"> never included the judiciary and this year for the first time the judiciary will be included in the plan, activities and indicators. Thank you to PJSI for the workshop on SDG, which was a blessing to the Judiciary, now a member of a National Team entrusted with the review of the KDP</w:t>
                            </w:r>
                            <w:r>
                              <w:rPr>
                                <w:rFonts w:cstheme="minorHAnsi"/>
                                <w:bCs/>
                                <w:i/>
                                <w:iCs/>
                                <w:sz w:val="21"/>
                                <w:szCs w:val="21"/>
                              </w:rPr>
                              <w:t xml:space="preserve"> 2021-2024. The KDP 2021-</w:t>
                            </w:r>
                            <w:r w:rsidRPr="00196AD5">
                              <w:rPr>
                                <w:rFonts w:cstheme="minorHAnsi"/>
                                <w:bCs/>
                                <w:i/>
                                <w:iCs/>
                                <w:sz w:val="21"/>
                                <w:szCs w:val="21"/>
                              </w:rPr>
                              <w:t>2024 is a national document that includes plans for development activities for the 5 years. Th</w:t>
                            </w:r>
                            <w:r>
                              <w:rPr>
                                <w:rFonts w:cstheme="minorHAnsi"/>
                                <w:bCs/>
                                <w:i/>
                                <w:iCs/>
                                <w:sz w:val="21"/>
                                <w:szCs w:val="21"/>
                              </w:rPr>
                              <w:t xml:space="preserve">e Judiciary is able to include </w:t>
                            </w:r>
                            <w:r w:rsidRPr="00196AD5">
                              <w:rPr>
                                <w:rFonts w:cstheme="minorHAnsi"/>
                                <w:bCs/>
                                <w:i/>
                                <w:iCs/>
                                <w:sz w:val="21"/>
                                <w:szCs w:val="21"/>
                              </w:rPr>
                              <w:t>an increase in the number of Judges and the number of courts in the outer islands. By joining the KDP with a good knowledge on the SDGs with the technical support of the PJSI, the Judiciary realizes that it can also access development projects related to the 6 Kiribati Priority Areas (KPA) of; (I) Human Resource Development, (II) Economic Growth and Poverty Reduction, (III) Health, (IV) Education, (V) Governance, (VI) Infrastructure. The Judiciary will now revise its Strategic Plan to align it with the KDP. In its JSP 2021/2024, the Judiciary will identify its development projects and document these projects for funding from the K</w:t>
                            </w:r>
                            <w:r>
                              <w:rPr>
                                <w:rFonts w:cstheme="minorHAnsi"/>
                                <w:bCs/>
                                <w:i/>
                                <w:iCs/>
                                <w:sz w:val="21"/>
                                <w:szCs w:val="21"/>
                              </w:rPr>
                              <w:t>DP</w:t>
                            </w:r>
                            <w:r w:rsidRPr="00196AD5">
                              <w:rPr>
                                <w:rFonts w:cstheme="minorHAnsi"/>
                                <w:bCs/>
                                <w:i/>
                                <w:iCs/>
                                <w:sz w:val="21"/>
                                <w:szCs w:val="21"/>
                              </w:rPr>
                              <w:t xml:space="preserve">. Thank you PJSI for the assistance.    </w:t>
                            </w:r>
                            <w:r>
                              <w:rPr>
                                <w:rFonts w:cstheme="minorHAnsi"/>
                                <w:bCs/>
                                <w:i/>
                                <w:iCs/>
                                <w:sz w:val="21"/>
                                <w:szCs w:val="21"/>
                              </w:rPr>
                              <w:tab/>
                            </w:r>
                            <w:r>
                              <w:rPr>
                                <w:rFonts w:cstheme="minorHAnsi"/>
                                <w:bCs/>
                                <w:i/>
                                <w:iCs/>
                                <w:sz w:val="21"/>
                                <w:szCs w:val="21"/>
                              </w:rPr>
                              <w:tab/>
                            </w:r>
                            <w:r>
                              <w:rPr>
                                <w:rFonts w:cstheme="minorHAnsi"/>
                                <w:bCs/>
                                <w:i/>
                                <w:iCs/>
                                <w:sz w:val="21"/>
                                <w:szCs w:val="21"/>
                              </w:rPr>
                              <w:tab/>
                            </w:r>
                            <w:r>
                              <w:rPr>
                                <w:rFonts w:cstheme="minorHAnsi"/>
                                <w:bCs/>
                                <w:i/>
                                <w:iCs/>
                                <w:sz w:val="21"/>
                                <w:szCs w:val="21"/>
                              </w:rPr>
                              <w:tab/>
                            </w:r>
                            <w:r w:rsidRPr="00196AD5">
                              <w:rPr>
                                <w:b/>
                                <w:i/>
                                <w:sz w:val="20"/>
                              </w:rPr>
                              <w:t>Corporate Services Executive Director, Motiti Koae</w:t>
                            </w:r>
                          </w:p>
                          <w:p w14:paraId="109814DB" w14:textId="77777777" w:rsidR="00CA4E85" w:rsidRDefault="00CA4E85" w:rsidP="00412AA0">
                            <w:pPr>
                              <w:autoSpaceDE w:val="0"/>
                              <w:autoSpaceDN w:val="0"/>
                              <w:adjustRightInd w:val="0"/>
                              <w:spacing w:before="120" w:after="120"/>
                              <w:ind w:left="142"/>
                              <w:jc w:val="right"/>
                              <w:rPr>
                                <w:rFonts w:cstheme="minorHAnsi"/>
                                <w:b/>
                                <w:i/>
                                <w:sz w:val="20"/>
                                <w:szCs w:val="20"/>
                              </w:rPr>
                            </w:pPr>
                          </w:p>
                          <w:p w14:paraId="3564DB3E" w14:textId="77777777" w:rsidR="00CA4E85" w:rsidRDefault="00CA4E85" w:rsidP="00412AA0">
                            <w:pPr>
                              <w:autoSpaceDE w:val="0"/>
                              <w:autoSpaceDN w:val="0"/>
                              <w:adjustRightInd w:val="0"/>
                              <w:spacing w:before="120" w:after="120"/>
                              <w:ind w:left="142"/>
                              <w:jc w:val="right"/>
                              <w:rPr>
                                <w:rFonts w:cstheme="minorHAnsi"/>
                                <w:b/>
                                <w:i/>
                                <w:sz w:val="20"/>
                                <w:szCs w:val="20"/>
                              </w:rPr>
                            </w:pPr>
                          </w:p>
                          <w:p w14:paraId="793BB083" w14:textId="77777777" w:rsidR="00CA4E85" w:rsidRPr="00800322" w:rsidRDefault="00CA4E85" w:rsidP="00412AA0">
                            <w:pPr>
                              <w:autoSpaceDE w:val="0"/>
                              <w:autoSpaceDN w:val="0"/>
                              <w:adjustRightInd w:val="0"/>
                              <w:spacing w:before="120" w:after="120"/>
                              <w:ind w:left="142"/>
                              <w:jc w:val="right"/>
                              <w:rPr>
                                <w:rFonts w:cstheme="minorHAnsi"/>
                                <w:b/>
                                <w:i/>
                                <w:sz w:val="20"/>
                                <w:szCs w:val="20"/>
                              </w:rPr>
                            </w:pPr>
                          </w:p>
                        </w:txbxContent>
                      </wps:txbx>
                      <wps:bodyPr rot="0" spcFirstLastPara="0" vertOverflow="overflow" horzOverflow="overflow" vert="horz" wrap="square" lIns="0" tIns="0" rIns="2286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F520C" id="Text Box 3178" o:spid="_x0000_s1061" type="#_x0000_t202" style="position:absolute;margin-left:3.2pt;margin-top:0;width:451.5pt;height:504.75pt;z-index:-251651584;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IG9lQIAAHgFAAAOAAAAZHJzL2Uyb0RvYy54bWysVE1v2zAMvQ/YfxB0X+04TVsEcYqsRYcB&#10;RVu0HXpWZCkxJomapMTOfv0o+SNFl9OwiyyTj6RIPnJx3WpF9sL5GkxJJ2c5JcJwqGqzKemP17sv&#10;V5T4wEzFFBhR0oPw9Hr5+dOisXNRwBZUJRxBJ8bPG1vSbQh2nmWeb4Vm/gysMKiU4DQL+Os2WeVY&#10;g961yoo8v8gacJV1wIX3KL3tlHSZ/EspeHiU0otAVEnxbSGdLp3reGbLBZtvHLPbmvfPYP/wCs1q&#10;g0FHV7csMLJz9V+udM0deJDhjIPOQMqai5QDZjPJP2TzsmVWpFywON6OZfL/zy1/2D85UlclnU4u&#10;sVeGaezSq2gD+QotSUKsUWP9HKEvFsGhRQ32OtYuyj0KY+qtdDp+MSmCeqz2Yaxw9MdROLucnucz&#10;VHHUXZxP8mkxi36yo7l1PnwToEm8lNRhC1Nl2f7ehw46QGI0ZUhT0uJqdjlLMA+qru5qpaIy0Ujc&#10;KEf2DAnAOBcmTPuA75AYXhl8xTGddAsHJboYz0JikTCBogsS6fnR73nvVxlERzOJrxgNJ6cMVUhV&#10;xPA9NpqJRNvRMD9l2GUyRBwtUlQwYTTWtQF3ykH1c4zc4Yfsu5xj+qFdtx0zUouiaA3VARngoJsj&#10;b/ldjV26Zz48MYeDg53FZRAe8ZAKsDHQ3yjZgvt9Sh7xyGfUUtLgIJbU/9oxJyhR3w0yPU7tcHHp&#10;UhRXFzmK14PY7PQNYH8nuGssT1dUu6CGq3Sg33BRrGIoVDHDMWBJeXDDz03otgKuGi5WqwTDEbUs&#10;3JsXy6PzWN1Ivdf2jTnb8zMgtR9gmFQ2/0DTDhstDax2AWSdOHwsZl93HO80Bf0qivvj/X9CHRfm&#10;8g8AAAD//wMAUEsDBBQABgAIAAAAIQCoKW4K2gAAAAcBAAAPAAAAZHJzL2Rvd25yZXYueG1sTI/L&#10;TsMwEEX3SPyDNUjsqM2jFQlxKoR4bVjQIrGdxkMS1R5HsdOGv2dYwfLqHt05U63n4NWBxtRHtnC5&#10;MKCIm+h6bi18bJ8ubkGljOzQRyYL35RgXZ+eVFi6eOR3Omxyq2SEU4kWupyHUuvUdBQwLeJALN1X&#10;HANmiWOr3YhHGQ9eXxmz0gF7lgsdDvTQUbPfTMHCM73yJ07Bx21TvKS3tF+a60drz8/m+ztQmeb8&#10;B8OvvqhDLU67OLFLyltY3QhoQf6RsjCFxJ1QxhRL0HWl//vXPwAAAP//AwBQSwECLQAUAAYACAAA&#10;ACEAtoM4kv4AAADhAQAAEwAAAAAAAAAAAAAAAAAAAAAAW0NvbnRlbnRfVHlwZXNdLnhtbFBLAQIt&#10;ABQABgAIAAAAIQA4/SH/1gAAAJQBAAALAAAAAAAAAAAAAAAAAC8BAABfcmVscy8ucmVsc1BLAQIt&#10;ABQABgAIAAAAIQCMDIG9lQIAAHgFAAAOAAAAAAAAAAAAAAAAAC4CAABkcnMvZTJvRG9jLnhtbFBL&#10;AQItABQABgAIAAAAIQCoKW4K2gAAAAcBAAAPAAAAAAAAAAAAAAAAAO8EAABkcnMvZG93bnJldi54&#10;bWxQSwUGAAAAAAQABADzAAAA9gUAAAAA&#10;" fillcolor="white [3201]" strokecolor="#b31b34 [3206]" strokeweight="2.25pt">
                <v:textbox inset="0,0,18pt,0">
                  <w:txbxContent>
                    <w:p w14:paraId="4B37E34B" w14:textId="77777777" w:rsidR="00CA4E85" w:rsidRPr="00995634" w:rsidRDefault="00CA4E85" w:rsidP="00CD6146">
                      <w:pPr>
                        <w:autoSpaceDE w:val="0"/>
                        <w:autoSpaceDN w:val="0"/>
                        <w:adjustRightInd w:val="0"/>
                        <w:spacing w:before="60" w:after="60"/>
                        <w:jc w:val="center"/>
                        <w:rPr>
                          <w:rFonts w:cstheme="minorHAnsi"/>
                          <w:b/>
                          <w:color w:val="00667C" w:themeColor="accent1"/>
                          <w:sz w:val="26"/>
                          <w:szCs w:val="26"/>
                        </w:rPr>
                      </w:pPr>
                      <w:r w:rsidRPr="00995634">
                        <w:rPr>
                          <w:rFonts w:cstheme="minorHAnsi"/>
                          <w:b/>
                          <w:color w:val="00667C" w:themeColor="accent1"/>
                          <w:sz w:val="26"/>
                          <w:szCs w:val="26"/>
                        </w:rPr>
                        <w:t>Kiribati</w:t>
                      </w:r>
                    </w:p>
                    <w:p w14:paraId="3A1796A1" w14:textId="77777777" w:rsidR="00CA4E85" w:rsidRPr="00196AD5" w:rsidRDefault="00CA4E85" w:rsidP="0042563B">
                      <w:pPr>
                        <w:autoSpaceDE w:val="0"/>
                        <w:autoSpaceDN w:val="0"/>
                        <w:adjustRightInd w:val="0"/>
                        <w:ind w:left="142"/>
                        <w:rPr>
                          <w:rFonts w:cstheme="minorHAnsi"/>
                          <w:i/>
                          <w:sz w:val="21"/>
                          <w:szCs w:val="21"/>
                        </w:rPr>
                      </w:pPr>
                      <w:r w:rsidRPr="00196AD5">
                        <w:rPr>
                          <w:rFonts w:cstheme="minorHAnsi"/>
                          <w:i/>
                          <w:sz w:val="21"/>
                          <w:szCs w:val="21"/>
                        </w:rPr>
                        <w:t>I take this opportunity to thank you sincerely for all the support that you and the whole PJDP/PJSI Team have rendered to me throughout my stint here in Kiribati. Your assistance and support have indeed been pleasant, fruitful and rewarding, not only to me personally but to the Kiribati Judiciary. On this note, I can say with pride and confidence that with the PJDP/PJSI programme and assistance, the Judiciary in Kiribati has been able to make achievements that we would not have been able to do on our own. That is a testament of the value and spirit of PJSI and its predecessors and the need for its continuation.</w:t>
                      </w:r>
                    </w:p>
                    <w:p w14:paraId="35FA64EC" w14:textId="4BDF9266" w:rsidR="00CA4E85" w:rsidRDefault="00CA4E85" w:rsidP="0042563B">
                      <w:pPr>
                        <w:autoSpaceDE w:val="0"/>
                        <w:autoSpaceDN w:val="0"/>
                        <w:adjustRightInd w:val="0"/>
                        <w:spacing w:after="120"/>
                        <w:ind w:left="142"/>
                        <w:jc w:val="right"/>
                        <w:rPr>
                          <w:rFonts w:cstheme="minorHAnsi"/>
                          <w:b/>
                          <w:i/>
                          <w:sz w:val="20"/>
                          <w:szCs w:val="20"/>
                        </w:rPr>
                      </w:pPr>
                      <w:r w:rsidRPr="0042563B">
                        <w:rPr>
                          <w:rFonts w:cstheme="minorHAnsi"/>
                          <w:b/>
                          <w:i/>
                          <w:sz w:val="20"/>
                          <w:szCs w:val="20"/>
                        </w:rPr>
                        <w:t>The Hon. Chief Justice Sir John Muria</w:t>
                      </w:r>
                      <w:r>
                        <w:rPr>
                          <w:rFonts w:cstheme="minorHAnsi"/>
                          <w:b/>
                          <w:i/>
                          <w:sz w:val="20"/>
                          <w:szCs w:val="20"/>
                        </w:rPr>
                        <w:t xml:space="preserve"> </w:t>
                      </w:r>
                      <w:r w:rsidRPr="0042563B">
                        <w:rPr>
                          <w:rFonts w:cstheme="minorHAnsi"/>
                          <w:sz w:val="20"/>
                          <w:szCs w:val="20"/>
                        </w:rPr>
                        <w:t>(Retired)</w:t>
                      </w:r>
                    </w:p>
                    <w:p w14:paraId="61FE81AE" w14:textId="77777777" w:rsidR="00CA4E85" w:rsidRPr="00196AD5" w:rsidRDefault="00CA4E85" w:rsidP="0042563B">
                      <w:pPr>
                        <w:autoSpaceDE w:val="0"/>
                        <w:autoSpaceDN w:val="0"/>
                        <w:adjustRightInd w:val="0"/>
                        <w:ind w:left="142"/>
                        <w:rPr>
                          <w:rFonts w:cstheme="minorHAnsi"/>
                          <w:i/>
                          <w:sz w:val="21"/>
                          <w:szCs w:val="21"/>
                        </w:rPr>
                      </w:pPr>
                      <w:r w:rsidRPr="00196AD5">
                        <w:rPr>
                          <w:rFonts w:cstheme="minorHAnsi"/>
                          <w:i/>
                          <w:sz w:val="21"/>
                          <w:szCs w:val="21"/>
                        </w:rPr>
                        <w:t>The Enabling Rights project is the biggest community initiative we have ever taken as a court.</w:t>
                      </w:r>
                    </w:p>
                    <w:p w14:paraId="7BC1E924" w14:textId="77777777" w:rsidR="00CA4E85" w:rsidRDefault="00CA4E85" w:rsidP="0042563B">
                      <w:pPr>
                        <w:autoSpaceDE w:val="0"/>
                        <w:autoSpaceDN w:val="0"/>
                        <w:adjustRightInd w:val="0"/>
                        <w:spacing w:after="120"/>
                        <w:ind w:left="142"/>
                        <w:jc w:val="right"/>
                        <w:rPr>
                          <w:rFonts w:cstheme="minorHAnsi"/>
                          <w:b/>
                          <w:i/>
                          <w:sz w:val="20"/>
                          <w:szCs w:val="20"/>
                        </w:rPr>
                      </w:pPr>
                      <w:r w:rsidRPr="001A6F33">
                        <w:rPr>
                          <w:rFonts w:cstheme="minorHAnsi"/>
                          <w:b/>
                          <w:i/>
                          <w:sz w:val="20"/>
                          <w:szCs w:val="20"/>
                        </w:rPr>
                        <w:t>Respondent, Most Significant Change Survey</w:t>
                      </w:r>
                    </w:p>
                    <w:p w14:paraId="591A10B9" w14:textId="77777777" w:rsidR="00CA4E85" w:rsidRPr="00196AD5" w:rsidRDefault="00CA4E85" w:rsidP="00412AA0">
                      <w:pPr>
                        <w:autoSpaceDE w:val="0"/>
                        <w:autoSpaceDN w:val="0"/>
                        <w:adjustRightInd w:val="0"/>
                        <w:spacing w:before="120" w:after="120"/>
                        <w:ind w:left="142"/>
                        <w:rPr>
                          <w:rFonts w:cstheme="minorHAnsi"/>
                          <w:i/>
                          <w:sz w:val="21"/>
                          <w:szCs w:val="21"/>
                        </w:rPr>
                      </w:pPr>
                      <w:r w:rsidRPr="00196AD5">
                        <w:rPr>
                          <w:rFonts w:cstheme="minorHAnsi"/>
                          <w:i/>
                          <w:sz w:val="21"/>
                          <w:szCs w:val="21"/>
                        </w:rPr>
                        <w:t>PJSI as well as other donors have played an important role as the Kiribati Judiciary’s development partners to the people of Kiribati. Without their support and collaboration, [the Line Island Magistrates’ Training] would not have come to realisation.</w:t>
                      </w:r>
                    </w:p>
                    <w:p w14:paraId="580072C8" w14:textId="731B785D" w:rsidR="00CA4E85" w:rsidRPr="00196AD5" w:rsidRDefault="00CA4E85" w:rsidP="00412AA0">
                      <w:pPr>
                        <w:autoSpaceDE w:val="0"/>
                        <w:autoSpaceDN w:val="0"/>
                        <w:adjustRightInd w:val="0"/>
                        <w:spacing w:before="120"/>
                        <w:ind w:left="142"/>
                        <w:rPr>
                          <w:rFonts w:cstheme="minorHAnsi"/>
                          <w:i/>
                          <w:sz w:val="21"/>
                          <w:szCs w:val="21"/>
                        </w:rPr>
                      </w:pPr>
                      <w:r w:rsidRPr="00196AD5">
                        <w:rPr>
                          <w:rFonts w:cstheme="minorHAnsi"/>
                          <w:i/>
                          <w:sz w:val="21"/>
                          <w:szCs w:val="21"/>
                        </w:rPr>
                        <w:t>A big project of the Kiribati Judiciary, with the assistance of PJSI and Dr Livingston, [was] for the first time being able to run a successful Enabling Rights outreach program to all the islands…One immediate change was the increase in the number of complaints being filed from people better able to understand the services offered and the Court process</w:t>
                      </w:r>
                    </w:p>
                    <w:p w14:paraId="244039E0" w14:textId="77777777" w:rsidR="00CA4E85" w:rsidRDefault="00CA4E85" w:rsidP="00412AA0">
                      <w:pPr>
                        <w:autoSpaceDE w:val="0"/>
                        <w:autoSpaceDN w:val="0"/>
                        <w:adjustRightInd w:val="0"/>
                        <w:spacing w:after="120"/>
                        <w:ind w:left="142"/>
                        <w:jc w:val="right"/>
                        <w:rPr>
                          <w:rFonts w:cstheme="minorHAnsi"/>
                          <w:b/>
                          <w:i/>
                          <w:sz w:val="20"/>
                          <w:szCs w:val="20"/>
                        </w:rPr>
                      </w:pPr>
                      <w:r w:rsidRPr="00C33036">
                        <w:rPr>
                          <w:rFonts w:cstheme="minorHAnsi"/>
                          <w:b/>
                          <w:i/>
                          <w:sz w:val="20"/>
                          <w:szCs w:val="20"/>
                        </w:rPr>
                        <w:t>Deputy Chief Registrar, Abuera Uruaaba</w:t>
                      </w:r>
                    </w:p>
                    <w:p w14:paraId="4EF90A56" w14:textId="77777777" w:rsidR="00CA4E85" w:rsidRPr="00196AD5" w:rsidRDefault="00CA4E85" w:rsidP="0042563B">
                      <w:pPr>
                        <w:autoSpaceDE w:val="0"/>
                        <w:autoSpaceDN w:val="0"/>
                        <w:adjustRightInd w:val="0"/>
                        <w:spacing w:before="120"/>
                        <w:ind w:left="142"/>
                        <w:rPr>
                          <w:i/>
                          <w:sz w:val="21"/>
                          <w:szCs w:val="21"/>
                        </w:rPr>
                      </w:pPr>
                      <w:r w:rsidRPr="00196AD5">
                        <w:rPr>
                          <w:i/>
                          <w:sz w:val="21"/>
                          <w:szCs w:val="21"/>
                        </w:rPr>
                        <w:t>I anticipate that the Certificate &amp; Diploma will ultimately support the appointment of Kiribati’s first indigenous judicial officers and in due course, Chief Justice.</w:t>
                      </w:r>
                    </w:p>
                    <w:p w14:paraId="430E556A" w14:textId="77777777" w:rsidR="00CA4E85" w:rsidRPr="001A6F33" w:rsidRDefault="00CA4E85" w:rsidP="0042563B">
                      <w:pPr>
                        <w:autoSpaceDE w:val="0"/>
                        <w:autoSpaceDN w:val="0"/>
                        <w:adjustRightInd w:val="0"/>
                        <w:spacing w:after="120"/>
                        <w:ind w:left="142"/>
                        <w:jc w:val="right"/>
                        <w:rPr>
                          <w:rFonts w:cstheme="minorHAnsi"/>
                          <w:b/>
                          <w:i/>
                          <w:sz w:val="20"/>
                          <w:szCs w:val="20"/>
                        </w:rPr>
                      </w:pPr>
                      <w:r w:rsidRPr="001A6F33">
                        <w:rPr>
                          <w:rFonts w:cstheme="minorHAnsi"/>
                          <w:b/>
                          <w:i/>
                          <w:sz w:val="20"/>
                          <w:szCs w:val="20"/>
                        </w:rPr>
                        <w:t>Respondent, Most Significant Change Survey</w:t>
                      </w:r>
                    </w:p>
                    <w:p w14:paraId="607F5977" w14:textId="3619BC5F" w:rsidR="00CA4E85" w:rsidRPr="004F0874" w:rsidRDefault="00CA4E85" w:rsidP="004F0874">
                      <w:pPr>
                        <w:autoSpaceDE w:val="0"/>
                        <w:autoSpaceDN w:val="0"/>
                        <w:adjustRightInd w:val="0"/>
                        <w:spacing w:before="120" w:after="120"/>
                        <w:ind w:left="142"/>
                        <w:rPr>
                          <w:rFonts w:cstheme="minorHAnsi"/>
                          <w:bCs/>
                          <w:i/>
                          <w:iCs/>
                          <w:sz w:val="21"/>
                          <w:szCs w:val="21"/>
                        </w:rPr>
                      </w:pPr>
                      <w:r w:rsidRPr="00196AD5">
                        <w:rPr>
                          <w:rFonts w:cstheme="minorHAnsi"/>
                          <w:bCs/>
                          <w:i/>
                          <w:iCs/>
                          <w:sz w:val="21"/>
                          <w:szCs w:val="21"/>
                        </w:rPr>
                        <w:t>I would like to talk about the Sustainable Development Goals (SDG), especially number 16, this was the most significant for us. For the past ten years the Kiribati Development Plan</w:t>
                      </w:r>
                      <w:r>
                        <w:rPr>
                          <w:rFonts w:cstheme="minorHAnsi"/>
                          <w:bCs/>
                          <w:i/>
                          <w:iCs/>
                          <w:sz w:val="21"/>
                          <w:szCs w:val="21"/>
                        </w:rPr>
                        <w:t xml:space="preserve"> (KDP)</w:t>
                      </w:r>
                      <w:r w:rsidRPr="00196AD5">
                        <w:rPr>
                          <w:rFonts w:cstheme="minorHAnsi"/>
                          <w:bCs/>
                          <w:i/>
                          <w:iCs/>
                          <w:sz w:val="21"/>
                          <w:szCs w:val="21"/>
                        </w:rPr>
                        <w:t xml:space="preserve"> never included the judiciary and this year for the first time the judiciary will be included in the plan, activities and indicators. Thank you to PJSI for the workshop on SDG, which was a blessing to the Judiciary, now a member of a National Team entrusted with the review of the KDP</w:t>
                      </w:r>
                      <w:r>
                        <w:rPr>
                          <w:rFonts w:cstheme="minorHAnsi"/>
                          <w:bCs/>
                          <w:i/>
                          <w:iCs/>
                          <w:sz w:val="21"/>
                          <w:szCs w:val="21"/>
                        </w:rPr>
                        <w:t xml:space="preserve"> 2021-2024. The KDP 2021-</w:t>
                      </w:r>
                      <w:r w:rsidRPr="00196AD5">
                        <w:rPr>
                          <w:rFonts w:cstheme="minorHAnsi"/>
                          <w:bCs/>
                          <w:i/>
                          <w:iCs/>
                          <w:sz w:val="21"/>
                          <w:szCs w:val="21"/>
                        </w:rPr>
                        <w:t>2024 is a national document that includes plans for development activities for the 5 years. Th</w:t>
                      </w:r>
                      <w:r>
                        <w:rPr>
                          <w:rFonts w:cstheme="minorHAnsi"/>
                          <w:bCs/>
                          <w:i/>
                          <w:iCs/>
                          <w:sz w:val="21"/>
                          <w:szCs w:val="21"/>
                        </w:rPr>
                        <w:t xml:space="preserve">e Judiciary is able to include </w:t>
                      </w:r>
                      <w:r w:rsidRPr="00196AD5">
                        <w:rPr>
                          <w:rFonts w:cstheme="minorHAnsi"/>
                          <w:bCs/>
                          <w:i/>
                          <w:iCs/>
                          <w:sz w:val="21"/>
                          <w:szCs w:val="21"/>
                        </w:rPr>
                        <w:t>an increase in the number of Judges and the number of courts in the outer islands. By joining the KDP with a good knowledge on the SDGs with the technical support of the PJSI, the Judiciary realizes that it can also access development projects related to the 6 Kiribati Priority Areas (KPA) of; (I) Human Resource Development, (II) Economic Growth and Poverty Reduction, (III) Health, (IV) Education, (V) Governance, (VI) Infrastructure. The Judiciary will now revise its Strategic Plan to align it with the KDP. In its JSP 2021/2024, the Judiciary will identify its development projects and document these projects for funding from the K</w:t>
                      </w:r>
                      <w:r>
                        <w:rPr>
                          <w:rFonts w:cstheme="minorHAnsi"/>
                          <w:bCs/>
                          <w:i/>
                          <w:iCs/>
                          <w:sz w:val="21"/>
                          <w:szCs w:val="21"/>
                        </w:rPr>
                        <w:t>DP</w:t>
                      </w:r>
                      <w:r w:rsidRPr="00196AD5">
                        <w:rPr>
                          <w:rFonts w:cstheme="minorHAnsi"/>
                          <w:bCs/>
                          <w:i/>
                          <w:iCs/>
                          <w:sz w:val="21"/>
                          <w:szCs w:val="21"/>
                        </w:rPr>
                        <w:t xml:space="preserve">. Thank you PJSI for the assistance.    </w:t>
                      </w:r>
                      <w:r>
                        <w:rPr>
                          <w:rFonts w:cstheme="minorHAnsi"/>
                          <w:bCs/>
                          <w:i/>
                          <w:iCs/>
                          <w:sz w:val="21"/>
                          <w:szCs w:val="21"/>
                        </w:rPr>
                        <w:tab/>
                      </w:r>
                      <w:r>
                        <w:rPr>
                          <w:rFonts w:cstheme="minorHAnsi"/>
                          <w:bCs/>
                          <w:i/>
                          <w:iCs/>
                          <w:sz w:val="21"/>
                          <w:szCs w:val="21"/>
                        </w:rPr>
                        <w:tab/>
                      </w:r>
                      <w:r>
                        <w:rPr>
                          <w:rFonts w:cstheme="minorHAnsi"/>
                          <w:bCs/>
                          <w:i/>
                          <w:iCs/>
                          <w:sz w:val="21"/>
                          <w:szCs w:val="21"/>
                        </w:rPr>
                        <w:tab/>
                      </w:r>
                      <w:r>
                        <w:rPr>
                          <w:rFonts w:cstheme="minorHAnsi"/>
                          <w:bCs/>
                          <w:i/>
                          <w:iCs/>
                          <w:sz w:val="21"/>
                          <w:szCs w:val="21"/>
                        </w:rPr>
                        <w:tab/>
                      </w:r>
                      <w:r w:rsidRPr="00196AD5">
                        <w:rPr>
                          <w:b/>
                          <w:i/>
                          <w:sz w:val="20"/>
                        </w:rPr>
                        <w:t>Corporate Services Executive Director, Motiti Koae</w:t>
                      </w:r>
                    </w:p>
                    <w:p w14:paraId="109814DB" w14:textId="77777777" w:rsidR="00CA4E85" w:rsidRDefault="00CA4E85" w:rsidP="00412AA0">
                      <w:pPr>
                        <w:autoSpaceDE w:val="0"/>
                        <w:autoSpaceDN w:val="0"/>
                        <w:adjustRightInd w:val="0"/>
                        <w:spacing w:before="120" w:after="120"/>
                        <w:ind w:left="142"/>
                        <w:jc w:val="right"/>
                        <w:rPr>
                          <w:rFonts w:cstheme="minorHAnsi"/>
                          <w:b/>
                          <w:i/>
                          <w:sz w:val="20"/>
                          <w:szCs w:val="20"/>
                        </w:rPr>
                      </w:pPr>
                    </w:p>
                    <w:p w14:paraId="3564DB3E" w14:textId="77777777" w:rsidR="00CA4E85" w:rsidRDefault="00CA4E85" w:rsidP="00412AA0">
                      <w:pPr>
                        <w:autoSpaceDE w:val="0"/>
                        <w:autoSpaceDN w:val="0"/>
                        <w:adjustRightInd w:val="0"/>
                        <w:spacing w:before="120" w:after="120"/>
                        <w:ind w:left="142"/>
                        <w:jc w:val="right"/>
                        <w:rPr>
                          <w:rFonts w:cstheme="minorHAnsi"/>
                          <w:b/>
                          <w:i/>
                          <w:sz w:val="20"/>
                          <w:szCs w:val="20"/>
                        </w:rPr>
                      </w:pPr>
                    </w:p>
                    <w:p w14:paraId="793BB083" w14:textId="77777777" w:rsidR="00CA4E85" w:rsidRPr="00800322" w:rsidRDefault="00CA4E85" w:rsidP="00412AA0">
                      <w:pPr>
                        <w:autoSpaceDE w:val="0"/>
                        <w:autoSpaceDN w:val="0"/>
                        <w:adjustRightInd w:val="0"/>
                        <w:spacing w:before="120" w:after="120"/>
                        <w:ind w:left="142"/>
                        <w:jc w:val="right"/>
                        <w:rPr>
                          <w:rFonts w:cstheme="minorHAnsi"/>
                          <w:b/>
                          <w:i/>
                          <w:sz w:val="20"/>
                          <w:szCs w:val="20"/>
                        </w:rPr>
                      </w:pPr>
                    </w:p>
                  </w:txbxContent>
                </v:textbox>
                <w10:wrap type="square" anchorx="margin" anchory="margin"/>
              </v:shape>
            </w:pict>
          </mc:Fallback>
        </mc:AlternateContent>
      </w:r>
      <w:r w:rsidR="00C16A8C" w:rsidRPr="00F34A39">
        <w:rPr>
          <w:color w:val="00323E" w:themeColor="accent1" w:themeShade="80"/>
          <w:lang w:val="en-AU"/>
        </w:rPr>
        <w:t xml:space="preserve">Annex </w:t>
      </w:r>
      <w:r w:rsidR="00C16A8C">
        <w:rPr>
          <w:color w:val="00323E" w:themeColor="accent1" w:themeShade="80"/>
          <w:lang w:val="en-AU"/>
        </w:rPr>
        <w:t>One</w:t>
      </w:r>
      <w:r w:rsidR="00C16A8C" w:rsidRPr="00F34A39">
        <w:rPr>
          <w:color w:val="00323E" w:themeColor="accent1" w:themeShade="80"/>
          <w:lang w:val="en-AU"/>
        </w:rPr>
        <w:t>: National Results Stories</w:t>
      </w:r>
      <w:bookmarkEnd w:id="28"/>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4"/>
      </w:tblGrid>
      <w:tr w:rsidR="00C16A8C" w:rsidRPr="00250110" w14:paraId="2EFCDF0A" w14:textId="77777777" w:rsidTr="00B3374D">
        <w:tc>
          <w:tcPr>
            <w:tcW w:w="5000" w:type="pct"/>
          </w:tcPr>
          <w:p w14:paraId="0FC8E412" w14:textId="639D5DF5" w:rsidR="00C16A8C" w:rsidRPr="00196AD5" w:rsidRDefault="0042563B" w:rsidP="00196AD5">
            <w:pPr>
              <w:rPr>
                <w:rFonts w:asciiTheme="minorHAnsi" w:hAnsiTheme="minorHAnsi" w:cstheme="minorHAnsi"/>
                <w:sz w:val="10"/>
                <w:szCs w:val="10"/>
                <w:lang w:val="en-AU"/>
              </w:rPr>
            </w:pPr>
            <w:r w:rsidRPr="0042563B">
              <w:rPr>
                <w:rFonts w:cstheme="minorHAnsi"/>
                <w:noProof/>
                <w:highlight w:val="yellow"/>
                <w:lang w:val="en-AU"/>
              </w:rPr>
              <mc:AlternateContent>
                <mc:Choice Requires="wps">
                  <w:drawing>
                    <wp:anchor distT="45720" distB="45720" distL="114300" distR="114300" simplePos="0" relativeHeight="251644416" behindDoc="0" locked="0" layoutInCell="1" allowOverlap="1" wp14:anchorId="7324C213" wp14:editId="65B3A4D0">
                      <wp:simplePos x="0" y="0"/>
                      <wp:positionH relativeFrom="margin">
                        <wp:posOffset>635</wp:posOffset>
                      </wp:positionH>
                      <wp:positionV relativeFrom="paragraph">
                        <wp:posOffset>21590</wp:posOffset>
                      </wp:positionV>
                      <wp:extent cx="5694680" cy="1876425"/>
                      <wp:effectExtent l="19050" t="19050" r="20320" b="28575"/>
                      <wp:wrapSquare wrapText="bothSides"/>
                      <wp:docPr id="3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4680" cy="1876425"/>
                              </a:xfrm>
                              <a:prstGeom prst="rect">
                                <a:avLst/>
                              </a:prstGeom>
                              <a:solidFill>
                                <a:srgbClr val="FFFFFF"/>
                              </a:solidFill>
                              <a:ln w="28575">
                                <a:solidFill>
                                  <a:schemeClr val="accent3"/>
                                </a:solidFill>
                                <a:miter lim="800000"/>
                                <a:headEnd/>
                                <a:tailEnd/>
                              </a:ln>
                            </wps:spPr>
                            <wps:txbx>
                              <w:txbxContent>
                                <w:p w14:paraId="26F51271" w14:textId="0A525E77" w:rsidR="00CA4E85" w:rsidRPr="00995634" w:rsidRDefault="00CA4E85" w:rsidP="00CD6146">
                                  <w:pPr>
                                    <w:autoSpaceDE w:val="0"/>
                                    <w:autoSpaceDN w:val="0"/>
                                    <w:adjustRightInd w:val="0"/>
                                    <w:spacing w:after="60"/>
                                    <w:jc w:val="center"/>
                                    <w:rPr>
                                      <w:rFonts w:cstheme="minorHAnsi"/>
                                      <w:b/>
                                      <w:color w:val="00667C" w:themeColor="accent1"/>
                                      <w:sz w:val="26"/>
                                      <w:szCs w:val="26"/>
                                    </w:rPr>
                                  </w:pPr>
                                  <w:r>
                                    <w:rPr>
                                      <w:rFonts w:cstheme="minorHAnsi"/>
                                      <w:b/>
                                      <w:color w:val="00667C" w:themeColor="accent1"/>
                                      <w:sz w:val="26"/>
                                      <w:szCs w:val="26"/>
                                    </w:rPr>
                                    <w:t>Nauru</w:t>
                                  </w:r>
                                </w:p>
                                <w:p w14:paraId="02CDA82B" w14:textId="6F25A43D" w:rsidR="00CA4E85" w:rsidRPr="00B92607" w:rsidRDefault="00CA4E85" w:rsidP="00B92607">
                                  <w:pPr>
                                    <w:spacing w:after="40"/>
                                    <w:ind w:left="142"/>
                                    <w:rPr>
                                      <w:sz w:val="22"/>
                                      <w:szCs w:val="22"/>
                                    </w:rPr>
                                  </w:pPr>
                                  <w:r w:rsidRPr="00B92607">
                                    <w:rPr>
                                      <w:i/>
                                      <w:iCs/>
                                      <w:sz w:val="22"/>
                                      <w:szCs w:val="22"/>
                                    </w:rPr>
                                    <w:t>We are grateful for leadership funding for our remote conference equipment, we are looking forward to receiving this equipment as laws have been made to allow for virtual court proceedings to take place, and we are already looking into the possibility of conducting virtual court proceedings.</w:t>
                                  </w:r>
                                  <w:r>
                                    <w:rPr>
                                      <w:i/>
                                      <w:iCs/>
                                      <w:sz w:val="22"/>
                                      <w:szCs w:val="22"/>
                                    </w:rPr>
                                    <w:t xml:space="preserve"> </w:t>
                                  </w:r>
                                  <w:r w:rsidRPr="00B92607">
                                    <w:rPr>
                                      <w:i/>
                                      <w:iCs/>
                                      <w:sz w:val="22"/>
                                      <w:szCs w:val="22"/>
                                    </w:rPr>
                                    <w:t>Nauru Judiciary is forever grateful to PJSI for its support and funding. Nauru Judiciary benefited a lot, through the Efficiency Local Visit by Jennifer, after the workshop we were able to streamline the registry process such as filing systems, we also set time goals for each cases, Judicial officers also were able to take control of their case and hence judgments were delivered in a timely manner, backlog of cases reduced significantly.</w:t>
                                  </w:r>
                                </w:p>
                                <w:p w14:paraId="52911012" w14:textId="70E5FA58" w:rsidR="00CA4E85" w:rsidRPr="00AC5E93" w:rsidRDefault="00CA4E85" w:rsidP="00C16A8C">
                                  <w:pPr>
                                    <w:jc w:val="right"/>
                                    <w:rPr>
                                      <w:b/>
                                      <w:i/>
                                      <w:sz w:val="20"/>
                                      <w:szCs w:val="20"/>
                                    </w:rPr>
                                  </w:pPr>
                                  <w:r w:rsidRPr="00B92607">
                                    <w:rPr>
                                      <w:b/>
                                      <w:i/>
                                      <w:sz w:val="20"/>
                                      <w:szCs w:val="20"/>
                                    </w:rPr>
                                    <w:t>Registrar, Ronald Prakash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4C213" id="_x0000_s1062" type="#_x0000_t202" style="position:absolute;margin-left:.05pt;margin-top:1.7pt;width:448.4pt;height:147.75pt;z-index:25164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daMAIAAFQEAAAOAAAAZHJzL2Uyb0RvYy54bWysVNtu2zAMfR+wfxD0vjhxc6sRp+jSZRjQ&#10;XYB2H0DLcixMFj1JiZ19fSk5TbN1T8P8IIgidXR4SHp10zeaHaR1Ck3OJ6MxZ9IILJXZ5fz74/bd&#10;kjPnwZSg0cicH6XjN+u3b1Zdm8kUa9SltIxAjMu6Nue1922WJE7UsgE3wlYaclZoG/Bk2l1SWugI&#10;vdFJOh7Pkw5t2VoU0jk6vRucfB3xq0oK/7WqnPRM55y4+bjauBZhTdYryHYW2lqJEw34BxYNKEOP&#10;nqHuwAPbW/UKqlHCosPKjwQ2CVaVEjLmQNlMxn9k81BDK2MuJI5rzzK5/wcrvhy+WabKnF9NFjPO&#10;DDRUpUfZe/Yee5YGgbrWZRT30FKk7+mYCh2Tde09ih+OGdzUYHby1lrsagklEZyEm8nF1QHHBZCi&#10;+4wlPQN7jxGor2wT1CM9GKFToY7n4gQqgg5n8+vpfEkuQb7JcjGfprP4BmTP11vr/EeJDQubnFuq&#10;foSHw73zgQ5kzyHhNYdalVuldTTsrthoyw5AnbKN3wn9tzBtWJfzdDkjsV5jhK6VZxQQQhp/9TeY&#10;Rnlqe62anC/H4QtBkAXtPpgy7j0oPeyJtjYnMYN+g5K+L/qhcPNwOShdYHkkeS0ObU5jSZsa7S/O&#10;OmrxnLufe7CSM/3JUImuJ9NpmIloTGeLlAx76SkuPWAEQeXcczZsNz7OUeBt8JZKWako8guTE2dq&#10;3aj9aczCbFzaMerlZ7B+AgAA//8DAFBLAwQUAAYACAAAACEAhdXQeNsAAAAGAQAADwAAAGRycy9k&#10;b3ducmV2LnhtbEyOwU7DMBBE70j8g7VI3KhDi6okxKkKEgfUA8LlwHETL0kgXke226Z/j3uC42hG&#10;b161me0ojuTD4FjB/SIDQdw6M3Cn4GP/cpeDCBHZ4OiYFJwpwKa+vqqwNO7E73TUsRMJwqFEBX2M&#10;UyllaHuyGBZuIk7dl/MWY4q+k8bjKcHtKJdZtpYWB04PPU703FP7ow9WwdOr/mTbrHbfnae9Pm93&#10;+k02St3ezNtHEJHm+DeGi35Shzo5Ne7AJojxkkVUsHoAkcq8WBcgGgXLIi9A1pX8r1//AgAA//8D&#10;AFBLAQItABQABgAIAAAAIQC2gziS/gAAAOEBAAATAAAAAAAAAAAAAAAAAAAAAABbQ29udGVudF9U&#10;eXBlc10ueG1sUEsBAi0AFAAGAAgAAAAhADj9If/WAAAAlAEAAAsAAAAAAAAAAAAAAAAALwEAAF9y&#10;ZWxzLy5yZWxzUEsBAi0AFAAGAAgAAAAhAJU9x1owAgAAVAQAAA4AAAAAAAAAAAAAAAAALgIAAGRy&#10;cy9lMm9Eb2MueG1sUEsBAi0AFAAGAAgAAAAhAIXV0HjbAAAABgEAAA8AAAAAAAAAAAAAAAAAigQA&#10;AGRycy9kb3ducmV2LnhtbFBLBQYAAAAABAAEAPMAAACSBQAAAAA=&#10;" strokecolor="#b31b34 [3206]" strokeweight="2.25pt">
                      <v:textbox>
                        <w:txbxContent>
                          <w:p w14:paraId="26F51271" w14:textId="0A525E77" w:rsidR="00CA4E85" w:rsidRPr="00995634" w:rsidRDefault="00CA4E85" w:rsidP="00CD6146">
                            <w:pPr>
                              <w:autoSpaceDE w:val="0"/>
                              <w:autoSpaceDN w:val="0"/>
                              <w:adjustRightInd w:val="0"/>
                              <w:spacing w:after="60"/>
                              <w:jc w:val="center"/>
                              <w:rPr>
                                <w:rFonts w:cstheme="minorHAnsi"/>
                                <w:b/>
                                <w:color w:val="00667C" w:themeColor="accent1"/>
                                <w:sz w:val="26"/>
                                <w:szCs w:val="26"/>
                              </w:rPr>
                            </w:pPr>
                            <w:r>
                              <w:rPr>
                                <w:rFonts w:cstheme="minorHAnsi"/>
                                <w:b/>
                                <w:color w:val="00667C" w:themeColor="accent1"/>
                                <w:sz w:val="26"/>
                                <w:szCs w:val="26"/>
                              </w:rPr>
                              <w:t>Nauru</w:t>
                            </w:r>
                          </w:p>
                          <w:p w14:paraId="02CDA82B" w14:textId="6F25A43D" w:rsidR="00CA4E85" w:rsidRPr="00B92607" w:rsidRDefault="00CA4E85" w:rsidP="00B92607">
                            <w:pPr>
                              <w:spacing w:after="40"/>
                              <w:ind w:left="142"/>
                              <w:rPr>
                                <w:sz w:val="22"/>
                                <w:szCs w:val="22"/>
                              </w:rPr>
                            </w:pPr>
                            <w:r w:rsidRPr="00B92607">
                              <w:rPr>
                                <w:i/>
                                <w:iCs/>
                                <w:sz w:val="22"/>
                                <w:szCs w:val="22"/>
                              </w:rPr>
                              <w:t>We are grateful for leadership funding for our remote conference equipment, we are looking forward to receiving this equipment as laws have been made to allow for virtual court proceedings to take place, and we are already looking into the possibility of conducting virtual court proceedings.</w:t>
                            </w:r>
                            <w:r>
                              <w:rPr>
                                <w:i/>
                                <w:iCs/>
                                <w:sz w:val="22"/>
                                <w:szCs w:val="22"/>
                              </w:rPr>
                              <w:t xml:space="preserve"> </w:t>
                            </w:r>
                            <w:r w:rsidRPr="00B92607">
                              <w:rPr>
                                <w:i/>
                                <w:iCs/>
                                <w:sz w:val="22"/>
                                <w:szCs w:val="22"/>
                              </w:rPr>
                              <w:t>Nauru Judiciary is forever grateful to PJSI for its support and funding. Nauru Judiciary benefited a lot, through the Efficiency Local Visit by Jennifer, after the workshop we were able to streamline the registry process such as filing systems, we also set time goals for each cases, Judicial officers also were able to take control of their case and hence judgments were delivered in a timely manner, backlog of cases reduced significantly.</w:t>
                            </w:r>
                          </w:p>
                          <w:p w14:paraId="52911012" w14:textId="70E5FA58" w:rsidR="00CA4E85" w:rsidRPr="00AC5E93" w:rsidRDefault="00CA4E85" w:rsidP="00C16A8C">
                            <w:pPr>
                              <w:jc w:val="right"/>
                              <w:rPr>
                                <w:b/>
                                <w:i/>
                                <w:sz w:val="20"/>
                                <w:szCs w:val="20"/>
                              </w:rPr>
                            </w:pPr>
                            <w:r w:rsidRPr="00B92607">
                              <w:rPr>
                                <w:b/>
                                <w:i/>
                                <w:sz w:val="20"/>
                                <w:szCs w:val="20"/>
                              </w:rPr>
                              <w:t>Registrar, Ronald Prakash</w:t>
                            </w:r>
                          </w:p>
                        </w:txbxContent>
                      </v:textbox>
                      <w10:wrap type="square" anchorx="margin"/>
                    </v:shape>
                  </w:pict>
                </mc:Fallback>
              </mc:AlternateContent>
            </w:r>
          </w:p>
        </w:tc>
      </w:tr>
      <w:tr w:rsidR="00C16A8C" w:rsidRPr="00250110" w14:paraId="7C7A049F" w14:textId="77777777" w:rsidTr="00B3374D">
        <w:tc>
          <w:tcPr>
            <w:tcW w:w="5000" w:type="pct"/>
          </w:tcPr>
          <w:p w14:paraId="73B1864C" w14:textId="5EFF2C4C" w:rsidR="00C16A8C" w:rsidRPr="00250110" w:rsidRDefault="00C16A8C" w:rsidP="00B3374D">
            <w:pPr>
              <w:rPr>
                <w:rFonts w:asciiTheme="minorHAnsi" w:hAnsiTheme="minorHAnsi" w:cstheme="minorHAnsi"/>
                <w:sz w:val="22"/>
                <w:szCs w:val="22"/>
                <w:lang w:val="en-AU"/>
              </w:rPr>
            </w:pPr>
            <w:r w:rsidRPr="00250110">
              <w:rPr>
                <w:rFonts w:cstheme="minorHAnsi"/>
                <w:noProof/>
                <w:lang w:val="en-AU"/>
              </w:rPr>
              <w:lastRenderedPageBreak/>
              <mc:AlternateContent>
                <mc:Choice Requires="wps">
                  <w:drawing>
                    <wp:anchor distT="45720" distB="45720" distL="114300" distR="114300" simplePos="0" relativeHeight="251641344" behindDoc="0" locked="0" layoutInCell="1" allowOverlap="1" wp14:anchorId="4F3ECAF4" wp14:editId="2479DC0C">
                      <wp:simplePos x="0" y="0"/>
                      <wp:positionH relativeFrom="column">
                        <wp:posOffset>-8890</wp:posOffset>
                      </wp:positionH>
                      <wp:positionV relativeFrom="paragraph">
                        <wp:posOffset>20955</wp:posOffset>
                      </wp:positionV>
                      <wp:extent cx="5694680" cy="5057775"/>
                      <wp:effectExtent l="19050" t="19050" r="20320" b="28575"/>
                      <wp:wrapSquare wrapText="bothSides"/>
                      <wp:docPr id="3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4680" cy="5057775"/>
                              </a:xfrm>
                              <a:prstGeom prst="rect">
                                <a:avLst/>
                              </a:prstGeom>
                              <a:solidFill>
                                <a:srgbClr val="FFFFFF"/>
                              </a:solidFill>
                              <a:ln w="28575">
                                <a:solidFill>
                                  <a:schemeClr val="accent3"/>
                                </a:solidFill>
                                <a:miter lim="800000"/>
                                <a:headEnd/>
                                <a:tailEnd/>
                              </a:ln>
                            </wps:spPr>
                            <wps:txbx>
                              <w:txbxContent>
                                <w:p w14:paraId="497FD089" w14:textId="77777777" w:rsidR="00CA4E85" w:rsidRPr="00995634" w:rsidRDefault="00CA4E85" w:rsidP="00C16A8C">
                                  <w:pPr>
                                    <w:autoSpaceDE w:val="0"/>
                                    <w:autoSpaceDN w:val="0"/>
                                    <w:adjustRightInd w:val="0"/>
                                    <w:spacing w:before="240" w:after="240"/>
                                    <w:jc w:val="center"/>
                                    <w:rPr>
                                      <w:rFonts w:cstheme="minorHAnsi"/>
                                      <w:b/>
                                      <w:color w:val="00667C" w:themeColor="accent1"/>
                                      <w:sz w:val="26"/>
                                      <w:szCs w:val="26"/>
                                    </w:rPr>
                                  </w:pPr>
                                  <w:r w:rsidRPr="00995634">
                                    <w:rPr>
                                      <w:rFonts w:cstheme="minorHAnsi"/>
                                      <w:b/>
                                      <w:color w:val="00667C" w:themeColor="accent1"/>
                                      <w:sz w:val="26"/>
                                      <w:szCs w:val="26"/>
                                    </w:rPr>
                                    <w:t>Solomon Islands</w:t>
                                  </w:r>
                                </w:p>
                                <w:p w14:paraId="4770058A" w14:textId="45BC8713" w:rsidR="00CA4E85" w:rsidRPr="00C16A8C" w:rsidRDefault="00CA4E85" w:rsidP="00C16A8C">
                                  <w:pPr>
                                    <w:autoSpaceDE w:val="0"/>
                                    <w:autoSpaceDN w:val="0"/>
                                    <w:adjustRightInd w:val="0"/>
                                    <w:spacing w:after="120"/>
                                    <w:ind w:left="142"/>
                                    <w:rPr>
                                      <w:rFonts w:cstheme="minorHAnsi"/>
                                      <w:sz w:val="22"/>
                                      <w:szCs w:val="22"/>
                                    </w:rPr>
                                  </w:pPr>
                                  <w:r w:rsidRPr="00C16A8C">
                                    <w:rPr>
                                      <w:rFonts w:cstheme="minorHAnsi"/>
                                      <w:sz w:val="22"/>
                                      <w:szCs w:val="22"/>
                                    </w:rPr>
                                    <w:t>Chief Justice Sir Albert Palmer made this assurance when welcoming the participants of the Pacific Judiciary Strengthening Initiative (PJSI) training for judges and magistrates.</w:t>
                                  </w:r>
                                </w:p>
                                <w:p w14:paraId="2F915CF2" w14:textId="003251C8" w:rsidR="00CA4E85" w:rsidRPr="00AC5E93" w:rsidRDefault="00CA4E85" w:rsidP="00C16A8C">
                                  <w:pPr>
                                    <w:autoSpaceDE w:val="0"/>
                                    <w:autoSpaceDN w:val="0"/>
                                    <w:adjustRightInd w:val="0"/>
                                    <w:spacing w:before="120" w:after="120"/>
                                    <w:ind w:left="142"/>
                                    <w:rPr>
                                      <w:rFonts w:cstheme="minorHAnsi"/>
                                      <w:i/>
                                      <w:sz w:val="22"/>
                                      <w:szCs w:val="22"/>
                                    </w:rPr>
                                  </w:pPr>
                                  <w:r w:rsidRPr="00AC5E93">
                                    <w:rPr>
                                      <w:rFonts w:cstheme="minorHAnsi"/>
                                      <w:i/>
                                      <w:sz w:val="22"/>
                                      <w:szCs w:val="22"/>
                                    </w:rPr>
                                    <w:t>“I wish to thank you all for making the time from all your busy schedules to be pre</w:t>
                                  </w:r>
                                  <w:r>
                                    <w:rPr>
                                      <w:rFonts w:cstheme="minorHAnsi"/>
                                      <w:i/>
                                      <w:sz w:val="22"/>
                                      <w:szCs w:val="22"/>
                                    </w:rPr>
                                    <w:t>sent this week for this course…</w:t>
                                  </w:r>
                                  <w:r w:rsidRPr="00AC5E93">
                                    <w:rPr>
                                      <w:rFonts w:cstheme="minorHAnsi"/>
                                      <w:i/>
                                      <w:sz w:val="22"/>
                                      <w:szCs w:val="22"/>
                                    </w:rPr>
                                    <w:t>let me assure you that your time in attending the course will be well worth the investment in terms of improving and enhancing their knowledge base, skills and attitude and thereby strengthening their competency to deliver better and quality judicial services to the people of Solomon Islands.”</w:t>
                                  </w:r>
                                </w:p>
                                <w:p w14:paraId="76A77346" w14:textId="77777777" w:rsidR="00CA4E85" w:rsidRPr="00AC5E93" w:rsidRDefault="00CA4E85" w:rsidP="00C16A8C">
                                  <w:pPr>
                                    <w:autoSpaceDE w:val="0"/>
                                    <w:autoSpaceDN w:val="0"/>
                                    <w:adjustRightInd w:val="0"/>
                                    <w:spacing w:before="120" w:after="120"/>
                                    <w:ind w:left="142"/>
                                    <w:rPr>
                                      <w:rFonts w:cstheme="minorHAnsi"/>
                                      <w:i/>
                                      <w:sz w:val="22"/>
                                      <w:szCs w:val="22"/>
                                    </w:rPr>
                                  </w:pPr>
                                  <w:r w:rsidRPr="00AC5E93">
                                    <w:rPr>
                                      <w:rFonts w:cstheme="minorHAnsi"/>
                                      <w:i/>
                                      <w:sz w:val="22"/>
                                      <w:szCs w:val="22"/>
                                    </w:rPr>
                                    <w:t>“There have been many other training that have been conducted in the country and regionally, where many of our judicial officers and non-law trained officers including court staff have been able to attend those vital and necessary courses and workshops for purposes of upgrading, improving, enhancing knowledge, skills and attitudes.</w:t>
                                  </w:r>
                                </w:p>
                                <w:p w14:paraId="10FE2996" w14:textId="77777777" w:rsidR="00CA4E85" w:rsidRPr="00AC5E93" w:rsidRDefault="00CA4E85" w:rsidP="00C16A8C">
                                  <w:pPr>
                                    <w:autoSpaceDE w:val="0"/>
                                    <w:autoSpaceDN w:val="0"/>
                                    <w:adjustRightInd w:val="0"/>
                                    <w:spacing w:before="120" w:after="120"/>
                                    <w:ind w:left="142"/>
                                    <w:rPr>
                                      <w:rFonts w:cstheme="minorHAnsi"/>
                                      <w:i/>
                                      <w:sz w:val="22"/>
                                      <w:szCs w:val="22"/>
                                    </w:rPr>
                                  </w:pPr>
                                  <w:r w:rsidRPr="00AC5E93">
                                    <w:rPr>
                                      <w:rFonts w:cstheme="minorHAnsi"/>
                                      <w:i/>
                                      <w:sz w:val="22"/>
                                      <w:szCs w:val="22"/>
                                    </w:rPr>
                                    <w:t>“Through this generous funding [the New Zealand] Government has been able to reach out in a very effective and sustainable way through the very able and capable management team of the International Division of the Federal Court of Australia to other judiciaries of the Pacific Island countries about 14 countries in total.</w:t>
                                  </w:r>
                                </w:p>
                                <w:p w14:paraId="018E1B5D" w14:textId="77777777" w:rsidR="00CA4E85" w:rsidRPr="00AC5E93" w:rsidRDefault="00CA4E85" w:rsidP="00C16A8C">
                                  <w:pPr>
                                    <w:autoSpaceDE w:val="0"/>
                                    <w:autoSpaceDN w:val="0"/>
                                    <w:adjustRightInd w:val="0"/>
                                    <w:spacing w:before="120" w:after="120"/>
                                    <w:ind w:left="142"/>
                                    <w:rPr>
                                      <w:rFonts w:cstheme="minorHAnsi"/>
                                      <w:i/>
                                      <w:sz w:val="22"/>
                                      <w:szCs w:val="22"/>
                                    </w:rPr>
                                  </w:pPr>
                                  <w:r w:rsidRPr="00AC5E93">
                                    <w:rPr>
                                      <w:rFonts w:cstheme="minorHAnsi"/>
                                      <w:i/>
                                      <w:sz w:val="22"/>
                                      <w:szCs w:val="22"/>
                                    </w:rPr>
                                    <w:t>I cannot emphasise enough how our judiciaries have been equipped and empowered to carry out our duties and responsibilities in a more effective and efficient manner,”</w:t>
                                  </w:r>
                                </w:p>
                                <w:p w14:paraId="43BC7748" w14:textId="35EA69DF" w:rsidR="00CA4E85" w:rsidRPr="00AC5E93" w:rsidRDefault="00CA4E85" w:rsidP="00C16A8C">
                                  <w:pPr>
                                    <w:autoSpaceDE w:val="0"/>
                                    <w:autoSpaceDN w:val="0"/>
                                    <w:adjustRightInd w:val="0"/>
                                    <w:spacing w:before="120" w:after="120"/>
                                    <w:ind w:left="142"/>
                                    <w:jc w:val="right"/>
                                    <w:rPr>
                                      <w:rFonts w:eastAsiaTheme="minorEastAsia" w:cstheme="minorHAnsi"/>
                                      <w:b/>
                                      <w:i/>
                                      <w:sz w:val="20"/>
                                      <w:szCs w:val="20"/>
                                      <w:lang w:eastAsia="ja-JP"/>
                                    </w:rPr>
                                  </w:pPr>
                                  <w:r w:rsidRPr="004722FA">
                                    <w:rPr>
                                      <w:rFonts w:cstheme="minorHAnsi"/>
                                      <w:b/>
                                      <w:i/>
                                      <w:sz w:val="20"/>
                                      <w:szCs w:val="20"/>
                                    </w:rPr>
                                    <w:t>The Hon. Chief Justice Sir Albert Palmer</w:t>
                                  </w:r>
                                </w:p>
                                <w:p w14:paraId="3038DD59" w14:textId="77777777" w:rsidR="00CA4E85" w:rsidRPr="00AC5E93" w:rsidRDefault="00CA4E85" w:rsidP="00C16A8C">
                                  <w:pPr>
                                    <w:autoSpaceDE w:val="0"/>
                                    <w:autoSpaceDN w:val="0"/>
                                    <w:adjustRightInd w:val="0"/>
                                    <w:spacing w:before="120" w:after="120"/>
                                    <w:ind w:left="142"/>
                                    <w:rPr>
                                      <w:rFonts w:cstheme="minorHAnsi"/>
                                      <w:i/>
                                      <w:sz w:val="22"/>
                                      <w:szCs w:val="22"/>
                                    </w:rPr>
                                  </w:pPr>
                                  <w:r w:rsidRPr="00AC5E93">
                                    <w:rPr>
                                      <w:rFonts w:cstheme="minorHAnsi"/>
                                      <w:i/>
                                      <w:sz w:val="22"/>
                                      <w:szCs w:val="22"/>
                                    </w:rPr>
                                    <w:t>“I have been so honoured to be part of PJSI recipient of workshops and trainings that have built my capacity as a Judicial Officer to continue providing our people with quality Justice Services required by law. Thank you to you and all who are tirelessly working behind the scenes to keep us nurtured appropriately for the good of our nations judicial system.”</w:t>
                                  </w:r>
                                </w:p>
                                <w:p w14:paraId="10907C9F" w14:textId="77777777" w:rsidR="00CA4E85" w:rsidRPr="00C0419F" w:rsidRDefault="00CA4E85" w:rsidP="00C16A8C">
                                  <w:pPr>
                                    <w:autoSpaceDE w:val="0"/>
                                    <w:autoSpaceDN w:val="0"/>
                                    <w:adjustRightInd w:val="0"/>
                                    <w:spacing w:before="120" w:after="120"/>
                                    <w:ind w:left="142"/>
                                    <w:jc w:val="right"/>
                                    <w:rPr>
                                      <w:rFonts w:eastAsiaTheme="minorEastAsia" w:cstheme="minorHAnsi"/>
                                      <w:b/>
                                      <w:i/>
                                      <w:sz w:val="20"/>
                                      <w:szCs w:val="20"/>
                                      <w:lang w:eastAsia="ja-JP"/>
                                    </w:rPr>
                                  </w:pPr>
                                  <w:r>
                                    <w:rPr>
                                      <w:rFonts w:cstheme="minorHAnsi"/>
                                      <w:b/>
                                      <w:i/>
                                      <w:sz w:val="20"/>
                                      <w:szCs w:val="20"/>
                                    </w:rPr>
                                    <w:t>Principal Magistrate, Tearo Beneteti</w:t>
                                  </w:r>
                                </w:p>
                                <w:p w14:paraId="120998B6" w14:textId="77777777" w:rsidR="00CA4E85" w:rsidRDefault="00CA4E85" w:rsidP="00C16A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ECAF4" id="_x0000_s1063" type="#_x0000_t202" style="position:absolute;margin-left:-.7pt;margin-top:1.65pt;width:448.4pt;height:398.25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U5YMAIAAFQEAAAOAAAAZHJzL2Uyb0RvYy54bWysVM1u2zAMvg/YOwi6L07SOEmNOEWXLsOA&#10;7gdo9wC0LMfCZNGTlNjZ05eS0zRbdxrmg0CK1EfyI+nVTd9odpDWKTQ5n4zGnEkjsFRml/Pvj9t3&#10;S86cB1OCRiNzfpSO36zfvll1bSanWKMupWUEYlzWtTmvvW+zJHGilg24EbbSkLFC24An1e6S0kJH&#10;6I1OpuPxPOnQlq1FIZ2j27vByNcRv6qk8F+ryknPdM4pNx9PG88inMl6BdnOQlsrcUoD/iGLBpSh&#10;oGeoO/DA9la9gmqUsOiw8iOBTYJVpYSMNVA1k/Ef1TzU0MpYC5Hj2jNN7v/Bii+Hb5apMudXk+Wc&#10;MwMNdelR9p69x55NA0Fd6zLye2jJ0/d0TY2Oxbr2HsUPxwxuajA7eWstdrWEkhKchJfJxdMBxwWQ&#10;ovuMJYWBvccI1Fe2CewRH4zQqVHHc3NCKoIu0/n1bL4kkyBbOk4Xi0UaY0D2/Ly1zn+U2LAg5NxS&#10;9yM8HO6dD+lA9uwSojnUqtwqraNid8VGW3YAmpRt/E7ov7lpw7qcT5cpBX+NEaZWnlFACGn81d9g&#10;GuVp7LVqcr4chy84QRa4+2DKKHtQepApbW1OZAb+BiZ9X/RD4xbhcWC6wPJI9FocxpzWkoQa7S/O&#10;OhrxnLufe7CSM/3JUIuuJ7NZ2ImozNLFlBR7aSkuLWAEQeXcczaIGx/3KORt8JZaWalI8ksmp5xp&#10;dCP3pzULu3GpR6+Xn8H6CQAA//8DAFBLAwQUAAYACAAAACEAVFMSB94AAAAIAQAADwAAAGRycy9k&#10;b3ducmV2LnhtbEyPzU7DMBCE70i8g7VI3FqnhJ8kZFMVJA6ohwqXA0cnXpJAvI5it03fHnOC42hG&#10;M9+U69kO4kiT7x0jrJYJCOLGmZ5bhPf9yyID4YNmowfHhHAmD+vq8qLUhXEnfqOjCq2IJewLjdCF&#10;MBZS+qYjq/3SjcTR+3ST1SHKqZVm0qdYbgd5kyT30uqe40KnR3ruqPlWB4vw9Ko+2Nbp9qudaK/O&#10;m63ayRrx+mrePIIINIe/MPziR3SoIlPtDmy8GBAWq9uYREhTENHO8ruoa4SHPM9AVqX8f6D6AQAA&#10;//8DAFBLAQItABQABgAIAAAAIQC2gziS/gAAAOEBAAATAAAAAAAAAAAAAAAAAAAAAABbQ29udGVu&#10;dF9UeXBlc10ueG1sUEsBAi0AFAAGAAgAAAAhADj9If/WAAAAlAEAAAsAAAAAAAAAAAAAAAAALwEA&#10;AF9yZWxzLy5yZWxzUEsBAi0AFAAGAAgAAAAhAOfNTlgwAgAAVAQAAA4AAAAAAAAAAAAAAAAALgIA&#10;AGRycy9lMm9Eb2MueG1sUEsBAi0AFAAGAAgAAAAhAFRTEgfeAAAACAEAAA8AAAAAAAAAAAAAAAAA&#10;igQAAGRycy9kb3ducmV2LnhtbFBLBQYAAAAABAAEAPMAAACVBQAAAAA=&#10;" strokecolor="#b31b34 [3206]" strokeweight="2.25pt">
                      <v:textbox>
                        <w:txbxContent>
                          <w:p w14:paraId="497FD089" w14:textId="77777777" w:rsidR="00CA4E85" w:rsidRPr="00995634" w:rsidRDefault="00CA4E85" w:rsidP="00C16A8C">
                            <w:pPr>
                              <w:autoSpaceDE w:val="0"/>
                              <w:autoSpaceDN w:val="0"/>
                              <w:adjustRightInd w:val="0"/>
                              <w:spacing w:before="240" w:after="240"/>
                              <w:jc w:val="center"/>
                              <w:rPr>
                                <w:rFonts w:cstheme="minorHAnsi"/>
                                <w:b/>
                                <w:color w:val="00667C" w:themeColor="accent1"/>
                                <w:sz w:val="26"/>
                                <w:szCs w:val="26"/>
                              </w:rPr>
                            </w:pPr>
                            <w:r w:rsidRPr="00995634">
                              <w:rPr>
                                <w:rFonts w:cstheme="minorHAnsi"/>
                                <w:b/>
                                <w:color w:val="00667C" w:themeColor="accent1"/>
                                <w:sz w:val="26"/>
                                <w:szCs w:val="26"/>
                              </w:rPr>
                              <w:t>Solomon Islands</w:t>
                            </w:r>
                          </w:p>
                          <w:p w14:paraId="4770058A" w14:textId="45BC8713" w:rsidR="00CA4E85" w:rsidRPr="00C16A8C" w:rsidRDefault="00CA4E85" w:rsidP="00C16A8C">
                            <w:pPr>
                              <w:autoSpaceDE w:val="0"/>
                              <w:autoSpaceDN w:val="0"/>
                              <w:adjustRightInd w:val="0"/>
                              <w:spacing w:after="120"/>
                              <w:ind w:left="142"/>
                              <w:rPr>
                                <w:rFonts w:cstheme="minorHAnsi"/>
                                <w:sz w:val="22"/>
                                <w:szCs w:val="22"/>
                              </w:rPr>
                            </w:pPr>
                            <w:r w:rsidRPr="00C16A8C">
                              <w:rPr>
                                <w:rFonts w:cstheme="minorHAnsi"/>
                                <w:sz w:val="22"/>
                                <w:szCs w:val="22"/>
                              </w:rPr>
                              <w:t>Chief Justice Sir Albert Palmer made this assurance when welcoming the participants of the Pacific Judiciary Strengthening Initiative (PJSI) training for judges and magistrates.</w:t>
                            </w:r>
                          </w:p>
                          <w:p w14:paraId="2F915CF2" w14:textId="003251C8" w:rsidR="00CA4E85" w:rsidRPr="00AC5E93" w:rsidRDefault="00CA4E85" w:rsidP="00C16A8C">
                            <w:pPr>
                              <w:autoSpaceDE w:val="0"/>
                              <w:autoSpaceDN w:val="0"/>
                              <w:adjustRightInd w:val="0"/>
                              <w:spacing w:before="120" w:after="120"/>
                              <w:ind w:left="142"/>
                              <w:rPr>
                                <w:rFonts w:cstheme="minorHAnsi"/>
                                <w:i/>
                                <w:sz w:val="22"/>
                                <w:szCs w:val="22"/>
                              </w:rPr>
                            </w:pPr>
                            <w:r w:rsidRPr="00AC5E93">
                              <w:rPr>
                                <w:rFonts w:cstheme="minorHAnsi"/>
                                <w:i/>
                                <w:sz w:val="22"/>
                                <w:szCs w:val="22"/>
                              </w:rPr>
                              <w:t>“I wish to thank you all for making the time from all your busy schedules to be pre</w:t>
                            </w:r>
                            <w:r>
                              <w:rPr>
                                <w:rFonts w:cstheme="minorHAnsi"/>
                                <w:i/>
                                <w:sz w:val="22"/>
                                <w:szCs w:val="22"/>
                              </w:rPr>
                              <w:t>sent this week for this course…</w:t>
                            </w:r>
                            <w:r w:rsidRPr="00AC5E93">
                              <w:rPr>
                                <w:rFonts w:cstheme="minorHAnsi"/>
                                <w:i/>
                                <w:sz w:val="22"/>
                                <w:szCs w:val="22"/>
                              </w:rPr>
                              <w:t>let me assure you that your time in attending the course will be well worth the investment in terms of improving and enhancing their knowledge base, skills and attitude and thereby strengthening their competency to deliver better and quality judicial services to the people of Solomon Islands.”</w:t>
                            </w:r>
                          </w:p>
                          <w:p w14:paraId="76A77346" w14:textId="77777777" w:rsidR="00CA4E85" w:rsidRPr="00AC5E93" w:rsidRDefault="00CA4E85" w:rsidP="00C16A8C">
                            <w:pPr>
                              <w:autoSpaceDE w:val="0"/>
                              <w:autoSpaceDN w:val="0"/>
                              <w:adjustRightInd w:val="0"/>
                              <w:spacing w:before="120" w:after="120"/>
                              <w:ind w:left="142"/>
                              <w:rPr>
                                <w:rFonts w:cstheme="minorHAnsi"/>
                                <w:i/>
                                <w:sz w:val="22"/>
                                <w:szCs w:val="22"/>
                              </w:rPr>
                            </w:pPr>
                            <w:r w:rsidRPr="00AC5E93">
                              <w:rPr>
                                <w:rFonts w:cstheme="minorHAnsi"/>
                                <w:i/>
                                <w:sz w:val="22"/>
                                <w:szCs w:val="22"/>
                              </w:rPr>
                              <w:t>“There have been many other training that have been conducted in the country and regionally, where many of our judicial officers and non-law trained officers including court staff have been able to attend those vital and necessary courses and workshops for purposes of upgrading, improving, enhancing knowledge, skills and attitudes.</w:t>
                            </w:r>
                          </w:p>
                          <w:p w14:paraId="10FE2996" w14:textId="77777777" w:rsidR="00CA4E85" w:rsidRPr="00AC5E93" w:rsidRDefault="00CA4E85" w:rsidP="00C16A8C">
                            <w:pPr>
                              <w:autoSpaceDE w:val="0"/>
                              <w:autoSpaceDN w:val="0"/>
                              <w:adjustRightInd w:val="0"/>
                              <w:spacing w:before="120" w:after="120"/>
                              <w:ind w:left="142"/>
                              <w:rPr>
                                <w:rFonts w:cstheme="minorHAnsi"/>
                                <w:i/>
                                <w:sz w:val="22"/>
                                <w:szCs w:val="22"/>
                              </w:rPr>
                            </w:pPr>
                            <w:r w:rsidRPr="00AC5E93">
                              <w:rPr>
                                <w:rFonts w:cstheme="minorHAnsi"/>
                                <w:i/>
                                <w:sz w:val="22"/>
                                <w:szCs w:val="22"/>
                              </w:rPr>
                              <w:t>“Through this generous funding [the New Zealand] Government has been able to reach out in a very effective and sustainable way through the very able and capable management team of the International Division of the Federal Court of Australia to other judiciaries of the Pacific Island countries about 14 countries in total.</w:t>
                            </w:r>
                          </w:p>
                          <w:p w14:paraId="018E1B5D" w14:textId="77777777" w:rsidR="00CA4E85" w:rsidRPr="00AC5E93" w:rsidRDefault="00CA4E85" w:rsidP="00C16A8C">
                            <w:pPr>
                              <w:autoSpaceDE w:val="0"/>
                              <w:autoSpaceDN w:val="0"/>
                              <w:adjustRightInd w:val="0"/>
                              <w:spacing w:before="120" w:after="120"/>
                              <w:ind w:left="142"/>
                              <w:rPr>
                                <w:rFonts w:cstheme="minorHAnsi"/>
                                <w:i/>
                                <w:sz w:val="22"/>
                                <w:szCs w:val="22"/>
                              </w:rPr>
                            </w:pPr>
                            <w:r w:rsidRPr="00AC5E93">
                              <w:rPr>
                                <w:rFonts w:cstheme="minorHAnsi"/>
                                <w:i/>
                                <w:sz w:val="22"/>
                                <w:szCs w:val="22"/>
                              </w:rPr>
                              <w:t>I cannot emphasise enough how our judiciaries have been equipped and empowered to carry out our duties and responsibilities in a more effective and efficient manner,”</w:t>
                            </w:r>
                          </w:p>
                          <w:p w14:paraId="43BC7748" w14:textId="35EA69DF" w:rsidR="00CA4E85" w:rsidRPr="00AC5E93" w:rsidRDefault="00CA4E85" w:rsidP="00C16A8C">
                            <w:pPr>
                              <w:autoSpaceDE w:val="0"/>
                              <w:autoSpaceDN w:val="0"/>
                              <w:adjustRightInd w:val="0"/>
                              <w:spacing w:before="120" w:after="120"/>
                              <w:ind w:left="142"/>
                              <w:jc w:val="right"/>
                              <w:rPr>
                                <w:rFonts w:eastAsiaTheme="minorEastAsia" w:cstheme="minorHAnsi"/>
                                <w:b/>
                                <w:i/>
                                <w:sz w:val="20"/>
                                <w:szCs w:val="20"/>
                                <w:lang w:eastAsia="ja-JP"/>
                              </w:rPr>
                            </w:pPr>
                            <w:r w:rsidRPr="004722FA">
                              <w:rPr>
                                <w:rFonts w:cstheme="minorHAnsi"/>
                                <w:b/>
                                <w:i/>
                                <w:sz w:val="20"/>
                                <w:szCs w:val="20"/>
                              </w:rPr>
                              <w:t>The Hon. Chief Justice Sir Albert Palmer</w:t>
                            </w:r>
                          </w:p>
                          <w:p w14:paraId="3038DD59" w14:textId="77777777" w:rsidR="00CA4E85" w:rsidRPr="00AC5E93" w:rsidRDefault="00CA4E85" w:rsidP="00C16A8C">
                            <w:pPr>
                              <w:autoSpaceDE w:val="0"/>
                              <w:autoSpaceDN w:val="0"/>
                              <w:adjustRightInd w:val="0"/>
                              <w:spacing w:before="120" w:after="120"/>
                              <w:ind w:left="142"/>
                              <w:rPr>
                                <w:rFonts w:cstheme="minorHAnsi"/>
                                <w:i/>
                                <w:sz w:val="22"/>
                                <w:szCs w:val="22"/>
                              </w:rPr>
                            </w:pPr>
                            <w:r w:rsidRPr="00AC5E93">
                              <w:rPr>
                                <w:rFonts w:cstheme="minorHAnsi"/>
                                <w:i/>
                                <w:sz w:val="22"/>
                                <w:szCs w:val="22"/>
                              </w:rPr>
                              <w:t>“I have been so honoured to be part of PJSI recipient of workshops and trainings that have built my capacity as a Judicial Officer to continue providing our people with quality Justice Services required by law. Thank you to you and all who are tirelessly working behind the scenes to keep us nurtured appropriately for the good of our nations judicial system.”</w:t>
                            </w:r>
                          </w:p>
                          <w:p w14:paraId="10907C9F" w14:textId="77777777" w:rsidR="00CA4E85" w:rsidRPr="00C0419F" w:rsidRDefault="00CA4E85" w:rsidP="00C16A8C">
                            <w:pPr>
                              <w:autoSpaceDE w:val="0"/>
                              <w:autoSpaceDN w:val="0"/>
                              <w:adjustRightInd w:val="0"/>
                              <w:spacing w:before="120" w:after="120"/>
                              <w:ind w:left="142"/>
                              <w:jc w:val="right"/>
                              <w:rPr>
                                <w:rFonts w:eastAsiaTheme="minorEastAsia" w:cstheme="minorHAnsi"/>
                                <w:b/>
                                <w:i/>
                                <w:sz w:val="20"/>
                                <w:szCs w:val="20"/>
                                <w:lang w:eastAsia="ja-JP"/>
                              </w:rPr>
                            </w:pPr>
                            <w:r>
                              <w:rPr>
                                <w:rFonts w:cstheme="minorHAnsi"/>
                                <w:b/>
                                <w:i/>
                                <w:sz w:val="20"/>
                                <w:szCs w:val="20"/>
                              </w:rPr>
                              <w:t>Principal Magistrate, Tearo Beneteti</w:t>
                            </w:r>
                          </w:p>
                          <w:p w14:paraId="120998B6" w14:textId="77777777" w:rsidR="00CA4E85" w:rsidRDefault="00CA4E85" w:rsidP="00C16A8C"/>
                        </w:txbxContent>
                      </v:textbox>
                      <w10:wrap type="square"/>
                    </v:shape>
                  </w:pict>
                </mc:Fallback>
              </mc:AlternateContent>
            </w:r>
          </w:p>
        </w:tc>
      </w:tr>
      <w:tr w:rsidR="00C16A8C" w:rsidRPr="00250110" w14:paraId="62291288" w14:textId="77777777" w:rsidTr="00B3374D">
        <w:tc>
          <w:tcPr>
            <w:tcW w:w="5000" w:type="pct"/>
          </w:tcPr>
          <w:p w14:paraId="3ABC3AD0" w14:textId="77777777" w:rsidR="00C16A8C" w:rsidRPr="00250110" w:rsidRDefault="00C16A8C" w:rsidP="00B3374D">
            <w:pPr>
              <w:rPr>
                <w:rFonts w:asciiTheme="minorHAnsi" w:hAnsiTheme="minorHAnsi" w:cstheme="minorHAnsi"/>
                <w:sz w:val="22"/>
                <w:szCs w:val="22"/>
                <w:lang w:val="en-AU"/>
              </w:rPr>
            </w:pPr>
            <w:r w:rsidRPr="00250110">
              <w:rPr>
                <w:rFonts w:cstheme="minorHAnsi"/>
                <w:b/>
                <w:noProof/>
                <w:color w:val="806600" w:themeColor="accent6" w:themeShade="80"/>
                <w:sz w:val="26"/>
                <w:szCs w:val="26"/>
                <w:lang w:val="en-AU"/>
              </w:rPr>
              <w:lastRenderedPageBreak/>
              <mc:AlternateContent>
                <mc:Choice Requires="wps">
                  <w:drawing>
                    <wp:anchor distT="0" distB="0" distL="114300" distR="114300" simplePos="0" relativeHeight="251643392" behindDoc="1" locked="0" layoutInCell="1" allowOverlap="1" wp14:anchorId="31115A14" wp14:editId="71FB7C51">
                      <wp:simplePos x="0" y="0"/>
                      <wp:positionH relativeFrom="margin">
                        <wp:posOffset>-8890</wp:posOffset>
                      </wp:positionH>
                      <wp:positionV relativeFrom="margin">
                        <wp:posOffset>254000</wp:posOffset>
                      </wp:positionV>
                      <wp:extent cx="5695200" cy="3848100"/>
                      <wp:effectExtent l="19050" t="19050" r="20320" b="19050"/>
                      <wp:wrapSquare wrapText="bothSides"/>
                      <wp:docPr id="3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200" cy="3848100"/>
                              </a:xfrm>
                              <a:prstGeom prst="rect">
                                <a:avLst/>
                              </a:prstGeom>
                              <a:ln w="28575">
                                <a:solidFill>
                                  <a:schemeClr val="accent3"/>
                                </a:solidFill>
                                <a:headEnd/>
                                <a:tailEnd/>
                              </a:ln>
                            </wps:spPr>
                            <wps:style>
                              <a:lnRef idx="2">
                                <a:schemeClr val="accent5"/>
                              </a:lnRef>
                              <a:fillRef idx="1">
                                <a:schemeClr val="lt1"/>
                              </a:fillRef>
                              <a:effectRef idx="0">
                                <a:schemeClr val="accent5"/>
                              </a:effectRef>
                              <a:fontRef idx="minor">
                                <a:schemeClr val="dk1"/>
                              </a:fontRef>
                            </wps:style>
                            <wps:txbx>
                              <w:txbxContent>
                                <w:p w14:paraId="3C43C02B" w14:textId="77777777" w:rsidR="00CA4E85" w:rsidRDefault="00CA4E85" w:rsidP="00C16A8C">
                                  <w:pPr>
                                    <w:autoSpaceDE w:val="0"/>
                                    <w:autoSpaceDN w:val="0"/>
                                    <w:adjustRightInd w:val="0"/>
                                    <w:spacing w:before="120" w:after="120"/>
                                    <w:jc w:val="center"/>
                                    <w:rPr>
                                      <w:rFonts w:cstheme="minorHAnsi"/>
                                      <w:b/>
                                      <w:color w:val="00667C" w:themeColor="accent1"/>
                                      <w:sz w:val="26"/>
                                      <w:szCs w:val="26"/>
                                    </w:rPr>
                                  </w:pPr>
                                  <w:r w:rsidRPr="009F54DE">
                                    <w:rPr>
                                      <w:rFonts w:cstheme="minorHAnsi"/>
                                      <w:b/>
                                      <w:color w:val="00667C" w:themeColor="accent1"/>
                                      <w:sz w:val="26"/>
                                      <w:szCs w:val="26"/>
                                    </w:rPr>
                                    <w:t>Tonga</w:t>
                                  </w:r>
                                </w:p>
                                <w:p w14:paraId="0E2FF74F" w14:textId="77777777" w:rsidR="00CA4E85" w:rsidRDefault="00CA4E85" w:rsidP="00C16A8C">
                                  <w:pPr>
                                    <w:autoSpaceDE w:val="0"/>
                                    <w:autoSpaceDN w:val="0"/>
                                    <w:adjustRightInd w:val="0"/>
                                    <w:spacing w:after="120"/>
                                    <w:rPr>
                                      <w:sz w:val="22"/>
                                    </w:rPr>
                                  </w:pPr>
                                  <w:r w:rsidRPr="000E618D">
                                    <w:rPr>
                                      <w:sz w:val="22"/>
                                    </w:rPr>
                                    <w:t xml:space="preserve">The judiciary utilised the Remote Court Proceedings Toolkit to create a Remote Court Proceedings Action Plan and build capacity to conduct court proceedings remotely during COVID-19 and in times of crisis. Since 2014, the judiciary has consistently reported on all 15 Cook Island Indicators, where in 2011, it could report on five. We have increased outreach through community awareness programs and the implementation of standard practices to support victims of family/sexual violence and unrepresented litigants. </w:t>
                                  </w:r>
                                </w:p>
                                <w:p w14:paraId="612F4253" w14:textId="77777777" w:rsidR="00CA4E85" w:rsidRPr="000E618D" w:rsidRDefault="00CA4E85" w:rsidP="00C16A8C">
                                  <w:pPr>
                                    <w:autoSpaceDE w:val="0"/>
                                    <w:autoSpaceDN w:val="0"/>
                                    <w:adjustRightInd w:val="0"/>
                                    <w:rPr>
                                      <w:sz w:val="22"/>
                                    </w:rPr>
                                  </w:pPr>
                                </w:p>
                                <w:p w14:paraId="6D1065EE" w14:textId="77777777" w:rsidR="00CA4E85" w:rsidRPr="009F54DE" w:rsidRDefault="00CA4E85" w:rsidP="00C16A8C">
                                  <w:pPr>
                                    <w:autoSpaceDE w:val="0"/>
                                    <w:autoSpaceDN w:val="0"/>
                                    <w:adjustRightInd w:val="0"/>
                                    <w:rPr>
                                      <w:rFonts w:cstheme="minorHAnsi"/>
                                      <w:i/>
                                      <w:iCs/>
                                      <w:sz w:val="22"/>
                                      <w:szCs w:val="23"/>
                                    </w:rPr>
                                  </w:pPr>
                                  <w:r>
                                    <w:rPr>
                                      <w:i/>
                                      <w:sz w:val="22"/>
                                    </w:rPr>
                                    <w:t>“</w:t>
                                  </w:r>
                                  <w:r w:rsidRPr="009F54DE">
                                    <w:rPr>
                                      <w:rFonts w:cstheme="minorHAnsi"/>
                                      <w:i/>
                                      <w:iCs/>
                                      <w:sz w:val="22"/>
                                      <w:szCs w:val="23"/>
                                    </w:rPr>
                                    <w:t>The implementation of the Court’s [and Pacific’s] first Disability Policy to assist in safeguarding the rights and access of persons with disabilities to the Courts and to justice.”</w:t>
                                  </w:r>
                                </w:p>
                                <w:p w14:paraId="29235E5D" w14:textId="77777777" w:rsidR="00CA4E85" w:rsidRPr="009F54DE" w:rsidRDefault="00CA4E85" w:rsidP="00C16A8C">
                                  <w:pPr>
                                    <w:autoSpaceDE w:val="0"/>
                                    <w:autoSpaceDN w:val="0"/>
                                    <w:adjustRightInd w:val="0"/>
                                    <w:spacing w:after="120"/>
                                    <w:ind w:left="720"/>
                                    <w:jc w:val="right"/>
                                    <w:rPr>
                                      <w:rFonts w:cstheme="minorHAnsi"/>
                                      <w:b/>
                                      <w:i/>
                                      <w:sz w:val="20"/>
                                      <w:szCs w:val="20"/>
                                    </w:rPr>
                                  </w:pPr>
                                  <w:r w:rsidRPr="009F54DE">
                                    <w:rPr>
                                      <w:rFonts w:cstheme="minorHAnsi"/>
                                      <w:b/>
                                      <w:i/>
                                      <w:sz w:val="20"/>
                                      <w:szCs w:val="20"/>
                                    </w:rPr>
                                    <w:t>The Hon. Chief Justice Whitten</w:t>
                                  </w:r>
                                </w:p>
                                <w:p w14:paraId="4CE7D5D9" w14:textId="77777777" w:rsidR="00CA4E85" w:rsidRPr="009F54DE" w:rsidRDefault="00CA4E85" w:rsidP="00C16A8C">
                                  <w:pPr>
                                    <w:spacing w:before="120"/>
                                    <w:rPr>
                                      <w:i/>
                                      <w:sz w:val="22"/>
                                      <w:szCs w:val="22"/>
                                    </w:rPr>
                                  </w:pPr>
                                  <w:r w:rsidRPr="007E38D3">
                                    <w:rPr>
                                      <w:i/>
                                      <w:sz w:val="22"/>
                                      <w:szCs w:val="22"/>
                                    </w:rPr>
                                    <w:t xml:space="preserve">“Straight after the last workshops, I commenced a series of visits to prisons to improve conditions. The women got lights in their room, the water tank was repaired so the quality of </w:t>
                                  </w:r>
                                  <w:r w:rsidRPr="009F54DE">
                                    <w:rPr>
                                      <w:i/>
                                      <w:sz w:val="22"/>
                                      <w:szCs w:val="22"/>
                                    </w:rPr>
                                    <w:t>drinking water improved, the bedding was updated.”</w:t>
                                  </w:r>
                                </w:p>
                                <w:p w14:paraId="7503CB48" w14:textId="77777777" w:rsidR="00CA4E85" w:rsidRDefault="00CA4E85" w:rsidP="00C16A8C">
                                  <w:pPr>
                                    <w:spacing w:before="120"/>
                                    <w:rPr>
                                      <w:i/>
                                      <w:sz w:val="22"/>
                                      <w:szCs w:val="22"/>
                                    </w:rPr>
                                  </w:pPr>
                                  <w:r w:rsidRPr="009F54DE">
                                    <w:rPr>
                                      <w:i/>
                                      <w:sz w:val="22"/>
                                      <w:szCs w:val="22"/>
                                    </w:rPr>
                                    <w:t xml:space="preserve">“I now request and use victim impact statements in sentencing, especially in cases of family and sexual violence.” </w:t>
                                  </w:r>
                                </w:p>
                                <w:p w14:paraId="2D9A871D" w14:textId="77777777" w:rsidR="00CA4E85" w:rsidRPr="009F54DE" w:rsidRDefault="00CA4E85" w:rsidP="00C16A8C">
                                  <w:pPr>
                                    <w:spacing w:before="120"/>
                                    <w:rPr>
                                      <w:i/>
                                      <w:sz w:val="22"/>
                                      <w:szCs w:val="22"/>
                                    </w:rPr>
                                  </w:pPr>
                                  <w:r w:rsidRPr="009F54DE">
                                    <w:rPr>
                                      <w:i/>
                                      <w:sz w:val="22"/>
                                      <w:szCs w:val="22"/>
                                    </w:rPr>
                                    <w:t>“Now I spend more time explaining to victims of sexual violence their rights under the law and the assistance the law can provide</w:t>
                                  </w:r>
                                  <w:r>
                                    <w:rPr>
                                      <w:i/>
                                      <w:sz w:val="22"/>
                                      <w:szCs w:val="22"/>
                                    </w:rPr>
                                    <w:t>.</w:t>
                                  </w:r>
                                  <w:r w:rsidRPr="009F54DE">
                                    <w:rPr>
                                      <w:i/>
                                      <w:sz w:val="22"/>
                                      <w:szCs w:val="22"/>
                                    </w:rPr>
                                    <w:t>”</w:t>
                                  </w:r>
                                </w:p>
                                <w:p w14:paraId="1C3E240D" w14:textId="77777777" w:rsidR="00CA4E85" w:rsidRPr="009F54DE" w:rsidRDefault="00CA4E85" w:rsidP="00C16A8C">
                                  <w:pPr>
                                    <w:jc w:val="right"/>
                                    <w:rPr>
                                      <w:b/>
                                      <w:i/>
                                      <w:sz w:val="20"/>
                                      <w:szCs w:val="20"/>
                                    </w:rPr>
                                  </w:pPr>
                                  <w:r>
                                    <w:rPr>
                                      <w:b/>
                                      <w:i/>
                                      <w:sz w:val="20"/>
                                      <w:szCs w:val="20"/>
                                    </w:rPr>
                                    <w:t xml:space="preserve">Human Rights Workshop </w:t>
                                  </w:r>
                                  <w:r w:rsidRPr="009F54DE">
                                    <w:rPr>
                                      <w:b/>
                                      <w:i/>
                                      <w:sz w:val="20"/>
                                      <w:szCs w:val="20"/>
                                    </w:rPr>
                                    <w:t>Training Participants</w:t>
                                  </w:r>
                                </w:p>
                                <w:p w14:paraId="16F9C943" w14:textId="77777777" w:rsidR="00CA4E85" w:rsidRDefault="00CA4E85" w:rsidP="00C16A8C">
                                  <w:p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15A14" id="_x0000_s1064" type="#_x0000_t202" style="position:absolute;margin-left:-.7pt;margin-top:20pt;width:448.45pt;height:303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LmwYwIAAAgFAAAOAAAAZHJzL2Uyb0RvYy54bWysVO1u0zAU/Y/EO1j+T9Ok7dZGTafRMYQ0&#10;PsTGA7iO01hzfIPtNSlPz7WdZmUgISH+WP6495x77ofXV32jyEEYK0EXNJ1MKRGaQyn1vqDfHm7f&#10;LCmxjumSKdCioEdh6dXm9at11+YigxpUKQxBEG3zri1o7VybJ4nltWiYnUArND5WYBrm8Gj2SWlY&#10;h+iNSrLp9CLpwJStAS6sxdub+Eg3Ab+qBHefq8oKR1RBMTYXVhPWnV+TzZrle8PaWvIhDPYPUTRM&#10;aiQdoW6YY+TJyN+gGskNWKjchEOTQFVJLoIGVJNOX6i5r1krghZMjm3HNNn/B8s/Hb4YIsuCztJV&#10;RolmDVbpQfSOvIWeZD5BXWtztLtv0dL1eI2FDmJtewf80RIN25rpvbg2BrpasBIDTL1ncuYacawH&#10;2XUfoUQa9uQgAPWVaXz2MB8E0bFQx7E4PhSOl4uL1QIrTgnHt9lyvkzx4DlYfnJvjXXvBTTEbwpq&#10;sPoBnh3urIumJxPPpjTpCpotF5eLKAeULG+lUv4xdKDYKkMODHuHcS60mw2E9tzSC36nS8RnuWNS&#10;xT2GpfSQAS96kO+OSkTur6LCvKOwLJL7jn/Jtxj4lEZr71ZhdKPjUIRfHZWLmR9tvZsIkzA6Tv/O&#10;OHoEVtBudG6kBvMngPJxZI72J/VRs28F1+/62GxLr8xf7aA8YksYiKOJXwluajA/KOlwLAtqvz8x&#10;IyhRHzS21Sqdz/0ch8N8cZnhwZy/7M5fmOYIVVBHSdxuXZh9L0rDNbZfJUNjPEcyBI3jFlpr+Br8&#10;PJ+fg9XzB7b5CQAA//8DAFBLAwQUAAYACAAAACEAq5slvN8AAAAJAQAADwAAAGRycy9kb3ducmV2&#10;LnhtbEyPzU7DMBCE70i8g7VI3Fo7KAltmk3FjypUiQsBcXZjN4lqr0PspuHtMSc4jmY08025na1h&#10;kx597wghWQpgmhqnemoRPt53ixUwHyQpaRxphG/tYVtdX5WyUO5Cb3qqQ8tiCflCInQhDAXnvum0&#10;lX7pBk3RO7rRyhDl2HI1yksst4bfCZFzK3uKC50c9FOnm1N9tgj+Mbxm4fRyv95P7aepafe8/0oQ&#10;b2/mhw2woOfwF4Zf/IgOVWQ6uDMpzwzCIkljEiEV8VL0V+ssA3ZAyNNcAK9K/v9B9QMAAP//AwBQ&#10;SwECLQAUAAYACAAAACEAtoM4kv4AAADhAQAAEwAAAAAAAAAAAAAAAAAAAAAAW0NvbnRlbnRfVHlw&#10;ZXNdLnhtbFBLAQItABQABgAIAAAAIQA4/SH/1gAAAJQBAAALAAAAAAAAAAAAAAAAAC8BAABfcmVs&#10;cy8ucmVsc1BLAQItABQABgAIAAAAIQDOPLmwYwIAAAgFAAAOAAAAAAAAAAAAAAAAAC4CAABkcnMv&#10;ZTJvRG9jLnhtbFBLAQItABQABgAIAAAAIQCrmyW83wAAAAkBAAAPAAAAAAAAAAAAAAAAAL0EAABk&#10;cnMvZG93bnJldi54bWxQSwUGAAAAAAQABADzAAAAyQUAAAAA&#10;" fillcolor="white [3201]" strokecolor="#b31b34 [3206]" strokeweight="2.25pt">
                      <v:textbox>
                        <w:txbxContent>
                          <w:p w14:paraId="3C43C02B" w14:textId="77777777" w:rsidR="00CA4E85" w:rsidRDefault="00CA4E85" w:rsidP="00C16A8C">
                            <w:pPr>
                              <w:autoSpaceDE w:val="0"/>
                              <w:autoSpaceDN w:val="0"/>
                              <w:adjustRightInd w:val="0"/>
                              <w:spacing w:before="120" w:after="120"/>
                              <w:jc w:val="center"/>
                              <w:rPr>
                                <w:rFonts w:cstheme="minorHAnsi"/>
                                <w:b/>
                                <w:color w:val="00667C" w:themeColor="accent1"/>
                                <w:sz w:val="26"/>
                                <w:szCs w:val="26"/>
                              </w:rPr>
                            </w:pPr>
                            <w:r w:rsidRPr="009F54DE">
                              <w:rPr>
                                <w:rFonts w:cstheme="minorHAnsi"/>
                                <w:b/>
                                <w:color w:val="00667C" w:themeColor="accent1"/>
                                <w:sz w:val="26"/>
                                <w:szCs w:val="26"/>
                              </w:rPr>
                              <w:t>Tonga</w:t>
                            </w:r>
                          </w:p>
                          <w:p w14:paraId="0E2FF74F" w14:textId="77777777" w:rsidR="00CA4E85" w:rsidRDefault="00CA4E85" w:rsidP="00C16A8C">
                            <w:pPr>
                              <w:autoSpaceDE w:val="0"/>
                              <w:autoSpaceDN w:val="0"/>
                              <w:adjustRightInd w:val="0"/>
                              <w:spacing w:after="120"/>
                              <w:rPr>
                                <w:sz w:val="22"/>
                              </w:rPr>
                            </w:pPr>
                            <w:r w:rsidRPr="000E618D">
                              <w:rPr>
                                <w:sz w:val="22"/>
                              </w:rPr>
                              <w:t xml:space="preserve">The judiciary utilised the Remote Court Proceedings Toolkit to create a Remote Court Proceedings Action Plan and build capacity to conduct court proceedings remotely during COVID-19 and in times of crisis. Since 2014, the judiciary has consistently reported on all 15 Cook Island Indicators, where in 2011, it could report on five. We have increased outreach through community awareness programs and the implementation of standard practices to support victims of family/sexual violence and unrepresented litigants. </w:t>
                            </w:r>
                          </w:p>
                          <w:p w14:paraId="612F4253" w14:textId="77777777" w:rsidR="00CA4E85" w:rsidRPr="000E618D" w:rsidRDefault="00CA4E85" w:rsidP="00C16A8C">
                            <w:pPr>
                              <w:autoSpaceDE w:val="0"/>
                              <w:autoSpaceDN w:val="0"/>
                              <w:adjustRightInd w:val="0"/>
                              <w:rPr>
                                <w:sz w:val="22"/>
                              </w:rPr>
                            </w:pPr>
                          </w:p>
                          <w:p w14:paraId="6D1065EE" w14:textId="77777777" w:rsidR="00CA4E85" w:rsidRPr="009F54DE" w:rsidRDefault="00CA4E85" w:rsidP="00C16A8C">
                            <w:pPr>
                              <w:autoSpaceDE w:val="0"/>
                              <w:autoSpaceDN w:val="0"/>
                              <w:adjustRightInd w:val="0"/>
                              <w:rPr>
                                <w:rFonts w:cstheme="minorHAnsi"/>
                                <w:i/>
                                <w:iCs/>
                                <w:sz w:val="22"/>
                                <w:szCs w:val="23"/>
                              </w:rPr>
                            </w:pPr>
                            <w:r>
                              <w:rPr>
                                <w:i/>
                                <w:sz w:val="22"/>
                              </w:rPr>
                              <w:t>“</w:t>
                            </w:r>
                            <w:r w:rsidRPr="009F54DE">
                              <w:rPr>
                                <w:rFonts w:cstheme="minorHAnsi"/>
                                <w:i/>
                                <w:iCs/>
                                <w:sz w:val="22"/>
                                <w:szCs w:val="23"/>
                              </w:rPr>
                              <w:t>The implementation of the Court’s [and Pacific’s] first Disability Policy to assist in safeguarding the rights and access of persons with disabilities to the Courts and to justice.”</w:t>
                            </w:r>
                          </w:p>
                          <w:p w14:paraId="29235E5D" w14:textId="77777777" w:rsidR="00CA4E85" w:rsidRPr="009F54DE" w:rsidRDefault="00CA4E85" w:rsidP="00C16A8C">
                            <w:pPr>
                              <w:autoSpaceDE w:val="0"/>
                              <w:autoSpaceDN w:val="0"/>
                              <w:adjustRightInd w:val="0"/>
                              <w:spacing w:after="120"/>
                              <w:ind w:left="720"/>
                              <w:jc w:val="right"/>
                              <w:rPr>
                                <w:rFonts w:cstheme="minorHAnsi"/>
                                <w:b/>
                                <w:i/>
                                <w:sz w:val="20"/>
                                <w:szCs w:val="20"/>
                              </w:rPr>
                            </w:pPr>
                            <w:r w:rsidRPr="009F54DE">
                              <w:rPr>
                                <w:rFonts w:cstheme="minorHAnsi"/>
                                <w:b/>
                                <w:i/>
                                <w:sz w:val="20"/>
                                <w:szCs w:val="20"/>
                              </w:rPr>
                              <w:t>The Hon. Chief Justice Whitten</w:t>
                            </w:r>
                          </w:p>
                          <w:p w14:paraId="4CE7D5D9" w14:textId="77777777" w:rsidR="00CA4E85" w:rsidRPr="009F54DE" w:rsidRDefault="00CA4E85" w:rsidP="00C16A8C">
                            <w:pPr>
                              <w:spacing w:before="120"/>
                              <w:rPr>
                                <w:i/>
                                <w:sz w:val="22"/>
                                <w:szCs w:val="22"/>
                              </w:rPr>
                            </w:pPr>
                            <w:r w:rsidRPr="007E38D3">
                              <w:rPr>
                                <w:i/>
                                <w:sz w:val="22"/>
                                <w:szCs w:val="22"/>
                              </w:rPr>
                              <w:t xml:space="preserve">“Straight after the last workshops, I commenced a series of visits to prisons to improve conditions. The women got lights in their room, the water tank was repaired so the quality of </w:t>
                            </w:r>
                            <w:r w:rsidRPr="009F54DE">
                              <w:rPr>
                                <w:i/>
                                <w:sz w:val="22"/>
                                <w:szCs w:val="22"/>
                              </w:rPr>
                              <w:t>drinking water improved, the bedding was updated.”</w:t>
                            </w:r>
                          </w:p>
                          <w:p w14:paraId="7503CB48" w14:textId="77777777" w:rsidR="00CA4E85" w:rsidRDefault="00CA4E85" w:rsidP="00C16A8C">
                            <w:pPr>
                              <w:spacing w:before="120"/>
                              <w:rPr>
                                <w:i/>
                                <w:sz w:val="22"/>
                                <w:szCs w:val="22"/>
                              </w:rPr>
                            </w:pPr>
                            <w:r w:rsidRPr="009F54DE">
                              <w:rPr>
                                <w:i/>
                                <w:sz w:val="22"/>
                                <w:szCs w:val="22"/>
                              </w:rPr>
                              <w:t xml:space="preserve">“I now request and use victim impact statements in sentencing, especially in cases of family and sexual violence.” </w:t>
                            </w:r>
                          </w:p>
                          <w:p w14:paraId="2D9A871D" w14:textId="77777777" w:rsidR="00CA4E85" w:rsidRPr="009F54DE" w:rsidRDefault="00CA4E85" w:rsidP="00C16A8C">
                            <w:pPr>
                              <w:spacing w:before="120"/>
                              <w:rPr>
                                <w:i/>
                                <w:sz w:val="22"/>
                                <w:szCs w:val="22"/>
                              </w:rPr>
                            </w:pPr>
                            <w:r w:rsidRPr="009F54DE">
                              <w:rPr>
                                <w:i/>
                                <w:sz w:val="22"/>
                                <w:szCs w:val="22"/>
                              </w:rPr>
                              <w:t>“Now I spend more time explaining to victims of sexual violence their rights under the law and the assistance the law can provide</w:t>
                            </w:r>
                            <w:r>
                              <w:rPr>
                                <w:i/>
                                <w:sz w:val="22"/>
                                <w:szCs w:val="22"/>
                              </w:rPr>
                              <w:t>.</w:t>
                            </w:r>
                            <w:r w:rsidRPr="009F54DE">
                              <w:rPr>
                                <w:i/>
                                <w:sz w:val="22"/>
                                <w:szCs w:val="22"/>
                              </w:rPr>
                              <w:t>”</w:t>
                            </w:r>
                          </w:p>
                          <w:p w14:paraId="1C3E240D" w14:textId="77777777" w:rsidR="00CA4E85" w:rsidRPr="009F54DE" w:rsidRDefault="00CA4E85" w:rsidP="00C16A8C">
                            <w:pPr>
                              <w:jc w:val="right"/>
                              <w:rPr>
                                <w:b/>
                                <w:i/>
                                <w:sz w:val="20"/>
                                <w:szCs w:val="20"/>
                              </w:rPr>
                            </w:pPr>
                            <w:r>
                              <w:rPr>
                                <w:b/>
                                <w:i/>
                                <w:sz w:val="20"/>
                                <w:szCs w:val="20"/>
                              </w:rPr>
                              <w:t xml:space="preserve">Human Rights Workshop </w:t>
                            </w:r>
                            <w:r w:rsidRPr="009F54DE">
                              <w:rPr>
                                <w:b/>
                                <w:i/>
                                <w:sz w:val="20"/>
                                <w:szCs w:val="20"/>
                              </w:rPr>
                              <w:t>Training Participants</w:t>
                            </w:r>
                          </w:p>
                          <w:p w14:paraId="16F9C943" w14:textId="77777777" w:rsidR="00CA4E85" w:rsidRDefault="00CA4E85" w:rsidP="00C16A8C">
                            <w:pPr>
                              <w:jc w:val="right"/>
                            </w:pPr>
                          </w:p>
                        </w:txbxContent>
                      </v:textbox>
                      <w10:wrap type="square" anchorx="margin" anchory="margin"/>
                    </v:shape>
                  </w:pict>
                </mc:Fallback>
              </mc:AlternateContent>
            </w:r>
          </w:p>
        </w:tc>
      </w:tr>
    </w:tbl>
    <w:p w14:paraId="17A14672" w14:textId="453D54B6" w:rsidR="00C16A8C" w:rsidRPr="00F852AA" w:rsidRDefault="007137D2" w:rsidP="00C16A8C">
      <w:pPr>
        <w:rPr>
          <w:sz w:val="22"/>
          <w:szCs w:val="22"/>
          <w:lang w:val="en-AU"/>
        </w:rPr>
      </w:pPr>
      <w:r w:rsidRPr="00250110">
        <w:rPr>
          <w:rFonts w:cstheme="minorHAnsi"/>
          <w:noProof/>
          <w:lang w:val="en-AU"/>
        </w:rPr>
        <mc:AlternateContent>
          <mc:Choice Requires="wps">
            <w:drawing>
              <wp:anchor distT="45720" distB="45720" distL="114300" distR="114300" simplePos="0" relativeHeight="251642368" behindDoc="0" locked="0" layoutInCell="1" allowOverlap="1" wp14:anchorId="19EA2B9E" wp14:editId="57DD25F6">
                <wp:simplePos x="0" y="0"/>
                <wp:positionH relativeFrom="margin">
                  <wp:align>left</wp:align>
                </wp:positionH>
                <wp:positionV relativeFrom="paragraph">
                  <wp:posOffset>-4272915</wp:posOffset>
                </wp:positionV>
                <wp:extent cx="5694680" cy="3200400"/>
                <wp:effectExtent l="19050" t="19050" r="20320" b="19050"/>
                <wp:wrapSquare wrapText="bothSides"/>
                <wp:docPr id="3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4680" cy="3200400"/>
                        </a:xfrm>
                        <a:prstGeom prst="rect">
                          <a:avLst/>
                        </a:prstGeom>
                        <a:solidFill>
                          <a:srgbClr val="FFFFFF"/>
                        </a:solidFill>
                        <a:ln w="28575">
                          <a:solidFill>
                            <a:schemeClr val="accent3"/>
                          </a:solidFill>
                          <a:miter lim="800000"/>
                          <a:headEnd/>
                          <a:tailEnd/>
                        </a:ln>
                      </wps:spPr>
                      <wps:txbx>
                        <w:txbxContent>
                          <w:p w14:paraId="0EA462CA" w14:textId="77777777" w:rsidR="00CA4E85" w:rsidRPr="00995634" w:rsidRDefault="00CA4E85" w:rsidP="00C16A8C">
                            <w:pPr>
                              <w:autoSpaceDE w:val="0"/>
                              <w:autoSpaceDN w:val="0"/>
                              <w:adjustRightInd w:val="0"/>
                              <w:spacing w:before="240" w:after="240"/>
                              <w:jc w:val="center"/>
                              <w:rPr>
                                <w:rFonts w:cstheme="minorHAnsi"/>
                                <w:b/>
                                <w:color w:val="00667C" w:themeColor="accent1"/>
                                <w:sz w:val="26"/>
                                <w:szCs w:val="26"/>
                              </w:rPr>
                            </w:pPr>
                            <w:r w:rsidRPr="00995634">
                              <w:rPr>
                                <w:rFonts w:cstheme="minorHAnsi"/>
                                <w:b/>
                                <w:color w:val="00667C" w:themeColor="accent1"/>
                                <w:sz w:val="26"/>
                                <w:szCs w:val="26"/>
                              </w:rPr>
                              <w:t>Tokelau</w:t>
                            </w:r>
                          </w:p>
                          <w:p w14:paraId="536EA298" w14:textId="77777777" w:rsidR="00CA4E85" w:rsidRPr="00AC5E93" w:rsidRDefault="00CA4E85" w:rsidP="00C16A8C">
                            <w:pPr>
                              <w:autoSpaceDE w:val="0"/>
                              <w:autoSpaceDN w:val="0"/>
                              <w:adjustRightInd w:val="0"/>
                              <w:spacing w:after="120"/>
                              <w:ind w:left="142"/>
                              <w:rPr>
                                <w:rFonts w:cstheme="minorHAnsi"/>
                                <w:i/>
                                <w:sz w:val="22"/>
                                <w:szCs w:val="22"/>
                              </w:rPr>
                            </w:pPr>
                            <w:r w:rsidRPr="00AC5E93">
                              <w:rPr>
                                <w:rFonts w:cstheme="minorHAnsi"/>
                                <w:i/>
                                <w:sz w:val="22"/>
                                <w:szCs w:val="22"/>
                              </w:rPr>
                              <w:t>“I am glad that the Pacific Judicial Strengthening Initiative is continuing to assist with training for the judicial officers of Tokelau. Judicial officers in every country are entrusted with a difficult and important of judicial independence. In that context, support and training are always needed to ensure that we can meet the high standards expected by our communities.”</w:t>
                            </w:r>
                          </w:p>
                          <w:p w14:paraId="5660786F" w14:textId="53BD5893" w:rsidR="00CA4E85" w:rsidRPr="00AB355D" w:rsidRDefault="00CA4E85" w:rsidP="00C16A8C">
                            <w:pPr>
                              <w:autoSpaceDE w:val="0"/>
                              <w:autoSpaceDN w:val="0"/>
                              <w:adjustRightInd w:val="0"/>
                              <w:spacing w:before="120" w:after="120"/>
                              <w:ind w:left="142"/>
                              <w:jc w:val="right"/>
                              <w:rPr>
                                <w:rFonts w:cstheme="minorHAnsi"/>
                                <w:b/>
                                <w:i/>
                                <w:sz w:val="20"/>
                                <w:szCs w:val="20"/>
                              </w:rPr>
                            </w:pPr>
                            <w:r>
                              <w:rPr>
                                <w:rFonts w:cstheme="minorHAnsi"/>
                                <w:b/>
                                <w:i/>
                                <w:sz w:val="20"/>
                                <w:szCs w:val="20"/>
                              </w:rPr>
                              <w:t>The Hon. Chief Justice Dame Sian Elias</w:t>
                            </w:r>
                            <w:r w:rsidRPr="00C33036">
                              <w:rPr>
                                <w:rFonts w:cstheme="minorHAnsi"/>
                                <w:b/>
                                <w:i/>
                                <w:sz w:val="20"/>
                                <w:szCs w:val="20"/>
                              </w:rPr>
                              <w:t xml:space="preserve"> </w:t>
                            </w:r>
                            <w:r w:rsidRPr="00C33036">
                              <w:rPr>
                                <w:rFonts w:cstheme="minorHAnsi"/>
                                <w:i/>
                                <w:sz w:val="20"/>
                                <w:szCs w:val="20"/>
                              </w:rPr>
                              <w:t xml:space="preserve">(Former) </w:t>
                            </w:r>
                            <w:r w:rsidRPr="00C33036">
                              <w:rPr>
                                <w:rFonts w:cstheme="minorHAnsi"/>
                                <w:b/>
                                <w:i/>
                                <w:sz w:val="20"/>
                                <w:szCs w:val="20"/>
                              </w:rPr>
                              <w:t xml:space="preserve"> </w:t>
                            </w:r>
                          </w:p>
                          <w:p w14:paraId="4DF924A6" w14:textId="77777777" w:rsidR="00CA4E85" w:rsidRDefault="00CA4E85" w:rsidP="00C16A8C">
                            <w:pPr>
                              <w:autoSpaceDE w:val="0"/>
                              <w:autoSpaceDN w:val="0"/>
                              <w:adjustRightInd w:val="0"/>
                              <w:ind w:left="142"/>
                              <w:rPr>
                                <w:rFonts w:cstheme="minorHAnsi"/>
                                <w:i/>
                                <w:sz w:val="22"/>
                                <w:szCs w:val="22"/>
                              </w:rPr>
                            </w:pPr>
                            <w:r w:rsidRPr="00AC5E93">
                              <w:rPr>
                                <w:rFonts w:cstheme="minorHAnsi"/>
                                <w:i/>
                                <w:sz w:val="22"/>
                                <w:szCs w:val="22"/>
                              </w:rPr>
                              <w:t>The assistance and support with capacity building in terms of Law from Pacific Judicial Strengthening Initiative (PJSI) previously known as Pacific Judiciary Development Programme (PJDP) has been immensely effective. The training and skills through past workshops and training have given us the knowledge and confidence to implement our roles in the Judiciary system. This training has also given us the knowledge and ability to develop and present Awareness and Capacity Building presentations specifically on Policing and Law to Council of Elders (Taupulega) and to local Community Based Organisations (Aumaga,</w:t>
                            </w:r>
                            <w:r>
                              <w:rPr>
                                <w:rFonts w:cstheme="minorHAnsi"/>
                                <w:i/>
                                <w:sz w:val="22"/>
                                <w:szCs w:val="22"/>
                              </w:rPr>
                              <w:t xml:space="preserve"> Fatupaepae, Youth and Sports).</w:t>
                            </w:r>
                          </w:p>
                          <w:p w14:paraId="69FFC47A" w14:textId="77777777" w:rsidR="00CA4E85" w:rsidRPr="00561D09" w:rsidRDefault="00CA4E85" w:rsidP="00C16A8C">
                            <w:pPr>
                              <w:autoSpaceDE w:val="0"/>
                              <w:autoSpaceDN w:val="0"/>
                              <w:adjustRightInd w:val="0"/>
                              <w:spacing w:after="120"/>
                              <w:ind w:left="142"/>
                              <w:jc w:val="right"/>
                              <w:rPr>
                                <w:rFonts w:cstheme="minorHAnsi"/>
                                <w:i/>
                                <w:sz w:val="22"/>
                                <w:szCs w:val="22"/>
                              </w:rPr>
                            </w:pPr>
                            <w:r>
                              <w:rPr>
                                <w:rFonts w:cstheme="minorHAnsi"/>
                                <w:b/>
                                <w:i/>
                                <w:sz w:val="20"/>
                                <w:szCs w:val="20"/>
                              </w:rPr>
                              <w:t>Court Annual Report</w:t>
                            </w:r>
                          </w:p>
                          <w:p w14:paraId="142163CD" w14:textId="77777777" w:rsidR="00CA4E85" w:rsidRDefault="00CA4E85" w:rsidP="00C16A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A2B9E" id="_x0000_s1065" type="#_x0000_t202" style="position:absolute;margin-left:0;margin-top:-336.45pt;width:448.4pt;height:252pt;z-index:2516423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VaeMQIAAFQEAAAOAAAAZHJzL2Uyb0RvYy54bWysVNtu2zAMfR+wfxD0vjj3ixGn6NJlGNBd&#10;gHYfQMtyLEwWPUmJnX19KTlNs25Pw/wgiCJ1dHhIen3T1ZodpXUKTcZHgyFn0ggslNln/Pvj7t2S&#10;M+fBFKDRyIyfpOM3m7dv1m2TyjFWqAtpGYEYl7ZNxivvmzRJnKhkDW6AjTTkLNHW4Mm0+6Sw0BJ6&#10;rZPxcDhPWrRFY1FI5+j0rnfyTcQvSyn817J00jOdceLm42rjmoc12awh3VtoKiXONOAfWNSgDD16&#10;gboDD+xg1R9QtRIWHZZ+ILBOsCyVkDEHymY0fJXNQwWNjLmQOK65yOT+H6z4cvxmmSoyPhktF5wZ&#10;qKlKj7Lz7D12bBwEahuXUtxDQ5G+o2MqdEzWNfcofjhmcFuB2ctba7GtJBREcBRuJldXexwXQPL2&#10;Mxb0DBw8RqCutHVQj/RghE6FOl2KE6gIOpzNV9P5klyCfBOq/XQYy5dA+ny9sc5/lFizsMm4pepH&#10;eDjeOx/oQPocEl5zqFWxU1pHw+7zrbbsCNQpu/jFDF6FacPajI+Xs8Wsl+A3jNC18oICQkjjJ3+D&#10;qZWntteqzvhyGL4QBGnQ7oMp4t6D0v2eaGtzFjPo1yvpu7zrC7cKl4PSORYnktdi3+Y0lrSp0P7i&#10;rKUWz7j7eQArOdOfDJVoNZpOw0xEYzpbjMmw15782gNGEFTGPWf9duvjHAXeBm+plKWKIr8wOXOm&#10;1o3an8cszMa1HaNefgabJwAAAP//AwBQSwMEFAAGAAgAAAAhAKGFZN7fAAAACgEAAA8AAABkcnMv&#10;ZG93bnJldi54bWxMj8FOwzAMhu9IvENkJG5buiGVtjSdBhIHtAOi48Axbby2o3GqJNu6t8ec4Gj/&#10;1u/vKzezHcUZfRgcKVgtExBIrTMDdQo+96+LDESImoweHaGCKwbYVLc3pS6Mu9AHnuvYCS6hUGgF&#10;fYxTIWVoe7Q6LN2ExNnBeasjj76TxusLl9tRrpMklVYPxB96PeFLj+13fbIKnt/qL7LNw+7YedzX&#10;1+2ufpeNUvd38/YJRMQ5/h3DLz6jQ8VMjTuRCWJUwCJRwSJ9XOcgOM/ylFUaXq3SLAdZlfK/QvUD&#10;AAD//wMAUEsBAi0AFAAGAAgAAAAhALaDOJL+AAAA4QEAABMAAAAAAAAAAAAAAAAAAAAAAFtDb250&#10;ZW50X1R5cGVzXS54bWxQSwECLQAUAAYACAAAACEAOP0h/9YAAACUAQAACwAAAAAAAAAAAAAAAAAv&#10;AQAAX3JlbHMvLnJlbHNQSwECLQAUAAYACAAAACEACC1WnjECAABUBAAADgAAAAAAAAAAAAAAAAAu&#10;AgAAZHJzL2Uyb0RvYy54bWxQSwECLQAUAAYACAAAACEAoYVk3t8AAAAKAQAADwAAAAAAAAAAAAAA&#10;AACLBAAAZHJzL2Rvd25yZXYueG1sUEsFBgAAAAAEAAQA8wAAAJcFAAAAAA==&#10;" strokecolor="#b31b34 [3206]" strokeweight="2.25pt">
                <v:textbox>
                  <w:txbxContent>
                    <w:p w14:paraId="0EA462CA" w14:textId="77777777" w:rsidR="00CA4E85" w:rsidRPr="00995634" w:rsidRDefault="00CA4E85" w:rsidP="00C16A8C">
                      <w:pPr>
                        <w:autoSpaceDE w:val="0"/>
                        <w:autoSpaceDN w:val="0"/>
                        <w:adjustRightInd w:val="0"/>
                        <w:spacing w:before="240" w:after="240"/>
                        <w:jc w:val="center"/>
                        <w:rPr>
                          <w:rFonts w:cstheme="minorHAnsi"/>
                          <w:b/>
                          <w:color w:val="00667C" w:themeColor="accent1"/>
                          <w:sz w:val="26"/>
                          <w:szCs w:val="26"/>
                        </w:rPr>
                      </w:pPr>
                      <w:r w:rsidRPr="00995634">
                        <w:rPr>
                          <w:rFonts w:cstheme="minorHAnsi"/>
                          <w:b/>
                          <w:color w:val="00667C" w:themeColor="accent1"/>
                          <w:sz w:val="26"/>
                          <w:szCs w:val="26"/>
                        </w:rPr>
                        <w:t>Tokelau</w:t>
                      </w:r>
                    </w:p>
                    <w:p w14:paraId="536EA298" w14:textId="77777777" w:rsidR="00CA4E85" w:rsidRPr="00AC5E93" w:rsidRDefault="00CA4E85" w:rsidP="00C16A8C">
                      <w:pPr>
                        <w:autoSpaceDE w:val="0"/>
                        <w:autoSpaceDN w:val="0"/>
                        <w:adjustRightInd w:val="0"/>
                        <w:spacing w:after="120"/>
                        <w:ind w:left="142"/>
                        <w:rPr>
                          <w:rFonts w:cstheme="minorHAnsi"/>
                          <w:i/>
                          <w:sz w:val="22"/>
                          <w:szCs w:val="22"/>
                        </w:rPr>
                      </w:pPr>
                      <w:r w:rsidRPr="00AC5E93">
                        <w:rPr>
                          <w:rFonts w:cstheme="minorHAnsi"/>
                          <w:i/>
                          <w:sz w:val="22"/>
                          <w:szCs w:val="22"/>
                        </w:rPr>
                        <w:t>“I am glad that the Pacific Judicial Strengthening Initiative is continuing to assist with training for the judicial officers of Tokelau. Judicial officers in every country are entrusted with a difficult and important of judicial independence. In that context, support and training are always needed to ensure that we can meet the high standards expected by our communities.”</w:t>
                      </w:r>
                    </w:p>
                    <w:p w14:paraId="5660786F" w14:textId="53BD5893" w:rsidR="00CA4E85" w:rsidRPr="00AB355D" w:rsidRDefault="00CA4E85" w:rsidP="00C16A8C">
                      <w:pPr>
                        <w:autoSpaceDE w:val="0"/>
                        <w:autoSpaceDN w:val="0"/>
                        <w:adjustRightInd w:val="0"/>
                        <w:spacing w:before="120" w:after="120"/>
                        <w:ind w:left="142"/>
                        <w:jc w:val="right"/>
                        <w:rPr>
                          <w:rFonts w:cstheme="minorHAnsi"/>
                          <w:b/>
                          <w:i/>
                          <w:sz w:val="20"/>
                          <w:szCs w:val="20"/>
                        </w:rPr>
                      </w:pPr>
                      <w:r>
                        <w:rPr>
                          <w:rFonts w:cstheme="minorHAnsi"/>
                          <w:b/>
                          <w:i/>
                          <w:sz w:val="20"/>
                          <w:szCs w:val="20"/>
                        </w:rPr>
                        <w:t>The Hon. Chief Justice Dame Sian Elias</w:t>
                      </w:r>
                      <w:r w:rsidRPr="00C33036">
                        <w:rPr>
                          <w:rFonts w:cstheme="minorHAnsi"/>
                          <w:b/>
                          <w:i/>
                          <w:sz w:val="20"/>
                          <w:szCs w:val="20"/>
                        </w:rPr>
                        <w:t xml:space="preserve"> </w:t>
                      </w:r>
                      <w:r w:rsidRPr="00C33036">
                        <w:rPr>
                          <w:rFonts w:cstheme="minorHAnsi"/>
                          <w:i/>
                          <w:sz w:val="20"/>
                          <w:szCs w:val="20"/>
                        </w:rPr>
                        <w:t xml:space="preserve">(Former) </w:t>
                      </w:r>
                      <w:r w:rsidRPr="00C33036">
                        <w:rPr>
                          <w:rFonts w:cstheme="minorHAnsi"/>
                          <w:b/>
                          <w:i/>
                          <w:sz w:val="20"/>
                          <w:szCs w:val="20"/>
                        </w:rPr>
                        <w:t xml:space="preserve"> </w:t>
                      </w:r>
                    </w:p>
                    <w:p w14:paraId="4DF924A6" w14:textId="77777777" w:rsidR="00CA4E85" w:rsidRDefault="00CA4E85" w:rsidP="00C16A8C">
                      <w:pPr>
                        <w:autoSpaceDE w:val="0"/>
                        <w:autoSpaceDN w:val="0"/>
                        <w:adjustRightInd w:val="0"/>
                        <w:ind w:left="142"/>
                        <w:rPr>
                          <w:rFonts w:cstheme="minorHAnsi"/>
                          <w:i/>
                          <w:sz w:val="22"/>
                          <w:szCs w:val="22"/>
                        </w:rPr>
                      </w:pPr>
                      <w:r w:rsidRPr="00AC5E93">
                        <w:rPr>
                          <w:rFonts w:cstheme="minorHAnsi"/>
                          <w:i/>
                          <w:sz w:val="22"/>
                          <w:szCs w:val="22"/>
                        </w:rPr>
                        <w:t>The assistance and support with capacity building in terms of Law from Pacific Judicial Strengthening Initiative (PJSI) previously known as Pacific Judiciary Development Programme (PJDP) has been immensely effective. The training and skills through past workshops and training have given us the knowledge and confidence to implement our roles in the Judiciary system. This training has also given us the knowledge and ability to develop and present Awareness and Capacity Building presentations specifically on Policing and Law to Council of Elders (Taupulega) and to local Community Based Organisations (Aumaga,</w:t>
                      </w:r>
                      <w:r>
                        <w:rPr>
                          <w:rFonts w:cstheme="minorHAnsi"/>
                          <w:i/>
                          <w:sz w:val="22"/>
                          <w:szCs w:val="22"/>
                        </w:rPr>
                        <w:t xml:space="preserve"> Fatupaepae, Youth and Sports).</w:t>
                      </w:r>
                    </w:p>
                    <w:p w14:paraId="69FFC47A" w14:textId="77777777" w:rsidR="00CA4E85" w:rsidRPr="00561D09" w:rsidRDefault="00CA4E85" w:rsidP="00C16A8C">
                      <w:pPr>
                        <w:autoSpaceDE w:val="0"/>
                        <w:autoSpaceDN w:val="0"/>
                        <w:adjustRightInd w:val="0"/>
                        <w:spacing w:after="120"/>
                        <w:ind w:left="142"/>
                        <w:jc w:val="right"/>
                        <w:rPr>
                          <w:rFonts w:cstheme="minorHAnsi"/>
                          <w:i/>
                          <w:sz w:val="22"/>
                          <w:szCs w:val="22"/>
                        </w:rPr>
                      </w:pPr>
                      <w:r>
                        <w:rPr>
                          <w:rFonts w:cstheme="minorHAnsi"/>
                          <w:b/>
                          <w:i/>
                          <w:sz w:val="20"/>
                          <w:szCs w:val="20"/>
                        </w:rPr>
                        <w:t>Court Annual Report</w:t>
                      </w:r>
                    </w:p>
                    <w:p w14:paraId="142163CD" w14:textId="77777777" w:rsidR="00CA4E85" w:rsidRDefault="00CA4E85" w:rsidP="00C16A8C"/>
                  </w:txbxContent>
                </v:textbox>
                <w10:wrap type="square" anchorx="margin"/>
              </v:shape>
            </w:pict>
          </mc:Fallback>
        </mc:AlternateContent>
      </w:r>
    </w:p>
    <w:p w14:paraId="64F1FF11" w14:textId="4BA2A28C" w:rsidR="00C16A8C" w:rsidRPr="00F34A39" w:rsidRDefault="00C16A8C" w:rsidP="00C16A8C">
      <w:pPr>
        <w:rPr>
          <w:lang w:val="en-AU"/>
        </w:rPr>
      </w:pPr>
    </w:p>
    <w:p w14:paraId="1D1889B1" w14:textId="77777777" w:rsidR="00776167" w:rsidRDefault="00776167">
      <w:pPr>
        <w:rPr>
          <w:rFonts w:ascii="Calibri" w:eastAsiaTheme="majorEastAsia" w:hAnsi="Calibri" w:cstheme="majorBidi"/>
          <w:b/>
          <w:bCs/>
          <w:color w:val="00323E" w:themeColor="accent1" w:themeShade="80"/>
          <w:sz w:val="28"/>
          <w:szCs w:val="28"/>
          <w:lang w:val="en-AU"/>
        </w:rPr>
      </w:pPr>
      <w:r>
        <w:rPr>
          <w:color w:val="00323E" w:themeColor="accent1" w:themeShade="80"/>
          <w:lang w:val="en-AU"/>
        </w:rPr>
        <w:br w:type="page"/>
      </w:r>
    </w:p>
    <w:p w14:paraId="4EE81DA0" w14:textId="564B2D5F" w:rsidR="007D5098" w:rsidRPr="00F34A39" w:rsidRDefault="007D5098" w:rsidP="00BC1A90">
      <w:pPr>
        <w:pStyle w:val="HBHeading1"/>
        <w:spacing w:before="0"/>
        <w:rPr>
          <w:color w:val="00323E" w:themeColor="accent1" w:themeShade="80"/>
          <w:lang w:val="en-AU"/>
        </w:rPr>
      </w:pPr>
      <w:bookmarkStart w:id="32" w:name="_Toc90564315"/>
      <w:r w:rsidRPr="00F34A39">
        <w:rPr>
          <w:color w:val="00323E" w:themeColor="accent1" w:themeShade="80"/>
          <w:lang w:val="en-AU"/>
        </w:rPr>
        <w:lastRenderedPageBreak/>
        <w:t xml:space="preserve">Annex </w:t>
      </w:r>
      <w:r w:rsidR="00C16A8C">
        <w:rPr>
          <w:color w:val="00323E" w:themeColor="accent1" w:themeShade="80"/>
          <w:lang w:val="en-AU"/>
        </w:rPr>
        <w:t>Two</w:t>
      </w:r>
      <w:r w:rsidR="00741253" w:rsidRPr="00F34A39">
        <w:rPr>
          <w:color w:val="00323E" w:themeColor="accent1" w:themeShade="80"/>
          <w:lang w:val="en-AU"/>
        </w:rPr>
        <w:t>:</w:t>
      </w:r>
      <w:r w:rsidRPr="00F34A39">
        <w:rPr>
          <w:color w:val="00323E" w:themeColor="accent1" w:themeShade="80"/>
          <w:lang w:val="en-AU"/>
        </w:rPr>
        <w:t xml:space="preserve"> Methodology</w:t>
      </w:r>
      <w:bookmarkEnd w:id="29"/>
      <w:bookmarkEnd w:id="30"/>
      <w:bookmarkEnd w:id="32"/>
    </w:p>
    <w:p w14:paraId="1317B67C" w14:textId="77777777" w:rsidR="00052EFE" w:rsidRPr="001C6E79" w:rsidRDefault="00052EFE" w:rsidP="001C6E79">
      <w:pPr>
        <w:spacing w:before="120" w:after="120"/>
        <w:rPr>
          <w:sz w:val="22"/>
          <w:szCs w:val="22"/>
          <w:lang w:val="en-AU"/>
        </w:rPr>
      </w:pPr>
      <w:r w:rsidRPr="001C6E79">
        <w:rPr>
          <w:sz w:val="22"/>
          <w:szCs w:val="22"/>
          <w:lang w:val="en-AU"/>
        </w:rPr>
        <w:t xml:space="preserve">The evaluation of PJSIs five years of operation was conducted by reference to: </w:t>
      </w:r>
    </w:p>
    <w:p w14:paraId="2A4BC2BD" w14:textId="7C0D7B3B" w:rsidR="00B86465" w:rsidRDefault="00B86465" w:rsidP="008C15D6">
      <w:pPr>
        <w:pStyle w:val="ListParagraph"/>
        <w:numPr>
          <w:ilvl w:val="0"/>
          <w:numId w:val="7"/>
        </w:numPr>
        <w:spacing w:before="120" w:after="120"/>
        <w:rPr>
          <w:szCs w:val="22"/>
          <w:lang w:val="en-AU"/>
        </w:rPr>
      </w:pPr>
      <w:r>
        <w:rPr>
          <w:szCs w:val="22"/>
          <w:lang w:val="en-AU"/>
        </w:rPr>
        <w:t>PJSI i</w:t>
      </w:r>
      <w:r w:rsidR="00052EFE" w:rsidRPr="001C6E79">
        <w:rPr>
          <w:szCs w:val="22"/>
          <w:lang w:val="en-AU"/>
        </w:rPr>
        <w:t xml:space="preserve">nternal reports: </w:t>
      </w:r>
    </w:p>
    <w:p w14:paraId="599DDCBE" w14:textId="056B11A4" w:rsidR="00B86465" w:rsidRDefault="00B86465" w:rsidP="008C15D6">
      <w:pPr>
        <w:pStyle w:val="ListParagraph"/>
        <w:numPr>
          <w:ilvl w:val="1"/>
          <w:numId w:val="7"/>
        </w:numPr>
        <w:spacing w:before="120" w:after="120"/>
        <w:rPr>
          <w:szCs w:val="22"/>
          <w:lang w:val="en-AU"/>
        </w:rPr>
      </w:pPr>
      <w:r>
        <w:rPr>
          <w:szCs w:val="22"/>
          <w:lang w:val="en-AU"/>
        </w:rPr>
        <w:t>Needs Assessment</w:t>
      </w:r>
    </w:p>
    <w:p w14:paraId="6EEB2F40" w14:textId="798472B7" w:rsidR="00B86465" w:rsidRDefault="00B86465" w:rsidP="008C15D6">
      <w:pPr>
        <w:pStyle w:val="ListParagraph"/>
        <w:numPr>
          <w:ilvl w:val="1"/>
          <w:numId w:val="7"/>
        </w:numPr>
        <w:spacing w:before="120" w:after="120"/>
        <w:rPr>
          <w:szCs w:val="22"/>
          <w:lang w:val="en-AU"/>
        </w:rPr>
      </w:pPr>
      <w:r>
        <w:rPr>
          <w:szCs w:val="22"/>
          <w:lang w:val="en-AU"/>
        </w:rPr>
        <w:t>Baseline Data Report</w:t>
      </w:r>
    </w:p>
    <w:p w14:paraId="077887FE" w14:textId="79B1876C" w:rsidR="00B86465" w:rsidRDefault="00052EFE" w:rsidP="008C15D6">
      <w:pPr>
        <w:pStyle w:val="ListParagraph"/>
        <w:numPr>
          <w:ilvl w:val="1"/>
          <w:numId w:val="7"/>
        </w:numPr>
        <w:spacing w:before="120" w:after="120"/>
        <w:rPr>
          <w:szCs w:val="22"/>
          <w:lang w:val="en-AU"/>
        </w:rPr>
      </w:pPr>
      <w:r w:rsidRPr="001C6E79">
        <w:rPr>
          <w:szCs w:val="22"/>
          <w:lang w:val="en-AU"/>
        </w:rPr>
        <w:t>Periodic Milestone reports</w:t>
      </w:r>
    </w:p>
    <w:p w14:paraId="2AA52310" w14:textId="45DA3990" w:rsidR="00325BD9" w:rsidRDefault="00325BD9" w:rsidP="008C15D6">
      <w:pPr>
        <w:pStyle w:val="ListParagraph"/>
        <w:numPr>
          <w:ilvl w:val="1"/>
          <w:numId w:val="7"/>
        </w:numPr>
        <w:spacing w:before="120" w:after="120"/>
        <w:rPr>
          <w:szCs w:val="22"/>
          <w:lang w:val="en-AU"/>
        </w:rPr>
      </w:pPr>
      <w:r>
        <w:rPr>
          <w:szCs w:val="22"/>
          <w:lang w:val="en-AU"/>
        </w:rPr>
        <w:t>Leadership Incentive Fund analysis</w:t>
      </w:r>
    </w:p>
    <w:p w14:paraId="5FDF3249" w14:textId="1AA7F3B9" w:rsidR="00325BD9" w:rsidRPr="00B86465" w:rsidRDefault="00325BD9" w:rsidP="008C15D6">
      <w:pPr>
        <w:pStyle w:val="ListParagraph"/>
        <w:numPr>
          <w:ilvl w:val="1"/>
          <w:numId w:val="7"/>
        </w:numPr>
        <w:spacing w:before="120" w:after="120"/>
        <w:rPr>
          <w:szCs w:val="22"/>
          <w:lang w:val="en-AU"/>
        </w:rPr>
      </w:pPr>
      <w:r>
        <w:rPr>
          <w:szCs w:val="22"/>
          <w:lang w:val="en-AU"/>
        </w:rPr>
        <w:t>Post activity surveys</w:t>
      </w:r>
    </w:p>
    <w:p w14:paraId="04AEB9BD" w14:textId="2094C24B" w:rsidR="00052EFE" w:rsidRPr="001C6E79" w:rsidRDefault="00052EFE" w:rsidP="008C15D6">
      <w:pPr>
        <w:pStyle w:val="ListParagraph"/>
        <w:numPr>
          <w:ilvl w:val="1"/>
          <w:numId w:val="7"/>
        </w:numPr>
        <w:spacing w:before="120" w:after="120"/>
        <w:rPr>
          <w:szCs w:val="22"/>
          <w:lang w:val="en-AU"/>
        </w:rPr>
      </w:pPr>
      <w:r w:rsidRPr="001C6E79">
        <w:rPr>
          <w:szCs w:val="22"/>
          <w:lang w:val="en-AU"/>
        </w:rPr>
        <w:t xml:space="preserve">Technical </w:t>
      </w:r>
      <w:r w:rsidR="005466A3">
        <w:rPr>
          <w:szCs w:val="22"/>
          <w:lang w:val="en-AU"/>
        </w:rPr>
        <w:t>Adviser</w:t>
      </w:r>
      <w:r w:rsidRPr="001C6E79">
        <w:rPr>
          <w:szCs w:val="22"/>
          <w:lang w:val="en-AU"/>
        </w:rPr>
        <w:t>s Project Completion Reports;</w:t>
      </w:r>
    </w:p>
    <w:p w14:paraId="7074D223" w14:textId="77777777" w:rsidR="00325BD9" w:rsidRDefault="00F65801" w:rsidP="008C15D6">
      <w:pPr>
        <w:pStyle w:val="ListParagraph"/>
        <w:numPr>
          <w:ilvl w:val="0"/>
          <w:numId w:val="7"/>
        </w:numPr>
        <w:spacing w:before="120" w:after="120"/>
        <w:rPr>
          <w:szCs w:val="22"/>
          <w:lang w:val="en-AU"/>
        </w:rPr>
      </w:pPr>
      <w:r w:rsidRPr="001C6E79">
        <w:rPr>
          <w:szCs w:val="22"/>
          <w:lang w:val="en-AU"/>
        </w:rPr>
        <w:t>Partner Courts</w:t>
      </w:r>
      <w:r>
        <w:rPr>
          <w:szCs w:val="22"/>
          <w:lang w:val="en-AU"/>
        </w:rPr>
        <w:t>’</w:t>
      </w:r>
      <w:r w:rsidR="00325BD9">
        <w:rPr>
          <w:szCs w:val="22"/>
          <w:lang w:val="en-AU"/>
        </w:rPr>
        <w:t xml:space="preserve"> performance data:</w:t>
      </w:r>
    </w:p>
    <w:p w14:paraId="714B4A3A" w14:textId="77777777" w:rsidR="00325BD9" w:rsidRDefault="00325BD9" w:rsidP="008C15D6">
      <w:pPr>
        <w:pStyle w:val="ListParagraph"/>
        <w:numPr>
          <w:ilvl w:val="1"/>
          <w:numId w:val="7"/>
        </w:numPr>
        <w:spacing w:before="120" w:after="120"/>
        <w:rPr>
          <w:szCs w:val="22"/>
          <w:lang w:val="en-AU"/>
        </w:rPr>
      </w:pPr>
      <w:r>
        <w:rPr>
          <w:szCs w:val="22"/>
          <w:lang w:val="en-AU"/>
        </w:rPr>
        <w:t>Case data d</w:t>
      </w:r>
      <w:r w:rsidR="00F65801" w:rsidRPr="001C6E79">
        <w:rPr>
          <w:szCs w:val="22"/>
          <w:lang w:val="en-AU"/>
        </w:rPr>
        <w:t>ashboard</w:t>
      </w:r>
      <w:r>
        <w:rPr>
          <w:szCs w:val="22"/>
          <w:lang w:val="en-AU"/>
        </w:rPr>
        <w:t>s</w:t>
      </w:r>
    </w:p>
    <w:p w14:paraId="473CFA7C" w14:textId="51AB9643" w:rsidR="00F65801" w:rsidRDefault="00325BD9" w:rsidP="008C15D6">
      <w:pPr>
        <w:pStyle w:val="ListParagraph"/>
        <w:numPr>
          <w:ilvl w:val="1"/>
          <w:numId w:val="7"/>
        </w:numPr>
        <w:spacing w:before="120" w:after="120"/>
        <w:rPr>
          <w:szCs w:val="22"/>
          <w:lang w:val="en-AU"/>
        </w:rPr>
      </w:pPr>
      <w:r>
        <w:rPr>
          <w:szCs w:val="22"/>
          <w:lang w:val="en-AU"/>
        </w:rPr>
        <w:t>Annual Reports</w:t>
      </w:r>
    </w:p>
    <w:p w14:paraId="3EB07B0E" w14:textId="2489792C" w:rsidR="00325BD9" w:rsidRDefault="00325BD9" w:rsidP="008C15D6">
      <w:pPr>
        <w:pStyle w:val="ListParagraph"/>
        <w:numPr>
          <w:ilvl w:val="1"/>
          <w:numId w:val="7"/>
        </w:numPr>
        <w:spacing w:before="120" w:after="120"/>
        <w:rPr>
          <w:szCs w:val="22"/>
          <w:lang w:val="en-AU"/>
        </w:rPr>
      </w:pPr>
      <w:r>
        <w:rPr>
          <w:szCs w:val="22"/>
          <w:lang w:val="en-AU"/>
        </w:rPr>
        <w:t>National and regional trend data and analysis</w:t>
      </w:r>
    </w:p>
    <w:p w14:paraId="5ABAD269" w14:textId="71EDEF21" w:rsidR="00325BD9" w:rsidRDefault="00325BD9" w:rsidP="008C15D6">
      <w:pPr>
        <w:pStyle w:val="ListParagraph"/>
        <w:numPr>
          <w:ilvl w:val="0"/>
          <w:numId w:val="7"/>
        </w:numPr>
        <w:spacing w:before="120" w:after="120"/>
        <w:rPr>
          <w:szCs w:val="22"/>
          <w:lang w:val="en-AU"/>
        </w:rPr>
      </w:pPr>
      <w:r>
        <w:rPr>
          <w:szCs w:val="22"/>
          <w:lang w:val="en-AU"/>
        </w:rPr>
        <w:t>Media reports</w:t>
      </w:r>
    </w:p>
    <w:p w14:paraId="209DE89C" w14:textId="77777777" w:rsidR="00325BD9" w:rsidRDefault="00325BD9" w:rsidP="008C15D6">
      <w:pPr>
        <w:pStyle w:val="ListParagraph"/>
        <w:numPr>
          <w:ilvl w:val="0"/>
          <w:numId w:val="7"/>
        </w:numPr>
        <w:spacing w:before="120" w:after="120"/>
        <w:rPr>
          <w:szCs w:val="22"/>
          <w:lang w:val="en-AU"/>
        </w:rPr>
      </w:pPr>
      <w:r>
        <w:rPr>
          <w:szCs w:val="22"/>
          <w:lang w:val="en-AU"/>
        </w:rPr>
        <w:t>Self-assessment against</w:t>
      </w:r>
    </w:p>
    <w:p w14:paraId="4FFBC0C5" w14:textId="6FA51620" w:rsidR="00325BD9" w:rsidRDefault="00325BD9" w:rsidP="008C15D6">
      <w:pPr>
        <w:pStyle w:val="ListParagraph"/>
        <w:numPr>
          <w:ilvl w:val="1"/>
          <w:numId w:val="7"/>
        </w:numPr>
        <w:spacing w:before="120" w:after="120"/>
        <w:rPr>
          <w:szCs w:val="22"/>
          <w:lang w:val="en-AU"/>
        </w:rPr>
      </w:pPr>
      <w:r>
        <w:rPr>
          <w:szCs w:val="22"/>
          <w:lang w:val="en-AU"/>
        </w:rPr>
        <w:t>Quality indicators</w:t>
      </w:r>
    </w:p>
    <w:p w14:paraId="3135F9B9" w14:textId="38F20985" w:rsidR="00325BD9" w:rsidRPr="00325BD9" w:rsidRDefault="00325BD9" w:rsidP="008C15D6">
      <w:pPr>
        <w:pStyle w:val="ListParagraph"/>
        <w:numPr>
          <w:ilvl w:val="1"/>
          <w:numId w:val="7"/>
        </w:numPr>
        <w:spacing w:before="120" w:after="120"/>
        <w:rPr>
          <w:szCs w:val="22"/>
          <w:lang w:val="en-AU"/>
        </w:rPr>
      </w:pPr>
      <w:r>
        <w:rPr>
          <w:szCs w:val="22"/>
          <w:lang w:val="en-AU"/>
        </w:rPr>
        <w:t>OECD Development Assistance Committee criterion</w:t>
      </w:r>
    </w:p>
    <w:p w14:paraId="32D04764" w14:textId="775E8672" w:rsidR="00483D41" w:rsidRPr="00F65801" w:rsidRDefault="00052EFE" w:rsidP="008C15D6">
      <w:pPr>
        <w:pStyle w:val="ListParagraph"/>
        <w:numPr>
          <w:ilvl w:val="0"/>
          <w:numId w:val="7"/>
        </w:numPr>
        <w:spacing w:before="120" w:after="120"/>
        <w:rPr>
          <w:szCs w:val="22"/>
          <w:lang w:val="en-AU"/>
        </w:rPr>
      </w:pPr>
      <w:r w:rsidRPr="001C6E79">
        <w:rPr>
          <w:szCs w:val="22"/>
          <w:lang w:val="en-AU"/>
        </w:rPr>
        <w:t xml:space="preserve">A ‘Most Significant Change’ </w:t>
      </w:r>
      <w:r w:rsidR="00483D41">
        <w:rPr>
          <w:szCs w:val="22"/>
          <w:lang w:val="en-AU"/>
        </w:rPr>
        <w:t xml:space="preserve">webinar and remote </w:t>
      </w:r>
      <w:r w:rsidRPr="001C6E79">
        <w:rPr>
          <w:szCs w:val="22"/>
          <w:lang w:val="en-AU"/>
        </w:rPr>
        <w:t>survey</w:t>
      </w:r>
      <w:r w:rsidR="00483D41">
        <w:rPr>
          <w:szCs w:val="22"/>
          <w:lang w:val="en-AU"/>
        </w:rPr>
        <w:t>ing</w:t>
      </w:r>
      <w:r w:rsidRPr="001C6E79">
        <w:rPr>
          <w:szCs w:val="22"/>
          <w:lang w:val="en-AU"/>
        </w:rPr>
        <w:t xml:space="preserve"> conducted among</w:t>
      </w:r>
      <w:r w:rsidR="00F65801">
        <w:rPr>
          <w:szCs w:val="22"/>
          <w:lang w:val="en-AU"/>
        </w:rPr>
        <w:t xml:space="preserve"> Chief Justice, j</w:t>
      </w:r>
      <w:r w:rsidR="00483D41" w:rsidRPr="00F65801">
        <w:rPr>
          <w:szCs w:val="22"/>
          <w:lang w:val="en-AU"/>
        </w:rPr>
        <w:t>udicial and court officers from a</w:t>
      </w:r>
      <w:r w:rsidRPr="00F65801">
        <w:rPr>
          <w:szCs w:val="22"/>
          <w:lang w:val="en-AU"/>
        </w:rPr>
        <w:t>ll Partner Courts</w:t>
      </w:r>
      <w:r w:rsidR="00325BD9">
        <w:rPr>
          <w:szCs w:val="22"/>
          <w:lang w:val="en-AU"/>
        </w:rPr>
        <w:t>.</w:t>
      </w:r>
    </w:p>
    <w:p w14:paraId="31D9B7BC" w14:textId="11012F4A" w:rsidR="00F65801" w:rsidRPr="00F65801" w:rsidRDefault="00F65801" w:rsidP="00F65801">
      <w:pPr>
        <w:spacing w:before="120" w:after="120"/>
        <w:rPr>
          <w:sz w:val="22"/>
          <w:szCs w:val="22"/>
          <w:lang w:val="en-AU"/>
        </w:rPr>
      </w:pPr>
      <w:r w:rsidRPr="00F65801">
        <w:rPr>
          <w:sz w:val="22"/>
          <w:szCs w:val="22"/>
          <w:lang w:val="en-AU"/>
        </w:rPr>
        <w:t xml:space="preserve">The Most Significant Change </w:t>
      </w:r>
      <w:r w:rsidRPr="00F65801">
        <w:rPr>
          <w:rFonts w:cstheme="minorHAnsi"/>
          <w:sz w:val="22"/>
          <w:szCs w:val="22"/>
          <w:lang w:val="en-US"/>
        </w:rPr>
        <w:t xml:space="preserve">survey was designed to enable PJSI to understand the most important changes that have occurred over the past five years in </w:t>
      </w:r>
      <w:r w:rsidR="00294016">
        <w:rPr>
          <w:rFonts w:cstheme="minorHAnsi"/>
          <w:sz w:val="22"/>
          <w:szCs w:val="22"/>
          <w:lang w:val="en-US"/>
        </w:rPr>
        <w:t>each Partner Court</w:t>
      </w:r>
      <w:r w:rsidRPr="00F65801">
        <w:rPr>
          <w:rFonts w:cstheme="minorHAnsi"/>
          <w:sz w:val="22"/>
          <w:szCs w:val="22"/>
          <w:lang w:val="en-US"/>
        </w:rPr>
        <w:t xml:space="preserve"> - according to </w:t>
      </w:r>
      <w:r w:rsidR="00294016">
        <w:rPr>
          <w:rFonts w:cstheme="minorHAnsi"/>
          <w:sz w:val="22"/>
          <w:szCs w:val="22"/>
          <w:lang w:val="en-US"/>
        </w:rPr>
        <w:t xml:space="preserve">a range of </w:t>
      </w:r>
      <w:r w:rsidRPr="00F65801">
        <w:rPr>
          <w:rFonts w:cstheme="minorHAnsi"/>
          <w:sz w:val="22"/>
          <w:szCs w:val="22"/>
          <w:lang w:val="en-US"/>
        </w:rPr>
        <w:t>ind</w:t>
      </w:r>
      <w:r w:rsidR="00294016">
        <w:rPr>
          <w:rFonts w:cstheme="minorHAnsi"/>
          <w:sz w:val="22"/>
          <w:szCs w:val="22"/>
          <w:lang w:val="en-US"/>
        </w:rPr>
        <w:t>ividual stakeholders within each country</w:t>
      </w:r>
      <w:r w:rsidRPr="00F65801">
        <w:rPr>
          <w:rFonts w:cstheme="minorHAnsi"/>
          <w:sz w:val="22"/>
          <w:szCs w:val="22"/>
          <w:lang w:val="en-US"/>
        </w:rPr>
        <w:t xml:space="preserve">. </w:t>
      </w:r>
      <w:r w:rsidR="00294016">
        <w:rPr>
          <w:rFonts w:cstheme="minorHAnsi"/>
          <w:sz w:val="22"/>
          <w:szCs w:val="22"/>
          <w:lang w:val="en-US"/>
        </w:rPr>
        <w:t xml:space="preserve">While the analysis focused on PJSI, where stakeholders were serving on or employed by the courts during the five years of PJDPs operation, they were asked to include relevant comments. </w:t>
      </w:r>
      <w:r w:rsidRPr="00F65801">
        <w:rPr>
          <w:rFonts w:cstheme="minorHAnsi"/>
          <w:sz w:val="22"/>
          <w:szCs w:val="22"/>
          <w:lang w:val="en-US"/>
        </w:rPr>
        <w:t>The survey comprised five questions:</w:t>
      </w:r>
    </w:p>
    <w:p w14:paraId="04E92A40" w14:textId="0ED5C9E0" w:rsidR="00F65801" w:rsidRPr="00F65801" w:rsidRDefault="00F65801" w:rsidP="008C15D6">
      <w:pPr>
        <w:pStyle w:val="ListParagraph"/>
        <w:numPr>
          <w:ilvl w:val="0"/>
          <w:numId w:val="14"/>
        </w:numPr>
        <w:spacing w:before="240" w:after="240"/>
        <w:ind w:left="426" w:hanging="426"/>
        <w:rPr>
          <w:rFonts w:cstheme="minorHAnsi"/>
          <w:szCs w:val="22"/>
          <w:lang w:val="en-US"/>
        </w:rPr>
      </w:pPr>
      <w:r w:rsidRPr="00F65801">
        <w:rPr>
          <w:rFonts w:cstheme="minorHAnsi"/>
          <w:szCs w:val="22"/>
          <w:lang w:val="en-US"/>
        </w:rPr>
        <w:t xml:space="preserve">Since participating in the PJSI/PJDP activities/y, </w:t>
      </w:r>
      <w:r w:rsidRPr="00F65801">
        <w:rPr>
          <w:rFonts w:cstheme="minorHAnsi"/>
          <w:i/>
          <w:szCs w:val="22"/>
          <w:lang w:val="en-US"/>
        </w:rPr>
        <w:t>what changes have you made</w:t>
      </w:r>
      <w:r w:rsidRPr="00F65801">
        <w:rPr>
          <w:rFonts w:cstheme="minorHAnsi"/>
          <w:szCs w:val="22"/>
          <w:lang w:val="en-US"/>
        </w:rPr>
        <w:t xml:space="preserve"> to how you do your job?</w:t>
      </w:r>
    </w:p>
    <w:p w14:paraId="68A73052" w14:textId="65AE9DAA" w:rsidR="00F65801" w:rsidRPr="00F65801" w:rsidRDefault="00F65801" w:rsidP="008C15D6">
      <w:pPr>
        <w:pStyle w:val="ListParagraph"/>
        <w:numPr>
          <w:ilvl w:val="0"/>
          <w:numId w:val="14"/>
        </w:numPr>
        <w:spacing w:before="240" w:after="240"/>
        <w:ind w:left="426" w:hanging="426"/>
        <w:rPr>
          <w:rFonts w:cstheme="minorHAnsi"/>
          <w:szCs w:val="22"/>
          <w:lang w:val="en-US"/>
        </w:rPr>
      </w:pPr>
      <w:r w:rsidRPr="00F65801">
        <w:rPr>
          <w:rFonts w:cstheme="minorHAnsi"/>
          <w:szCs w:val="22"/>
          <w:lang w:val="en-US"/>
        </w:rPr>
        <w:t xml:space="preserve">Since that or other PJSI/PJDP activities, what </w:t>
      </w:r>
      <w:r w:rsidRPr="00F65801">
        <w:rPr>
          <w:rFonts w:cstheme="minorHAnsi"/>
          <w:i/>
          <w:szCs w:val="22"/>
          <w:lang w:val="en-US"/>
        </w:rPr>
        <w:t>changes have you observed in others</w:t>
      </w:r>
      <w:r w:rsidRPr="00F65801">
        <w:rPr>
          <w:rFonts w:cstheme="minorHAnsi"/>
          <w:szCs w:val="22"/>
          <w:lang w:val="en-US"/>
        </w:rPr>
        <w:t>?</w:t>
      </w:r>
    </w:p>
    <w:p w14:paraId="7B18812A" w14:textId="29F17D1A" w:rsidR="00F65801" w:rsidRPr="00F65801" w:rsidRDefault="00F65801" w:rsidP="008C15D6">
      <w:pPr>
        <w:pStyle w:val="ListParagraph"/>
        <w:numPr>
          <w:ilvl w:val="0"/>
          <w:numId w:val="14"/>
        </w:numPr>
        <w:spacing w:before="240" w:after="240"/>
        <w:ind w:left="426" w:hanging="426"/>
        <w:rPr>
          <w:rFonts w:cstheme="minorHAnsi"/>
          <w:szCs w:val="22"/>
          <w:lang w:val="en-US"/>
        </w:rPr>
      </w:pPr>
      <w:r w:rsidRPr="00F65801">
        <w:rPr>
          <w:rFonts w:cstheme="minorHAnsi"/>
          <w:szCs w:val="22"/>
          <w:lang w:val="en-US"/>
        </w:rPr>
        <w:t xml:space="preserve">Have you noticed </w:t>
      </w:r>
      <w:r w:rsidRPr="00F65801">
        <w:rPr>
          <w:rFonts w:cstheme="minorHAnsi"/>
          <w:i/>
          <w:szCs w:val="22"/>
          <w:lang w:val="en-US"/>
        </w:rPr>
        <w:t>any other changes</w:t>
      </w:r>
      <w:r w:rsidRPr="00F65801">
        <w:rPr>
          <w:rFonts w:cstheme="minorHAnsi"/>
          <w:szCs w:val="22"/>
          <w:lang w:val="en-US"/>
        </w:rPr>
        <w:t xml:space="preserve"> that you think PJSI/PJDP contributed to? </w:t>
      </w:r>
    </w:p>
    <w:p w14:paraId="228BBF2E" w14:textId="07E16D18" w:rsidR="00F65801" w:rsidRPr="00294016" w:rsidRDefault="00F65801" w:rsidP="008C15D6">
      <w:pPr>
        <w:pStyle w:val="ListParagraph"/>
        <w:numPr>
          <w:ilvl w:val="0"/>
          <w:numId w:val="14"/>
        </w:numPr>
        <w:spacing w:before="240" w:after="240"/>
        <w:ind w:left="426" w:right="-46" w:hanging="426"/>
        <w:rPr>
          <w:rFonts w:cstheme="minorHAnsi"/>
          <w:b/>
          <w:bCs/>
          <w:iCs/>
          <w:szCs w:val="22"/>
        </w:rPr>
      </w:pPr>
      <w:r w:rsidRPr="00F65801">
        <w:rPr>
          <w:rFonts w:cstheme="minorHAnsi"/>
          <w:szCs w:val="22"/>
          <w:lang w:val="en-US"/>
        </w:rPr>
        <w:t xml:space="preserve">From among all the changes, what is the ‘Most Significant Change’ of all? </w:t>
      </w:r>
      <w:r w:rsidRPr="00F65801">
        <w:rPr>
          <w:rFonts w:cstheme="minorHAnsi"/>
          <w:i/>
          <w:szCs w:val="22"/>
          <w:lang w:val="en-US"/>
        </w:rPr>
        <w:t xml:space="preserve">Please describe this change in the form of a story </w:t>
      </w:r>
      <w:r w:rsidRPr="00F65801">
        <w:rPr>
          <w:rFonts w:cstheme="minorHAnsi"/>
          <w:szCs w:val="22"/>
          <w:lang w:val="en-US"/>
        </w:rPr>
        <w:t xml:space="preserve">i.e.:  </w:t>
      </w:r>
      <w:r w:rsidRPr="00294016">
        <w:rPr>
          <w:rStyle w:val="IntenseEmphasis"/>
          <w:rFonts w:cstheme="minorHAnsi"/>
          <w:b w:val="0"/>
          <w:color w:val="auto"/>
          <w:szCs w:val="22"/>
        </w:rPr>
        <w:t xml:space="preserve">Beginning (situation before the change) </w:t>
      </w:r>
      <w:r w:rsidRPr="00294016">
        <w:rPr>
          <w:rStyle w:val="IntenseEmphasis"/>
          <w:rFonts w:cstheme="minorHAnsi"/>
          <w:b w:val="0"/>
          <w:color w:val="auto"/>
          <w:szCs w:val="22"/>
        </w:rPr>
        <w:sym w:font="Wingdings" w:char="F0E0"/>
      </w:r>
      <w:r w:rsidRPr="00294016">
        <w:rPr>
          <w:rStyle w:val="IntenseEmphasis"/>
          <w:rFonts w:cstheme="minorHAnsi"/>
          <w:b w:val="0"/>
          <w:color w:val="auto"/>
          <w:szCs w:val="22"/>
        </w:rPr>
        <w:t xml:space="preserve">  Middle (what happened?) </w:t>
      </w:r>
      <w:r w:rsidRPr="00294016">
        <w:rPr>
          <w:rStyle w:val="IntenseEmphasis"/>
          <w:rFonts w:cstheme="minorHAnsi"/>
          <w:b w:val="0"/>
          <w:color w:val="auto"/>
          <w:szCs w:val="22"/>
        </w:rPr>
        <w:sym w:font="Wingdings" w:char="F0E0"/>
      </w:r>
      <w:r w:rsidRPr="00294016">
        <w:rPr>
          <w:rStyle w:val="IntenseEmphasis"/>
          <w:rFonts w:cstheme="minorHAnsi"/>
          <w:b w:val="0"/>
          <w:color w:val="auto"/>
          <w:szCs w:val="22"/>
        </w:rPr>
        <w:t xml:space="preserve"> End (situation after)</w:t>
      </w:r>
    </w:p>
    <w:p w14:paraId="6632060D" w14:textId="478F0F3B" w:rsidR="00F65801" w:rsidRPr="00F65801" w:rsidRDefault="00F65801" w:rsidP="008C15D6">
      <w:pPr>
        <w:pStyle w:val="ListParagraph"/>
        <w:numPr>
          <w:ilvl w:val="0"/>
          <w:numId w:val="14"/>
        </w:numPr>
        <w:spacing w:before="240" w:after="240"/>
        <w:ind w:left="426" w:hanging="426"/>
        <w:rPr>
          <w:rFonts w:cstheme="minorHAnsi"/>
          <w:szCs w:val="22"/>
        </w:rPr>
      </w:pPr>
      <w:r w:rsidRPr="00F65801">
        <w:rPr>
          <w:rFonts w:cstheme="minorHAnsi"/>
          <w:szCs w:val="22"/>
          <w:lang w:val="en-US"/>
        </w:rPr>
        <w:t>O</w:t>
      </w:r>
      <w:r w:rsidR="00294016">
        <w:rPr>
          <w:rFonts w:cstheme="minorHAnsi"/>
          <w:szCs w:val="22"/>
          <w:lang w:val="en-US"/>
        </w:rPr>
        <w:t>ther comments and feedback</w:t>
      </w:r>
    </w:p>
    <w:p w14:paraId="4E14EA9B" w14:textId="290D8F86" w:rsidR="00052EFE" w:rsidRPr="00F65801" w:rsidRDefault="00F65801" w:rsidP="001C6E79">
      <w:pPr>
        <w:spacing w:before="120" w:after="120"/>
        <w:rPr>
          <w:sz w:val="22"/>
          <w:szCs w:val="22"/>
          <w:lang w:val="en-AU"/>
        </w:rPr>
      </w:pPr>
      <w:r w:rsidRPr="00F65801">
        <w:rPr>
          <w:sz w:val="22"/>
          <w:szCs w:val="22"/>
          <w:lang w:val="en-AU"/>
        </w:rPr>
        <w:t>Following the outbreak of COVID-19, PJSI was unable to conduct in-</w:t>
      </w:r>
      <w:r w:rsidR="00294016">
        <w:rPr>
          <w:sz w:val="22"/>
          <w:szCs w:val="22"/>
          <w:lang w:val="en-AU"/>
        </w:rPr>
        <w:t>country</w:t>
      </w:r>
      <w:r w:rsidRPr="00F65801">
        <w:rPr>
          <w:sz w:val="22"/>
          <w:szCs w:val="22"/>
          <w:lang w:val="en-AU"/>
        </w:rPr>
        <w:t xml:space="preserve"> exit intervi</w:t>
      </w:r>
      <w:r w:rsidR="00294016">
        <w:rPr>
          <w:sz w:val="22"/>
          <w:szCs w:val="22"/>
          <w:lang w:val="en-AU"/>
        </w:rPr>
        <w:t>ews with stakeholders in-person, as it had at the conclusion of the PJDP</w:t>
      </w:r>
      <w:r w:rsidRPr="00F65801">
        <w:rPr>
          <w:sz w:val="22"/>
          <w:szCs w:val="22"/>
          <w:lang w:val="en-AU"/>
        </w:rPr>
        <w:t xml:space="preserve">.  This meant that PJSI was unable to measure changes to </w:t>
      </w:r>
      <w:r w:rsidR="00294016">
        <w:rPr>
          <w:sz w:val="22"/>
          <w:szCs w:val="22"/>
          <w:lang w:val="en-AU"/>
        </w:rPr>
        <w:t xml:space="preserve">the views of those stakeholders gauged at the end of PJDP.  While PJSI operated under budgetary constraints that precluded specific financing for these activities, it had scheduled to conduct in-person focus group interviews in almost all Partner Courts during visits by other Technical </w:t>
      </w:r>
      <w:r w:rsidR="005466A3">
        <w:rPr>
          <w:sz w:val="22"/>
          <w:szCs w:val="22"/>
          <w:lang w:val="en-AU"/>
        </w:rPr>
        <w:t>Adviser</w:t>
      </w:r>
      <w:r w:rsidR="00294016">
        <w:rPr>
          <w:sz w:val="22"/>
          <w:szCs w:val="22"/>
          <w:lang w:val="en-AU"/>
        </w:rPr>
        <w:t xml:space="preserve">s during the final 12 months of PJSIs  </w:t>
      </w:r>
    </w:p>
    <w:p w14:paraId="7698974A" w14:textId="1EEA0227" w:rsidR="009549B2" w:rsidRPr="00F65801" w:rsidRDefault="009549B2" w:rsidP="001C6E79">
      <w:pPr>
        <w:spacing w:before="120" w:after="120"/>
        <w:rPr>
          <w:sz w:val="22"/>
          <w:szCs w:val="22"/>
          <w:lang w:val="en-AU"/>
        </w:rPr>
      </w:pPr>
      <w:r w:rsidRPr="00F65801">
        <w:rPr>
          <w:sz w:val="22"/>
          <w:szCs w:val="22"/>
          <w:lang w:val="en-AU"/>
        </w:rPr>
        <w:t>While Fiji returned to the regional group in 201</w:t>
      </w:r>
      <w:r w:rsidR="003818B6">
        <w:rPr>
          <w:sz w:val="22"/>
          <w:szCs w:val="22"/>
          <w:lang w:val="en-AU"/>
        </w:rPr>
        <w:t>8</w:t>
      </w:r>
      <w:r w:rsidRPr="00F65801">
        <w:rPr>
          <w:sz w:val="22"/>
          <w:szCs w:val="22"/>
          <w:lang w:val="en-AU"/>
        </w:rPr>
        <w:t>, no focused substantive activities have taken place there.  As such, measures of improvements have not been assessed.</w:t>
      </w:r>
    </w:p>
    <w:p w14:paraId="6E6F44BD" w14:textId="77777777" w:rsidR="00052EFE" w:rsidRPr="00F34A39" w:rsidRDefault="00052EFE">
      <w:pPr>
        <w:rPr>
          <w:rFonts w:ascii="Calibri" w:eastAsiaTheme="majorEastAsia" w:hAnsi="Calibri" w:cstheme="majorBidi"/>
          <w:b/>
          <w:bCs/>
          <w:sz w:val="28"/>
          <w:szCs w:val="28"/>
          <w:lang w:val="en-AU"/>
        </w:rPr>
      </w:pPr>
      <w:r w:rsidRPr="00F34A39">
        <w:rPr>
          <w:lang w:val="en-AU"/>
        </w:rPr>
        <w:br w:type="page"/>
      </w:r>
    </w:p>
    <w:p w14:paraId="326901AA" w14:textId="40461697" w:rsidR="00657C13" w:rsidRPr="00F34A39" w:rsidRDefault="00C33036" w:rsidP="00BC1A90">
      <w:pPr>
        <w:pStyle w:val="HBHeading1"/>
        <w:spacing w:before="0"/>
        <w:rPr>
          <w:color w:val="00323E" w:themeColor="accent1" w:themeShade="80"/>
          <w:lang w:val="en-AU"/>
        </w:rPr>
      </w:pPr>
      <w:bookmarkStart w:id="33" w:name="_Toc75185177"/>
      <w:bookmarkStart w:id="34" w:name="_Toc77423621"/>
      <w:bookmarkStart w:id="35" w:name="_Toc90564316"/>
      <w:r w:rsidRPr="00F34A39">
        <w:rPr>
          <w:rFonts w:cstheme="minorHAnsi"/>
          <w:noProof/>
          <w:sz w:val="22"/>
          <w:szCs w:val="22"/>
          <w:lang w:val="en-AU"/>
        </w:rPr>
        <w:lastRenderedPageBreak/>
        <w:drawing>
          <wp:anchor distT="0" distB="0" distL="114300" distR="114300" simplePos="0" relativeHeight="251699712" behindDoc="0" locked="0" layoutInCell="1" allowOverlap="1" wp14:anchorId="320CFAF6" wp14:editId="5A0635FE">
            <wp:simplePos x="0" y="0"/>
            <wp:positionH relativeFrom="margin">
              <wp:align>right</wp:align>
            </wp:positionH>
            <wp:positionV relativeFrom="paragraph">
              <wp:posOffset>305435</wp:posOffset>
            </wp:positionV>
            <wp:extent cx="5817600" cy="720000"/>
            <wp:effectExtent l="0" t="0" r="12065" b="4445"/>
            <wp:wrapSquare wrapText="bothSides"/>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anchor>
        </w:drawing>
      </w:r>
      <w:r w:rsidR="007D5098" w:rsidRPr="00F34A39">
        <w:rPr>
          <w:color w:val="00323E" w:themeColor="accent1" w:themeShade="80"/>
          <w:lang w:val="en-AU"/>
        </w:rPr>
        <w:t>A</w:t>
      </w:r>
      <w:r w:rsidR="00034AFE" w:rsidRPr="00F34A39">
        <w:rPr>
          <w:color w:val="00323E" w:themeColor="accent1" w:themeShade="80"/>
          <w:lang w:val="en-AU"/>
        </w:rPr>
        <w:t xml:space="preserve">nnex </w:t>
      </w:r>
      <w:r w:rsidR="00C16A8C">
        <w:rPr>
          <w:color w:val="00323E" w:themeColor="accent1" w:themeShade="80"/>
          <w:lang w:val="en-AU"/>
        </w:rPr>
        <w:t>Three</w:t>
      </w:r>
      <w:r w:rsidR="00741253" w:rsidRPr="00F34A39">
        <w:rPr>
          <w:color w:val="00323E" w:themeColor="accent1" w:themeShade="80"/>
          <w:lang w:val="en-AU"/>
        </w:rPr>
        <w:t>:</w:t>
      </w:r>
      <w:r w:rsidR="007D5098" w:rsidRPr="00F34A39">
        <w:rPr>
          <w:color w:val="00323E" w:themeColor="accent1" w:themeShade="80"/>
          <w:lang w:val="en-AU"/>
        </w:rPr>
        <w:t xml:space="preserve"> </w:t>
      </w:r>
      <w:r w:rsidR="00657C13" w:rsidRPr="00F34A39">
        <w:rPr>
          <w:color w:val="00323E" w:themeColor="accent1" w:themeShade="80"/>
          <w:lang w:val="en-AU"/>
        </w:rPr>
        <w:t>Change</w:t>
      </w:r>
      <w:r w:rsidR="00034AFE" w:rsidRPr="00F34A39">
        <w:rPr>
          <w:color w:val="00323E" w:themeColor="accent1" w:themeShade="80"/>
          <w:lang w:val="en-AU"/>
        </w:rPr>
        <w:t xml:space="preserve"> Theory &amp; Journey</w:t>
      </w:r>
      <w:bookmarkEnd w:id="33"/>
      <w:bookmarkEnd w:id="34"/>
      <w:bookmarkEnd w:id="35"/>
    </w:p>
    <w:bookmarkEnd w:id="31"/>
    <w:p w14:paraId="6B3EE011" w14:textId="49CFB456" w:rsidR="00657C13" w:rsidRPr="00F34A39" w:rsidRDefault="00657C13" w:rsidP="00D82C96">
      <w:pPr>
        <w:rPr>
          <w:sz w:val="22"/>
          <w:szCs w:val="22"/>
          <w:lang w:val="en-AU"/>
        </w:rPr>
      </w:pPr>
      <w:r w:rsidRPr="00F34A39">
        <w:rPr>
          <w:sz w:val="22"/>
          <w:szCs w:val="22"/>
          <w:lang w:val="en-AU"/>
        </w:rPr>
        <w:t xml:space="preserve">In order to address challenges to the availability and provision of justice, judicial leaders must understand the challenges. They also require the capacity and resources to develop, implement and evaluate appropriate measures to treat them. </w:t>
      </w:r>
    </w:p>
    <w:p w14:paraId="6626E7E1" w14:textId="6D8F34A5" w:rsidR="00657C13" w:rsidRPr="00F34A39" w:rsidRDefault="00657C13" w:rsidP="00657C13">
      <w:pPr>
        <w:spacing w:before="120" w:after="120"/>
        <w:rPr>
          <w:sz w:val="22"/>
          <w:szCs w:val="22"/>
          <w:lang w:val="en-AU"/>
        </w:rPr>
      </w:pPr>
      <w:r w:rsidRPr="00F34A39">
        <w:rPr>
          <w:sz w:val="22"/>
          <w:szCs w:val="22"/>
          <w:lang w:val="en-AU"/>
        </w:rPr>
        <w:t xml:space="preserve">At the beginning of PJSI, three judicial leaders had developed and begun implementing strategic reform plans based on priority needs. </w:t>
      </w:r>
      <w:r w:rsidR="00E70C59" w:rsidRPr="00F34A39">
        <w:rPr>
          <w:sz w:val="22"/>
          <w:szCs w:val="22"/>
          <w:lang w:val="en-AU"/>
        </w:rPr>
        <w:t>Partner Courts</w:t>
      </w:r>
      <w:r w:rsidR="00E70C59" w:rsidRPr="00F34A39" w:rsidDel="00FA7421">
        <w:rPr>
          <w:sz w:val="22"/>
          <w:szCs w:val="22"/>
          <w:lang w:val="en-AU"/>
        </w:rPr>
        <w:t xml:space="preserve"> </w:t>
      </w:r>
      <w:r w:rsidRPr="00F34A39">
        <w:rPr>
          <w:sz w:val="22"/>
          <w:szCs w:val="22"/>
          <w:lang w:val="en-AU"/>
        </w:rPr>
        <w:t>self-assessed their capacity to lead change as low or moderate</w:t>
      </w:r>
      <w:r w:rsidRPr="00F34A39">
        <w:rPr>
          <w:rStyle w:val="FootnoteReference"/>
          <w:sz w:val="22"/>
          <w:szCs w:val="22"/>
          <w:lang w:val="en-AU"/>
        </w:rPr>
        <w:footnoteReference w:id="17"/>
      </w:r>
      <w:r w:rsidRPr="00F34A39">
        <w:rPr>
          <w:sz w:val="22"/>
          <w:szCs w:val="22"/>
          <w:lang w:val="en-AU"/>
        </w:rPr>
        <w:t xml:space="preserve">, and less than a fifth of development activities delivered in each </w:t>
      </w:r>
      <w:r w:rsidR="00E70C59" w:rsidRPr="00F34A39">
        <w:rPr>
          <w:sz w:val="22"/>
          <w:szCs w:val="22"/>
          <w:lang w:val="en-AU"/>
        </w:rPr>
        <w:t>Partner Court</w:t>
      </w:r>
      <w:r w:rsidR="00E70C59" w:rsidRPr="00F34A39" w:rsidDel="00FA7421">
        <w:rPr>
          <w:sz w:val="22"/>
          <w:szCs w:val="22"/>
          <w:lang w:val="en-AU"/>
        </w:rPr>
        <w:t xml:space="preserve"> </w:t>
      </w:r>
      <w:r w:rsidRPr="00F34A39">
        <w:rPr>
          <w:sz w:val="22"/>
          <w:szCs w:val="22"/>
          <w:lang w:val="en-AU"/>
        </w:rPr>
        <w:t>were being designed and delivered without external expertise.</w:t>
      </w:r>
    </w:p>
    <w:p w14:paraId="7D9A9EBE" w14:textId="77777777" w:rsidR="00657C13" w:rsidRPr="00F34A39" w:rsidRDefault="00657C13" w:rsidP="00657C13">
      <w:pPr>
        <w:spacing w:before="120" w:after="120"/>
        <w:rPr>
          <w:sz w:val="22"/>
          <w:szCs w:val="22"/>
          <w:lang w:val="en-AU"/>
        </w:rPr>
      </w:pPr>
      <w:r w:rsidRPr="00F34A39">
        <w:rPr>
          <w:sz w:val="22"/>
          <w:szCs w:val="22"/>
          <w:lang w:val="en-AU"/>
        </w:rPr>
        <w:t>PJSIs support focused on strengthening human capacity to assess needs, prioritise and strategically plan, design and deliver locally-based solutions. PJSI also continued to provide grant funding for local activities and support collegiality among the region’s judicial leaders to facilitate multilateral protection of judicial independence and the rule of law.</w:t>
      </w:r>
    </w:p>
    <w:p w14:paraId="45F23F5F" w14:textId="519D0B0B" w:rsidR="00657C13" w:rsidRPr="00F34A39" w:rsidRDefault="00657C13" w:rsidP="00D82C96">
      <w:pPr>
        <w:spacing w:before="240" w:after="240"/>
        <w:rPr>
          <w:rFonts w:cstheme="minorHAnsi"/>
          <w:i/>
          <w:sz w:val="22"/>
          <w:szCs w:val="22"/>
          <w:lang w:val="en-AU"/>
        </w:rPr>
      </w:pPr>
      <w:r w:rsidRPr="00F34A39">
        <w:rPr>
          <w:rFonts w:cstheme="minorHAnsi"/>
          <w:noProof/>
          <w:sz w:val="22"/>
          <w:szCs w:val="22"/>
          <w:lang w:val="en-AU"/>
        </w:rPr>
        <w:drawing>
          <wp:anchor distT="0" distB="0" distL="114300" distR="114300" simplePos="0" relativeHeight="251700736" behindDoc="0" locked="0" layoutInCell="1" allowOverlap="1" wp14:anchorId="6200C3F4" wp14:editId="3B523321">
            <wp:simplePos x="0" y="0"/>
            <wp:positionH relativeFrom="column">
              <wp:posOffset>2540</wp:posOffset>
            </wp:positionH>
            <wp:positionV relativeFrom="paragraph">
              <wp:posOffset>76835</wp:posOffset>
            </wp:positionV>
            <wp:extent cx="5817600" cy="720000"/>
            <wp:effectExtent l="0" t="0" r="12065" b="4445"/>
            <wp:wrapSquare wrapText="bothSides"/>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anchor>
        </w:drawing>
      </w:r>
      <w:r w:rsidRPr="00F34A39">
        <w:rPr>
          <w:rFonts w:cstheme="minorHAnsi"/>
          <w:sz w:val="22"/>
          <w:szCs w:val="22"/>
          <w:lang w:val="en-AU"/>
        </w:rPr>
        <w:t>Access to justice is of fundamental importance to the rule of law. The judiciary should, within the limits of its powers, adopt procedures to facilitate and promote such access</w:t>
      </w:r>
      <w:r w:rsidRPr="00F34A39">
        <w:rPr>
          <w:rStyle w:val="FootnoteReference"/>
          <w:rFonts w:cstheme="minorHAnsi"/>
          <w:i/>
          <w:sz w:val="22"/>
          <w:szCs w:val="22"/>
          <w:lang w:val="en-AU"/>
        </w:rPr>
        <w:footnoteReference w:id="18"/>
      </w:r>
      <w:r w:rsidRPr="00F34A39">
        <w:rPr>
          <w:rFonts w:cstheme="minorHAnsi"/>
          <w:i/>
          <w:sz w:val="22"/>
          <w:szCs w:val="22"/>
          <w:lang w:val="en-AU"/>
        </w:rPr>
        <w:t xml:space="preserve">. The United Nations Population Fund (UNFPA) confirmed that the demographic and percentage of </w:t>
      </w:r>
      <w:r w:rsidR="00D72E4D" w:rsidRPr="00F34A39">
        <w:rPr>
          <w:rFonts w:cstheme="minorHAnsi"/>
          <w:i/>
          <w:sz w:val="22"/>
          <w:szCs w:val="22"/>
          <w:lang w:val="en-AU"/>
        </w:rPr>
        <w:t>Pacific Island Country (</w:t>
      </w:r>
      <w:r w:rsidRPr="00F34A39">
        <w:rPr>
          <w:rFonts w:cstheme="minorHAnsi"/>
          <w:i/>
          <w:sz w:val="22"/>
          <w:szCs w:val="22"/>
          <w:lang w:val="en-AU"/>
        </w:rPr>
        <w:t>PIC</w:t>
      </w:r>
      <w:r w:rsidR="00D72E4D" w:rsidRPr="00F34A39">
        <w:rPr>
          <w:rFonts w:cstheme="minorHAnsi"/>
          <w:i/>
          <w:sz w:val="22"/>
          <w:szCs w:val="22"/>
          <w:lang w:val="en-AU"/>
        </w:rPr>
        <w:t>)</w:t>
      </w:r>
      <w:r w:rsidRPr="00F34A39">
        <w:rPr>
          <w:rFonts w:cstheme="minorHAnsi"/>
          <w:i/>
          <w:sz w:val="22"/>
          <w:szCs w:val="22"/>
          <w:lang w:val="en-AU"/>
        </w:rPr>
        <w:t xml:space="preserve"> populations particularly vulnerable to abuses of their rights and most marginalised from the formal justice system are youth (34%), the elderly (7%), those with disabilities (17%), those living in rural areas (55%), women (24%) including those who fear reprisal from their husbands, and people who are trafficked.</w:t>
      </w:r>
      <w:r w:rsidRPr="00F34A39">
        <w:rPr>
          <w:rStyle w:val="FootnoteReference"/>
          <w:rFonts w:cstheme="minorHAnsi"/>
          <w:i/>
          <w:sz w:val="22"/>
          <w:szCs w:val="22"/>
          <w:lang w:val="en-AU"/>
        </w:rPr>
        <w:footnoteReference w:id="19"/>
      </w:r>
    </w:p>
    <w:p w14:paraId="7975E6B1" w14:textId="35B11C15" w:rsidR="00657C13" w:rsidRPr="00F34A39" w:rsidRDefault="00657C13" w:rsidP="00657C13">
      <w:pPr>
        <w:pStyle w:val="QuoteA2"/>
        <w:spacing w:before="120" w:after="120"/>
        <w:ind w:left="0" w:firstLine="0"/>
        <w:rPr>
          <w:rFonts w:asciiTheme="minorHAnsi" w:hAnsiTheme="minorHAnsi" w:cstheme="minorHAnsi"/>
          <w:i w:val="0"/>
          <w:sz w:val="22"/>
          <w:szCs w:val="22"/>
          <w:lang w:val="en-AU"/>
        </w:rPr>
      </w:pPr>
      <w:r w:rsidRPr="00F34A39">
        <w:rPr>
          <w:rFonts w:asciiTheme="minorHAnsi" w:hAnsiTheme="minorHAnsi" w:cstheme="minorHAnsi"/>
          <w:i w:val="0"/>
          <w:sz w:val="22"/>
          <w:szCs w:val="22"/>
          <w:lang w:val="en-AU"/>
        </w:rPr>
        <w:t>To maximise accessibility, Partner Courts must be aware of and treat both internal and external barriers to justice. Internal barriers include complex processes; a lack of resources, information and assistance, particularly for self-represented litigants; discriminatory notions, particularly related to women; and inefficiency. External barriers included cost; distance; fear – largely due to lacking knowledge of rights and how to claim them; and lacking legal representation. PJSIs support was designed to address all these barriers, including legal awareness-raising outreach into rural communities.</w:t>
      </w:r>
    </w:p>
    <w:p w14:paraId="5635C7D6" w14:textId="668F11EA" w:rsidR="00657C13" w:rsidRPr="00D82C96" w:rsidRDefault="00C33036" w:rsidP="00D82C96">
      <w:pPr>
        <w:rPr>
          <w:sz w:val="22"/>
          <w:szCs w:val="22"/>
          <w:lang w:val="en-AU"/>
        </w:rPr>
      </w:pPr>
      <w:r w:rsidRPr="00D82C96">
        <w:rPr>
          <w:noProof/>
          <w:sz w:val="22"/>
          <w:szCs w:val="22"/>
          <w:lang w:val="en-AU"/>
        </w:rPr>
        <w:lastRenderedPageBreak/>
        <w:drawing>
          <wp:anchor distT="0" distB="0" distL="114300" distR="114300" simplePos="0" relativeHeight="251701760" behindDoc="0" locked="0" layoutInCell="1" allowOverlap="1" wp14:anchorId="6975334F" wp14:editId="5B805B5E">
            <wp:simplePos x="0" y="0"/>
            <wp:positionH relativeFrom="column">
              <wp:posOffset>2540</wp:posOffset>
            </wp:positionH>
            <wp:positionV relativeFrom="paragraph">
              <wp:posOffset>635</wp:posOffset>
            </wp:positionV>
            <wp:extent cx="5817600" cy="720000"/>
            <wp:effectExtent l="0" t="0" r="12065" b="4445"/>
            <wp:wrapSquare wrapText="bothSides"/>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anchor>
        </w:drawing>
      </w:r>
      <w:r w:rsidR="00657C13" w:rsidRPr="00D82C96">
        <w:rPr>
          <w:sz w:val="22"/>
          <w:szCs w:val="22"/>
          <w:lang w:val="en-AU"/>
        </w:rPr>
        <w:t xml:space="preserve">Judicial and court officers are bound by law, </w:t>
      </w:r>
      <w:hyperlink r:id="rId166" w:history="1">
        <w:r w:rsidR="00657C13" w:rsidRPr="00D82C96">
          <w:rPr>
            <w:rStyle w:val="Hyperlink"/>
            <w:rFonts w:cstheme="minorHAnsi"/>
            <w:i/>
            <w:sz w:val="22"/>
            <w:szCs w:val="22"/>
            <w:lang w:val="en-AU"/>
          </w:rPr>
          <w:t xml:space="preserve">convention </w:t>
        </w:r>
      </w:hyperlink>
      <w:r w:rsidR="00657C13" w:rsidRPr="00D82C96">
        <w:rPr>
          <w:sz w:val="22"/>
          <w:szCs w:val="22"/>
          <w:lang w:val="en-AU"/>
        </w:rPr>
        <w:t>and community expectation to perform their roles competently and diligently, with integrity and impartiality. While the overwhelming majority of superior court judges are legally qualified, judicial officers in lower courts and court officers are overwhelmingly lay. Before PJDP, there were no qualified trainers within Partner Courts, and before PJSI there was no institution in the Pacific able to deliver tertiary or ongoing professional development training to judicial and court officers. Partner Courts therefore relied on external experts funded by donors (including PJDP) to address their training needs.</w:t>
      </w:r>
    </w:p>
    <w:p w14:paraId="684047BD" w14:textId="191B7BA3" w:rsidR="00657C13" w:rsidRPr="00F34A39" w:rsidRDefault="00657C13" w:rsidP="00657C13">
      <w:pPr>
        <w:spacing w:before="120" w:after="120"/>
        <w:rPr>
          <w:sz w:val="22"/>
          <w:szCs w:val="22"/>
          <w:lang w:val="en-AU"/>
        </w:rPr>
      </w:pPr>
      <w:r w:rsidRPr="00F34A39">
        <w:rPr>
          <w:sz w:val="22"/>
          <w:szCs w:val="22"/>
          <w:lang w:val="en-AU"/>
        </w:rPr>
        <w:t xml:space="preserve">PJSI focused on continuing to upskill local trainers and develop the potential of in-region training providers to </w:t>
      </w:r>
      <w:r w:rsidR="00C43B27">
        <w:rPr>
          <w:sz w:val="22"/>
          <w:szCs w:val="22"/>
          <w:lang w:val="en-AU"/>
        </w:rPr>
        <w:t>supply</w:t>
      </w:r>
      <w:r w:rsidRPr="00F34A39">
        <w:rPr>
          <w:sz w:val="22"/>
          <w:szCs w:val="22"/>
          <w:lang w:val="en-AU"/>
        </w:rPr>
        <w:t xml:space="preserve"> certificated and responsively tailored training and educational courses to judicial and court officers across the region.</w:t>
      </w:r>
    </w:p>
    <w:p w14:paraId="5FB321D3" w14:textId="0FAC3083" w:rsidR="00657C13" w:rsidRPr="00F34A39" w:rsidRDefault="00657C13" w:rsidP="00D82C96">
      <w:pPr>
        <w:rPr>
          <w:rFonts w:eastAsiaTheme="minorEastAsia"/>
          <w:sz w:val="22"/>
          <w:szCs w:val="22"/>
          <w:lang w:val="en-AU" w:eastAsia="ja-JP"/>
        </w:rPr>
      </w:pPr>
      <w:bookmarkStart w:id="36" w:name="_Toc74386314"/>
      <w:bookmarkStart w:id="37" w:name="_Toc74409729"/>
      <w:bookmarkStart w:id="38" w:name="_Toc74409946"/>
      <w:bookmarkStart w:id="39" w:name="_Toc74925397"/>
      <w:bookmarkStart w:id="40" w:name="_Toc75185178"/>
      <w:r w:rsidRPr="00F34A39">
        <w:rPr>
          <w:noProof/>
          <w:lang w:val="en-AU"/>
        </w:rPr>
        <w:drawing>
          <wp:anchor distT="0" distB="0" distL="114300" distR="114300" simplePos="0" relativeHeight="251702784" behindDoc="0" locked="0" layoutInCell="1" allowOverlap="1" wp14:anchorId="05635128" wp14:editId="663E11F1">
            <wp:simplePos x="0" y="0"/>
            <wp:positionH relativeFrom="column">
              <wp:posOffset>2540</wp:posOffset>
            </wp:positionH>
            <wp:positionV relativeFrom="paragraph">
              <wp:posOffset>-635</wp:posOffset>
            </wp:positionV>
            <wp:extent cx="5817600" cy="720000"/>
            <wp:effectExtent l="0" t="0" r="12065" b="4445"/>
            <wp:wrapSquare wrapText="bothSides"/>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anchor>
        </w:drawing>
      </w:r>
      <w:bookmarkEnd w:id="36"/>
      <w:bookmarkEnd w:id="37"/>
      <w:bookmarkEnd w:id="38"/>
      <w:bookmarkEnd w:id="39"/>
      <w:bookmarkEnd w:id="40"/>
      <w:r w:rsidRPr="00F34A39">
        <w:rPr>
          <w:rFonts w:eastAsiaTheme="minorEastAsia"/>
          <w:sz w:val="22"/>
          <w:szCs w:val="22"/>
          <w:lang w:val="en-AU" w:eastAsia="ja-JP"/>
        </w:rPr>
        <w:t xml:space="preserve">Incidences of </w:t>
      </w:r>
      <w:hyperlink r:id="rId172" w:history="1">
        <w:r w:rsidRPr="00F34A39">
          <w:rPr>
            <w:rStyle w:val="Hyperlink"/>
            <w:rFonts w:eastAsiaTheme="minorEastAsia"/>
            <w:sz w:val="22"/>
            <w:szCs w:val="22"/>
            <w:lang w:val="en-AU" w:eastAsia="ja-JP"/>
          </w:rPr>
          <w:t>gender and family violence in the Pacific</w:t>
        </w:r>
      </w:hyperlink>
      <w:r w:rsidRPr="00F34A39">
        <w:rPr>
          <w:rFonts w:eastAsiaTheme="minorEastAsia"/>
          <w:sz w:val="22"/>
          <w:szCs w:val="22"/>
          <w:lang w:val="en-AU" w:eastAsia="ja-JP"/>
        </w:rPr>
        <w:t xml:space="preserve"> occur at twice the global average. The strength of the patriarchy along with the breakdown of matriarchal norms, gender stereotypes, and custom embedded structural gender discrimination within many Pacific societies. This eroded avenues for justice, redress, and protection. Within </w:t>
      </w:r>
      <w:r w:rsidR="00E70C59" w:rsidRPr="00F34A39">
        <w:rPr>
          <w:sz w:val="22"/>
          <w:szCs w:val="22"/>
          <w:lang w:val="en-AU"/>
        </w:rPr>
        <w:t>Partner Courts’</w:t>
      </w:r>
      <w:r w:rsidR="00E70C59" w:rsidRPr="00F34A39" w:rsidDel="00FA7421">
        <w:rPr>
          <w:sz w:val="22"/>
          <w:szCs w:val="22"/>
          <w:lang w:val="en-AU"/>
        </w:rPr>
        <w:t xml:space="preserve"> </w:t>
      </w:r>
      <w:r w:rsidRPr="00F34A39">
        <w:rPr>
          <w:rFonts w:eastAsiaTheme="minorEastAsia"/>
          <w:sz w:val="22"/>
          <w:szCs w:val="22"/>
          <w:lang w:val="en-AU" w:eastAsia="ja-JP"/>
        </w:rPr>
        <w:t xml:space="preserve">courtrooms, there were deeply entrenched social and cultural biases which fused with law to undermine the capacity of survivors to seek and obtain redress in formal courts. In addition, there was limited infrastructure, inadequate policies and rules among </w:t>
      </w:r>
      <w:r w:rsidR="00E70C59" w:rsidRPr="00F34A39">
        <w:rPr>
          <w:sz w:val="22"/>
          <w:szCs w:val="22"/>
          <w:lang w:val="en-AU"/>
        </w:rPr>
        <w:t>Partner Courts</w:t>
      </w:r>
      <w:r w:rsidR="00E70C59" w:rsidRPr="00F34A39" w:rsidDel="00FA7421">
        <w:rPr>
          <w:sz w:val="22"/>
          <w:szCs w:val="22"/>
          <w:lang w:val="en-AU"/>
        </w:rPr>
        <w:t xml:space="preserve"> </w:t>
      </w:r>
      <w:r w:rsidRPr="00F34A39">
        <w:rPr>
          <w:rFonts w:eastAsiaTheme="minorEastAsia"/>
          <w:sz w:val="22"/>
          <w:szCs w:val="22"/>
          <w:lang w:val="en-AU" w:eastAsia="ja-JP"/>
        </w:rPr>
        <w:t>to ensure the safety and privacy of women and children survivors and witnesses of violence, and to avoid their re-traumatisation. Judicial officers often reduced sentences in GFV cases based on factors which unjustly privilege the perpetrator over the survivor. Mitigating factors were raised in the majority of GFV cases, leading in 50% of cases to a reduction in sentence. PJSI aimed to challenge and dismantle</w:t>
      </w:r>
      <w:r w:rsidR="00444069">
        <w:rPr>
          <w:rFonts w:eastAsiaTheme="minorEastAsia"/>
          <w:sz w:val="22"/>
          <w:szCs w:val="22"/>
          <w:lang w:val="en-AU" w:eastAsia="ja-JP"/>
        </w:rPr>
        <w:t xml:space="preserve"> discriminatory</w:t>
      </w:r>
      <w:r w:rsidR="00F92C07">
        <w:rPr>
          <w:rFonts w:eastAsiaTheme="minorEastAsia"/>
          <w:sz w:val="22"/>
          <w:szCs w:val="22"/>
          <w:lang w:val="en-AU" w:eastAsia="ja-JP"/>
        </w:rPr>
        <w:t>,</w:t>
      </w:r>
      <w:r w:rsidR="00444069">
        <w:rPr>
          <w:rFonts w:eastAsiaTheme="minorEastAsia"/>
          <w:sz w:val="22"/>
          <w:szCs w:val="22"/>
          <w:lang w:val="en-AU" w:eastAsia="ja-JP"/>
        </w:rPr>
        <w:t xml:space="preserve"> patriarchal</w:t>
      </w:r>
      <w:r w:rsidRPr="00F34A39">
        <w:rPr>
          <w:rFonts w:eastAsiaTheme="minorEastAsia"/>
          <w:sz w:val="22"/>
          <w:szCs w:val="22"/>
          <w:lang w:val="en-AU" w:eastAsia="ja-JP"/>
        </w:rPr>
        <w:t xml:space="preserve"> notions and strengthen </w:t>
      </w:r>
      <w:r w:rsidR="00E70C59" w:rsidRPr="00F34A39">
        <w:rPr>
          <w:sz w:val="22"/>
          <w:szCs w:val="22"/>
          <w:lang w:val="en-AU"/>
        </w:rPr>
        <w:t>Partner Courts’</w:t>
      </w:r>
      <w:r w:rsidR="00E70C59" w:rsidRPr="00F34A39" w:rsidDel="00FA7421">
        <w:rPr>
          <w:sz w:val="22"/>
          <w:szCs w:val="22"/>
          <w:lang w:val="en-AU"/>
        </w:rPr>
        <w:t xml:space="preserve"> </w:t>
      </w:r>
      <w:r w:rsidRPr="00F34A39">
        <w:rPr>
          <w:rFonts w:eastAsiaTheme="minorEastAsia"/>
          <w:sz w:val="22"/>
          <w:szCs w:val="22"/>
          <w:lang w:val="en-AU" w:eastAsia="ja-JP"/>
        </w:rPr>
        <w:t>response to GFV and human rights ensuring victims and their rights are protected, and perpetrators are held accountable.</w:t>
      </w:r>
    </w:p>
    <w:p w14:paraId="15B778D8" w14:textId="183C4439" w:rsidR="00657C13" w:rsidRPr="00F34A39" w:rsidRDefault="00657C13" w:rsidP="00E84A5A">
      <w:pPr>
        <w:pStyle w:val="QuoteA2"/>
        <w:tabs>
          <w:tab w:val="clear" w:pos="1134"/>
          <w:tab w:val="left" w:pos="0"/>
          <w:tab w:val="left" w:pos="8647"/>
        </w:tabs>
        <w:spacing w:before="240" w:after="240"/>
        <w:ind w:left="0" w:right="395" w:firstLine="0"/>
        <w:jc w:val="center"/>
        <w:rPr>
          <w:rFonts w:asciiTheme="minorHAnsi" w:hAnsiTheme="minorHAnsi" w:cstheme="minorHAnsi"/>
          <w:sz w:val="22"/>
          <w:szCs w:val="22"/>
          <w:lang w:val="en-AU"/>
        </w:rPr>
      </w:pPr>
      <w:r w:rsidRPr="00F34A39">
        <w:rPr>
          <w:rFonts w:asciiTheme="minorHAnsi" w:hAnsiTheme="minorHAnsi" w:cstheme="minorHAnsi"/>
          <w:noProof/>
          <w:sz w:val="22"/>
          <w:szCs w:val="22"/>
          <w:lang w:val="en-AU" w:eastAsia="en-AU"/>
        </w:rPr>
        <w:drawing>
          <wp:anchor distT="0" distB="0" distL="114300" distR="114300" simplePos="0" relativeHeight="251703808" behindDoc="0" locked="0" layoutInCell="1" allowOverlap="1" wp14:anchorId="1641D4FF" wp14:editId="764340DC">
            <wp:simplePos x="0" y="0"/>
            <wp:positionH relativeFrom="column">
              <wp:posOffset>2540</wp:posOffset>
            </wp:positionH>
            <wp:positionV relativeFrom="paragraph">
              <wp:posOffset>154940</wp:posOffset>
            </wp:positionV>
            <wp:extent cx="5817600" cy="720000"/>
            <wp:effectExtent l="0" t="0" r="12065" b="4445"/>
            <wp:wrapSquare wrapText="bothSides"/>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anchor>
        </w:drawing>
      </w:r>
      <w:r w:rsidRPr="00F34A39">
        <w:rPr>
          <w:rFonts w:asciiTheme="minorHAnsi" w:hAnsiTheme="minorHAnsi" w:cstheme="minorHAnsi"/>
          <w:sz w:val="22"/>
          <w:szCs w:val="22"/>
          <w:lang w:val="en-AU"/>
        </w:rPr>
        <w:t>The judiciary should strengthen transparency, integrity and efficiency. [It] should review public satisfaction with the delivery of justice and identify systemic weaknesses with a view to remedying them. The judiciary should regularly address court users’ complaints, and publish an annual report of its activities, including measures taken to improve the functioning of the justice system.</w:t>
      </w:r>
      <w:r w:rsidRPr="00F34A39">
        <w:rPr>
          <w:rStyle w:val="FootnoteReference"/>
          <w:rFonts w:asciiTheme="minorHAnsi" w:hAnsiTheme="minorHAnsi" w:cstheme="minorHAnsi"/>
          <w:sz w:val="22"/>
          <w:szCs w:val="22"/>
          <w:lang w:val="en-AU"/>
        </w:rPr>
        <w:footnoteReference w:id="20"/>
      </w:r>
    </w:p>
    <w:p w14:paraId="3AA3C286" w14:textId="376C406A" w:rsidR="00657C13" w:rsidRPr="00F34A39" w:rsidRDefault="00657C13" w:rsidP="00657C13">
      <w:pPr>
        <w:pStyle w:val="QuoteA2"/>
        <w:tabs>
          <w:tab w:val="clear" w:pos="1134"/>
          <w:tab w:val="left" w:pos="0"/>
        </w:tabs>
        <w:spacing w:before="120" w:after="120"/>
        <w:ind w:left="0" w:right="-42" w:firstLine="0"/>
        <w:rPr>
          <w:rFonts w:asciiTheme="minorHAnsi" w:hAnsiTheme="minorHAnsi" w:cstheme="minorHAnsi"/>
          <w:i w:val="0"/>
          <w:sz w:val="22"/>
          <w:szCs w:val="22"/>
          <w:lang w:val="en-AU"/>
        </w:rPr>
      </w:pPr>
      <w:r w:rsidRPr="00F34A39">
        <w:rPr>
          <w:rFonts w:asciiTheme="minorHAnsi" w:hAnsiTheme="minorHAnsi" w:cstheme="minorHAnsi"/>
          <w:i w:val="0"/>
          <w:sz w:val="22"/>
          <w:szCs w:val="22"/>
          <w:lang w:val="en-AU"/>
        </w:rPr>
        <w:t>The Cook Island Indicators were developed during PJDP, and gains in the number of Indicators Partner Courts could and do report on were evident by its conclusion. However, many Partner Courts lacked the capacity to report comprehensively on their performance. PJSI focus</w:t>
      </w:r>
      <w:r w:rsidR="00080D9B">
        <w:rPr>
          <w:rFonts w:asciiTheme="minorHAnsi" w:hAnsiTheme="minorHAnsi" w:cstheme="minorHAnsi"/>
          <w:i w:val="0"/>
          <w:sz w:val="22"/>
          <w:szCs w:val="22"/>
          <w:lang w:val="en-AU"/>
        </w:rPr>
        <w:t>s</w:t>
      </w:r>
      <w:r w:rsidRPr="00F34A39">
        <w:rPr>
          <w:rFonts w:asciiTheme="minorHAnsi" w:hAnsiTheme="minorHAnsi" w:cstheme="minorHAnsi"/>
          <w:i w:val="0"/>
          <w:sz w:val="22"/>
          <w:szCs w:val="22"/>
          <w:lang w:val="en-AU"/>
        </w:rPr>
        <w:t>ed on continuing to strengthen capacity for judiciaries to understand and publicly report how they are performing according to an</w:t>
      </w:r>
      <w:r w:rsidR="00E84A5A">
        <w:rPr>
          <w:rFonts w:asciiTheme="minorHAnsi" w:hAnsiTheme="minorHAnsi" w:cstheme="minorHAnsi"/>
          <w:i w:val="0"/>
          <w:sz w:val="22"/>
          <w:szCs w:val="22"/>
          <w:lang w:val="en-AU"/>
        </w:rPr>
        <w:t xml:space="preserve"> expanded framework of indices -</w:t>
      </w:r>
      <w:r w:rsidRPr="00F34A39">
        <w:rPr>
          <w:rFonts w:asciiTheme="minorHAnsi" w:hAnsiTheme="minorHAnsi" w:cstheme="minorHAnsi"/>
          <w:i w:val="0"/>
          <w:sz w:val="22"/>
          <w:szCs w:val="22"/>
          <w:lang w:val="en-AU"/>
        </w:rPr>
        <w:t xml:space="preserve"> both systemically and according to court users. </w:t>
      </w:r>
      <w:r w:rsidR="00E84A5A">
        <w:rPr>
          <w:rFonts w:asciiTheme="minorHAnsi" w:hAnsiTheme="minorHAnsi" w:cstheme="minorHAnsi"/>
          <w:i w:val="0"/>
          <w:sz w:val="22"/>
          <w:szCs w:val="22"/>
          <w:lang w:val="en-AU"/>
        </w:rPr>
        <w:t xml:space="preserve">      </w:t>
      </w:r>
      <w:r w:rsidRPr="00F34A39">
        <w:rPr>
          <w:rFonts w:asciiTheme="minorHAnsi" w:hAnsiTheme="minorHAnsi" w:cstheme="minorHAnsi"/>
          <w:i w:val="0"/>
          <w:sz w:val="22"/>
          <w:szCs w:val="22"/>
          <w:lang w:val="en-AU"/>
        </w:rPr>
        <w:lastRenderedPageBreak/>
        <w:t xml:space="preserve">PJSI also aimed to support Partner Courts to use that insight to address identified weaknesses. </w:t>
      </w:r>
    </w:p>
    <w:p w14:paraId="4B77CBD5" w14:textId="78985150" w:rsidR="00C43B27" w:rsidRDefault="00657C13" w:rsidP="00657C13">
      <w:pPr>
        <w:pStyle w:val="QuoteA2"/>
        <w:tabs>
          <w:tab w:val="clear" w:pos="1134"/>
          <w:tab w:val="left" w:pos="0"/>
        </w:tabs>
        <w:spacing w:before="120" w:after="120"/>
        <w:ind w:left="0" w:right="-42" w:firstLine="0"/>
        <w:rPr>
          <w:rFonts w:asciiTheme="minorHAnsi" w:hAnsiTheme="minorHAnsi" w:cstheme="minorHAnsi"/>
          <w:i w:val="0"/>
          <w:sz w:val="22"/>
          <w:szCs w:val="22"/>
          <w:lang w:val="en-AU"/>
        </w:rPr>
      </w:pPr>
      <w:r w:rsidRPr="00F34A39">
        <w:rPr>
          <w:rFonts w:asciiTheme="minorHAnsi" w:hAnsiTheme="minorHAnsi" w:cstheme="minorHAnsi"/>
          <w:i w:val="0"/>
          <w:sz w:val="22"/>
          <w:szCs w:val="22"/>
          <w:lang w:val="en-AU"/>
        </w:rPr>
        <w:t xml:space="preserve">While some </w:t>
      </w:r>
      <w:r w:rsidR="00E70C59" w:rsidRPr="00F34A39">
        <w:rPr>
          <w:rFonts w:asciiTheme="minorHAnsi" w:hAnsiTheme="minorHAnsi"/>
          <w:i w:val="0"/>
          <w:iCs w:val="0"/>
          <w:sz w:val="22"/>
          <w:szCs w:val="22"/>
          <w:lang w:val="en-AU"/>
        </w:rPr>
        <w:t>Partner Courts</w:t>
      </w:r>
      <w:r w:rsidR="00E70C59" w:rsidRPr="00F34A39" w:rsidDel="00FA7421">
        <w:rPr>
          <w:rFonts w:asciiTheme="minorHAnsi" w:hAnsiTheme="minorHAnsi"/>
          <w:sz w:val="22"/>
          <w:szCs w:val="22"/>
          <w:lang w:val="en-AU"/>
        </w:rPr>
        <w:t xml:space="preserve"> </w:t>
      </w:r>
      <w:r w:rsidRPr="00F34A39">
        <w:rPr>
          <w:rFonts w:asciiTheme="minorHAnsi" w:hAnsiTheme="minorHAnsi" w:cstheme="minorHAnsi"/>
          <w:i w:val="0"/>
          <w:sz w:val="22"/>
          <w:szCs w:val="22"/>
          <w:lang w:val="en-AU"/>
        </w:rPr>
        <w:t xml:space="preserve">established time goals and increased the efficiency with which cases are disposed of in courts prior to PJSI, delay was cited by 16% of respondents to the PJSI needs assessment survey as the most significant impediment to justice. PJSI focused on </w:t>
      </w:r>
      <w:r w:rsidR="00CA3567">
        <w:rPr>
          <w:rFonts w:asciiTheme="minorHAnsi" w:hAnsiTheme="minorHAnsi" w:cstheme="minorHAnsi"/>
          <w:i w:val="0"/>
          <w:sz w:val="22"/>
          <w:szCs w:val="22"/>
          <w:lang w:val="en-AU"/>
        </w:rPr>
        <w:t xml:space="preserve">improving efficiency in case management and case-flow management across seven defined areas as well as developing reports, supported by technology, around seven Core Court Performance Indicators to enable </w:t>
      </w:r>
      <w:r w:rsidRPr="00F34A39">
        <w:rPr>
          <w:rFonts w:asciiTheme="minorHAnsi" w:hAnsiTheme="minorHAnsi" w:cstheme="minorHAnsi"/>
          <w:i w:val="0"/>
          <w:sz w:val="22"/>
          <w:szCs w:val="22"/>
          <w:lang w:val="en-AU"/>
        </w:rPr>
        <w:t>reductions in case disposition time and pending cases; and increases in cl</w:t>
      </w:r>
      <w:r w:rsidR="00C43B27">
        <w:rPr>
          <w:rFonts w:asciiTheme="minorHAnsi" w:hAnsiTheme="minorHAnsi" w:cstheme="minorHAnsi"/>
          <w:i w:val="0"/>
          <w:sz w:val="22"/>
          <w:szCs w:val="22"/>
          <w:lang w:val="en-AU"/>
        </w:rPr>
        <w:t>earance rates and productivity.</w:t>
      </w:r>
    </w:p>
    <w:p w14:paraId="5E98C4B5" w14:textId="675C3897" w:rsidR="00C43B27" w:rsidRDefault="00C43B27" w:rsidP="00657C13">
      <w:pPr>
        <w:pStyle w:val="QuoteA2"/>
        <w:tabs>
          <w:tab w:val="clear" w:pos="1134"/>
          <w:tab w:val="left" w:pos="0"/>
        </w:tabs>
        <w:spacing w:before="120" w:after="120"/>
        <w:ind w:left="0" w:right="-42" w:firstLine="0"/>
        <w:rPr>
          <w:rFonts w:asciiTheme="minorHAnsi" w:hAnsiTheme="minorHAnsi" w:cstheme="minorHAnsi"/>
          <w:i w:val="0"/>
          <w:sz w:val="22"/>
          <w:szCs w:val="22"/>
          <w:lang w:val="en-AU"/>
        </w:rPr>
      </w:pPr>
    </w:p>
    <w:p w14:paraId="57F3F7EF" w14:textId="15281D9D" w:rsidR="00C43B27" w:rsidRDefault="00C43B27" w:rsidP="00657C13">
      <w:pPr>
        <w:pStyle w:val="QuoteA2"/>
        <w:tabs>
          <w:tab w:val="clear" w:pos="1134"/>
          <w:tab w:val="left" w:pos="0"/>
        </w:tabs>
        <w:spacing w:before="120" w:after="120"/>
        <w:ind w:left="0" w:right="-42" w:firstLine="0"/>
        <w:rPr>
          <w:rFonts w:asciiTheme="minorHAnsi" w:hAnsiTheme="minorHAnsi" w:cstheme="minorHAnsi"/>
          <w:i w:val="0"/>
          <w:sz w:val="22"/>
          <w:szCs w:val="22"/>
          <w:lang w:val="en-AU"/>
        </w:rPr>
        <w:sectPr w:rsidR="00C43B27" w:rsidSect="00AA3D5E">
          <w:headerReference w:type="default" r:id="rId178"/>
          <w:footerReference w:type="default" r:id="rId179"/>
          <w:headerReference w:type="first" r:id="rId180"/>
          <w:pgSz w:w="11906" w:h="16838" w:code="9"/>
          <w:pgMar w:top="1559" w:right="1361" w:bottom="1418" w:left="1361" w:header="397" w:footer="170" w:gutter="0"/>
          <w:pgNumType w:start="1"/>
          <w:cols w:space="708"/>
          <w:titlePg/>
          <w:docGrid w:linePitch="360"/>
        </w:sectPr>
      </w:pPr>
    </w:p>
    <w:p w14:paraId="39CCD902" w14:textId="0B967B31" w:rsidR="008374C9" w:rsidRDefault="00732939" w:rsidP="00BC1A90">
      <w:pPr>
        <w:pStyle w:val="HBHeading1"/>
        <w:spacing w:before="0"/>
        <w:rPr>
          <w:color w:val="00323E" w:themeColor="accent1" w:themeShade="80"/>
          <w:lang w:val="en-AU"/>
        </w:rPr>
      </w:pPr>
      <w:bookmarkStart w:id="41" w:name="_Toc77423622"/>
      <w:bookmarkStart w:id="42" w:name="_Toc90564317"/>
      <w:bookmarkStart w:id="43" w:name="_Toc75185179"/>
      <w:r w:rsidRPr="00F34A39">
        <w:rPr>
          <w:color w:val="00323E" w:themeColor="accent1" w:themeShade="80"/>
          <w:lang w:val="en-AU"/>
        </w:rPr>
        <w:lastRenderedPageBreak/>
        <w:t xml:space="preserve">Annex </w:t>
      </w:r>
      <w:r w:rsidR="00C16A8C">
        <w:rPr>
          <w:color w:val="00323E" w:themeColor="accent1" w:themeShade="80"/>
          <w:lang w:val="en-AU"/>
        </w:rPr>
        <w:t>Four</w:t>
      </w:r>
      <w:r w:rsidR="00741253" w:rsidRPr="00F34A39">
        <w:rPr>
          <w:color w:val="00323E" w:themeColor="accent1" w:themeShade="80"/>
          <w:lang w:val="en-AU"/>
        </w:rPr>
        <w:t>:</w:t>
      </w:r>
      <w:r w:rsidRPr="00F34A39">
        <w:rPr>
          <w:color w:val="00323E" w:themeColor="accent1" w:themeShade="80"/>
          <w:lang w:val="en-AU"/>
        </w:rPr>
        <w:t xml:space="preserve"> </w:t>
      </w:r>
      <w:r w:rsidR="008374C9">
        <w:rPr>
          <w:color w:val="00323E" w:themeColor="accent1" w:themeShade="80"/>
          <w:lang w:val="en-AU"/>
        </w:rPr>
        <w:t>Reforms</w:t>
      </w:r>
      <w:bookmarkEnd w:id="41"/>
      <w:bookmarkEnd w:id="42"/>
      <w:r w:rsidR="008374C9">
        <w:rPr>
          <w:color w:val="00323E" w:themeColor="accent1" w:themeShade="80"/>
          <w:lang w:val="en-AU"/>
        </w:rPr>
        <w:t xml:space="preserve"> </w:t>
      </w:r>
    </w:p>
    <w:tbl>
      <w:tblPr>
        <w:tblStyle w:val="TableGrid"/>
        <w:tblW w:w="0" w:type="auto"/>
        <w:jc w:val="center"/>
        <w:tblLook w:val="04A0" w:firstRow="1" w:lastRow="0" w:firstColumn="1" w:lastColumn="0" w:noHBand="0" w:noVBand="1"/>
      </w:tblPr>
      <w:tblGrid>
        <w:gridCol w:w="1980"/>
        <w:gridCol w:w="5148"/>
        <w:gridCol w:w="4780"/>
        <w:gridCol w:w="971"/>
      </w:tblGrid>
      <w:tr w:rsidR="008374C9" w:rsidRPr="00E47089" w14:paraId="13905FCB" w14:textId="77777777" w:rsidTr="00E84A5A">
        <w:trPr>
          <w:jc w:val="center"/>
        </w:trPr>
        <w:tc>
          <w:tcPr>
            <w:tcW w:w="1980" w:type="dxa"/>
            <w:vAlign w:val="center"/>
          </w:tcPr>
          <w:p w14:paraId="47623C36" w14:textId="77777777" w:rsidR="008374C9" w:rsidRPr="00E47089" w:rsidRDefault="008374C9" w:rsidP="00D97F4D">
            <w:pPr>
              <w:jc w:val="center"/>
              <w:rPr>
                <w:rFonts w:asciiTheme="minorHAnsi" w:hAnsiTheme="minorHAnsi" w:cstheme="minorHAnsi"/>
                <w:b/>
              </w:rPr>
            </w:pPr>
            <w:r w:rsidRPr="00E47089">
              <w:rPr>
                <w:rFonts w:asciiTheme="minorHAnsi" w:hAnsiTheme="minorHAnsi" w:cstheme="minorHAnsi"/>
                <w:b/>
              </w:rPr>
              <w:t>Theme</w:t>
            </w:r>
          </w:p>
        </w:tc>
        <w:tc>
          <w:tcPr>
            <w:tcW w:w="5148" w:type="dxa"/>
            <w:vAlign w:val="center"/>
          </w:tcPr>
          <w:p w14:paraId="1EACBAD6" w14:textId="77777777" w:rsidR="008374C9" w:rsidRPr="00E47089" w:rsidRDefault="008374C9" w:rsidP="00D97F4D">
            <w:pPr>
              <w:jc w:val="center"/>
              <w:rPr>
                <w:rFonts w:asciiTheme="minorHAnsi" w:hAnsiTheme="minorHAnsi" w:cstheme="minorHAnsi"/>
                <w:b/>
              </w:rPr>
            </w:pPr>
            <w:r w:rsidRPr="00E47089">
              <w:rPr>
                <w:rFonts w:asciiTheme="minorHAnsi" w:hAnsiTheme="minorHAnsi" w:cstheme="minorHAnsi"/>
                <w:b/>
              </w:rPr>
              <w:t>Reform type</w:t>
            </w:r>
          </w:p>
        </w:tc>
        <w:tc>
          <w:tcPr>
            <w:tcW w:w="4780" w:type="dxa"/>
            <w:vAlign w:val="center"/>
          </w:tcPr>
          <w:p w14:paraId="638867B3" w14:textId="3A811F32" w:rsidR="008374C9" w:rsidRPr="00E47089" w:rsidRDefault="00C43B27" w:rsidP="00D97F4D">
            <w:pPr>
              <w:jc w:val="center"/>
              <w:rPr>
                <w:rFonts w:asciiTheme="minorHAnsi" w:hAnsiTheme="minorHAnsi" w:cstheme="minorHAnsi"/>
                <w:b/>
              </w:rPr>
            </w:pPr>
            <w:r w:rsidRPr="00E47089">
              <w:rPr>
                <w:rFonts w:asciiTheme="minorHAnsi" w:hAnsiTheme="minorHAnsi" w:cstheme="minorHAnsi"/>
                <w:b/>
              </w:rPr>
              <w:t>Partner Court</w:t>
            </w:r>
          </w:p>
        </w:tc>
        <w:tc>
          <w:tcPr>
            <w:tcW w:w="971" w:type="dxa"/>
            <w:vAlign w:val="center"/>
          </w:tcPr>
          <w:p w14:paraId="02FF3491" w14:textId="77777777" w:rsidR="008374C9" w:rsidRPr="00E47089" w:rsidRDefault="008374C9" w:rsidP="00C43B27">
            <w:pPr>
              <w:jc w:val="center"/>
              <w:rPr>
                <w:rFonts w:asciiTheme="minorHAnsi" w:hAnsiTheme="minorHAnsi" w:cstheme="minorHAnsi"/>
                <w:b/>
              </w:rPr>
            </w:pPr>
            <w:r w:rsidRPr="00E47089">
              <w:rPr>
                <w:rFonts w:asciiTheme="minorHAnsi" w:hAnsiTheme="minorHAnsi" w:cstheme="minorHAnsi"/>
                <w:b/>
              </w:rPr>
              <w:t>No. of reforms</w:t>
            </w:r>
          </w:p>
        </w:tc>
      </w:tr>
      <w:tr w:rsidR="008374C9" w:rsidRPr="00E47089" w14:paraId="21066655" w14:textId="77777777" w:rsidTr="00E84A5A">
        <w:trPr>
          <w:jc w:val="center"/>
        </w:trPr>
        <w:tc>
          <w:tcPr>
            <w:tcW w:w="1980" w:type="dxa"/>
            <w:vMerge w:val="restart"/>
            <w:vAlign w:val="center"/>
          </w:tcPr>
          <w:p w14:paraId="24B79C4F"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Leadership</w:t>
            </w:r>
          </w:p>
        </w:tc>
        <w:tc>
          <w:tcPr>
            <w:tcW w:w="5148" w:type="dxa"/>
            <w:vAlign w:val="center"/>
          </w:tcPr>
          <w:p w14:paraId="32F4379A"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COVID Response Plan</w:t>
            </w:r>
          </w:p>
        </w:tc>
        <w:tc>
          <w:tcPr>
            <w:tcW w:w="4780" w:type="dxa"/>
            <w:vAlign w:val="center"/>
          </w:tcPr>
          <w:p w14:paraId="5E05CB90"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FSM, Tonga</w:t>
            </w:r>
          </w:p>
        </w:tc>
        <w:tc>
          <w:tcPr>
            <w:tcW w:w="971" w:type="dxa"/>
            <w:vAlign w:val="center"/>
          </w:tcPr>
          <w:p w14:paraId="1F5F2B21" w14:textId="77777777" w:rsidR="008374C9" w:rsidRPr="00E47089" w:rsidRDefault="008374C9" w:rsidP="00C43B27">
            <w:pPr>
              <w:jc w:val="center"/>
              <w:rPr>
                <w:rFonts w:asciiTheme="minorHAnsi" w:hAnsiTheme="minorHAnsi" w:cstheme="minorHAnsi"/>
                <w:sz w:val="22"/>
                <w:szCs w:val="22"/>
              </w:rPr>
            </w:pPr>
            <w:r w:rsidRPr="00E47089">
              <w:rPr>
                <w:rFonts w:asciiTheme="minorHAnsi" w:hAnsiTheme="minorHAnsi" w:cstheme="minorHAnsi"/>
                <w:sz w:val="22"/>
                <w:szCs w:val="22"/>
              </w:rPr>
              <w:t>2</w:t>
            </w:r>
          </w:p>
        </w:tc>
      </w:tr>
      <w:tr w:rsidR="008374C9" w:rsidRPr="00E47089" w14:paraId="1EE0EB46" w14:textId="77777777" w:rsidTr="00E84A5A">
        <w:trPr>
          <w:jc w:val="center"/>
        </w:trPr>
        <w:tc>
          <w:tcPr>
            <w:tcW w:w="1980" w:type="dxa"/>
            <w:vMerge/>
            <w:vAlign w:val="center"/>
          </w:tcPr>
          <w:p w14:paraId="0D90A073" w14:textId="77777777" w:rsidR="008374C9" w:rsidRPr="00E47089" w:rsidRDefault="008374C9" w:rsidP="00D97F4D">
            <w:pPr>
              <w:rPr>
                <w:rFonts w:asciiTheme="minorHAnsi" w:hAnsiTheme="minorHAnsi" w:cstheme="minorHAnsi"/>
                <w:sz w:val="22"/>
                <w:szCs w:val="22"/>
              </w:rPr>
            </w:pPr>
          </w:p>
        </w:tc>
        <w:tc>
          <w:tcPr>
            <w:tcW w:w="5148" w:type="dxa"/>
            <w:vAlign w:val="center"/>
          </w:tcPr>
          <w:p w14:paraId="00681FE4" w14:textId="5C8DF340"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Strategic</w:t>
            </w:r>
            <w:r w:rsidR="00E84A5A" w:rsidRPr="00E47089">
              <w:rPr>
                <w:rFonts w:asciiTheme="minorHAnsi" w:hAnsiTheme="minorHAnsi" w:cstheme="minorHAnsi"/>
                <w:sz w:val="22"/>
                <w:szCs w:val="22"/>
              </w:rPr>
              <w:t xml:space="preserve"> </w:t>
            </w:r>
            <w:r w:rsidRPr="00E47089">
              <w:rPr>
                <w:rFonts w:asciiTheme="minorHAnsi" w:hAnsiTheme="minorHAnsi" w:cstheme="minorHAnsi"/>
                <w:sz w:val="22"/>
                <w:szCs w:val="22"/>
              </w:rPr>
              <w:t>/</w:t>
            </w:r>
            <w:r w:rsidR="00E84A5A" w:rsidRPr="00E47089">
              <w:rPr>
                <w:rFonts w:asciiTheme="minorHAnsi" w:hAnsiTheme="minorHAnsi" w:cstheme="minorHAnsi"/>
                <w:sz w:val="22"/>
                <w:szCs w:val="22"/>
              </w:rPr>
              <w:t xml:space="preserve"> </w:t>
            </w:r>
            <w:r w:rsidRPr="00E47089">
              <w:rPr>
                <w:rFonts w:asciiTheme="minorHAnsi" w:hAnsiTheme="minorHAnsi" w:cstheme="minorHAnsi"/>
                <w:sz w:val="22"/>
                <w:szCs w:val="22"/>
              </w:rPr>
              <w:t>Improvement  plans</w:t>
            </w:r>
          </w:p>
        </w:tc>
        <w:tc>
          <w:tcPr>
            <w:tcW w:w="4780" w:type="dxa"/>
            <w:vAlign w:val="center"/>
          </w:tcPr>
          <w:p w14:paraId="359C2593"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All PICs, but for Tokelau</w:t>
            </w:r>
          </w:p>
        </w:tc>
        <w:tc>
          <w:tcPr>
            <w:tcW w:w="971" w:type="dxa"/>
            <w:vAlign w:val="center"/>
          </w:tcPr>
          <w:p w14:paraId="425A57A3" w14:textId="77777777" w:rsidR="008374C9" w:rsidRPr="00E47089" w:rsidRDefault="008374C9" w:rsidP="00C43B27">
            <w:pPr>
              <w:jc w:val="center"/>
              <w:rPr>
                <w:rFonts w:asciiTheme="minorHAnsi" w:hAnsiTheme="minorHAnsi" w:cstheme="minorHAnsi"/>
                <w:sz w:val="22"/>
                <w:szCs w:val="22"/>
              </w:rPr>
            </w:pPr>
            <w:r w:rsidRPr="00E47089">
              <w:rPr>
                <w:rFonts w:asciiTheme="minorHAnsi" w:hAnsiTheme="minorHAnsi" w:cstheme="minorHAnsi"/>
                <w:sz w:val="22"/>
                <w:szCs w:val="22"/>
              </w:rPr>
              <w:t>13</w:t>
            </w:r>
          </w:p>
        </w:tc>
      </w:tr>
      <w:tr w:rsidR="00E07CA3" w:rsidRPr="00E47089" w14:paraId="1635A976" w14:textId="77777777" w:rsidTr="00E84A5A">
        <w:trPr>
          <w:jc w:val="center"/>
        </w:trPr>
        <w:tc>
          <w:tcPr>
            <w:tcW w:w="1980" w:type="dxa"/>
            <w:vMerge w:val="restart"/>
            <w:vAlign w:val="center"/>
          </w:tcPr>
          <w:p w14:paraId="35AE94DA" w14:textId="7777777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Access</w:t>
            </w:r>
          </w:p>
        </w:tc>
        <w:tc>
          <w:tcPr>
            <w:tcW w:w="5148" w:type="dxa"/>
            <w:vAlign w:val="center"/>
          </w:tcPr>
          <w:p w14:paraId="0591406C" w14:textId="7777777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Access to Justice Plans</w:t>
            </w:r>
          </w:p>
        </w:tc>
        <w:tc>
          <w:tcPr>
            <w:tcW w:w="4780" w:type="dxa"/>
            <w:vAlign w:val="center"/>
          </w:tcPr>
          <w:p w14:paraId="30611ED1" w14:textId="7777777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Vanuatu, Kiribati, RMI, FSM</w:t>
            </w:r>
          </w:p>
        </w:tc>
        <w:tc>
          <w:tcPr>
            <w:tcW w:w="971" w:type="dxa"/>
            <w:vAlign w:val="center"/>
          </w:tcPr>
          <w:p w14:paraId="18E7F884" w14:textId="77777777" w:rsidR="00E07CA3" w:rsidRPr="00E47089" w:rsidRDefault="00E07CA3" w:rsidP="00C43B27">
            <w:pPr>
              <w:jc w:val="center"/>
              <w:rPr>
                <w:rFonts w:asciiTheme="minorHAnsi" w:hAnsiTheme="minorHAnsi" w:cstheme="minorHAnsi"/>
                <w:sz w:val="22"/>
                <w:szCs w:val="22"/>
              </w:rPr>
            </w:pPr>
            <w:r w:rsidRPr="00E47089">
              <w:rPr>
                <w:rFonts w:asciiTheme="minorHAnsi" w:hAnsiTheme="minorHAnsi" w:cstheme="minorHAnsi"/>
                <w:sz w:val="22"/>
                <w:szCs w:val="22"/>
              </w:rPr>
              <w:t>4</w:t>
            </w:r>
          </w:p>
        </w:tc>
      </w:tr>
      <w:tr w:rsidR="00E07CA3" w:rsidRPr="00E47089" w14:paraId="0D6F1056" w14:textId="77777777" w:rsidTr="00E84A5A">
        <w:trPr>
          <w:jc w:val="center"/>
        </w:trPr>
        <w:tc>
          <w:tcPr>
            <w:tcW w:w="1980" w:type="dxa"/>
            <w:vMerge/>
            <w:vAlign w:val="center"/>
          </w:tcPr>
          <w:p w14:paraId="23B2CE9D" w14:textId="77777777" w:rsidR="00E07CA3" w:rsidRPr="00E47089" w:rsidRDefault="00E07CA3" w:rsidP="00D97F4D">
            <w:pPr>
              <w:rPr>
                <w:rFonts w:asciiTheme="minorHAnsi" w:hAnsiTheme="minorHAnsi" w:cstheme="minorHAnsi"/>
                <w:sz w:val="22"/>
                <w:szCs w:val="22"/>
              </w:rPr>
            </w:pPr>
          </w:p>
        </w:tc>
        <w:tc>
          <w:tcPr>
            <w:tcW w:w="5148" w:type="dxa"/>
            <w:vAlign w:val="center"/>
          </w:tcPr>
          <w:p w14:paraId="1DAD2019" w14:textId="7777777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 xml:space="preserve">Community awareness raising </w:t>
            </w:r>
          </w:p>
        </w:tc>
        <w:tc>
          <w:tcPr>
            <w:tcW w:w="4780" w:type="dxa"/>
            <w:vAlign w:val="center"/>
          </w:tcPr>
          <w:p w14:paraId="15B5285D" w14:textId="7777777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Vanuatu, Kiribati, RMI, FSM</w:t>
            </w:r>
          </w:p>
        </w:tc>
        <w:tc>
          <w:tcPr>
            <w:tcW w:w="971" w:type="dxa"/>
            <w:vAlign w:val="center"/>
          </w:tcPr>
          <w:p w14:paraId="61DA43FC" w14:textId="77777777" w:rsidR="00E07CA3" w:rsidRPr="00E47089" w:rsidRDefault="00E07CA3" w:rsidP="00C43B27">
            <w:pPr>
              <w:jc w:val="center"/>
              <w:rPr>
                <w:rFonts w:asciiTheme="minorHAnsi" w:hAnsiTheme="minorHAnsi" w:cstheme="minorHAnsi"/>
                <w:sz w:val="22"/>
                <w:szCs w:val="22"/>
              </w:rPr>
            </w:pPr>
            <w:r w:rsidRPr="00E47089">
              <w:rPr>
                <w:rFonts w:asciiTheme="minorHAnsi" w:hAnsiTheme="minorHAnsi" w:cstheme="minorHAnsi"/>
                <w:sz w:val="22"/>
                <w:szCs w:val="22"/>
              </w:rPr>
              <w:t>4</w:t>
            </w:r>
          </w:p>
        </w:tc>
      </w:tr>
      <w:tr w:rsidR="00E47089" w:rsidRPr="00E47089" w14:paraId="335BCCD2" w14:textId="77777777" w:rsidTr="00E84A5A">
        <w:trPr>
          <w:jc w:val="center"/>
        </w:trPr>
        <w:tc>
          <w:tcPr>
            <w:tcW w:w="1980" w:type="dxa"/>
            <w:vMerge/>
            <w:vAlign w:val="center"/>
          </w:tcPr>
          <w:p w14:paraId="02E5EE87" w14:textId="77777777" w:rsidR="00E47089" w:rsidRPr="00E47089" w:rsidRDefault="00E47089" w:rsidP="00D97F4D">
            <w:pPr>
              <w:rPr>
                <w:rFonts w:asciiTheme="minorHAnsi" w:hAnsiTheme="minorHAnsi" w:cstheme="minorHAnsi"/>
                <w:sz w:val="22"/>
                <w:szCs w:val="22"/>
              </w:rPr>
            </w:pPr>
          </w:p>
        </w:tc>
        <w:tc>
          <w:tcPr>
            <w:tcW w:w="5148" w:type="dxa"/>
            <w:vAlign w:val="center"/>
          </w:tcPr>
          <w:p w14:paraId="49FC626C" w14:textId="4878D0B6" w:rsidR="00E47089" w:rsidRPr="00E47089" w:rsidRDefault="00E47089" w:rsidP="00D97F4D">
            <w:pPr>
              <w:rPr>
                <w:rFonts w:asciiTheme="minorHAnsi" w:hAnsiTheme="minorHAnsi" w:cstheme="minorHAnsi"/>
                <w:sz w:val="22"/>
                <w:szCs w:val="22"/>
              </w:rPr>
            </w:pPr>
            <w:r w:rsidRPr="00E47089">
              <w:rPr>
                <w:rFonts w:asciiTheme="minorHAnsi" w:hAnsiTheme="minorHAnsi" w:cstheme="minorHAnsi"/>
                <w:sz w:val="22"/>
                <w:szCs w:val="22"/>
              </w:rPr>
              <w:t>Developing Community Engagement Guidance Note</w:t>
            </w:r>
          </w:p>
        </w:tc>
        <w:tc>
          <w:tcPr>
            <w:tcW w:w="4780" w:type="dxa"/>
            <w:vAlign w:val="center"/>
          </w:tcPr>
          <w:p w14:paraId="7258979C" w14:textId="41F0A791" w:rsidR="00E47089" w:rsidRPr="00E47089" w:rsidRDefault="00E47089" w:rsidP="00D97F4D">
            <w:pPr>
              <w:rPr>
                <w:rFonts w:asciiTheme="minorHAnsi" w:hAnsiTheme="minorHAnsi" w:cstheme="minorHAnsi"/>
                <w:sz w:val="22"/>
                <w:szCs w:val="22"/>
              </w:rPr>
            </w:pPr>
            <w:r w:rsidRPr="00E47089">
              <w:rPr>
                <w:rFonts w:asciiTheme="minorHAnsi" w:hAnsiTheme="minorHAnsi" w:cstheme="minorHAnsi"/>
                <w:sz w:val="22"/>
                <w:szCs w:val="22"/>
              </w:rPr>
              <w:t>All</w:t>
            </w:r>
            <w:r w:rsidR="000A0C5E">
              <w:rPr>
                <w:rFonts w:asciiTheme="minorHAnsi" w:hAnsiTheme="minorHAnsi" w:cstheme="minorHAnsi"/>
                <w:sz w:val="22"/>
                <w:szCs w:val="22"/>
              </w:rPr>
              <w:t xml:space="preserve"> PICs</w:t>
            </w:r>
          </w:p>
        </w:tc>
        <w:tc>
          <w:tcPr>
            <w:tcW w:w="971" w:type="dxa"/>
            <w:vAlign w:val="center"/>
          </w:tcPr>
          <w:p w14:paraId="4BBD2C5D" w14:textId="031565F3" w:rsidR="00E47089" w:rsidRPr="00E47089" w:rsidRDefault="000A0C5E" w:rsidP="00C43B27">
            <w:pPr>
              <w:jc w:val="center"/>
              <w:rPr>
                <w:rFonts w:asciiTheme="minorHAnsi" w:hAnsiTheme="minorHAnsi" w:cstheme="minorHAnsi"/>
                <w:sz w:val="22"/>
                <w:szCs w:val="22"/>
              </w:rPr>
            </w:pPr>
            <w:r>
              <w:rPr>
                <w:rFonts w:asciiTheme="minorHAnsi" w:hAnsiTheme="minorHAnsi" w:cstheme="minorHAnsi"/>
                <w:sz w:val="22"/>
                <w:szCs w:val="22"/>
              </w:rPr>
              <w:t>15</w:t>
            </w:r>
          </w:p>
        </w:tc>
      </w:tr>
      <w:tr w:rsidR="00E07CA3" w:rsidRPr="00E47089" w14:paraId="25605B1C" w14:textId="77777777" w:rsidTr="00E84A5A">
        <w:trPr>
          <w:jc w:val="center"/>
        </w:trPr>
        <w:tc>
          <w:tcPr>
            <w:tcW w:w="1980" w:type="dxa"/>
            <w:vMerge/>
            <w:vAlign w:val="center"/>
          </w:tcPr>
          <w:p w14:paraId="16A0211A" w14:textId="77777777" w:rsidR="00E07CA3" w:rsidRPr="00E47089" w:rsidRDefault="00E07CA3" w:rsidP="00D97F4D">
            <w:pPr>
              <w:rPr>
                <w:rFonts w:asciiTheme="minorHAnsi" w:hAnsiTheme="minorHAnsi" w:cstheme="minorHAnsi"/>
                <w:sz w:val="22"/>
                <w:szCs w:val="22"/>
              </w:rPr>
            </w:pPr>
          </w:p>
        </w:tc>
        <w:tc>
          <w:tcPr>
            <w:tcW w:w="5148" w:type="dxa"/>
            <w:vAlign w:val="center"/>
          </w:tcPr>
          <w:p w14:paraId="1822AE47" w14:textId="725F7AD3" w:rsidR="00E07CA3" w:rsidRPr="000A0C5E" w:rsidRDefault="00E07CA3" w:rsidP="00D97F4D">
            <w:pPr>
              <w:rPr>
                <w:rFonts w:asciiTheme="minorHAnsi" w:hAnsiTheme="minorHAnsi" w:cstheme="minorHAnsi"/>
                <w:sz w:val="22"/>
                <w:szCs w:val="22"/>
              </w:rPr>
            </w:pPr>
            <w:r w:rsidRPr="000A0C5E">
              <w:rPr>
                <w:rFonts w:asciiTheme="minorHAnsi" w:hAnsiTheme="minorHAnsi" w:cstheme="minorHAnsi"/>
                <w:sz w:val="22"/>
                <w:szCs w:val="22"/>
              </w:rPr>
              <w:t xml:space="preserve">Support </w:t>
            </w:r>
            <w:r w:rsidR="00E417C5" w:rsidRPr="000A0C5E">
              <w:rPr>
                <w:rFonts w:asciiTheme="minorHAnsi" w:hAnsiTheme="minorHAnsi" w:cstheme="minorHAnsi"/>
                <w:sz w:val="22"/>
                <w:szCs w:val="22"/>
              </w:rPr>
              <w:t>and resources to refine Certificate of Justice materials for inclusion in s</w:t>
            </w:r>
            <w:r w:rsidRPr="000A0C5E">
              <w:rPr>
                <w:rFonts w:asciiTheme="minorHAnsi" w:hAnsiTheme="minorHAnsi" w:cstheme="minorHAnsi"/>
                <w:sz w:val="22"/>
                <w:szCs w:val="22"/>
              </w:rPr>
              <w:t>econdary</w:t>
            </w:r>
            <w:r w:rsidR="00E417C5" w:rsidRPr="000A0C5E">
              <w:rPr>
                <w:rFonts w:asciiTheme="minorHAnsi" w:hAnsiTheme="minorHAnsi" w:cstheme="minorHAnsi"/>
                <w:sz w:val="22"/>
                <w:szCs w:val="22"/>
              </w:rPr>
              <w:t xml:space="preserve"> school c</w:t>
            </w:r>
            <w:r w:rsidRPr="000A0C5E">
              <w:rPr>
                <w:rFonts w:asciiTheme="minorHAnsi" w:hAnsiTheme="minorHAnsi" w:cstheme="minorHAnsi"/>
                <w:sz w:val="22"/>
                <w:szCs w:val="22"/>
              </w:rPr>
              <w:t>urriculum</w:t>
            </w:r>
          </w:p>
        </w:tc>
        <w:tc>
          <w:tcPr>
            <w:tcW w:w="4780" w:type="dxa"/>
            <w:vAlign w:val="center"/>
          </w:tcPr>
          <w:p w14:paraId="05848661" w14:textId="1E547300" w:rsidR="00E07CA3" w:rsidRPr="000A0C5E" w:rsidRDefault="00E07CA3" w:rsidP="00D97F4D">
            <w:pPr>
              <w:rPr>
                <w:rFonts w:asciiTheme="minorHAnsi" w:hAnsiTheme="minorHAnsi" w:cstheme="minorHAnsi"/>
                <w:sz w:val="22"/>
                <w:szCs w:val="22"/>
              </w:rPr>
            </w:pPr>
            <w:r w:rsidRPr="000A0C5E">
              <w:rPr>
                <w:rFonts w:asciiTheme="minorHAnsi" w:hAnsiTheme="minorHAnsi" w:cstheme="minorHAnsi"/>
                <w:sz w:val="22"/>
                <w:szCs w:val="22"/>
              </w:rPr>
              <w:t>RMI, PNG, Kiribati, FSM, Vanuatu, Tonga</w:t>
            </w:r>
          </w:p>
        </w:tc>
        <w:tc>
          <w:tcPr>
            <w:tcW w:w="971" w:type="dxa"/>
            <w:vAlign w:val="center"/>
          </w:tcPr>
          <w:p w14:paraId="4823EDA3" w14:textId="45F21DFE" w:rsidR="00E07CA3" w:rsidRPr="000A0C5E" w:rsidRDefault="00E07CA3" w:rsidP="00C43B27">
            <w:pPr>
              <w:jc w:val="center"/>
              <w:rPr>
                <w:rFonts w:asciiTheme="minorHAnsi" w:hAnsiTheme="minorHAnsi" w:cstheme="minorHAnsi"/>
                <w:sz w:val="22"/>
                <w:szCs w:val="22"/>
              </w:rPr>
            </w:pPr>
            <w:r w:rsidRPr="000A0C5E">
              <w:rPr>
                <w:rFonts w:asciiTheme="minorHAnsi" w:hAnsiTheme="minorHAnsi" w:cstheme="minorHAnsi"/>
                <w:sz w:val="22"/>
                <w:szCs w:val="22"/>
              </w:rPr>
              <w:t>6</w:t>
            </w:r>
          </w:p>
        </w:tc>
      </w:tr>
      <w:tr w:rsidR="00E07CA3" w:rsidRPr="00E47089" w14:paraId="6063388A" w14:textId="77777777" w:rsidTr="00E84A5A">
        <w:trPr>
          <w:jc w:val="center"/>
        </w:trPr>
        <w:tc>
          <w:tcPr>
            <w:tcW w:w="1980" w:type="dxa"/>
            <w:vMerge w:val="restart"/>
            <w:vAlign w:val="center"/>
          </w:tcPr>
          <w:p w14:paraId="78D27B65" w14:textId="7777777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Professionalism</w:t>
            </w:r>
          </w:p>
        </w:tc>
        <w:tc>
          <w:tcPr>
            <w:tcW w:w="5148" w:type="dxa"/>
            <w:vAlign w:val="center"/>
          </w:tcPr>
          <w:p w14:paraId="3DD4CED2" w14:textId="07E969F4"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Human and institutional capacity building</w:t>
            </w:r>
          </w:p>
        </w:tc>
        <w:tc>
          <w:tcPr>
            <w:tcW w:w="4780" w:type="dxa"/>
            <w:vAlign w:val="center"/>
          </w:tcPr>
          <w:p w14:paraId="280F3551" w14:textId="7777777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PNG</w:t>
            </w:r>
          </w:p>
        </w:tc>
        <w:tc>
          <w:tcPr>
            <w:tcW w:w="971" w:type="dxa"/>
            <w:vAlign w:val="center"/>
          </w:tcPr>
          <w:p w14:paraId="6A7D34E6" w14:textId="77777777" w:rsidR="00E07CA3" w:rsidRPr="00E47089" w:rsidRDefault="00E07CA3" w:rsidP="00C43B27">
            <w:pPr>
              <w:jc w:val="center"/>
              <w:rPr>
                <w:rFonts w:asciiTheme="minorHAnsi" w:hAnsiTheme="minorHAnsi" w:cstheme="minorHAnsi"/>
                <w:sz w:val="22"/>
                <w:szCs w:val="22"/>
              </w:rPr>
            </w:pPr>
            <w:r w:rsidRPr="00E47089">
              <w:rPr>
                <w:rFonts w:asciiTheme="minorHAnsi" w:hAnsiTheme="minorHAnsi" w:cstheme="minorHAnsi"/>
                <w:sz w:val="22"/>
                <w:szCs w:val="22"/>
              </w:rPr>
              <w:t>2</w:t>
            </w:r>
          </w:p>
        </w:tc>
      </w:tr>
      <w:tr w:rsidR="00E07CA3" w:rsidRPr="00E47089" w14:paraId="44D78995" w14:textId="77777777" w:rsidTr="00E84A5A">
        <w:trPr>
          <w:jc w:val="center"/>
        </w:trPr>
        <w:tc>
          <w:tcPr>
            <w:tcW w:w="1980" w:type="dxa"/>
            <w:vMerge/>
            <w:vAlign w:val="center"/>
          </w:tcPr>
          <w:p w14:paraId="597CEFEE" w14:textId="77777777" w:rsidR="00E07CA3" w:rsidRPr="00E47089" w:rsidRDefault="00E07CA3" w:rsidP="00D97F4D">
            <w:pPr>
              <w:rPr>
                <w:rFonts w:asciiTheme="minorHAnsi" w:hAnsiTheme="minorHAnsi" w:cstheme="minorHAnsi"/>
                <w:sz w:val="22"/>
                <w:szCs w:val="22"/>
              </w:rPr>
            </w:pPr>
          </w:p>
        </w:tc>
        <w:tc>
          <w:tcPr>
            <w:tcW w:w="5148" w:type="dxa"/>
            <w:vAlign w:val="center"/>
          </w:tcPr>
          <w:p w14:paraId="290D6996" w14:textId="7777777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Infrastructure provision</w:t>
            </w:r>
          </w:p>
        </w:tc>
        <w:tc>
          <w:tcPr>
            <w:tcW w:w="4780" w:type="dxa"/>
            <w:vAlign w:val="center"/>
          </w:tcPr>
          <w:p w14:paraId="02985718" w14:textId="7777777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PNG</w:t>
            </w:r>
          </w:p>
        </w:tc>
        <w:tc>
          <w:tcPr>
            <w:tcW w:w="971" w:type="dxa"/>
            <w:vAlign w:val="center"/>
          </w:tcPr>
          <w:p w14:paraId="2951DEA8" w14:textId="77777777" w:rsidR="00E07CA3" w:rsidRPr="00E47089" w:rsidRDefault="00E07CA3" w:rsidP="00C43B27">
            <w:pPr>
              <w:jc w:val="center"/>
              <w:rPr>
                <w:rFonts w:asciiTheme="minorHAnsi" w:hAnsiTheme="minorHAnsi" w:cstheme="minorHAnsi"/>
                <w:sz w:val="22"/>
                <w:szCs w:val="22"/>
              </w:rPr>
            </w:pPr>
            <w:r w:rsidRPr="00E47089">
              <w:rPr>
                <w:rFonts w:asciiTheme="minorHAnsi" w:hAnsiTheme="minorHAnsi" w:cstheme="minorHAnsi"/>
                <w:sz w:val="22"/>
                <w:szCs w:val="22"/>
              </w:rPr>
              <w:t>1</w:t>
            </w:r>
          </w:p>
        </w:tc>
      </w:tr>
      <w:tr w:rsidR="00E07CA3" w:rsidRPr="00E47089" w14:paraId="5949F0CD" w14:textId="77777777" w:rsidTr="00E84A5A">
        <w:trPr>
          <w:jc w:val="center"/>
        </w:trPr>
        <w:tc>
          <w:tcPr>
            <w:tcW w:w="1980" w:type="dxa"/>
            <w:vMerge/>
            <w:vAlign w:val="center"/>
          </w:tcPr>
          <w:p w14:paraId="1BC5EC9A" w14:textId="77777777" w:rsidR="00E07CA3" w:rsidRPr="00E47089" w:rsidRDefault="00E07CA3" w:rsidP="00D97F4D">
            <w:pPr>
              <w:rPr>
                <w:rFonts w:asciiTheme="minorHAnsi" w:hAnsiTheme="minorHAnsi" w:cstheme="minorHAnsi"/>
                <w:sz w:val="22"/>
                <w:szCs w:val="22"/>
              </w:rPr>
            </w:pPr>
          </w:p>
        </w:tc>
        <w:tc>
          <w:tcPr>
            <w:tcW w:w="5148" w:type="dxa"/>
            <w:vAlign w:val="center"/>
          </w:tcPr>
          <w:p w14:paraId="131290C3" w14:textId="7777777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Courseware development</w:t>
            </w:r>
          </w:p>
        </w:tc>
        <w:tc>
          <w:tcPr>
            <w:tcW w:w="4780" w:type="dxa"/>
            <w:vAlign w:val="center"/>
          </w:tcPr>
          <w:p w14:paraId="4A4840E3" w14:textId="4FD2A9B7"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PNG, USP</w:t>
            </w:r>
          </w:p>
        </w:tc>
        <w:tc>
          <w:tcPr>
            <w:tcW w:w="971" w:type="dxa"/>
            <w:vAlign w:val="center"/>
          </w:tcPr>
          <w:p w14:paraId="50EE1935" w14:textId="77777777" w:rsidR="00E07CA3" w:rsidRPr="00E47089" w:rsidRDefault="00E07CA3" w:rsidP="00C43B27">
            <w:pPr>
              <w:jc w:val="center"/>
              <w:rPr>
                <w:rFonts w:asciiTheme="minorHAnsi" w:hAnsiTheme="minorHAnsi" w:cstheme="minorHAnsi"/>
                <w:sz w:val="22"/>
                <w:szCs w:val="22"/>
              </w:rPr>
            </w:pPr>
            <w:r w:rsidRPr="00E47089">
              <w:rPr>
                <w:rFonts w:asciiTheme="minorHAnsi" w:hAnsiTheme="minorHAnsi" w:cstheme="minorHAnsi"/>
                <w:sz w:val="22"/>
                <w:szCs w:val="22"/>
              </w:rPr>
              <w:t>2</w:t>
            </w:r>
          </w:p>
        </w:tc>
      </w:tr>
      <w:tr w:rsidR="00E07CA3" w:rsidRPr="00E47089" w14:paraId="5E7725A5" w14:textId="77777777" w:rsidTr="00E84A5A">
        <w:trPr>
          <w:jc w:val="center"/>
        </w:trPr>
        <w:tc>
          <w:tcPr>
            <w:tcW w:w="1980" w:type="dxa"/>
            <w:vMerge/>
            <w:vAlign w:val="center"/>
          </w:tcPr>
          <w:p w14:paraId="63A340C5" w14:textId="77777777" w:rsidR="00E07CA3" w:rsidRPr="00E47089" w:rsidRDefault="00E07CA3" w:rsidP="00D97F4D">
            <w:pPr>
              <w:rPr>
                <w:rFonts w:asciiTheme="minorHAnsi" w:hAnsiTheme="minorHAnsi" w:cstheme="minorHAnsi"/>
                <w:sz w:val="22"/>
                <w:szCs w:val="22"/>
              </w:rPr>
            </w:pPr>
          </w:p>
        </w:tc>
        <w:tc>
          <w:tcPr>
            <w:tcW w:w="5148" w:type="dxa"/>
            <w:vAlign w:val="center"/>
          </w:tcPr>
          <w:p w14:paraId="08F8B00B" w14:textId="2AEA5D3E"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 xml:space="preserve">Community Engagement </w:t>
            </w:r>
            <w:r w:rsidR="00E417C5" w:rsidRPr="00E47089">
              <w:rPr>
                <w:rFonts w:asciiTheme="minorHAnsi" w:hAnsiTheme="minorHAnsi" w:cstheme="minorHAnsi"/>
                <w:sz w:val="22"/>
                <w:szCs w:val="22"/>
              </w:rPr>
              <w:t xml:space="preserve">Guidance </w:t>
            </w:r>
            <w:r w:rsidRPr="00E47089">
              <w:rPr>
                <w:rFonts w:asciiTheme="minorHAnsi" w:hAnsiTheme="minorHAnsi" w:cstheme="minorHAnsi"/>
                <w:sz w:val="22"/>
                <w:szCs w:val="22"/>
              </w:rPr>
              <w:t>Note</w:t>
            </w:r>
            <w:r w:rsidR="00E47089" w:rsidRPr="00E47089">
              <w:rPr>
                <w:rFonts w:asciiTheme="minorHAnsi" w:hAnsiTheme="minorHAnsi" w:cstheme="minorHAnsi"/>
                <w:sz w:val="22"/>
                <w:szCs w:val="22"/>
              </w:rPr>
              <w:t xml:space="preserve"> – capacity building</w:t>
            </w:r>
          </w:p>
        </w:tc>
        <w:tc>
          <w:tcPr>
            <w:tcW w:w="4780" w:type="dxa"/>
            <w:vAlign w:val="center"/>
          </w:tcPr>
          <w:p w14:paraId="47864DBE" w14:textId="77D90112" w:rsidR="00E07CA3" w:rsidRPr="00E47089" w:rsidRDefault="00E07CA3" w:rsidP="00D97F4D">
            <w:pPr>
              <w:rPr>
                <w:rFonts w:asciiTheme="minorHAnsi" w:hAnsiTheme="minorHAnsi" w:cstheme="minorHAnsi"/>
                <w:sz w:val="22"/>
                <w:szCs w:val="22"/>
              </w:rPr>
            </w:pPr>
            <w:r w:rsidRPr="00E47089">
              <w:rPr>
                <w:rFonts w:asciiTheme="minorHAnsi" w:hAnsiTheme="minorHAnsi" w:cstheme="minorHAnsi"/>
                <w:sz w:val="22"/>
                <w:szCs w:val="22"/>
              </w:rPr>
              <w:t>Cook Islands, FSM, Kiribati, RMI, Palau, PNG, Tokelau, Vanuatu</w:t>
            </w:r>
          </w:p>
        </w:tc>
        <w:tc>
          <w:tcPr>
            <w:tcW w:w="971" w:type="dxa"/>
            <w:vAlign w:val="center"/>
          </w:tcPr>
          <w:p w14:paraId="06615143" w14:textId="383133D5" w:rsidR="00E07CA3" w:rsidRPr="00E47089" w:rsidRDefault="00E47089" w:rsidP="00C43B27">
            <w:pPr>
              <w:jc w:val="center"/>
              <w:rPr>
                <w:rFonts w:asciiTheme="minorHAnsi" w:hAnsiTheme="minorHAnsi" w:cstheme="minorHAnsi"/>
                <w:sz w:val="22"/>
                <w:szCs w:val="22"/>
              </w:rPr>
            </w:pPr>
            <w:r w:rsidRPr="00E47089">
              <w:rPr>
                <w:rFonts w:asciiTheme="minorHAnsi" w:hAnsiTheme="minorHAnsi" w:cstheme="minorHAnsi"/>
                <w:sz w:val="22"/>
                <w:szCs w:val="22"/>
              </w:rPr>
              <w:t>7</w:t>
            </w:r>
          </w:p>
        </w:tc>
      </w:tr>
      <w:tr w:rsidR="008374C9" w:rsidRPr="00E47089" w14:paraId="40B65383" w14:textId="77777777" w:rsidTr="00E84A5A">
        <w:trPr>
          <w:jc w:val="center"/>
        </w:trPr>
        <w:tc>
          <w:tcPr>
            <w:tcW w:w="1980" w:type="dxa"/>
            <w:vMerge w:val="restart"/>
            <w:vAlign w:val="center"/>
          </w:tcPr>
          <w:p w14:paraId="04A7CD8E"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Rights</w:t>
            </w:r>
          </w:p>
        </w:tc>
        <w:tc>
          <w:tcPr>
            <w:tcW w:w="5148" w:type="dxa"/>
            <w:vAlign w:val="center"/>
          </w:tcPr>
          <w:p w14:paraId="34857556"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Strategic plans</w:t>
            </w:r>
          </w:p>
        </w:tc>
        <w:tc>
          <w:tcPr>
            <w:tcW w:w="4780" w:type="dxa"/>
            <w:vAlign w:val="center"/>
          </w:tcPr>
          <w:p w14:paraId="7EF33948" w14:textId="586C9644" w:rsidR="008374C9" w:rsidRPr="000A0C5E" w:rsidRDefault="008374C9" w:rsidP="000A0C5E">
            <w:pPr>
              <w:rPr>
                <w:rFonts w:asciiTheme="minorHAnsi" w:hAnsiTheme="minorHAnsi" w:cstheme="minorHAnsi"/>
                <w:sz w:val="22"/>
                <w:szCs w:val="22"/>
              </w:rPr>
            </w:pPr>
            <w:r w:rsidRPr="000A0C5E">
              <w:rPr>
                <w:rFonts w:asciiTheme="minorHAnsi" w:hAnsiTheme="minorHAnsi" w:cstheme="minorHAnsi"/>
                <w:sz w:val="22"/>
                <w:szCs w:val="22"/>
              </w:rPr>
              <w:t xml:space="preserve">Kiribati, </w:t>
            </w:r>
            <w:r w:rsidRPr="000A0C5E">
              <w:rPr>
                <w:rFonts w:asciiTheme="minorHAnsi" w:hAnsiTheme="minorHAnsi" w:cstheme="minorHAnsi"/>
                <w:color w:val="000000"/>
                <w:sz w:val="22"/>
                <w:szCs w:val="22"/>
                <w:lang w:val="en-AU"/>
              </w:rPr>
              <w:t>Vanuatu, Palau, Samoa</w:t>
            </w:r>
          </w:p>
        </w:tc>
        <w:tc>
          <w:tcPr>
            <w:tcW w:w="971" w:type="dxa"/>
            <w:vAlign w:val="center"/>
          </w:tcPr>
          <w:p w14:paraId="53E98594" w14:textId="2512F297" w:rsidR="008374C9" w:rsidRPr="000A0C5E" w:rsidRDefault="000A0C5E" w:rsidP="00C43B27">
            <w:pPr>
              <w:jc w:val="center"/>
              <w:rPr>
                <w:rFonts w:asciiTheme="minorHAnsi" w:hAnsiTheme="minorHAnsi" w:cstheme="minorHAnsi"/>
                <w:sz w:val="22"/>
                <w:szCs w:val="22"/>
              </w:rPr>
            </w:pPr>
            <w:r>
              <w:rPr>
                <w:rFonts w:asciiTheme="minorHAnsi" w:hAnsiTheme="minorHAnsi" w:cstheme="minorHAnsi"/>
                <w:sz w:val="22"/>
                <w:szCs w:val="22"/>
              </w:rPr>
              <w:t>4</w:t>
            </w:r>
          </w:p>
        </w:tc>
      </w:tr>
      <w:tr w:rsidR="008374C9" w:rsidRPr="00E47089" w14:paraId="086E0AF1" w14:textId="77777777" w:rsidTr="00E84A5A">
        <w:trPr>
          <w:jc w:val="center"/>
        </w:trPr>
        <w:tc>
          <w:tcPr>
            <w:tcW w:w="1980" w:type="dxa"/>
            <w:vMerge/>
            <w:vAlign w:val="center"/>
          </w:tcPr>
          <w:p w14:paraId="2DAE8CC7" w14:textId="77777777" w:rsidR="008374C9" w:rsidRPr="00E47089" w:rsidRDefault="008374C9" w:rsidP="00D97F4D">
            <w:pPr>
              <w:rPr>
                <w:rFonts w:asciiTheme="minorHAnsi" w:hAnsiTheme="minorHAnsi" w:cstheme="minorHAnsi"/>
                <w:sz w:val="22"/>
                <w:szCs w:val="22"/>
              </w:rPr>
            </w:pPr>
          </w:p>
        </w:tc>
        <w:tc>
          <w:tcPr>
            <w:tcW w:w="5148" w:type="dxa"/>
            <w:vAlign w:val="center"/>
          </w:tcPr>
          <w:p w14:paraId="1C5B6D03"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Victim centred sentencing</w:t>
            </w:r>
          </w:p>
        </w:tc>
        <w:tc>
          <w:tcPr>
            <w:tcW w:w="4780" w:type="dxa"/>
            <w:vAlign w:val="center"/>
          </w:tcPr>
          <w:p w14:paraId="7A71C0D6"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Tonga, Vanuatu, FSM</w:t>
            </w:r>
          </w:p>
        </w:tc>
        <w:tc>
          <w:tcPr>
            <w:tcW w:w="971" w:type="dxa"/>
            <w:vAlign w:val="center"/>
          </w:tcPr>
          <w:p w14:paraId="78FFCD25" w14:textId="77777777" w:rsidR="008374C9" w:rsidRPr="00E47089" w:rsidRDefault="008374C9" w:rsidP="00C43B27">
            <w:pPr>
              <w:jc w:val="center"/>
              <w:rPr>
                <w:rFonts w:asciiTheme="minorHAnsi" w:hAnsiTheme="minorHAnsi" w:cstheme="minorHAnsi"/>
                <w:sz w:val="22"/>
                <w:szCs w:val="22"/>
              </w:rPr>
            </w:pPr>
            <w:r w:rsidRPr="00E47089">
              <w:rPr>
                <w:rFonts w:asciiTheme="minorHAnsi" w:hAnsiTheme="minorHAnsi" w:cstheme="minorHAnsi"/>
                <w:sz w:val="22"/>
                <w:szCs w:val="22"/>
              </w:rPr>
              <w:t>3</w:t>
            </w:r>
          </w:p>
        </w:tc>
      </w:tr>
      <w:tr w:rsidR="008374C9" w:rsidRPr="00E47089" w14:paraId="4DAD756B" w14:textId="77777777" w:rsidTr="00E84A5A">
        <w:trPr>
          <w:jc w:val="center"/>
        </w:trPr>
        <w:tc>
          <w:tcPr>
            <w:tcW w:w="1980" w:type="dxa"/>
            <w:vMerge/>
            <w:vAlign w:val="center"/>
          </w:tcPr>
          <w:p w14:paraId="00A674D4" w14:textId="77777777" w:rsidR="008374C9" w:rsidRPr="00E47089" w:rsidRDefault="008374C9" w:rsidP="00D97F4D">
            <w:pPr>
              <w:rPr>
                <w:rFonts w:asciiTheme="minorHAnsi" w:hAnsiTheme="minorHAnsi" w:cstheme="minorHAnsi"/>
                <w:sz w:val="22"/>
                <w:szCs w:val="22"/>
              </w:rPr>
            </w:pPr>
          </w:p>
        </w:tc>
        <w:tc>
          <w:tcPr>
            <w:tcW w:w="5148" w:type="dxa"/>
            <w:vAlign w:val="center"/>
          </w:tcPr>
          <w:p w14:paraId="0CDCA21D"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Referral to other courts / complimentary services</w:t>
            </w:r>
          </w:p>
        </w:tc>
        <w:tc>
          <w:tcPr>
            <w:tcW w:w="4780" w:type="dxa"/>
            <w:vAlign w:val="center"/>
          </w:tcPr>
          <w:p w14:paraId="0743F5C0"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 xml:space="preserve">Kiribati, PNG, Vanuatu, FSM </w:t>
            </w:r>
          </w:p>
        </w:tc>
        <w:tc>
          <w:tcPr>
            <w:tcW w:w="971" w:type="dxa"/>
            <w:vAlign w:val="center"/>
          </w:tcPr>
          <w:p w14:paraId="5537831B" w14:textId="77777777" w:rsidR="008374C9" w:rsidRPr="00E47089" w:rsidRDefault="008374C9" w:rsidP="00C43B27">
            <w:pPr>
              <w:jc w:val="center"/>
              <w:rPr>
                <w:rFonts w:asciiTheme="minorHAnsi" w:hAnsiTheme="minorHAnsi" w:cstheme="minorHAnsi"/>
                <w:sz w:val="22"/>
                <w:szCs w:val="22"/>
              </w:rPr>
            </w:pPr>
            <w:r w:rsidRPr="00E47089">
              <w:rPr>
                <w:rFonts w:asciiTheme="minorHAnsi" w:hAnsiTheme="minorHAnsi" w:cstheme="minorHAnsi"/>
                <w:sz w:val="22"/>
                <w:szCs w:val="22"/>
              </w:rPr>
              <w:t>4</w:t>
            </w:r>
          </w:p>
        </w:tc>
      </w:tr>
      <w:tr w:rsidR="008374C9" w:rsidRPr="00E47089" w14:paraId="461A75E6" w14:textId="77777777" w:rsidTr="00E84A5A">
        <w:trPr>
          <w:jc w:val="center"/>
        </w:trPr>
        <w:tc>
          <w:tcPr>
            <w:tcW w:w="1980" w:type="dxa"/>
            <w:vMerge/>
            <w:vAlign w:val="center"/>
          </w:tcPr>
          <w:p w14:paraId="127E5A7F" w14:textId="77777777" w:rsidR="008374C9" w:rsidRPr="00E47089" w:rsidRDefault="008374C9" w:rsidP="00D97F4D">
            <w:pPr>
              <w:rPr>
                <w:rFonts w:asciiTheme="minorHAnsi" w:hAnsiTheme="minorHAnsi" w:cstheme="minorHAnsi"/>
                <w:sz w:val="22"/>
                <w:szCs w:val="22"/>
              </w:rPr>
            </w:pPr>
          </w:p>
        </w:tc>
        <w:tc>
          <w:tcPr>
            <w:tcW w:w="5148" w:type="dxa"/>
            <w:vAlign w:val="center"/>
          </w:tcPr>
          <w:p w14:paraId="14627EB3"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Community outreach / awareness raising</w:t>
            </w:r>
          </w:p>
        </w:tc>
        <w:tc>
          <w:tcPr>
            <w:tcW w:w="4780" w:type="dxa"/>
            <w:vAlign w:val="center"/>
          </w:tcPr>
          <w:p w14:paraId="21A35439"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Vanuatu, FSM, Kiribati, Solomon Islands, PNG</w:t>
            </w:r>
          </w:p>
        </w:tc>
        <w:tc>
          <w:tcPr>
            <w:tcW w:w="971" w:type="dxa"/>
            <w:vAlign w:val="center"/>
          </w:tcPr>
          <w:p w14:paraId="11E2D538" w14:textId="77777777" w:rsidR="008374C9" w:rsidRPr="00E47089" w:rsidRDefault="008374C9" w:rsidP="00C43B27">
            <w:pPr>
              <w:jc w:val="center"/>
              <w:rPr>
                <w:rFonts w:asciiTheme="minorHAnsi" w:hAnsiTheme="minorHAnsi" w:cstheme="minorHAnsi"/>
                <w:sz w:val="22"/>
                <w:szCs w:val="22"/>
              </w:rPr>
            </w:pPr>
            <w:r w:rsidRPr="00E47089">
              <w:rPr>
                <w:rFonts w:asciiTheme="minorHAnsi" w:hAnsiTheme="minorHAnsi" w:cstheme="minorHAnsi"/>
                <w:sz w:val="22"/>
                <w:szCs w:val="22"/>
              </w:rPr>
              <w:t>5</w:t>
            </w:r>
          </w:p>
        </w:tc>
      </w:tr>
      <w:tr w:rsidR="008374C9" w:rsidRPr="00E47089" w14:paraId="1FE7BD3D" w14:textId="77777777" w:rsidTr="00E84A5A">
        <w:trPr>
          <w:jc w:val="center"/>
        </w:trPr>
        <w:tc>
          <w:tcPr>
            <w:tcW w:w="1980" w:type="dxa"/>
            <w:vMerge/>
            <w:vAlign w:val="center"/>
          </w:tcPr>
          <w:p w14:paraId="0029C702" w14:textId="77777777" w:rsidR="008374C9" w:rsidRPr="00E47089" w:rsidRDefault="008374C9" w:rsidP="00D97F4D">
            <w:pPr>
              <w:rPr>
                <w:rFonts w:asciiTheme="minorHAnsi" w:hAnsiTheme="minorHAnsi" w:cstheme="minorHAnsi"/>
                <w:sz w:val="22"/>
                <w:szCs w:val="22"/>
              </w:rPr>
            </w:pPr>
          </w:p>
        </w:tc>
        <w:tc>
          <w:tcPr>
            <w:tcW w:w="5148" w:type="dxa"/>
            <w:vAlign w:val="center"/>
          </w:tcPr>
          <w:p w14:paraId="5DC45205" w14:textId="71A07B98"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 xml:space="preserve">Assistance to </w:t>
            </w:r>
            <w:r w:rsidR="0049451E" w:rsidRPr="00E47089">
              <w:rPr>
                <w:rFonts w:asciiTheme="minorHAnsi" w:hAnsiTheme="minorHAnsi" w:cstheme="minorHAnsi"/>
                <w:sz w:val="22"/>
                <w:szCs w:val="22"/>
              </w:rPr>
              <w:t>Self-Represented Litigants</w:t>
            </w:r>
          </w:p>
        </w:tc>
        <w:tc>
          <w:tcPr>
            <w:tcW w:w="4780" w:type="dxa"/>
            <w:vAlign w:val="center"/>
          </w:tcPr>
          <w:p w14:paraId="4F8B6FCB" w14:textId="77777777" w:rsidR="008374C9" w:rsidRPr="00E47089" w:rsidRDefault="008374C9" w:rsidP="00D97F4D">
            <w:pPr>
              <w:rPr>
                <w:rFonts w:asciiTheme="minorHAnsi" w:hAnsiTheme="minorHAnsi" w:cstheme="minorHAnsi"/>
                <w:sz w:val="22"/>
                <w:szCs w:val="22"/>
              </w:rPr>
            </w:pPr>
            <w:r w:rsidRPr="00E47089">
              <w:rPr>
                <w:rFonts w:asciiTheme="minorHAnsi" w:hAnsiTheme="minorHAnsi" w:cstheme="minorHAnsi"/>
                <w:sz w:val="22"/>
                <w:szCs w:val="22"/>
              </w:rPr>
              <w:t>Tonga, Solomon Islands</w:t>
            </w:r>
          </w:p>
        </w:tc>
        <w:tc>
          <w:tcPr>
            <w:tcW w:w="971" w:type="dxa"/>
            <w:vAlign w:val="center"/>
          </w:tcPr>
          <w:p w14:paraId="334CAF24" w14:textId="77777777" w:rsidR="008374C9" w:rsidRPr="00E47089" w:rsidRDefault="008374C9" w:rsidP="00C43B27">
            <w:pPr>
              <w:jc w:val="center"/>
              <w:rPr>
                <w:rFonts w:asciiTheme="minorHAnsi" w:hAnsiTheme="minorHAnsi" w:cstheme="minorHAnsi"/>
                <w:sz w:val="22"/>
                <w:szCs w:val="22"/>
              </w:rPr>
            </w:pPr>
            <w:r w:rsidRPr="00E47089">
              <w:rPr>
                <w:rFonts w:asciiTheme="minorHAnsi" w:hAnsiTheme="minorHAnsi" w:cstheme="minorHAnsi"/>
                <w:sz w:val="22"/>
                <w:szCs w:val="22"/>
              </w:rPr>
              <w:t>2</w:t>
            </w:r>
          </w:p>
        </w:tc>
      </w:tr>
      <w:tr w:rsidR="008374C9" w:rsidRPr="00E47089" w14:paraId="6F9BBD62" w14:textId="77777777" w:rsidTr="00E84A5A">
        <w:trPr>
          <w:jc w:val="center"/>
        </w:trPr>
        <w:tc>
          <w:tcPr>
            <w:tcW w:w="1980" w:type="dxa"/>
            <w:vMerge/>
            <w:vAlign w:val="center"/>
          </w:tcPr>
          <w:p w14:paraId="185399BD" w14:textId="77777777" w:rsidR="008374C9" w:rsidRPr="00E47089" w:rsidRDefault="008374C9" w:rsidP="00D97F4D">
            <w:pPr>
              <w:rPr>
                <w:rFonts w:asciiTheme="minorHAnsi" w:hAnsiTheme="minorHAnsi" w:cstheme="minorHAnsi"/>
                <w:sz w:val="22"/>
                <w:szCs w:val="22"/>
              </w:rPr>
            </w:pPr>
          </w:p>
        </w:tc>
        <w:tc>
          <w:tcPr>
            <w:tcW w:w="5148" w:type="dxa"/>
            <w:vAlign w:val="center"/>
          </w:tcPr>
          <w:p w14:paraId="5A3DB390"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Simplifying protection order applications</w:t>
            </w:r>
          </w:p>
        </w:tc>
        <w:tc>
          <w:tcPr>
            <w:tcW w:w="4780" w:type="dxa"/>
            <w:vAlign w:val="center"/>
          </w:tcPr>
          <w:p w14:paraId="0C1E753B"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Nauru, Tonga</w:t>
            </w:r>
          </w:p>
        </w:tc>
        <w:tc>
          <w:tcPr>
            <w:tcW w:w="971" w:type="dxa"/>
            <w:vAlign w:val="center"/>
          </w:tcPr>
          <w:p w14:paraId="07840AB7" w14:textId="77777777" w:rsidR="008374C9" w:rsidRPr="001A46A4" w:rsidRDefault="008374C9" w:rsidP="00C43B27">
            <w:pPr>
              <w:jc w:val="center"/>
              <w:rPr>
                <w:rFonts w:asciiTheme="minorHAnsi" w:hAnsiTheme="minorHAnsi" w:cstheme="minorHAnsi"/>
                <w:sz w:val="22"/>
                <w:szCs w:val="22"/>
              </w:rPr>
            </w:pPr>
            <w:r w:rsidRPr="001A46A4">
              <w:rPr>
                <w:rFonts w:asciiTheme="minorHAnsi" w:hAnsiTheme="minorHAnsi" w:cstheme="minorHAnsi"/>
                <w:sz w:val="22"/>
                <w:szCs w:val="22"/>
              </w:rPr>
              <w:t>2</w:t>
            </w:r>
          </w:p>
        </w:tc>
      </w:tr>
      <w:tr w:rsidR="008374C9" w:rsidRPr="00E47089" w14:paraId="5F72CFBB" w14:textId="77777777" w:rsidTr="00E84A5A">
        <w:trPr>
          <w:jc w:val="center"/>
        </w:trPr>
        <w:tc>
          <w:tcPr>
            <w:tcW w:w="1980" w:type="dxa"/>
            <w:vMerge/>
            <w:vAlign w:val="center"/>
          </w:tcPr>
          <w:p w14:paraId="44BD4D91" w14:textId="77777777" w:rsidR="008374C9" w:rsidRPr="00E47089" w:rsidRDefault="008374C9" w:rsidP="00D97F4D">
            <w:pPr>
              <w:rPr>
                <w:rFonts w:asciiTheme="minorHAnsi" w:hAnsiTheme="minorHAnsi" w:cstheme="minorHAnsi"/>
                <w:sz w:val="22"/>
                <w:szCs w:val="22"/>
              </w:rPr>
            </w:pPr>
          </w:p>
        </w:tc>
        <w:tc>
          <w:tcPr>
            <w:tcW w:w="5148" w:type="dxa"/>
            <w:vAlign w:val="center"/>
          </w:tcPr>
          <w:p w14:paraId="2D557BFC"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Checklists</w:t>
            </w:r>
          </w:p>
        </w:tc>
        <w:tc>
          <w:tcPr>
            <w:tcW w:w="4780" w:type="dxa"/>
            <w:vAlign w:val="center"/>
          </w:tcPr>
          <w:p w14:paraId="438230E3" w14:textId="69065241"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Kiribati</w:t>
            </w:r>
            <w:r w:rsidR="00E07CA3" w:rsidRPr="001A46A4">
              <w:rPr>
                <w:rFonts w:asciiTheme="minorHAnsi" w:hAnsiTheme="minorHAnsi" w:cstheme="minorHAnsi"/>
                <w:sz w:val="22"/>
                <w:szCs w:val="22"/>
              </w:rPr>
              <w:t>, Vanuatu, Samoa</w:t>
            </w:r>
          </w:p>
        </w:tc>
        <w:tc>
          <w:tcPr>
            <w:tcW w:w="971" w:type="dxa"/>
            <w:vAlign w:val="center"/>
          </w:tcPr>
          <w:p w14:paraId="749A5319" w14:textId="0D4D6AE7" w:rsidR="008374C9" w:rsidRPr="001A46A4" w:rsidRDefault="00383956" w:rsidP="00C43B27">
            <w:pPr>
              <w:jc w:val="center"/>
              <w:rPr>
                <w:rFonts w:asciiTheme="minorHAnsi" w:hAnsiTheme="minorHAnsi" w:cstheme="minorHAnsi"/>
                <w:sz w:val="22"/>
                <w:szCs w:val="22"/>
              </w:rPr>
            </w:pPr>
            <w:r w:rsidRPr="001A46A4">
              <w:rPr>
                <w:rFonts w:asciiTheme="minorHAnsi" w:hAnsiTheme="minorHAnsi" w:cstheme="minorHAnsi"/>
                <w:sz w:val="22"/>
                <w:szCs w:val="22"/>
              </w:rPr>
              <w:t>3</w:t>
            </w:r>
          </w:p>
        </w:tc>
      </w:tr>
      <w:tr w:rsidR="008374C9" w:rsidRPr="00E47089" w14:paraId="177BC67D" w14:textId="77777777" w:rsidTr="00E84A5A">
        <w:trPr>
          <w:jc w:val="center"/>
        </w:trPr>
        <w:tc>
          <w:tcPr>
            <w:tcW w:w="1980" w:type="dxa"/>
            <w:vMerge/>
            <w:vAlign w:val="center"/>
          </w:tcPr>
          <w:p w14:paraId="52981744" w14:textId="77777777" w:rsidR="008374C9" w:rsidRPr="00E47089" w:rsidRDefault="008374C9" w:rsidP="00D97F4D">
            <w:pPr>
              <w:rPr>
                <w:rFonts w:asciiTheme="minorHAnsi" w:hAnsiTheme="minorHAnsi" w:cstheme="minorHAnsi"/>
                <w:sz w:val="22"/>
                <w:szCs w:val="22"/>
              </w:rPr>
            </w:pPr>
          </w:p>
        </w:tc>
        <w:tc>
          <w:tcPr>
            <w:tcW w:w="5148" w:type="dxa"/>
            <w:vAlign w:val="center"/>
          </w:tcPr>
          <w:p w14:paraId="2FC17FD8"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Mediating defence questions to victims</w:t>
            </w:r>
          </w:p>
        </w:tc>
        <w:tc>
          <w:tcPr>
            <w:tcW w:w="4780" w:type="dxa"/>
            <w:vAlign w:val="center"/>
          </w:tcPr>
          <w:p w14:paraId="2D5249C7"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Tonga</w:t>
            </w:r>
          </w:p>
        </w:tc>
        <w:tc>
          <w:tcPr>
            <w:tcW w:w="971" w:type="dxa"/>
            <w:vAlign w:val="center"/>
          </w:tcPr>
          <w:p w14:paraId="48E515A2" w14:textId="77777777" w:rsidR="008374C9" w:rsidRPr="001A46A4" w:rsidRDefault="008374C9" w:rsidP="00C43B27">
            <w:pPr>
              <w:jc w:val="center"/>
              <w:rPr>
                <w:rFonts w:asciiTheme="minorHAnsi" w:hAnsiTheme="minorHAnsi" w:cstheme="minorHAnsi"/>
                <w:sz w:val="22"/>
                <w:szCs w:val="22"/>
              </w:rPr>
            </w:pPr>
            <w:r w:rsidRPr="001A46A4">
              <w:rPr>
                <w:rFonts w:asciiTheme="minorHAnsi" w:hAnsiTheme="minorHAnsi" w:cstheme="minorHAnsi"/>
                <w:sz w:val="22"/>
                <w:szCs w:val="22"/>
              </w:rPr>
              <w:t>1</w:t>
            </w:r>
          </w:p>
        </w:tc>
      </w:tr>
      <w:tr w:rsidR="008374C9" w:rsidRPr="00E47089" w14:paraId="317D742E" w14:textId="77777777" w:rsidTr="00E84A5A">
        <w:trPr>
          <w:jc w:val="center"/>
        </w:trPr>
        <w:tc>
          <w:tcPr>
            <w:tcW w:w="1980" w:type="dxa"/>
            <w:vMerge/>
            <w:vAlign w:val="center"/>
          </w:tcPr>
          <w:p w14:paraId="027A6CB3" w14:textId="77777777" w:rsidR="008374C9" w:rsidRPr="00E47089" w:rsidRDefault="008374C9" w:rsidP="00D97F4D">
            <w:pPr>
              <w:rPr>
                <w:rFonts w:asciiTheme="minorHAnsi" w:hAnsiTheme="minorHAnsi" w:cstheme="minorHAnsi"/>
                <w:sz w:val="22"/>
                <w:szCs w:val="22"/>
              </w:rPr>
            </w:pPr>
          </w:p>
        </w:tc>
        <w:tc>
          <w:tcPr>
            <w:tcW w:w="5148" w:type="dxa"/>
            <w:vAlign w:val="center"/>
          </w:tcPr>
          <w:p w14:paraId="2DA8C6DA"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Juvenile diversion, separate / special provisions</w:t>
            </w:r>
          </w:p>
        </w:tc>
        <w:tc>
          <w:tcPr>
            <w:tcW w:w="4780" w:type="dxa"/>
            <w:vAlign w:val="center"/>
          </w:tcPr>
          <w:p w14:paraId="3EE15909" w14:textId="1AF776CB" w:rsidR="008374C9" w:rsidRPr="001A46A4" w:rsidRDefault="008374C9" w:rsidP="00383956">
            <w:pPr>
              <w:rPr>
                <w:rFonts w:asciiTheme="minorHAnsi" w:hAnsiTheme="minorHAnsi" w:cstheme="minorHAnsi"/>
                <w:sz w:val="22"/>
                <w:szCs w:val="22"/>
              </w:rPr>
            </w:pPr>
            <w:r w:rsidRPr="001A46A4">
              <w:rPr>
                <w:rFonts w:asciiTheme="minorHAnsi" w:hAnsiTheme="minorHAnsi" w:cstheme="minorHAnsi"/>
                <w:sz w:val="22"/>
                <w:szCs w:val="22"/>
              </w:rPr>
              <w:t>Kiribati, Solomon Islands, Tonga</w:t>
            </w:r>
          </w:p>
        </w:tc>
        <w:tc>
          <w:tcPr>
            <w:tcW w:w="971" w:type="dxa"/>
            <w:vAlign w:val="center"/>
          </w:tcPr>
          <w:p w14:paraId="662195D2" w14:textId="65246936" w:rsidR="008374C9" w:rsidRPr="001A46A4" w:rsidRDefault="00383956" w:rsidP="00C43B27">
            <w:pPr>
              <w:jc w:val="center"/>
              <w:rPr>
                <w:rFonts w:asciiTheme="minorHAnsi" w:hAnsiTheme="minorHAnsi" w:cstheme="minorHAnsi"/>
                <w:sz w:val="22"/>
                <w:szCs w:val="22"/>
              </w:rPr>
            </w:pPr>
            <w:r w:rsidRPr="001A46A4">
              <w:rPr>
                <w:rFonts w:asciiTheme="minorHAnsi" w:hAnsiTheme="minorHAnsi" w:cstheme="minorHAnsi"/>
                <w:sz w:val="22"/>
                <w:szCs w:val="22"/>
              </w:rPr>
              <w:t>3</w:t>
            </w:r>
          </w:p>
        </w:tc>
      </w:tr>
      <w:tr w:rsidR="008374C9" w:rsidRPr="00E47089" w14:paraId="66116F52" w14:textId="77777777" w:rsidTr="00E84A5A">
        <w:trPr>
          <w:jc w:val="center"/>
        </w:trPr>
        <w:tc>
          <w:tcPr>
            <w:tcW w:w="1980" w:type="dxa"/>
            <w:vMerge/>
            <w:vAlign w:val="center"/>
          </w:tcPr>
          <w:p w14:paraId="34DEC8DA" w14:textId="77777777" w:rsidR="008374C9" w:rsidRPr="00E47089" w:rsidRDefault="008374C9" w:rsidP="00D97F4D">
            <w:pPr>
              <w:rPr>
                <w:rFonts w:asciiTheme="minorHAnsi" w:hAnsiTheme="minorHAnsi" w:cstheme="minorHAnsi"/>
                <w:sz w:val="22"/>
                <w:szCs w:val="22"/>
              </w:rPr>
            </w:pPr>
          </w:p>
        </w:tc>
        <w:tc>
          <w:tcPr>
            <w:tcW w:w="5148" w:type="dxa"/>
            <w:vAlign w:val="center"/>
          </w:tcPr>
          <w:p w14:paraId="61CC1940" w14:textId="6B3DE468"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Reducing remand</w:t>
            </w:r>
            <w:r w:rsidR="00E84A5A" w:rsidRPr="001A46A4">
              <w:rPr>
                <w:rFonts w:asciiTheme="minorHAnsi" w:hAnsiTheme="minorHAnsi" w:cstheme="minorHAnsi"/>
                <w:sz w:val="22"/>
                <w:szCs w:val="22"/>
              </w:rPr>
              <w:t xml:space="preserve"> </w:t>
            </w:r>
            <w:r w:rsidRPr="001A46A4">
              <w:rPr>
                <w:rFonts w:asciiTheme="minorHAnsi" w:hAnsiTheme="minorHAnsi" w:cstheme="minorHAnsi"/>
                <w:sz w:val="22"/>
                <w:szCs w:val="22"/>
              </w:rPr>
              <w:t>/</w:t>
            </w:r>
            <w:r w:rsidR="00E84A5A" w:rsidRPr="001A46A4">
              <w:rPr>
                <w:rFonts w:asciiTheme="minorHAnsi" w:hAnsiTheme="minorHAnsi" w:cstheme="minorHAnsi"/>
                <w:sz w:val="22"/>
                <w:szCs w:val="22"/>
              </w:rPr>
              <w:t xml:space="preserve"> </w:t>
            </w:r>
            <w:r w:rsidRPr="001A46A4">
              <w:rPr>
                <w:rFonts w:asciiTheme="minorHAnsi" w:hAnsiTheme="minorHAnsi" w:cstheme="minorHAnsi"/>
                <w:sz w:val="22"/>
                <w:szCs w:val="22"/>
              </w:rPr>
              <w:t>ees</w:t>
            </w:r>
          </w:p>
        </w:tc>
        <w:tc>
          <w:tcPr>
            <w:tcW w:w="4780" w:type="dxa"/>
            <w:vAlign w:val="center"/>
          </w:tcPr>
          <w:p w14:paraId="6DF1A615"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Solomon Islands, PNG</w:t>
            </w:r>
          </w:p>
        </w:tc>
        <w:tc>
          <w:tcPr>
            <w:tcW w:w="971" w:type="dxa"/>
            <w:vAlign w:val="center"/>
          </w:tcPr>
          <w:p w14:paraId="6A7D5ACE" w14:textId="77777777" w:rsidR="008374C9" w:rsidRPr="001A46A4" w:rsidRDefault="008374C9" w:rsidP="00C43B27">
            <w:pPr>
              <w:jc w:val="center"/>
              <w:rPr>
                <w:rFonts w:asciiTheme="minorHAnsi" w:hAnsiTheme="minorHAnsi" w:cstheme="minorHAnsi"/>
                <w:sz w:val="22"/>
                <w:szCs w:val="22"/>
              </w:rPr>
            </w:pPr>
            <w:r w:rsidRPr="001A46A4">
              <w:rPr>
                <w:rFonts w:asciiTheme="minorHAnsi" w:hAnsiTheme="minorHAnsi" w:cstheme="minorHAnsi"/>
                <w:sz w:val="22"/>
                <w:szCs w:val="22"/>
              </w:rPr>
              <w:t>2</w:t>
            </w:r>
          </w:p>
        </w:tc>
      </w:tr>
      <w:tr w:rsidR="008374C9" w:rsidRPr="00E47089" w14:paraId="1D2D0E5F" w14:textId="77777777" w:rsidTr="00E84A5A">
        <w:trPr>
          <w:jc w:val="center"/>
        </w:trPr>
        <w:tc>
          <w:tcPr>
            <w:tcW w:w="1980" w:type="dxa"/>
            <w:vMerge/>
            <w:vAlign w:val="center"/>
          </w:tcPr>
          <w:p w14:paraId="45E87880" w14:textId="77777777" w:rsidR="008374C9" w:rsidRPr="00E47089" w:rsidRDefault="008374C9" w:rsidP="00D97F4D">
            <w:pPr>
              <w:rPr>
                <w:rFonts w:asciiTheme="minorHAnsi" w:hAnsiTheme="minorHAnsi" w:cstheme="minorHAnsi"/>
                <w:sz w:val="22"/>
                <w:szCs w:val="22"/>
              </w:rPr>
            </w:pPr>
          </w:p>
        </w:tc>
        <w:tc>
          <w:tcPr>
            <w:tcW w:w="5148" w:type="dxa"/>
            <w:vAlign w:val="center"/>
          </w:tcPr>
          <w:p w14:paraId="0263ACEE"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Increasing legal representation</w:t>
            </w:r>
          </w:p>
        </w:tc>
        <w:tc>
          <w:tcPr>
            <w:tcW w:w="4780" w:type="dxa"/>
            <w:vAlign w:val="center"/>
          </w:tcPr>
          <w:p w14:paraId="44EDE58D"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Solomon Islands</w:t>
            </w:r>
          </w:p>
        </w:tc>
        <w:tc>
          <w:tcPr>
            <w:tcW w:w="971" w:type="dxa"/>
            <w:vAlign w:val="center"/>
          </w:tcPr>
          <w:p w14:paraId="758C29D0" w14:textId="77777777" w:rsidR="008374C9" w:rsidRPr="001A46A4" w:rsidRDefault="008374C9" w:rsidP="00C43B27">
            <w:pPr>
              <w:jc w:val="center"/>
              <w:rPr>
                <w:rFonts w:asciiTheme="minorHAnsi" w:hAnsiTheme="minorHAnsi" w:cstheme="minorHAnsi"/>
                <w:sz w:val="22"/>
                <w:szCs w:val="22"/>
              </w:rPr>
            </w:pPr>
            <w:r w:rsidRPr="001A46A4">
              <w:rPr>
                <w:rFonts w:asciiTheme="minorHAnsi" w:hAnsiTheme="minorHAnsi" w:cstheme="minorHAnsi"/>
                <w:sz w:val="22"/>
                <w:szCs w:val="22"/>
              </w:rPr>
              <w:t>1</w:t>
            </w:r>
          </w:p>
        </w:tc>
      </w:tr>
      <w:tr w:rsidR="008374C9" w:rsidRPr="00E47089" w14:paraId="1B74E4D3" w14:textId="77777777" w:rsidTr="00E84A5A">
        <w:trPr>
          <w:jc w:val="center"/>
        </w:trPr>
        <w:tc>
          <w:tcPr>
            <w:tcW w:w="1980" w:type="dxa"/>
            <w:vMerge/>
            <w:vAlign w:val="center"/>
          </w:tcPr>
          <w:p w14:paraId="648D0516" w14:textId="77777777" w:rsidR="008374C9" w:rsidRPr="00E47089" w:rsidRDefault="008374C9" w:rsidP="00D97F4D">
            <w:pPr>
              <w:rPr>
                <w:rFonts w:asciiTheme="minorHAnsi" w:hAnsiTheme="minorHAnsi" w:cstheme="minorHAnsi"/>
                <w:sz w:val="22"/>
                <w:szCs w:val="22"/>
              </w:rPr>
            </w:pPr>
          </w:p>
        </w:tc>
        <w:tc>
          <w:tcPr>
            <w:tcW w:w="5148" w:type="dxa"/>
            <w:vAlign w:val="center"/>
          </w:tcPr>
          <w:p w14:paraId="11090E23"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Detention inspections</w:t>
            </w:r>
          </w:p>
        </w:tc>
        <w:tc>
          <w:tcPr>
            <w:tcW w:w="4780" w:type="dxa"/>
            <w:vAlign w:val="center"/>
          </w:tcPr>
          <w:p w14:paraId="237012D5"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PNG</w:t>
            </w:r>
          </w:p>
        </w:tc>
        <w:tc>
          <w:tcPr>
            <w:tcW w:w="971" w:type="dxa"/>
            <w:vAlign w:val="center"/>
          </w:tcPr>
          <w:p w14:paraId="1D8F3F1C" w14:textId="77777777" w:rsidR="008374C9" w:rsidRPr="001A46A4" w:rsidRDefault="008374C9" w:rsidP="00C43B27">
            <w:pPr>
              <w:jc w:val="center"/>
              <w:rPr>
                <w:rFonts w:asciiTheme="minorHAnsi" w:hAnsiTheme="minorHAnsi" w:cstheme="minorHAnsi"/>
                <w:sz w:val="22"/>
                <w:szCs w:val="22"/>
              </w:rPr>
            </w:pPr>
            <w:r w:rsidRPr="001A46A4">
              <w:rPr>
                <w:rFonts w:asciiTheme="minorHAnsi" w:hAnsiTheme="minorHAnsi" w:cstheme="minorHAnsi"/>
                <w:sz w:val="22"/>
                <w:szCs w:val="22"/>
              </w:rPr>
              <w:t>1</w:t>
            </w:r>
          </w:p>
        </w:tc>
      </w:tr>
      <w:tr w:rsidR="008374C9" w:rsidRPr="00E47089" w14:paraId="57204D65" w14:textId="77777777" w:rsidTr="00E84A5A">
        <w:trPr>
          <w:jc w:val="center"/>
        </w:trPr>
        <w:tc>
          <w:tcPr>
            <w:tcW w:w="1980" w:type="dxa"/>
            <w:vMerge/>
            <w:vAlign w:val="center"/>
          </w:tcPr>
          <w:p w14:paraId="6E7B2959" w14:textId="77777777" w:rsidR="008374C9" w:rsidRPr="00E47089" w:rsidRDefault="008374C9" w:rsidP="00D97F4D">
            <w:pPr>
              <w:rPr>
                <w:rFonts w:asciiTheme="minorHAnsi" w:hAnsiTheme="minorHAnsi" w:cstheme="minorHAnsi"/>
                <w:sz w:val="22"/>
                <w:szCs w:val="22"/>
              </w:rPr>
            </w:pPr>
          </w:p>
        </w:tc>
        <w:tc>
          <w:tcPr>
            <w:tcW w:w="5148" w:type="dxa"/>
            <w:vAlign w:val="center"/>
          </w:tcPr>
          <w:p w14:paraId="05EE2C1A" w14:textId="3CC3E989"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T</w:t>
            </w:r>
            <w:r w:rsidRPr="001A46A4">
              <w:rPr>
                <w:rFonts w:asciiTheme="minorHAnsi" w:eastAsiaTheme="minorEastAsia" w:hAnsiTheme="minorHAnsi" w:cstheme="minorHAnsi"/>
                <w:bCs/>
                <w:iCs/>
                <w:sz w:val="22"/>
                <w:szCs w:val="22"/>
                <w:lang w:eastAsia="ja-JP"/>
              </w:rPr>
              <w:t>argets</w:t>
            </w:r>
            <w:r w:rsidR="00E84A5A" w:rsidRPr="001A46A4">
              <w:rPr>
                <w:rFonts w:asciiTheme="minorHAnsi" w:eastAsiaTheme="minorEastAsia" w:hAnsiTheme="minorHAnsi" w:cstheme="minorHAnsi"/>
                <w:bCs/>
                <w:iCs/>
                <w:sz w:val="22"/>
                <w:szCs w:val="22"/>
                <w:lang w:eastAsia="ja-JP"/>
              </w:rPr>
              <w:t xml:space="preserve"> </w:t>
            </w:r>
            <w:r w:rsidRPr="001A46A4">
              <w:rPr>
                <w:rFonts w:asciiTheme="minorHAnsi" w:eastAsiaTheme="minorEastAsia" w:hAnsiTheme="minorHAnsi" w:cstheme="minorHAnsi"/>
                <w:bCs/>
                <w:iCs/>
                <w:sz w:val="22"/>
                <w:szCs w:val="22"/>
                <w:lang w:eastAsia="ja-JP"/>
              </w:rPr>
              <w:t>/</w:t>
            </w:r>
            <w:r w:rsidR="00E84A5A" w:rsidRPr="001A46A4">
              <w:rPr>
                <w:rFonts w:asciiTheme="minorHAnsi" w:eastAsiaTheme="minorEastAsia" w:hAnsiTheme="minorHAnsi" w:cstheme="minorHAnsi"/>
                <w:bCs/>
                <w:iCs/>
                <w:sz w:val="22"/>
                <w:szCs w:val="22"/>
                <w:lang w:eastAsia="ja-JP"/>
              </w:rPr>
              <w:t xml:space="preserve"> </w:t>
            </w:r>
            <w:r w:rsidRPr="001A46A4">
              <w:rPr>
                <w:rFonts w:asciiTheme="minorHAnsi" w:eastAsiaTheme="minorEastAsia" w:hAnsiTheme="minorHAnsi" w:cstheme="minorHAnsi"/>
                <w:bCs/>
                <w:iCs/>
                <w:sz w:val="22"/>
                <w:szCs w:val="22"/>
                <w:lang w:eastAsia="ja-JP"/>
              </w:rPr>
              <w:t>tracking cases</w:t>
            </w:r>
          </w:p>
        </w:tc>
        <w:tc>
          <w:tcPr>
            <w:tcW w:w="4780" w:type="dxa"/>
            <w:vAlign w:val="center"/>
          </w:tcPr>
          <w:p w14:paraId="1D1EA329"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Kiribati</w:t>
            </w:r>
          </w:p>
        </w:tc>
        <w:tc>
          <w:tcPr>
            <w:tcW w:w="971" w:type="dxa"/>
            <w:vAlign w:val="center"/>
          </w:tcPr>
          <w:p w14:paraId="3B661AD6" w14:textId="77777777" w:rsidR="008374C9" w:rsidRPr="001A46A4" w:rsidRDefault="008374C9" w:rsidP="00C43B27">
            <w:pPr>
              <w:jc w:val="center"/>
              <w:rPr>
                <w:rFonts w:asciiTheme="minorHAnsi" w:hAnsiTheme="minorHAnsi" w:cstheme="minorHAnsi"/>
                <w:sz w:val="22"/>
                <w:szCs w:val="22"/>
              </w:rPr>
            </w:pPr>
            <w:r w:rsidRPr="001A46A4">
              <w:rPr>
                <w:rFonts w:asciiTheme="minorHAnsi" w:hAnsiTheme="minorHAnsi" w:cstheme="minorHAnsi"/>
                <w:sz w:val="22"/>
                <w:szCs w:val="22"/>
              </w:rPr>
              <w:t>1</w:t>
            </w:r>
          </w:p>
        </w:tc>
      </w:tr>
      <w:tr w:rsidR="008374C9" w:rsidRPr="00E47089" w14:paraId="25099028" w14:textId="77777777" w:rsidTr="00E84A5A">
        <w:trPr>
          <w:jc w:val="center"/>
        </w:trPr>
        <w:tc>
          <w:tcPr>
            <w:tcW w:w="1980" w:type="dxa"/>
            <w:vMerge/>
            <w:vAlign w:val="center"/>
          </w:tcPr>
          <w:p w14:paraId="0D460ABD" w14:textId="77777777" w:rsidR="008374C9" w:rsidRPr="00E47089" w:rsidRDefault="008374C9" w:rsidP="00D97F4D">
            <w:pPr>
              <w:rPr>
                <w:rFonts w:asciiTheme="minorHAnsi" w:hAnsiTheme="minorHAnsi" w:cstheme="minorHAnsi"/>
                <w:sz w:val="22"/>
                <w:szCs w:val="22"/>
              </w:rPr>
            </w:pPr>
          </w:p>
        </w:tc>
        <w:tc>
          <w:tcPr>
            <w:tcW w:w="5148" w:type="dxa"/>
            <w:vAlign w:val="center"/>
          </w:tcPr>
          <w:p w14:paraId="5316AF7A" w14:textId="323B6483" w:rsidR="008374C9" w:rsidRPr="001A46A4" w:rsidRDefault="00E84A5A" w:rsidP="00D97F4D">
            <w:pPr>
              <w:rPr>
                <w:rFonts w:asciiTheme="minorHAnsi" w:hAnsiTheme="minorHAnsi" w:cstheme="minorHAnsi"/>
                <w:sz w:val="22"/>
                <w:szCs w:val="22"/>
              </w:rPr>
            </w:pPr>
            <w:r w:rsidRPr="001A46A4">
              <w:rPr>
                <w:rFonts w:asciiTheme="minorHAnsi" w:hAnsiTheme="minorHAnsi" w:cstheme="minorHAnsi"/>
                <w:sz w:val="22"/>
                <w:szCs w:val="22"/>
              </w:rPr>
              <w:t>Human Rights -</w:t>
            </w:r>
            <w:r w:rsidR="008374C9" w:rsidRPr="001A46A4">
              <w:rPr>
                <w:rFonts w:asciiTheme="minorHAnsi" w:hAnsiTheme="minorHAnsi" w:cstheme="minorHAnsi"/>
                <w:sz w:val="22"/>
                <w:szCs w:val="22"/>
              </w:rPr>
              <w:t xml:space="preserve"> data disaggregation</w:t>
            </w:r>
          </w:p>
        </w:tc>
        <w:tc>
          <w:tcPr>
            <w:tcW w:w="4780" w:type="dxa"/>
            <w:vAlign w:val="center"/>
          </w:tcPr>
          <w:p w14:paraId="2856CBB7"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Kiribati</w:t>
            </w:r>
          </w:p>
        </w:tc>
        <w:tc>
          <w:tcPr>
            <w:tcW w:w="971" w:type="dxa"/>
            <w:vAlign w:val="center"/>
          </w:tcPr>
          <w:p w14:paraId="24D1F0A4" w14:textId="77777777" w:rsidR="008374C9" w:rsidRPr="001A46A4" w:rsidRDefault="008374C9" w:rsidP="00C43B27">
            <w:pPr>
              <w:jc w:val="center"/>
              <w:rPr>
                <w:rFonts w:asciiTheme="minorHAnsi" w:hAnsiTheme="minorHAnsi" w:cstheme="minorHAnsi"/>
                <w:sz w:val="22"/>
                <w:szCs w:val="22"/>
              </w:rPr>
            </w:pPr>
            <w:r w:rsidRPr="001A46A4">
              <w:rPr>
                <w:rFonts w:asciiTheme="minorHAnsi" w:hAnsiTheme="minorHAnsi" w:cstheme="minorHAnsi"/>
                <w:sz w:val="22"/>
                <w:szCs w:val="22"/>
              </w:rPr>
              <w:t>1</w:t>
            </w:r>
          </w:p>
        </w:tc>
      </w:tr>
      <w:tr w:rsidR="008374C9" w:rsidRPr="00E47089" w14:paraId="51E3029F" w14:textId="77777777" w:rsidTr="00E84A5A">
        <w:trPr>
          <w:jc w:val="center"/>
        </w:trPr>
        <w:tc>
          <w:tcPr>
            <w:tcW w:w="1980" w:type="dxa"/>
            <w:vMerge/>
            <w:vAlign w:val="center"/>
          </w:tcPr>
          <w:p w14:paraId="7AEC1A6E" w14:textId="77777777" w:rsidR="008374C9" w:rsidRPr="00E47089" w:rsidRDefault="008374C9" w:rsidP="00D97F4D">
            <w:pPr>
              <w:rPr>
                <w:rFonts w:asciiTheme="minorHAnsi" w:hAnsiTheme="minorHAnsi" w:cstheme="minorHAnsi"/>
                <w:sz w:val="22"/>
                <w:szCs w:val="22"/>
              </w:rPr>
            </w:pPr>
          </w:p>
        </w:tc>
        <w:tc>
          <w:tcPr>
            <w:tcW w:w="5148" w:type="dxa"/>
            <w:vAlign w:val="center"/>
          </w:tcPr>
          <w:p w14:paraId="4EBEEE3D"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Disability policy</w:t>
            </w:r>
          </w:p>
        </w:tc>
        <w:tc>
          <w:tcPr>
            <w:tcW w:w="4780" w:type="dxa"/>
            <w:vAlign w:val="center"/>
          </w:tcPr>
          <w:p w14:paraId="0DC672CE" w14:textId="77777777" w:rsidR="008374C9" w:rsidRPr="001A46A4" w:rsidRDefault="008374C9" w:rsidP="00D97F4D">
            <w:pPr>
              <w:rPr>
                <w:rFonts w:asciiTheme="minorHAnsi" w:hAnsiTheme="minorHAnsi" w:cstheme="minorHAnsi"/>
                <w:sz w:val="22"/>
                <w:szCs w:val="22"/>
              </w:rPr>
            </w:pPr>
            <w:r w:rsidRPr="001A46A4">
              <w:rPr>
                <w:rFonts w:asciiTheme="minorHAnsi" w:hAnsiTheme="minorHAnsi" w:cstheme="minorHAnsi"/>
                <w:sz w:val="22"/>
                <w:szCs w:val="22"/>
              </w:rPr>
              <w:t>Tonga</w:t>
            </w:r>
          </w:p>
        </w:tc>
        <w:tc>
          <w:tcPr>
            <w:tcW w:w="971" w:type="dxa"/>
            <w:vAlign w:val="center"/>
          </w:tcPr>
          <w:p w14:paraId="112EF7BF" w14:textId="77777777" w:rsidR="008374C9" w:rsidRPr="001A46A4" w:rsidRDefault="008374C9" w:rsidP="00C43B27">
            <w:pPr>
              <w:jc w:val="center"/>
              <w:rPr>
                <w:rFonts w:asciiTheme="minorHAnsi" w:hAnsiTheme="minorHAnsi" w:cstheme="minorHAnsi"/>
                <w:sz w:val="22"/>
                <w:szCs w:val="22"/>
              </w:rPr>
            </w:pPr>
            <w:r w:rsidRPr="001A46A4">
              <w:rPr>
                <w:rFonts w:asciiTheme="minorHAnsi" w:hAnsiTheme="minorHAnsi" w:cstheme="minorHAnsi"/>
                <w:sz w:val="22"/>
                <w:szCs w:val="22"/>
              </w:rPr>
              <w:t>1</w:t>
            </w:r>
          </w:p>
        </w:tc>
      </w:tr>
      <w:tr w:rsidR="008374C9" w:rsidRPr="00E47089" w14:paraId="0808E2A4" w14:textId="77777777" w:rsidTr="00E84A5A">
        <w:trPr>
          <w:jc w:val="center"/>
        </w:trPr>
        <w:tc>
          <w:tcPr>
            <w:tcW w:w="1980" w:type="dxa"/>
            <w:vMerge/>
            <w:vAlign w:val="center"/>
          </w:tcPr>
          <w:p w14:paraId="0CE87C5C" w14:textId="77777777" w:rsidR="008374C9" w:rsidRPr="00E47089" w:rsidRDefault="008374C9" w:rsidP="00D97F4D">
            <w:pPr>
              <w:rPr>
                <w:rFonts w:asciiTheme="minorHAnsi" w:hAnsiTheme="minorHAnsi" w:cstheme="minorHAnsi"/>
                <w:sz w:val="22"/>
                <w:szCs w:val="22"/>
              </w:rPr>
            </w:pPr>
          </w:p>
        </w:tc>
        <w:tc>
          <w:tcPr>
            <w:tcW w:w="5148" w:type="dxa"/>
            <w:vAlign w:val="center"/>
          </w:tcPr>
          <w:p w14:paraId="4DF78CCB" w14:textId="77777777" w:rsidR="008374C9" w:rsidRPr="001A46A4" w:rsidRDefault="008374C9"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Victim safety room</w:t>
            </w:r>
          </w:p>
        </w:tc>
        <w:tc>
          <w:tcPr>
            <w:tcW w:w="4780" w:type="dxa"/>
            <w:vAlign w:val="center"/>
          </w:tcPr>
          <w:p w14:paraId="2CE12A81" w14:textId="77777777" w:rsidR="008374C9" w:rsidRPr="001A46A4" w:rsidRDefault="008374C9"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FSM, Tonga</w:t>
            </w:r>
          </w:p>
        </w:tc>
        <w:tc>
          <w:tcPr>
            <w:tcW w:w="971" w:type="dxa"/>
            <w:vAlign w:val="center"/>
          </w:tcPr>
          <w:p w14:paraId="552859C6" w14:textId="77777777" w:rsidR="008374C9" w:rsidRPr="001A46A4" w:rsidRDefault="008374C9" w:rsidP="00C43B27">
            <w:pPr>
              <w:jc w:val="cente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2</w:t>
            </w:r>
          </w:p>
        </w:tc>
      </w:tr>
      <w:tr w:rsidR="008374C9" w:rsidRPr="00E47089" w14:paraId="37117A6E" w14:textId="77777777" w:rsidTr="00E84A5A">
        <w:trPr>
          <w:jc w:val="center"/>
        </w:trPr>
        <w:tc>
          <w:tcPr>
            <w:tcW w:w="1980" w:type="dxa"/>
            <w:vMerge w:val="restart"/>
            <w:vAlign w:val="center"/>
          </w:tcPr>
          <w:p w14:paraId="57EB5BA8" w14:textId="77777777" w:rsidR="008374C9" w:rsidRPr="00E47089" w:rsidRDefault="008374C9" w:rsidP="00D97F4D">
            <w:pPr>
              <w:rPr>
                <w:rFonts w:asciiTheme="minorHAnsi" w:hAnsiTheme="minorHAnsi" w:cstheme="minorHAnsi"/>
                <w:color w:val="000000"/>
                <w:sz w:val="22"/>
                <w:szCs w:val="22"/>
                <w:lang w:val="en-AU"/>
              </w:rPr>
            </w:pPr>
            <w:r w:rsidRPr="00E47089">
              <w:rPr>
                <w:rFonts w:asciiTheme="minorHAnsi" w:hAnsiTheme="minorHAnsi" w:cstheme="minorHAnsi"/>
                <w:color w:val="000000"/>
                <w:sz w:val="22"/>
                <w:szCs w:val="22"/>
                <w:lang w:val="en-AU"/>
              </w:rPr>
              <w:lastRenderedPageBreak/>
              <w:t>Procedure</w:t>
            </w:r>
          </w:p>
        </w:tc>
        <w:tc>
          <w:tcPr>
            <w:tcW w:w="5148" w:type="dxa"/>
            <w:vAlign w:val="center"/>
          </w:tcPr>
          <w:p w14:paraId="7B283111" w14:textId="216569DD" w:rsidR="008374C9" w:rsidRPr="001A46A4" w:rsidRDefault="008374C9" w:rsidP="00E84A5A">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 xml:space="preserve">Accountability </w:t>
            </w:r>
            <w:r w:rsidR="00E84A5A" w:rsidRPr="001A46A4">
              <w:rPr>
                <w:rFonts w:asciiTheme="minorHAnsi" w:hAnsiTheme="minorHAnsi" w:cstheme="minorHAnsi"/>
                <w:color w:val="000000"/>
                <w:sz w:val="22"/>
                <w:szCs w:val="22"/>
                <w:lang w:val="en-AU"/>
              </w:rPr>
              <w:t>-</w:t>
            </w:r>
            <w:r w:rsidRPr="001A46A4">
              <w:rPr>
                <w:rFonts w:asciiTheme="minorHAnsi" w:hAnsiTheme="minorHAnsi" w:cstheme="minorHAnsi"/>
                <w:color w:val="000000"/>
                <w:sz w:val="22"/>
                <w:szCs w:val="22"/>
                <w:lang w:val="en-AU"/>
              </w:rPr>
              <w:t xml:space="preserve"> age/sex disaggregated data</w:t>
            </w:r>
          </w:p>
        </w:tc>
        <w:tc>
          <w:tcPr>
            <w:tcW w:w="4780" w:type="dxa"/>
            <w:vAlign w:val="center"/>
          </w:tcPr>
          <w:p w14:paraId="4FEF4EBD" w14:textId="10FF3102" w:rsidR="008374C9" w:rsidRPr="001A46A4" w:rsidRDefault="008374C9"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Kiribati, FSM, RMI, Palau, Tonga, Vanuatu</w:t>
            </w:r>
            <w:r w:rsidR="00383956" w:rsidRPr="001A46A4">
              <w:rPr>
                <w:rFonts w:asciiTheme="minorHAnsi" w:hAnsiTheme="minorHAnsi" w:cstheme="minorHAnsi"/>
                <w:color w:val="000000"/>
                <w:sz w:val="22"/>
                <w:szCs w:val="22"/>
                <w:lang w:val="en-AU"/>
              </w:rPr>
              <w:t>, Nauru, Tokelau</w:t>
            </w:r>
          </w:p>
        </w:tc>
        <w:tc>
          <w:tcPr>
            <w:tcW w:w="971" w:type="dxa"/>
            <w:vAlign w:val="center"/>
          </w:tcPr>
          <w:p w14:paraId="2AAC825A" w14:textId="7C9C3256" w:rsidR="008374C9" w:rsidRPr="001A46A4" w:rsidRDefault="00383956" w:rsidP="00C43B27">
            <w:pPr>
              <w:jc w:val="cente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8</w:t>
            </w:r>
          </w:p>
        </w:tc>
      </w:tr>
      <w:tr w:rsidR="008374C9" w:rsidRPr="00E47089" w14:paraId="570D264E" w14:textId="77777777" w:rsidTr="00E84A5A">
        <w:trPr>
          <w:jc w:val="center"/>
        </w:trPr>
        <w:tc>
          <w:tcPr>
            <w:tcW w:w="1980" w:type="dxa"/>
            <w:vMerge/>
            <w:vAlign w:val="center"/>
          </w:tcPr>
          <w:p w14:paraId="3492AF98" w14:textId="77777777" w:rsidR="008374C9" w:rsidRPr="00E47089" w:rsidRDefault="008374C9" w:rsidP="00D97F4D">
            <w:pPr>
              <w:rPr>
                <w:rFonts w:asciiTheme="minorHAnsi" w:hAnsiTheme="minorHAnsi" w:cstheme="minorHAnsi"/>
                <w:color w:val="000000"/>
                <w:sz w:val="22"/>
                <w:szCs w:val="22"/>
                <w:lang w:val="en-AU"/>
              </w:rPr>
            </w:pPr>
          </w:p>
        </w:tc>
        <w:tc>
          <w:tcPr>
            <w:tcW w:w="5148" w:type="dxa"/>
            <w:vAlign w:val="center"/>
          </w:tcPr>
          <w:p w14:paraId="7A6727B1" w14:textId="05BBCF7A" w:rsidR="008374C9" w:rsidRPr="001A46A4" w:rsidRDefault="008374C9" w:rsidP="00E84A5A">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 xml:space="preserve">Accountability </w:t>
            </w:r>
            <w:r w:rsidR="00E84A5A" w:rsidRPr="001A46A4">
              <w:rPr>
                <w:rFonts w:asciiTheme="minorHAnsi" w:hAnsiTheme="minorHAnsi" w:cstheme="minorHAnsi"/>
                <w:color w:val="000000"/>
                <w:sz w:val="22"/>
                <w:szCs w:val="22"/>
                <w:lang w:val="en-AU"/>
              </w:rPr>
              <w:t>-</w:t>
            </w:r>
            <w:r w:rsidRPr="001A46A4">
              <w:rPr>
                <w:rFonts w:asciiTheme="minorHAnsi" w:hAnsiTheme="minorHAnsi" w:cstheme="minorHAnsi"/>
                <w:color w:val="000000"/>
                <w:sz w:val="22"/>
                <w:szCs w:val="22"/>
                <w:lang w:val="en-AU"/>
              </w:rPr>
              <w:t xml:space="preserve"> disability data </w:t>
            </w:r>
          </w:p>
        </w:tc>
        <w:tc>
          <w:tcPr>
            <w:tcW w:w="4780" w:type="dxa"/>
            <w:vAlign w:val="center"/>
          </w:tcPr>
          <w:p w14:paraId="626AAA75" w14:textId="27F379E7" w:rsidR="008374C9" w:rsidRPr="001A46A4" w:rsidRDefault="008374C9" w:rsidP="00D97F4D">
            <w:pPr>
              <w:rPr>
                <w:rFonts w:asciiTheme="minorHAnsi" w:hAnsiTheme="minorHAnsi" w:cstheme="minorHAnsi"/>
                <w:color w:val="000000"/>
                <w:sz w:val="22"/>
                <w:szCs w:val="22"/>
                <w:lang w:val="en-AU"/>
              </w:rPr>
            </w:pPr>
            <w:r w:rsidRPr="001A46A4">
              <w:rPr>
                <w:rFonts w:asciiTheme="minorHAnsi" w:hAnsiTheme="minorHAnsi" w:cstheme="minorHAnsi"/>
                <w:sz w:val="22"/>
                <w:szCs w:val="22"/>
                <w:lang w:val="en-AU"/>
              </w:rPr>
              <w:t xml:space="preserve">Palau, </w:t>
            </w:r>
            <w:r w:rsidR="00427556" w:rsidRPr="001A46A4">
              <w:rPr>
                <w:rFonts w:asciiTheme="minorHAnsi" w:hAnsiTheme="minorHAnsi" w:cstheme="minorHAnsi"/>
                <w:sz w:val="22"/>
                <w:szCs w:val="22"/>
                <w:lang w:val="en-AU"/>
              </w:rPr>
              <w:t>RMI</w:t>
            </w:r>
          </w:p>
        </w:tc>
        <w:tc>
          <w:tcPr>
            <w:tcW w:w="971" w:type="dxa"/>
            <w:vAlign w:val="center"/>
          </w:tcPr>
          <w:p w14:paraId="311A3FC5" w14:textId="54781764" w:rsidR="008374C9" w:rsidRPr="001A46A4" w:rsidRDefault="00427556" w:rsidP="00C43B27">
            <w:pPr>
              <w:jc w:val="cente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2</w:t>
            </w:r>
          </w:p>
        </w:tc>
      </w:tr>
      <w:tr w:rsidR="008374C9" w:rsidRPr="00E47089" w14:paraId="2E4ACD5F" w14:textId="77777777" w:rsidTr="00E84A5A">
        <w:trPr>
          <w:jc w:val="center"/>
        </w:trPr>
        <w:tc>
          <w:tcPr>
            <w:tcW w:w="1980" w:type="dxa"/>
            <w:vMerge/>
            <w:vAlign w:val="center"/>
          </w:tcPr>
          <w:p w14:paraId="2E8371F4" w14:textId="77777777" w:rsidR="008374C9" w:rsidRPr="00E47089" w:rsidRDefault="008374C9" w:rsidP="00D97F4D">
            <w:pPr>
              <w:rPr>
                <w:rFonts w:asciiTheme="minorHAnsi" w:hAnsiTheme="minorHAnsi" w:cstheme="minorHAnsi"/>
                <w:color w:val="000000"/>
                <w:sz w:val="22"/>
                <w:szCs w:val="22"/>
                <w:lang w:val="en-AU"/>
              </w:rPr>
            </w:pPr>
          </w:p>
        </w:tc>
        <w:tc>
          <w:tcPr>
            <w:tcW w:w="5148" w:type="dxa"/>
            <w:vAlign w:val="center"/>
          </w:tcPr>
          <w:p w14:paraId="03B75B89" w14:textId="4ECD0EF4" w:rsidR="008374C9" w:rsidRPr="001A46A4" w:rsidRDefault="008374C9" w:rsidP="00E84A5A">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 xml:space="preserve">Accountability </w:t>
            </w:r>
            <w:r w:rsidR="00E84A5A" w:rsidRPr="001A46A4">
              <w:rPr>
                <w:rFonts w:asciiTheme="minorHAnsi" w:hAnsiTheme="minorHAnsi" w:cstheme="minorHAnsi"/>
                <w:color w:val="000000"/>
                <w:sz w:val="22"/>
                <w:szCs w:val="22"/>
                <w:lang w:val="en-AU"/>
              </w:rPr>
              <w:t>-</w:t>
            </w:r>
            <w:r w:rsidRPr="001A46A4">
              <w:rPr>
                <w:rFonts w:asciiTheme="minorHAnsi" w:hAnsiTheme="minorHAnsi" w:cstheme="minorHAnsi"/>
                <w:color w:val="000000"/>
                <w:sz w:val="22"/>
                <w:szCs w:val="22"/>
                <w:lang w:val="en-AU"/>
              </w:rPr>
              <w:t xml:space="preserve"> court user surveys</w:t>
            </w:r>
          </w:p>
        </w:tc>
        <w:tc>
          <w:tcPr>
            <w:tcW w:w="4780" w:type="dxa"/>
            <w:vAlign w:val="center"/>
          </w:tcPr>
          <w:p w14:paraId="2C3F4B98" w14:textId="0E46C7D7" w:rsidR="008374C9" w:rsidRPr="001A46A4" w:rsidRDefault="00427556" w:rsidP="00427556">
            <w:pPr>
              <w:rPr>
                <w:rFonts w:asciiTheme="minorHAnsi" w:hAnsiTheme="minorHAnsi" w:cstheme="minorHAnsi"/>
                <w:sz w:val="22"/>
                <w:szCs w:val="22"/>
                <w:lang w:val="en-AU"/>
              </w:rPr>
            </w:pPr>
            <w:r w:rsidRPr="001A46A4">
              <w:rPr>
                <w:rFonts w:asciiTheme="minorHAnsi" w:hAnsiTheme="minorHAnsi" w:cstheme="minorHAnsi"/>
                <w:sz w:val="22"/>
                <w:szCs w:val="22"/>
                <w:lang w:val="en-AU"/>
              </w:rPr>
              <w:t>PNG, FSM, Tonga, Kiribati</w:t>
            </w:r>
          </w:p>
        </w:tc>
        <w:tc>
          <w:tcPr>
            <w:tcW w:w="971" w:type="dxa"/>
            <w:vAlign w:val="center"/>
          </w:tcPr>
          <w:p w14:paraId="1343E23C" w14:textId="4E47BBE5" w:rsidR="008374C9" w:rsidRPr="001A46A4" w:rsidRDefault="00427556" w:rsidP="00C43B27">
            <w:pPr>
              <w:jc w:val="cente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4</w:t>
            </w:r>
          </w:p>
        </w:tc>
      </w:tr>
      <w:tr w:rsidR="008374C9" w:rsidRPr="00E47089" w14:paraId="00A4DE32" w14:textId="77777777" w:rsidTr="00E84A5A">
        <w:trPr>
          <w:jc w:val="center"/>
        </w:trPr>
        <w:tc>
          <w:tcPr>
            <w:tcW w:w="1980" w:type="dxa"/>
            <w:vMerge/>
            <w:vAlign w:val="center"/>
          </w:tcPr>
          <w:p w14:paraId="06B58A7C" w14:textId="77777777" w:rsidR="008374C9" w:rsidRPr="00E47089" w:rsidRDefault="008374C9" w:rsidP="00D97F4D">
            <w:pPr>
              <w:rPr>
                <w:rFonts w:asciiTheme="minorHAnsi" w:hAnsiTheme="minorHAnsi" w:cstheme="minorHAnsi"/>
                <w:color w:val="000000"/>
                <w:sz w:val="22"/>
                <w:szCs w:val="22"/>
                <w:lang w:val="en-AU"/>
              </w:rPr>
            </w:pPr>
          </w:p>
        </w:tc>
        <w:tc>
          <w:tcPr>
            <w:tcW w:w="5148" w:type="dxa"/>
            <w:vAlign w:val="center"/>
          </w:tcPr>
          <w:p w14:paraId="7D8E69C5" w14:textId="24E94E00" w:rsidR="008374C9" w:rsidRPr="001A46A4" w:rsidRDefault="008374C9" w:rsidP="00E84A5A">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 xml:space="preserve">Efficiency </w:t>
            </w:r>
            <w:r w:rsidR="00E84A5A" w:rsidRPr="001A46A4">
              <w:rPr>
                <w:rFonts w:asciiTheme="minorHAnsi" w:hAnsiTheme="minorHAnsi" w:cstheme="minorHAnsi"/>
                <w:color w:val="000000"/>
                <w:sz w:val="22"/>
                <w:szCs w:val="22"/>
                <w:lang w:val="en-AU"/>
              </w:rPr>
              <w:t>- case tracking systems and</w:t>
            </w:r>
            <w:r w:rsidRPr="001A46A4">
              <w:rPr>
                <w:rFonts w:asciiTheme="minorHAnsi" w:hAnsiTheme="minorHAnsi" w:cstheme="minorHAnsi"/>
                <w:color w:val="000000"/>
                <w:sz w:val="22"/>
                <w:szCs w:val="22"/>
                <w:lang w:val="en-AU"/>
              </w:rPr>
              <w:t xml:space="preserve"> dashboard</w:t>
            </w:r>
          </w:p>
        </w:tc>
        <w:tc>
          <w:tcPr>
            <w:tcW w:w="4780" w:type="dxa"/>
            <w:vAlign w:val="center"/>
          </w:tcPr>
          <w:p w14:paraId="5B7CA9A5" w14:textId="1FFDC83A" w:rsidR="008374C9" w:rsidRPr="001A46A4" w:rsidRDefault="008374C9" w:rsidP="00BA59C2">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 xml:space="preserve">Solomon Islands, Vanuatu, Palau, RMI, Niue, FSM, </w:t>
            </w:r>
            <w:r w:rsidR="00BA59C2" w:rsidRPr="001A46A4">
              <w:rPr>
                <w:rFonts w:asciiTheme="minorHAnsi" w:hAnsiTheme="minorHAnsi" w:cstheme="minorHAnsi"/>
                <w:color w:val="000000"/>
                <w:sz w:val="22"/>
                <w:szCs w:val="22"/>
                <w:lang w:val="en-AU"/>
              </w:rPr>
              <w:t xml:space="preserve">FSM State, </w:t>
            </w:r>
            <w:r w:rsidRPr="001A46A4">
              <w:rPr>
                <w:rFonts w:asciiTheme="minorHAnsi" w:hAnsiTheme="minorHAnsi" w:cstheme="minorHAnsi"/>
                <w:color w:val="000000"/>
                <w:sz w:val="22"/>
                <w:szCs w:val="22"/>
                <w:lang w:val="en-AU"/>
              </w:rPr>
              <w:t>Nauru, PNG, Tonga</w:t>
            </w:r>
            <w:r w:rsidR="00BA59C2" w:rsidRPr="001A46A4">
              <w:rPr>
                <w:rFonts w:asciiTheme="minorHAnsi" w:hAnsiTheme="minorHAnsi" w:cstheme="minorHAnsi"/>
                <w:color w:val="000000"/>
                <w:sz w:val="22"/>
                <w:szCs w:val="22"/>
                <w:lang w:val="en-AU"/>
              </w:rPr>
              <w:t xml:space="preserve">, Niue </w:t>
            </w:r>
            <w:r w:rsidRPr="001A46A4">
              <w:rPr>
                <w:rFonts w:asciiTheme="minorHAnsi" w:hAnsiTheme="minorHAnsi" w:cstheme="minorHAnsi"/>
                <w:color w:val="000000"/>
                <w:sz w:val="22"/>
                <w:szCs w:val="22"/>
                <w:lang w:val="en-AU"/>
              </w:rPr>
              <w:t xml:space="preserve"> </w:t>
            </w:r>
          </w:p>
        </w:tc>
        <w:tc>
          <w:tcPr>
            <w:tcW w:w="971" w:type="dxa"/>
            <w:vAlign w:val="center"/>
          </w:tcPr>
          <w:p w14:paraId="5884FB2D" w14:textId="19C5B792" w:rsidR="008374C9" w:rsidRPr="001A46A4" w:rsidRDefault="00BA59C2" w:rsidP="00C43B27">
            <w:pPr>
              <w:jc w:val="cente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11</w:t>
            </w:r>
          </w:p>
        </w:tc>
      </w:tr>
      <w:tr w:rsidR="008374C9" w:rsidRPr="00E47089" w14:paraId="45872211" w14:textId="77777777" w:rsidTr="00E84A5A">
        <w:trPr>
          <w:jc w:val="center"/>
        </w:trPr>
        <w:tc>
          <w:tcPr>
            <w:tcW w:w="1980" w:type="dxa"/>
            <w:vMerge/>
            <w:vAlign w:val="center"/>
          </w:tcPr>
          <w:p w14:paraId="4FECC668" w14:textId="77777777" w:rsidR="008374C9" w:rsidRPr="00E47089" w:rsidRDefault="008374C9" w:rsidP="00D97F4D">
            <w:pPr>
              <w:rPr>
                <w:rFonts w:asciiTheme="minorHAnsi" w:hAnsiTheme="minorHAnsi" w:cstheme="minorHAnsi"/>
                <w:color w:val="000000"/>
                <w:sz w:val="22"/>
                <w:szCs w:val="22"/>
                <w:lang w:val="en-AU"/>
              </w:rPr>
            </w:pPr>
          </w:p>
        </w:tc>
        <w:tc>
          <w:tcPr>
            <w:tcW w:w="5148" w:type="dxa"/>
            <w:vAlign w:val="center"/>
          </w:tcPr>
          <w:p w14:paraId="49845DFF" w14:textId="287E77CB" w:rsidR="008374C9" w:rsidRPr="001A46A4" w:rsidRDefault="00E84A5A"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Efficiency -</w:t>
            </w:r>
            <w:r w:rsidR="008374C9" w:rsidRPr="001A46A4">
              <w:rPr>
                <w:rFonts w:asciiTheme="minorHAnsi" w:hAnsiTheme="minorHAnsi" w:cstheme="minorHAnsi"/>
                <w:color w:val="000000"/>
                <w:sz w:val="22"/>
                <w:szCs w:val="22"/>
                <w:lang w:val="en-AU"/>
              </w:rPr>
              <w:t xml:space="preserve"> case audit</w:t>
            </w:r>
          </w:p>
        </w:tc>
        <w:tc>
          <w:tcPr>
            <w:tcW w:w="4780" w:type="dxa"/>
            <w:vAlign w:val="center"/>
          </w:tcPr>
          <w:p w14:paraId="7616D93F" w14:textId="77777777" w:rsidR="008374C9" w:rsidRPr="001A46A4" w:rsidRDefault="008374C9"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 xml:space="preserve">Nauru </w:t>
            </w:r>
          </w:p>
        </w:tc>
        <w:tc>
          <w:tcPr>
            <w:tcW w:w="971" w:type="dxa"/>
            <w:vAlign w:val="center"/>
          </w:tcPr>
          <w:p w14:paraId="65994F61" w14:textId="77777777" w:rsidR="008374C9" w:rsidRPr="001A46A4" w:rsidRDefault="008374C9" w:rsidP="00C43B27">
            <w:pPr>
              <w:jc w:val="cente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1</w:t>
            </w:r>
          </w:p>
        </w:tc>
      </w:tr>
      <w:tr w:rsidR="008374C9" w:rsidRPr="00E47089" w14:paraId="336D3063" w14:textId="77777777" w:rsidTr="00E84A5A">
        <w:trPr>
          <w:jc w:val="center"/>
        </w:trPr>
        <w:tc>
          <w:tcPr>
            <w:tcW w:w="1980" w:type="dxa"/>
            <w:vMerge/>
            <w:vAlign w:val="center"/>
          </w:tcPr>
          <w:p w14:paraId="6C32BA3E" w14:textId="77777777" w:rsidR="008374C9" w:rsidRPr="00E47089" w:rsidRDefault="008374C9" w:rsidP="00D97F4D">
            <w:pPr>
              <w:rPr>
                <w:rFonts w:asciiTheme="minorHAnsi" w:hAnsiTheme="minorHAnsi" w:cstheme="minorHAnsi"/>
                <w:color w:val="000000"/>
                <w:sz w:val="22"/>
                <w:szCs w:val="22"/>
                <w:lang w:val="en-AU"/>
              </w:rPr>
            </w:pPr>
          </w:p>
        </w:tc>
        <w:tc>
          <w:tcPr>
            <w:tcW w:w="5148" w:type="dxa"/>
            <w:vAlign w:val="center"/>
          </w:tcPr>
          <w:p w14:paraId="711FD515" w14:textId="4FC76C0B" w:rsidR="008374C9" w:rsidRPr="001A46A4" w:rsidRDefault="00E84A5A"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Efficiency -</w:t>
            </w:r>
            <w:r w:rsidR="008374C9" w:rsidRPr="001A46A4">
              <w:rPr>
                <w:rFonts w:asciiTheme="minorHAnsi" w:hAnsiTheme="minorHAnsi" w:cstheme="minorHAnsi"/>
                <w:color w:val="000000"/>
                <w:sz w:val="22"/>
                <w:szCs w:val="22"/>
                <w:lang w:val="en-AU"/>
              </w:rPr>
              <w:t xml:space="preserve"> performance reporting</w:t>
            </w:r>
          </w:p>
        </w:tc>
        <w:tc>
          <w:tcPr>
            <w:tcW w:w="4780" w:type="dxa"/>
            <w:vAlign w:val="center"/>
          </w:tcPr>
          <w:p w14:paraId="6D3E6A82" w14:textId="77777777" w:rsidR="008374C9" w:rsidRPr="001A46A4" w:rsidRDefault="008374C9"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Solomon Islands, Vanuatu, Palau, RMI, Niue, FSM, Nauru, PNG, Tonga</w:t>
            </w:r>
          </w:p>
        </w:tc>
        <w:tc>
          <w:tcPr>
            <w:tcW w:w="971" w:type="dxa"/>
            <w:vAlign w:val="center"/>
          </w:tcPr>
          <w:p w14:paraId="0E88DC04" w14:textId="77777777" w:rsidR="008374C9" w:rsidRPr="001A46A4" w:rsidRDefault="008374C9" w:rsidP="00C43B27">
            <w:pPr>
              <w:jc w:val="cente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9</w:t>
            </w:r>
          </w:p>
        </w:tc>
      </w:tr>
      <w:tr w:rsidR="008374C9" w:rsidRPr="00E47089" w14:paraId="7FC90FE5" w14:textId="77777777" w:rsidTr="00E84A5A">
        <w:trPr>
          <w:jc w:val="center"/>
        </w:trPr>
        <w:tc>
          <w:tcPr>
            <w:tcW w:w="1980" w:type="dxa"/>
            <w:vMerge/>
            <w:vAlign w:val="center"/>
          </w:tcPr>
          <w:p w14:paraId="7EE622DF" w14:textId="77777777" w:rsidR="008374C9" w:rsidRPr="00E47089" w:rsidRDefault="008374C9" w:rsidP="00D97F4D">
            <w:pPr>
              <w:rPr>
                <w:rFonts w:asciiTheme="minorHAnsi" w:hAnsiTheme="minorHAnsi" w:cstheme="minorHAnsi"/>
                <w:color w:val="000000"/>
                <w:sz w:val="22"/>
                <w:szCs w:val="22"/>
                <w:lang w:val="en-AU"/>
              </w:rPr>
            </w:pPr>
          </w:p>
        </w:tc>
        <w:tc>
          <w:tcPr>
            <w:tcW w:w="5148" w:type="dxa"/>
            <w:vAlign w:val="center"/>
          </w:tcPr>
          <w:p w14:paraId="5DD4CE34" w14:textId="117BE969" w:rsidR="008374C9" w:rsidRPr="001A46A4" w:rsidRDefault="00E84A5A"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Efficiency -</w:t>
            </w:r>
            <w:r w:rsidR="008374C9" w:rsidRPr="001A46A4">
              <w:rPr>
                <w:rFonts w:asciiTheme="minorHAnsi" w:hAnsiTheme="minorHAnsi" w:cstheme="minorHAnsi"/>
                <w:color w:val="000000"/>
                <w:sz w:val="22"/>
                <w:szCs w:val="22"/>
                <w:lang w:val="en-AU"/>
              </w:rPr>
              <w:t xml:space="preserve"> backlog reduction</w:t>
            </w:r>
          </w:p>
        </w:tc>
        <w:tc>
          <w:tcPr>
            <w:tcW w:w="4780" w:type="dxa"/>
            <w:vAlign w:val="center"/>
          </w:tcPr>
          <w:p w14:paraId="47F79135" w14:textId="77777777" w:rsidR="008374C9" w:rsidRPr="001A46A4" w:rsidRDefault="008374C9"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Palau, Vanuatu, RMI, FSM, Tonga</w:t>
            </w:r>
          </w:p>
        </w:tc>
        <w:tc>
          <w:tcPr>
            <w:tcW w:w="971" w:type="dxa"/>
            <w:vAlign w:val="center"/>
          </w:tcPr>
          <w:p w14:paraId="7F8A82CE" w14:textId="77777777" w:rsidR="008374C9" w:rsidRPr="001A46A4" w:rsidRDefault="008374C9" w:rsidP="00C43B27">
            <w:pPr>
              <w:jc w:val="cente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5</w:t>
            </w:r>
          </w:p>
        </w:tc>
      </w:tr>
      <w:tr w:rsidR="008374C9" w:rsidRPr="00E47089" w14:paraId="70E8C03F" w14:textId="77777777" w:rsidTr="00E84A5A">
        <w:trPr>
          <w:jc w:val="center"/>
        </w:trPr>
        <w:tc>
          <w:tcPr>
            <w:tcW w:w="1980" w:type="dxa"/>
            <w:vMerge/>
            <w:vAlign w:val="center"/>
          </w:tcPr>
          <w:p w14:paraId="5F73B628" w14:textId="77777777" w:rsidR="008374C9" w:rsidRPr="00E47089" w:rsidRDefault="008374C9" w:rsidP="00D97F4D">
            <w:pPr>
              <w:rPr>
                <w:rFonts w:asciiTheme="minorHAnsi" w:hAnsiTheme="minorHAnsi" w:cstheme="minorHAnsi"/>
                <w:color w:val="000000"/>
                <w:sz w:val="22"/>
                <w:szCs w:val="22"/>
                <w:lang w:val="en-AU"/>
              </w:rPr>
            </w:pPr>
          </w:p>
        </w:tc>
        <w:tc>
          <w:tcPr>
            <w:tcW w:w="5148" w:type="dxa"/>
            <w:vAlign w:val="center"/>
          </w:tcPr>
          <w:p w14:paraId="75200102" w14:textId="28DBCDAC" w:rsidR="008374C9" w:rsidRPr="001A46A4" w:rsidRDefault="00E84A5A"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Efficiency -</w:t>
            </w:r>
            <w:r w:rsidR="008374C9" w:rsidRPr="001A46A4">
              <w:rPr>
                <w:rFonts w:asciiTheme="minorHAnsi" w:hAnsiTheme="minorHAnsi" w:cstheme="minorHAnsi"/>
                <w:color w:val="000000"/>
                <w:sz w:val="22"/>
                <w:szCs w:val="22"/>
                <w:lang w:val="en-AU"/>
              </w:rPr>
              <w:t xml:space="preserve"> remote hearing capacity</w:t>
            </w:r>
          </w:p>
        </w:tc>
        <w:tc>
          <w:tcPr>
            <w:tcW w:w="4780" w:type="dxa"/>
            <w:vAlign w:val="center"/>
          </w:tcPr>
          <w:p w14:paraId="67D399D1" w14:textId="3E25057A" w:rsidR="008374C9" w:rsidRPr="001A46A4" w:rsidRDefault="008374C9" w:rsidP="00D97F4D">
            <w:pP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Palau, Cook Islands, FSM, Tonga, Vanuatu</w:t>
            </w:r>
            <w:r w:rsidR="00BA59C2" w:rsidRPr="001A46A4">
              <w:rPr>
                <w:rFonts w:asciiTheme="minorHAnsi" w:hAnsiTheme="minorHAnsi" w:cstheme="minorHAnsi"/>
                <w:color w:val="000000"/>
                <w:sz w:val="22"/>
                <w:szCs w:val="22"/>
                <w:lang w:val="en-AU"/>
              </w:rPr>
              <w:t>, Niue, Solomon Islands, RMI</w:t>
            </w:r>
            <w:r w:rsidRPr="001A46A4">
              <w:rPr>
                <w:rFonts w:asciiTheme="minorHAnsi" w:hAnsiTheme="minorHAnsi" w:cstheme="minorHAnsi"/>
                <w:color w:val="000000"/>
                <w:sz w:val="22"/>
                <w:szCs w:val="22"/>
                <w:lang w:val="en-AU"/>
              </w:rPr>
              <w:t xml:space="preserve"> </w:t>
            </w:r>
          </w:p>
        </w:tc>
        <w:tc>
          <w:tcPr>
            <w:tcW w:w="971" w:type="dxa"/>
            <w:vAlign w:val="center"/>
          </w:tcPr>
          <w:p w14:paraId="3BC0DCF0" w14:textId="7CF9EB2D" w:rsidR="008374C9" w:rsidRPr="001A46A4" w:rsidRDefault="00BA59C2" w:rsidP="00C43B27">
            <w:pPr>
              <w:jc w:val="center"/>
              <w:rPr>
                <w:rFonts w:asciiTheme="minorHAnsi" w:hAnsiTheme="minorHAnsi" w:cstheme="minorHAnsi"/>
                <w:color w:val="000000"/>
                <w:sz w:val="22"/>
                <w:szCs w:val="22"/>
                <w:lang w:val="en-AU"/>
              </w:rPr>
            </w:pPr>
            <w:r w:rsidRPr="001A46A4">
              <w:rPr>
                <w:rFonts w:asciiTheme="minorHAnsi" w:hAnsiTheme="minorHAnsi" w:cstheme="minorHAnsi"/>
                <w:color w:val="000000"/>
                <w:sz w:val="22"/>
                <w:szCs w:val="22"/>
                <w:lang w:val="en-AU"/>
              </w:rPr>
              <w:t>8</w:t>
            </w:r>
          </w:p>
        </w:tc>
      </w:tr>
      <w:tr w:rsidR="00C43B27" w:rsidRPr="00E47089" w14:paraId="520F7E70" w14:textId="77777777" w:rsidTr="00E84A5A">
        <w:trPr>
          <w:jc w:val="center"/>
        </w:trPr>
        <w:tc>
          <w:tcPr>
            <w:tcW w:w="11908" w:type="dxa"/>
            <w:gridSpan w:val="3"/>
            <w:vAlign w:val="center"/>
          </w:tcPr>
          <w:p w14:paraId="573AD7A2" w14:textId="66946223" w:rsidR="00C43B27" w:rsidRPr="001A46A4" w:rsidRDefault="00C43B27" w:rsidP="00C43B27">
            <w:pPr>
              <w:jc w:val="right"/>
              <w:rPr>
                <w:rFonts w:asciiTheme="minorHAnsi" w:hAnsiTheme="minorHAnsi" w:cstheme="minorHAnsi"/>
                <w:b/>
                <w:color w:val="000000"/>
                <w:sz w:val="22"/>
                <w:szCs w:val="22"/>
                <w:lang w:val="en-AU"/>
              </w:rPr>
            </w:pPr>
            <w:r w:rsidRPr="001A46A4">
              <w:rPr>
                <w:rFonts w:asciiTheme="minorHAnsi" w:hAnsiTheme="minorHAnsi" w:cstheme="minorHAnsi"/>
                <w:b/>
                <w:color w:val="000000"/>
                <w:sz w:val="22"/>
                <w:szCs w:val="22"/>
                <w:lang w:val="en-AU"/>
              </w:rPr>
              <w:t>Total Reforms</w:t>
            </w:r>
          </w:p>
        </w:tc>
        <w:tc>
          <w:tcPr>
            <w:tcW w:w="971" w:type="dxa"/>
            <w:vAlign w:val="center"/>
          </w:tcPr>
          <w:p w14:paraId="076F40A4" w14:textId="24792320" w:rsidR="00C43B27" w:rsidRPr="001A46A4" w:rsidRDefault="000A0C5E" w:rsidP="00C43B27">
            <w:pPr>
              <w:jc w:val="center"/>
              <w:rPr>
                <w:rFonts w:asciiTheme="minorHAnsi" w:hAnsiTheme="minorHAnsi" w:cstheme="minorHAnsi"/>
                <w:b/>
                <w:color w:val="000000"/>
                <w:sz w:val="22"/>
                <w:szCs w:val="22"/>
                <w:lang w:val="en-AU"/>
              </w:rPr>
            </w:pPr>
            <w:r w:rsidRPr="001A46A4">
              <w:rPr>
                <w:rFonts w:asciiTheme="minorHAnsi" w:hAnsiTheme="minorHAnsi" w:cstheme="minorHAnsi"/>
                <w:b/>
                <w:color w:val="000000"/>
                <w:sz w:val="22"/>
                <w:szCs w:val="22"/>
                <w:lang w:val="en-AU"/>
              </w:rPr>
              <w:t>135</w:t>
            </w:r>
          </w:p>
        </w:tc>
      </w:tr>
    </w:tbl>
    <w:p w14:paraId="0AE85229" w14:textId="22A7D93A" w:rsidR="008374C9" w:rsidRDefault="008374C9" w:rsidP="00732939">
      <w:pPr>
        <w:pStyle w:val="HBHeading1"/>
        <w:rPr>
          <w:color w:val="00323E" w:themeColor="accent1" w:themeShade="80"/>
          <w:lang w:val="en-AU"/>
        </w:rPr>
        <w:sectPr w:rsidR="008374C9" w:rsidSect="00AA3D5E">
          <w:headerReference w:type="default" r:id="rId181"/>
          <w:headerReference w:type="first" r:id="rId182"/>
          <w:footerReference w:type="first" r:id="rId183"/>
          <w:pgSz w:w="16838" w:h="11906" w:orient="landscape" w:code="9"/>
          <w:pgMar w:top="1361" w:right="1559" w:bottom="1361" w:left="1418" w:header="397" w:footer="249" w:gutter="0"/>
          <w:cols w:space="708"/>
          <w:titlePg/>
          <w:docGrid w:linePitch="360"/>
        </w:sectPr>
      </w:pPr>
    </w:p>
    <w:p w14:paraId="4E796B55" w14:textId="4261B67B" w:rsidR="00777AE7" w:rsidRDefault="00777AE7" w:rsidP="00BC1A90">
      <w:pPr>
        <w:pStyle w:val="HBHeading1"/>
        <w:spacing w:before="0"/>
        <w:rPr>
          <w:color w:val="00323E" w:themeColor="accent1" w:themeShade="80"/>
          <w:lang w:val="en-AU"/>
        </w:rPr>
      </w:pPr>
      <w:bookmarkStart w:id="44" w:name="_Toc77423623"/>
      <w:bookmarkStart w:id="45" w:name="_Toc90564318"/>
      <w:r>
        <w:rPr>
          <w:color w:val="00323E" w:themeColor="accent1" w:themeShade="80"/>
          <w:lang w:val="en-AU"/>
        </w:rPr>
        <w:lastRenderedPageBreak/>
        <w:t xml:space="preserve">Annex </w:t>
      </w:r>
      <w:r w:rsidR="00C16A8C">
        <w:rPr>
          <w:color w:val="00323E" w:themeColor="accent1" w:themeShade="80"/>
          <w:lang w:val="en-AU"/>
        </w:rPr>
        <w:t>Five</w:t>
      </w:r>
      <w:r>
        <w:rPr>
          <w:color w:val="00323E" w:themeColor="accent1" w:themeShade="80"/>
          <w:lang w:val="en-AU"/>
        </w:rPr>
        <w:t>: PJDP Baseline &amp; End Results</w:t>
      </w:r>
      <w:bookmarkEnd w:id="44"/>
      <w:bookmarkEnd w:id="45"/>
      <w:r>
        <w:rPr>
          <w:color w:val="00323E" w:themeColor="accent1" w:themeShade="80"/>
          <w:lang w:val="en-AU"/>
        </w:rPr>
        <w:t xml:space="preserve"> </w:t>
      </w:r>
    </w:p>
    <w:p w14:paraId="588A08CE" w14:textId="5F55462A" w:rsidR="00777AE7" w:rsidRDefault="00777AE7" w:rsidP="00777AE7">
      <w:r>
        <w:t xml:space="preserve">PJSI and its achievements </w:t>
      </w:r>
      <w:r w:rsidR="00AC7CDA">
        <w:t xml:space="preserve">stand </w:t>
      </w:r>
      <w:r>
        <w:t>on the shoulders of its predecessor, the Pacific Judicial Development Program (PJDP). PJDP operated between 2011 and 2015 with the goal of</w:t>
      </w:r>
      <w:r w:rsidRPr="00360B6F">
        <w:t xml:space="preserve"> strengthen</w:t>
      </w:r>
      <w:r>
        <w:t>ing</w:t>
      </w:r>
      <w:r w:rsidRPr="00360B6F">
        <w:t xml:space="preserve"> go</w:t>
      </w:r>
      <w:r>
        <w:t>vernance and rule of law among Partner Courts. It did this by improving</w:t>
      </w:r>
      <w:r w:rsidRPr="00360B6F">
        <w:t xml:space="preserve"> access to justice and professional</w:t>
      </w:r>
      <w:r>
        <w:t>ising</w:t>
      </w:r>
      <w:r w:rsidRPr="00360B6F">
        <w:t xml:space="preserve"> judicial </w:t>
      </w:r>
      <w:r>
        <w:t>and court officers to</w:t>
      </w:r>
      <w:r w:rsidRPr="00360B6F">
        <w:t xml:space="preserve"> act independently </w:t>
      </w:r>
      <w:r>
        <w:t xml:space="preserve">and efficiently </w:t>
      </w:r>
      <w:r w:rsidRPr="00360B6F">
        <w:t>according to legal principles</w:t>
      </w:r>
      <w:r>
        <w:t>.</w:t>
      </w:r>
    </w:p>
    <w:tbl>
      <w:tblPr>
        <w:tblpPr w:leftFromText="180" w:rightFromText="180" w:vertAnchor="page" w:horzAnchor="margin" w:tblpY="3841"/>
        <w:tblW w:w="9204" w:type="dxa"/>
        <w:tblBorders>
          <w:top w:val="single" w:sz="8" w:space="0" w:color="4BACC6"/>
          <w:left w:val="single" w:sz="8" w:space="0" w:color="4BACC6"/>
          <w:bottom w:val="single" w:sz="8" w:space="0" w:color="4BACC6"/>
          <w:right w:val="single" w:sz="8" w:space="0" w:color="4BACC6"/>
        </w:tblBorders>
        <w:tblLayout w:type="fixed"/>
        <w:tblLook w:val="0020" w:firstRow="1" w:lastRow="0" w:firstColumn="0" w:lastColumn="0" w:noHBand="0" w:noVBand="0"/>
      </w:tblPr>
      <w:tblGrid>
        <w:gridCol w:w="1691"/>
        <w:gridCol w:w="7513"/>
      </w:tblGrid>
      <w:tr w:rsidR="00777AE7" w:rsidRPr="00946BA8" w14:paraId="495335D5" w14:textId="77777777" w:rsidTr="00777AE7">
        <w:trPr>
          <w:trHeight w:val="437"/>
        </w:trPr>
        <w:tc>
          <w:tcPr>
            <w:tcW w:w="1691" w:type="dxa"/>
            <w:tcBorders>
              <w:top w:val="single" w:sz="8" w:space="0" w:color="81ADB5" w:themeColor="accent5"/>
              <w:left w:val="single" w:sz="8" w:space="0" w:color="81ADB5" w:themeColor="accent5"/>
              <w:bottom w:val="single" w:sz="8" w:space="0" w:color="81ADB5" w:themeColor="accent5"/>
              <w:right w:val="single" w:sz="8" w:space="0" w:color="81ADB5" w:themeColor="accent5"/>
            </w:tcBorders>
            <w:shd w:val="clear" w:color="auto" w:fill="auto"/>
            <w:vAlign w:val="center"/>
          </w:tcPr>
          <w:p w14:paraId="4280A612" w14:textId="77777777" w:rsidR="00777AE7" w:rsidRPr="00946BA8" w:rsidRDefault="00777AE7" w:rsidP="00777AE7">
            <w:pPr>
              <w:spacing w:before="60" w:after="60"/>
              <w:jc w:val="center"/>
              <w:rPr>
                <w:rFonts w:cstheme="minorHAnsi"/>
                <w:b/>
                <w:sz w:val="21"/>
                <w:szCs w:val="21"/>
              </w:rPr>
            </w:pPr>
            <w:r w:rsidRPr="00946BA8">
              <w:rPr>
                <w:rFonts w:cstheme="minorHAnsi"/>
                <w:b/>
                <w:sz w:val="21"/>
                <w:szCs w:val="21"/>
              </w:rPr>
              <w:t>Theme</w:t>
            </w:r>
          </w:p>
        </w:tc>
        <w:tc>
          <w:tcPr>
            <w:tcW w:w="7513" w:type="dxa"/>
            <w:tcBorders>
              <w:top w:val="single" w:sz="8" w:space="0" w:color="81ADB5" w:themeColor="accent5"/>
              <w:left w:val="single" w:sz="8" w:space="0" w:color="81ADB5" w:themeColor="accent5"/>
              <w:bottom w:val="single" w:sz="8" w:space="0" w:color="81ADB5" w:themeColor="accent5"/>
              <w:right w:val="single" w:sz="8" w:space="0" w:color="81ADB5" w:themeColor="accent5"/>
            </w:tcBorders>
            <w:shd w:val="clear" w:color="auto" w:fill="auto"/>
            <w:vAlign w:val="center"/>
          </w:tcPr>
          <w:p w14:paraId="5C6FD535" w14:textId="77777777" w:rsidR="00777AE7" w:rsidRPr="00946BA8" w:rsidRDefault="00777AE7" w:rsidP="00777AE7">
            <w:pPr>
              <w:spacing w:before="60" w:after="60"/>
              <w:rPr>
                <w:rFonts w:cstheme="minorHAnsi"/>
                <w:b/>
                <w:color w:val="000000"/>
                <w:sz w:val="21"/>
                <w:szCs w:val="21"/>
                <w:shd w:val="clear" w:color="auto" w:fill="FFFFFF"/>
              </w:rPr>
            </w:pPr>
            <w:r w:rsidRPr="00946BA8">
              <w:rPr>
                <w:rFonts w:cstheme="minorHAnsi"/>
                <w:b/>
                <w:color w:val="000000"/>
                <w:sz w:val="21"/>
                <w:szCs w:val="21"/>
                <w:shd w:val="clear" w:color="auto" w:fill="FFFFFF"/>
              </w:rPr>
              <w:t>PJDP baseline</w:t>
            </w:r>
          </w:p>
        </w:tc>
      </w:tr>
      <w:tr w:rsidR="00777AE7" w:rsidRPr="00E05C94" w14:paraId="63C8926D" w14:textId="77777777" w:rsidTr="00777AE7">
        <w:trPr>
          <w:trHeight w:val="381"/>
        </w:trPr>
        <w:tc>
          <w:tcPr>
            <w:tcW w:w="1691" w:type="dxa"/>
            <w:tcBorders>
              <w:top w:val="single" w:sz="8" w:space="0" w:color="81ADB5" w:themeColor="accent5"/>
              <w:left w:val="single" w:sz="8" w:space="0" w:color="81ADB5" w:themeColor="accent5"/>
              <w:right w:val="single" w:sz="8" w:space="0" w:color="81ADB5" w:themeColor="accent5"/>
            </w:tcBorders>
            <w:shd w:val="clear" w:color="auto" w:fill="auto"/>
            <w:vAlign w:val="center"/>
          </w:tcPr>
          <w:p w14:paraId="18451595" w14:textId="77777777" w:rsidR="00777AE7" w:rsidRPr="00B95A0E" w:rsidRDefault="00777AE7" w:rsidP="00777AE7">
            <w:pPr>
              <w:spacing w:before="60" w:after="60"/>
              <w:rPr>
                <w:rFonts w:cstheme="minorHAnsi"/>
                <w:sz w:val="21"/>
                <w:szCs w:val="21"/>
              </w:rPr>
            </w:pPr>
            <w:r w:rsidRPr="00B95A0E">
              <w:rPr>
                <w:rFonts w:cstheme="minorHAnsi"/>
                <w:sz w:val="21"/>
                <w:szCs w:val="21"/>
              </w:rPr>
              <w:t>Governance &amp; Leadership</w:t>
            </w:r>
          </w:p>
        </w:tc>
        <w:tc>
          <w:tcPr>
            <w:tcW w:w="7513" w:type="dxa"/>
            <w:tcBorders>
              <w:top w:val="single" w:sz="8" w:space="0" w:color="81ADB5" w:themeColor="accent5"/>
              <w:left w:val="single" w:sz="8" w:space="0" w:color="81ADB5" w:themeColor="accent5"/>
              <w:bottom w:val="single" w:sz="8" w:space="0" w:color="81ADB5" w:themeColor="accent5"/>
              <w:right w:val="single" w:sz="8" w:space="0" w:color="81ADB5" w:themeColor="accent5"/>
            </w:tcBorders>
            <w:shd w:val="clear" w:color="auto" w:fill="auto"/>
            <w:vAlign w:val="center"/>
          </w:tcPr>
          <w:p w14:paraId="2D59A981" w14:textId="77777777" w:rsidR="00777AE7" w:rsidRPr="00E05C94" w:rsidRDefault="00777AE7" w:rsidP="00777AE7">
            <w:pPr>
              <w:spacing w:before="60" w:after="60"/>
              <w:rPr>
                <w:rFonts w:cstheme="minorHAnsi"/>
                <w:sz w:val="21"/>
                <w:szCs w:val="21"/>
                <w:lang w:val="en-AU"/>
              </w:rPr>
            </w:pPr>
            <w:r w:rsidRPr="00B95A0E">
              <w:rPr>
                <w:rFonts w:cstheme="minorHAnsi"/>
                <w:sz w:val="21"/>
                <w:szCs w:val="21"/>
              </w:rPr>
              <w:t xml:space="preserve">Low </w:t>
            </w:r>
            <w:r>
              <w:rPr>
                <w:rFonts w:cstheme="minorHAnsi"/>
                <w:sz w:val="21"/>
                <w:szCs w:val="21"/>
              </w:rPr>
              <w:t xml:space="preserve">levels of judicial leadership and low </w:t>
            </w:r>
            <w:r w:rsidRPr="00B95A0E">
              <w:rPr>
                <w:rFonts w:cstheme="minorHAnsi"/>
                <w:sz w:val="21"/>
                <w:szCs w:val="21"/>
              </w:rPr>
              <w:t xml:space="preserve">capacity </w:t>
            </w:r>
            <w:r>
              <w:rPr>
                <w:rFonts w:cstheme="minorHAnsi"/>
                <w:sz w:val="21"/>
                <w:szCs w:val="21"/>
              </w:rPr>
              <w:t>to manage change locally</w:t>
            </w:r>
            <w:r w:rsidRPr="00B95A0E">
              <w:rPr>
                <w:rFonts w:cstheme="minorHAnsi"/>
                <w:sz w:val="21"/>
                <w:szCs w:val="21"/>
              </w:rPr>
              <w:t>.</w:t>
            </w:r>
            <w:r>
              <w:rPr>
                <w:rFonts w:cstheme="minorHAnsi"/>
                <w:sz w:val="21"/>
                <w:szCs w:val="21"/>
                <w:lang w:val="en-AU"/>
              </w:rPr>
              <w:t xml:space="preserve"> </w:t>
            </w:r>
            <w:r w:rsidRPr="00B95A0E">
              <w:rPr>
                <w:rFonts w:cstheme="minorHAnsi"/>
                <w:sz w:val="21"/>
                <w:szCs w:val="21"/>
              </w:rPr>
              <w:t xml:space="preserve"> No</w:t>
            </w:r>
            <w:r>
              <w:rPr>
                <w:rFonts w:cstheme="minorHAnsi"/>
                <w:sz w:val="21"/>
                <w:szCs w:val="21"/>
              </w:rPr>
              <w:t xml:space="preserve"> Codes of Judicial Conduct</w:t>
            </w:r>
            <w:r w:rsidRPr="00B95A0E">
              <w:rPr>
                <w:rFonts w:cstheme="minorHAnsi"/>
                <w:sz w:val="21"/>
                <w:szCs w:val="21"/>
              </w:rPr>
              <w:t xml:space="preserve"> in the </w:t>
            </w:r>
            <w:r>
              <w:rPr>
                <w:rFonts w:cstheme="minorHAnsi"/>
                <w:sz w:val="21"/>
                <w:szCs w:val="21"/>
              </w:rPr>
              <w:t>region based on</w:t>
            </w:r>
            <w:r w:rsidRPr="00B95A0E">
              <w:rPr>
                <w:rFonts w:cstheme="minorHAnsi"/>
                <w:sz w:val="21"/>
                <w:szCs w:val="21"/>
              </w:rPr>
              <w:t xml:space="preserve"> internationally recognised pr</w:t>
            </w:r>
            <w:r>
              <w:rPr>
                <w:rFonts w:cstheme="minorHAnsi"/>
                <w:sz w:val="21"/>
                <w:szCs w:val="21"/>
              </w:rPr>
              <w:t>inciples such as the Bangalore Principles of Judicial C</w:t>
            </w:r>
            <w:r w:rsidRPr="00B95A0E">
              <w:rPr>
                <w:rFonts w:cstheme="minorHAnsi"/>
                <w:sz w:val="21"/>
                <w:szCs w:val="21"/>
              </w:rPr>
              <w:t>onduct.</w:t>
            </w:r>
            <w:r>
              <w:rPr>
                <w:rFonts w:cstheme="minorHAnsi"/>
                <w:sz w:val="21"/>
                <w:szCs w:val="21"/>
              </w:rPr>
              <w:t xml:space="preserve"> </w:t>
            </w:r>
            <w:r>
              <w:rPr>
                <w:rFonts w:cstheme="minorHAnsi"/>
                <w:color w:val="000000"/>
                <w:sz w:val="21"/>
                <w:szCs w:val="21"/>
                <w:shd w:val="clear" w:color="auto" w:fill="FFFFFF"/>
              </w:rPr>
              <w:t xml:space="preserve"> No options to deliver</w:t>
            </w:r>
            <w:r w:rsidRPr="00B95A0E">
              <w:rPr>
                <w:rFonts w:cstheme="minorHAnsi"/>
                <w:color w:val="000000"/>
                <w:sz w:val="21"/>
                <w:szCs w:val="21"/>
                <w:shd w:val="clear" w:color="auto" w:fill="FFFFFF"/>
              </w:rPr>
              <w:t xml:space="preserve"> activities, advice and guidance rem</w:t>
            </w:r>
            <w:r>
              <w:rPr>
                <w:rFonts w:cstheme="minorHAnsi"/>
                <w:color w:val="000000"/>
                <w:sz w:val="21"/>
                <w:szCs w:val="21"/>
                <w:shd w:val="clear" w:color="auto" w:fill="FFFFFF"/>
              </w:rPr>
              <w:t>otely.</w:t>
            </w:r>
          </w:p>
        </w:tc>
      </w:tr>
      <w:tr w:rsidR="00777AE7" w:rsidRPr="00B95A0E" w14:paraId="71C76AAB" w14:textId="77777777" w:rsidTr="00777AE7">
        <w:trPr>
          <w:trHeight w:val="130"/>
        </w:trPr>
        <w:tc>
          <w:tcPr>
            <w:tcW w:w="1691" w:type="dxa"/>
            <w:tcBorders>
              <w:top w:val="single" w:sz="8" w:space="0" w:color="81ADB5" w:themeColor="accent5"/>
              <w:left w:val="single" w:sz="8" w:space="0" w:color="81ADB5" w:themeColor="accent5"/>
              <w:right w:val="single" w:sz="8" w:space="0" w:color="81ADB5" w:themeColor="accent5"/>
            </w:tcBorders>
            <w:shd w:val="clear" w:color="auto" w:fill="auto"/>
            <w:vAlign w:val="center"/>
          </w:tcPr>
          <w:p w14:paraId="20A65443" w14:textId="77777777" w:rsidR="00777AE7" w:rsidRPr="00B95A0E" w:rsidRDefault="00777AE7" w:rsidP="00777AE7">
            <w:pPr>
              <w:spacing w:before="60" w:after="60"/>
              <w:rPr>
                <w:rFonts w:cstheme="minorHAnsi"/>
                <w:sz w:val="21"/>
                <w:szCs w:val="21"/>
              </w:rPr>
            </w:pPr>
            <w:r>
              <w:rPr>
                <w:rFonts w:cstheme="minorHAnsi"/>
                <w:sz w:val="21"/>
                <w:szCs w:val="21"/>
              </w:rPr>
              <w:t>Access to Justice</w:t>
            </w:r>
          </w:p>
        </w:tc>
        <w:tc>
          <w:tcPr>
            <w:tcW w:w="7513" w:type="dxa"/>
            <w:tcBorders>
              <w:top w:val="single" w:sz="8" w:space="0" w:color="81ADB5" w:themeColor="accent5"/>
              <w:left w:val="single" w:sz="8" w:space="0" w:color="81ADB5" w:themeColor="accent5"/>
              <w:bottom w:val="single" w:sz="8" w:space="0" w:color="81ADB5" w:themeColor="accent5"/>
              <w:right w:val="single" w:sz="8" w:space="0" w:color="81ADB5" w:themeColor="accent5"/>
            </w:tcBorders>
            <w:shd w:val="clear" w:color="auto" w:fill="auto"/>
            <w:vAlign w:val="center"/>
          </w:tcPr>
          <w:p w14:paraId="27FB6110" w14:textId="77777777" w:rsidR="00777AE7" w:rsidRPr="00B95A0E" w:rsidRDefault="00777AE7" w:rsidP="00777AE7">
            <w:pPr>
              <w:spacing w:before="60" w:after="60"/>
              <w:rPr>
                <w:rFonts w:cstheme="minorHAnsi"/>
                <w:sz w:val="21"/>
                <w:szCs w:val="21"/>
              </w:rPr>
            </w:pPr>
            <w:r w:rsidRPr="00B95A0E">
              <w:rPr>
                <w:rFonts w:cstheme="minorHAnsi"/>
                <w:sz w:val="21"/>
                <w:szCs w:val="21"/>
              </w:rPr>
              <w:t>No</w:t>
            </w:r>
            <w:r>
              <w:rPr>
                <w:rFonts w:cstheme="minorHAnsi"/>
                <w:sz w:val="21"/>
                <w:szCs w:val="21"/>
              </w:rPr>
              <w:t xml:space="preserve"> evidence-based strategy </w:t>
            </w:r>
            <w:r w:rsidRPr="00B95A0E">
              <w:rPr>
                <w:rFonts w:cstheme="minorHAnsi"/>
                <w:sz w:val="21"/>
                <w:szCs w:val="21"/>
              </w:rPr>
              <w:t>to integrate in/formal justice systems in the region.</w:t>
            </w:r>
            <w:r>
              <w:rPr>
                <w:rFonts w:cstheme="minorHAnsi"/>
                <w:sz w:val="21"/>
                <w:szCs w:val="21"/>
              </w:rPr>
              <w:t xml:space="preserve">  Pacific </w:t>
            </w:r>
            <w:r w:rsidRPr="00B95A0E">
              <w:rPr>
                <w:rFonts w:cstheme="minorHAnsi"/>
                <w:bCs/>
                <w:iCs/>
                <w:sz w:val="21"/>
                <w:szCs w:val="21"/>
              </w:rPr>
              <w:t>communities are not info</w:t>
            </w:r>
            <w:r>
              <w:rPr>
                <w:rFonts w:cstheme="minorHAnsi"/>
                <w:bCs/>
                <w:iCs/>
                <w:sz w:val="21"/>
                <w:szCs w:val="21"/>
              </w:rPr>
              <w:t>rmed about their rights and how to assert them</w:t>
            </w:r>
            <w:r w:rsidRPr="00B95A0E">
              <w:rPr>
                <w:rFonts w:cstheme="minorHAnsi"/>
                <w:bCs/>
                <w:iCs/>
                <w:sz w:val="21"/>
                <w:szCs w:val="21"/>
              </w:rPr>
              <w:t>.</w:t>
            </w:r>
            <w:r>
              <w:rPr>
                <w:rFonts w:cstheme="minorHAnsi"/>
                <w:bCs/>
                <w:iCs/>
                <w:sz w:val="21"/>
                <w:szCs w:val="21"/>
              </w:rPr>
              <w:t xml:space="preserve"> </w:t>
            </w:r>
            <w:r w:rsidRPr="00B95A0E">
              <w:rPr>
                <w:rFonts w:cstheme="minorHAnsi"/>
                <w:sz w:val="21"/>
                <w:szCs w:val="21"/>
              </w:rPr>
              <w:t xml:space="preserve"> Court</w:t>
            </w:r>
            <w:r>
              <w:rPr>
                <w:rFonts w:cstheme="minorHAnsi"/>
                <w:sz w:val="21"/>
                <w:szCs w:val="21"/>
              </w:rPr>
              <w:t>s do not promote equal access</w:t>
            </w:r>
            <w:r w:rsidRPr="00B95A0E">
              <w:rPr>
                <w:rFonts w:cstheme="minorHAnsi"/>
                <w:sz w:val="21"/>
                <w:szCs w:val="21"/>
              </w:rPr>
              <w:t xml:space="preserve"> or </w:t>
            </w:r>
            <w:r>
              <w:rPr>
                <w:rFonts w:cstheme="minorHAnsi"/>
                <w:sz w:val="21"/>
                <w:szCs w:val="21"/>
              </w:rPr>
              <w:t>focus on being responsive to citizens’</w:t>
            </w:r>
            <w:r w:rsidRPr="00B95A0E">
              <w:rPr>
                <w:rFonts w:cstheme="minorHAnsi"/>
                <w:sz w:val="21"/>
                <w:szCs w:val="21"/>
              </w:rPr>
              <w:t xml:space="preserve"> </w:t>
            </w:r>
            <w:r>
              <w:rPr>
                <w:rFonts w:cstheme="minorHAnsi"/>
                <w:sz w:val="21"/>
                <w:szCs w:val="21"/>
              </w:rPr>
              <w:t>needs</w:t>
            </w:r>
            <w:r w:rsidRPr="00B95A0E">
              <w:rPr>
                <w:rFonts w:cstheme="minorHAnsi"/>
                <w:sz w:val="21"/>
                <w:szCs w:val="21"/>
              </w:rPr>
              <w:t>.</w:t>
            </w:r>
          </w:p>
        </w:tc>
      </w:tr>
      <w:tr w:rsidR="00777AE7" w:rsidRPr="00E05C94" w14:paraId="6294B1F0" w14:textId="77777777" w:rsidTr="0009308F">
        <w:trPr>
          <w:trHeight w:val="437"/>
        </w:trPr>
        <w:tc>
          <w:tcPr>
            <w:tcW w:w="1691" w:type="dxa"/>
            <w:tcBorders>
              <w:top w:val="single" w:sz="8" w:space="0" w:color="81ADB5" w:themeColor="accent5"/>
              <w:left w:val="single" w:sz="8" w:space="0" w:color="81ADB5" w:themeColor="accent5"/>
              <w:bottom w:val="single" w:sz="4" w:space="0" w:color="81ADB5" w:themeColor="accent5"/>
              <w:right w:val="single" w:sz="8" w:space="0" w:color="81ADB5" w:themeColor="accent5"/>
            </w:tcBorders>
            <w:shd w:val="clear" w:color="auto" w:fill="auto"/>
            <w:vAlign w:val="center"/>
          </w:tcPr>
          <w:p w14:paraId="0A540362" w14:textId="77777777" w:rsidR="00777AE7" w:rsidRPr="00B95A0E" w:rsidRDefault="00777AE7" w:rsidP="00777AE7">
            <w:pPr>
              <w:spacing w:before="60" w:after="60"/>
              <w:rPr>
                <w:rFonts w:cstheme="minorHAnsi"/>
                <w:sz w:val="21"/>
                <w:szCs w:val="21"/>
              </w:rPr>
            </w:pPr>
            <w:r>
              <w:rPr>
                <w:rFonts w:cstheme="minorHAnsi"/>
                <w:sz w:val="21"/>
                <w:szCs w:val="21"/>
              </w:rPr>
              <w:t>Professionalism</w:t>
            </w:r>
          </w:p>
        </w:tc>
        <w:tc>
          <w:tcPr>
            <w:tcW w:w="7513" w:type="dxa"/>
            <w:tcBorders>
              <w:top w:val="single" w:sz="8" w:space="0" w:color="81ADB5" w:themeColor="accent5"/>
              <w:left w:val="single" w:sz="8" w:space="0" w:color="81ADB5" w:themeColor="accent5"/>
              <w:bottom w:val="single" w:sz="4" w:space="0" w:color="81ADB5" w:themeColor="accent5"/>
              <w:right w:val="single" w:sz="8" w:space="0" w:color="81ADB5" w:themeColor="accent5"/>
            </w:tcBorders>
            <w:shd w:val="clear" w:color="auto" w:fill="auto"/>
            <w:vAlign w:val="center"/>
          </w:tcPr>
          <w:p w14:paraId="54127162" w14:textId="77777777" w:rsidR="00777AE7" w:rsidRPr="00E05C94" w:rsidRDefault="00777AE7" w:rsidP="00777AE7">
            <w:pPr>
              <w:spacing w:before="60" w:after="60"/>
              <w:rPr>
                <w:rFonts w:cstheme="minorHAnsi"/>
                <w:sz w:val="21"/>
                <w:szCs w:val="21"/>
              </w:rPr>
            </w:pPr>
            <w:r>
              <w:rPr>
                <w:rFonts w:cstheme="minorHAnsi"/>
                <w:sz w:val="21"/>
                <w:szCs w:val="21"/>
              </w:rPr>
              <w:t>Judicial officers have not received orientation/</w:t>
            </w:r>
            <w:r w:rsidRPr="00B95A0E">
              <w:rPr>
                <w:rFonts w:cstheme="minorHAnsi"/>
                <w:sz w:val="21"/>
                <w:szCs w:val="21"/>
              </w:rPr>
              <w:t>decision-mak</w:t>
            </w:r>
            <w:r>
              <w:rPr>
                <w:rFonts w:cstheme="minorHAnsi"/>
                <w:sz w:val="21"/>
                <w:szCs w:val="21"/>
              </w:rPr>
              <w:t xml:space="preserve">ing training since 2008.  No </w:t>
            </w:r>
            <w:r w:rsidRPr="00B95A0E">
              <w:rPr>
                <w:rFonts w:cstheme="minorHAnsi"/>
                <w:sz w:val="21"/>
                <w:szCs w:val="21"/>
              </w:rPr>
              <w:t xml:space="preserve">options </w:t>
            </w:r>
            <w:r>
              <w:rPr>
                <w:rFonts w:cstheme="minorHAnsi"/>
                <w:sz w:val="21"/>
                <w:szCs w:val="21"/>
              </w:rPr>
              <w:t xml:space="preserve">exist </w:t>
            </w:r>
            <w:r w:rsidRPr="00B95A0E">
              <w:rPr>
                <w:rFonts w:cstheme="minorHAnsi"/>
                <w:sz w:val="21"/>
                <w:szCs w:val="21"/>
              </w:rPr>
              <w:t>to enable ongoing judicial development regiona</w:t>
            </w:r>
            <w:r>
              <w:rPr>
                <w:rFonts w:cstheme="minorHAnsi"/>
                <w:sz w:val="21"/>
                <w:szCs w:val="21"/>
              </w:rPr>
              <w:t>lly or</w:t>
            </w:r>
            <w:r w:rsidRPr="00B95A0E">
              <w:rPr>
                <w:rFonts w:cstheme="minorHAnsi"/>
                <w:sz w:val="21"/>
                <w:szCs w:val="21"/>
              </w:rPr>
              <w:t xml:space="preserve"> locally.</w:t>
            </w:r>
            <w:r>
              <w:rPr>
                <w:rFonts w:cstheme="minorHAnsi"/>
                <w:sz w:val="21"/>
                <w:szCs w:val="21"/>
              </w:rPr>
              <w:t xml:space="preserve"> </w:t>
            </w:r>
            <w:r w:rsidRPr="00B95A0E">
              <w:rPr>
                <w:rFonts w:cstheme="minorHAnsi"/>
                <w:sz w:val="21"/>
                <w:szCs w:val="21"/>
              </w:rPr>
              <w:t>23 accredited judicial educators in 10 PICs, no Regional Training Team and no PIC-tailored ToT training programme.</w:t>
            </w:r>
          </w:p>
        </w:tc>
      </w:tr>
      <w:tr w:rsidR="00777AE7" w:rsidRPr="00B95A0E" w14:paraId="5E266E39" w14:textId="77777777" w:rsidTr="0009308F">
        <w:trPr>
          <w:trHeight w:val="60"/>
        </w:trPr>
        <w:tc>
          <w:tcPr>
            <w:tcW w:w="1691" w:type="dxa"/>
            <w:tcBorders>
              <w:top w:val="single" w:sz="4" w:space="0" w:color="81ADB5" w:themeColor="accent5"/>
              <w:left w:val="single" w:sz="8" w:space="0" w:color="81ADB5" w:themeColor="accent5"/>
              <w:bottom w:val="single" w:sz="8" w:space="0" w:color="81ADB5" w:themeColor="accent5"/>
              <w:right w:val="single" w:sz="8" w:space="0" w:color="81ADB5" w:themeColor="accent5"/>
            </w:tcBorders>
            <w:shd w:val="clear" w:color="auto" w:fill="auto"/>
            <w:vAlign w:val="center"/>
          </w:tcPr>
          <w:p w14:paraId="7D7B2F42" w14:textId="77777777" w:rsidR="00777AE7" w:rsidRDefault="00777AE7" w:rsidP="00777AE7">
            <w:pPr>
              <w:spacing w:before="60" w:after="60"/>
              <w:rPr>
                <w:rFonts w:cstheme="minorHAnsi"/>
                <w:sz w:val="21"/>
                <w:szCs w:val="21"/>
              </w:rPr>
            </w:pPr>
            <w:r w:rsidRPr="00B95A0E">
              <w:rPr>
                <w:rFonts w:cstheme="minorHAnsi"/>
                <w:sz w:val="21"/>
                <w:szCs w:val="21"/>
              </w:rPr>
              <w:t>Family Violence &amp; Youth Justice</w:t>
            </w:r>
          </w:p>
        </w:tc>
        <w:tc>
          <w:tcPr>
            <w:tcW w:w="7513" w:type="dxa"/>
            <w:tcBorders>
              <w:top w:val="single" w:sz="4" w:space="0" w:color="81ADB5" w:themeColor="accent5"/>
              <w:left w:val="single" w:sz="8" w:space="0" w:color="81ADB5" w:themeColor="accent5"/>
              <w:bottom w:val="single" w:sz="8" w:space="0" w:color="81ADB5" w:themeColor="accent5"/>
              <w:right w:val="single" w:sz="8" w:space="0" w:color="81ADB5" w:themeColor="accent5"/>
            </w:tcBorders>
            <w:shd w:val="clear" w:color="auto" w:fill="auto"/>
            <w:vAlign w:val="center"/>
          </w:tcPr>
          <w:p w14:paraId="79D0E677" w14:textId="77777777" w:rsidR="00777AE7" w:rsidRPr="00B95A0E" w:rsidRDefault="00777AE7" w:rsidP="00777AE7">
            <w:pPr>
              <w:spacing w:before="60" w:after="60"/>
              <w:rPr>
                <w:rFonts w:cstheme="minorHAnsi"/>
                <w:sz w:val="21"/>
                <w:szCs w:val="21"/>
              </w:rPr>
            </w:pPr>
            <w:r w:rsidRPr="00B95A0E">
              <w:rPr>
                <w:rFonts w:cstheme="minorHAnsi"/>
                <w:sz w:val="21"/>
                <w:szCs w:val="21"/>
              </w:rPr>
              <w:t>Judicial and court officers are not aware of and/or not appropriately responding to family violence an</w:t>
            </w:r>
            <w:r>
              <w:rPr>
                <w:rFonts w:cstheme="minorHAnsi"/>
                <w:sz w:val="21"/>
                <w:szCs w:val="21"/>
              </w:rPr>
              <w:t>d juvenile justice issues</w:t>
            </w:r>
            <w:r w:rsidRPr="00B95A0E">
              <w:rPr>
                <w:rFonts w:cstheme="minorHAnsi"/>
                <w:sz w:val="21"/>
                <w:szCs w:val="21"/>
              </w:rPr>
              <w:t>.</w:t>
            </w:r>
          </w:p>
        </w:tc>
      </w:tr>
      <w:tr w:rsidR="00777AE7" w:rsidRPr="00B95A0E" w14:paraId="1C4C6BDC" w14:textId="77777777" w:rsidTr="00777AE7">
        <w:trPr>
          <w:trHeight w:val="60"/>
        </w:trPr>
        <w:tc>
          <w:tcPr>
            <w:tcW w:w="1691" w:type="dxa"/>
            <w:tcBorders>
              <w:left w:val="single" w:sz="8" w:space="0" w:color="81ADB5" w:themeColor="accent5"/>
              <w:bottom w:val="single" w:sz="8" w:space="0" w:color="81ADB5" w:themeColor="accent5"/>
              <w:right w:val="single" w:sz="8" w:space="0" w:color="81ADB5" w:themeColor="accent5"/>
            </w:tcBorders>
            <w:shd w:val="clear" w:color="auto" w:fill="auto"/>
            <w:vAlign w:val="center"/>
          </w:tcPr>
          <w:p w14:paraId="035F5874" w14:textId="77777777" w:rsidR="00777AE7" w:rsidRDefault="00777AE7" w:rsidP="00777AE7">
            <w:pPr>
              <w:spacing w:before="60" w:after="60"/>
              <w:rPr>
                <w:rFonts w:cstheme="minorHAnsi"/>
                <w:sz w:val="21"/>
                <w:szCs w:val="21"/>
              </w:rPr>
            </w:pPr>
            <w:r>
              <w:rPr>
                <w:rFonts w:cstheme="minorHAnsi"/>
                <w:sz w:val="21"/>
                <w:szCs w:val="21"/>
              </w:rPr>
              <w:t>Judicial a</w:t>
            </w:r>
            <w:r w:rsidRPr="00B95A0E">
              <w:rPr>
                <w:rFonts w:cstheme="minorHAnsi"/>
                <w:sz w:val="21"/>
                <w:szCs w:val="21"/>
              </w:rPr>
              <w:t>dministration</w:t>
            </w:r>
            <w:r>
              <w:rPr>
                <w:rFonts w:cstheme="minorHAnsi"/>
                <w:sz w:val="21"/>
                <w:szCs w:val="21"/>
              </w:rPr>
              <w:t>, monitoring &amp; reporting</w:t>
            </w:r>
          </w:p>
        </w:tc>
        <w:tc>
          <w:tcPr>
            <w:tcW w:w="7513" w:type="dxa"/>
            <w:tcBorders>
              <w:top w:val="single" w:sz="8" w:space="0" w:color="81ADB5" w:themeColor="accent5"/>
              <w:left w:val="single" w:sz="8" w:space="0" w:color="81ADB5" w:themeColor="accent5"/>
              <w:bottom w:val="single" w:sz="8" w:space="0" w:color="81ADB5" w:themeColor="accent5"/>
              <w:right w:val="single" w:sz="8" w:space="0" w:color="81ADB5" w:themeColor="accent5"/>
            </w:tcBorders>
            <w:shd w:val="clear" w:color="auto" w:fill="auto"/>
            <w:vAlign w:val="center"/>
          </w:tcPr>
          <w:p w14:paraId="7BD10226" w14:textId="77777777" w:rsidR="00777AE7" w:rsidRPr="00B95A0E" w:rsidRDefault="00777AE7" w:rsidP="00777AE7">
            <w:pPr>
              <w:spacing w:before="60" w:after="60"/>
              <w:rPr>
                <w:rFonts w:cstheme="minorHAnsi"/>
                <w:sz w:val="21"/>
                <w:szCs w:val="21"/>
              </w:rPr>
            </w:pPr>
            <w:r>
              <w:rPr>
                <w:rFonts w:cstheme="minorHAnsi"/>
                <w:sz w:val="21"/>
                <w:szCs w:val="21"/>
              </w:rPr>
              <w:t xml:space="preserve">Scant ability to collect, analyse and use </w:t>
            </w:r>
            <w:r w:rsidRPr="00B95A0E">
              <w:rPr>
                <w:rFonts w:cstheme="minorHAnsi"/>
                <w:sz w:val="21"/>
                <w:szCs w:val="21"/>
              </w:rPr>
              <w:t>judicial and court administration data for diagnosis (problem identification) and treatment (local dev</w:t>
            </w:r>
            <w:r>
              <w:rPr>
                <w:rFonts w:cstheme="minorHAnsi"/>
                <w:sz w:val="21"/>
                <w:szCs w:val="21"/>
              </w:rPr>
              <w:t>elopment plans).  There is no performance</w:t>
            </w:r>
            <w:r w:rsidRPr="00B95A0E">
              <w:rPr>
                <w:rFonts w:cstheme="minorHAnsi"/>
                <w:sz w:val="21"/>
                <w:szCs w:val="21"/>
              </w:rPr>
              <w:t xml:space="preserve"> baseline data utilising a common set of indicators</w:t>
            </w:r>
            <w:r>
              <w:rPr>
                <w:rFonts w:cstheme="minorHAnsi"/>
                <w:sz w:val="21"/>
                <w:szCs w:val="21"/>
              </w:rPr>
              <w:t>,</w:t>
            </w:r>
            <w:r>
              <w:rPr>
                <w:rFonts w:cstheme="minorHAnsi"/>
                <w:sz w:val="21"/>
                <w:szCs w:val="21"/>
                <w:lang w:val="en-AU"/>
              </w:rPr>
              <w:t xml:space="preserve"> no</w:t>
            </w:r>
            <w:r>
              <w:rPr>
                <w:rFonts w:cstheme="minorHAnsi"/>
                <w:sz w:val="21"/>
                <w:szCs w:val="21"/>
              </w:rPr>
              <w:t xml:space="preserve"> </w:t>
            </w:r>
            <w:r w:rsidRPr="00B95A0E">
              <w:rPr>
                <w:rFonts w:cstheme="minorHAnsi"/>
                <w:sz w:val="21"/>
                <w:szCs w:val="21"/>
              </w:rPr>
              <w:t>regional strategy or</w:t>
            </w:r>
            <w:r>
              <w:rPr>
                <w:rFonts w:cstheme="minorHAnsi"/>
                <w:sz w:val="21"/>
                <w:szCs w:val="21"/>
              </w:rPr>
              <w:t xml:space="preserve"> local development plans</w:t>
            </w:r>
            <w:r w:rsidRPr="00B95A0E">
              <w:rPr>
                <w:rFonts w:cstheme="minorHAnsi"/>
                <w:sz w:val="21"/>
                <w:szCs w:val="21"/>
              </w:rPr>
              <w:t xml:space="preserve"> to i</w:t>
            </w:r>
            <w:r>
              <w:rPr>
                <w:rFonts w:cstheme="minorHAnsi"/>
                <w:sz w:val="21"/>
                <w:szCs w:val="21"/>
              </w:rPr>
              <w:t>mprove court operations</w:t>
            </w:r>
            <w:r w:rsidRPr="00B95A0E">
              <w:rPr>
                <w:rFonts w:cstheme="minorHAnsi"/>
                <w:sz w:val="21"/>
                <w:szCs w:val="21"/>
              </w:rPr>
              <w:t>.</w:t>
            </w:r>
          </w:p>
        </w:tc>
      </w:tr>
    </w:tbl>
    <w:p w14:paraId="3AD29ABC" w14:textId="77777777" w:rsidR="00777AE7" w:rsidRDefault="00777AE7" w:rsidP="00777AE7">
      <w:pPr>
        <w:tabs>
          <w:tab w:val="left" w:pos="2340"/>
        </w:tabs>
        <w:spacing w:before="240" w:after="120"/>
      </w:pPr>
      <w:r>
        <w:t>By 2015, PJDP was able to report that courts were administering justice better; contributing to improvements to the quality of society and human wellbeing in the region. These improvements were assessed on the basis of quantitative court performance data and qualitative surveying of court actors and users across the region.</w:t>
      </w:r>
    </w:p>
    <w:p w14:paraId="3C86E089" w14:textId="77777777" w:rsidR="00777AE7" w:rsidRDefault="00777AE7" w:rsidP="00777AE7">
      <w:pPr>
        <w:tabs>
          <w:tab w:val="left" w:pos="2340"/>
        </w:tabs>
        <w:spacing w:before="120" w:after="120"/>
      </w:pPr>
      <w:r w:rsidRPr="00E157E5">
        <w:rPr>
          <w:b/>
          <w:i/>
        </w:rPr>
        <w:t>Citizens Live in Fairer Societies with Better Access to Justice</w:t>
      </w:r>
      <w:r>
        <w:t xml:space="preserve"> - more empowered to access and use the courts to redress injustice, the courts are more responsive to the needs of the public seeking justice. </w:t>
      </w:r>
      <w:r w:rsidRPr="00E157E5">
        <w:t>Two-thirds (67</w:t>
      </w:r>
      <w:r>
        <w:t>%) of court users experience im</w:t>
      </w:r>
      <w:r w:rsidRPr="00E157E5">
        <w:t>provements in performance.  85% of court act</w:t>
      </w:r>
      <w:r>
        <w:t>ors indicate PJDP assisted co</w:t>
      </w:r>
      <w:r w:rsidRPr="00E157E5">
        <w:t>urts be more responsive to community needs</w:t>
      </w:r>
      <w:r>
        <w:t xml:space="preserve"> </w:t>
      </w:r>
    </w:p>
    <w:p w14:paraId="1D60B120" w14:textId="77777777" w:rsidR="00777AE7" w:rsidRDefault="00777AE7" w:rsidP="00777AE7">
      <w:pPr>
        <w:tabs>
          <w:tab w:val="left" w:pos="2340"/>
        </w:tabs>
        <w:spacing w:before="120" w:after="120"/>
      </w:pPr>
      <w:r w:rsidRPr="00E157E5">
        <w:rPr>
          <w:b/>
          <w:i/>
        </w:rPr>
        <w:t>Judicial Leaders are Directing the Delivery of More Substantive Justice Outcomes</w:t>
      </w:r>
      <w:r>
        <w:t xml:space="preserve"> - Courts are more proactively managing improvements with Chief Justices networking across the region to drive, plan and administer justice locally. 94% of court actors agree their peers are more competent in their roles. 81% of court users experience improvement competence and reliability of court services.</w:t>
      </w:r>
    </w:p>
    <w:p w14:paraId="2177EBCC" w14:textId="77777777" w:rsidR="00777AE7" w:rsidRDefault="00777AE7" w:rsidP="00777AE7">
      <w:pPr>
        <w:tabs>
          <w:tab w:val="left" w:pos="2340"/>
        </w:tabs>
        <w:spacing w:before="120" w:after="120"/>
      </w:pPr>
      <w:r w:rsidRPr="00E157E5">
        <w:rPr>
          <w:b/>
          <w:i/>
        </w:rPr>
        <w:t>Public is Enabled to Demand Judicial Integrity, Transparency and Accountability</w:t>
      </w:r>
      <w:r>
        <w:t xml:space="preserve"> - improvements in professionalism, integrity and conduct have built public trust in the courts. The 15 ‘Cook Island Performance Indicators’ and regular annual reporting equip courts and the public with knowledge and capacity to drive continuing improvements in judicial quality. 77% of court users </w:t>
      </w:r>
      <w:r w:rsidRPr="00E157E5">
        <w:t>experience im</w:t>
      </w:r>
      <w:r>
        <w:t>provements in th</w:t>
      </w:r>
      <w:r w:rsidRPr="00E157E5">
        <w:t>e standard of judicial integrity and conduct. 12 PICs regularly publishing Annual Court Reports, up from 2 PICs in 2010.</w:t>
      </w:r>
      <w:r>
        <w:t xml:space="preserve"> </w:t>
      </w:r>
    </w:p>
    <w:p w14:paraId="109DBC6A" w14:textId="77777777" w:rsidR="00777AE7" w:rsidRDefault="00777AE7" w:rsidP="00DB4FDD">
      <w:pPr>
        <w:tabs>
          <w:tab w:val="left" w:pos="2340"/>
        </w:tabs>
        <w:spacing w:before="120" w:after="120"/>
      </w:pPr>
      <w:r w:rsidRPr="001B2E00">
        <w:rPr>
          <w:b/>
          <w:i/>
        </w:rPr>
        <w:lastRenderedPageBreak/>
        <w:t xml:space="preserve">Courts Administer and Deliver Justice More Efficiently </w:t>
      </w:r>
      <w:r>
        <w:t>- Courts are increasingly disposing of cases and reducing backlogs according to established time standards.  Improved efficiency, and public awareness of this, is strengthening public trust and consolidating confidence in courts. 68% of court users experience improvements in efficiency, transparency and accountability. 96% of court actors report improvements in time standards and/or case disposal rates.</w:t>
      </w:r>
    </w:p>
    <w:p w14:paraId="0E51F70B" w14:textId="77777777" w:rsidR="00777AE7" w:rsidRDefault="00777AE7" w:rsidP="00DB4FDD">
      <w:pPr>
        <w:tabs>
          <w:tab w:val="left" w:pos="2340"/>
        </w:tabs>
        <w:spacing w:before="120" w:after="120"/>
      </w:pPr>
      <w:r w:rsidRPr="001B2E00">
        <w:rPr>
          <w:b/>
          <w:i/>
        </w:rPr>
        <w:t>Continuing Improvements are Transforming Court Performance</w:t>
      </w:r>
      <w:r>
        <w:t xml:space="preserve"> - Courts are more able to build capacity through experienced local trainers conducting sustainable judicial development across the region. 84% of court actors report courts are managing their development more effectively. 69 locally-led activities designed and de livered by PJDP-certified trainers.</w:t>
      </w:r>
    </w:p>
    <w:p w14:paraId="16EC0E52" w14:textId="77777777" w:rsidR="00777AE7" w:rsidRDefault="00777AE7">
      <w:pPr>
        <w:rPr>
          <w:rFonts w:ascii="Calibri" w:eastAsiaTheme="majorEastAsia" w:hAnsi="Calibri" w:cstheme="majorBidi"/>
          <w:b/>
          <w:bCs/>
          <w:color w:val="00323E" w:themeColor="accent1" w:themeShade="80"/>
          <w:sz w:val="28"/>
          <w:szCs w:val="28"/>
          <w:lang w:val="en-AU"/>
        </w:rPr>
      </w:pPr>
      <w:r>
        <w:rPr>
          <w:color w:val="00323E" w:themeColor="accent1" w:themeShade="80"/>
          <w:lang w:val="en-AU"/>
        </w:rPr>
        <w:br w:type="page"/>
      </w:r>
    </w:p>
    <w:p w14:paraId="09CD873E" w14:textId="19650603" w:rsidR="00732939" w:rsidRPr="00F34A39" w:rsidRDefault="00BE2315" w:rsidP="00BC1A90">
      <w:pPr>
        <w:pStyle w:val="HBHeading1"/>
        <w:spacing w:before="0"/>
        <w:rPr>
          <w:color w:val="00323E" w:themeColor="accent1" w:themeShade="80"/>
          <w:lang w:val="en-AU"/>
        </w:rPr>
      </w:pPr>
      <w:bookmarkStart w:id="46" w:name="_Toc77423624"/>
      <w:bookmarkStart w:id="47" w:name="_Toc90564319"/>
      <w:r w:rsidRPr="00F34A39">
        <w:rPr>
          <w:rFonts w:cstheme="minorHAnsi"/>
          <w:noProof/>
          <w:sz w:val="22"/>
          <w:szCs w:val="22"/>
          <w:lang w:val="en-AU"/>
        </w:rPr>
        <w:lastRenderedPageBreak/>
        <w:drawing>
          <wp:anchor distT="0" distB="0" distL="114300" distR="114300" simplePos="0" relativeHeight="251613696" behindDoc="1" locked="0" layoutInCell="1" allowOverlap="1" wp14:anchorId="216E3E44" wp14:editId="7FDB3DF2">
            <wp:simplePos x="0" y="0"/>
            <wp:positionH relativeFrom="margin">
              <wp:align>right</wp:align>
            </wp:positionH>
            <wp:positionV relativeFrom="paragraph">
              <wp:posOffset>255270</wp:posOffset>
            </wp:positionV>
            <wp:extent cx="5817600" cy="720000"/>
            <wp:effectExtent l="0" t="0" r="12065" b="4445"/>
            <wp:wrapSquare wrapText="bothSides"/>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4" r:lo="rId185" r:qs="rId186" r:cs="rId187"/>
              </a:graphicData>
            </a:graphic>
            <wp14:sizeRelH relativeFrom="margin">
              <wp14:pctWidth>0</wp14:pctWidth>
            </wp14:sizeRelH>
            <wp14:sizeRelV relativeFrom="margin">
              <wp14:pctHeight>0</wp14:pctHeight>
            </wp14:sizeRelV>
          </wp:anchor>
        </w:drawing>
      </w:r>
      <w:r w:rsidR="008374C9">
        <w:rPr>
          <w:color w:val="00323E" w:themeColor="accent1" w:themeShade="80"/>
          <w:lang w:val="en-AU"/>
        </w:rPr>
        <w:t xml:space="preserve">Annex </w:t>
      </w:r>
      <w:r w:rsidR="00C16A8C">
        <w:rPr>
          <w:color w:val="00323E" w:themeColor="accent1" w:themeShade="80"/>
          <w:lang w:val="en-AU"/>
        </w:rPr>
        <w:t>Six</w:t>
      </w:r>
      <w:r w:rsidR="008374C9">
        <w:rPr>
          <w:color w:val="00323E" w:themeColor="accent1" w:themeShade="80"/>
          <w:lang w:val="en-AU"/>
        </w:rPr>
        <w:t xml:space="preserve">: </w:t>
      </w:r>
      <w:r w:rsidR="00732939" w:rsidRPr="00F34A39">
        <w:rPr>
          <w:color w:val="00323E" w:themeColor="accent1" w:themeShade="80"/>
          <w:lang w:val="en-AU"/>
        </w:rPr>
        <w:t>Mid-Term Results</w:t>
      </w:r>
      <w:bookmarkEnd w:id="43"/>
      <w:bookmarkEnd w:id="46"/>
      <w:bookmarkEnd w:id="47"/>
    </w:p>
    <w:p w14:paraId="47F72998" w14:textId="71F3D7B3" w:rsidR="00732939" w:rsidRPr="00F34A39" w:rsidRDefault="00BE2315" w:rsidP="00732939">
      <w:pPr>
        <w:pStyle w:val="ListBullet"/>
        <w:numPr>
          <w:ilvl w:val="0"/>
          <w:numId w:val="0"/>
        </w:numPr>
        <w:tabs>
          <w:tab w:val="left" w:pos="720"/>
        </w:tabs>
        <w:spacing w:line="240" w:lineRule="auto"/>
        <w:rPr>
          <w:rFonts w:asciiTheme="minorHAnsi" w:hAnsiTheme="minorHAnsi"/>
          <w:sz w:val="22"/>
          <w:szCs w:val="22"/>
          <w:lang w:val="en-AU"/>
        </w:rPr>
      </w:pPr>
      <w:r w:rsidRPr="00F34A39">
        <w:rPr>
          <w:noProof/>
          <w:lang w:val="en-AU" w:eastAsia="en-AU" w:bidi="ar-SA"/>
        </w:rPr>
        <w:drawing>
          <wp:anchor distT="0" distB="0" distL="114300" distR="114300" simplePos="0" relativeHeight="251614720" behindDoc="1" locked="0" layoutInCell="1" allowOverlap="1" wp14:anchorId="3FCD3EA6" wp14:editId="2C7EB26E">
            <wp:simplePos x="0" y="0"/>
            <wp:positionH relativeFrom="margin">
              <wp:align>right</wp:align>
            </wp:positionH>
            <wp:positionV relativeFrom="paragraph">
              <wp:posOffset>2028190</wp:posOffset>
            </wp:positionV>
            <wp:extent cx="5817600" cy="720000"/>
            <wp:effectExtent l="0" t="0" r="12065" b="4445"/>
            <wp:wrapSquare wrapText="bothSides"/>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9" r:lo="rId190" r:qs="rId191" r:cs="rId192"/>
              </a:graphicData>
            </a:graphic>
            <wp14:sizeRelH relativeFrom="margin">
              <wp14:pctWidth>0</wp14:pctWidth>
            </wp14:sizeRelH>
            <wp14:sizeRelV relativeFrom="margin">
              <wp14:pctHeight>0</wp14:pctHeight>
            </wp14:sizeRelV>
          </wp:anchor>
        </w:drawing>
      </w:r>
      <w:r w:rsidR="00732939" w:rsidRPr="00F34A39">
        <w:rPr>
          <w:rFonts w:asciiTheme="minorHAnsi" w:hAnsiTheme="minorHAnsi"/>
          <w:sz w:val="22"/>
          <w:szCs w:val="22"/>
          <w:lang w:val="en-AU"/>
        </w:rPr>
        <w:t xml:space="preserve">Leadership fora, guidance, meetings and grants through the Leadership Incentive Fund (LIF) continued to promote collegiality and sharing between </w:t>
      </w:r>
      <w:r w:rsidR="00E70C59" w:rsidRPr="00F34A39">
        <w:rPr>
          <w:rFonts w:asciiTheme="minorHAnsi" w:hAnsiTheme="minorHAnsi"/>
          <w:sz w:val="22"/>
          <w:szCs w:val="22"/>
          <w:lang w:val="en-AU"/>
        </w:rPr>
        <w:t>Partner Courts</w:t>
      </w:r>
      <w:r w:rsidR="00732939" w:rsidRPr="00F34A39">
        <w:rPr>
          <w:rFonts w:asciiTheme="minorHAnsi" w:hAnsiTheme="minorHAnsi"/>
          <w:sz w:val="22"/>
          <w:szCs w:val="22"/>
          <w:lang w:val="en-AU"/>
        </w:rPr>
        <w:t>. Reportedly</w:t>
      </w:r>
      <w:r w:rsidR="00732939" w:rsidRPr="00F34A39">
        <w:rPr>
          <w:rStyle w:val="FootnoteReference"/>
          <w:rFonts w:asciiTheme="minorHAnsi" w:hAnsiTheme="minorHAnsi"/>
          <w:sz w:val="22"/>
          <w:szCs w:val="22"/>
          <w:lang w:val="en-AU"/>
        </w:rPr>
        <w:footnoteReference w:id="21"/>
      </w:r>
      <w:r w:rsidR="00732939" w:rsidRPr="00F34A39">
        <w:rPr>
          <w:rFonts w:asciiTheme="minorHAnsi" w:hAnsiTheme="minorHAnsi"/>
          <w:sz w:val="22"/>
          <w:szCs w:val="22"/>
          <w:lang w:val="en-AU"/>
        </w:rPr>
        <w:t xml:space="preserve"> and evidently, this also promoted consistent, incremental improvement in </w:t>
      </w:r>
      <w:r w:rsidR="00E70C59" w:rsidRPr="00F34A39">
        <w:rPr>
          <w:rFonts w:asciiTheme="minorHAnsi" w:hAnsiTheme="minorHAnsi"/>
          <w:sz w:val="22"/>
          <w:szCs w:val="22"/>
          <w:lang w:val="en-AU"/>
        </w:rPr>
        <w:t>Partner Courts</w:t>
      </w:r>
      <w:r w:rsidR="00E70C59" w:rsidRPr="00F34A39" w:rsidDel="00FA7421">
        <w:rPr>
          <w:rFonts w:asciiTheme="minorHAnsi" w:hAnsiTheme="minorHAnsi"/>
          <w:sz w:val="22"/>
          <w:szCs w:val="22"/>
          <w:lang w:val="en-AU"/>
        </w:rPr>
        <w:t xml:space="preserve"> </w:t>
      </w:r>
      <w:r w:rsidR="00732939" w:rsidRPr="00F34A39">
        <w:rPr>
          <w:rFonts w:asciiTheme="minorHAnsi" w:hAnsiTheme="minorHAnsi"/>
          <w:sz w:val="22"/>
          <w:szCs w:val="22"/>
          <w:lang w:val="en-AU"/>
        </w:rPr>
        <w:t>capacity to conceive of, design, deliver, evaluate and manage activities lo</w:t>
      </w:r>
      <w:r w:rsidR="00732939" w:rsidRPr="00E47089">
        <w:rPr>
          <w:rFonts w:asciiTheme="minorHAnsi" w:hAnsiTheme="minorHAnsi"/>
          <w:sz w:val="22"/>
          <w:szCs w:val="22"/>
          <w:lang w:val="en-AU"/>
        </w:rPr>
        <w:t>cally. This was evidenced by a 131% increase in approved LIF applications since 2016 and significant reductions in support needed from the PJSI Team to design and manage activities. The objectives of 85% of LIF activities were being achieved along with more and stronger partnerships with other justice and cross-sectoral agencies was yielding beneficial results for courts and court users.</w:t>
      </w:r>
      <w:r w:rsidR="00732939" w:rsidRPr="00E47089">
        <w:rPr>
          <w:rStyle w:val="FootnoteReference"/>
          <w:rFonts w:asciiTheme="minorHAnsi" w:hAnsiTheme="minorHAnsi"/>
          <w:sz w:val="22"/>
          <w:szCs w:val="22"/>
          <w:lang w:val="en-AU"/>
        </w:rPr>
        <w:footnoteReference w:id="22"/>
      </w:r>
      <w:r w:rsidR="00732939" w:rsidRPr="00F34A39">
        <w:rPr>
          <w:rFonts w:asciiTheme="minorHAnsi" w:hAnsiTheme="minorHAnsi"/>
          <w:sz w:val="22"/>
          <w:szCs w:val="22"/>
          <w:lang w:val="en-AU"/>
        </w:rPr>
        <w:t xml:space="preserve"> </w:t>
      </w:r>
    </w:p>
    <w:p w14:paraId="30DBFDBD" w14:textId="48048F22" w:rsidR="00732939" w:rsidRPr="00F34A39" w:rsidRDefault="00732939" w:rsidP="00D82C96">
      <w:pPr>
        <w:spacing w:before="120" w:after="100" w:afterAutospacing="1"/>
        <w:rPr>
          <w:sz w:val="22"/>
          <w:szCs w:val="22"/>
          <w:lang w:val="en-AU"/>
        </w:rPr>
      </w:pPr>
      <w:r w:rsidRPr="00F34A39">
        <w:rPr>
          <w:sz w:val="22"/>
          <w:szCs w:val="22"/>
          <w:lang w:val="en-AU"/>
        </w:rPr>
        <w:t xml:space="preserve">PJSI collaborated with 123 court staff in four </w:t>
      </w:r>
      <w:r w:rsidR="001F0971" w:rsidRPr="00F34A39">
        <w:rPr>
          <w:sz w:val="22"/>
          <w:szCs w:val="22"/>
          <w:lang w:val="en-AU"/>
        </w:rPr>
        <w:t>Partner Courts</w:t>
      </w:r>
      <w:r w:rsidR="001F0971" w:rsidRPr="00F34A39" w:rsidDel="00FA7421">
        <w:rPr>
          <w:sz w:val="22"/>
          <w:szCs w:val="22"/>
          <w:lang w:val="en-AU"/>
        </w:rPr>
        <w:t xml:space="preserve"> </w:t>
      </w:r>
      <w:r w:rsidRPr="00F34A39">
        <w:rPr>
          <w:sz w:val="22"/>
          <w:szCs w:val="22"/>
          <w:lang w:val="en-AU"/>
        </w:rPr>
        <w:t xml:space="preserve">(Vanuatu, FSM, Cook Islands and RMI) to promote understanding and confidence among those vulnerable groups, particularly those outside urban centres. All participants were trained in the content and application of the Enabling Rights Toolkit, which FSM has also translated into four other languages and socialised across those locations.  Approximately 1,200 prospective court users were consulted in Vanuatu and Kiribati and informed of their rights and how to access them. As a result, Courts better understood these users’ informational and access needs. Five </w:t>
      </w:r>
      <w:r w:rsidR="001F0971" w:rsidRPr="00F34A39">
        <w:rPr>
          <w:sz w:val="22"/>
          <w:szCs w:val="22"/>
          <w:lang w:val="en-AU"/>
        </w:rPr>
        <w:t>Partner Courts</w:t>
      </w:r>
      <w:r w:rsidR="001F0971" w:rsidRPr="00F34A39" w:rsidDel="00FA7421">
        <w:rPr>
          <w:sz w:val="22"/>
          <w:szCs w:val="22"/>
          <w:lang w:val="en-AU"/>
        </w:rPr>
        <w:t xml:space="preserve"> </w:t>
      </w:r>
      <w:r w:rsidRPr="00F34A39">
        <w:rPr>
          <w:sz w:val="22"/>
          <w:szCs w:val="22"/>
          <w:lang w:val="en-AU"/>
        </w:rPr>
        <w:t xml:space="preserve">(as above, plus Kiribati) developed and/or were implementing a number of strategies to promote outreach and education.   </w:t>
      </w:r>
    </w:p>
    <w:p w14:paraId="02A20A57" w14:textId="77777777" w:rsidR="00732939" w:rsidRPr="00F34A39" w:rsidRDefault="00732939" w:rsidP="00732939">
      <w:pPr>
        <w:spacing w:before="120" w:after="120"/>
        <w:rPr>
          <w:sz w:val="22"/>
          <w:szCs w:val="22"/>
          <w:lang w:val="en-AU"/>
        </w:rPr>
      </w:pPr>
      <w:r w:rsidRPr="00F34A39">
        <w:rPr>
          <w:sz w:val="22"/>
          <w:szCs w:val="22"/>
          <w:lang w:val="en-AU"/>
        </w:rPr>
        <w:t xml:space="preserve">This includes the formation of court stakeholder committees, court user forums, and community information sessions. Officers were also taking responsibility for building awareness about access to justice and human rights among communities. Court referral lists were being developed/updated and staff were beginning to be held accountable for being available to the public, giving equal time and respect to women and children court users. Officers were also better assisting people from remote area to complete their business at the court quickly, and supporting people with disabilities including visiting them at home; making special arrangements to attend court; and ensuring they follow and understand court proceedings.  </w:t>
      </w:r>
    </w:p>
    <w:p w14:paraId="1D735472" w14:textId="24801E2A" w:rsidR="00732939" w:rsidRPr="00F34A39" w:rsidRDefault="00732939" w:rsidP="00732939">
      <w:pPr>
        <w:spacing w:before="120" w:after="120"/>
        <w:rPr>
          <w:sz w:val="22"/>
          <w:szCs w:val="22"/>
          <w:lang w:val="en-AU"/>
        </w:rPr>
      </w:pPr>
      <w:r w:rsidRPr="00F34A39">
        <w:rPr>
          <w:sz w:val="22"/>
          <w:szCs w:val="22"/>
          <w:lang w:val="en-AU"/>
        </w:rPr>
        <w:t xml:space="preserve">Through PJSI’s promotion of the availability of fee waivers and legal aid: 12 </w:t>
      </w:r>
      <w:r w:rsidR="001F0971" w:rsidRPr="00F34A39">
        <w:rPr>
          <w:sz w:val="22"/>
          <w:szCs w:val="22"/>
          <w:lang w:val="en-AU"/>
        </w:rPr>
        <w:t>Partner Courts</w:t>
      </w:r>
      <w:r w:rsidR="001F0971" w:rsidRPr="00F34A39" w:rsidDel="00FA7421">
        <w:rPr>
          <w:sz w:val="22"/>
          <w:szCs w:val="22"/>
          <w:lang w:val="en-AU"/>
        </w:rPr>
        <w:t xml:space="preserve"> </w:t>
      </w:r>
      <w:r w:rsidRPr="00F34A39">
        <w:rPr>
          <w:sz w:val="22"/>
          <w:szCs w:val="22"/>
          <w:lang w:val="en-AU"/>
        </w:rPr>
        <w:t xml:space="preserve">were presenting data on the percentage of civil cases that were granted a court fee waiver. Three </w:t>
      </w:r>
      <w:r w:rsidR="001F0971" w:rsidRPr="00F34A39">
        <w:rPr>
          <w:sz w:val="22"/>
          <w:szCs w:val="22"/>
          <w:lang w:val="en-AU"/>
        </w:rPr>
        <w:t>Partner Courts</w:t>
      </w:r>
      <w:r w:rsidR="001F0971" w:rsidRPr="00F34A39" w:rsidDel="00FA7421">
        <w:rPr>
          <w:sz w:val="22"/>
          <w:szCs w:val="22"/>
          <w:lang w:val="en-AU"/>
        </w:rPr>
        <w:t xml:space="preserve"> </w:t>
      </w:r>
      <w:r w:rsidRPr="00F34A39">
        <w:rPr>
          <w:sz w:val="22"/>
          <w:szCs w:val="22"/>
          <w:lang w:val="en-AU"/>
        </w:rPr>
        <w:t xml:space="preserve">presented this data in 2011. In 2018, eight </w:t>
      </w:r>
      <w:r w:rsidR="001F0971" w:rsidRPr="00F34A39">
        <w:rPr>
          <w:sz w:val="22"/>
          <w:szCs w:val="22"/>
          <w:lang w:val="en-AU"/>
        </w:rPr>
        <w:t>Partner Courts</w:t>
      </w:r>
      <w:r w:rsidR="001F0971" w:rsidRPr="00F34A39" w:rsidDel="00FA7421">
        <w:rPr>
          <w:sz w:val="22"/>
          <w:szCs w:val="22"/>
          <w:lang w:val="en-AU"/>
        </w:rPr>
        <w:t xml:space="preserve"> </w:t>
      </w:r>
      <w:r w:rsidRPr="00F34A39">
        <w:rPr>
          <w:sz w:val="22"/>
          <w:szCs w:val="22"/>
          <w:lang w:val="en-AU"/>
        </w:rPr>
        <w:t xml:space="preserve">calculate percentage of legal aid cases up from two Courts in 2011. </w:t>
      </w:r>
    </w:p>
    <w:p w14:paraId="15237AAB" w14:textId="1B509B6A" w:rsidR="00732939" w:rsidRPr="00F34A39" w:rsidRDefault="00732939" w:rsidP="00732939">
      <w:pPr>
        <w:spacing w:before="120" w:after="120"/>
        <w:rPr>
          <w:sz w:val="22"/>
          <w:szCs w:val="22"/>
          <w:lang w:val="en-AU"/>
        </w:rPr>
      </w:pPr>
      <w:r w:rsidRPr="00F34A39">
        <w:rPr>
          <w:sz w:val="22"/>
          <w:szCs w:val="22"/>
          <w:lang w:val="en-AU"/>
        </w:rPr>
        <w:t>PJSI strengthened the competence of 266 judicial and court officers. Increases in competence were reportedly producing visible and positive improvements in professionalism.</w:t>
      </w:r>
      <w:r w:rsidRPr="00F34A39">
        <w:rPr>
          <w:rStyle w:val="FootnoteReference"/>
          <w:sz w:val="22"/>
          <w:szCs w:val="22"/>
          <w:lang w:val="en-AU"/>
        </w:rPr>
        <w:footnoteReference w:id="23"/>
      </w:r>
      <w:r w:rsidRPr="00F34A39">
        <w:rPr>
          <w:sz w:val="22"/>
          <w:szCs w:val="22"/>
          <w:lang w:val="en-AU"/>
        </w:rPr>
        <w:t xml:space="preserve">   </w:t>
      </w:r>
    </w:p>
    <w:p w14:paraId="0D25A7A0" w14:textId="7E66DF36" w:rsidR="00732939" w:rsidRPr="00F34A39" w:rsidRDefault="00BE2315" w:rsidP="00732939">
      <w:pPr>
        <w:spacing w:before="120" w:after="120"/>
        <w:rPr>
          <w:sz w:val="22"/>
          <w:szCs w:val="22"/>
          <w:lang w:val="en-AU"/>
        </w:rPr>
      </w:pPr>
      <w:r w:rsidRPr="00F34A39">
        <w:rPr>
          <w:noProof/>
          <w:lang w:val="en-AU"/>
        </w:rPr>
        <w:lastRenderedPageBreak/>
        <w:drawing>
          <wp:anchor distT="0" distB="0" distL="114300" distR="114300" simplePos="0" relativeHeight="251615744" behindDoc="1" locked="0" layoutInCell="1" allowOverlap="1" wp14:anchorId="701296D9" wp14:editId="49C936A1">
            <wp:simplePos x="0" y="0"/>
            <wp:positionH relativeFrom="margin">
              <wp:align>right</wp:align>
            </wp:positionH>
            <wp:positionV relativeFrom="paragraph">
              <wp:posOffset>9525</wp:posOffset>
            </wp:positionV>
            <wp:extent cx="5817600" cy="720000"/>
            <wp:effectExtent l="0" t="0" r="12065" b="4445"/>
            <wp:wrapSquare wrapText="bothSides"/>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4" r:lo="rId195" r:qs="rId196" r:cs="rId197"/>
              </a:graphicData>
            </a:graphic>
            <wp14:sizeRelH relativeFrom="margin">
              <wp14:pctWidth>0</wp14:pctWidth>
            </wp14:sizeRelH>
            <wp14:sizeRelV relativeFrom="margin">
              <wp14:pctHeight>0</wp14:pctHeight>
            </wp14:sizeRelV>
          </wp:anchor>
        </w:drawing>
      </w:r>
      <w:r w:rsidR="00732939" w:rsidRPr="00F34A39">
        <w:rPr>
          <w:sz w:val="22"/>
          <w:szCs w:val="22"/>
          <w:lang w:val="en-AU"/>
        </w:rPr>
        <w:t xml:space="preserve">PJSI also continued to build capacity for training to be conducted by local/regional trainers. Among the 123 qualified trainers across all </w:t>
      </w:r>
      <w:r w:rsidR="001F0971" w:rsidRPr="00F34A39">
        <w:rPr>
          <w:sz w:val="22"/>
          <w:szCs w:val="22"/>
          <w:lang w:val="en-AU"/>
        </w:rPr>
        <w:t>Partner Courts</w:t>
      </w:r>
      <w:r w:rsidR="00732939" w:rsidRPr="00F34A39">
        <w:rPr>
          <w:sz w:val="22"/>
          <w:szCs w:val="22"/>
          <w:lang w:val="en-AU"/>
        </w:rPr>
        <w:t xml:space="preserve">, the quality of local training varied. Anecdotal evidence suggested that trainers were more capably addressing competence needs than before, but PJSI recognised that while excellent capacity exists in several </w:t>
      </w:r>
      <w:r w:rsidR="001F0971" w:rsidRPr="00F34A39">
        <w:rPr>
          <w:sz w:val="22"/>
          <w:szCs w:val="22"/>
          <w:lang w:val="en-AU"/>
        </w:rPr>
        <w:t>Partner Courts</w:t>
      </w:r>
      <w:r w:rsidR="00732939" w:rsidRPr="00F34A39">
        <w:rPr>
          <w:sz w:val="22"/>
          <w:szCs w:val="22"/>
          <w:lang w:val="en-AU"/>
        </w:rPr>
        <w:t xml:space="preserve">, capacity elsewhere remained nascent. </w:t>
      </w:r>
    </w:p>
    <w:p w14:paraId="789C4CC2" w14:textId="1E24A1E1" w:rsidR="00732939" w:rsidRPr="00F34A39" w:rsidRDefault="00944A7E" w:rsidP="00732939">
      <w:pPr>
        <w:spacing w:before="120" w:after="100" w:afterAutospacing="1"/>
        <w:rPr>
          <w:sz w:val="22"/>
          <w:szCs w:val="22"/>
          <w:lang w:val="en-AU"/>
        </w:rPr>
      </w:pPr>
      <w:r w:rsidRPr="00F34A39">
        <w:rPr>
          <w:noProof/>
          <w:lang w:val="en-AU"/>
        </w:rPr>
        <w:drawing>
          <wp:anchor distT="0" distB="0" distL="114300" distR="114300" simplePos="0" relativeHeight="251616768" behindDoc="1" locked="0" layoutInCell="1" allowOverlap="1" wp14:anchorId="5A050C1F" wp14:editId="7A45420A">
            <wp:simplePos x="0" y="0"/>
            <wp:positionH relativeFrom="margin">
              <wp:align>center</wp:align>
            </wp:positionH>
            <wp:positionV relativeFrom="paragraph">
              <wp:posOffset>1196340</wp:posOffset>
            </wp:positionV>
            <wp:extent cx="5817235" cy="719455"/>
            <wp:effectExtent l="0" t="0" r="88265" b="4445"/>
            <wp:wrapSquare wrapText="bothSides"/>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9" r:lo="rId200" r:qs="rId201" r:cs="rId202"/>
              </a:graphicData>
            </a:graphic>
            <wp14:sizeRelH relativeFrom="margin">
              <wp14:pctWidth>0</wp14:pctWidth>
            </wp14:sizeRelH>
            <wp14:sizeRelV relativeFrom="margin">
              <wp14:pctHeight>0</wp14:pctHeight>
            </wp14:sizeRelV>
          </wp:anchor>
        </w:drawing>
      </w:r>
      <w:r w:rsidR="00732939" w:rsidRPr="00F34A39">
        <w:rPr>
          <w:sz w:val="22"/>
          <w:szCs w:val="22"/>
          <w:lang w:val="en-AU"/>
        </w:rPr>
        <w:t xml:space="preserve">In addition PJSI supported the development of cost-effective and sustainable in-region professional education for judicial and court officers. The Certificate of Justice was designed, approved and offered to 90 students in its first year, 2018. Assessment of PJSI-supported PNGCJE suggested that subject to funding, the foundations of institutional-capacity had been laid. This capacity however, was both formative and fragile; and did not extend to it being able to provide courses for judicial and court officers across the region. PNG had also not yet confirmed secure funding to the CJE’s operations over the coming years.   </w:t>
      </w:r>
    </w:p>
    <w:p w14:paraId="03707511" w14:textId="3647AB73" w:rsidR="00732939" w:rsidRPr="00F34A39" w:rsidRDefault="00BE2315" w:rsidP="00732939">
      <w:pPr>
        <w:spacing w:before="120" w:after="120"/>
        <w:rPr>
          <w:sz w:val="22"/>
          <w:szCs w:val="22"/>
          <w:lang w:val="en-AU"/>
        </w:rPr>
      </w:pPr>
      <w:r w:rsidRPr="00F34A39">
        <w:rPr>
          <w:noProof/>
          <w:lang w:val="en-AU"/>
        </w:rPr>
        <w:drawing>
          <wp:anchor distT="0" distB="0" distL="114300" distR="114300" simplePos="0" relativeHeight="251617792" behindDoc="1" locked="0" layoutInCell="1" allowOverlap="1" wp14:anchorId="669C54A8" wp14:editId="637848AA">
            <wp:simplePos x="0" y="0"/>
            <wp:positionH relativeFrom="margin">
              <wp:align>right</wp:align>
            </wp:positionH>
            <wp:positionV relativeFrom="paragraph">
              <wp:posOffset>2336800</wp:posOffset>
            </wp:positionV>
            <wp:extent cx="5817600" cy="720000"/>
            <wp:effectExtent l="0" t="0" r="12065" b="4445"/>
            <wp:wrapSquare wrapText="bothSides"/>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4" r:lo="rId205" r:qs="rId206" r:cs="rId207"/>
              </a:graphicData>
            </a:graphic>
            <wp14:sizeRelH relativeFrom="margin">
              <wp14:pctWidth>0</wp14:pctWidth>
            </wp14:sizeRelH>
            <wp14:sizeRelV relativeFrom="margin">
              <wp14:pctHeight>0</wp14:pctHeight>
            </wp14:sizeRelV>
          </wp:anchor>
        </w:drawing>
      </w:r>
      <w:r w:rsidR="00732939" w:rsidRPr="00F34A39">
        <w:rPr>
          <w:sz w:val="22"/>
          <w:szCs w:val="22"/>
          <w:lang w:val="en-AU"/>
        </w:rPr>
        <w:t xml:space="preserve">PJSI challenged the attitudes and values that </w:t>
      </w:r>
      <w:r w:rsidR="00732939" w:rsidRPr="00F34A39">
        <w:rPr>
          <w:rFonts w:eastAsiaTheme="minorEastAsia"/>
          <w:sz w:val="22"/>
          <w:szCs w:val="22"/>
          <w:lang w:val="en-AU" w:eastAsia="ja-JP"/>
        </w:rPr>
        <w:t xml:space="preserve">embedded structural gender discrimination in Pacific societies, including the Courts, and providing training on international, domestic and case law. </w:t>
      </w:r>
      <w:r w:rsidR="00732939" w:rsidRPr="00F34A39">
        <w:rPr>
          <w:sz w:val="22"/>
          <w:szCs w:val="22"/>
          <w:lang w:val="en-AU"/>
        </w:rPr>
        <w:t>PJSI addressed misconceptions about the root causes of gender and family violence, and</w:t>
      </w:r>
      <w:r w:rsidR="00732939" w:rsidRPr="00F34A39">
        <w:rPr>
          <w:rFonts w:eastAsiaTheme="minorEastAsia"/>
          <w:sz w:val="22"/>
          <w:szCs w:val="22"/>
          <w:lang w:val="en-AU" w:eastAsia="ja-JP"/>
        </w:rPr>
        <w:t xml:space="preserve"> fostered more progressive attitudes and approaches, evidenced by the development and implementation of action plans which </w:t>
      </w:r>
      <w:r w:rsidR="00732939" w:rsidRPr="00F34A39">
        <w:rPr>
          <w:sz w:val="22"/>
          <w:szCs w:val="22"/>
          <w:lang w:val="en-AU"/>
        </w:rPr>
        <w:t xml:space="preserve">focused on victims and their safety; perpetrator accountability; preventing harm; and sectoral collaboration. Documented in surveys, interviews and stakeholder meetings, the workshops were catalytic for changed behaviours and 49 procedural changes in four </w:t>
      </w:r>
      <w:r w:rsidR="001F0971" w:rsidRPr="00F34A39">
        <w:rPr>
          <w:sz w:val="22"/>
          <w:szCs w:val="22"/>
          <w:lang w:val="en-AU"/>
        </w:rPr>
        <w:t>Partner Courts</w:t>
      </w:r>
      <w:r w:rsidR="00732939" w:rsidRPr="00F34A39">
        <w:rPr>
          <w:sz w:val="22"/>
          <w:szCs w:val="22"/>
          <w:lang w:val="en-AU"/>
        </w:rPr>
        <w:t xml:space="preserve">.  Several respondents to the Most Significant Change interviews noted attitudinal changes to human rights and GFV cases. This includes awareness, sensitivity, application of appropriate norms and respect for rights, restorative approaches, community outreach and progress tracking. </w:t>
      </w:r>
    </w:p>
    <w:p w14:paraId="7AB9C85B" w14:textId="4114556B" w:rsidR="00732939" w:rsidRPr="00F34A39" w:rsidRDefault="00732939" w:rsidP="00732939">
      <w:pPr>
        <w:spacing w:before="120" w:after="120"/>
        <w:rPr>
          <w:sz w:val="22"/>
          <w:szCs w:val="22"/>
          <w:lang w:val="en-AU"/>
        </w:rPr>
      </w:pPr>
      <w:r w:rsidRPr="00F34A39">
        <w:rPr>
          <w:sz w:val="22"/>
          <w:szCs w:val="22"/>
          <w:lang w:val="en-AU"/>
        </w:rPr>
        <w:t xml:space="preserve">PJSI supported the development and implementation of management and administrative tools and mechanisms to improve efficiency in the disposal of cases among seven </w:t>
      </w:r>
      <w:r w:rsidR="001F0971" w:rsidRPr="00F34A39">
        <w:rPr>
          <w:sz w:val="22"/>
          <w:szCs w:val="22"/>
          <w:lang w:val="en-AU"/>
        </w:rPr>
        <w:t>Partner Courts</w:t>
      </w:r>
      <w:r w:rsidR="001F0971" w:rsidRPr="00F34A39" w:rsidDel="00FA7421">
        <w:rPr>
          <w:sz w:val="22"/>
          <w:szCs w:val="22"/>
          <w:lang w:val="en-AU"/>
        </w:rPr>
        <w:t xml:space="preserve"> </w:t>
      </w:r>
      <w:r w:rsidRPr="00F34A39">
        <w:rPr>
          <w:sz w:val="22"/>
          <w:szCs w:val="22"/>
          <w:lang w:val="en-AU"/>
        </w:rPr>
        <w:t>(Palau, Tokelau, PNG, Nauru</w:t>
      </w:r>
      <w:r w:rsidR="00C93894">
        <w:rPr>
          <w:sz w:val="22"/>
          <w:szCs w:val="22"/>
          <w:lang w:val="en-AU"/>
        </w:rPr>
        <w:t xml:space="preserve">, </w:t>
      </w:r>
      <w:r w:rsidRPr="00F34A39">
        <w:rPr>
          <w:sz w:val="22"/>
          <w:szCs w:val="22"/>
          <w:lang w:val="en-AU"/>
        </w:rPr>
        <w:t xml:space="preserve">Niue, Solomon Islands and FSM). Five </w:t>
      </w:r>
      <w:r w:rsidR="001F0971" w:rsidRPr="00F34A39">
        <w:rPr>
          <w:sz w:val="22"/>
          <w:szCs w:val="22"/>
          <w:lang w:val="en-AU"/>
        </w:rPr>
        <w:t>Partner Courts</w:t>
      </w:r>
      <w:r w:rsidR="001F0971" w:rsidRPr="00F34A39" w:rsidDel="00FA7421">
        <w:rPr>
          <w:sz w:val="22"/>
          <w:szCs w:val="22"/>
          <w:lang w:val="en-AU"/>
        </w:rPr>
        <w:t xml:space="preserve"> </w:t>
      </w:r>
      <w:r w:rsidRPr="00F34A39">
        <w:rPr>
          <w:sz w:val="22"/>
          <w:szCs w:val="22"/>
          <w:lang w:val="en-AU"/>
        </w:rPr>
        <w:t xml:space="preserve">(Palau, Tokelau, PNG, Nauru and Niue) completed an Efficiency Self-Assessment resulting in detailed insight into delay, for the first time, and Improvement Plans, which were to be used to guide ongoing improvements in procedural justice. In two </w:t>
      </w:r>
      <w:r w:rsidR="001F0971" w:rsidRPr="00F34A39">
        <w:rPr>
          <w:sz w:val="22"/>
          <w:szCs w:val="22"/>
          <w:lang w:val="en-AU"/>
        </w:rPr>
        <w:t>Partner Courts</w:t>
      </w:r>
      <w:r w:rsidRPr="00F34A39">
        <w:rPr>
          <w:sz w:val="22"/>
          <w:szCs w:val="22"/>
          <w:lang w:val="en-AU"/>
        </w:rPr>
        <w:t xml:space="preserve"> (RMI, PNG), data system assessments demonstrated the functional and informational gaps between actual and desired data standards; both qualitative and quantitative. In Palau, PJSI developed and installed a data dashboard which transformed efficiency in performance reporting and responses. In FSM and Palau; where the use of video conferencing technology was installed, the pilots indicate significant time, cost and convenience saving made from not transporting judges, officers, parties and witnesses.</w:t>
      </w:r>
    </w:p>
    <w:p w14:paraId="612658DD" w14:textId="17AF5FC4" w:rsidR="00CC7D3B" w:rsidRPr="00F34A39" w:rsidRDefault="00732939" w:rsidP="00BE2315">
      <w:pPr>
        <w:spacing w:before="120" w:after="120"/>
        <w:rPr>
          <w:rFonts w:cstheme="minorHAnsi"/>
          <w:iCs/>
          <w:color w:val="000000"/>
          <w:sz w:val="22"/>
          <w:szCs w:val="22"/>
          <w:lang w:val="en-AU" w:eastAsia="en-GB"/>
        </w:rPr>
      </w:pPr>
      <w:r w:rsidRPr="00F34A39">
        <w:rPr>
          <w:sz w:val="22"/>
          <w:szCs w:val="22"/>
          <w:lang w:val="en-AU"/>
        </w:rPr>
        <w:t>This was complemented by support to internally monitor and evaluate court performance, collecting and externally publishing annual court performance data. The most significant results incl</w:t>
      </w:r>
      <w:r w:rsidR="004560CB">
        <w:rPr>
          <w:sz w:val="22"/>
          <w:szCs w:val="22"/>
          <w:lang w:val="en-AU"/>
        </w:rPr>
        <w:t>uded an increase from two, to 12</w:t>
      </w:r>
      <w:r w:rsidRPr="00F34A39">
        <w:rPr>
          <w:sz w:val="22"/>
          <w:szCs w:val="22"/>
          <w:lang w:val="en-AU"/>
        </w:rPr>
        <w:t xml:space="preserve"> </w:t>
      </w:r>
      <w:r w:rsidR="001F0971" w:rsidRPr="00F34A39">
        <w:rPr>
          <w:sz w:val="22"/>
          <w:szCs w:val="22"/>
          <w:lang w:val="en-AU"/>
        </w:rPr>
        <w:t>Partner Courts</w:t>
      </w:r>
      <w:r w:rsidR="001F0971" w:rsidRPr="00F34A39" w:rsidDel="00FA7421">
        <w:rPr>
          <w:sz w:val="22"/>
          <w:szCs w:val="22"/>
          <w:lang w:val="en-AU"/>
        </w:rPr>
        <w:t xml:space="preserve"> </w:t>
      </w:r>
      <w:r w:rsidRPr="00F34A39">
        <w:rPr>
          <w:sz w:val="22"/>
          <w:szCs w:val="22"/>
          <w:lang w:val="en-AU"/>
        </w:rPr>
        <w:t xml:space="preserve">publishing Annual Reports and an increase from one to 10 </w:t>
      </w:r>
      <w:r w:rsidR="001F0971" w:rsidRPr="00F34A39">
        <w:rPr>
          <w:sz w:val="22"/>
          <w:szCs w:val="22"/>
          <w:lang w:val="en-AU"/>
        </w:rPr>
        <w:t>Partner Courts</w:t>
      </w:r>
      <w:r w:rsidR="001F0971" w:rsidRPr="00F34A39" w:rsidDel="00FA7421">
        <w:rPr>
          <w:sz w:val="22"/>
          <w:szCs w:val="22"/>
          <w:lang w:val="en-AU"/>
        </w:rPr>
        <w:t xml:space="preserve"> </w:t>
      </w:r>
      <w:r w:rsidRPr="00F34A39">
        <w:rPr>
          <w:sz w:val="22"/>
          <w:szCs w:val="22"/>
          <w:lang w:val="en-AU"/>
        </w:rPr>
        <w:t xml:space="preserve">collecting data </w:t>
      </w:r>
      <w:r w:rsidR="00C43B27">
        <w:rPr>
          <w:sz w:val="22"/>
          <w:szCs w:val="22"/>
          <w:lang w:val="en-AU"/>
        </w:rPr>
        <w:t>against</w:t>
      </w:r>
      <w:r w:rsidR="00CB572A" w:rsidRPr="00F34A39">
        <w:rPr>
          <w:sz w:val="22"/>
          <w:szCs w:val="22"/>
          <w:lang w:val="en-AU"/>
        </w:rPr>
        <w:t xml:space="preserve"> 10</w:t>
      </w:r>
      <w:r w:rsidR="00C43B27">
        <w:rPr>
          <w:sz w:val="22"/>
          <w:szCs w:val="22"/>
          <w:lang w:val="en-AU"/>
        </w:rPr>
        <w:t xml:space="preserve"> or more</w:t>
      </w:r>
      <w:r w:rsidR="00BE2315">
        <w:rPr>
          <w:sz w:val="22"/>
          <w:szCs w:val="22"/>
          <w:lang w:val="en-AU"/>
        </w:rPr>
        <w:t xml:space="preserve"> Cook Islands Indicators.</w:t>
      </w:r>
      <w:r w:rsidR="00CC7D3B" w:rsidRPr="00F34A39">
        <w:rPr>
          <w:rFonts w:cstheme="minorHAnsi"/>
          <w:i/>
          <w:sz w:val="22"/>
          <w:szCs w:val="22"/>
          <w:lang w:val="en-AU"/>
        </w:rPr>
        <w:br w:type="page"/>
      </w:r>
    </w:p>
    <w:p w14:paraId="087A252B" w14:textId="3138BF03" w:rsidR="00CC7D3B" w:rsidRPr="00F34A39" w:rsidRDefault="00CC7D3B" w:rsidP="00BC1A90">
      <w:pPr>
        <w:pStyle w:val="HBHeading1"/>
        <w:spacing w:before="0"/>
        <w:rPr>
          <w:color w:val="00323E" w:themeColor="accent1" w:themeShade="80"/>
          <w:lang w:val="en-AU"/>
        </w:rPr>
      </w:pPr>
      <w:bookmarkStart w:id="48" w:name="_Toc75185180"/>
      <w:bookmarkStart w:id="49" w:name="_Toc77423625"/>
      <w:bookmarkStart w:id="50" w:name="_Toc90564320"/>
      <w:r w:rsidRPr="00F34A39">
        <w:rPr>
          <w:color w:val="00323E" w:themeColor="accent1" w:themeShade="80"/>
          <w:lang w:val="en-AU"/>
        </w:rPr>
        <w:lastRenderedPageBreak/>
        <w:t xml:space="preserve">Annex </w:t>
      </w:r>
      <w:r w:rsidR="00C16A8C">
        <w:rPr>
          <w:color w:val="00323E" w:themeColor="accent1" w:themeShade="80"/>
          <w:lang w:val="en-AU"/>
        </w:rPr>
        <w:t>Seven</w:t>
      </w:r>
      <w:r w:rsidR="00741253" w:rsidRPr="00F34A39">
        <w:rPr>
          <w:color w:val="00323E" w:themeColor="accent1" w:themeShade="80"/>
          <w:lang w:val="en-AU"/>
        </w:rPr>
        <w:t>:</w:t>
      </w:r>
      <w:r w:rsidRPr="00F34A39">
        <w:rPr>
          <w:color w:val="00323E" w:themeColor="accent1" w:themeShade="80"/>
          <w:lang w:val="en-AU"/>
        </w:rPr>
        <w:t xml:space="preserve"> Output</w:t>
      </w:r>
      <w:bookmarkEnd w:id="48"/>
      <w:r w:rsidR="000366BF">
        <w:rPr>
          <w:color w:val="00323E" w:themeColor="accent1" w:themeShade="80"/>
          <w:lang w:val="en-AU"/>
        </w:rPr>
        <w:t>s - Resources</w:t>
      </w:r>
      <w:bookmarkEnd w:id="49"/>
      <w:bookmarkEnd w:id="50"/>
    </w:p>
    <w:p w14:paraId="4F9AA228" w14:textId="3C9C9B93" w:rsidR="00BF04CD" w:rsidRPr="002336AC" w:rsidRDefault="000366BF" w:rsidP="00CC7D3B">
      <w:pPr>
        <w:spacing w:before="120" w:after="120"/>
        <w:rPr>
          <w:sz w:val="22"/>
          <w:szCs w:val="22"/>
          <w:lang w:val="en-AU"/>
        </w:rPr>
      </w:pPr>
      <w:r w:rsidRPr="000366BF">
        <w:rPr>
          <w:sz w:val="22"/>
          <w:szCs w:val="22"/>
          <w:lang w:val="en-AU"/>
        </w:rPr>
        <w:t>In addition to building capacity through its activities, PJSI produced a significant number of resources under each theme:</w:t>
      </w:r>
      <w:r w:rsidR="00BF04CD" w:rsidRPr="00F34A39">
        <w:rPr>
          <w:rFonts w:cstheme="minorHAnsi"/>
          <w:noProof/>
          <w:sz w:val="22"/>
          <w:szCs w:val="22"/>
          <w:lang w:val="en-AU"/>
        </w:rPr>
        <w:drawing>
          <wp:anchor distT="0" distB="0" distL="114300" distR="114300" simplePos="0" relativeHeight="251627008" behindDoc="0" locked="0" layoutInCell="1" allowOverlap="1" wp14:anchorId="01D1B211" wp14:editId="1DF5BF73">
            <wp:simplePos x="0" y="0"/>
            <wp:positionH relativeFrom="margin">
              <wp:align>left</wp:align>
            </wp:positionH>
            <wp:positionV relativeFrom="paragraph">
              <wp:posOffset>7620</wp:posOffset>
            </wp:positionV>
            <wp:extent cx="5817600" cy="720000"/>
            <wp:effectExtent l="0" t="0" r="12065" b="4445"/>
            <wp:wrapSquare wrapText="bothSides"/>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9" r:lo="rId210" r:qs="rId211" r:cs="rId212"/>
              </a:graphicData>
            </a:graphic>
            <wp14:sizeRelH relativeFrom="page">
              <wp14:pctWidth>0</wp14:pctWidth>
            </wp14:sizeRelH>
            <wp14:sizeRelV relativeFrom="page">
              <wp14:pctHeight>0</wp14:pctHeight>
            </wp14:sizeRelV>
          </wp:anchor>
        </w:drawing>
      </w:r>
    </w:p>
    <w:p w14:paraId="18CBE370" w14:textId="58BC2419" w:rsidR="00CC7D3B" w:rsidRPr="00F34A39" w:rsidRDefault="00CC7D3B" w:rsidP="008C15D6">
      <w:pPr>
        <w:pStyle w:val="ListParagraph"/>
        <w:numPr>
          <w:ilvl w:val="0"/>
          <w:numId w:val="6"/>
        </w:numPr>
        <w:rPr>
          <w:noProof/>
          <w:lang w:val="en-AU"/>
        </w:rPr>
      </w:pPr>
      <w:r w:rsidRPr="00F34A39">
        <w:rPr>
          <w:noProof/>
          <w:lang w:val="en-AU"/>
        </w:rPr>
        <w:t>12</w:t>
      </w:r>
      <w:r w:rsidR="007C7E49" w:rsidRPr="00F34A39">
        <w:rPr>
          <w:noProof/>
          <w:lang w:val="en-AU"/>
        </w:rPr>
        <w:t xml:space="preserve"> </w:t>
      </w:r>
      <w:r w:rsidRPr="00F34A39">
        <w:rPr>
          <w:noProof/>
          <w:lang w:val="en-AU"/>
        </w:rPr>
        <w:t>x newsletters: COVID resources for courts</w:t>
      </w:r>
    </w:p>
    <w:p w14:paraId="2634D375" w14:textId="0BDF4D26" w:rsidR="00D40DB1" w:rsidRPr="00F34A39" w:rsidRDefault="00D40DB1" w:rsidP="008C15D6">
      <w:pPr>
        <w:pStyle w:val="ListParagraph"/>
        <w:numPr>
          <w:ilvl w:val="0"/>
          <w:numId w:val="6"/>
        </w:numPr>
        <w:autoSpaceDE w:val="0"/>
        <w:autoSpaceDN w:val="0"/>
        <w:adjustRightInd w:val="0"/>
        <w:spacing w:before="120"/>
        <w:rPr>
          <w:rFonts w:asciiTheme="minorHAnsi" w:hAnsiTheme="minorHAnsi" w:cstheme="minorHAnsi"/>
          <w:szCs w:val="22"/>
          <w:lang w:val="en-AU"/>
        </w:rPr>
      </w:pPr>
      <w:r w:rsidRPr="00F34A39">
        <w:rPr>
          <w:rFonts w:eastAsiaTheme="minorEastAsia" w:cs="Calibri"/>
          <w:i/>
          <w:szCs w:val="22"/>
          <w:lang w:val="en-AU" w:eastAsia="ja-JP"/>
        </w:rPr>
        <w:t>Project Management Toolkit</w:t>
      </w:r>
    </w:p>
    <w:p w14:paraId="37448BED" w14:textId="77777777" w:rsidR="00741253" w:rsidRPr="00F34A39" w:rsidRDefault="00741253" w:rsidP="00CC7D3B">
      <w:pPr>
        <w:rPr>
          <w:lang w:val="en-AU"/>
        </w:rPr>
      </w:pPr>
    </w:p>
    <w:p w14:paraId="1D2D07B4" w14:textId="14C23D01" w:rsidR="00944A7E" w:rsidRPr="00F34A39" w:rsidRDefault="00CC7D3B" w:rsidP="008C15D6">
      <w:pPr>
        <w:pStyle w:val="ListParagraph"/>
        <w:numPr>
          <w:ilvl w:val="0"/>
          <w:numId w:val="4"/>
        </w:numPr>
        <w:autoSpaceDE w:val="0"/>
        <w:autoSpaceDN w:val="0"/>
        <w:adjustRightInd w:val="0"/>
        <w:spacing w:before="120" w:after="120"/>
        <w:ind w:left="567"/>
        <w:rPr>
          <w:rFonts w:asciiTheme="minorHAnsi" w:hAnsiTheme="minorHAnsi" w:cstheme="minorHAnsi"/>
          <w:szCs w:val="22"/>
          <w:lang w:val="en-AU"/>
        </w:rPr>
      </w:pPr>
      <w:r w:rsidRPr="00F34A39">
        <w:rPr>
          <w:rFonts w:cstheme="minorHAnsi"/>
          <w:noProof/>
          <w:szCs w:val="22"/>
          <w:lang w:val="en-AU"/>
        </w:rPr>
        <w:drawing>
          <wp:anchor distT="0" distB="0" distL="114300" distR="114300" simplePos="0" relativeHeight="251609600" behindDoc="1" locked="0" layoutInCell="1" allowOverlap="1" wp14:anchorId="7C9044FB" wp14:editId="77BE5133">
            <wp:simplePos x="0" y="0"/>
            <wp:positionH relativeFrom="margin">
              <wp:align>left</wp:align>
            </wp:positionH>
            <wp:positionV relativeFrom="paragraph">
              <wp:posOffset>9525</wp:posOffset>
            </wp:positionV>
            <wp:extent cx="5817600" cy="720000"/>
            <wp:effectExtent l="0" t="0" r="12065" b="4445"/>
            <wp:wrapSquare wrapText="bothSides"/>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4" r:lo="rId215" r:qs="rId216" r:cs="rId217"/>
              </a:graphicData>
            </a:graphic>
            <wp14:sizeRelH relativeFrom="margin">
              <wp14:pctWidth>0</wp14:pctWidth>
            </wp14:sizeRelH>
            <wp14:sizeRelV relativeFrom="margin">
              <wp14:pctHeight>0</wp14:pctHeight>
            </wp14:sizeRelV>
          </wp:anchor>
        </w:drawing>
      </w:r>
      <w:r w:rsidR="00944A7E" w:rsidRPr="00F34A39">
        <w:rPr>
          <w:rFonts w:asciiTheme="minorHAnsi" w:hAnsiTheme="minorHAnsi" w:cstheme="minorHAnsi"/>
          <w:szCs w:val="22"/>
          <w:lang w:val="en-AU"/>
        </w:rPr>
        <w:t>Court Guidance on ‘Promoting Access to Justice through Community Consultations’</w:t>
      </w:r>
    </w:p>
    <w:p w14:paraId="2D3676BC" w14:textId="05DE67C9" w:rsidR="00CC7D3B" w:rsidRPr="00F34A39" w:rsidRDefault="00CC7D3B" w:rsidP="008C15D6">
      <w:pPr>
        <w:pStyle w:val="ListParagraph"/>
        <w:numPr>
          <w:ilvl w:val="0"/>
          <w:numId w:val="4"/>
        </w:numPr>
        <w:autoSpaceDE w:val="0"/>
        <w:autoSpaceDN w:val="0"/>
        <w:adjustRightInd w:val="0"/>
        <w:spacing w:before="120" w:after="120"/>
        <w:ind w:left="567"/>
        <w:rPr>
          <w:rFonts w:asciiTheme="minorHAnsi" w:hAnsiTheme="minorHAnsi" w:cstheme="minorHAnsi"/>
          <w:szCs w:val="22"/>
          <w:lang w:val="en-AU"/>
        </w:rPr>
      </w:pPr>
      <w:r w:rsidRPr="00F34A39">
        <w:rPr>
          <w:rFonts w:cstheme="minorHAnsi"/>
          <w:i/>
          <w:szCs w:val="22"/>
          <w:lang w:val="en-AU"/>
        </w:rPr>
        <w:t>Enabling Rights &amp; U</w:t>
      </w:r>
      <w:r w:rsidR="003D2FBF">
        <w:rPr>
          <w:rFonts w:cstheme="minorHAnsi"/>
          <w:i/>
          <w:szCs w:val="22"/>
          <w:lang w:val="en-AU"/>
        </w:rPr>
        <w:t>nrepresented Litigants Toolkit -</w:t>
      </w:r>
      <w:r w:rsidRPr="00F34A39">
        <w:rPr>
          <w:rFonts w:cstheme="minorHAnsi"/>
          <w:i/>
          <w:szCs w:val="22"/>
          <w:lang w:val="en-AU"/>
        </w:rPr>
        <w:t xml:space="preserve"> update</w:t>
      </w:r>
    </w:p>
    <w:p w14:paraId="326456D2" w14:textId="4CBE6B08" w:rsidR="00EF5043" w:rsidRPr="00F34A39" w:rsidRDefault="00EF5043" w:rsidP="008C15D6">
      <w:pPr>
        <w:pStyle w:val="ListParagraph"/>
        <w:numPr>
          <w:ilvl w:val="0"/>
          <w:numId w:val="4"/>
        </w:numPr>
        <w:autoSpaceDE w:val="0"/>
        <w:autoSpaceDN w:val="0"/>
        <w:adjustRightInd w:val="0"/>
        <w:spacing w:before="120" w:after="120"/>
        <w:ind w:left="567"/>
        <w:rPr>
          <w:rFonts w:asciiTheme="minorHAnsi" w:hAnsiTheme="minorHAnsi" w:cstheme="minorHAnsi"/>
          <w:szCs w:val="22"/>
          <w:lang w:val="en-AU"/>
        </w:rPr>
      </w:pPr>
      <w:r w:rsidRPr="00F34A39">
        <w:rPr>
          <w:rFonts w:cstheme="minorHAnsi"/>
          <w:i/>
          <w:szCs w:val="22"/>
          <w:lang w:val="en-AU"/>
        </w:rPr>
        <w:t xml:space="preserve">Enabling Rights &amp; Unrepresented Litigants Toolkit </w:t>
      </w:r>
      <w:r w:rsidRPr="00F34A39">
        <w:rPr>
          <w:rFonts w:cstheme="minorHAnsi"/>
          <w:szCs w:val="22"/>
          <w:lang w:val="en-AU"/>
        </w:rPr>
        <w:t>translated into four languages</w:t>
      </w:r>
    </w:p>
    <w:p w14:paraId="1D75DCB8" w14:textId="4C32EECB" w:rsidR="00CC7D3B" w:rsidRPr="00F34A3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F34A39">
        <w:rPr>
          <w:rFonts w:cstheme="minorHAnsi"/>
          <w:i/>
          <w:szCs w:val="22"/>
          <w:lang w:val="en-AU"/>
        </w:rPr>
        <w:t>Situational analysis of legal aid &amp; roadmap</w:t>
      </w:r>
    </w:p>
    <w:p w14:paraId="4DA15130" w14:textId="5B2E3BC1" w:rsidR="00CC7D3B" w:rsidRPr="00F34A3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F34A39">
        <w:rPr>
          <w:noProof/>
          <w:lang w:val="en-AU"/>
        </w:rPr>
        <w:t>9</w:t>
      </w:r>
      <w:r w:rsidR="007C7E49" w:rsidRPr="00F34A39">
        <w:rPr>
          <w:noProof/>
          <w:lang w:val="en-AU"/>
        </w:rPr>
        <w:t xml:space="preserve"> </w:t>
      </w:r>
      <w:r w:rsidR="00CC7D3B" w:rsidRPr="00F34A39">
        <w:rPr>
          <w:noProof/>
          <w:lang w:val="en-AU"/>
        </w:rPr>
        <w:t>x Access to Justice pamphlets</w:t>
      </w:r>
    </w:p>
    <w:p w14:paraId="32A95849" w14:textId="7B578C30"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noProof/>
          <w:lang w:val="en-AU"/>
        </w:rPr>
        <w:t>3</w:t>
      </w:r>
      <w:r w:rsidR="007C7E49" w:rsidRPr="00E47089">
        <w:rPr>
          <w:noProof/>
          <w:lang w:val="en-AU"/>
        </w:rPr>
        <w:t xml:space="preserve"> </w:t>
      </w:r>
      <w:r w:rsidRPr="00E47089">
        <w:rPr>
          <w:noProof/>
          <w:lang w:val="en-AU"/>
        </w:rPr>
        <w:t>x Legal Aid and Bar Associations Webinar recordings</w:t>
      </w:r>
    </w:p>
    <w:p w14:paraId="0CA6E596" w14:textId="524F8B39"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noProof/>
          <w:lang w:val="en-AU"/>
        </w:rPr>
        <w:t>Situation analysis of Pacific Legal Aid Systems</w:t>
      </w:r>
    </w:p>
    <w:p w14:paraId="06BE70E8" w14:textId="72CC652D"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i/>
          <w:noProof/>
          <w:lang w:val="en-AU"/>
        </w:rPr>
        <w:t xml:space="preserve">Access to </w:t>
      </w:r>
      <w:r w:rsidR="00902B1D" w:rsidRPr="00E47089">
        <w:rPr>
          <w:i/>
          <w:noProof/>
          <w:lang w:val="en-AU"/>
        </w:rPr>
        <w:t xml:space="preserve">Justice </w:t>
      </w:r>
      <w:r w:rsidRPr="00E47089">
        <w:rPr>
          <w:i/>
          <w:noProof/>
          <w:lang w:val="en-AU"/>
        </w:rPr>
        <w:t>Assessment Toolkit</w:t>
      </w:r>
    </w:p>
    <w:p w14:paraId="5DEBB21B" w14:textId="04AAB005"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noProof/>
          <w:lang w:val="en-AU"/>
        </w:rPr>
        <w:t>Courts, Customs &amp; Hybrid Justice Actors strategy paper</w:t>
      </w:r>
    </w:p>
    <w:p w14:paraId="232F74C1" w14:textId="56E3EAF7" w:rsidR="005D2739" w:rsidRPr="00E47089" w:rsidRDefault="005D2739"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noProof/>
          <w:lang w:val="en-AU"/>
        </w:rPr>
        <w:t xml:space="preserve">Guidance for Courts and Ministries of </w:t>
      </w:r>
      <w:r w:rsidR="008A56B6" w:rsidRPr="00E47089">
        <w:rPr>
          <w:noProof/>
          <w:lang w:val="en-AU"/>
        </w:rPr>
        <w:t>Education</w:t>
      </w:r>
      <w:r w:rsidRPr="00E47089">
        <w:rPr>
          <w:noProof/>
          <w:lang w:val="en-AU"/>
        </w:rPr>
        <w:t xml:space="preserve"> on ‘</w:t>
      </w:r>
      <w:r w:rsidRPr="00E47089">
        <w:rPr>
          <w:i/>
          <w:noProof/>
          <w:lang w:val="en-AU"/>
        </w:rPr>
        <w:t>Developing ‘Civics’ Secondary School Curriculum’</w:t>
      </w:r>
    </w:p>
    <w:p w14:paraId="6A0C0435" w14:textId="6935F212" w:rsidR="00CC7D3B" w:rsidRPr="00E47089" w:rsidRDefault="00CC7D3B" w:rsidP="00CC7D3B">
      <w:pPr>
        <w:rPr>
          <w:lang w:val="en-AU"/>
        </w:rPr>
      </w:pPr>
    </w:p>
    <w:p w14:paraId="2AC7D290" w14:textId="718F9910" w:rsidR="00944A7E" w:rsidRPr="00E47089" w:rsidRDefault="002336AC"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cstheme="minorHAnsi"/>
          <w:noProof/>
          <w:szCs w:val="22"/>
          <w:lang w:val="en-AU"/>
        </w:rPr>
        <w:drawing>
          <wp:anchor distT="0" distB="0" distL="114300" distR="114300" simplePos="0" relativeHeight="251610624" behindDoc="1" locked="0" layoutInCell="1" allowOverlap="1" wp14:anchorId="0D56FCEB" wp14:editId="5B3E1B18">
            <wp:simplePos x="0" y="0"/>
            <wp:positionH relativeFrom="margin">
              <wp:align>right</wp:align>
            </wp:positionH>
            <wp:positionV relativeFrom="paragraph">
              <wp:posOffset>31115</wp:posOffset>
            </wp:positionV>
            <wp:extent cx="5817600" cy="720000"/>
            <wp:effectExtent l="0" t="0" r="12065" b="4445"/>
            <wp:wrapSquare wrapText="bothSides"/>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9" r:lo="rId220" r:qs="rId221" r:cs="rId222"/>
              </a:graphicData>
            </a:graphic>
            <wp14:sizeRelH relativeFrom="margin">
              <wp14:pctWidth>0</wp14:pctWidth>
            </wp14:sizeRelH>
            <wp14:sizeRelV relativeFrom="margin">
              <wp14:pctHeight>0</wp14:pctHeight>
            </wp14:sizeRelV>
          </wp:anchor>
        </w:drawing>
      </w:r>
      <w:r w:rsidR="00944A7E" w:rsidRPr="00E47089">
        <w:rPr>
          <w:rFonts w:asciiTheme="minorHAnsi" w:hAnsiTheme="minorHAnsi" w:cstheme="minorHAnsi"/>
          <w:szCs w:val="22"/>
          <w:lang w:val="en-AU"/>
        </w:rPr>
        <w:t>Judicial Orientation and Ethics training templates</w:t>
      </w:r>
    </w:p>
    <w:p w14:paraId="10859FD6" w14:textId="77777777" w:rsidR="00CC7D3B" w:rsidRPr="00E4708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Decision Making training templates</w:t>
      </w:r>
    </w:p>
    <w:p w14:paraId="71519EB2" w14:textId="77777777" w:rsidR="00CC7D3B" w:rsidRPr="00E4708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Training of Trainers resources and templates</w:t>
      </w:r>
    </w:p>
    <w:p w14:paraId="6341F737" w14:textId="77777777" w:rsidR="00CC7D3B" w:rsidRPr="00E4708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Customer service training templates</w:t>
      </w:r>
    </w:p>
    <w:p w14:paraId="74B5F030" w14:textId="77777777" w:rsidR="00CC7D3B" w:rsidRPr="00E4708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Judicial Officer’s Survival Guide Handbook</w:t>
      </w:r>
    </w:p>
    <w:p w14:paraId="02CC6145" w14:textId="63C52A46" w:rsidR="00CC7D3B" w:rsidRPr="00E4708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Judicial Ethics and Conduct interview with Dr Livingston Armytage</w:t>
      </w:r>
      <w:r w:rsidR="00414DE9" w:rsidRPr="00E47089">
        <w:rPr>
          <w:rFonts w:asciiTheme="minorHAnsi" w:hAnsiTheme="minorHAnsi" w:cstheme="minorHAnsi"/>
          <w:szCs w:val="22"/>
          <w:lang w:val="en-AU"/>
        </w:rPr>
        <w:t xml:space="preserve"> </w:t>
      </w:r>
    </w:p>
    <w:p w14:paraId="75BC430B" w14:textId="77777777" w:rsidR="00CC7D3B" w:rsidRPr="00E4708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eastAsiaTheme="minorEastAsia" w:cs="Calibri"/>
          <w:i/>
          <w:szCs w:val="22"/>
          <w:lang w:val="en-AU" w:eastAsia="ja-JP"/>
        </w:rPr>
        <w:t>Options to Improve Lawyering &amp; Non-Compliance</w:t>
      </w:r>
    </w:p>
    <w:p w14:paraId="5264F8EE" w14:textId="6C98DD00" w:rsidR="00CC7D3B" w:rsidRPr="00E4708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eastAsiaTheme="minorEastAsia" w:cs="Calibri"/>
          <w:i/>
          <w:szCs w:val="22"/>
          <w:lang w:val="en-AU" w:eastAsia="ja-JP"/>
        </w:rPr>
        <w:t>Judicial Mentoring Toolkit</w:t>
      </w:r>
    </w:p>
    <w:p w14:paraId="3F633040" w14:textId="0379139A"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eastAsiaTheme="minorEastAsia" w:cs="Calibri"/>
          <w:i/>
          <w:szCs w:val="22"/>
          <w:lang w:val="en-AU" w:eastAsia="ja-JP"/>
        </w:rPr>
        <w:t>Judges’ Orientation Toolkit</w:t>
      </w:r>
    </w:p>
    <w:p w14:paraId="56F1B4DD" w14:textId="7A884B07"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eastAsiaTheme="minorEastAsia" w:cs="Calibri"/>
          <w:i/>
          <w:szCs w:val="22"/>
          <w:lang w:val="en-AU" w:eastAsia="ja-JP"/>
        </w:rPr>
        <w:t>Judicial Complaints Handling Toolkit</w:t>
      </w:r>
    </w:p>
    <w:p w14:paraId="59B34526" w14:textId="54B39434"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eastAsiaTheme="minorEastAsia" w:cs="Calibri"/>
          <w:i/>
          <w:szCs w:val="22"/>
          <w:lang w:val="en-AU" w:eastAsia="ja-JP"/>
        </w:rPr>
        <w:t>Judicial Conduct Toolkit</w:t>
      </w:r>
    </w:p>
    <w:p w14:paraId="084962D0" w14:textId="5ECBD687"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eastAsiaTheme="minorEastAsia" w:cs="Calibri"/>
          <w:i/>
          <w:szCs w:val="22"/>
          <w:lang w:val="en-AU" w:eastAsia="ja-JP"/>
        </w:rPr>
        <w:t>Judicial Decision-making Toolkit</w:t>
      </w:r>
    </w:p>
    <w:p w14:paraId="4CF1DE32" w14:textId="16FBE1F2"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eastAsiaTheme="minorEastAsia" w:cs="Calibri"/>
          <w:i/>
          <w:szCs w:val="22"/>
          <w:lang w:val="en-AU" w:eastAsia="ja-JP"/>
        </w:rPr>
        <w:t>Judicial Orientation Session Planning Toolkit</w:t>
      </w:r>
    </w:p>
    <w:p w14:paraId="5817BC2E" w14:textId="2573D092"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eastAsiaTheme="minorEastAsia" w:cs="Calibri"/>
          <w:i/>
          <w:szCs w:val="22"/>
          <w:lang w:val="en-AU" w:eastAsia="ja-JP"/>
        </w:rPr>
        <w:t>National Judicial Development Committees Toolkit</w:t>
      </w:r>
    </w:p>
    <w:p w14:paraId="707B7938" w14:textId="49EC4D54"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eastAsiaTheme="minorEastAsia" w:cs="Calibri"/>
          <w:i/>
          <w:szCs w:val="22"/>
          <w:lang w:val="en-AU" w:eastAsia="ja-JP"/>
        </w:rPr>
        <w:t>Public Information Toolkit</w:t>
      </w:r>
    </w:p>
    <w:p w14:paraId="095F769F" w14:textId="55DB2D31"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eastAsiaTheme="minorEastAsia" w:cs="Calibri"/>
          <w:i/>
          <w:szCs w:val="22"/>
          <w:lang w:val="en-AU" w:eastAsia="ja-JP"/>
        </w:rPr>
        <w:t>Training-of-Trainers Toolkit</w:t>
      </w:r>
    </w:p>
    <w:p w14:paraId="7A4B4954" w14:textId="5B1F96EA" w:rsidR="00414DE9" w:rsidRPr="00E47089" w:rsidRDefault="00414DE9"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lastRenderedPageBreak/>
        <w:t xml:space="preserve">Comparison of Online Engagement Platforms instructions </w:t>
      </w:r>
    </w:p>
    <w:p w14:paraId="65ED658C" w14:textId="3A0DE0F9" w:rsidR="00414DE9" w:rsidRPr="00E47089" w:rsidRDefault="00414DE9"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 xml:space="preserve">Comparison of Online Education and Training Platforms instructions </w:t>
      </w:r>
    </w:p>
    <w:p w14:paraId="417C7085" w14:textId="1B4E080D" w:rsidR="00414DE9" w:rsidRPr="00E47089" w:rsidRDefault="00414DE9"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 xml:space="preserve">Downloading Zoom instructions </w:t>
      </w:r>
    </w:p>
    <w:p w14:paraId="1B978E20" w14:textId="277FFE19" w:rsidR="00414DE9" w:rsidRPr="00E47089" w:rsidRDefault="00414DE9"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 xml:space="preserve">Accessing and using Zoom instructions </w:t>
      </w:r>
    </w:p>
    <w:p w14:paraId="7443DDB8" w14:textId="202638FF" w:rsidR="00414DE9" w:rsidRPr="00E47089" w:rsidRDefault="00414DE9"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 xml:space="preserve">Online Resource: Introduction to Zoom </w:t>
      </w:r>
    </w:p>
    <w:p w14:paraId="03E3BA17" w14:textId="4C3167BB"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3</w:t>
      </w:r>
      <w:r w:rsidR="005C4549" w:rsidRPr="00E47089">
        <w:rPr>
          <w:rFonts w:asciiTheme="minorHAnsi" w:hAnsiTheme="minorHAnsi" w:cstheme="minorHAnsi"/>
          <w:szCs w:val="22"/>
          <w:lang w:val="en-AU"/>
        </w:rPr>
        <w:t xml:space="preserve"> </w:t>
      </w:r>
      <w:r w:rsidRPr="00E47089">
        <w:rPr>
          <w:rFonts w:asciiTheme="minorHAnsi" w:hAnsiTheme="minorHAnsi" w:cstheme="minorHAnsi"/>
          <w:szCs w:val="22"/>
          <w:lang w:val="en-AU"/>
        </w:rPr>
        <w:t>x COVID-related Webinar recordings</w:t>
      </w:r>
    </w:p>
    <w:p w14:paraId="70C96BB8" w14:textId="037483FF"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 xml:space="preserve">Transition to the Bench interview with </w:t>
      </w:r>
      <w:r w:rsidR="00053664" w:rsidRPr="00E47089">
        <w:rPr>
          <w:rFonts w:asciiTheme="minorHAnsi" w:hAnsiTheme="minorHAnsi" w:cstheme="minorHAnsi"/>
          <w:szCs w:val="22"/>
          <w:lang w:val="en-AU"/>
        </w:rPr>
        <w:t>Justice Mortimer</w:t>
      </w:r>
    </w:p>
    <w:p w14:paraId="5E5015B6" w14:textId="7BAC0401"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 xml:space="preserve">Evidence interview with </w:t>
      </w:r>
      <w:r w:rsidR="00053664" w:rsidRPr="00E47089">
        <w:rPr>
          <w:rFonts w:asciiTheme="minorHAnsi" w:hAnsiTheme="minorHAnsi" w:cstheme="minorHAnsi"/>
          <w:szCs w:val="22"/>
          <w:lang w:val="en-AU"/>
        </w:rPr>
        <w:t>Chief Justice Palmer</w:t>
      </w:r>
    </w:p>
    <w:p w14:paraId="597BB347" w14:textId="41A85E70"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i/>
          <w:szCs w:val="22"/>
          <w:lang w:val="en-AU"/>
        </w:rPr>
        <w:t xml:space="preserve">Draft High Court Adjournment </w:t>
      </w:r>
    </w:p>
    <w:p w14:paraId="02D5FE0A" w14:textId="582F2685"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szCs w:val="22"/>
          <w:lang w:val="en-AU"/>
        </w:rPr>
        <w:t>Gateway Project concept note</w:t>
      </w:r>
    </w:p>
    <w:p w14:paraId="23E59FAC" w14:textId="381F2DFC"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szCs w:val="22"/>
          <w:lang w:val="en-AU"/>
        </w:rPr>
        <w:t>Certificate of Justice curriculum</w:t>
      </w:r>
    </w:p>
    <w:p w14:paraId="1F33EE98" w14:textId="140A1E05"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szCs w:val="22"/>
          <w:lang w:val="en-AU"/>
        </w:rPr>
        <w:t>Diploma of Justice curriculum</w:t>
      </w:r>
    </w:p>
    <w:p w14:paraId="632E5E4F" w14:textId="3DEE8574"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szCs w:val="22"/>
          <w:lang w:val="en-AU"/>
        </w:rPr>
        <w:t>C</w:t>
      </w:r>
      <w:r w:rsidR="00FA7421" w:rsidRPr="00E47089">
        <w:rPr>
          <w:rFonts w:asciiTheme="minorHAnsi" w:hAnsiTheme="minorHAnsi" w:cstheme="minorHAnsi"/>
          <w:szCs w:val="22"/>
          <w:lang w:val="en-AU"/>
        </w:rPr>
        <w:t>o</w:t>
      </w:r>
      <w:r w:rsidRPr="00E47089">
        <w:rPr>
          <w:rFonts w:asciiTheme="minorHAnsi" w:hAnsiTheme="minorHAnsi" w:cstheme="minorHAnsi"/>
          <w:szCs w:val="22"/>
          <w:lang w:val="en-AU"/>
        </w:rPr>
        <w:t>J and D</w:t>
      </w:r>
      <w:r w:rsidR="00FA7421" w:rsidRPr="00E47089">
        <w:rPr>
          <w:rFonts w:asciiTheme="minorHAnsi" w:hAnsiTheme="minorHAnsi" w:cstheme="minorHAnsi"/>
          <w:szCs w:val="22"/>
          <w:lang w:val="en-AU"/>
        </w:rPr>
        <w:t>o</w:t>
      </w:r>
      <w:r w:rsidRPr="00E47089">
        <w:rPr>
          <w:rFonts w:asciiTheme="minorHAnsi" w:hAnsiTheme="minorHAnsi" w:cstheme="minorHAnsi"/>
          <w:szCs w:val="22"/>
          <w:lang w:val="en-AU"/>
        </w:rPr>
        <w:t>J options paper</w:t>
      </w:r>
    </w:p>
    <w:p w14:paraId="3562FB1E" w14:textId="3ACBD13B"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szCs w:val="22"/>
          <w:lang w:val="en-AU"/>
        </w:rPr>
        <w:t>C</w:t>
      </w:r>
      <w:r w:rsidR="00FA7421" w:rsidRPr="00E47089">
        <w:rPr>
          <w:rFonts w:asciiTheme="minorHAnsi" w:hAnsiTheme="minorHAnsi" w:cstheme="minorHAnsi"/>
          <w:szCs w:val="22"/>
          <w:lang w:val="en-AU"/>
        </w:rPr>
        <w:t>o</w:t>
      </w:r>
      <w:r w:rsidRPr="00E47089">
        <w:rPr>
          <w:rFonts w:asciiTheme="minorHAnsi" w:hAnsiTheme="minorHAnsi" w:cstheme="minorHAnsi"/>
          <w:szCs w:val="22"/>
          <w:lang w:val="en-AU"/>
        </w:rPr>
        <w:t>J and D</w:t>
      </w:r>
      <w:r w:rsidR="00FA7421" w:rsidRPr="00E47089">
        <w:rPr>
          <w:rFonts w:asciiTheme="minorHAnsi" w:hAnsiTheme="minorHAnsi" w:cstheme="minorHAnsi"/>
          <w:szCs w:val="22"/>
          <w:lang w:val="en-AU"/>
        </w:rPr>
        <w:t>o</w:t>
      </w:r>
      <w:r w:rsidRPr="00E47089">
        <w:rPr>
          <w:rFonts w:asciiTheme="minorHAnsi" w:hAnsiTheme="minorHAnsi" w:cstheme="minorHAnsi"/>
          <w:szCs w:val="22"/>
          <w:lang w:val="en-AU"/>
        </w:rPr>
        <w:t>J Sustainability options paper</w:t>
      </w:r>
    </w:p>
    <w:p w14:paraId="08CBBDAE" w14:textId="2662E02D"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i/>
          <w:szCs w:val="22"/>
          <w:lang w:val="en-AU"/>
        </w:rPr>
        <w:t>Pilot Mentoring Toolkit</w:t>
      </w:r>
    </w:p>
    <w:p w14:paraId="3A3EE767" w14:textId="111E0932"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szCs w:val="22"/>
          <w:lang w:val="en-AU"/>
        </w:rPr>
        <w:t>Situation analysis Pacific Law Associations</w:t>
      </w:r>
    </w:p>
    <w:p w14:paraId="6EA5A638" w14:textId="7DC5F4E0" w:rsidR="00741253" w:rsidRPr="00E47089" w:rsidRDefault="00944A7E" w:rsidP="00CC7D3B">
      <w:pPr>
        <w:rPr>
          <w:lang w:val="en-AU"/>
        </w:rPr>
      </w:pPr>
      <w:r w:rsidRPr="00E47089">
        <w:rPr>
          <w:rFonts w:cstheme="minorHAnsi"/>
          <w:noProof/>
          <w:sz w:val="22"/>
          <w:szCs w:val="22"/>
          <w:lang w:val="en-AU"/>
        </w:rPr>
        <w:drawing>
          <wp:anchor distT="0" distB="0" distL="114300" distR="114300" simplePos="0" relativeHeight="251611648" behindDoc="1" locked="0" layoutInCell="1" allowOverlap="1" wp14:anchorId="188DEFD0" wp14:editId="78A25470">
            <wp:simplePos x="0" y="0"/>
            <wp:positionH relativeFrom="margin">
              <wp:align>right</wp:align>
            </wp:positionH>
            <wp:positionV relativeFrom="paragraph">
              <wp:posOffset>271780</wp:posOffset>
            </wp:positionV>
            <wp:extent cx="5817600" cy="720000"/>
            <wp:effectExtent l="0" t="0" r="12065" b="4445"/>
            <wp:wrapSquare wrapText="bothSides"/>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4" r:lo="rId225" r:qs="rId226" r:cs="rId227"/>
              </a:graphicData>
            </a:graphic>
            <wp14:sizeRelH relativeFrom="margin">
              <wp14:pctWidth>0</wp14:pctWidth>
            </wp14:sizeRelH>
            <wp14:sizeRelV relativeFrom="margin">
              <wp14:pctHeight>0</wp14:pctHeight>
            </wp14:sizeRelV>
          </wp:anchor>
        </w:drawing>
      </w:r>
    </w:p>
    <w:p w14:paraId="7CE8A857" w14:textId="629EA380" w:rsidR="00944A7E" w:rsidRPr="00E47089" w:rsidRDefault="00944A7E" w:rsidP="008C15D6">
      <w:pPr>
        <w:pStyle w:val="ListParagraph"/>
        <w:numPr>
          <w:ilvl w:val="0"/>
          <w:numId w:val="5"/>
        </w:numPr>
        <w:autoSpaceDE w:val="0"/>
        <w:autoSpaceDN w:val="0"/>
        <w:adjustRightInd w:val="0"/>
        <w:spacing w:before="120"/>
        <w:rPr>
          <w:rFonts w:cstheme="minorHAnsi"/>
          <w:i/>
          <w:szCs w:val="22"/>
          <w:lang w:val="en-AU"/>
        </w:rPr>
      </w:pPr>
      <w:r w:rsidRPr="00E47089">
        <w:rPr>
          <w:rFonts w:cstheme="minorHAnsi"/>
          <w:i/>
          <w:szCs w:val="22"/>
          <w:lang w:val="en-AU"/>
        </w:rPr>
        <w:t>Gender and Family Violence Toolkit</w:t>
      </w:r>
    </w:p>
    <w:p w14:paraId="4FEFAFFA" w14:textId="77777777" w:rsidR="00CC7D3B" w:rsidRPr="00E47089" w:rsidRDefault="00CC7D3B" w:rsidP="008C15D6">
      <w:pPr>
        <w:pStyle w:val="ListParagraph"/>
        <w:numPr>
          <w:ilvl w:val="0"/>
          <w:numId w:val="5"/>
        </w:numPr>
        <w:autoSpaceDE w:val="0"/>
        <w:autoSpaceDN w:val="0"/>
        <w:adjustRightInd w:val="0"/>
        <w:spacing w:before="120"/>
        <w:rPr>
          <w:rFonts w:cstheme="minorHAnsi"/>
          <w:i/>
          <w:szCs w:val="22"/>
          <w:lang w:val="en-AU"/>
        </w:rPr>
      </w:pPr>
      <w:r w:rsidRPr="00E47089">
        <w:rPr>
          <w:rFonts w:cstheme="minorHAnsi"/>
          <w:i/>
          <w:szCs w:val="22"/>
          <w:lang w:val="en-AU"/>
        </w:rPr>
        <w:t>Human Rights Toolkit</w:t>
      </w:r>
    </w:p>
    <w:p w14:paraId="393EDED3" w14:textId="1E653CB0" w:rsidR="00CC7D3B" w:rsidRPr="00E47089" w:rsidRDefault="00CC7D3B" w:rsidP="008C15D6">
      <w:pPr>
        <w:pStyle w:val="ListParagraph"/>
        <w:numPr>
          <w:ilvl w:val="0"/>
          <w:numId w:val="5"/>
        </w:numPr>
        <w:autoSpaceDE w:val="0"/>
        <w:autoSpaceDN w:val="0"/>
        <w:adjustRightInd w:val="0"/>
        <w:spacing w:before="120"/>
        <w:rPr>
          <w:rFonts w:cstheme="minorHAnsi"/>
          <w:szCs w:val="22"/>
          <w:lang w:val="en-AU"/>
        </w:rPr>
      </w:pPr>
      <w:r w:rsidRPr="00E47089">
        <w:rPr>
          <w:rFonts w:cstheme="minorHAnsi"/>
          <w:szCs w:val="22"/>
          <w:lang w:val="en-AU"/>
        </w:rPr>
        <w:t>6</w:t>
      </w:r>
      <w:r w:rsidR="005C4549" w:rsidRPr="00E47089">
        <w:rPr>
          <w:rFonts w:cstheme="minorHAnsi"/>
          <w:szCs w:val="22"/>
          <w:lang w:val="en-AU"/>
        </w:rPr>
        <w:t xml:space="preserve"> </w:t>
      </w:r>
      <w:r w:rsidRPr="00E47089">
        <w:rPr>
          <w:rFonts w:cstheme="minorHAnsi"/>
          <w:szCs w:val="22"/>
          <w:lang w:val="en-AU"/>
        </w:rPr>
        <w:t>x Human Rights Checklists</w:t>
      </w:r>
    </w:p>
    <w:p w14:paraId="3BF70671" w14:textId="315B5641" w:rsidR="00CC7D3B" w:rsidRPr="00E47089" w:rsidRDefault="00CC7D3B" w:rsidP="008C15D6">
      <w:pPr>
        <w:pStyle w:val="ListParagraph"/>
        <w:numPr>
          <w:ilvl w:val="0"/>
          <w:numId w:val="5"/>
        </w:numPr>
        <w:autoSpaceDE w:val="0"/>
        <w:autoSpaceDN w:val="0"/>
        <w:adjustRightInd w:val="0"/>
        <w:spacing w:before="120"/>
        <w:rPr>
          <w:rFonts w:cstheme="minorHAnsi"/>
          <w:szCs w:val="22"/>
          <w:lang w:val="en-AU"/>
        </w:rPr>
      </w:pPr>
      <w:r w:rsidRPr="00E47089">
        <w:rPr>
          <w:rFonts w:cstheme="minorHAnsi"/>
          <w:szCs w:val="22"/>
          <w:lang w:val="en-AU"/>
        </w:rPr>
        <w:t>Gender and family violence training templates</w:t>
      </w:r>
    </w:p>
    <w:p w14:paraId="1808D814" w14:textId="01D79F47" w:rsidR="00DD1CDD" w:rsidRPr="00E47089" w:rsidRDefault="00DD1CDD" w:rsidP="008C15D6">
      <w:pPr>
        <w:pStyle w:val="ListParagraph"/>
        <w:numPr>
          <w:ilvl w:val="0"/>
          <w:numId w:val="5"/>
        </w:numPr>
        <w:autoSpaceDE w:val="0"/>
        <w:autoSpaceDN w:val="0"/>
        <w:adjustRightInd w:val="0"/>
        <w:spacing w:before="120"/>
        <w:rPr>
          <w:rFonts w:cstheme="minorHAnsi"/>
          <w:szCs w:val="22"/>
          <w:lang w:val="en-AU"/>
        </w:rPr>
      </w:pPr>
      <w:r w:rsidRPr="00E47089">
        <w:rPr>
          <w:rFonts w:cstheme="minorHAnsi"/>
          <w:szCs w:val="22"/>
          <w:lang w:val="en-AU"/>
        </w:rPr>
        <w:t>Human Rights Checklist Webinar recordings</w:t>
      </w:r>
    </w:p>
    <w:p w14:paraId="48060E81" w14:textId="61CD1D19" w:rsidR="00EF5043" w:rsidRPr="00E47089" w:rsidRDefault="00EF5043" w:rsidP="008C15D6">
      <w:pPr>
        <w:pStyle w:val="ListParagraph"/>
        <w:numPr>
          <w:ilvl w:val="0"/>
          <w:numId w:val="5"/>
        </w:numPr>
        <w:autoSpaceDE w:val="0"/>
        <w:autoSpaceDN w:val="0"/>
        <w:adjustRightInd w:val="0"/>
        <w:spacing w:before="120"/>
        <w:rPr>
          <w:rFonts w:cstheme="minorHAnsi"/>
          <w:i/>
          <w:szCs w:val="22"/>
          <w:lang w:val="en-AU"/>
        </w:rPr>
      </w:pPr>
      <w:r w:rsidRPr="00E47089">
        <w:rPr>
          <w:rFonts w:cstheme="minorHAnsi"/>
          <w:i/>
          <w:szCs w:val="22"/>
          <w:lang w:val="en-AU"/>
        </w:rPr>
        <w:t>Family Violence/Youth Justice Workshops Toolkit</w:t>
      </w:r>
    </w:p>
    <w:p w14:paraId="14E2327C" w14:textId="4677006C" w:rsidR="00881D02" w:rsidRPr="00E47089" w:rsidRDefault="00881D02" w:rsidP="008C15D6">
      <w:pPr>
        <w:pStyle w:val="ListParagraph"/>
        <w:numPr>
          <w:ilvl w:val="0"/>
          <w:numId w:val="5"/>
        </w:numPr>
        <w:autoSpaceDE w:val="0"/>
        <w:autoSpaceDN w:val="0"/>
        <w:adjustRightInd w:val="0"/>
        <w:spacing w:before="120"/>
        <w:rPr>
          <w:rFonts w:cstheme="minorHAnsi"/>
          <w:i/>
          <w:szCs w:val="22"/>
          <w:lang w:val="en-AU"/>
        </w:rPr>
      </w:pPr>
      <w:r w:rsidRPr="00E47089">
        <w:rPr>
          <w:rFonts w:cstheme="minorHAnsi"/>
          <w:szCs w:val="22"/>
          <w:lang w:val="en-AU"/>
        </w:rPr>
        <w:t>Gender &amp; Family Violence Session Materials</w:t>
      </w:r>
    </w:p>
    <w:p w14:paraId="4C15BCE6" w14:textId="77777777" w:rsidR="00CC7D3B" w:rsidRPr="00E47089" w:rsidRDefault="00CC7D3B" w:rsidP="00CC7D3B">
      <w:pPr>
        <w:rPr>
          <w:lang w:val="en-AU"/>
        </w:rPr>
      </w:pPr>
    </w:p>
    <w:p w14:paraId="4294C168" w14:textId="0A157407" w:rsidR="00944A7E" w:rsidRPr="00E4708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cstheme="minorHAnsi"/>
          <w:noProof/>
          <w:szCs w:val="22"/>
          <w:lang w:val="en-AU"/>
        </w:rPr>
        <w:drawing>
          <wp:anchor distT="0" distB="0" distL="114300" distR="114300" simplePos="0" relativeHeight="251612672" behindDoc="1" locked="0" layoutInCell="1" allowOverlap="1" wp14:anchorId="629C7188" wp14:editId="068E3C09">
            <wp:simplePos x="0" y="0"/>
            <wp:positionH relativeFrom="margin">
              <wp:align>left</wp:align>
            </wp:positionH>
            <wp:positionV relativeFrom="paragraph">
              <wp:posOffset>15240</wp:posOffset>
            </wp:positionV>
            <wp:extent cx="5817600" cy="720000"/>
            <wp:effectExtent l="0" t="0" r="12065" b="4445"/>
            <wp:wrapSquare wrapText="bothSides"/>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9" r:lo="rId230" r:qs="rId231" r:cs="rId232"/>
              </a:graphicData>
            </a:graphic>
            <wp14:sizeRelH relativeFrom="margin">
              <wp14:pctWidth>0</wp14:pctWidth>
            </wp14:sizeRelH>
            <wp14:sizeRelV relativeFrom="margin">
              <wp14:pctHeight>0</wp14:pctHeight>
            </wp14:sizeRelV>
          </wp:anchor>
        </w:drawing>
      </w:r>
      <w:r w:rsidR="00944A7E" w:rsidRPr="00E47089">
        <w:rPr>
          <w:rFonts w:asciiTheme="minorHAnsi" w:hAnsiTheme="minorHAnsi" w:cstheme="minorHAnsi"/>
          <w:i/>
          <w:szCs w:val="22"/>
          <w:lang w:val="en-AU"/>
        </w:rPr>
        <w:t>Efficiency Toolkit</w:t>
      </w:r>
    </w:p>
    <w:p w14:paraId="3DDB6E21" w14:textId="14C8A8C3" w:rsidR="00CC7D3B" w:rsidRPr="00E4708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i/>
          <w:szCs w:val="22"/>
          <w:lang w:val="en-AU"/>
        </w:rPr>
        <w:t>Remote Court P</w:t>
      </w:r>
      <w:r w:rsidR="00DD1CDD" w:rsidRPr="00E47089">
        <w:rPr>
          <w:rFonts w:asciiTheme="minorHAnsi" w:hAnsiTheme="minorHAnsi" w:cstheme="minorHAnsi"/>
          <w:i/>
          <w:szCs w:val="22"/>
          <w:lang w:val="en-AU"/>
        </w:rPr>
        <w:t>roceedings T</w:t>
      </w:r>
      <w:r w:rsidRPr="00E47089">
        <w:rPr>
          <w:rFonts w:asciiTheme="minorHAnsi" w:hAnsiTheme="minorHAnsi" w:cstheme="minorHAnsi"/>
          <w:i/>
          <w:szCs w:val="22"/>
          <w:lang w:val="en-AU"/>
        </w:rPr>
        <w:t>oolkit</w:t>
      </w:r>
    </w:p>
    <w:p w14:paraId="70FEEFAB" w14:textId="5B6A4884"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i/>
          <w:szCs w:val="22"/>
          <w:lang w:val="en-AU"/>
        </w:rPr>
        <w:t>Reducing Backlog and Delay Toolkit</w:t>
      </w:r>
    </w:p>
    <w:p w14:paraId="176CDDCD" w14:textId="0B88261D"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i/>
          <w:szCs w:val="22"/>
          <w:lang w:val="en-AU"/>
        </w:rPr>
      </w:pPr>
      <w:r w:rsidRPr="00E47089">
        <w:rPr>
          <w:rFonts w:asciiTheme="minorHAnsi" w:hAnsiTheme="minorHAnsi" w:cstheme="minorHAnsi"/>
          <w:i/>
          <w:szCs w:val="22"/>
          <w:lang w:val="en-AU"/>
        </w:rPr>
        <w:t>Time Goals Toolkit</w:t>
      </w:r>
    </w:p>
    <w:p w14:paraId="12427164" w14:textId="5CB9AAB4"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Remote Court Proceedings Toolkit Webinar recordings</w:t>
      </w:r>
    </w:p>
    <w:p w14:paraId="261CAA14" w14:textId="11168FD1" w:rsidR="00CC7D3B" w:rsidRPr="00E47089" w:rsidRDefault="00CC7D3B"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 xml:space="preserve">Sustainable Development Goals </w:t>
      </w:r>
      <w:r w:rsidR="00DD1CDD" w:rsidRPr="00E47089">
        <w:rPr>
          <w:rFonts w:asciiTheme="minorHAnsi" w:hAnsiTheme="minorHAnsi" w:cstheme="minorHAnsi"/>
          <w:szCs w:val="22"/>
          <w:lang w:val="en-AU"/>
        </w:rPr>
        <w:t>W</w:t>
      </w:r>
      <w:r w:rsidRPr="00E47089">
        <w:rPr>
          <w:rFonts w:asciiTheme="minorHAnsi" w:hAnsiTheme="minorHAnsi" w:cstheme="minorHAnsi"/>
          <w:szCs w:val="22"/>
          <w:lang w:val="en-AU"/>
        </w:rPr>
        <w:t xml:space="preserve">ebinar </w:t>
      </w:r>
      <w:r w:rsidR="00DD1CDD" w:rsidRPr="00E47089">
        <w:rPr>
          <w:rFonts w:asciiTheme="minorHAnsi" w:hAnsiTheme="minorHAnsi" w:cstheme="minorHAnsi"/>
          <w:szCs w:val="22"/>
          <w:lang w:val="en-AU"/>
        </w:rPr>
        <w:t>S</w:t>
      </w:r>
      <w:r w:rsidRPr="00E47089">
        <w:rPr>
          <w:rFonts w:asciiTheme="minorHAnsi" w:hAnsiTheme="minorHAnsi" w:cstheme="minorHAnsi"/>
          <w:szCs w:val="22"/>
          <w:lang w:val="en-AU"/>
        </w:rPr>
        <w:t>eries recordings</w:t>
      </w:r>
    </w:p>
    <w:p w14:paraId="17DF5C40" w14:textId="0B270796"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 xml:space="preserve">Sustainable Development Goals Issues Paper </w:t>
      </w:r>
    </w:p>
    <w:p w14:paraId="2ABCA3A8" w14:textId="1BC47B7A"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5</w:t>
      </w:r>
      <w:r w:rsidR="004972F9" w:rsidRPr="00E47089">
        <w:rPr>
          <w:rFonts w:asciiTheme="minorHAnsi" w:hAnsiTheme="minorHAnsi" w:cstheme="minorHAnsi"/>
          <w:szCs w:val="22"/>
          <w:lang w:val="en-AU"/>
        </w:rPr>
        <w:t xml:space="preserve"> </w:t>
      </w:r>
      <w:r w:rsidRPr="00E47089">
        <w:rPr>
          <w:rFonts w:asciiTheme="minorHAnsi" w:hAnsiTheme="minorHAnsi" w:cstheme="minorHAnsi"/>
          <w:szCs w:val="22"/>
          <w:lang w:val="en-AU"/>
        </w:rPr>
        <w:t>x Trend Reports (</w:t>
      </w:r>
      <w:r w:rsidRPr="00E47089">
        <w:rPr>
          <w:rFonts w:asciiTheme="minorHAnsi" w:hAnsiTheme="minorHAnsi" w:cstheme="minorHAnsi"/>
          <w:i/>
          <w:szCs w:val="22"/>
          <w:lang w:val="en-AU"/>
        </w:rPr>
        <w:t>3 developed in PJDP</w:t>
      </w:r>
      <w:r w:rsidRPr="00E47089">
        <w:rPr>
          <w:rFonts w:asciiTheme="minorHAnsi" w:hAnsiTheme="minorHAnsi" w:cstheme="minorHAnsi"/>
          <w:szCs w:val="22"/>
          <w:lang w:val="en-AU"/>
        </w:rPr>
        <w:t>)</w:t>
      </w:r>
    </w:p>
    <w:p w14:paraId="33443285" w14:textId="7A34020A"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Cook Island Indicators strategy paper</w:t>
      </w:r>
    </w:p>
    <w:p w14:paraId="383F3617" w14:textId="2D34AA1F" w:rsidR="00DD1CDD" w:rsidRPr="00E47089" w:rsidRDefault="00DD1CDD"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Court Performance Planning and Measurement paper</w:t>
      </w:r>
    </w:p>
    <w:p w14:paraId="586F4046" w14:textId="0798AD5D" w:rsidR="00EF5043" w:rsidRPr="00E47089" w:rsidRDefault="00EF5043" w:rsidP="008C15D6">
      <w:pPr>
        <w:pStyle w:val="ListParagraph"/>
        <w:numPr>
          <w:ilvl w:val="0"/>
          <w:numId w:val="4"/>
        </w:numPr>
        <w:autoSpaceDE w:val="0"/>
        <w:autoSpaceDN w:val="0"/>
        <w:adjustRightInd w:val="0"/>
        <w:spacing w:before="120"/>
        <w:ind w:left="567"/>
        <w:rPr>
          <w:rFonts w:asciiTheme="minorHAnsi" w:hAnsiTheme="minorHAnsi" w:cstheme="minorHAnsi"/>
          <w:szCs w:val="22"/>
          <w:lang w:val="en-AU"/>
        </w:rPr>
      </w:pPr>
      <w:r w:rsidRPr="00E47089">
        <w:rPr>
          <w:rFonts w:asciiTheme="minorHAnsi" w:hAnsiTheme="minorHAnsi" w:cstheme="minorHAnsi"/>
          <w:szCs w:val="22"/>
          <w:lang w:val="en-AU"/>
        </w:rPr>
        <w:t>Remote Delivery Concept Paper</w:t>
      </w:r>
    </w:p>
    <w:p w14:paraId="08A8789C" w14:textId="77777777" w:rsidR="00F41BBE" w:rsidRPr="00E47089" w:rsidRDefault="000366BF" w:rsidP="008C15D6">
      <w:pPr>
        <w:pStyle w:val="ListParagraph"/>
        <w:numPr>
          <w:ilvl w:val="0"/>
          <w:numId w:val="4"/>
        </w:numPr>
        <w:autoSpaceDE w:val="0"/>
        <w:autoSpaceDN w:val="0"/>
        <w:adjustRightInd w:val="0"/>
        <w:spacing w:before="120"/>
        <w:ind w:left="567"/>
        <w:rPr>
          <w:lang w:val="en-AU"/>
        </w:rPr>
      </w:pPr>
      <w:r w:rsidRPr="00E47089">
        <w:rPr>
          <w:rFonts w:asciiTheme="minorHAnsi" w:hAnsiTheme="minorHAnsi" w:cstheme="minorHAnsi"/>
          <w:i/>
          <w:szCs w:val="22"/>
          <w:lang w:val="en-AU"/>
        </w:rPr>
        <w:t>Annual Court Reporting Toolki</w:t>
      </w:r>
      <w:r w:rsidR="0079212A" w:rsidRPr="00E47089">
        <w:rPr>
          <w:rFonts w:asciiTheme="minorHAnsi" w:hAnsiTheme="minorHAnsi" w:cstheme="minorHAnsi"/>
          <w:i/>
          <w:szCs w:val="22"/>
          <w:lang w:val="en-AU"/>
        </w:rPr>
        <w:t>t</w:t>
      </w:r>
    </w:p>
    <w:p w14:paraId="51394F60" w14:textId="088C8B3A" w:rsidR="008579CA" w:rsidRPr="00E47089" w:rsidRDefault="00F41BBE" w:rsidP="008C15D6">
      <w:pPr>
        <w:pStyle w:val="ListParagraph"/>
        <w:numPr>
          <w:ilvl w:val="0"/>
          <w:numId w:val="4"/>
        </w:numPr>
        <w:autoSpaceDE w:val="0"/>
        <w:autoSpaceDN w:val="0"/>
        <w:adjustRightInd w:val="0"/>
        <w:spacing w:before="120"/>
        <w:ind w:left="567"/>
        <w:rPr>
          <w:lang w:val="en-AU"/>
        </w:rPr>
        <w:sectPr w:rsidR="008579CA" w:rsidRPr="00E47089" w:rsidSect="00AA3D5E">
          <w:headerReference w:type="default" r:id="rId234"/>
          <w:headerReference w:type="first" r:id="rId235"/>
          <w:pgSz w:w="11906" w:h="16838" w:code="9"/>
          <w:pgMar w:top="1559" w:right="1361" w:bottom="1418" w:left="1361" w:header="397" w:footer="249" w:gutter="0"/>
          <w:cols w:space="708"/>
          <w:titlePg/>
          <w:docGrid w:linePitch="360"/>
        </w:sectPr>
      </w:pPr>
      <w:r w:rsidRPr="00E47089">
        <w:rPr>
          <w:rFonts w:asciiTheme="minorHAnsi" w:hAnsiTheme="minorHAnsi" w:cstheme="minorHAnsi"/>
          <w:i/>
          <w:szCs w:val="22"/>
          <w:lang w:val="en-AU"/>
        </w:rPr>
        <w:t>Guide to Reporting on the Sustainable Development Goals</w:t>
      </w:r>
      <w:r w:rsidR="00034AFE" w:rsidRPr="00E47089">
        <w:rPr>
          <w:rFonts w:cstheme="minorHAnsi"/>
          <w:i/>
          <w:szCs w:val="22"/>
          <w:lang w:val="en-AU"/>
        </w:rPr>
        <w:br w:type="page"/>
      </w:r>
    </w:p>
    <w:p w14:paraId="5ACD7CBC" w14:textId="0CF789F4" w:rsidR="007D5098" w:rsidRPr="00F34A39" w:rsidRDefault="007D5098" w:rsidP="009B7CD4">
      <w:pPr>
        <w:pStyle w:val="HBHeading1"/>
        <w:spacing w:before="0"/>
        <w:rPr>
          <w:color w:val="00323E" w:themeColor="accent1" w:themeShade="80"/>
          <w:lang w:val="en-AU"/>
        </w:rPr>
      </w:pPr>
      <w:bookmarkStart w:id="51" w:name="_Toc75185183"/>
      <w:bookmarkStart w:id="52" w:name="_Toc77423627"/>
      <w:bookmarkStart w:id="53" w:name="_Toc90564321"/>
      <w:bookmarkEnd w:id="1"/>
      <w:r w:rsidRPr="00F34A39">
        <w:rPr>
          <w:color w:val="00323E" w:themeColor="accent1" w:themeShade="80"/>
          <w:lang w:val="en-AU"/>
        </w:rPr>
        <w:lastRenderedPageBreak/>
        <w:t xml:space="preserve">Annex </w:t>
      </w:r>
      <w:r w:rsidR="00777AE7">
        <w:rPr>
          <w:color w:val="00323E" w:themeColor="accent1" w:themeShade="80"/>
          <w:lang w:val="en-AU"/>
        </w:rPr>
        <w:t>Eight</w:t>
      </w:r>
      <w:r w:rsidR="00741253" w:rsidRPr="00F34A39">
        <w:rPr>
          <w:color w:val="00323E" w:themeColor="accent1" w:themeShade="80"/>
          <w:lang w:val="en-AU"/>
        </w:rPr>
        <w:t>:</w:t>
      </w:r>
      <w:r w:rsidRPr="00F34A39">
        <w:rPr>
          <w:color w:val="00323E" w:themeColor="accent1" w:themeShade="80"/>
          <w:lang w:val="en-AU"/>
        </w:rPr>
        <w:t xml:space="preserve"> Development Effectiveness</w:t>
      </w:r>
      <w:bookmarkEnd w:id="51"/>
      <w:bookmarkEnd w:id="52"/>
      <w:bookmarkEnd w:id="53"/>
    </w:p>
    <w:p w14:paraId="18371BE1" w14:textId="77777777" w:rsidR="007D5098" w:rsidRPr="00F34A39" w:rsidRDefault="007D5098" w:rsidP="007D5098">
      <w:pPr>
        <w:contextualSpacing/>
        <w:rPr>
          <w:rFonts w:cstheme="minorHAnsi"/>
          <w:sz w:val="22"/>
          <w:szCs w:val="22"/>
          <w:lang w:val="en-AU" w:eastAsia="en-US"/>
        </w:rPr>
      </w:pPr>
      <w:r w:rsidRPr="00F34A39">
        <w:rPr>
          <w:rFonts w:cstheme="minorHAnsi"/>
          <w:noProof/>
          <w:sz w:val="22"/>
          <w:szCs w:val="22"/>
          <w:lang w:val="en-AU"/>
        </w:rPr>
        <w:drawing>
          <wp:anchor distT="0" distB="0" distL="114300" distR="114300" simplePos="0" relativeHeight="251618816" behindDoc="1" locked="0" layoutInCell="1" allowOverlap="1" wp14:anchorId="13CB9B72" wp14:editId="19A1D5C0">
            <wp:simplePos x="0" y="0"/>
            <wp:positionH relativeFrom="margin">
              <wp:align>left</wp:align>
            </wp:positionH>
            <wp:positionV relativeFrom="paragraph">
              <wp:posOffset>555625</wp:posOffset>
            </wp:positionV>
            <wp:extent cx="5248275" cy="3371850"/>
            <wp:effectExtent l="0" t="38100" r="0" b="38100"/>
            <wp:wrapTopAndBottom/>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6" r:lo="rId237" r:qs="rId238" r:cs="rId239"/>
              </a:graphicData>
            </a:graphic>
            <wp14:sizeRelH relativeFrom="margin">
              <wp14:pctWidth>0</wp14:pctWidth>
            </wp14:sizeRelH>
            <wp14:sizeRelV relativeFrom="margin">
              <wp14:pctHeight>0</wp14:pctHeight>
            </wp14:sizeRelV>
          </wp:anchor>
        </w:drawing>
      </w:r>
      <w:r w:rsidRPr="00F34A39">
        <w:rPr>
          <w:rFonts w:cstheme="minorHAnsi"/>
          <w:sz w:val="22"/>
          <w:szCs w:val="22"/>
          <w:lang w:val="en-AU" w:eastAsia="en-US"/>
        </w:rPr>
        <w:t>PJSI continues to attribute the successful achievement of its outputs to a collection of interrelated factors:</w:t>
      </w:r>
    </w:p>
    <w:p w14:paraId="15354994" w14:textId="77777777" w:rsidR="007D5098" w:rsidRPr="005466A3" w:rsidRDefault="007D5098" w:rsidP="005466A3">
      <w:pPr>
        <w:spacing w:before="120" w:after="120"/>
        <w:rPr>
          <w:rFonts w:asciiTheme="majorHAnsi" w:hAnsiTheme="majorHAnsi" w:cstheme="majorHAnsi"/>
          <w:b/>
          <w:color w:val="004B5C" w:themeColor="accent1" w:themeShade="BF"/>
          <w:sz w:val="26"/>
          <w:szCs w:val="26"/>
          <w:lang w:val="en-AU"/>
        </w:rPr>
      </w:pPr>
      <w:bookmarkStart w:id="54" w:name="_Toc39562781"/>
      <w:bookmarkStart w:id="55" w:name="_Toc44681891"/>
      <w:bookmarkStart w:id="56" w:name="_Toc57630093"/>
      <w:bookmarkStart w:id="57" w:name="_Toc62550856"/>
      <w:bookmarkStart w:id="58" w:name="_Toc74409937"/>
      <w:bookmarkStart w:id="59" w:name="_Toc75185184"/>
      <w:bookmarkStart w:id="60" w:name="_Toc75185755"/>
      <w:bookmarkStart w:id="61" w:name="_Toc75511307"/>
      <w:bookmarkStart w:id="62" w:name="_Toc76048248"/>
      <w:bookmarkStart w:id="63" w:name="_Toc76387407"/>
      <w:bookmarkStart w:id="64" w:name="_Toc77163392"/>
      <w:bookmarkStart w:id="65" w:name="_Toc77423628"/>
      <w:r w:rsidRPr="005466A3">
        <w:rPr>
          <w:rFonts w:asciiTheme="majorHAnsi" w:hAnsiTheme="majorHAnsi" w:cstheme="majorHAnsi"/>
          <w:b/>
          <w:color w:val="004B5C" w:themeColor="accent1" w:themeShade="BF"/>
          <w:sz w:val="26"/>
          <w:szCs w:val="26"/>
          <w:lang w:val="en-AU"/>
        </w:rPr>
        <w:t>Sustainability</w:t>
      </w:r>
      <w:bookmarkEnd w:id="54"/>
      <w:bookmarkEnd w:id="55"/>
      <w:bookmarkEnd w:id="56"/>
      <w:bookmarkEnd w:id="57"/>
      <w:bookmarkEnd w:id="58"/>
      <w:bookmarkEnd w:id="59"/>
      <w:bookmarkEnd w:id="60"/>
      <w:bookmarkEnd w:id="61"/>
      <w:bookmarkEnd w:id="62"/>
      <w:bookmarkEnd w:id="63"/>
      <w:bookmarkEnd w:id="64"/>
      <w:bookmarkEnd w:id="65"/>
    </w:p>
    <w:p w14:paraId="38546724" w14:textId="67B3AD53" w:rsidR="007D5098" w:rsidRPr="00F34A39" w:rsidRDefault="007D5098" w:rsidP="007D5098">
      <w:pPr>
        <w:spacing w:before="120" w:after="120"/>
        <w:rPr>
          <w:rFonts w:cstheme="minorHAnsi"/>
          <w:sz w:val="22"/>
          <w:szCs w:val="22"/>
          <w:lang w:val="en-AU"/>
        </w:rPr>
      </w:pPr>
      <w:r w:rsidRPr="00F34A39">
        <w:rPr>
          <w:rFonts w:cstheme="minorHAnsi"/>
          <w:b/>
          <w:sz w:val="22"/>
          <w:szCs w:val="22"/>
          <w:lang w:val="en-AU"/>
        </w:rPr>
        <w:t xml:space="preserve">Strong professional relationships: </w:t>
      </w:r>
      <w:r w:rsidR="00E9166A" w:rsidRPr="004972F9">
        <w:rPr>
          <w:rFonts w:cstheme="minorHAnsi"/>
          <w:bCs/>
          <w:sz w:val="22"/>
          <w:szCs w:val="22"/>
          <w:lang w:val="en-AU"/>
        </w:rPr>
        <w:t>As</w:t>
      </w:r>
      <w:r w:rsidR="00E9166A">
        <w:rPr>
          <w:rFonts w:cstheme="minorHAnsi"/>
          <w:b/>
          <w:sz w:val="22"/>
          <w:szCs w:val="22"/>
          <w:lang w:val="en-AU"/>
        </w:rPr>
        <w:t xml:space="preserve"> </w:t>
      </w:r>
      <w:r w:rsidRPr="00F34A39">
        <w:rPr>
          <w:rFonts w:cstheme="minorHAnsi"/>
          <w:sz w:val="22"/>
          <w:szCs w:val="22"/>
          <w:lang w:val="en-AU"/>
        </w:rPr>
        <w:t>PJSI</w:t>
      </w:r>
      <w:r w:rsidR="00E9166A">
        <w:rPr>
          <w:rFonts w:cstheme="minorHAnsi"/>
          <w:sz w:val="22"/>
          <w:szCs w:val="22"/>
          <w:lang w:val="en-AU"/>
        </w:rPr>
        <w:t xml:space="preserve"> is managed by a court of peers, PJSI</w:t>
      </w:r>
      <w:r w:rsidRPr="00F34A39">
        <w:rPr>
          <w:rFonts w:cstheme="minorHAnsi"/>
          <w:sz w:val="22"/>
          <w:szCs w:val="22"/>
          <w:lang w:val="en-AU"/>
        </w:rPr>
        <w:t xml:space="preserve"> has fostered strong trusted and professional relationships with key stakeholders and between counterparts and institutions in different </w:t>
      </w:r>
      <w:r w:rsidR="001F0971" w:rsidRPr="00F34A39">
        <w:rPr>
          <w:sz w:val="22"/>
          <w:szCs w:val="22"/>
          <w:lang w:val="en-AU"/>
        </w:rPr>
        <w:t>Partner Courts</w:t>
      </w:r>
      <w:r w:rsidR="001F0971" w:rsidRPr="00F34A39" w:rsidDel="00FA7421">
        <w:rPr>
          <w:sz w:val="22"/>
          <w:szCs w:val="22"/>
          <w:lang w:val="en-AU"/>
        </w:rPr>
        <w:t xml:space="preserve"> </w:t>
      </w:r>
      <w:r w:rsidRPr="00F34A39">
        <w:rPr>
          <w:rFonts w:cstheme="minorHAnsi"/>
          <w:sz w:val="22"/>
          <w:szCs w:val="22"/>
          <w:lang w:val="en-AU"/>
        </w:rPr>
        <w:t xml:space="preserve">and with institutions in New Zealand and Australia. These relationships are being maintained through in-person </w:t>
      </w:r>
      <w:r w:rsidR="0011211F" w:rsidRPr="00F34A39">
        <w:rPr>
          <w:rFonts w:cstheme="minorHAnsi"/>
          <w:sz w:val="22"/>
          <w:szCs w:val="22"/>
          <w:lang w:val="en-AU"/>
        </w:rPr>
        <w:t xml:space="preserve">(where possible) </w:t>
      </w:r>
      <w:r w:rsidRPr="00F34A39">
        <w:rPr>
          <w:rFonts w:cstheme="minorHAnsi"/>
          <w:sz w:val="22"/>
          <w:szCs w:val="22"/>
          <w:lang w:val="en-AU"/>
        </w:rPr>
        <w:t xml:space="preserve">and remote communications and activities and have proven to be the gateway to articulating and navigating through a number of challenges. </w:t>
      </w:r>
    </w:p>
    <w:p w14:paraId="1905A8A5" w14:textId="336B28AA" w:rsidR="007D5098" w:rsidRPr="00F34A39" w:rsidRDefault="007D5098" w:rsidP="007D5098">
      <w:pPr>
        <w:spacing w:before="120" w:after="120"/>
        <w:rPr>
          <w:rFonts w:cstheme="minorHAnsi"/>
          <w:sz w:val="22"/>
          <w:szCs w:val="22"/>
          <w:lang w:val="en-AU"/>
        </w:rPr>
      </w:pPr>
      <w:r w:rsidRPr="00F34A39">
        <w:rPr>
          <w:rFonts w:cstheme="minorHAnsi"/>
          <w:b/>
          <w:sz w:val="22"/>
          <w:szCs w:val="22"/>
          <w:lang w:val="en-AU"/>
        </w:rPr>
        <w:t xml:space="preserve">Building transparent and accountable courts: </w:t>
      </w:r>
      <w:r w:rsidRPr="00F34A39">
        <w:rPr>
          <w:rFonts w:cstheme="minorHAnsi"/>
          <w:sz w:val="22"/>
          <w:szCs w:val="22"/>
          <w:lang w:val="en-AU"/>
        </w:rPr>
        <w:t>Among the region’s leaders it is accepted that courts should be transparent and accountable to the public for the work they do. PJSIs support to planning, capacity building and implementation of changes is translating that commitment into results. There is</w:t>
      </w:r>
      <w:r w:rsidRPr="00F34A39">
        <w:rPr>
          <w:rFonts w:cstheme="minorHAnsi"/>
          <w:color w:val="000000"/>
          <w:sz w:val="22"/>
          <w:szCs w:val="22"/>
          <w:lang w:val="en-AU"/>
        </w:rPr>
        <w:t xml:space="preserve"> ownership by </w:t>
      </w:r>
      <w:r w:rsidR="001F0971" w:rsidRPr="00F34A39">
        <w:rPr>
          <w:sz w:val="22"/>
          <w:szCs w:val="22"/>
          <w:lang w:val="en-AU"/>
        </w:rPr>
        <w:t>Partner Court</w:t>
      </w:r>
      <w:r w:rsidR="001F0971" w:rsidRPr="00F34A39" w:rsidDel="00FA7421">
        <w:rPr>
          <w:sz w:val="22"/>
          <w:szCs w:val="22"/>
          <w:lang w:val="en-AU"/>
        </w:rPr>
        <w:t xml:space="preserve"> </w:t>
      </w:r>
      <w:r w:rsidRPr="00F34A39">
        <w:rPr>
          <w:rFonts w:cstheme="minorHAnsi"/>
          <w:color w:val="000000"/>
          <w:sz w:val="22"/>
          <w:szCs w:val="22"/>
          <w:lang w:val="en-AU"/>
        </w:rPr>
        <w:t xml:space="preserve">leadership, and the capacity to identify and address deficiencies in court performance, according to their own considered and committed standards. </w:t>
      </w:r>
    </w:p>
    <w:p w14:paraId="0923903F" w14:textId="46E4890C" w:rsidR="007D5098" w:rsidRPr="00F34A39" w:rsidRDefault="007D5098" w:rsidP="007D5098">
      <w:pPr>
        <w:spacing w:before="120" w:after="120"/>
        <w:rPr>
          <w:rFonts w:cstheme="minorHAnsi"/>
          <w:sz w:val="22"/>
          <w:szCs w:val="22"/>
          <w:lang w:val="en-AU"/>
        </w:rPr>
      </w:pPr>
      <w:r w:rsidRPr="00F34A39">
        <w:rPr>
          <w:rFonts w:cstheme="minorHAnsi"/>
          <w:b/>
          <w:sz w:val="22"/>
          <w:szCs w:val="22"/>
          <w:lang w:val="en-AU"/>
        </w:rPr>
        <w:t xml:space="preserve">Building functional justice: </w:t>
      </w:r>
      <w:r w:rsidRPr="00F34A39">
        <w:rPr>
          <w:rFonts w:cstheme="minorHAnsi"/>
          <w:sz w:val="22"/>
          <w:szCs w:val="22"/>
          <w:lang w:val="en-AU"/>
        </w:rPr>
        <w:t>Through support to develop and implement systems, tools and capacity to track, analyse</w:t>
      </w:r>
      <w:r w:rsidR="00CA3567">
        <w:rPr>
          <w:rFonts w:cstheme="minorHAnsi"/>
          <w:sz w:val="22"/>
          <w:szCs w:val="22"/>
          <w:lang w:val="en-AU"/>
        </w:rPr>
        <w:t xml:space="preserve"> and</w:t>
      </w:r>
      <w:r w:rsidRPr="00F34A39">
        <w:rPr>
          <w:rFonts w:cstheme="minorHAnsi"/>
          <w:sz w:val="22"/>
          <w:szCs w:val="22"/>
          <w:lang w:val="en-AU"/>
        </w:rPr>
        <w:t xml:space="preserve"> report on </w:t>
      </w:r>
      <w:r w:rsidR="00CA3567">
        <w:rPr>
          <w:rFonts w:cstheme="minorHAnsi"/>
          <w:sz w:val="22"/>
          <w:szCs w:val="22"/>
          <w:lang w:val="en-AU"/>
        </w:rPr>
        <w:t>cases, courts now use core</w:t>
      </w:r>
      <w:r w:rsidR="00CA3567" w:rsidRPr="00F34A39" w:rsidDel="00CA3567">
        <w:rPr>
          <w:rFonts w:cstheme="minorHAnsi"/>
          <w:sz w:val="22"/>
          <w:szCs w:val="22"/>
          <w:lang w:val="en-AU"/>
        </w:rPr>
        <w:t xml:space="preserve"> </w:t>
      </w:r>
      <w:r w:rsidRPr="00F34A39">
        <w:rPr>
          <w:rFonts w:cstheme="minorHAnsi"/>
          <w:sz w:val="22"/>
          <w:szCs w:val="22"/>
          <w:lang w:val="en-AU"/>
        </w:rPr>
        <w:t xml:space="preserve">court performance </w:t>
      </w:r>
      <w:r w:rsidR="00CA3567">
        <w:rPr>
          <w:rFonts w:cstheme="minorHAnsi"/>
          <w:sz w:val="22"/>
          <w:szCs w:val="22"/>
          <w:lang w:val="en-AU"/>
        </w:rPr>
        <w:t xml:space="preserve">indicators to track performance, address delay and operate efficiently. These systems also provide </w:t>
      </w:r>
      <w:r w:rsidRPr="00F34A39">
        <w:rPr>
          <w:rFonts w:cstheme="minorHAnsi"/>
          <w:sz w:val="22"/>
          <w:szCs w:val="22"/>
          <w:lang w:val="en-AU"/>
        </w:rPr>
        <w:t xml:space="preserve">data </w:t>
      </w:r>
      <w:r w:rsidR="00CA3567">
        <w:rPr>
          <w:rFonts w:cstheme="minorHAnsi"/>
          <w:sz w:val="22"/>
          <w:szCs w:val="22"/>
          <w:lang w:val="en-AU"/>
        </w:rPr>
        <w:t>for</w:t>
      </w:r>
      <w:r w:rsidR="00CA3567" w:rsidRPr="00F34A39">
        <w:rPr>
          <w:rFonts w:cstheme="minorHAnsi"/>
          <w:sz w:val="22"/>
          <w:szCs w:val="22"/>
          <w:lang w:val="en-AU"/>
        </w:rPr>
        <w:t xml:space="preserve"> </w:t>
      </w:r>
      <w:r w:rsidRPr="00F34A39">
        <w:rPr>
          <w:rFonts w:cstheme="minorHAnsi"/>
          <w:sz w:val="22"/>
          <w:szCs w:val="22"/>
          <w:lang w:val="en-AU"/>
        </w:rPr>
        <w:t xml:space="preserve">the Cook Islands Indicators and </w:t>
      </w:r>
      <w:r w:rsidR="00CA3567">
        <w:rPr>
          <w:rFonts w:cstheme="minorHAnsi"/>
          <w:sz w:val="22"/>
          <w:szCs w:val="22"/>
          <w:lang w:val="en-AU"/>
        </w:rPr>
        <w:t>measurement of time goals</w:t>
      </w:r>
      <w:r w:rsidRPr="00F34A39">
        <w:rPr>
          <w:rFonts w:cstheme="minorHAnsi"/>
          <w:sz w:val="22"/>
          <w:szCs w:val="22"/>
          <w:lang w:val="en-AU"/>
        </w:rPr>
        <w:t xml:space="preserve">. Since the advent of COVID-19, PJSIs support to these systems, tools and capacity have become acutely more significant to ensure that justice can continue to be delivered, remotely while health restrictions require people to remain physically distant.  </w:t>
      </w:r>
    </w:p>
    <w:p w14:paraId="34616D3F" w14:textId="5FDE959F" w:rsidR="007D5098" w:rsidRPr="00F34A39" w:rsidRDefault="007D5098" w:rsidP="007D5098">
      <w:pPr>
        <w:spacing w:before="120" w:after="120"/>
        <w:rPr>
          <w:rFonts w:cstheme="minorHAnsi"/>
          <w:sz w:val="22"/>
          <w:szCs w:val="22"/>
          <w:lang w:val="en-AU"/>
        </w:rPr>
      </w:pPr>
      <w:r w:rsidRPr="00F34A39">
        <w:rPr>
          <w:rFonts w:cstheme="minorHAnsi"/>
          <w:b/>
          <w:sz w:val="22"/>
          <w:szCs w:val="22"/>
          <w:lang w:val="en-AU"/>
        </w:rPr>
        <w:t xml:space="preserve">Increased access to justice, and action on gender/family violence and human rights: </w:t>
      </w:r>
      <w:r w:rsidRPr="00F34A39">
        <w:rPr>
          <w:rFonts w:cstheme="minorHAnsi"/>
          <w:sz w:val="22"/>
          <w:szCs w:val="22"/>
          <w:lang w:val="en-AU"/>
        </w:rPr>
        <w:t xml:space="preserve">The combination of PJSI activities has bolstered sustained progress in access to justice, gender and family violence; and human rights through the establishment of a ‘community of practice’ bringing court actors together at a regional level to: present related court developments and case law from their </w:t>
      </w:r>
      <w:r w:rsidRPr="00F34A39">
        <w:rPr>
          <w:rFonts w:cstheme="minorHAnsi"/>
          <w:sz w:val="22"/>
          <w:szCs w:val="22"/>
          <w:lang w:val="en-AU"/>
        </w:rPr>
        <w:lastRenderedPageBreak/>
        <w:t xml:space="preserve">countries; discuss common challenges and practical approaches to address them; and identify common projects to work on such as implementing measures to ensure courts are physically and procedurally accessible; agreeing on common performance indicators, and sharing materials/templates that could be adapted and used for internal and court outreach efforts. </w:t>
      </w:r>
      <w:bookmarkStart w:id="66" w:name="_Toc39562782"/>
      <w:bookmarkStart w:id="67" w:name="_Toc44681892"/>
    </w:p>
    <w:p w14:paraId="18A8D1BF" w14:textId="13921774" w:rsidR="007D5098" w:rsidRPr="005466A3" w:rsidRDefault="007D5098" w:rsidP="005466A3">
      <w:pPr>
        <w:spacing w:before="120" w:after="120"/>
        <w:rPr>
          <w:rFonts w:asciiTheme="majorHAnsi" w:hAnsiTheme="majorHAnsi" w:cstheme="majorHAnsi"/>
          <w:b/>
          <w:color w:val="004B5C" w:themeColor="accent1" w:themeShade="BF"/>
          <w:sz w:val="26"/>
          <w:szCs w:val="26"/>
          <w:lang w:val="en-AU"/>
        </w:rPr>
      </w:pPr>
      <w:bookmarkStart w:id="68" w:name="_Toc57630094"/>
      <w:bookmarkStart w:id="69" w:name="_Toc62550857"/>
      <w:bookmarkStart w:id="70" w:name="_Toc74409938"/>
      <w:bookmarkStart w:id="71" w:name="_Toc75185185"/>
      <w:bookmarkStart w:id="72" w:name="_Toc75185756"/>
      <w:bookmarkStart w:id="73" w:name="_Toc75511308"/>
      <w:bookmarkStart w:id="74" w:name="_Toc76048249"/>
      <w:bookmarkStart w:id="75" w:name="_Toc76387408"/>
      <w:bookmarkStart w:id="76" w:name="_Toc77163393"/>
      <w:bookmarkStart w:id="77" w:name="_Toc77423629"/>
      <w:r w:rsidRPr="005466A3">
        <w:rPr>
          <w:rFonts w:asciiTheme="majorHAnsi" w:hAnsiTheme="majorHAnsi" w:cstheme="majorHAnsi"/>
          <w:b/>
          <w:color w:val="004B5C" w:themeColor="accent1" w:themeShade="BF"/>
          <w:sz w:val="26"/>
          <w:szCs w:val="26"/>
          <w:lang w:val="en-AU"/>
        </w:rPr>
        <w:t>Relevance</w:t>
      </w:r>
      <w:bookmarkEnd w:id="66"/>
      <w:bookmarkEnd w:id="67"/>
      <w:bookmarkEnd w:id="68"/>
      <w:bookmarkEnd w:id="69"/>
      <w:bookmarkEnd w:id="70"/>
      <w:bookmarkEnd w:id="71"/>
      <w:bookmarkEnd w:id="72"/>
      <w:bookmarkEnd w:id="73"/>
      <w:bookmarkEnd w:id="74"/>
      <w:bookmarkEnd w:id="75"/>
      <w:bookmarkEnd w:id="76"/>
      <w:bookmarkEnd w:id="77"/>
    </w:p>
    <w:p w14:paraId="0A526628" w14:textId="229FCF64" w:rsidR="007D5098" w:rsidRPr="00F34A39" w:rsidRDefault="00A56C94" w:rsidP="007D5098">
      <w:pPr>
        <w:contextualSpacing/>
        <w:rPr>
          <w:rFonts w:cstheme="minorHAnsi"/>
          <w:sz w:val="22"/>
          <w:szCs w:val="22"/>
          <w:lang w:val="en-AU"/>
        </w:rPr>
      </w:pPr>
      <w:r>
        <w:rPr>
          <w:noProof/>
          <w:lang w:val="en-AU"/>
        </w:rPr>
        <w:drawing>
          <wp:anchor distT="0" distB="0" distL="114300" distR="114300" simplePos="0" relativeHeight="251713024" behindDoc="0" locked="0" layoutInCell="1" allowOverlap="1" wp14:anchorId="0B6600A8" wp14:editId="146645F7">
            <wp:simplePos x="0" y="0"/>
            <wp:positionH relativeFrom="margin">
              <wp:align>right</wp:align>
            </wp:positionH>
            <wp:positionV relativeFrom="paragraph">
              <wp:posOffset>32385</wp:posOffset>
            </wp:positionV>
            <wp:extent cx="2699385" cy="2628000"/>
            <wp:effectExtent l="19050" t="19050" r="24765" b="20320"/>
            <wp:wrapSquare wrapText="bothSides"/>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14:sizeRelH relativeFrom="margin">
              <wp14:pctWidth>0</wp14:pctWidth>
            </wp14:sizeRelH>
            <wp14:sizeRelV relativeFrom="margin">
              <wp14:pctHeight>0</wp14:pctHeight>
            </wp14:sizeRelV>
          </wp:anchor>
        </w:drawing>
      </w:r>
      <w:r w:rsidR="007D5098" w:rsidRPr="00F34A39">
        <w:rPr>
          <w:rFonts w:cstheme="minorHAnsi"/>
          <w:sz w:val="22"/>
          <w:szCs w:val="22"/>
          <w:lang w:val="en-AU"/>
        </w:rPr>
        <w:t>PJSI ensures the Initiative’s relevance by:</w:t>
      </w:r>
    </w:p>
    <w:p w14:paraId="467110CB" w14:textId="2861209D" w:rsidR="00E9166A" w:rsidRDefault="00E9166A" w:rsidP="008C15D6">
      <w:pPr>
        <w:pStyle w:val="ListParagraph"/>
        <w:numPr>
          <w:ilvl w:val="0"/>
          <w:numId w:val="2"/>
        </w:numPr>
        <w:ind w:left="426" w:hanging="284"/>
        <w:rPr>
          <w:rFonts w:cstheme="minorHAnsi"/>
          <w:szCs w:val="22"/>
          <w:lang w:val="en-AU"/>
        </w:rPr>
      </w:pPr>
      <w:r>
        <w:rPr>
          <w:rFonts w:cstheme="minorHAnsi"/>
          <w:szCs w:val="22"/>
          <w:lang w:val="en-AU"/>
        </w:rPr>
        <w:t>Aligning its support to Partner Courts’ strategic plans.</w:t>
      </w:r>
    </w:p>
    <w:p w14:paraId="1625CD92" w14:textId="1A082B47" w:rsidR="007D5098" w:rsidRPr="00F34A39" w:rsidRDefault="007D5098" w:rsidP="008C15D6">
      <w:pPr>
        <w:pStyle w:val="ListParagraph"/>
        <w:numPr>
          <w:ilvl w:val="0"/>
          <w:numId w:val="2"/>
        </w:numPr>
        <w:ind w:left="426" w:hanging="284"/>
        <w:rPr>
          <w:rFonts w:cstheme="minorHAnsi"/>
          <w:szCs w:val="22"/>
          <w:lang w:val="en-AU"/>
        </w:rPr>
      </w:pPr>
      <w:r w:rsidRPr="00F34A39">
        <w:rPr>
          <w:rFonts w:cstheme="minorHAnsi"/>
          <w:szCs w:val="22"/>
          <w:lang w:val="en-AU"/>
        </w:rPr>
        <w:t xml:space="preserve">Being responsive to positively changing attitudes towards access to justice, gender and family violence, human rights, efficiency, transparency/accountability. </w:t>
      </w:r>
    </w:p>
    <w:p w14:paraId="434C26FE" w14:textId="789CD30E" w:rsidR="007D5098" w:rsidRPr="00F34A39" w:rsidRDefault="007D5098" w:rsidP="008C15D6">
      <w:pPr>
        <w:pStyle w:val="ListParagraph"/>
        <w:numPr>
          <w:ilvl w:val="0"/>
          <w:numId w:val="2"/>
        </w:numPr>
        <w:ind w:left="426" w:hanging="284"/>
        <w:rPr>
          <w:rFonts w:cstheme="minorHAnsi"/>
          <w:szCs w:val="22"/>
          <w:lang w:val="en-AU"/>
        </w:rPr>
      </w:pPr>
      <w:r w:rsidRPr="00F34A39">
        <w:rPr>
          <w:rFonts w:cstheme="minorHAnsi"/>
          <w:szCs w:val="22"/>
          <w:lang w:val="en-AU"/>
        </w:rPr>
        <w:t xml:space="preserve">Maximising engagement with non-court actors, both institutional and community, which has informed a better understanding of the specific local access to justice, gender/family violence and human rights challenges. </w:t>
      </w:r>
    </w:p>
    <w:p w14:paraId="5B80A6A7" w14:textId="187F3BFA" w:rsidR="007D5098" w:rsidRPr="00F34A39" w:rsidRDefault="00A56C94" w:rsidP="008C15D6">
      <w:pPr>
        <w:pStyle w:val="ListParagraph"/>
        <w:numPr>
          <w:ilvl w:val="0"/>
          <w:numId w:val="2"/>
        </w:numPr>
        <w:ind w:left="426" w:hanging="284"/>
        <w:rPr>
          <w:rFonts w:cstheme="minorHAnsi"/>
          <w:szCs w:val="22"/>
          <w:lang w:val="en-AU"/>
        </w:rPr>
      </w:pPr>
      <w:r>
        <w:rPr>
          <w:noProof/>
          <w:lang w:val="en-AU"/>
        </w:rPr>
        <mc:AlternateContent>
          <mc:Choice Requires="wps">
            <w:drawing>
              <wp:anchor distT="0" distB="0" distL="114300" distR="114300" simplePos="0" relativeHeight="251682304" behindDoc="1" locked="0" layoutInCell="1" allowOverlap="1" wp14:anchorId="59385955" wp14:editId="291762F7">
                <wp:simplePos x="0" y="0"/>
                <wp:positionH relativeFrom="column">
                  <wp:posOffset>3098165</wp:posOffset>
                </wp:positionH>
                <wp:positionV relativeFrom="paragraph">
                  <wp:posOffset>622935</wp:posOffset>
                </wp:positionV>
                <wp:extent cx="2535555" cy="635"/>
                <wp:effectExtent l="0" t="0" r="0" b="0"/>
                <wp:wrapTight wrapText="bothSides">
                  <wp:wrapPolygon edited="0">
                    <wp:start x="0" y="0"/>
                    <wp:lineTo x="0" y="20057"/>
                    <wp:lineTo x="21421" y="20057"/>
                    <wp:lineTo x="21421" y="0"/>
                    <wp:lineTo x="0" y="0"/>
                  </wp:wrapPolygon>
                </wp:wrapTight>
                <wp:docPr id="4688" name="Text Box 4688"/>
                <wp:cNvGraphicFramePr/>
                <a:graphic xmlns:a="http://schemas.openxmlformats.org/drawingml/2006/main">
                  <a:graphicData uri="http://schemas.microsoft.com/office/word/2010/wordprocessingShape">
                    <wps:wsp>
                      <wps:cNvSpPr txBox="1"/>
                      <wps:spPr>
                        <a:xfrm>
                          <a:off x="0" y="0"/>
                          <a:ext cx="2535555" cy="635"/>
                        </a:xfrm>
                        <a:prstGeom prst="rect">
                          <a:avLst/>
                        </a:prstGeom>
                        <a:solidFill>
                          <a:prstClr val="white"/>
                        </a:solidFill>
                        <a:ln>
                          <a:noFill/>
                        </a:ln>
                      </wps:spPr>
                      <wps:txbx>
                        <w:txbxContent>
                          <w:p w14:paraId="29FB0AE2" w14:textId="699412FB" w:rsidR="00CA4E85" w:rsidRPr="00132670" w:rsidRDefault="00CA4E85" w:rsidP="009B7CD4">
                            <w:pPr>
                              <w:pStyle w:val="Caption"/>
                              <w:rPr>
                                <w:i w:val="0"/>
                                <w:noProof/>
                                <w:color w:val="auto"/>
                                <w:sz w:val="23"/>
                                <w:szCs w:val="24"/>
                              </w:rPr>
                            </w:pPr>
                            <w:r w:rsidRPr="00E47089">
                              <w:rPr>
                                <w:i w:val="0"/>
                                <w:color w:val="auto"/>
                              </w:rPr>
                              <w:t>Figure 23: Quality &amp; Satisfaction Results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385955" id="Text Box 4688" o:spid="_x0000_s1066" type="#_x0000_t202" style="position:absolute;left:0;text-align:left;margin-left:243.95pt;margin-top:49.05pt;width:199.65pt;height:.05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n6ILwIAAGsEAAAOAAAAZHJzL2Uyb0RvYy54bWysVMGO2jAQvVfqP1i+lwBb0CoirCgrqkpo&#10;dyWo9mwch1iyPa5tSOjXd+wksN32VJWDGc+Mnz3vzWTx0GpFzsJ5Caagk9GYEmE4lNIcC/p9v/l0&#10;T4kPzJRMgREFvQhPH5YfPywam4sp1KBK4QiCGJ83tqB1CDbPMs9roZkfgRUGgxU4zQJu3TErHWsQ&#10;XatsOh7PswZcaR1w4T16H7sgXSb8qhI8PFeVF4GoguLbQlpdWg9xzZYLlh8ds7Xk/TPYP7xCM2nw&#10;0ivUIwuMnJz8A0pL7sBDFUYcdAZVJblINWA1k/G7anY1syLVguR4e6XJ/z9Y/nR+cUSWBf08v0et&#10;DNOo0l60gXyBliQnctRYn2PqzmJyaDGCWkfuot+jM5beVk7HfyyKYBzZvlwZjngcndPZ3Qx/lHCM&#10;ze9mESO7HbXOh68CNIlGQR3Kl1hl560PXeqQEm/yoGS5kUrFTQyslSNnhlI3tQyiB/8tS5mYayCe&#10;6gCjJ7vVEa3QHtqOk9Qg0XWA8oK1O+g6yFu+kXjhlvnwwhy2DJaLYxCecakUNAWF3qKkBvfzb/6Y&#10;j0pilJIGW7Cg/seJOUGJ+mZQ49ivg+EG4zAY5qTXgKVOcMAsTyYecEENZuVAv+J0rOItGGKG410F&#10;DYO5Dt0g4HRxsVqlJOxKy8LW7CyP0AOx+/aVOdvLElDNJxiak+Xv1Olykz52dQpIdZLuxmLPN3Z0&#10;Er+fvjgyb/cp6/aNWP4CAAD//wMAUEsDBBQABgAIAAAAIQCOclDr4AAAAAkBAAAPAAAAZHJzL2Rv&#10;d25yZXYueG1sTI+xTsMwEIZ3JN7BOiQWRJ2GqHVDnKqqYIClInRhc+NrHIjPUey04e1xpzLe3af/&#10;vr9YT7ZjJxx860jCfJYAQ6qdbqmRsP98fRTAfFCkVecIJfyih3V5e1OoXLszfeCpCg2LIeRzJcGE&#10;0Oec+9qgVX7meqR4O7rBqhDHoeF6UOcYbjueJsmCW9VS/GBUj1uD9U81Wgm77GtnHsbjy/smexre&#10;9uN28d1UUt7fTZtnYAGncIXhoh/VoYxOBzeS9qyTkInlKqISVmIOLAJCLFNgh8siBV4W/H+D8g8A&#10;AP//AwBQSwECLQAUAAYACAAAACEAtoM4kv4AAADhAQAAEwAAAAAAAAAAAAAAAAAAAAAAW0NvbnRl&#10;bnRfVHlwZXNdLnhtbFBLAQItABQABgAIAAAAIQA4/SH/1gAAAJQBAAALAAAAAAAAAAAAAAAAAC8B&#10;AABfcmVscy8ucmVsc1BLAQItABQABgAIAAAAIQAaln6ILwIAAGsEAAAOAAAAAAAAAAAAAAAAAC4C&#10;AABkcnMvZTJvRG9jLnhtbFBLAQItABQABgAIAAAAIQCOclDr4AAAAAkBAAAPAAAAAAAAAAAAAAAA&#10;AIkEAABkcnMvZG93bnJldi54bWxQSwUGAAAAAAQABADzAAAAlgUAAAAA&#10;" stroked="f">
                <v:textbox style="mso-fit-shape-to-text:t" inset="0,0,0,0">
                  <w:txbxContent>
                    <w:p w14:paraId="29FB0AE2" w14:textId="699412FB" w:rsidR="00CA4E85" w:rsidRPr="00132670" w:rsidRDefault="00CA4E85" w:rsidP="009B7CD4">
                      <w:pPr>
                        <w:pStyle w:val="Caption"/>
                        <w:rPr>
                          <w:i w:val="0"/>
                          <w:noProof/>
                          <w:color w:val="auto"/>
                          <w:sz w:val="23"/>
                          <w:szCs w:val="24"/>
                        </w:rPr>
                      </w:pPr>
                      <w:r w:rsidRPr="00E47089">
                        <w:rPr>
                          <w:i w:val="0"/>
                          <w:color w:val="auto"/>
                        </w:rPr>
                        <w:t>Figure 23: Quality &amp; Satisfaction Results</w:t>
                      </w:r>
                    </w:p>
                  </w:txbxContent>
                </v:textbox>
                <w10:wrap type="tight"/>
              </v:shape>
            </w:pict>
          </mc:Fallback>
        </mc:AlternateContent>
      </w:r>
      <w:r w:rsidR="007D5098" w:rsidRPr="00F34A39">
        <w:rPr>
          <w:rFonts w:cstheme="minorHAnsi"/>
          <w:szCs w:val="22"/>
          <w:lang w:val="en-AU"/>
        </w:rPr>
        <w:t>Engaging in targeted advocacy among justice sector agency heads, which has enabled discussion about particular laws, access to justice, gender and family violence, and human rights issues, as well as options/appetite for change.</w:t>
      </w:r>
    </w:p>
    <w:p w14:paraId="71864056" w14:textId="6BBD8F30" w:rsidR="007D5098" w:rsidRPr="00F34A39" w:rsidRDefault="007D5098" w:rsidP="008C15D6">
      <w:pPr>
        <w:pStyle w:val="ListParagraph"/>
        <w:numPr>
          <w:ilvl w:val="0"/>
          <w:numId w:val="2"/>
        </w:numPr>
        <w:ind w:left="426" w:hanging="284"/>
        <w:rPr>
          <w:rFonts w:cstheme="minorHAnsi"/>
          <w:szCs w:val="22"/>
          <w:lang w:val="en-AU"/>
        </w:rPr>
      </w:pPr>
      <w:r w:rsidRPr="00F34A39">
        <w:rPr>
          <w:rFonts w:cstheme="minorHAnsi"/>
          <w:szCs w:val="22"/>
          <w:lang w:val="en-AU"/>
        </w:rPr>
        <w:t>Supporting the collection and analysis of court performance data in order to (i) reflect internally on areas that could be improved, and (ii) publish certain court performance information to engage with the public on the efficient and effective use of resources in the delivery of justice.</w:t>
      </w:r>
    </w:p>
    <w:p w14:paraId="4AF97CEC" w14:textId="170AE851" w:rsidR="007D5098" w:rsidRPr="005466A3" w:rsidRDefault="007D5098" w:rsidP="005466A3">
      <w:pPr>
        <w:spacing w:before="120" w:after="120"/>
        <w:rPr>
          <w:rFonts w:asciiTheme="majorHAnsi" w:hAnsiTheme="majorHAnsi" w:cstheme="majorHAnsi"/>
          <w:b/>
          <w:color w:val="004B5C" w:themeColor="accent1" w:themeShade="BF"/>
          <w:sz w:val="26"/>
          <w:szCs w:val="26"/>
          <w:lang w:val="en-AU"/>
        </w:rPr>
      </w:pPr>
      <w:bookmarkStart w:id="78" w:name="_Toc39562783"/>
      <w:bookmarkStart w:id="79" w:name="_Toc44681893"/>
      <w:bookmarkStart w:id="80" w:name="_Toc57630095"/>
      <w:bookmarkStart w:id="81" w:name="_Toc62550858"/>
      <w:bookmarkStart w:id="82" w:name="_Toc74409939"/>
      <w:bookmarkStart w:id="83" w:name="_Toc75185186"/>
      <w:bookmarkStart w:id="84" w:name="_Toc75185757"/>
      <w:bookmarkStart w:id="85" w:name="_Toc75511309"/>
      <w:bookmarkStart w:id="86" w:name="_Toc76048250"/>
      <w:bookmarkStart w:id="87" w:name="_Toc76387409"/>
      <w:bookmarkStart w:id="88" w:name="_Toc77163394"/>
      <w:bookmarkStart w:id="89" w:name="_Toc77423630"/>
      <w:r w:rsidRPr="005466A3">
        <w:rPr>
          <w:rFonts w:asciiTheme="majorHAnsi" w:hAnsiTheme="majorHAnsi" w:cstheme="majorHAnsi"/>
          <w:b/>
          <w:color w:val="004B5C" w:themeColor="accent1" w:themeShade="BF"/>
          <w:sz w:val="26"/>
          <w:szCs w:val="26"/>
          <w:lang w:val="en-AU"/>
        </w:rPr>
        <w:t>Effectiveness</w:t>
      </w:r>
      <w:bookmarkEnd w:id="78"/>
      <w:bookmarkEnd w:id="79"/>
      <w:bookmarkEnd w:id="80"/>
      <w:bookmarkEnd w:id="81"/>
      <w:bookmarkEnd w:id="82"/>
      <w:bookmarkEnd w:id="83"/>
      <w:bookmarkEnd w:id="84"/>
      <w:bookmarkEnd w:id="85"/>
      <w:bookmarkEnd w:id="86"/>
      <w:bookmarkEnd w:id="87"/>
      <w:bookmarkEnd w:id="88"/>
      <w:bookmarkEnd w:id="89"/>
      <w:r w:rsidRPr="005466A3">
        <w:rPr>
          <w:rFonts w:asciiTheme="majorHAnsi" w:hAnsiTheme="majorHAnsi" w:cstheme="majorHAnsi"/>
          <w:b/>
          <w:color w:val="004B5C" w:themeColor="accent1" w:themeShade="BF"/>
          <w:sz w:val="26"/>
          <w:szCs w:val="26"/>
          <w:lang w:val="en-AU"/>
        </w:rPr>
        <w:t xml:space="preserve"> </w:t>
      </w:r>
    </w:p>
    <w:p w14:paraId="16059512" w14:textId="7095F9E1" w:rsidR="00A73BF0" w:rsidRPr="005466A3" w:rsidRDefault="007D5098" w:rsidP="00A73BF0">
      <w:pPr>
        <w:spacing w:before="120" w:after="120"/>
        <w:rPr>
          <w:sz w:val="22"/>
          <w:szCs w:val="22"/>
          <w:lang w:val="en-AU"/>
        </w:rPr>
      </w:pPr>
      <w:r w:rsidRPr="005466A3">
        <w:rPr>
          <w:sz w:val="22"/>
          <w:szCs w:val="22"/>
          <w:lang w:val="en-AU"/>
        </w:rPr>
        <w:t>PJSI e</w:t>
      </w:r>
      <w:r w:rsidR="00A73BF0" w:rsidRPr="005466A3">
        <w:rPr>
          <w:sz w:val="22"/>
          <w:szCs w:val="22"/>
          <w:lang w:val="en-AU"/>
        </w:rPr>
        <w:t>nsures effectiveness through its</w:t>
      </w:r>
      <w:r w:rsidRPr="005466A3">
        <w:rPr>
          <w:sz w:val="22"/>
          <w:szCs w:val="22"/>
          <w:lang w:val="en-AU"/>
        </w:rPr>
        <w:t xml:space="preserve"> approach and </w:t>
      </w:r>
      <w:r w:rsidR="00A73BF0" w:rsidRPr="005466A3">
        <w:rPr>
          <w:sz w:val="22"/>
          <w:szCs w:val="22"/>
          <w:lang w:val="en-AU"/>
        </w:rPr>
        <w:t>the modalities used to deliver its activities.</w:t>
      </w:r>
    </w:p>
    <w:p w14:paraId="04ED8EF7" w14:textId="1D4C304E" w:rsidR="00E56645" w:rsidRDefault="007D5098" w:rsidP="00E56645">
      <w:pPr>
        <w:spacing w:before="120" w:after="120"/>
        <w:rPr>
          <w:sz w:val="22"/>
          <w:szCs w:val="22"/>
          <w:lang w:val="en-AU"/>
        </w:rPr>
      </w:pPr>
      <w:r w:rsidRPr="00A73BF0">
        <w:rPr>
          <w:sz w:val="22"/>
          <w:szCs w:val="22"/>
          <w:lang w:val="en-AU"/>
        </w:rPr>
        <w:t>The deli</w:t>
      </w:r>
      <w:r w:rsidR="00DF71E3">
        <w:rPr>
          <w:sz w:val="22"/>
          <w:szCs w:val="22"/>
          <w:lang w:val="en-AU"/>
        </w:rPr>
        <w:t>very of remote webinars provided</w:t>
      </w:r>
      <w:r w:rsidRPr="00A73BF0">
        <w:rPr>
          <w:sz w:val="22"/>
          <w:szCs w:val="22"/>
          <w:lang w:val="en-AU"/>
        </w:rPr>
        <w:t xml:space="preserve"> a cost and time effective means of reaching a significant number of people.</w:t>
      </w:r>
      <w:r w:rsidR="00AC5E93" w:rsidRPr="00A73BF0">
        <w:rPr>
          <w:sz w:val="22"/>
          <w:szCs w:val="22"/>
          <w:lang w:val="en-AU"/>
        </w:rPr>
        <w:t xml:space="preserve"> </w:t>
      </w:r>
      <w:r w:rsidR="00A73BF0" w:rsidRPr="00A73BF0">
        <w:rPr>
          <w:sz w:val="22"/>
          <w:szCs w:val="22"/>
          <w:lang w:val="en-AU"/>
        </w:rPr>
        <w:t>However,</w:t>
      </w:r>
      <w:r w:rsidR="00DF71E3">
        <w:rPr>
          <w:sz w:val="22"/>
          <w:szCs w:val="22"/>
          <w:lang w:val="en-AU"/>
        </w:rPr>
        <w:t xml:space="preserve"> in-person engagement</w:t>
      </w:r>
      <w:r w:rsidR="00A73BF0" w:rsidRPr="00A73BF0">
        <w:rPr>
          <w:sz w:val="22"/>
          <w:szCs w:val="22"/>
          <w:lang w:val="en-AU"/>
        </w:rPr>
        <w:t xml:space="preserve"> cannot be entirely su</w:t>
      </w:r>
      <w:r w:rsidR="00DF71E3">
        <w:rPr>
          <w:sz w:val="22"/>
          <w:szCs w:val="22"/>
          <w:lang w:val="en-AU"/>
        </w:rPr>
        <w:t>p</w:t>
      </w:r>
      <w:r w:rsidR="00A73BF0" w:rsidRPr="00A73BF0">
        <w:rPr>
          <w:sz w:val="22"/>
          <w:szCs w:val="22"/>
          <w:lang w:val="en-AU"/>
        </w:rPr>
        <w:t>planted by remote activities</w:t>
      </w:r>
      <w:r w:rsidR="00E56645">
        <w:rPr>
          <w:sz w:val="22"/>
          <w:szCs w:val="22"/>
          <w:lang w:val="en-AU"/>
        </w:rPr>
        <w:t>. S</w:t>
      </w:r>
      <w:r w:rsidR="00DF71E3">
        <w:rPr>
          <w:sz w:val="22"/>
          <w:szCs w:val="22"/>
          <w:lang w:val="en-AU"/>
        </w:rPr>
        <w:t>trong relationships cannot be built only online and it is much more difficult to discern body language through thumbnail pictures to determine if individuals are grasping concepts, interested and engaged</w:t>
      </w:r>
      <w:r w:rsidR="00A73BF0" w:rsidRPr="00A73BF0">
        <w:rPr>
          <w:sz w:val="22"/>
          <w:szCs w:val="22"/>
          <w:lang w:val="en-AU"/>
        </w:rPr>
        <w:t xml:space="preserve">.  </w:t>
      </w:r>
    </w:p>
    <w:p w14:paraId="5CA52BB5" w14:textId="0CEEB513" w:rsidR="00E56645" w:rsidRPr="005466A3" w:rsidRDefault="00BC1A90" w:rsidP="00E56645">
      <w:pPr>
        <w:spacing w:before="120" w:after="120"/>
        <w:rPr>
          <w:sz w:val="22"/>
          <w:szCs w:val="22"/>
          <w:lang w:val="en-AU"/>
        </w:rPr>
      </w:pPr>
      <w:r w:rsidRPr="00A73BF0">
        <w:rPr>
          <w:noProof/>
          <w:sz w:val="22"/>
          <w:szCs w:val="22"/>
          <w:lang w:val="en-AU"/>
        </w:rPr>
        <mc:AlternateContent>
          <mc:Choice Requires="wps">
            <w:drawing>
              <wp:anchor distT="45720" distB="45720" distL="114300" distR="114300" simplePos="0" relativeHeight="251629056" behindDoc="0" locked="0" layoutInCell="1" allowOverlap="1" wp14:anchorId="254926C0" wp14:editId="763A359D">
                <wp:simplePos x="0" y="0"/>
                <wp:positionH relativeFrom="margin">
                  <wp:align>right</wp:align>
                </wp:positionH>
                <wp:positionV relativeFrom="paragraph">
                  <wp:posOffset>930275</wp:posOffset>
                </wp:positionV>
                <wp:extent cx="1346200" cy="1819910"/>
                <wp:effectExtent l="0" t="0" r="25400" b="27940"/>
                <wp:wrapSquare wrapText="bothSides"/>
                <wp:docPr id="3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1819910"/>
                        </a:xfrm>
                        <a:prstGeom prst="rect">
                          <a:avLst/>
                        </a:prstGeom>
                        <a:solidFill>
                          <a:schemeClr val="accent5">
                            <a:lumMod val="20000"/>
                            <a:lumOff val="80000"/>
                          </a:schemeClr>
                        </a:solidFill>
                        <a:ln w="9525">
                          <a:solidFill>
                            <a:schemeClr val="accent5"/>
                          </a:solidFill>
                          <a:miter lim="800000"/>
                          <a:headEnd/>
                          <a:tailEnd/>
                        </a:ln>
                      </wps:spPr>
                      <wps:txbx>
                        <w:txbxContent>
                          <w:p w14:paraId="56E9432F" w14:textId="49BEC569" w:rsidR="00CA4E85" w:rsidRDefault="00CA4E85" w:rsidP="00F16B85">
                            <w:pPr>
                              <w:jc w:val="center"/>
                              <w:rPr>
                                <w:b/>
                                <w:i/>
                                <w:color w:val="00323E" w:themeColor="accent1" w:themeShade="80"/>
                                <w:sz w:val="26"/>
                                <w:szCs w:val="26"/>
                              </w:rPr>
                            </w:pPr>
                            <w:r>
                              <w:rPr>
                                <w:noProof/>
                                <w:lang w:val="en-AU"/>
                              </w:rPr>
                              <w:drawing>
                                <wp:inline distT="0" distB="0" distL="0" distR="0" wp14:anchorId="36A82257" wp14:editId="2CF2BE9C">
                                  <wp:extent cx="514800" cy="514800"/>
                                  <wp:effectExtent l="0" t="0" r="0" b="0"/>
                                  <wp:docPr id="2" name="Picture 2" descr="Leadership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eadership Icons - Download Free Vector Icons | Noun Project"/>
                                          <pic:cNvPicPr>
                                            <a:picLocks noChangeAspect="1" noChangeArrowheads="1"/>
                                          </pic:cNvPicPr>
                                        </pic:nvPicPr>
                                        <pic:blipFill>
                                          <a:blip r:embed="rId242">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14800" cy="514800"/>
                                          </a:xfrm>
                                          <a:prstGeom prst="rect">
                                            <a:avLst/>
                                          </a:prstGeom>
                                          <a:noFill/>
                                          <a:ln>
                                            <a:noFill/>
                                          </a:ln>
                                        </pic:spPr>
                                      </pic:pic>
                                    </a:graphicData>
                                  </a:graphic>
                                </wp:inline>
                              </w:drawing>
                            </w:r>
                          </w:p>
                          <w:p w14:paraId="5A9CE147" w14:textId="77777777" w:rsidR="00CA4E85" w:rsidRPr="00004414" w:rsidRDefault="00CA4E85" w:rsidP="00F16B85">
                            <w:pPr>
                              <w:jc w:val="center"/>
                              <w:rPr>
                                <w:i/>
                                <w:noProof/>
                                <w:color w:val="004B5C" w:themeColor="accent1" w:themeShade="BF"/>
                                <w:sz w:val="22"/>
                                <w:szCs w:val="22"/>
                              </w:rPr>
                            </w:pPr>
                            <w:r w:rsidRPr="00004414">
                              <w:rPr>
                                <w:i/>
                                <w:noProof/>
                                <w:color w:val="004B5C" w:themeColor="accent1" w:themeShade="BF"/>
                                <w:sz w:val="22"/>
                                <w:szCs w:val="22"/>
                              </w:rPr>
                              <w:t>Average knowledge gain</w:t>
                            </w:r>
                          </w:p>
                          <w:p w14:paraId="4F7B3769" w14:textId="7B04DE4A" w:rsidR="00CA4E85" w:rsidRPr="00E47089" w:rsidRDefault="00CA4E85" w:rsidP="00F16B85">
                            <w:pPr>
                              <w:jc w:val="center"/>
                              <w:rPr>
                                <w:noProof/>
                                <w:color w:val="004B5C" w:themeColor="accent1" w:themeShade="BF"/>
                                <w:sz w:val="28"/>
                                <w:szCs w:val="28"/>
                                <w14:textOutline w14:w="3175" w14:cap="rnd" w14:cmpd="sng" w14:algn="ctr">
                                  <w14:solidFill>
                                    <w14:schemeClr w14:val="tx2"/>
                                  </w14:solidFill>
                                  <w14:prstDash w14:val="solid"/>
                                  <w14:bevel/>
                                </w14:textOutline>
                              </w:rPr>
                            </w:pPr>
                            <w:r w:rsidRPr="00E47089">
                              <w:rPr>
                                <w:noProof/>
                                <w:color w:val="004B5C" w:themeColor="accent1" w:themeShade="BF"/>
                                <w:sz w:val="28"/>
                                <w:szCs w:val="28"/>
                                <w14:textOutline w14:w="3175" w14:cap="rnd" w14:cmpd="sng" w14:algn="ctr">
                                  <w14:solidFill>
                                    <w14:schemeClr w14:val="tx2"/>
                                  </w14:solidFill>
                                  <w14:prstDash w14:val="solid"/>
                                  <w14:bevel/>
                                </w14:textOutline>
                              </w:rPr>
                              <w:t>204%</w:t>
                            </w:r>
                          </w:p>
                          <w:p w14:paraId="45099016" w14:textId="77777777" w:rsidR="00CA4E85" w:rsidRPr="00E47089" w:rsidRDefault="00CA4E85" w:rsidP="00F16B85">
                            <w:pPr>
                              <w:jc w:val="center"/>
                              <w:rPr>
                                <w:noProof/>
                                <w:color w:val="004B5C" w:themeColor="accent1" w:themeShade="BF"/>
                                <w:sz w:val="10"/>
                                <w:szCs w:val="10"/>
                              </w:rPr>
                            </w:pPr>
                          </w:p>
                          <w:p w14:paraId="1AE966C6" w14:textId="77777777" w:rsidR="00CA4E85" w:rsidRPr="00E47089" w:rsidRDefault="00CA4E85" w:rsidP="00F16B85">
                            <w:pPr>
                              <w:jc w:val="center"/>
                              <w:rPr>
                                <w:i/>
                                <w:noProof/>
                                <w:color w:val="004B5C" w:themeColor="accent1" w:themeShade="BF"/>
                                <w:sz w:val="22"/>
                                <w:szCs w:val="22"/>
                              </w:rPr>
                            </w:pPr>
                            <w:r w:rsidRPr="00E47089">
                              <w:rPr>
                                <w:i/>
                                <w:noProof/>
                                <w:color w:val="004B5C" w:themeColor="accent1" w:themeShade="BF"/>
                                <w:sz w:val="22"/>
                                <w:szCs w:val="22"/>
                              </w:rPr>
                              <w:t>Average confidence gain</w:t>
                            </w:r>
                          </w:p>
                          <w:p w14:paraId="0718780D" w14:textId="44B883C5" w:rsidR="00CA4E85" w:rsidRPr="00004414" w:rsidRDefault="00CA4E85" w:rsidP="00F16B85">
                            <w:pPr>
                              <w:jc w:val="center"/>
                              <w:rPr>
                                <w:rFonts w:cstheme="minorHAnsi"/>
                                <w:noProof/>
                                <w:color w:val="004B5C" w:themeColor="accent1" w:themeShade="BF"/>
                                <w:sz w:val="28"/>
                                <w:szCs w:val="28"/>
                                <w14:textOutline w14:w="6350" w14:cap="rnd" w14:cmpd="sng" w14:algn="ctr">
                                  <w14:solidFill>
                                    <w14:schemeClr w14:val="tx2"/>
                                  </w14:solidFill>
                                  <w14:prstDash w14:val="solid"/>
                                  <w14:bevel/>
                                </w14:textOutline>
                              </w:rPr>
                            </w:pPr>
                            <w:r w:rsidRPr="00E47089">
                              <w:rPr>
                                <w:rFonts w:cstheme="minorHAnsi"/>
                                <w:noProof/>
                                <w:color w:val="004B5C" w:themeColor="accent1" w:themeShade="BF"/>
                                <w:sz w:val="28"/>
                                <w:szCs w:val="28"/>
                                <w14:textOutline w14:w="6350" w14:cap="rnd" w14:cmpd="sng" w14:algn="ctr">
                                  <w14:solidFill>
                                    <w14:schemeClr w14:val="tx2"/>
                                  </w14:solidFill>
                                  <w14:prstDash w14:val="solid"/>
                                  <w14:bevel/>
                                </w14:textOutline>
                              </w:rPr>
                              <w:t>81%</w:t>
                            </w:r>
                          </w:p>
                          <w:p w14:paraId="6A709F69" w14:textId="77777777" w:rsidR="00CA4E85" w:rsidRDefault="00CA4E85" w:rsidP="00F16B85">
                            <w:pPr>
                              <w:jc w:val="center"/>
                              <w:rPr>
                                <w:b/>
                                <w:color w:val="00323E" w:themeColor="accent1" w:themeShade="80"/>
                                <w:sz w:val="24"/>
                              </w:rPr>
                            </w:pPr>
                          </w:p>
                          <w:p w14:paraId="7DA07B39" w14:textId="77777777" w:rsidR="00CA4E85" w:rsidRPr="009A0C90" w:rsidRDefault="00CA4E85" w:rsidP="00F16B85">
                            <w:pPr>
                              <w:jc w:val="center"/>
                              <w:rPr>
                                <w:b/>
                                <w:color w:val="00323E" w:themeColor="accent1" w:themeShade="80"/>
                                <w:sz w:val="24"/>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926C0" id="_x0000_s1067" type="#_x0000_t202" style="position:absolute;margin-left:54.8pt;margin-top:73.25pt;width:106pt;height:143.3pt;z-index:251629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5HRgIAAJEEAAAOAAAAZHJzL2Uyb0RvYy54bWysVNtu2zAMfR+wfxD0vjp20y4x4hRdug4D&#10;ugvQ7gMYWY6FSaInKbG7ry8lJ2myvQ17MSSSOjzkIb24GYxmO+m8Qlvx/GLCmbQCa2U3Ff/xdP9u&#10;xpkPYGvQaGXFn6XnN8u3bxZ9V8oCW9S1dIxArC/7ruJtCF2ZZV600oC/wE5acjboDAS6uk1WO+gJ&#10;3eismEyusx5d3TkU0nuy3o1Ovkz4TSNF+NY0XgamK07cQvq69F3Hb7ZcQLlx0LVK7GnAP7AwoCwl&#10;PULdQQC2deovKKOEQ49NuBBoMmwaJWSqgarJJ39U89hCJ1Mt1BzfHdvk/x+s+Lr77piqK35ZFDln&#10;Fgyp9CSHwD7gwIrYoL7zJcU9dhQZBjKT0KlY3z2g+OmZxVULdiNvncO+lVATwTy+zE6ejjg+gqz7&#10;L1hTGtgGTEBD40zsHvWDEToJ9XwUJ1IRMeXl9JoU50yQL5/l83me5MugPDzvnA+fJBoWDxV3pH6C&#10;h92DD5EOlIeQmM2jVvW90jpd4sTJlXZsBzQrIIS04So911tDfEc7MSAOaWrITLM1mmcHM6VIsxuR&#10;UsKzJNqyvuLzq2IEPvMdn50TGGmfRRoVaGe0MhVPefd8YuM/2jpxC6D0eCZC2u6ViM0fZQjDekiq&#10;T5NOUaY11s+kjcNxR2in6dCi+81ZT/tRcf9rC05ypj9b0neeT6dxodJlevW+oIs79axPPWAFQVU8&#10;cDYeVyEtYey8xVuag0YlhV6Z7DnT3Kc+7nc0LtbpPUW9/kmWLwAAAP//AwBQSwMEFAAGAAgAAAAh&#10;AFRPWlbeAAAACAEAAA8AAABkcnMvZG93bnJldi54bWxMj0tPwzAQhO9I/AdrkbhRx2moIMSpEI8L&#10;QkKU19WNlyTCXofYaQO/nuUEx50ZzX5TrWfvxA7H2AfSoBYZCKQm2J5aDc9PtydnIGIyZI0LhBq+&#10;MMK6PjyoTGnDnh5xt0mt4BKKpdHQpTSUUsamQ2/iIgxI7L2H0ZvE59hKO5o9l3sn8yxbSW964g+d&#10;GfCqw+ZjM3kNr28v59930d0UD0Fdf2KrpvtBaX18NF9egEg4p78w/OIzOtTMtA0T2SicBh6SWC1W&#10;pyDYzlXOylZDsVwqkHUl/w+ofwAAAP//AwBQSwECLQAUAAYACAAAACEAtoM4kv4AAADhAQAAEwAA&#10;AAAAAAAAAAAAAAAAAAAAW0NvbnRlbnRfVHlwZXNdLnhtbFBLAQItABQABgAIAAAAIQA4/SH/1gAA&#10;AJQBAAALAAAAAAAAAAAAAAAAAC8BAABfcmVscy8ucmVsc1BLAQItABQABgAIAAAAIQCF/u5HRgIA&#10;AJEEAAAOAAAAAAAAAAAAAAAAAC4CAABkcnMvZTJvRG9jLnhtbFBLAQItABQABgAIAAAAIQBUT1pW&#10;3gAAAAgBAAAPAAAAAAAAAAAAAAAAAKAEAABkcnMvZG93bnJldi54bWxQSwUGAAAAAAQABADzAAAA&#10;qwUAAAAA&#10;" fillcolor="#e5eef0 [664]" strokecolor="#81adb5 [3208]">
                <v:textbox>
                  <w:txbxContent>
                    <w:p w14:paraId="56E9432F" w14:textId="49BEC569" w:rsidR="00CA4E85" w:rsidRDefault="00CA4E85" w:rsidP="00F16B85">
                      <w:pPr>
                        <w:jc w:val="center"/>
                        <w:rPr>
                          <w:b/>
                          <w:i/>
                          <w:color w:val="00323E" w:themeColor="accent1" w:themeShade="80"/>
                          <w:sz w:val="26"/>
                          <w:szCs w:val="26"/>
                        </w:rPr>
                      </w:pPr>
                      <w:r>
                        <w:rPr>
                          <w:noProof/>
                          <w:lang w:val="en-AU"/>
                        </w:rPr>
                        <w:drawing>
                          <wp:inline distT="0" distB="0" distL="0" distR="0" wp14:anchorId="36A82257" wp14:editId="2CF2BE9C">
                            <wp:extent cx="514800" cy="514800"/>
                            <wp:effectExtent l="0" t="0" r="0" b="0"/>
                            <wp:docPr id="2" name="Picture 2" descr="Leadership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eadership Icons - Download Free Vector Icons | Noun Project"/>
                                    <pic:cNvPicPr>
                                      <a:picLocks noChangeAspect="1" noChangeArrowheads="1"/>
                                    </pic:cNvPicPr>
                                  </pic:nvPicPr>
                                  <pic:blipFill>
                                    <a:blip r:embed="rId243">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14800" cy="514800"/>
                                    </a:xfrm>
                                    <a:prstGeom prst="rect">
                                      <a:avLst/>
                                    </a:prstGeom>
                                    <a:noFill/>
                                    <a:ln>
                                      <a:noFill/>
                                    </a:ln>
                                  </pic:spPr>
                                </pic:pic>
                              </a:graphicData>
                            </a:graphic>
                          </wp:inline>
                        </w:drawing>
                      </w:r>
                    </w:p>
                    <w:p w14:paraId="5A9CE147" w14:textId="77777777" w:rsidR="00CA4E85" w:rsidRPr="00004414" w:rsidRDefault="00CA4E85" w:rsidP="00F16B85">
                      <w:pPr>
                        <w:jc w:val="center"/>
                        <w:rPr>
                          <w:i/>
                          <w:noProof/>
                          <w:color w:val="004B5C" w:themeColor="accent1" w:themeShade="BF"/>
                          <w:sz w:val="22"/>
                          <w:szCs w:val="22"/>
                        </w:rPr>
                      </w:pPr>
                      <w:r w:rsidRPr="00004414">
                        <w:rPr>
                          <w:i/>
                          <w:noProof/>
                          <w:color w:val="004B5C" w:themeColor="accent1" w:themeShade="BF"/>
                          <w:sz w:val="22"/>
                          <w:szCs w:val="22"/>
                        </w:rPr>
                        <w:t>Average knowledge gain</w:t>
                      </w:r>
                    </w:p>
                    <w:p w14:paraId="4F7B3769" w14:textId="7B04DE4A" w:rsidR="00CA4E85" w:rsidRPr="00E47089" w:rsidRDefault="00CA4E85" w:rsidP="00F16B85">
                      <w:pPr>
                        <w:jc w:val="center"/>
                        <w:rPr>
                          <w:noProof/>
                          <w:color w:val="004B5C" w:themeColor="accent1" w:themeShade="BF"/>
                          <w:sz w:val="28"/>
                          <w:szCs w:val="28"/>
                          <w14:textOutline w14:w="3175" w14:cap="rnd" w14:cmpd="sng" w14:algn="ctr">
                            <w14:solidFill>
                              <w14:schemeClr w14:val="tx2"/>
                            </w14:solidFill>
                            <w14:prstDash w14:val="solid"/>
                            <w14:bevel/>
                          </w14:textOutline>
                        </w:rPr>
                      </w:pPr>
                      <w:r w:rsidRPr="00E47089">
                        <w:rPr>
                          <w:noProof/>
                          <w:color w:val="004B5C" w:themeColor="accent1" w:themeShade="BF"/>
                          <w:sz w:val="28"/>
                          <w:szCs w:val="28"/>
                          <w14:textOutline w14:w="3175" w14:cap="rnd" w14:cmpd="sng" w14:algn="ctr">
                            <w14:solidFill>
                              <w14:schemeClr w14:val="tx2"/>
                            </w14:solidFill>
                            <w14:prstDash w14:val="solid"/>
                            <w14:bevel/>
                          </w14:textOutline>
                        </w:rPr>
                        <w:t>204%</w:t>
                      </w:r>
                    </w:p>
                    <w:p w14:paraId="45099016" w14:textId="77777777" w:rsidR="00CA4E85" w:rsidRPr="00E47089" w:rsidRDefault="00CA4E85" w:rsidP="00F16B85">
                      <w:pPr>
                        <w:jc w:val="center"/>
                        <w:rPr>
                          <w:noProof/>
                          <w:color w:val="004B5C" w:themeColor="accent1" w:themeShade="BF"/>
                          <w:sz w:val="10"/>
                          <w:szCs w:val="10"/>
                        </w:rPr>
                      </w:pPr>
                    </w:p>
                    <w:p w14:paraId="1AE966C6" w14:textId="77777777" w:rsidR="00CA4E85" w:rsidRPr="00E47089" w:rsidRDefault="00CA4E85" w:rsidP="00F16B85">
                      <w:pPr>
                        <w:jc w:val="center"/>
                        <w:rPr>
                          <w:i/>
                          <w:noProof/>
                          <w:color w:val="004B5C" w:themeColor="accent1" w:themeShade="BF"/>
                          <w:sz w:val="22"/>
                          <w:szCs w:val="22"/>
                        </w:rPr>
                      </w:pPr>
                      <w:r w:rsidRPr="00E47089">
                        <w:rPr>
                          <w:i/>
                          <w:noProof/>
                          <w:color w:val="004B5C" w:themeColor="accent1" w:themeShade="BF"/>
                          <w:sz w:val="22"/>
                          <w:szCs w:val="22"/>
                        </w:rPr>
                        <w:t>Average confidence gain</w:t>
                      </w:r>
                    </w:p>
                    <w:p w14:paraId="0718780D" w14:textId="44B883C5" w:rsidR="00CA4E85" w:rsidRPr="00004414" w:rsidRDefault="00CA4E85" w:rsidP="00F16B85">
                      <w:pPr>
                        <w:jc w:val="center"/>
                        <w:rPr>
                          <w:rFonts w:cstheme="minorHAnsi"/>
                          <w:noProof/>
                          <w:color w:val="004B5C" w:themeColor="accent1" w:themeShade="BF"/>
                          <w:sz w:val="28"/>
                          <w:szCs w:val="28"/>
                          <w14:textOutline w14:w="6350" w14:cap="rnd" w14:cmpd="sng" w14:algn="ctr">
                            <w14:solidFill>
                              <w14:schemeClr w14:val="tx2"/>
                            </w14:solidFill>
                            <w14:prstDash w14:val="solid"/>
                            <w14:bevel/>
                          </w14:textOutline>
                        </w:rPr>
                      </w:pPr>
                      <w:r w:rsidRPr="00E47089">
                        <w:rPr>
                          <w:rFonts w:cstheme="minorHAnsi"/>
                          <w:noProof/>
                          <w:color w:val="004B5C" w:themeColor="accent1" w:themeShade="BF"/>
                          <w:sz w:val="28"/>
                          <w:szCs w:val="28"/>
                          <w14:textOutline w14:w="6350" w14:cap="rnd" w14:cmpd="sng" w14:algn="ctr">
                            <w14:solidFill>
                              <w14:schemeClr w14:val="tx2"/>
                            </w14:solidFill>
                            <w14:prstDash w14:val="solid"/>
                            <w14:bevel/>
                          </w14:textOutline>
                        </w:rPr>
                        <w:t>81%</w:t>
                      </w:r>
                    </w:p>
                    <w:p w14:paraId="6A709F69" w14:textId="77777777" w:rsidR="00CA4E85" w:rsidRDefault="00CA4E85" w:rsidP="00F16B85">
                      <w:pPr>
                        <w:jc w:val="center"/>
                        <w:rPr>
                          <w:b/>
                          <w:color w:val="00323E" w:themeColor="accent1" w:themeShade="80"/>
                          <w:sz w:val="24"/>
                        </w:rPr>
                      </w:pPr>
                    </w:p>
                    <w:p w14:paraId="7DA07B39" w14:textId="77777777" w:rsidR="00CA4E85" w:rsidRPr="009A0C90" w:rsidRDefault="00CA4E85" w:rsidP="00F16B85">
                      <w:pPr>
                        <w:jc w:val="center"/>
                        <w:rPr>
                          <w:b/>
                          <w:color w:val="00323E" w:themeColor="accent1" w:themeShade="80"/>
                          <w:sz w:val="24"/>
                          <w:u w:val="single"/>
                        </w:rPr>
                      </w:pPr>
                    </w:p>
                  </w:txbxContent>
                </v:textbox>
                <w10:wrap type="square" anchorx="margin"/>
              </v:shape>
            </w:pict>
          </mc:Fallback>
        </mc:AlternateContent>
      </w:r>
      <w:r w:rsidR="00A73BF0" w:rsidRPr="005466A3">
        <w:rPr>
          <w:sz w:val="22"/>
          <w:szCs w:val="22"/>
          <w:lang w:val="en-AU"/>
        </w:rPr>
        <w:t xml:space="preserve">PJSI did not convene an adequate number of remote capacity building activities (six) to make a </w:t>
      </w:r>
      <w:r w:rsidR="00414770" w:rsidRPr="005466A3">
        <w:rPr>
          <w:sz w:val="22"/>
          <w:szCs w:val="22"/>
          <w:lang w:val="en-AU"/>
        </w:rPr>
        <w:t xml:space="preserve">statistically valid analysis of the efficacy – satisfaction levels, learning and confidence gains – between remote and in-person activities. </w:t>
      </w:r>
      <w:r w:rsidR="00DF71E3" w:rsidRPr="005466A3">
        <w:rPr>
          <w:sz w:val="22"/>
          <w:szCs w:val="22"/>
          <w:lang w:val="en-AU"/>
        </w:rPr>
        <w:t>The statistics do though tell us that people are slightly less satisfied with remote activities</w:t>
      </w:r>
      <w:r w:rsidR="00E56645" w:rsidRPr="005466A3">
        <w:rPr>
          <w:sz w:val="22"/>
          <w:szCs w:val="22"/>
          <w:lang w:val="en-AU"/>
        </w:rPr>
        <w:t>, although this was less pronounced where the online platform enabled high levels of interactivity between participants and facilitators. Also, given the practical necessity of conducting activities online during the pandemic, PJSI considers that the learning and confidence gains remained adequately high, particularly among participants who PJSI had previously engaged with on the thematic area.</w:t>
      </w:r>
    </w:p>
    <w:p w14:paraId="6E2AAF16" w14:textId="30AC4A25" w:rsidR="007D5098" w:rsidRPr="005466A3" w:rsidRDefault="007D5098" w:rsidP="00E56645">
      <w:pPr>
        <w:spacing w:before="120" w:after="120"/>
        <w:rPr>
          <w:sz w:val="22"/>
          <w:szCs w:val="22"/>
          <w:lang w:val="en-AU"/>
        </w:rPr>
      </w:pPr>
      <w:r w:rsidRPr="005466A3">
        <w:rPr>
          <w:rFonts w:cstheme="minorHAnsi"/>
          <w:sz w:val="22"/>
          <w:szCs w:val="22"/>
          <w:lang w:val="en-AU"/>
        </w:rPr>
        <w:t xml:space="preserve">The delivery of regional activities provides a cost and time effective means of producing a large number of trained people across the region, in addition to providing opportunities for cross-country collaboration and learning. </w:t>
      </w:r>
    </w:p>
    <w:p w14:paraId="768BD7B3" w14:textId="0F160FAE" w:rsidR="007D5098" w:rsidRPr="00E56645" w:rsidRDefault="007D5098" w:rsidP="00E56645">
      <w:pPr>
        <w:rPr>
          <w:rFonts w:cstheme="minorHAnsi"/>
          <w:szCs w:val="22"/>
          <w:lang w:val="en-AU"/>
        </w:rPr>
      </w:pPr>
      <w:r w:rsidRPr="00E56645">
        <w:rPr>
          <w:rFonts w:cstheme="minorHAnsi"/>
          <w:szCs w:val="22"/>
          <w:lang w:val="en-AU"/>
        </w:rPr>
        <w:t xml:space="preserve">The Train-the-Trainer program produced a large number of people capable of designing and delivering training locally. This has not however </w:t>
      </w:r>
      <w:r w:rsidRPr="00E56645">
        <w:rPr>
          <w:rFonts w:cstheme="minorHAnsi"/>
          <w:szCs w:val="22"/>
          <w:lang w:val="en-AU"/>
        </w:rPr>
        <w:lastRenderedPageBreak/>
        <w:t>translated into a large amount of high</w:t>
      </w:r>
      <w:r w:rsidR="00F34A39" w:rsidRPr="00E56645">
        <w:rPr>
          <w:rFonts w:cstheme="minorHAnsi"/>
          <w:szCs w:val="22"/>
          <w:lang w:val="en-AU"/>
        </w:rPr>
        <w:t>-</w:t>
      </w:r>
      <w:r w:rsidRPr="00E56645">
        <w:rPr>
          <w:rFonts w:cstheme="minorHAnsi"/>
          <w:szCs w:val="22"/>
          <w:lang w:val="en-AU"/>
        </w:rPr>
        <w:t xml:space="preserve">quality training and professional development occurring locally. </w:t>
      </w:r>
    </w:p>
    <w:p w14:paraId="1A3E3803" w14:textId="77777777" w:rsidR="007D5098" w:rsidRPr="00F34A39" w:rsidRDefault="007D5098" w:rsidP="005466A3">
      <w:pPr>
        <w:spacing w:before="120" w:after="120"/>
        <w:rPr>
          <w:rFonts w:cstheme="minorHAnsi"/>
          <w:color w:val="00323E" w:themeColor="accent1" w:themeShade="80"/>
          <w:lang w:val="en-AU"/>
        </w:rPr>
      </w:pPr>
      <w:bookmarkStart w:id="90" w:name="_Toc39562784"/>
      <w:bookmarkStart w:id="91" w:name="_Toc44681894"/>
      <w:bookmarkStart w:id="92" w:name="_Toc57630096"/>
      <w:bookmarkStart w:id="93" w:name="_Toc62550859"/>
      <w:bookmarkStart w:id="94" w:name="_Toc74409940"/>
      <w:bookmarkStart w:id="95" w:name="_Toc75185187"/>
      <w:bookmarkStart w:id="96" w:name="_Toc75185758"/>
      <w:bookmarkStart w:id="97" w:name="_Toc75511310"/>
      <w:bookmarkStart w:id="98" w:name="_Toc76048251"/>
      <w:bookmarkStart w:id="99" w:name="_Toc76387410"/>
      <w:bookmarkStart w:id="100" w:name="_Toc77163395"/>
      <w:bookmarkStart w:id="101" w:name="_Toc77423631"/>
      <w:r w:rsidRPr="005466A3">
        <w:rPr>
          <w:rFonts w:asciiTheme="majorHAnsi" w:hAnsiTheme="majorHAnsi" w:cstheme="majorHAnsi"/>
          <w:b/>
          <w:color w:val="004B5C" w:themeColor="accent1" w:themeShade="BF"/>
          <w:sz w:val="26"/>
          <w:szCs w:val="26"/>
          <w:lang w:val="en-AU"/>
        </w:rPr>
        <w:t>Impact</w:t>
      </w:r>
      <w:bookmarkEnd w:id="90"/>
      <w:bookmarkEnd w:id="91"/>
      <w:bookmarkEnd w:id="92"/>
      <w:bookmarkEnd w:id="93"/>
      <w:bookmarkEnd w:id="94"/>
      <w:bookmarkEnd w:id="95"/>
      <w:bookmarkEnd w:id="96"/>
      <w:bookmarkEnd w:id="97"/>
      <w:bookmarkEnd w:id="98"/>
      <w:bookmarkEnd w:id="99"/>
      <w:bookmarkEnd w:id="100"/>
      <w:bookmarkEnd w:id="101"/>
    </w:p>
    <w:p w14:paraId="480A18AC" w14:textId="77777777" w:rsidR="00A27703" w:rsidRDefault="007D5098" w:rsidP="00E56645">
      <w:pPr>
        <w:spacing w:before="120" w:after="120"/>
        <w:rPr>
          <w:rFonts w:cstheme="minorHAnsi"/>
          <w:sz w:val="22"/>
          <w:szCs w:val="22"/>
          <w:lang w:val="en-AU" w:eastAsia="en-US"/>
        </w:rPr>
      </w:pPr>
      <w:r w:rsidRPr="00F34A39">
        <w:rPr>
          <w:rFonts w:cstheme="minorHAnsi"/>
          <w:sz w:val="22"/>
          <w:szCs w:val="22"/>
          <w:lang w:val="en-AU" w:eastAsia="en-US"/>
        </w:rPr>
        <w:t xml:space="preserve">PJSIs impact </w:t>
      </w:r>
      <w:r w:rsidR="00E56645">
        <w:rPr>
          <w:rFonts w:cstheme="minorHAnsi"/>
          <w:sz w:val="22"/>
          <w:szCs w:val="22"/>
          <w:lang w:val="en-AU" w:eastAsia="en-US"/>
        </w:rPr>
        <w:t xml:space="preserve">is a result </w:t>
      </w:r>
      <w:r w:rsidR="00A27703">
        <w:rPr>
          <w:rFonts w:cstheme="minorHAnsi"/>
          <w:sz w:val="22"/>
          <w:szCs w:val="22"/>
          <w:lang w:val="en-AU" w:eastAsia="en-US"/>
        </w:rPr>
        <w:t>of several converging features:</w:t>
      </w:r>
    </w:p>
    <w:p w14:paraId="6AFFBD1C" w14:textId="772E1CCE" w:rsidR="007D5098" w:rsidRPr="00A27703" w:rsidRDefault="00A27703" w:rsidP="008C15D6">
      <w:pPr>
        <w:pStyle w:val="ListParagraph"/>
        <w:numPr>
          <w:ilvl w:val="0"/>
          <w:numId w:val="10"/>
        </w:numPr>
        <w:spacing w:before="120" w:after="120"/>
        <w:ind w:left="426" w:hanging="284"/>
        <w:rPr>
          <w:rFonts w:cstheme="minorHAnsi"/>
          <w:szCs w:val="22"/>
          <w:lang w:val="en-AU" w:eastAsia="en-US"/>
        </w:rPr>
      </w:pPr>
      <w:r>
        <w:rPr>
          <w:rFonts w:cstheme="minorHAnsi"/>
          <w:szCs w:val="22"/>
          <w:lang w:val="en-AU" w:eastAsia="en-US"/>
        </w:rPr>
        <w:t>S</w:t>
      </w:r>
      <w:r w:rsidR="007D5098" w:rsidRPr="00A27703">
        <w:rPr>
          <w:rFonts w:cstheme="minorHAnsi"/>
          <w:szCs w:val="22"/>
          <w:lang w:val="en-AU" w:eastAsia="en-US"/>
        </w:rPr>
        <w:t>trong, collegial leaders, committedly planning and delivering on judicial development priorities, underpinned by robust and comprehensive empirical clarity about court performance.</w:t>
      </w:r>
    </w:p>
    <w:p w14:paraId="7006CF29" w14:textId="77777777" w:rsidR="007D5098" w:rsidRPr="00F34A39" w:rsidRDefault="007D5098" w:rsidP="008C15D6">
      <w:pPr>
        <w:pStyle w:val="ListParagraph"/>
        <w:numPr>
          <w:ilvl w:val="0"/>
          <w:numId w:val="3"/>
        </w:numPr>
        <w:spacing w:before="120" w:after="120"/>
        <w:ind w:left="426" w:hanging="284"/>
        <w:rPr>
          <w:rFonts w:cstheme="minorHAnsi"/>
          <w:szCs w:val="22"/>
          <w:lang w:val="en-AU" w:eastAsia="en-US"/>
        </w:rPr>
      </w:pPr>
      <w:r w:rsidRPr="00F34A39">
        <w:rPr>
          <w:rFonts w:cstheme="minorHAnsi"/>
          <w:szCs w:val="22"/>
          <w:lang w:val="en-AU" w:eastAsia="en-US"/>
        </w:rPr>
        <w:t>Establishment and use by Partner Courts of channels to consult with community members about their justice needs.</w:t>
      </w:r>
    </w:p>
    <w:p w14:paraId="504638A0" w14:textId="77777777" w:rsidR="007D5098" w:rsidRPr="00F34A39" w:rsidRDefault="007D5098" w:rsidP="008C15D6">
      <w:pPr>
        <w:pStyle w:val="ListParagraph"/>
        <w:numPr>
          <w:ilvl w:val="0"/>
          <w:numId w:val="3"/>
        </w:numPr>
        <w:spacing w:before="120" w:after="120"/>
        <w:ind w:left="426" w:hanging="284"/>
        <w:rPr>
          <w:rFonts w:cstheme="minorHAnsi"/>
          <w:szCs w:val="22"/>
          <w:lang w:val="en-AU" w:eastAsia="en-US"/>
        </w:rPr>
      </w:pPr>
      <w:r w:rsidRPr="00F34A39">
        <w:rPr>
          <w:rFonts w:cstheme="minorHAnsi"/>
          <w:szCs w:val="22"/>
          <w:lang w:val="en-AU" w:eastAsia="en-US"/>
        </w:rPr>
        <w:t>Local actors and institutions with the knowledge, skills and attitude necessary to assess and address capacity needs, thereby ameliorating the need for external actors to perform such roles.</w:t>
      </w:r>
    </w:p>
    <w:p w14:paraId="30F73F26" w14:textId="77777777" w:rsidR="007D5098" w:rsidRPr="00F34A39" w:rsidRDefault="007D5098" w:rsidP="008C15D6">
      <w:pPr>
        <w:pStyle w:val="ListParagraph"/>
        <w:numPr>
          <w:ilvl w:val="0"/>
          <w:numId w:val="3"/>
        </w:numPr>
        <w:spacing w:before="120" w:after="120"/>
        <w:ind w:left="426" w:hanging="284"/>
        <w:rPr>
          <w:rFonts w:cstheme="minorHAnsi"/>
          <w:szCs w:val="22"/>
          <w:lang w:val="en-AU" w:eastAsia="en-US"/>
        </w:rPr>
      </w:pPr>
      <w:r w:rsidRPr="00F34A39">
        <w:rPr>
          <w:rFonts w:cstheme="minorHAnsi"/>
          <w:szCs w:val="22"/>
          <w:lang w:val="en-AU" w:eastAsia="en-US"/>
        </w:rPr>
        <w:t>Shifting attitudes and approaches to gender-based violence and human rights generally, affording appropriate treatment of victims and perpetrators. Developing and implementing systems and processes, and equipping local actors with the capacity to use and maintain them - in order to provide accurate and up to date visibility of cases and associated information.</w:t>
      </w:r>
    </w:p>
    <w:p w14:paraId="183E534C" w14:textId="49D2DC0E" w:rsidR="007D5098" w:rsidRPr="00F34A39" w:rsidRDefault="007D5098" w:rsidP="008C15D6">
      <w:pPr>
        <w:pStyle w:val="ListParagraph"/>
        <w:numPr>
          <w:ilvl w:val="0"/>
          <w:numId w:val="3"/>
        </w:numPr>
        <w:spacing w:before="120" w:after="120"/>
        <w:ind w:left="426" w:hanging="284"/>
        <w:rPr>
          <w:rFonts w:cstheme="minorHAnsi"/>
          <w:szCs w:val="22"/>
          <w:lang w:val="en-AU" w:eastAsia="en-US"/>
        </w:rPr>
      </w:pPr>
      <w:r w:rsidRPr="00F34A39">
        <w:rPr>
          <w:rFonts w:cstheme="minorHAnsi"/>
          <w:szCs w:val="22"/>
          <w:lang w:val="en-AU" w:eastAsia="en-US"/>
        </w:rPr>
        <w:t>The infrastructure and capacity among local actors to collect, analyse and report on case and court performance.</w:t>
      </w:r>
      <w:bookmarkStart w:id="102" w:name="_Toc39562785"/>
      <w:bookmarkStart w:id="103" w:name="_Toc44681895"/>
      <w:bookmarkStart w:id="104" w:name="_Toc57630097"/>
    </w:p>
    <w:p w14:paraId="2A0E50D2" w14:textId="2BCE5A41" w:rsidR="007D5098" w:rsidRPr="005466A3" w:rsidRDefault="00BD7C02" w:rsidP="005466A3">
      <w:pPr>
        <w:spacing w:before="120" w:after="120"/>
        <w:rPr>
          <w:rFonts w:asciiTheme="majorHAnsi" w:hAnsiTheme="majorHAnsi" w:cstheme="majorHAnsi"/>
          <w:b/>
          <w:color w:val="004B5C" w:themeColor="accent1" w:themeShade="BF"/>
          <w:sz w:val="26"/>
          <w:szCs w:val="26"/>
          <w:lang w:val="en-AU"/>
        </w:rPr>
      </w:pPr>
      <w:bookmarkStart w:id="105" w:name="_Toc62550860"/>
      <w:bookmarkStart w:id="106" w:name="_Toc74409941"/>
      <w:bookmarkStart w:id="107" w:name="_Toc75185188"/>
      <w:bookmarkStart w:id="108" w:name="_Toc75185759"/>
      <w:bookmarkStart w:id="109" w:name="_Toc75511311"/>
      <w:bookmarkStart w:id="110" w:name="_Toc76048252"/>
      <w:bookmarkStart w:id="111" w:name="_Toc77163396"/>
      <w:bookmarkStart w:id="112" w:name="_Toc77423632"/>
      <w:bookmarkStart w:id="113" w:name="_Toc76387411"/>
      <w:r>
        <w:rPr>
          <w:noProof/>
          <w:lang w:val="en-AU"/>
        </w:rPr>
        <w:drawing>
          <wp:anchor distT="0" distB="0" distL="114300" distR="114300" simplePos="0" relativeHeight="251720192" behindDoc="1" locked="0" layoutInCell="1" allowOverlap="1" wp14:anchorId="044E02FF" wp14:editId="26DBECD1">
            <wp:simplePos x="0" y="0"/>
            <wp:positionH relativeFrom="margin">
              <wp:align>right</wp:align>
            </wp:positionH>
            <wp:positionV relativeFrom="paragraph">
              <wp:posOffset>26670</wp:posOffset>
            </wp:positionV>
            <wp:extent cx="3101975" cy="2724150"/>
            <wp:effectExtent l="19050" t="19050" r="22225" b="19050"/>
            <wp:wrapTight wrapText="bothSides">
              <wp:wrapPolygon edited="0">
                <wp:start x="-133" y="-151"/>
                <wp:lineTo x="-133" y="21600"/>
                <wp:lineTo x="21622" y="21600"/>
                <wp:lineTo x="21622" y="-151"/>
                <wp:lineTo x="-133" y="-151"/>
              </wp:wrapPolygon>
            </wp:wrapTight>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14:sizeRelH relativeFrom="margin">
              <wp14:pctWidth>0</wp14:pctWidth>
            </wp14:sizeRelH>
            <wp14:sizeRelV relativeFrom="margin">
              <wp14:pctHeight>0</wp14:pctHeight>
            </wp14:sizeRelV>
          </wp:anchor>
        </w:drawing>
      </w:r>
      <w:r w:rsidR="007D5098" w:rsidRPr="005466A3">
        <w:rPr>
          <w:rFonts w:asciiTheme="majorHAnsi" w:hAnsiTheme="majorHAnsi" w:cstheme="majorHAnsi"/>
          <w:b/>
          <w:color w:val="004B5C" w:themeColor="accent1" w:themeShade="BF"/>
          <w:sz w:val="26"/>
          <w:szCs w:val="26"/>
          <w:lang w:val="en-AU"/>
        </w:rPr>
        <w:t>Efficiency</w:t>
      </w:r>
      <w:bookmarkEnd w:id="102"/>
      <w:bookmarkEnd w:id="103"/>
      <w:bookmarkEnd w:id="104"/>
      <w:bookmarkEnd w:id="105"/>
      <w:bookmarkEnd w:id="106"/>
      <w:bookmarkEnd w:id="107"/>
      <w:bookmarkEnd w:id="108"/>
      <w:bookmarkEnd w:id="109"/>
      <w:bookmarkEnd w:id="110"/>
      <w:bookmarkEnd w:id="111"/>
      <w:bookmarkEnd w:id="112"/>
      <w:r w:rsidR="007D5098" w:rsidRPr="005466A3">
        <w:rPr>
          <w:rFonts w:asciiTheme="majorHAnsi" w:hAnsiTheme="majorHAnsi" w:cstheme="majorHAnsi"/>
          <w:b/>
          <w:color w:val="004B5C" w:themeColor="accent1" w:themeShade="BF"/>
          <w:sz w:val="26"/>
          <w:szCs w:val="26"/>
          <w:lang w:val="en-AU"/>
        </w:rPr>
        <w:t xml:space="preserve"> </w:t>
      </w:r>
      <w:bookmarkEnd w:id="113"/>
    </w:p>
    <w:p w14:paraId="0C340A0A" w14:textId="13598284" w:rsidR="00C73CBE" w:rsidRDefault="007D5098" w:rsidP="007D5098">
      <w:pPr>
        <w:spacing w:before="120" w:after="120"/>
        <w:rPr>
          <w:rFonts w:cstheme="minorHAnsi"/>
          <w:sz w:val="22"/>
          <w:szCs w:val="22"/>
          <w:lang w:val="en-AU"/>
        </w:rPr>
      </w:pPr>
      <w:r w:rsidRPr="00F34A39">
        <w:rPr>
          <w:rFonts w:cstheme="minorHAnsi"/>
          <w:sz w:val="22"/>
          <w:szCs w:val="22"/>
          <w:lang w:val="en-AU"/>
        </w:rPr>
        <w:t xml:space="preserve">PJSI’s approach to blend regional, local and remote activities has maximised the efficient use of time and resources, and the necessary intensity of bilateral assistance. </w:t>
      </w:r>
      <w:r w:rsidR="00C73CBE">
        <w:rPr>
          <w:rFonts w:cstheme="minorHAnsi"/>
          <w:sz w:val="22"/>
          <w:szCs w:val="22"/>
          <w:lang w:val="en-AU"/>
        </w:rPr>
        <w:t xml:space="preserve"> </w:t>
      </w:r>
      <w:r w:rsidR="007241C0">
        <w:rPr>
          <w:rFonts w:cstheme="minorHAnsi"/>
          <w:sz w:val="22"/>
          <w:szCs w:val="22"/>
          <w:lang w:val="en-AU"/>
        </w:rPr>
        <w:t>PJSI’s</w:t>
      </w:r>
      <w:r w:rsidR="00C73CBE">
        <w:rPr>
          <w:rFonts w:cstheme="minorHAnsi"/>
          <w:sz w:val="22"/>
          <w:szCs w:val="22"/>
          <w:lang w:val="en-AU"/>
        </w:rPr>
        <w:t xml:space="preserve"> approach to ensure fairness in the </w:t>
      </w:r>
      <w:r w:rsidR="007241C0">
        <w:rPr>
          <w:rFonts w:cstheme="minorHAnsi"/>
          <w:sz w:val="22"/>
          <w:szCs w:val="22"/>
          <w:lang w:val="en-AU"/>
        </w:rPr>
        <w:t xml:space="preserve">allocation of its resources </w:t>
      </w:r>
      <w:r w:rsidR="00C73CBE">
        <w:rPr>
          <w:rFonts w:cstheme="minorHAnsi"/>
          <w:sz w:val="22"/>
          <w:szCs w:val="22"/>
          <w:lang w:val="en-AU"/>
        </w:rPr>
        <w:t xml:space="preserve">across all Partner Courts also supports </w:t>
      </w:r>
      <w:r w:rsidR="007241C0">
        <w:rPr>
          <w:rFonts w:cstheme="minorHAnsi"/>
          <w:sz w:val="22"/>
          <w:szCs w:val="22"/>
          <w:lang w:val="en-AU"/>
        </w:rPr>
        <w:t xml:space="preserve">efficient implementation by ensuring that delivery of programmatic services corresponds to the ability of a partner court to access alternate funding support for their </w:t>
      </w:r>
      <w:r w:rsidR="00D331D4">
        <w:rPr>
          <w:rFonts w:cstheme="minorHAnsi"/>
          <w:sz w:val="22"/>
          <w:szCs w:val="22"/>
          <w:lang w:val="en-AU"/>
        </w:rPr>
        <w:t>developmental activities</w:t>
      </w:r>
      <w:r w:rsidR="007241C0">
        <w:rPr>
          <w:rFonts w:cstheme="minorHAnsi"/>
          <w:sz w:val="22"/>
          <w:szCs w:val="22"/>
          <w:lang w:val="en-AU"/>
        </w:rPr>
        <w:t>.</w:t>
      </w:r>
    </w:p>
    <w:p w14:paraId="5006F2D0" w14:textId="7928BAEA" w:rsidR="007D5098" w:rsidRDefault="00BC1A90" w:rsidP="007D5098">
      <w:pPr>
        <w:spacing w:before="120" w:after="120"/>
        <w:rPr>
          <w:rFonts w:cstheme="minorHAnsi"/>
          <w:sz w:val="22"/>
          <w:szCs w:val="22"/>
          <w:lang w:val="en-AU"/>
        </w:rPr>
      </w:pPr>
      <w:r>
        <w:rPr>
          <w:noProof/>
          <w:lang w:val="en-AU"/>
        </w:rPr>
        <mc:AlternateContent>
          <mc:Choice Requires="wps">
            <w:drawing>
              <wp:anchor distT="0" distB="0" distL="114300" distR="114300" simplePos="0" relativeHeight="251660800" behindDoc="1" locked="0" layoutInCell="1" allowOverlap="1" wp14:anchorId="737998D1" wp14:editId="0C2AA533">
                <wp:simplePos x="0" y="0"/>
                <wp:positionH relativeFrom="column">
                  <wp:posOffset>2698115</wp:posOffset>
                </wp:positionH>
                <wp:positionV relativeFrom="paragraph">
                  <wp:posOffset>559435</wp:posOffset>
                </wp:positionV>
                <wp:extent cx="3540760" cy="228600"/>
                <wp:effectExtent l="0" t="0" r="2540" b="0"/>
                <wp:wrapTight wrapText="bothSides">
                  <wp:wrapPolygon edited="0">
                    <wp:start x="0" y="0"/>
                    <wp:lineTo x="0" y="19800"/>
                    <wp:lineTo x="21499" y="19800"/>
                    <wp:lineTo x="21499" y="0"/>
                    <wp:lineTo x="0" y="0"/>
                  </wp:wrapPolygon>
                </wp:wrapTight>
                <wp:docPr id="212" name="Text Box 212"/>
                <wp:cNvGraphicFramePr/>
                <a:graphic xmlns:a="http://schemas.openxmlformats.org/drawingml/2006/main">
                  <a:graphicData uri="http://schemas.microsoft.com/office/word/2010/wordprocessingShape">
                    <wps:wsp>
                      <wps:cNvSpPr txBox="1"/>
                      <wps:spPr>
                        <a:xfrm>
                          <a:off x="0" y="0"/>
                          <a:ext cx="3540760" cy="228600"/>
                        </a:xfrm>
                        <a:prstGeom prst="rect">
                          <a:avLst/>
                        </a:prstGeom>
                        <a:solidFill>
                          <a:prstClr val="white"/>
                        </a:solidFill>
                        <a:ln>
                          <a:noFill/>
                        </a:ln>
                      </wps:spPr>
                      <wps:txbx>
                        <w:txbxContent>
                          <w:p w14:paraId="678B0583" w14:textId="58D4F0F6" w:rsidR="00CA4E85" w:rsidRPr="00132670" w:rsidRDefault="00CA4E85" w:rsidP="00BC1A90">
                            <w:pPr>
                              <w:pStyle w:val="Caption"/>
                              <w:spacing w:after="0"/>
                              <w:rPr>
                                <w:rFonts w:asciiTheme="majorHAnsi" w:hAnsiTheme="majorHAnsi" w:cstheme="majorHAnsi"/>
                                <w:i w:val="0"/>
                                <w:noProof/>
                                <w:color w:val="auto"/>
                                <w:sz w:val="24"/>
                                <w:szCs w:val="26"/>
                              </w:rPr>
                            </w:pPr>
                            <w:r w:rsidRPr="00E47089">
                              <w:rPr>
                                <w:i w:val="0"/>
                                <w:color w:val="auto"/>
                              </w:rPr>
                              <w:t>Figure 24: PJSI Activity Type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7998D1" id="Text Box 212" o:spid="_x0000_s1068" type="#_x0000_t202" style="position:absolute;margin-left:212.45pt;margin-top:44.05pt;width:278.8pt;height:18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xnfNAIAAGwEAAAOAAAAZHJzL2Uyb0RvYy54bWysVFFv2yAQfp+0/4B4X+x4XVZZcaosVaZJ&#10;UVspmfpMMI6RgGNAYme/fgeO067b07QXfNwdB9/33Xl+12tFTsJ5Caai00lOiTAcamkOFf2+W3+4&#10;pcQHZmqmwIiKnoWnd4v37+adLUUBLahaOIJFjC87W9E2BFtmmeet0MxPwAqDwQacZgG37pDVjnVY&#10;XausyPNZ1oGrrQMuvEfv/RCki1S/aQQPj03jRSCqovi2kFaX1n1cs8WclQfHbCv55RnsH16hmTR4&#10;6bXUPQuMHJ38o5SW3IGHJkw46AyaRnKRMCCaaf4GzbZlViQsSI63V5r8/yvLH05Pjsi6osW0oMQw&#10;jSLtRB/IF+hJ9CFDnfUlJm4tpoYeA6j06PfojMD7xun4RUgE48j1+cpvLMfR+fHTTf55hiGOsaK4&#10;neVJgOzltHU+fBWgSTQq6lC/RCs7bXzAl2DqmBIv86BkvZZKxU0MrJQjJ4Zad60MIr4RT/yWpUzM&#10;NRBPDeHoySLEAUq0Qr/vEyk3V/x7qM8I38HQQt7ytcQLN8yHJ+awZxAWzkF4xKVR0FUULhYlLbif&#10;f/PHfJQSo5R02IMV9T+OzAlK1DeDIseGHQ03GvvRMEe9AoQ6xQmzPJl4wAU1mo0D/YzjsYy3YIgZ&#10;jndVNIzmKgyTgOPFxXKZkrAtLQsbs7U8lh6J3fXPzNmLLAEFfYCxO1n5Rp0hd6B5eQzQyCRdJHZg&#10;8cI3tnTS5zJ+cWZe71PWy09i8QsAAP//AwBQSwMEFAAGAAgAAAAhAOfow5ngAAAACgEAAA8AAABk&#10;cnMvZG93bnJldi54bWxMj8FOwzAQRO9I/IO1SFwQdWKFKg1xKmjhBoeWqmc3NklEvI5sp0n/nuVE&#10;j6t5mnlbrmfbs7PxoXMoIV0kwAzWTnfYSDh8vT/mwEJUqFXv0Ei4mADr6vamVIV2E+7MeR8bRiUY&#10;CiWhjXEoOA91a6wKCzcYpOzbeasinb7h2quJym3PRZIsuVUd0kKrBrNpTf2zH62E5daP0w43D9vD&#10;24f6HBpxfL0cpby/m1+egUUzx38Y/vRJHSpyOrkRdWC9hExkK0Il5HkKjIBVLp6AnYgUWQq8Kvn1&#10;C9UvAAAA//8DAFBLAQItABQABgAIAAAAIQC2gziS/gAAAOEBAAATAAAAAAAAAAAAAAAAAAAAAABb&#10;Q29udGVudF9UeXBlc10ueG1sUEsBAi0AFAAGAAgAAAAhADj9If/WAAAAlAEAAAsAAAAAAAAAAAAA&#10;AAAALwEAAF9yZWxzLy5yZWxzUEsBAi0AFAAGAAgAAAAhAGTTGd80AgAAbAQAAA4AAAAAAAAAAAAA&#10;AAAALgIAAGRycy9lMm9Eb2MueG1sUEsBAi0AFAAGAAgAAAAhAOfow5ngAAAACgEAAA8AAAAAAAAA&#10;AAAAAAAAjgQAAGRycy9kb3ducmV2LnhtbFBLBQYAAAAABAAEAPMAAACbBQAAAAA=&#10;" stroked="f">
                <v:textbox inset="0,0,0,0">
                  <w:txbxContent>
                    <w:p w14:paraId="678B0583" w14:textId="58D4F0F6" w:rsidR="00CA4E85" w:rsidRPr="00132670" w:rsidRDefault="00CA4E85" w:rsidP="00BC1A90">
                      <w:pPr>
                        <w:pStyle w:val="Caption"/>
                        <w:spacing w:after="0"/>
                        <w:rPr>
                          <w:rFonts w:asciiTheme="majorHAnsi" w:hAnsiTheme="majorHAnsi" w:cstheme="majorHAnsi"/>
                          <w:i w:val="0"/>
                          <w:noProof/>
                          <w:color w:val="auto"/>
                          <w:sz w:val="24"/>
                          <w:szCs w:val="26"/>
                        </w:rPr>
                      </w:pPr>
                      <w:r w:rsidRPr="00E47089">
                        <w:rPr>
                          <w:i w:val="0"/>
                          <w:color w:val="auto"/>
                        </w:rPr>
                        <w:t>Figure 24: PJSI Activity Type</w:t>
                      </w:r>
                    </w:p>
                  </w:txbxContent>
                </v:textbox>
                <w10:wrap type="tight"/>
              </v:shape>
            </w:pict>
          </mc:Fallback>
        </mc:AlternateContent>
      </w:r>
      <w:r w:rsidR="007D5098" w:rsidRPr="00F34A39">
        <w:rPr>
          <w:rFonts w:cstheme="minorHAnsi"/>
          <w:sz w:val="22"/>
          <w:szCs w:val="22"/>
          <w:lang w:val="en-AU"/>
        </w:rPr>
        <w:t xml:space="preserve">With the advent of COVID-19 </w:t>
      </w:r>
      <w:r w:rsidR="00D331D4">
        <w:rPr>
          <w:rFonts w:cstheme="minorHAnsi"/>
          <w:sz w:val="22"/>
          <w:szCs w:val="22"/>
          <w:lang w:val="en-AU"/>
        </w:rPr>
        <w:t xml:space="preserve">PJSI responded expeditiously </w:t>
      </w:r>
      <w:r w:rsidR="00C8454B">
        <w:rPr>
          <w:rFonts w:cstheme="minorHAnsi"/>
          <w:sz w:val="22"/>
          <w:szCs w:val="22"/>
          <w:lang w:val="en-AU"/>
        </w:rPr>
        <w:t xml:space="preserve">to </w:t>
      </w:r>
      <w:r w:rsidR="007D5098" w:rsidRPr="00F34A39">
        <w:rPr>
          <w:rFonts w:cstheme="minorHAnsi"/>
          <w:sz w:val="22"/>
          <w:szCs w:val="22"/>
          <w:lang w:val="en-AU"/>
        </w:rPr>
        <w:t>the need to pivot PJSIs activities to be delivered remotely</w:t>
      </w:r>
      <w:r w:rsidR="00D331D4">
        <w:rPr>
          <w:rFonts w:cstheme="minorHAnsi"/>
          <w:sz w:val="22"/>
          <w:szCs w:val="22"/>
          <w:lang w:val="en-AU"/>
        </w:rPr>
        <w:t xml:space="preserve">.  Consultations, </w:t>
      </w:r>
      <w:r w:rsidR="00C8454B">
        <w:rPr>
          <w:rFonts w:cstheme="minorHAnsi"/>
          <w:sz w:val="22"/>
          <w:szCs w:val="22"/>
          <w:lang w:val="en-AU"/>
        </w:rPr>
        <w:t xml:space="preserve">identification of new and emerging </w:t>
      </w:r>
      <w:r w:rsidR="00D331D4">
        <w:rPr>
          <w:rFonts w:cstheme="minorHAnsi"/>
          <w:sz w:val="22"/>
          <w:szCs w:val="22"/>
          <w:lang w:val="en-AU"/>
        </w:rPr>
        <w:t>needs, re-design</w:t>
      </w:r>
      <w:r w:rsidR="00C8454B">
        <w:rPr>
          <w:rFonts w:cstheme="minorHAnsi"/>
          <w:sz w:val="22"/>
          <w:szCs w:val="22"/>
          <w:lang w:val="en-AU"/>
        </w:rPr>
        <w:t>,</w:t>
      </w:r>
      <w:r w:rsidR="00D331D4">
        <w:rPr>
          <w:rFonts w:cstheme="minorHAnsi"/>
          <w:sz w:val="22"/>
          <w:szCs w:val="22"/>
          <w:lang w:val="en-AU"/>
        </w:rPr>
        <w:t xml:space="preserve"> and approvals were instituted within weeks of </w:t>
      </w:r>
      <w:r w:rsidR="002F0DE1">
        <w:rPr>
          <w:rFonts w:cstheme="minorHAnsi"/>
          <w:sz w:val="22"/>
          <w:szCs w:val="22"/>
          <w:lang w:val="en-AU"/>
        </w:rPr>
        <w:t xml:space="preserve">COVID-related shut-downs in the region. </w:t>
      </w:r>
      <w:r w:rsidR="00D331D4">
        <w:rPr>
          <w:rFonts w:cstheme="minorHAnsi"/>
          <w:sz w:val="22"/>
          <w:szCs w:val="22"/>
          <w:lang w:val="en-AU"/>
        </w:rPr>
        <w:t xml:space="preserve"> </w:t>
      </w:r>
      <w:r w:rsidR="002F0DE1">
        <w:rPr>
          <w:rFonts w:cstheme="minorHAnsi"/>
          <w:sz w:val="22"/>
          <w:szCs w:val="22"/>
          <w:lang w:val="en-AU"/>
        </w:rPr>
        <w:t>Th</w:t>
      </w:r>
      <w:r w:rsidR="008C77A8">
        <w:rPr>
          <w:rFonts w:cstheme="minorHAnsi"/>
          <w:sz w:val="22"/>
          <w:szCs w:val="22"/>
          <w:lang w:val="en-AU"/>
        </w:rPr>
        <w:t>e</w:t>
      </w:r>
      <w:r w:rsidR="002F0DE1">
        <w:rPr>
          <w:rFonts w:cstheme="minorHAnsi"/>
          <w:sz w:val="22"/>
          <w:szCs w:val="22"/>
          <w:lang w:val="en-AU"/>
        </w:rPr>
        <w:t xml:space="preserve"> refocus </w:t>
      </w:r>
      <w:r w:rsidR="008C77A8">
        <w:rPr>
          <w:rFonts w:cstheme="minorHAnsi"/>
          <w:sz w:val="22"/>
          <w:szCs w:val="22"/>
          <w:lang w:val="en-AU"/>
        </w:rPr>
        <w:t xml:space="preserve">towards remote delivery </w:t>
      </w:r>
      <w:r w:rsidR="002F0DE1">
        <w:rPr>
          <w:rFonts w:cstheme="minorHAnsi"/>
          <w:sz w:val="22"/>
          <w:szCs w:val="22"/>
          <w:lang w:val="en-AU"/>
        </w:rPr>
        <w:t xml:space="preserve">has also resulted in short-term </w:t>
      </w:r>
      <w:r w:rsidR="007D5098" w:rsidRPr="00F34A39">
        <w:rPr>
          <w:rFonts w:cstheme="minorHAnsi"/>
          <w:sz w:val="22"/>
          <w:szCs w:val="22"/>
          <w:lang w:val="en-AU"/>
        </w:rPr>
        <w:t>cost and time efficiencies</w:t>
      </w:r>
      <w:r w:rsidR="008C77A8">
        <w:rPr>
          <w:rFonts w:cstheme="minorHAnsi"/>
          <w:sz w:val="22"/>
          <w:szCs w:val="22"/>
          <w:lang w:val="en-AU"/>
        </w:rPr>
        <w:t>;</w:t>
      </w:r>
      <w:r w:rsidR="002F0DE1">
        <w:rPr>
          <w:rFonts w:cstheme="minorHAnsi"/>
          <w:sz w:val="22"/>
          <w:szCs w:val="22"/>
          <w:lang w:val="en-AU"/>
        </w:rPr>
        <w:t xml:space="preserve"> which will need to be balanced with relevance</w:t>
      </w:r>
      <w:r w:rsidR="008C77A8">
        <w:rPr>
          <w:rFonts w:cstheme="minorHAnsi"/>
          <w:sz w:val="22"/>
          <w:szCs w:val="22"/>
          <w:lang w:val="en-AU"/>
        </w:rPr>
        <w:t>,</w:t>
      </w:r>
      <w:r w:rsidR="002F0DE1">
        <w:rPr>
          <w:rFonts w:cstheme="minorHAnsi"/>
          <w:sz w:val="22"/>
          <w:szCs w:val="22"/>
          <w:lang w:val="en-AU"/>
        </w:rPr>
        <w:t xml:space="preserve"> effectiveness</w:t>
      </w:r>
      <w:r w:rsidR="008C77A8">
        <w:rPr>
          <w:rFonts w:cstheme="minorHAnsi"/>
          <w:sz w:val="22"/>
          <w:szCs w:val="22"/>
          <w:lang w:val="en-AU"/>
        </w:rPr>
        <w:t>, and impact</w:t>
      </w:r>
      <w:r w:rsidR="000E4AF7">
        <w:rPr>
          <w:rFonts w:cstheme="minorHAnsi"/>
          <w:sz w:val="22"/>
          <w:szCs w:val="22"/>
          <w:lang w:val="en-AU"/>
        </w:rPr>
        <w:t xml:space="preserve"> considerations in the medium </w:t>
      </w:r>
      <w:r w:rsidR="002F0DE1">
        <w:rPr>
          <w:rFonts w:cstheme="minorHAnsi"/>
          <w:sz w:val="22"/>
          <w:szCs w:val="22"/>
          <w:lang w:val="en-AU"/>
        </w:rPr>
        <w:t>to longer-terms</w:t>
      </w:r>
      <w:r w:rsidR="007D5098" w:rsidRPr="00F34A39">
        <w:rPr>
          <w:rFonts w:cstheme="minorHAnsi"/>
          <w:sz w:val="22"/>
          <w:szCs w:val="22"/>
          <w:lang w:val="en-AU"/>
        </w:rPr>
        <w:t xml:space="preserve">. </w:t>
      </w:r>
    </w:p>
    <w:p w14:paraId="359DF4BA" w14:textId="77777777" w:rsidR="007D5098" w:rsidRPr="00F34A39" w:rsidRDefault="007D5098" w:rsidP="005466A3">
      <w:pPr>
        <w:spacing w:before="120" w:after="120"/>
        <w:rPr>
          <w:rFonts w:cstheme="minorHAnsi"/>
          <w:color w:val="00323E" w:themeColor="accent1" w:themeShade="80"/>
          <w:lang w:val="en-AU"/>
        </w:rPr>
      </w:pPr>
      <w:bookmarkStart w:id="114" w:name="_Toc57630098"/>
      <w:bookmarkStart w:id="115" w:name="_Toc62550861"/>
      <w:bookmarkStart w:id="116" w:name="_Toc74409942"/>
      <w:bookmarkStart w:id="117" w:name="_Toc75185189"/>
      <w:bookmarkStart w:id="118" w:name="_Toc75185760"/>
      <w:bookmarkStart w:id="119" w:name="_Toc75511312"/>
      <w:bookmarkStart w:id="120" w:name="_Toc76048253"/>
      <w:bookmarkStart w:id="121" w:name="_Toc76387412"/>
      <w:bookmarkStart w:id="122" w:name="_Toc77163397"/>
      <w:bookmarkStart w:id="123" w:name="_Toc77423633"/>
      <w:r w:rsidRPr="005466A3">
        <w:rPr>
          <w:rFonts w:asciiTheme="majorHAnsi" w:hAnsiTheme="majorHAnsi" w:cstheme="majorHAnsi"/>
          <w:b/>
          <w:color w:val="004B5C" w:themeColor="accent1" w:themeShade="BF"/>
          <w:sz w:val="26"/>
          <w:szCs w:val="26"/>
          <w:lang w:val="en-AU"/>
        </w:rPr>
        <w:t>Coherence</w:t>
      </w:r>
      <w:bookmarkEnd w:id="114"/>
      <w:bookmarkEnd w:id="115"/>
      <w:bookmarkEnd w:id="116"/>
      <w:bookmarkEnd w:id="117"/>
      <w:bookmarkEnd w:id="118"/>
      <w:bookmarkEnd w:id="119"/>
      <w:bookmarkEnd w:id="120"/>
      <w:bookmarkEnd w:id="121"/>
      <w:bookmarkEnd w:id="122"/>
      <w:bookmarkEnd w:id="123"/>
    </w:p>
    <w:p w14:paraId="25FD8802" w14:textId="142F8E72" w:rsidR="007D5098" w:rsidRPr="00F34A39" w:rsidRDefault="007D5098" w:rsidP="00313C47">
      <w:pPr>
        <w:rPr>
          <w:lang w:val="en-AU"/>
        </w:rPr>
      </w:pPr>
      <w:r w:rsidRPr="00F34A39">
        <w:rPr>
          <w:sz w:val="22"/>
          <w:szCs w:val="22"/>
          <w:lang w:val="en-AU"/>
        </w:rPr>
        <w:t>During its design, PJSI consulted broadly with other justice-related interventions operating within Partner Courts, sub-regionally, and regionally. It has since continued to collaborate and create lin</w:t>
      </w:r>
      <w:r w:rsidR="00286A7B">
        <w:rPr>
          <w:sz w:val="22"/>
          <w:szCs w:val="22"/>
          <w:lang w:val="en-AU"/>
        </w:rPr>
        <w:t>ks with complementary entities -</w:t>
      </w:r>
      <w:r w:rsidRPr="00F34A39">
        <w:rPr>
          <w:sz w:val="22"/>
          <w:szCs w:val="22"/>
          <w:lang w:val="en-AU"/>
        </w:rPr>
        <w:t xml:space="preserve"> such as </w:t>
      </w:r>
      <w:r w:rsidRPr="008A5280">
        <w:rPr>
          <w:sz w:val="22"/>
          <w:szCs w:val="22"/>
          <w:lang w:val="en-AU"/>
        </w:rPr>
        <w:t xml:space="preserve">the </w:t>
      </w:r>
      <w:r w:rsidR="008A5280" w:rsidRPr="002E19C3">
        <w:rPr>
          <w:sz w:val="22"/>
          <w:szCs w:val="22"/>
          <w:lang w:val="en-AU"/>
        </w:rPr>
        <w:t>Te Kura Kaiwhakawā</w:t>
      </w:r>
      <w:r w:rsidRPr="00F34A39">
        <w:rPr>
          <w:sz w:val="22"/>
          <w:szCs w:val="22"/>
          <w:lang w:val="en-AU"/>
        </w:rPr>
        <w:t xml:space="preserve">; the University of the South Pacific; Regional Rights Resource Team; </w:t>
      </w:r>
      <w:r w:rsidR="002E19C3">
        <w:rPr>
          <w:sz w:val="22"/>
          <w:szCs w:val="22"/>
          <w:lang w:val="en-AU"/>
        </w:rPr>
        <w:t xml:space="preserve">United Nations Office of Drugs and Crime; National Judicial College, Reno USA; Judicial College Victoria; Australian Federal Court and New Zealand’s Pacific policing program; </w:t>
      </w:r>
      <w:r w:rsidRPr="00F34A39">
        <w:rPr>
          <w:sz w:val="22"/>
          <w:szCs w:val="22"/>
          <w:lang w:val="en-AU"/>
        </w:rPr>
        <w:t>Sydney University and, various in-country NGOs, particularly those active in the areas of human rights/gender and family violence.  PJSI has also continued to collabora</w:t>
      </w:r>
      <w:r w:rsidR="00286A7B">
        <w:rPr>
          <w:sz w:val="22"/>
          <w:szCs w:val="22"/>
          <w:lang w:val="en-AU"/>
        </w:rPr>
        <w:t>te with complementary programs -</w:t>
      </w:r>
      <w:r w:rsidRPr="00F34A39">
        <w:rPr>
          <w:sz w:val="22"/>
          <w:szCs w:val="22"/>
          <w:lang w:val="en-AU"/>
        </w:rPr>
        <w:t xml:space="preserve"> such as DFAT’s bilateral justice programs in PNG, Vanuatu and Solomon Islands.  These collaborations enable PJSI to ensure consistency among interventions, while ameliorating duplication of support and focusing assistance in areas where external support is limited.</w:t>
      </w:r>
      <w:r w:rsidR="00E47089" w:rsidRPr="00F34A39">
        <w:rPr>
          <w:lang w:val="en-AU"/>
        </w:rPr>
        <w:t xml:space="preserve"> </w:t>
      </w:r>
    </w:p>
    <w:p w14:paraId="1C5689EC" w14:textId="62F0C442" w:rsidR="00313C47" w:rsidRPr="00F34A39" w:rsidRDefault="00313C47" w:rsidP="00313C47">
      <w:pPr>
        <w:rPr>
          <w:lang w:val="en-AU"/>
        </w:rPr>
        <w:sectPr w:rsidR="00313C47" w:rsidRPr="00F34A39" w:rsidSect="00313C47">
          <w:footerReference w:type="default" r:id="rId245"/>
          <w:pgSz w:w="11906" w:h="16838" w:code="9"/>
          <w:pgMar w:top="1559" w:right="1361" w:bottom="1418" w:left="1361" w:header="397" w:footer="249" w:gutter="0"/>
          <w:cols w:space="708"/>
          <w:titlePg/>
          <w:docGrid w:linePitch="360"/>
        </w:sectPr>
      </w:pPr>
    </w:p>
    <w:p w14:paraId="64167C3F" w14:textId="0D16EA33" w:rsidR="00313C47" w:rsidRPr="00F34A39" w:rsidRDefault="00313C47" w:rsidP="00BC1A90">
      <w:pPr>
        <w:pStyle w:val="HBHeading1"/>
        <w:spacing w:before="0"/>
        <w:rPr>
          <w:color w:val="00323E" w:themeColor="accent1" w:themeShade="80"/>
          <w:lang w:val="en-AU"/>
        </w:rPr>
      </w:pPr>
      <w:bookmarkStart w:id="124" w:name="_Toc75185190"/>
      <w:bookmarkStart w:id="125" w:name="_Toc77423634"/>
      <w:bookmarkStart w:id="126" w:name="_Toc90564322"/>
      <w:r w:rsidRPr="00F34A39">
        <w:rPr>
          <w:color w:val="00323E" w:themeColor="accent1" w:themeShade="80"/>
          <w:lang w:val="en-AU"/>
        </w:rPr>
        <w:lastRenderedPageBreak/>
        <w:t xml:space="preserve">Annex </w:t>
      </w:r>
      <w:r w:rsidR="0025389B">
        <w:rPr>
          <w:color w:val="00323E" w:themeColor="accent1" w:themeShade="80"/>
          <w:lang w:val="en-AU"/>
        </w:rPr>
        <w:t>Nine</w:t>
      </w:r>
      <w:r w:rsidR="00741253" w:rsidRPr="00F34A39">
        <w:rPr>
          <w:color w:val="00323E" w:themeColor="accent1" w:themeShade="80"/>
          <w:lang w:val="en-AU"/>
        </w:rPr>
        <w:t>:</w:t>
      </w:r>
      <w:r w:rsidRPr="00F34A39">
        <w:rPr>
          <w:color w:val="00323E" w:themeColor="accent1" w:themeShade="80"/>
          <w:lang w:val="en-AU"/>
        </w:rPr>
        <w:t xml:space="preserve"> Self-Assessment against Quality Indicators</w:t>
      </w:r>
      <w:bookmarkEnd w:id="124"/>
      <w:bookmarkEnd w:id="125"/>
      <w:bookmarkEnd w:id="126"/>
    </w:p>
    <w:p w14:paraId="44249109" w14:textId="2650DD08" w:rsidR="00313C47" w:rsidRPr="00F34A39" w:rsidRDefault="00313C47" w:rsidP="00313C47">
      <w:pPr>
        <w:rPr>
          <w:rFonts w:cstheme="minorHAnsi"/>
          <w:b/>
          <w:sz w:val="22"/>
          <w:szCs w:val="22"/>
          <w:lang w:val="en-AU"/>
        </w:rPr>
      </w:pPr>
      <w:r w:rsidRPr="00F34A39">
        <w:rPr>
          <w:rFonts w:cstheme="minorHAnsi"/>
          <w:b/>
          <w:sz w:val="22"/>
          <w:szCs w:val="22"/>
          <w:lang w:val="en-AU"/>
        </w:rPr>
        <w:t>Outcome:</w:t>
      </w:r>
      <w:r w:rsidRPr="00F34A39">
        <w:rPr>
          <w:rFonts w:cstheme="minorHAnsi"/>
          <w:sz w:val="22"/>
          <w:szCs w:val="22"/>
          <w:lang w:val="en-AU"/>
        </w:rPr>
        <w:t xml:space="preserve">  Effective management of the Programme and M</w:t>
      </w:r>
      <w:r w:rsidR="003232DE">
        <w:rPr>
          <w:rFonts w:cstheme="minorHAnsi"/>
          <w:sz w:val="22"/>
          <w:szCs w:val="22"/>
          <w:lang w:val="en-AU"/>
        </w:rPr>
        <w:t xml:space="preserve">SC </w:t>
      </w:r>
      <w:r w:rsidRPr="00F34A39">
        <w:rPr>
          <w:rFonts w:cstheme="minorHAnsi"/>
          <w:sz w:val="22"/>
          <w:szCs w:val="22"/>
          <w:lang w:val="en-AU"/>
        </w:rPr>
        <w:t>contract.</w:t>
      </w:r>
    </w:p>
    <w:p w14:paraId="49DCE5BA" w14:textId="77777777" w:rsidR="00313C47" w:rsidRPr="00F34A39" w:rsidRDefault="00313C47" w:rsidP="00313C47">
      <w:pPr>
        <w:ind w:left="-176"/>
        <w:rPr>
          <w:rFonts w:cstheme="minorHAnsi"/>
          <w:b/>
          <w:sz w:val="22"/>
          <w:szCs w:val="22"/>
          <w:lang w:val="en-AU"/>
        </w:rPr>
      </w:pPr>
    </w:p>
    <w:tbl>
      <w:tblPr>
        <w:tblStyle w:val="DarkList-Accent5"/>
        <w:tblW w:w="5150" w:type="pct"/>
        <w:tblLook w:val="0020" w:firstRow="1" w:lastRow="0" w:firstColumn="0" w:lastColumn="0" w:noHBand="0" w:noVBand="0"/>
      </w:tblPr>
      <w:tblGrid>
        <w:gridCol w:w="2007"/>
        <w:gridCol w:w="4220"/>
        <w:gridCol w:w="8029"/>
      </w:tblGrid>
      <w:tr w:rsidR="00313C47" w:rsidRPr="00F34A39" w14:paraId="6E71A24E" w14:textId="77777777" w:rsidTr="00104867">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704" w:type="pct"/>
            <w:tcBorders>
              <w:bottom w:val="single" w:sz="8" w:space="0" w:color="81ADB5" w:themeColor="accent5"/>
            </w:tcBorders>
            <w:shd w:val="clear" w:color="auto" w:fill="81ADB5" w:themeFill="accent5"/>
          </w:tcPr>
          <w:p w14:paraId="3A65FA25" w14:textId="77777777" w:rsidR="00313C47" w:rsidRPr="00F34A39" w:rsidRDefault="00313C47" w:rsidP="00B23BF3">
            <w:pPr>
              <w:spacing w:before="60" w:after="60"/>
              <w:rPr>
                <w:rFonts w:asciiTheme="minorHAnsi" w:hAnsiTheme="minorHAnsi" w:cstheme="minorHAnsi"/>
                <w:b w:val="0"/>
                <w:i/>
                <w:color w:val="FFFFFF" w:themeColor="background1"/>
                <w:sz w:val="22"/>
                <w:szCs w:val="22"/>
                <w:lang w:val="en-AU"/>
              </w:rPr>
            </w:pPr>
            <w:r w:rsidRPr="00F34A39">
              <w:rPr>
                <w:rFonts w:asciiTheme="minorHAnsi" w:hAnsiTheme="minorHAnsi" w:cstheme="minorHAnsi"/>
                <w:color w:val="FFFFFF" w:themeColor="background1"/>
                <w:sz w:val="22"/>
                <w:szCs w:val="22"/>
                <w:lang w:val="en-AU"/>
              </w:rPr>
              <w:t>Indicator</w:t>
            </w:r>
          </w:p>
        </w:tc>
        <w:tc>
          <w:tcPr>
            <w:tcW w:w="1480" w:type="pct"/>
            <w:tcBorders>
              <w:bottom w:val="single" w:sz="8" w:space="0" w:color="81ADB5" w:themeColor="accent5"/>
            </w:tcBorders>
            <w:shd w:val="clear" w:color="auto" w:fill="81ADB5" w:themeFill="accent5"/>
          </w:tcPr>
          <w:p w14:paraId="753A34A8" w14:textId="77777777" w:rsidR="00313C47" w:rsidRPr="00F34A39" w:rsidRDefault="00313C47" w:rsidP="00B23BF3">
            <w:pPr>
              <w:spacing w:before="60" w:after="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FFFFFF" w:themeColor="background1"/>
                <w:sz w:val="22"/>
                <w:szCs w:val="22"/>
                <w:lang w:val="en-AU"/>
              </w:rPr>
            </w:pPr>
            <w:r w:rsidRPr="00F34A39">
              <w:rPr>
                <w:rFonts w:asciiTheme="minorHAnsi" w:hAnsiTheme="minorHAnsi" w:cstheme="minorHAnsi"/>
                <w:color w:val="FFFFFF" w:themeColor="background1"/>
                <w:sz w:val="22"/>
                <w:szCs w:val="22"/>
                <w:lang w:val="en-AU"/>
              </w:rPr>
              <w:t>Measure</w:t>
            </w:r>
          </w:p>
        </w:tc>
        <w:tc>
          <w:tcPr>
            <w:cnfStyle w:val="000010000000" w:firstRow="0" w:lastRow="0" w:firstColumn="0" w:lastColumn="0" w:oddVBand="1" w:evenVBand="0" w:oddHBand="0" w:evenHBand="0" w:firstRowFirstColumn="0" w:firstRowLastColumn="0" w:lastRowFirstColumn="0" w:lastRowLastColumn="0"/>
            <w:tcW w:w="2816" w:type="pct"/>
            <w:tcBorders>
              <w:bottom w:val="single" w:sz="8" w:space="0" w:color="81ADB5" w:themeColor="accent5"/>
            </w:tcBorders>
            <w:shd w:val="clear" w:color="auto" w:fill="81ADB5" w:themeFill="accent5"/>
          </w:tcPr>
          <w:p w14:paraId="5502FB5B" w14:textId="77777777" w:rsidR="00313C47" w:rsidRPr="00F34A39" w:rsidRDefault="00313C47" w:rsidP="00B23BF3">
            <w:pPr>
              <w:spacing w:before="60" w:after="60"/>
              <w:jc w:val="center"/>
              <w:rPr>
                <w:rFonts w:asciiTheme="minorHAnsi" w:hAnsiTheme="minorHAnsi" w:cstheme="minorHAnsi"/>
                <w:b w:val="0"/>
                <w:color w:val="FFFFFF" w:themeColor="background1"/>
                <w:sz w:val="22"/>
                <w:szCs w:val="22"/>
                <w:lang w:val="en-AU"/>
              </w:rPr>
            </w:pPr>
            <w:r w:rsidRPr="00F34A39">
              <w:rPr>
                <w:rFonts w:asciiTheme="minorHAnsi" w:hAnsiTheme="minorHAnsi" w:cstheme="minorHAnsi"/>
                <w:color w:val="FFFFFF" w:themeColor="background1"/>
                <w:sz w:val="22"/>
                <w:szCs w:val="22"/>
                <w:lang w:val="en-AU"/>
              </w:rPr>
              <w:t>Self-assessment</w:t>
            </w:r>
          </w:p>
        </w:tc>
      </w:tr>
      <w:tr w:rsidR="00313C47" w:rsidRPr="00F34A39" w14:paraId="132C5406" w14:textId="77777777" w:rsidTr="00104867">
        <w:trPr>
          <w:cnfStyle w:val="000000100000" w:firstRow="0" w:lastRow="0" w:firstColumn="0" w:lastColumn="0" w:oddVBand="0" w:evenVBand="0" w:oddHBand="1" w:evenHBand="0" w:firstRowFirstColumn="0" w:firstRowLastColumn="0" w:lastRowFirstColumn="0" w:lastRowLastColumn="0"/>
          <w:trHeight w:val="55"/>
        </w:trPr>
        <w:tc>
          <w:tcPr>
            <w:cnfStyle w:val="000010000000" w:firstRow="0" w:lastRow="0" w:firstColumn="0" w:lastColumn="0" w:oddVBand="1" w:evenVBand="0" w:oddHBand="0" w:evenHBand="0" w:firstRowFirstColumn="0" w:firstRowLastColumn="0" w:lastRowFirstColumn="0" w:lastRowLastColumn="0"/>
            <w:tcW w:w="704" w:type="pct"/>
            <w:vMerge w:val="restar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186C78C8" w14:textId="77777777" w:rsidR="00313C47" w:rsidRPr="00F34A39" w:rsidRDefault="00313C47" w:rsidP="008C15D6">
            <w:pPr>
              <w:numPr>
                <w:ilvl w:val="0"/>
                <w:numId w:val="8"/>
              </w:numPr>
              <w:ind w:left="227" w:hanging="227"/>
              <w:contextualSpacing/>
              <w:rPr>
                <w:rFonts w:asciiTheme="minorHAnsi" w:hAnsiTheme="minorHAnsi" w:cstheme="minorHAnsi"/>
                <w:sz w:val="22"/>
                <w:szCs w:val="22"/>
                <w:lang w:val="en-AU"/>
              </w:rPr>
            </w:pPr>
            <w:r w:rsidRPr="00F34A39">
              <w:rPr>
                <w:rFonts w:asciiTheme="minorHAnsi" w:hAnsiTheme="minorHAnsi" w:cstheme="minorHAnsi"/>
                <w:sz w:val="22"/>
                <w:szCs w:val="22"/>
                <w:lang w:val="en-AU"/>
              </w:rPr>
              <w:t>Appropriately skilled staff and adequate resources.</w:t>
            </w: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1462609C" w14:textId="77777777" w:rsidR="00313C47" w:rsidRPr="00F34A39" w:rsidRDefault="00313C47" w:rsidP="00B96EC1">
            <w:pPr>
              <w:overflowPunct w:val="0"/>
              <w:autoSpaceDE w:val="0"/>
              <w:autoSpaceDN w:val="0"/>
              <w:adjustRightInd w:val="0"/>
              <w:contextualSpacing/>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Adequate number of staff with sufficient capacity and capability to carry out the services to meet the standards required</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1D20ECE2" w14:textId="0AB21C6F" w:rsidR="00313C47" w:rsidRPr="00F34A39" w:rsidRDefault="00C4094C" w:rsidP="00881235">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L</w:t>
            </w:r>
            <w:r w:rsidR="00313C47" w:rsidRPr="00F34A39">
              <w:rPr>
                <w:rFonts w:asciiTheme="minorHAnsi" w:hAnsiTheme="minorHAnsi" w:cstheme="minorHAnsi"/>
                <w:sz w:val="22"/>
                <w:szCs w:val="22"/>
                <w:lang w:val="en-AU" w:eastAsia="en-US"/>
              </w:rPr>
              <w:t xml:space="preserve">ogistical and administration staff have been available to manage the </w:t>
            </w:r>
            <w:r w:rsidR="00881235" w:rsidRPr="00F34A39">
              <w:rPr>
                <w:rFonts w:asciiTheme="minorHAnsi" w:hAnsiTheme="minorHAnsi" w:cstheme="minorHAnsi"/>
                <w:sz w:val="22"/>
                <w:szCs w:val="22"/>
                <w:lang w:val="en-AU" w:eastAsia="en-US"/>
              </w:rPr>
              <w:t xml:space="preserve">PJSI </w:t>
            </w:r>
            <w:r w:rsidR="00313C47" w:rsidRPr="00F34A39">
              <w:rPr>
                <w:rFonts w:asciiTheme="minorHAnsi" w:hAnsiTheme="minorHAnsi" w:cstheme="minorHAnsi"/>
                <w:sz w:val="22"/>
                <w:szCs w:val="22"/>
                <w:lang w:val="en-AU" w:eastAsia="en-US"/>
              </w:rPr>
              <w:t xml:space="preserve">throughout. At times of significant workload, the </w:t>
            </w:r>
            <w:r w:rsidR="00A478C9">
              <w:rPr>
                <w:rFonts w:asciiTheme="minorHAnsi" w:hAnsiTheme="minorHAnsi" w:cstheme="minorHAnsi"/>
                <w:sz w:val="22"/>
                <w:szCs w:val="22"/>
                <w:lang w:val="en-AU" w:eastAsia="en-US"/>
              </w:rPr>
              <w:t>Federal Court of Australia (</w:t>
            </w:r>
            <w:r w:rsidRPr="00F34A39">
              <w:rPr>
                <w:rFonts w:asciiTheme="minorHAnsi" w:hAnsiTheme="minorHAnsi" w:cstheme="minorHAnsi"/>
                <w:sz w:val="22"/>
                <w:szCs w:val="22"/>
                <w:lang w:val="en-AU" w:eastAsia="en-US"/>
              </w:rPr>
              <w:t>FCA</w:t>
            </w:r>
            <w:r w:rsidR="00A478C9">
              <w:rPr>
                <w:rFonts w:asciiTheme="minorHAnsi" w:hAnsiTheme="minorHAnsi" w:cstheme="minorHAnsi"/>
                <w:sz w:val="22"/>
                <w:szCs w:val="22"/>
                <w:lang w:val="en-AU" w:eastAsia="en-US"/>
              </w:rPr>
              <w:t>)</w:t>
            </w:r>
            <w:r w:rsidR="00881235" w:rsidRPr="00F34A39">
              <w:rPr>
                <w:rFonts w:asciiTheme="minorHAnsi" w:hAnsiTheme="minorHAnsi" w:cstheme="minorHAnsi"/>
                <w:sz w:val="22"/>
                <w:szCs w:val="22"/>
                <w:lang w:val="en-AU" w:eastAsia="en-US"/>
              </w:rPr>
              <w:t xml:space="preserve"> provided</w:t>
            </w:r>
            <w:r w:rsidR="00313C47" w:rsidRPr="00F34A39">
              <w:rPr>
                <w:rFonts w:asciiTheme="minorHAnsi" w:hAnsiTheme="minorHAnsi" w:cstheme="minorHAnsi"/>
                <w:sz w:val="22"/>
                <w:szCs w:val="22"/>
                <w:lang w:val="en-AU" w:eastAsia="en-US"/>
              </w:rPr>
              <w:t xml:space="preserve"> additional backstopping support from internal resources as well as from the </w:t>
            </w:r>
            <w:r w:rsidR="00881235" w:rsidRPr="00F34A39">
              <w:rPr>
                <w:rFonts w:asciiTheme="minorHAnsi" w:hAnsiTheme="minorHAnsi" w:cstheme="minorHAnsi"/>
                <w:sz w:val="22"/>
                <w:szCs w:val="22"/>
                <w:lang w:val="en-AU" w:eastAsia="en-US"/>
              </w:rPr>
              <w:t>PJSI</w:t>
            </w:r>
            <w:r w:rsidR="00313C47" w:rsidRPr="00F34A39">
              <w:rPr>
                <w:rFonts w:asciiTheme="minorHAnsi" w:hAnsiTheme="minorHAnsi" w:cstheme="minorHAnsi"/>
                <w:sz w:val="22"/>
                <w:szCs w:val="22"/>
                <w:lang w:val="en-AU" w:eastAsia="en-US"/>
              </w:rPr>
              <w:t xml:space="preserve"> Contract Manger. </w:t>
            </w:r>
          </w:p>
        </w:tc>
      </w:tr>
      <w:tr w:rsidR="00313C47" w:rsidRPr="00F34A39" w14:paraId="313E8A43" w14:textId="77777777" w:rsidTr="00104867">
        <w:trPr>
          <w:trHeight w:val="77"/>
        </w:trPr>
        <w:tc>
          <w:tcPr>
            <w:cnfStyle w:val="000010000000" w:firstRow="0" w:lastRow="0" w:firstColumn="0" w:lastColumn="0" w:oddVBand="1" w:evenVBand="0" w:oddHBand="0" w:evenHBand="0" w:firstRowFirstColumn="0" w:firstRowLastColumn="0" w:lastRowFirstColumn="0" w:lastRowLastColumn="0"/>
            <w:tcW w:w="704" w:type="pct"/>
            <w:vMerge/>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26A02D51" w14:textId="77777777" w:rsidR="00313C47" w:rsidRPr="00F34A39" w:rsidRDefault="00313C47" w:rsidP="00B23BF3">
            <w:pPr>
              <w:contextualSpacing/>
              <w:rPr>
                <w:rFonts w:asciiTheme="minorHAnsi" w:hAnsiTheme="minorHAnsi" w:cstheme="minorHAnsi"/>
                <w:sz w:val="22"/>
                <w:szCs w:val="22"/>
                <w:lang w:val="en-AU"/>
              </w:rPr>
            </w:pP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69F74CAC" w14:textId="26686EAD" w:rsidR="00313C47" w:rsidRPr="00F34A39" w:rsidRDefault="00313C47" w:rsidP="00B96EC1">
            <w:pPr>
              <w:overflowPunct w:val="0"/>
              <w:autoSpaceDE w:val="0"/>
              <w:autoSpaceDN w:val="0"/>
              <w:adjustRightInd w:val="0"/>
              <w:contextualSpacing/>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All functions are delivered efficiently and effectively in relation to provision of services and outputs (including reporting</w:t>
            </w:r>
            <w:r w:rsidR="00104867" w:rsidRPr="00F34A39">
              <w:rPr>
                <w:rFonts w:asciiTheme="minorHAnsi" w:hAnsiTheme="minorHAnsi" w:cstheme="minorHAnsi"/>
                <w:sz w:val="22"/>
                <w:szCs w:val="22"/>
                <w:lang w:val="en-AU" w:eastAsia="en-US"/>
              </w:rPr>
              <w:t xml:space="preserve"> </w:t>
            </w:r>
            <w:r w:rsidRPr="00F34A39">
              <w:rPr>
                <w:rFonts w:asciiTheme="minorHAnsi" w:hAnsiTheme="minorHAnsi" w:cstheme="minorHAnsi"/>
                <w:sz w:val="22"/>
                <w:szCs w:val="22"/>
                <w:lang w:val="en-AU" w:eastAsia="en-US"/>
              </w:rPr>
              <w:t>/</w:t>
            </w:r>
            <w:r w:rsidR="00104867" w:rsidRPr="00F34A39">
              <w:rPr>
                <w:rFonts w:asciiTheme="minorHAnsi" w:hAnsiTheme="minorHAnsi" w:cstheme="minorHAnsi"/>
                <w:sz w:val="22"/>
                <w:szCs w:val="22"/>
                <w:lang w:val="en-AU" w:eastAsia="en-US"/>
              </w:rPr>
              <w:t xml:space="preserve"> </w:t>
            </w:r>
            <w:r w:rsidRPr="00F34A39">
              <w:rPr>
                <w:rFonts w:asciiTheme="minorHAnsi" w:hAnsiTheme="minorHAnsi" w:cstheme="minorHAnsi"/>
                <w:sz w:val="22"/>
                <w:szCs w:val="22"/>
                <w:lang w:val="en-AU" w:eastAsia="en-US"/>
              </w:rPr>
              <w:t>submissions and mile</w:t>
            </w:r>
            <w:r w:rsidR="00104867" w:rsidRPr="00F34A39">
              <w:rPr>
                <w:rFonts w:asciiTheme="minorHAnsi" w:hAnsiTheme="minorHAnsi" w:cstheme="minorHAnsi"/>
                <w:sz w:val="22"/>
                <w:szCs w:val="22"/>
                <w:lang w:val="en-AU" w:eastAsia="en-US"/>
              </w:rPr>
              <w:t>stones</w:t>
            </w:r>
            <w:r w:rsidRPr="00F34A39">
              <w:rPr>
                <w:rFonts w:asciiTheme="minorHAnsi" w:hAnsiTheme="minorHAnsi" w:cstheme="minorHAnsi"/>
                <w:sz w:val="22"/>
                <w:szCs w:val="22"/>
                <w:lang w:val="en-AU" w:eastAsia="en-US"/>
              </w:rPr>
              <w:t>).</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4F4550EE" w14:textId="77777777" w:rsidR="00313C47" w:rsidRPr="00F34A39" w:rsidRDefault="00313C47" w:rsidP="00881235">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To date, all milestones and related invoicing have been submitted prior to, or in line with the reporting schedule agreed with MFAT. Responses to all MFAT queries have been provided expeditiously. </w:t>
            </w:r>
          </w:p>
        </w:tc>
      </w:tr>
      <w:tr w:rsidR="00313C47" w:rsidRPr="00F34A39" w14:paraId="7205A11D" w14:textId="77777777" w:rsidTr="00104867">
        <w:trPr>
          <w:cnfStyle w:val="000000100000" w:firstRow="0" w:lastRow="0" w:firstColumn="0" w:lastColumn="0" w:oddVBand="0" w:evenVBand="0" w:oddHBand="1" w:evenHBand="0" w:firstRowFirstColumn="0" w:firstRowLastColumn="0" w:lastRowFirstColumn="0" w:lastRowLastColumn="0"/>
          <w:trHeight w:val="1015"/>
        </w:trPr>
        <w:tc>
          <w:tcPr>
            <w:cnfStyle w:val="000010000000" w:firstRow="0" w:lastRow="0" w:firstColumn="0" w:lastColumn="0" w:oddVBand="1" w:evenVBand="0" w:oddHBand="0" w:evenHBand="0" w:firstRowFirstColumn="0" w:firstRowLastColumn="0" w:lastRowFirstColumn="0" w:lastRowLastColumn="0"/>
            <w:tcW w:w="704" w:type="pct"/>
            <w:vMerge w:val="restar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474AF0F9" w14:textId="77777777" w:rsidR="00313C47" w:rsidRPr="00F34A39" w:rsidRDefault="00313C47" w:rsidP="008C15D6">
            <w:pPr>
              <w:numPr>
                <w:ilvl w:val="0"/>
                <w:numId w:val="8"/>
              </w:numPr>
              <w:ind w:left="227" w:hanging="227"/>
              <w:contextualSpacing/>
              <w:rPr>
                <w:rFonts w:asciiTheme="minorHAnsi" w:hAnsiTheme="minorHAnsi" w:cstheme="minorHAnsi"/>
                <w:sz w:val="22"/>
                <w:szCs w:val="22"/>
                <w:lang w:val="en-AU"/>
              </w:rPr>
            </w:pPr>
            <w:r w:rsidRPr="00F34A39">
              <w:rPr>
                <w:rFonts w:asciiTheme="minorHAnsi" w:hAnsiTheme="minorHAnsi" w:cstheme="minorHAnsi"/>
                <w:sz w:val="22"/>
                <w:szCs w:val="22"/>
                <w:lang w:val="en-AU"/>
              </w:rPr>
              <w:t>Administration system and processes</w:t>
            </w: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210B68FC" w14:textId="77777777" w:rsidR="00313C47" w:rsidRPr="00F34A39" w:rsidRDefault="00313C47" w:rsidP="00B96EC1">
            <w:pPr>
              <w:overflowPunct w:val="0"/>
              <w:autoSpaceDE w:val="0"/>
              <w:autoSpaceDN w:val="0"/>
              <w:adjustRightInd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Comprehensive administration systems and processes used to meet MFAT’s acquittal requirements.</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4DC74DEF" w14:textId="57419E7F" w:rsidR="00313C47" w:rsidRPr="00F34A39" w:rsidRDefault="00881235" w:rsidP="00881235">
            <w:pPr>
              <w:tabs>
                <w:tab w:val="left" w:pos="244"/>
              </w:tabs>
              <w:overflowPunct w:val="0"/>
              <w:autoSpaceDE w:val="0"/>
              <w:autoSpaceDN w:val="0"/>
              <w:adjustRightInd w:val="0"/>
              <w:contextualSpacing/>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C</w:t>
            </w:r>
            <w:r w:rsidR="00313C47" w:rsidRPr="00F34A39">
              <w:rPr>
                <w:rFonts w:asciiTheme="minorHAnsi" w:hAnsiTheme="minorHAnsi" w:cstheme="minorHAnsi"/>
                <w:sz w:val="22"/>
                <w:szCs w:val="22"/>
                <w:lang w:val="en-AU" w:eastAsia="en-US"/>
              </w:rPr>
              <w:t xml:space="preserve">ombined progress and financial reporting processes </w:t>
            </w:r>
            <w:r w:rsidR="00B96EC1" w:rsidRPr="00F34A39">
              <w:rPr>
                <w:rFonts w:asciiTheme="minorHAnsi" w:hAnsiTheme="minorHAnsi" w:cstheme="minorHAnsi"/>
                <w:sz w:val="22"/>
                <w:szCs w:val="22"/>
                <w:lang w:val="en-AU" w:eastAsia="en-US"/>
              </w:rPr>
              <w:t xml:space="preserve">mandated by the Australian and New Zealand Government are </w:t>
            </w:r>
            <w:r w:rsidR="00313C47" w:rsidRPr="00F34A39">
              <w:rPr>
                <w:rFonts w:asciiTheme="minorHAnsi" w:hAnsiTheme="minorHAnsi" w:cstheme="minorHAnsi"/>
                <w:sz w:val="22"/>
                <w:szCs w:val="22"/>
                <w:lang w:val="en-AU" w:eastAsia="en-US"/>
              </w:rPr>
              <w:t xml:space="preserve">used by the </w:t>
            </w:r>
            <w:r w:rsidRPr="00F34A39">
              <w:rPr>
                <w:rFonts w:asciiTheme="minorHAnsi" w:hAnsiTheme="minorHAnsi" w:cstheme="minorHAnsi"/>
                <w:sz w:val="22"/>
                <w:szCs w:val="22"/>
                <w:lang w:val="en-AU" w:eastAsia="en-US"/>
              </w:rPr>
              <w:t xml:space="preserve">PJSI </w:t>
            </w:r>
            <w:r w:rsidR="00313C47" w:rsidRPr="00F34A39">
              <w:rPr>
                <w:rFonts w:asciiTheme="minorHAnsi" w:hAnsiTheme="minorHAnsi" w:cstheme="minorHAnsi"/>
                <w:sz w:val="22"/>
                <w:szCs w:val="22"/>
                <w:lang w:val="en-AU" w:eastAsia="en-US"/>
              </w:rPr>
              <w:t xml:space="preserve">provide a transparent, accountable and clear reporting and acquittal process. Ongoing liaison with relevant MFAT representatives facilitates effective communication to enable the FCA to meet MFAT’s acquittal requirements. </w:t>
            </w:r>
          </w:p>
        </w:tc>
      </w:tr>
      <w:tr w:rsidR="00313C47" w:rsidRPr="00F34A39" w14:paraId="54ABB7F1" w14:textId="77777777" w:rsidTr="00104867">
        <w:trPr>
          <w:trHeight w:val="72"/>
        </w:trPr>
        <w:tc>
          <w:tcPr>
            <w:cnfStyle w:val="000010000000" w:firstRow="0" w:lastRow="0" w:firstColumn="0" w:lastColumn="0" w:oddVBand="1" w:evenVBand="0" w:oddHBand="0" w:evenHBand="0" w:firstRowFirstColumn="0" w:firstRowLastColumn="0" w:lastRowFirstColumn="0" w:lastRowLastColumn="0"/>
            <w:tcW w:w="704" w:type="pct"/>
            <w:vMerge/>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5D02C6D3" w14:textId="77777777" w:rsidR="00313C47" w:rsidRPr="00F34A39" w:rsidRDefault="00313C47" w:rsidP="00B23BF3">
            <w:pPr>
              <w:contextualSpacing/>
              <w:rPr>
                <w:rFonts w:asciiTheme="minorHAnsi" w:hAnsiTheme="minorHAnsi" w:cstheme="minorHAnsi"/>
                <w:sz w:val="22"/>
                <w:szCs w:val="22"/>
                <w:lang w:val="en-AU"/>
              </w:rPr>
            </w:pP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4E927F11" w14:textId="77777777" w:rsidR="00313C47" w:rsidRPr="00F34A39" w:rsidRDefault="00313C47" w:rsidP="00B96EC1">
            <w:pPr>
              <w:overflowPunct w:val="0"/>
              <w:autoSpaceDE w:val="0"/>
              <w:autoSpaceDN w:val="0"/>
              <w:adjustRightInd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All systems documented, transparent, records up to date and accurate, accessible.</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65219706" w14:textId="3E873F86" w:rsidR="00313C47" w:rsidRPr="00F34A39" w:rsidRDefault="00313C47" w:rsidP="00B96EC1">
            <w:pPr>
              <w:tabs>
                <w:tab w:val="left" w:pos="244"/>
              </w:tabs>
              <w:overflowPunct w:val="0"/>
              <w:autoSpaceDE w:val="0"/>
              <w:autoSpaceDN w:val="0"/>
              <w:adjustRightInd w:val="0"/>
              <w:contextualSpacing/>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A comprehensive Procedures Manual </w:t>
            </w:r>
            <w:r w:rsidR="00881235" w:rsidRPr="00F34A39">
              <w:rPr>
                <w:rFonts w:asciiTheme="minorHAnsi" w:hAnsiTheme="minorHAnsi" w:cstheme="minorHAnsi"/>
                <w:sz w:val="22"/>
                <w:szCs w:val="22"/>
                <w:lang w:val="en-AU" w:eastAsia="en-US"/>
              </w:rPr>
              <w:t>was</w:t>
            </w:r>
            <w:r w:rsidRPr="00F34A39">
              <w:rPr>
                <w:rFonts w:asciiTheme="minorHAnsi" w:hAnsiTheme="minorHAnsi" w:cstheme="minorHAnsi"/>
                <w:sz w:val="22"/>
                <w:szCs w:val="22"/>
                <w:lang w:val="en-AU" w:eastAsia="en-US"/>
              </w:rPr>
              <w:t xml:space="preserve"> developed and used to administer the </w:t>
            </w:r>
            <w:r w:rsidR="00881235" w:rsidRPr="00F34A39">
              <w:rPr>
                <w:rFonts w:asciiTheme="minorHAnsi" w:hAnsiTheme="minorHAnsi" w:cstheme="minorHAnsi"/>
                <w:sz w:val="22"/>
                <w:szCs w:val="22"/>
                <w:lang w:val="en-AU" w:eastAsia="en-US"/>
              </w:rPr>
              <w:t>PJSI</w:t>
            </w:r>
            <w:r w:rsidRPr="00F34A39">
              <w:rPr>
                <w:rFonts w:asciiTheme="minorHAnsi" w:hAnsiTheme="minorHAnsi" w:cstheme="minorHAnsi"/>
                <w:sz w:val="22"/>
                <w:szCs w:val="22"/>
                <w:lang w:val="en-AU" w:eastAsia="en-US"/>
              </w:rPr>
              <w:t xml:space="preserve">. Administrative systems are up to date and accessible for authorised individuals as at the time of reporting. As part of the </w:t>
            </w:r>
            <w:r w:rsidR="00881235" w:rsidRPr="00F34A39">
              <w:rPr>
                <w:rFonts w:asciiTheme="minorHAnsi" w:hAnsiTheme="minorHAnsi" w:cstheme="minorHAnsi"/>
                <w:sz w:val="22"/>
                <w:szCs w:val="22"/>
                <w:lang w:val="en-AU" w:eastAsia="en-US"/>
              </w:rPr>
              <w:t>FCAs</w:t>
            </w:r>
            <w:r w:rsidRPr="00F34A39">
              <w:rPr>
                <w:rFonts w:asciiTheme="minorHAnsi" w:hAnsiTheme="minorHAnsi" w:cstheme="minorHAnsi"/>
                <w:sz w:val="22"/>
                <w:szCs w:val="22"/>
                <w:lang w:val="en-AU" w:eastAsia="en-US"/>
              </w:rPr>
              <w:t xml:space="preserve"> endeavours to improve systems and processes on an ongoing basis (note the point immediately above), the Procedures Manual is also regularly reviewed and updated (as required) to promote consistency and quality in administrative service provision.</w:t>
            </w:r>
          </w:p>
        </w:tc>
      </w:tr>
      <w:tr w:rsidR="00313C47" w:rsidRPr="00F34A39" w14:paraId="25719D37" w14:textId="77777777" w:rsidTr="00104867">
        <w:trPr>
          <w:cnfStyle w:val="000000100000" w:firstRow="0" w:lastRow="0" w:firstColumn="0" w:lastColumn="0" w:oddVBand="0" w:evenVBand="0" w:oddHBand="1" w:evenHBand="0" w:firstRowFirstColumn="0" w:firstRowLastColumn="0" w:lastRowFirstColumn="0" w:lastRowLastColumn="0"/>
          <w:trHeight w:val="72"/>
        </w:trPr>
        <w:tc>
          <w:tcPr>
            <w:cnfStyle w:val="000010000000" w:firstRow="0" w:lastRow="0" w:firstColumn="0" w:lastColumn="0" w:oddVBand="1" w:evenVBand="0" w:oddHBand="0" w:evenHBand="0" w:firstRowFirstColumn="0" w:firstRowLastColumn="0" w:lastRowFirstColumn="0" w:lastRowLastColumn="0"/>
            <w:tcW w:w="704" w:type="pct"/>
            <w:vMerge/>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5ABC6E91" w14:textId="77777777" w:rsidR="00313C47" w:rsidRPr="00F34A39" w:rsidRDefault="00313C47" w:rsidP="00B23BF3">
            <w:pPr>
              <w:contextualSpacing/>
              <w:rPr>
                <w:rFonts w:asciiTheme="minorHAnsi" w:hAnsiTheme="minorHAnsi" w:cstheme="minorHAnsi"/>
                <w:sz w:val="22"/>
                <w:szCs w:val="22"/>
                <w:lang w:val="en-AU"/>
              </w:rPr>
            </w:pP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09EA9E99" w14:textId="77777777" w:rsidR="00313C47" w:rsidRPr="00F34A39" w:rsidRDefault="00313C47" w:rsidP="00B96EC1">
            <w:pPr>
              <w:overflowPunct w:val="0"/>
              <w:autoSpaceDE w:val="0"/>
              <w:autoSpaceDN w:val="0"/>
              <w:adjustRightInd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Information facilitates analysis and reporting.</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08D318F8" w14:textId="445E7908" w:rsidR="00313C47" w:rsidRPr="00F34A39" w:rsidRDefault="00BD1FDB" w:rsidP="00BD1FDB">
            <w:pPr>
              <w:tabs>
                <w:tab w:val="left" w:pos="244"/>
              </w:tabs>
              <w:overflowPunct w:val="0"/>
              <w:autoSpaceDE w:val="0"/>
              <w:autoSpaceDN w:val="0"/>
              <w:adjustRightInd w:val="0"/>
              <w:contextualSpacing/>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The systems in place ensured </w:t>
            </w:r>
            <w:r w:rsidR="00313C47" w:rsidRPr="00F34A39">
              <w:rPr>
                <w:rFonts w:asciiTheme="minorHAnsi" w:hAnsiTheme="minorHAnsi" w:cstheme="minorHAnsi"/>
                <w:sz w:val="22"/>
                <w:szCs w:val="22"/>
                <w:lang w:val="en-AU" w:eastAsia="en-US"/>
              </w:rPr>
              <w:t>clear and concise progress and other reporting. Feedback received on reporting submissions to date has been positive.</w:t>
            </w:r>
          </w:p>
        </w:tc>
      </w:tr>
      <w:tr w:rsidR="00313C47" w:rsidRPr="00F34A39" w14:paraId="3492F8AE" w14:textId="77777777" w:rsidTr="00104867">
        <w:trPr>
          <w:trHeight w:val="72"/>
        </w:trPr>
        <w:tc>
          <w:tcPr>
            <w:cnfStyle w:val="000010000000" w:firstRow="0" w:lastRow="0" w:firstColumn="0" w:lastColumn="0" w:oddVBand="1" w:evenVBand="0" w:oddHBand="0" w:evenHBand="0" w:firstRowFirstColumn="0" w:firstRowLastColumn="0" w:lastRowFirstColumn="0" w:lastRowLastColumn="0"/>
            <w:tcW w:w="704" w:type="pct"/>
            <w:vMerge w:val="restar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12A90686" w14:textId="77777777" w:rsidR="00313C47" w:rsidRPr="00F34A39" w:rsidRDefault="00313C47" w:rsidP="008C15D6">
            <w:pPr>
              <w:numPr>
                <w:ilvl w:val="0"/>
                <w:numId w:val="8"/>
              </w:numPr>
              <w:ind w:left="227" w:hanging="227"/>
              <w:contextualSpacing/>
              <w:rPr>
                <w:rFonts w:asciiTheme="minorHAnsi" w:hAnsiTheme="minorHAnsi" w:cstheme="minorHAnsi"/>
                <w:sz w:val="22"/>
                <w:szCs w:val="22"/>
                <w:lang w:val="en-AU"/>
              </w:rPr>
            </w:pPr>
            <w:r w:rsidRPr="00F34A39">
              <w:rPr>
                <w:rFonts w:asciiTheme="minorHAnsi" w:hAnsiTheme="minorHAnsi" w:cstheme="minorHAnsi"/>
                <w:sz w:val="22"/>
                <w:szCs w:val="22"/>
                <w:lang w:val="en-AU"/>
              </w:rPr>
              <w:t>Management systems and processes (programme)</w:t>
            </w: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796BF75A" w14:textId="51C09CDC" w:rsidR="00313C47" w:rsidRPr="00F34A39" w:rsidRDefault="00313C47" w:rsidP="00BD1FDB">
            <w:pPr>
              <w:overflowPunct w:val="0"/>
              <w:autoSpaceDE w:val="0"/>
              <w:autoSpaceDN w:val="0"/>
              <w:adjustRightInd w:val="0"/>
              <w:contextualSpacing/>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All systems documented, transparent, </w:t>
            </w:r>
            <w:r w:rsidR="00BD1FDB" w:rsidRPr="00F34A39">
              <w:rPr>
                <w:rFonts w:asciiTheme="minorHAnsi" w:hAnsiTheme="minorHAnsi" w:cstheme="minorHAnsi"/>
                <w:sz w:val="22"/>
                <w:szCs w:val="22"/>
                <w:lang w:val="en-AU" w:eastAsia="en-US"/>
              </w:rPr>
              <w:t xml:space="preserve">current data, accurate &amp; </w:t>
            </w:r>
            <w:r w:rsidRPr="00F34A39">
              <w:rPr>
                <w:rFonts w:asciiTheme="minorHAnsi" w:hAnsiTheme="minorHAnsi" w:cstheme="minorHAnsi"/>
                <w:sz w:val="22"/>
                <w:szCs w:val="22"/>
                <w:lang w:val="en-AU" w:eastAsia="en-US"/>
              </w:rPr>
              <w:t>accessible.</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3DFD2C22" w14:textId="77777777" w:rsidR="00313C47" w:rsidRPr="00F34A39" w:rsidRDefault="00313C47" w:rsidP="00B96EC1">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Reporting recruitment, contracting, finance and other management systems are up to date and accessible for viewing and use by authorised individuals.</w:t>
            </w:r>
          </w:p>
        </w:tc>
      </w:tr>
      <w:tr w:rsidR="00313C47" w:rsidRPr="00F34A39" w14:paraId="40B4435D" w14:textId="77777777" w:rsidTr="00104867">
        <w:trPr>
          <w:cnfStyle w:val="000000100000" w:firstRow="0" w:lastRow="0" w:firstColumn="0" w:lastColumn="0" w:oddVBand="0" w:evenVBand="0" w:oddHBand="1" w:evenHBand="0" w:firstRowFirstColumn="0" w:firstRowLastColumn="0" w:lastRowFirstColumn="0" w:lastRowLastColumn="0"/>
          <w:trHeight w:val="72"/>
        </w:trPr>
        <w:tc>
          <w:tcPr>
            <w:cnfStyle w:val="000010000000" w:firstRow="0" w:lastRow="0" w:firstColumn="0" w:lastColumn="0" w:oddVBand="1" w:evenVBand="0" w:oddHBand="0" w:evenHBand="0" w:firstRowFirstColumn="0" w:firstRowLastColumn="0" w:lastRowFirstColumn="0" w:lastRowLastColumn="0"/>
            <w:tcW w:w="704" w:type="pct"/>
            <w:vMerge/>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055B0D5F" w14:textId="77777777" w:rsidR="00313C47" w:rsidRPr="00F34A39" w:rsidRDefault="00313C47" w:rsidP="00B23BF3">
            <w:pPr>
              <w:contextualSpacing/>
              <w:rPr>
                <w:rFonts w:asciiTheme="minorHAnsi" w:hAnsiTheme="minorHAnsi" w:cstheme="minorHAnsi"/>
                <w:sz w:val="22"/>
                <w:szCs w:val="22"/>
                <w:lang w:val="en-AU"/>
              </w:rPr>
            </w:pP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111CA70B" w14:textId="77777777" w:rsidR="00313C47" w:rsidRPr="00F34A39" w:rsidRDefault="00313C47" w:rsidP="00B96EC1">
            <w:pPr>
              <w:overflowPunct w:val="0"/>
              <w:autoSpaceDE w:val="0"/>
              <w:autoSpaceDN w:val="0"/>
              <w:adjustRightInd w:val="0"/>
              <w:contextualSpacing/>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Information facilitates analysis and reporting.</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134106F3" w14:textId="77777777" w:rsidR="00313C47" w:rsidRPr="00F34A39" w:rsidRDefault="00313C47" w:rsidP="00B96EC1">
            <w:pPr>
              <w:tabs>
                <w:tab w:val="left" w:pos="244"/>
              </w:tabs>
              <w:overflowPunct w:val="0"/>
              <w:autoSpaceDE w:val="0"/>
              <w:autoSpaceDN w:val="0"/>
              <w:adjustRightInd w:val="0"/>
              <w:contextualSpacing/>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The systems in place have facilitated the development of clear and concise progress and other reporting. Feedback received on reporting submissions to date has been positive.</w:t>
            </w:r>
          </w:p>
        </w:tc>
      </w:tr>
      <w:tr w:rsidR="00313C47" w:rsidRPr="00F34A39" w14:paraId="084294F1" w14:textId="77777777" w:rsidTr="00104867">
        <w:trPr>
          <w:trHeight w:val="72"/>
        </w:trPr>
        <w:tc>
          <w:tcPr>
            <w:cnfStyle w:val="000010000000" w:firstRow="0" w:lastRow="0" w:firstColumn="0" w:lastColumn="0" w:oddVBand="1" w:evenVBand="0" w:oddHBand="0" w:evenHBand="0" w:firstRowFirstColumn="0" w:firstRowLastColumn="0" w:lastRowFirstColumn="0" w:lastRowLastColumn="0"/>
            <w:tcW w:w="704" w:type="pct"/>
            <w:vMerge w:val="restar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5E890B45" w14:textId="77777777" w:rsidR="00313C47" w:rsidRPr="00F34A39" w:rsidRDefault="00313C47" w:rsidP="008C15D6">
            <w:pPr>
              <w:numPr>
                <w:ilvl w:val="0"/>
                <w:numId w:val="8"/>
              </w:numPr>
              <w:ind w:left="227" w:hanging="227"/>
              <w:contextualSpacing/>
              <w:rPr>
                <w:rFonts w:asciiTheme="minorHAnsi" w:hAnsiTheme="minorHAnsi" w:cstheme="minorHAnsi"/>
                <w:sz w:val="22"/>
                <w:szCs w:val="22"/>
                <w:lang w:val="en-AU"/>
              </w:rPr>
            </w:pPr>
            <w:r w:rsidRPr="00F34A39">
              <w:rPr>
                <w:rFonts w:asciiTheme="minorHAnsi" w:hAnsiTheme="minorHAnsi" w:cstheme="minorHAnsi"/>
                <w:sz w:val="22"/>
                <w:szCs w:val="22"/>
                <w:lang w:val="en-AU"/>
              </w:rPr>
              <w:lastRenderedPageBreak/>
              <w:t>Management system and processes (finance)</w:t>
            </w: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4A8230A8" w14:textId="77777777" w:rsidR="00313C47" w:rsidRPr="00F34A39" w:rsidRDefault="00313C47" w:rsidP="00B96EC1">
            <w:pPr>
              <w:overflowPunct w:val="0"/>
              <w:autoSpaceDE w:val="0"/>
              <w:autoSpaceDN w:val="0"/>
              <w:adjustRightInd w:val="0"/>
              <w:contextualSpacing/>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Comprehensive management systems and processes used to meet Contract requirements.</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7F9167A8" w14:textId="5FB237A4" w:rsidR="00313C47" w:rsidRPr="00F34A39" w:rsidRDefault="00313C47" w:rsidP="00B96EC1">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The </w:t>
            </w:r>
            <w:r w:rsidR="00B96EC1" w:rsidRPr="00F34A39">
              <w:rPr>
                <w:rFonts w:asciiTheme="minorHAnsi" w:hAnsiTheme="minorHAnsi" w:cstheme="minorHAnsi"/>
                <w:sz w:val="22"/>
                <w:szCs w:val="22"/>
                <w:lang w:val="en-AU" w:eastAsia="en-US"/>
              </w:rPr>
              <w:t xml:space="preserve">PJSI </w:t>
            </w:r>
            <w:r w:rsidRPr="00F34A39">
              <w:rPr>
                <w:rFonts w:asciiTheme="minorHAnsi" w:hAnsiTheme="minorHAnsi" w:cstheme="minorHAnsi"/>
                <w:sz w:val="22"/>
                <w:szCs w:val="22"/>
                <w:lang w:val="en-AU" w:eastAsia="en-US"/>
              </w:rPr>
              <w:t>budget is aligned with the FCA’s internal finance system, and this allows for efficient</w:t>
            </w:r>
            <w:r w:rsidR="00B96EC1" w:rsidRPr="00F34A39">
              <w:rPr>
                <w:rFonts w:asciiTheme="minorHAnsi" w:hAnsiTheme="minorHAnsi" w:cstheme="minorHAnsi"/>
                <w:sz w:val="22"/>
                <w:szCs w:val="22"/>
                <w:lang w:val="en-AU" w:eastAsia="en-US"/>
              </w:rPr>
              <w:t xml:space="preserve">, accurate and timely tracking and </w:t>
            </w:r>
            <w:r w:rsidRPr="00F34A39">
              <w:rPr>
                <w:rFonts w:asciiTheme="minorHAnsi" w:hAnsiTheme="minorHAnsi" w:cstheme="minorHAnsi"/>
                <w:sz w:val="22"/>
                <w:szCs w:val="22"/>
                <w:lang w:val="en-AU" w:eastAsia="en-US"/>
              </w:rPr>
              <w:t>reporting to MF</w:t>
            </w:r>
            <w:r w:rsidR="00B96EC1" w:rsidRPr="00F34A39">
              <w:rPr>
                <w:rFonts w:asciiTheme="minorHAnsi" w:hAnsiTheme="minorHAnsi" w:cstheme="minorHAnsi"/>
                <w:sz w:val="22"/>
                <w:szCs w:val="22"/>
                <w:lang w:val="en-AU" w:eastAsia="en-US"/>
              </w:rPr>
              <w:t>AT. Our</w:t>
            </w:r>
            <w:r w:rsidRPr="00F34A39">
              <w:rPr>
                <w:rFonts w:asciiTheme="minorHAnsi" w:hAnsiTheme="minorHAnsi" w:cstheme="minorHAnsi"/>
                <w:sz w:val="22"/>
                <w:szCs w:val="22"/>
                <w:lang w:val="en-AU" w:eastAsia="en-US"/>
              </w:rPr>
              <w:t xml:space="preserve"> ‘Reconciliation </w:t>
            </w:r>
            <w:r w:rsidR="00B96EC1" w:rsidRPr="00F34A39">
              <w:rPr>
                <w:rFonts w:asciiTheme="minorHAnsi" w:hAnsiTheme="minorHAnsi" w:cstheme="minorHAnsi"/>
                <w:sz w:val="22"/>
                <w:szCs w:val="22"/>
                <w:lang w:val="en-AU" w:eastAsia="en-US"/>
              </w:rPr>
              <w:t xml:space="preserve">Table’ </w:t>
            </w:r>
            <w:r w:rsidRPr="00F34A39">
              <w:rPr>
                <w:rFonts w:asciiTheme="minorHAnsi" w:hAnsiTheme="minorHAnsi" w:cstheme="minorHAnsi"/>
                <w:sz w:val="22"/>
                <w:szCs w:val="22"/>
                <w:lang w:val="en-AU" w:eastAsia="en-US"/>
              </w:rPr>
              <w:t>provid</w:t>
            </w:r>
            <w:r w:rsidR="00B96EC1" w:rsidRPr="00F34A39">
              <w:rPr>
                <w:rFonts w:asciiTheme="minorHAnsi" w:hAnsiTheme="minorHAnsi" w:cstheme="minorHAnsi"/>
                <w:sz w:val="22"/>
                <w:szCs w:val="22"/>
                <w:lang w:val="en-AU" w:eastAsia="en-US"/>
              </w:rPr>
              <w:t xml:space="preserve">es a summary </w:t>
            </w:r>
            <w:r w:rsidRPr="00F34A39">
              <w:rPr>
                <w:rFonts w:asciiTheme="minorHAnsi" w:hAnsiTheme="minorHAnsi" w:cstheme="minorHAnsi"/>
                <w:sz w:val="22"/>
                <w:szCs w:val="22"/>
                <w:lang w:val="en-AU" w:eastAsia="en-US"/>
              </w:rPr>
              <w:t>financial position at a given point in time against approved budget allocations/sub-projects and provides a narrative review of disparities from the allocated budget for any line</w:t>
            </w:r>
            <w:r w:rsidR="00B96EC1" w:rsidRPr="00F34A39">
              <w:rPr>
                <w:rFonts w:asciiTheme="minorHAnsi" w:hAnsiTheme="minorHAnsi" w:cstheme="minorHAnsi"/>
                <w:sz w:val="22"/>
                <w:szCs w:val="22"/>
                <w:lang w:val="en-AU" w:eastAsia="en-US"/>
              </w:rPr>
              <w:t>-item.  We also provide</w:t>
            </w:r>
            <w:r w:rsidRPr="00F34A39">
              <w:rPr>
                <w:rFonts w:asciiTheme="minorHAnsi" w:hAnsiTheme="minorHAnsi" w:cstheme="minorHAnsi"/>
                <w:sz w:val="22"/>
                <w:szCs w:val="22"/>
                <w:lang w:val="en-AU" w:eastAsia="en-US"/>
              </w:rPr>
              <w:t xml:space="preserve"> projected expenditure for the remaining contract period; estimated invoice amounts per month for the remaining contract period; and total anticipated expenditure estimates (actual expenditure to-date plus projected remaining expenditure) for the contract period.</w:t>
            </w:r>
          </w:p>
        </w:tc>
      </w:tr>
      <w:tr w:rsidR="00313C47" w:rsidRPr="00F34A39" w14:paraId="4F1FC764" w14:textId="77777777" w:rsidTr="00104867">
        <w:trPr>
          <w:cnfStyle w:val="000000100000" w:firstRow="0" w:lastRow="0" w:firstColumn="0" w:lastColumn="0" w:oddVBand="0" w:evenVBand="0" w:oddHBand="1" w:evenHBand="0" w:firstRowFirstColumn="0" w:firstRowLastColumn="0" w:lastRowFirstColumn="0" w:lastRowLastColumn="0"/>
          <w:trHeight w:val="72"/>
        </w:trPr>
        <w:tc>
          <w:tcPr>
            <w:cnfStyle w:val="000010000000" w:firstRow="0" w:lastRow="0" w:firstColumn="0" w:lastColumn="0" w:oddVBand="1" w:evenVBand="0" w:oddHBand="0" w:evenHBand="0" w:firstRowFirstColumn="0" w:firstRowLastColumn="0" w:lastRowFirstColumn="0" w:lastRowLastColumn="0"/>
            <w:tcW w:w="704" w:type="pct"/>
            <w:vMerge/>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7D588D3B" w14:textId="77777777" w:rsidR="00313C47" w:rsidRPr="00F34A39" w:rsidRDefault="00313C47" w:rsidP="00B23BF3">
            <w:pPr>
              <w:contextualSpacing/>
              <w:rPr>
                <w:rFonts w:asciiTheme="minorHAnsi" w:hAnsiTheme="minorHAnsi" w:cstheme="minorHAnsi"/>
                <w:sz w:val="22"/>
                <w:szCs w:val="22"/>
                <w:lang w:val="en-AU"/>
              </w:rPr>
            </w:pP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492F0CAA" w14:textId="0AD05528" w:rsidR="00313C47" w:rsidRPr="00F34A39" w:rsidRDefault="00313C47" w:rsidP="00B96EC1">
            <w:pPr>
              <w:overflowPunct w:val="0"/>
              <w:autoSpaceDE w:val="0"/>
              <w:autoSpaceDN w:val="0"/>
              <w:adjustRightInd w:val="0"/>
              <w:contextualSpacing/>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Systems facilitate efficient disbursement of payments.</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2D05B5E4" w14:textId="69B250AC" w:rsidR="00313C47" w:rsidRPr="00F34A39" w:rsidRDefault="00313C47" w:rsidP="00B96EC1">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Close liaison with in-country </w:t>
            </w:r>
            <w:r w:rsidR="00B96EC1" w:rsidRPr="00F34A39">
              <w:rPr>
                <w:rFonts w:asciiTheme="minorHAnsi" w:hAnsiTheme="minorHAnsi" w:cstheme="minorHAnsi"/>
                <w:sz w:val="22"/>
                <w:szCs w:val="22"/>
                <w:lang w:val="en-AU" w:eastAsia="en-US"/>
              </w:rPr>
              <w:t>counterparts</w:t>
            </w:r>
            <w:r w:rsidRPr="00F34A39">
              <w:rPr>
                <w:rFonts w:asciiTheme="minorHAnsi" w:hAnsiTheme="minorHAnsi" w:cstheme="minorHAnsi"/>
                <w:sz w:val="22"/>
                <w:szCs w:val="22"/>
                <w:lang w:val="en-AU" w:eastAsia="en-US"/>
              </w:rPr>
              <w:t xml:space="preserve"> </w:t>
            </w:r>
            <w:r w:rsidR="00B96EC1" w:rsidRPr="00F34A39">
              <w:rPr>
                <w:rFonts w:asciiTheme="minorHAnsi" w:hAnsiTheme="minorHAnsi" w:cstheme="minorHAnsi"/>
                <w:sz w:val="22"/>
                <w:szCs w:val="22"/>
                <w:lang w:val="en-AU" w:eastAsia="en-US"/>
              </w:rPr>
              <w:t>has proven effective in</w:t>
            </w:r>
            <w:r w:rsidRPr="00F34A39">
              <w:rPr>
                <w:rFonts w:asciiTheme="minorHAnsi" w:hAnsiTheme="minorHAnsi" w:cstheme="minorHAnsi"/>
                <w:sz w:val="22"/>
                <w:szCs w:val="22"/>
                <w:lang w:val="en-AU" w:eastAsia="en-US"/>
              </w:rPr>
              <w:t xml:space="preserve"> facilitating efficient disbursement of payments for in-country activities. Furthermore, financial management systems are in place to identify potential under-spends in approved activities for subsequently re-allocation to alternate / new activities. </w:t>
            </w:r>
          </w:p>
        </w:tc>
      </w:tr>
      <w:tr w:rsidR="00313C47" w:rsidRPr="00F34A39" w14:paraId="2D1FD5CB" w14:textId="77777777" w:rsidTr="00104867">
        <w:trPr>
          <w:trHeight w:val="72"/>
        </w:trPr>
        <w:tc>
          <w:tcPr>
            <w:cnfStyle w:val="000010000000" w:firstRow="0" w:lastRow="0" w:firstColumn="0" w:lastColumn="0" w:oddVBand="1" w:evenVBand="0" w:oddHBand="0" w:evenHBand="0" w:firstRowFirstColumn="0" w:firstRowLastColumn="0" w:lastRowFirstColumn="0" w:lastRowLastColumn="0"/>
            <w:tcW w:w="704" w:type="pct"/>
            <w:vMerge/>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11311FD2" w14:textId="77777777" w:rsidR="00313C47" w:rsidRPr="00F34A39" w:rsidRDefault="00313C47" w:rsidP="00B23BF3">
            <w:pPr>
              <w:contextualSpacing/>
              <w:rPr>
                <w:rFonts w:asciiTheme="minorHAnsi" w:hAnsiTheme="minorHAnsi" w:cstheme="minorHAnsi"/>
                <w:sz w:val="22"/>
                <w:szCs w:val="22"/>
                <w:lang w:val="en-AU"/>
              </w:rPr>
            </w:pP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249E829F" w14:textId="77777777" w:rsidR="00313C47" w:rsidRPr="00F34A39" w:rsidRDefault="00313C47" w:rsidP="00B96EC1">
            <w:pPr>
              <w:overflowPunct w:val="0"/>
              <w:autoSpaceDE w:val="0"/>
              <w:autoSpaceDN w:val="0"/>
              <w:adjustRightInd w:val="0"/>
              <w:contextualSpacing/>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Provides for efficient and cost-effective use of taxpayers’ funds.</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7005E49A" w14:textId="2729CDE8" w:rsidR="00313C47" w:rsidRPr="00F34A39" w:rsidRDefault="00B96EC1" w:rsidP="00B96EC1">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Our approach </w:t>
            </w:r>
            <w:r w:rsidR="00313C47" w:rsidRPr="00F34A39">
              <w:rPr>
                <w:rFonts w:asciiTheme="minorHAnsi" w:hAnsiTheme="minorHAnsi" w:cstheme="minorHAnsi"/>
                <w:sz w:val="22"/>
                <w:szCs w:val="22"/>
                <w:lang w:val="en-AU" w:eastAsia="en-US"/>
              </w:rPr>
              <w:t xml:space="preserve">promotes cost-efficiency by ensuring the highest quality goods and services are procured at the lowest possible prices. In addition, the FCA as </w:t>
            </w:r>
            <w:r w:rsidR="00313C47" w:rsidRPr="00F34A39">
              <w:rPr>
                <w:rFonts w:asciiTheme="minorHAnsi" w:hAnsiTheme="minorHAnsi" w:cstheme="minorHAnsi"/>
                <w:iCs/>
                <w:sz w:val="22"/>
                <w:szCs w:val="22"/>
                <w:lang w:val="en-AU"/>
              </w:rPr>
              <w:t xml:space="preserve">a government entity has been able to claim back all Australian GST, where activities were held outside of Australia. This resulted in </w:t>
            </w:r>
            <w:r w:rsidRPr="00F34A39">
              <w:rPr>
                <w:rFonts w:asciiTheme="minorHAnsi" w:hAnsiTheme="minorHAnsi" w:cstheme="minorHAnsi"/>
                <w:iCs/>
                <w:sz w:val="22"/>
                <w:szCs w:val="22"/>
                <w:lang w:val="en-AU"/>
              </w:rPr>
              <w:t>considerable</w:t>
            </w:r>
            <w:r w:rsidR="00313C47" w:rsidRPr="00F34A39">
              <w:rPr>
                <w:rFonts w:asciiTheme="minorHAnsi" w:hAnsiTheme="minorHAnsi" w:cstheme="minorHAnsi"/>
                <w:iCs/>
                <w:sz w:val="22"/>
                <w:szCs w:val="22"/>
                <w:lang w:val="en-AU"/>
              </w:rPr>
              <w:t xml:space="preserve"> cost</w:t>
            </w:r>
            <w:r w:rsidRPr="00F34A39">
              <w:rPr>
                <w:rFonts w:asciiTheme="minorHAnsi" w:hAnsiTheme="minorHAnsi" w:cstheme="minorHAnsi"/>
                <w:iCs/>
                <w:sz w:val="22"/>
                <w:szCs w:val="22"/>
                <w:lang w:val="en-AU"/>
              </w:rPr>
              <w:t xml:space="preserve">-savings across the life of the PJSI. </w:t>
            </w:r>
          </w:p>
        </w:tc>
      </w:tr>
      <w:tr w:rsidR="00313C47" w:rsidRPr="00F34A39" w14:paraId="2432A2BA" w14:textId="77777777" w:rsidTr="00104867">
        <w:trPr>
          <w:cnfStyle w:val="000000100000" w:firstRow="0" w:lastRow="0" w:firstColumn="0" w:lastColumn="0" w:oddVBand="0" w:evenVBand="0" w:oddHBand="1" w:evenHBand="0" w:firstRowFirstColumn="0" w:firstRowLastColumn="0" w:lastRowFirstColumn="0" w:lastRowLastColumn="0"/>
          <w:trHeight w:val="72"/>
        </w:trPr>
        <w:tc>
          <w:tcPr>
            <w:cnfStyle w:val="000010000000" w:firstRow="0" w:lastRow="0" w:firstColumn="0" w:lastColumn="0" w:oddVBand="1" w:evenVBand="0" w:oddHBand="0" w:evenHBand="0" w:firstRowFirstColumn="0" w:firstRowLastColumn="0" w:lastRowFirstColumn="0" w:lastRowLastColumn="0"/>
            <w:tcW w:w="704" w:type="pct"/>
            <w:vMerge/>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39598B50" w14:textId="77777777" w:rsidR="00313C47" w:rsidRPr="00F34A39" w:rsidRDefault="00313C47" w:rsidP="00B23BF3">
            <w:pPr>
              <w:contextualSpacing/>
              <w:rPr>
                <w:rFonts w:asciiTheme="minorHAnsi" w:hAnsiTheme="minorHAnsi" w:cstheme="minorHAnsi"/>
                <w:sz w:val="22"/>
                <w:szCs w:val="22"/>
                <w:lang w:val="en-AU"/>
              </w:rPr>
            </w:pP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3B42493D" w14:textId="5B86AB09" w:rsidR="00313C47" w:rsidRPr="00F34A39" w:rsidRDefault="00104867" w:rsidP="00104867">
            <w:pPr>
              <w:overflowPunct w:val="0"/>
              <w:autoSpaceDE w:val="0"/>
              <w:autoSpaceDN w:val="0"/>
              <w:adjustRightInd w:val="0"/>
              <w:contextualSpacing/>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rPr>
              <w:t xml:space="preserve">All reasonable steps </w:t>
            </w:r>
            <w:r w:rsidR="00313C47" w:rsidRPr="00F34A39">
              <w:rPr>
                <w:rFonts w:asciiTheme="minorHAnsi" w:hAnsiTheme="minorHAnsi" w:cstheme="minorHAnsi"/>
                <w:sz w:val="22"/>
                <w:szCs w:val="22"/>
                <w:lang w:val="en-AU"/>
              </w:rPr>
              <w:t>unde</w:t>
            </w:r>
            <w:r w:rsidRPr="00F34A39">
              <w:rPr>
                <w:rFonts w:asciiTheme="minorHAnsi" w:hAnsiTheme="minorHAnsi" w:cstheme="minorHAnsi"/>
                <w:sz w:val="22"/>
                <w:szCs w:val="22"/>
                <w:lang w:val="en-AU"/>
              </w:rPr>
              <w:t>rtaken by the MSC to ensure</w:t>
            </w:r>
            <w:r w:rsidR="00313C47" w:rsidRPr="00F34A39">
              <w:rPr>
                <w:rFonts w:asciiTheme="minorHAnsi" w:hAnsiTheme="minorHAnsi" w:cstheme="minorHAnsi"/>
                <w:sz w:val="22"/>
                <w:szCs w:val="22"/>
                <w:lang w:val="en-AU"/>
              </w:rPr>
              <w:t xml:space="preserve"> underspends (if any) during the implementation period are utilised pr</w:t>
            </w:r>
            <w:r w:rsidRPr="00F34A39">
              <w:rPr>
                <w:rFonts w:asciiTheme="minorHAnsi" w:hAnsiTheme="minorHAnsi" w:cstheme="minorHAnsi"/>
                <w:sz w:val="22"/>
                <w:szCs w:val="22"/>
                <w:lang w:val="en-AU"/>
              </w:rPr>
              <w:t>omptly to undertake</w:t>
            </w:r>
            <w:r w:rsidR="00313C47" w:rsidRPr="00F34A39">
              <w:rPr>
                <w:rFonts w:asciiTheme="minorHAnsi" w:hAnsiTheme="minorHAnsi" w:cstheme="minorHAnsi"/>
                <w:sz w:val="22"/>
                <w:szCs w:val="22"/>
                <w:lang w:val="en-AU"/>
              </w:rPr>
              <w:t xml:space="preserve"> approved activities.</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79008671" w14:textId="671AE847" w:rsidR="00313C47" w:rsidRPr="00F34A39" w:rsidRDefault="00104867" w:rsidP="00104867">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Developing</w:t>
            </w:r>
            <w:r w:rsidR="00313C47" w:rsidRPr="00F34A39">
              <w:rPr>
                <w:rFonts w:asciiTheme="minorHAnsi" w:hAnsiTheme="minorHAnsi" w:cstheme="minorHAnsi"/>
                <w:sz w:val="22"/>
                <w:szCs w:val="22"/>
                <w:lang w:val="en-AU" w:eastAsia="en-US"/>
              </w:rPr>
              <w:t xml:space="preserve"> </w:t>
            </w:r>
            <w:r w:rsidRPr="00F34A39">
              <w:rPr>
                <w:rFonts w:asciiTheme="minorHAnsi" w:hAnsiTheme="minorHAnsi" w:cstheme="minorHAnsi"/>
                <w:sz w:val="22"/>
                <w:szCs w:val="22"/>
                <w:lang w:val="en-AU" w:eastAsia="en-US"/>
              </w:rPr>
              <w:t>detailed expenditure projection modelling and</w:t>
            </w:r>
            <w:r w:rsidR="00313C47" w:rsidRPr="00F34A39">
              <w:rPr>
                <w:rFonts w:asciiTheme="minorHAnsi" w:hAnsiTheme="minorHAnsi" w:cstheme="minorHAnsi"/>
                <w:sz w:val="22"/>
                <w:szCs w:val="22"/>
                <w:lang w:val="en-AU" w:eastAsia="en-US"/>
              </w:rPr>
              <w:t xml:space="preserve"> </w:t>
            </w:r>
            <w:r w:rsidRPr="00F34A39">
              <w:rPr>
                <w:rFonts w:asciiTheme="minorHAnsi" w:hAnsiTheme="minorHAnsi" w:cstheme="minorHAnsi"/>
                <w:sz w:val="22"/>
                <w:szCs w:val="22"/>
                <w:lang w:val="en-AU" w:eastAsia="en-US"/>
              </w:rPr>
              <w:t xml:space="preserve">having additional activities ready for approval in the event an underspend is identified has enabled us to maximise the deployment of funding. </w:t>
            </w:r>
          </w:p>
        </w:tc>
      </w:tr>
      <w:tr w:rsidR="00313C47" w:rsidRPr="00F34A39" w14:paraId="63A5099E" w14:textId="77777777" w:rsidTr="00104867">
        <w:trPr>
          <w:trHeight w:val="72"/>
        </w:trPr>
        <w:tc>
          <w:tcPr>
            <w:cnfStyle w:val="000010000000" w:firstRow="0" w:lastRow="0" w:firstColumn="0" w:lastColumn="0" w:oddVBand="1" w:evenVBand="0" w:oddHBand="0" w:evenHBand="0" w:firstRowFirstColumn="0" w:firstRowLastColumn="0" w:lastRowFirstColumn="0" w:lastRowLastColumn="0"/>
            <w:tcW w:w="704"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45996ED8" w14:textId="77777777" w:rsidR="00313C47" w:rsidRPr="00F34A39" w:rsidRDefault="00313C47" w:rsidP="008C15D6">
            <w:pPr>
              <w:numPr>
                <w:ilvl w:val="0"/>
                <w:numId w:val="8"/>
              </w:numPr>
              <w:ind w:left="227" w:hanging="227"/>
              <w:contextualSpacing/>
              <w:rPr>
                <w:rFonts w:asciiTheme="minorHAnsi" w:hAnsiTheme="minorHAnsi" w:cstheme="minorHAnsi"/>
                <w:sz w:val="22"/>
                <w:szCs w:val="22"/>
                <w:lang w:val="en-AU"/>
              </w:rPr>
            </w:pPr>
            <w:r w:rsidRPr="00F34A39">
              <w:rPr>
                <w:rFonts w:asciiTheme="minorHAnsi" w:hAnsiTheme="minorHAnsi" w:cstheme="minorHAnsi"/>
                <w:sz w:val="22"/>
                <w:szCs w:val="22"/>
                <w:lang w:val="en-AU"/>
              </w:rPr>
              <w:t>Monitoring systems and processes</w:t>
            </w: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2A3E33EE" w14:textId="77777777" w:rsidR="00313C47" w:rsidRPr="00F34A39" w:rsidRDefault="00313C47" w:rsidP="00104867">
            <w:pPr>
              <w:overflowPunct w:val="0"/>
              <w:autoSpaceDE w:val="0"/>
              <w:autoSpaceDN w:val="0"/>
              <w:adjustRightInd w:val="0"/>
              <w:contextualSpacing/>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Comprehensive monitoring system implemented to meet Contract and Programme requirements.</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6196721F" w14:textId="0E52153D" w:rsidR="00313C47" w:rsidRPr="00F34A39" w:rsidRDefault="00104867" w:rsidP="002E19C3">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PJSI oper</w:t>
            </w:r>
            <w:r w:rsidR="002E19C3">
              <w:rPr>
                <w:rFonts w:asciiTheme="minorHAnsi" w:hAnsiTheme="minorHAnsi" w:cstheme="minorHAnsi"/>
                <w:sz w:val="22"/>
                <w:szCs w:val="22"/>
                <w:lang w:val="en-AU" w:eastAsia="en-US"/>
              </w:rPr>
              <w:t>ates according to its approved program of activities and budget</w:t>
            </w:r>
            <w:r w:rsidRPr="00F34A39">
              <w:rPr>
                <w:rFonts w:asciiTheme="minorHAnsi" w:hAnsiTheme="minorHAnsi" w:cstheme="minorHAnsi"/>
                <w:sz w:val="22"/>
                <w:szCs w:val="22"/>
                <w:lang w:val="en-AU" w:eastAsia="en-US"/>
              </w:rPr>
              <w:t>. All activities are monitored for quality, benefit (satisfaction, knowledge and confidence gain), timeliness and cost.</w:t>
            </w:r>
            <w:r w:rsidR="00313C47" w:rsidRPr="00F34A39">
              <w:rPr>
                <w:rFonts w:asciiTheme="minorHAnsi" w:hAnsiTheme="minorHAnsi" w:cstheme="minorHAnsi"/>
                <w:sz w:val="22"/>
                <w:szCs w:val="22"/>
                <w:lang w:val="en-AU" w:eastAsia="en-US"/>
              </w:rPr>
              <w:t xml:space="preserve"> </w:t>
            </w:r>
            <w:r w:rsidRPr="00F34A39">
              <w:rPr>
                <w:rFonts w:asciiTheme="minorHAnsi" w:hAnsiTheme="minorHAnsi" w:cstheme="minorHAnsi"/>
                <w:sz w:val="22"/>
                <w:szCs w:val="22"/>
                <w:lang w:val="en-AU" w:eastAsia="en-US"/>
              </w:rPr>
              <w:t xml:space="preserve">All projects are evaluated by reference to triangulating all available qualitative and quantitative data. PJSI also assesses its development effectiveness against current OECD-DAC. </w:t>
            </w:r>
            <w:r w:rsidR="00313C47" w:rsidRPr="00F34A39">
              <w:rPr>
                <w:rFonts w:asciiTheme="minorHAnsi" w:hAnsiTheme="minorHAnsi" w:cstheme="minorHAnsi"/>
                <w:sz w:val="22"/>
                <w:szCs w:val="22"/>
                <w:lang w:val="en-AU" w:eastAsia="en-US"/>
              </w:rPr>
              <w:t xml:space="preserve"> </w:t>
            </w:r>
          </w:p>
        </w:tc>
      </w:tr>
      <w:tr w:rsidR="00313C47" w:rsidRPr="00F34A39" w14:paraId="4F0008E7" w14:textId="77777777" w:rsidTr="00104867">
        <w:trPr>
          <w:cnfStyle w:val="000000100000" w:firstRow="0" w:lastRow="0" w:firstColumn="0" w:lastColumn="0" w:oddVBand="0" w:evenVBand="0" w:oddHBand="1" w:evenHBand="0" w:firstRowFirstColumn="0" w:firstRowLastColumn="0" w:lastRowFirstColumn="0" w:lastRowLastColumn="0"/>
          <w:trHeight w:val="72"/>
        </w:trPr>
        <w:tc>
          <w:tcPr>
            <w:cnfStyle w:val="000010000000" w:firstRow="0" w:lastRow="0" w:firstColumn="0" w:lastColumn="0" w:oddVBand="1" w:evenVBand="0" w:oddHBand="0" w:evenHBand="0" w:firstRowFirstColumn="0" w:firstRowLastColumn="0" w:lastRowFirstColumn="0" w:lastRowLastColumn="0"/>
            <w:tcW w:w="704"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4D6EE3FD" w14:textId="77777777" w:rsidR="00313C47" w:rsidRPr="00F34A39" w:rsidRDefault="00313C47" w:rsidP="00B23BF3">
            <w:pPr>
              <w:contextualSpacing/>
              <w:rPr>
                <w:rFonts w:asciiTheme="minorHAnsi" w:hAnsiTheme="minorHAnsi" w:cstheme="minorHAnsi"/>
                <w:sz w:val="22"/>
                <w:szCs w:val="22"/>
                <w:lang w:val="en-AU"/>
              </w:rPr>
            </w:pP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322D48D6" w14:textId="77777777" w:rsidR="00313C47" w:rsidRPr="00F34A39" w:rsidRDefault="00313C47" w:rsidP="00104867">
            <w:pPr>
              <w:overflowPunct w:val="0"/>
              <w:autoSpaceDE w:val="0"/>
              <w:autoSpaceDN w:val="0"/>
              <w:adjustRightInd w:val="0"/>
              <w:contextualSpacing/>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Systematic, proactive, risk sensitive, timely, and to agreed specifications.</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141043A7" w14:textId="4EB62BC2" w:rsidR="00313C47" w:rsidRPr="00F34A39" w:rsidRDefault="00313C47" w:rsidP="002E19C3">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Monitoring activities and inputs is continu</w:t>
            </w:r>
            <w:r w:rsidR="00104867" w:rsidRPr="00F34A39">
              <w:rPr>
                <w:rFonts w:asciiTheme="minorHAnsi" w:hAnsiTheme="minorHAnsi" w:cstheme="minorHAnsi"/>
                <w:sz w:val="22"/>
                <w:szCs w:val="22"/>
                <w:lang w:val="en-AU" w:eastAsia="en-US"/>
              </w:rPr>
              <w:t>al</w:t>
            </w:r>
            <w:r w:rsidRPr="00F34A39">
              <w:rPr>
                <w:rFonts w:asciiTheme="minorHAnsi" w:hAnsiTheme="minorHAnsi" w:cstheme="minorHAnsi"/>
                <w:sz w:val="22"/>
                <w:szCs w:val="22"/>
                <w:lang w:val="en-AU" w:eastAsia="en-US"/>
              </w:rPr>
              <w:t xml:space="preserve"> from both management and counterpart perspectives to ensure they adhere to agreed parameters in </w:t>
            </w:r>
            <w:r w:rsidR="002E19C3">
              <w:rPr>
                <w:rFonts w:asciiTheme="minorHAnsi" w:hAnsiTheme="minorHAnsi" w:cstheme="minorHAnsi"/>
                <w:sz w:val="22"/>
                <w:szCs w:val="22"/>
                <w:lang w:val="en-AU" w:eastAsia="en-US"/>
              </w:rPr>
              <w:t>terms of activity design and agreed objectives</w:t>
            </w:r>
            <w:r w:rsidRPr="00F34A39">
              <w:rPr>
                <w:rFonts w:asciiTheme="minorHAnsi" w:hAnsiTheme="minorHAnsi" w:cstheme="minorHAnsi"/>
                <w:sz w:val="22"/>
                <w:szCs w:val="22"/>
                <w:lang w:val="en-AU" w:eastAsia="en-US"/>
              </w:rPr>
              <w:t xml:space="preserve">.  Each activity undertaken has standard monitoring activities incorporated into it.  </w:t>
            </w:r>
            <w:r w:rsidRPr="00F34A39">
              <w:rPr>
                <w:rFonts w:asciiTheme="minorHAnsi" w:hAnsiTheme="minorHAnsi" w:cstheme="minorHAnsi"/>
                <w:sz w:val="22"/>
                <w:szCs w:val="22"/>
                <w:lang w:val="en-AU"/>
              </w:rPr>
              <w:t>With regards to monitoring partic</w:t>
            </w:r>
            <w:r w:rsidR="00104867" w:rsidRPr="00F34A39">
              <w:rPr>
                <w:rFonts w:asciiTheme="minorHAnsi" w:hAnsiTheme="minorHAnsi" w:cstheme="minorHAnsi"/>
                <w:sz w:val="22"/>
                <w:szCs w:val="22"/>
                <w:lang w:val="en-AU"/>
              </w:rPr>
              <w:t xml:space="preserve">ipants of </w:t>
            </w:r>
            <w:r w:rsidRPr="00F34A39">
              <w:rPr>
                <w:rFonts w:asciiTheme="minorHAnsi" w:hAnsiTheme="minorHAnsi" w:cstheme="minorHAnsi"/>
                <w:sz w:val="22"/>
                <w:szCs w:val="22"/>
                <w:lang w:val="en-AU"/>
              </w:rPr>
              <w:t>training activities, monitoring activities have included: immediate post-training knowledge improvement assessments; partic</w:t>
            </w:r>
            <w:r w:rsidR="00104867" w:rsidRPr="00F34A39">
              <w:rPr>
                <w:rFonts w:asciiTheme="minorHAnsi" w:hAnsiTheme="minorHAnsi" w:cstheme="minorHAnsi"/>
                <w:sz w:val="22"/>
                <w:szCs w:val="22"/>
                <w:lang w:val="en-AU"/>
              </w:rPr>
              <w:t>ipant post-training assessments</w:t>
            </w:r>
            <w:r w:rsidRPr="00F34A39">
              <w:rPr>
                <w:rFonts w:asciiTheme="minorHAnsi" w:hAnsiTheme="minorHAnsi" w:cstheme="minorHAnsi"/>
                <w:sz w:val="22"/>
                <w:szCs w:val="22"/>
                <w:lang w:val="en-AU"/>
              </w:rPr>
              <w:t xml:space="preserve">; court leadership/supervisors </w:t>
            </w:r>
            <w:r w:rsidRPr="00F34A39">
              <w:rPr>
                <w:rFonts w:asciiTheme="minorHAnsi" w:hAnsiTheme="minorHAnsi" w:cstheme="minorHAnsi"/>
                <w:sz w:val="22"/>
                <w:szCs w:val="22"/>
                <w:lang w:val="en-AU"/>
              </w:rPr>
              <w:lastRenderedPageBreak/>
              <w:t xml:space="preserve">surveys to identify any changes in work approach, and whether any improvement in performance has occurred subsequent to the PJDP activities.  </w:t>
            </w:r>
          </w:p>
        </w:tc>
      </w:tr>
      <w:tr w:rsidR="00313C47" w:rsidRPr="00F34A39" w14:paraId="7C4BA650" w14:textId="77777777" w:rsidTr="00104867">
        <w:trPr>
          <w:trHeight w:val="72"/>
        </w:trPr>
        <w:tc>
          <w:tcPr>
            <w:cnfStyle w:val="000010000000" w:firstRow="0" w:lastRow="0" w:firstColumn="0" w:lastColumn="0" w:oddVBand="1" w:evenVBand="0" w:oddHBand="0" w:evenHBand="0" w:firstRowFirstColumn="0" w:firstRowLastColumn="0" w:lastRowFirstColumn="0" w:lastRowLastColumn="0"/>
            <w:tcW w:w="704"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4F625857" w14:textId="77777777" w:rsidR="00313C47" w:rsidRPr="00F34A39" w:rsidRDefault="00313C47" w:rsidP="008C15D6">
            <w:pPr>
              <w:numPr>
                <w:ilvl w:val="0"/>
                <w:numId w:val="8"/>
              </w:numPr>
              <w:ind w:left="227" w:hanging="227"/>
              <w:contextualSpacing/>
              <w:rPr>
                <w:rFonts w:asciiTheme="minorHAnsi" w:hAnsiTheme="minorHAnsi" w:cstheme="minorHAnsi"/>
                <w:sz w:val="22"/>
                <w:szCs w:val="22"/>
                <w:lang w:val="en-AU"/>
              </w:rPr>
            </w:pPr>
            <w:r w:rsidRPr="00F34A39">
              <w:rPr>
                <w:rFonts w:asciiTheme="minorHAnsi" w:hAnsiTheme="minorHAnsi" w:cstheme="minorHAnsi"/>
                <w:sz w:val="22"/>
                <w:szCs w:val="22"/>
                <w:lang w:val="en-AU"/>
              </w:rPr>
              <w:lastRenderedPageBreak/>
              <w:t>Reporting and Evaluation systems</w:t>
            </w: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0AE3D3F5" w14:textId="77777777" w:rsidR="00313C47" w:rsidRPr="00F34A39" w:rsidRDefault="00313C47" w:rsidP="00104867">
            <w:pPr>
              <w:overflowPunct w:val="0"/>
              <w:autoSpaceDE w:val="0"/>
              <w:autoSpaceDN w:val="0"/>
              <w:adjustRightInd w:val="0"/>
              <w:contextualSpacing/>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Timely, comprehensive, risk identified and management of the information is analytical and evaluative.</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61470304" w14:textId="5B1DC52B" w:rsidR="00313C47" w:rsidRPr="00F34A39" w:rsidRDefault="00313C47" w:rsidP="00104867">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Risks are </w:t>
            </w:r>
            <w:r w:rsidR="00104867" w:rsidRPr="00F34A39">
              <w:rPr>
                <w:rFonts w:asciiTheme="minorHAnsi" w:hAnsiTheme="minorHAnsi" w:cstheme="minorHAnsi"/>
                <w:sz w:val="22"/>
                <w:szCs w:val="22"/>
                <w:lang w:val="en-AU" w:eastAsia="en-US"/>
              </w:rPr>
              <w:t>continually assessed and addressed. We operate according to a</w:t>
            </w:r>
            <w:r w:rsidRPr="00F34A39">
              <w:rPr>
                <w:rFonts w:asciiTheme="minorHAnsi" w:hAnsiTheme="minorHAnsi" w:cstheme="minorHAnsi"/>
                <w:sz w:val="22"/>
                <w:szCs w:val="22"/>
                <w:lang w:val="en-AU" w:eastAsia="en-US"/>
              </w:rPr>
              <w:t xml:space="preserve"> travel risk management plan </w:t>
            </w:r>
            <w:r w:rsidR="00104867" w:rsidRPr="00F34A39">
              <w:rPr>
                <w:rFonts w:asciiTheme="minorHAnsi" w:hAnsiTheme="minorHAnsi" w:cstheme="minorHAnsi"/>
                <w:sz w:val="22"/>
                <w:szCs w:val="22"/>
                <w:lang w:val="en-AU" w:eastAsia="en-US"/>
              </w:rPr>
              <w:t xml:space="preserve">for each </w:t>
            </w:r>
            <w:r w:rsidR="001F0971" w:rsidRPr="00F34A39">
              <w:rPr>
                <w:rFonts w:asciiTheme="minorHAnsi" w:hAnsiTheme="minorHAnsi"/>
                <w:sz w:val="22"/>
                <w:szCs w:val="22"/>
                <w:lang w:val="en-AU"/>
              </w:rPr>
              <w:t>Partner Court</w:t>
            </w:r>
            <w:r w:rsidR="001F0971" w:rsidRPr="00F34A39" w:rsidDel="00FA7421">
              <w:rPr>
                <w:rFonts w:asciiTheme="minorHAnsi" w:hAnsiTheme="minorHAnsi"/>
                <w:sz w:val="22"/>
                <w:szCs w:val="22"/>
                <w:lang w:val="en-AU"/>
              </w:rPr>
              <w:t xml:space="preserve"> </w:t>
            </w:r>
            <w:r w:rsidR="00104867" w:rsidRPr="00F34A39">
              <w:rPr>
                <w:rFonts w:asciiTheme="minorHAnsi" w:hAnsiTheme="minorHAnsi" w:cstheme="minorHAnsi"/>
                <w:sz w:val="22"/>
                <w:szCs w:val="22"/>
                <w:lang w:val="en-AU" w:eastAsia="en-US"/>
              </w:rPr>
              <w:t>to support the team in</w:t>
            </w:r>
            <w:r w:rsidRPr="00F34A39">
              <w:rPr>
                <w:rFonts w:asciiTheme="minorHAnsi" w:hAnsiTheme="minorHAnsi" w:cstheme="minorHAnsi"/>
                <w:sz w:val="22"/>
                <w:szCs w:val="22"/>
                <w:lang w:val="en-AU" w:eastAsia="en-US"/>
              </w:rPr>
              <w:t xml:space="preserve"> a</w:t>
            </w:r>
            <w:r w:rsidR="00104867" w:rsidRPr="00F34A39">
              <w:rPr>
                <w:rFonts w:asciiTheme="minorHAnsi" w:hAnsiTheme="minorHAnsi" w:cstheme="minorHAnsi"/>
                <w:sz w:val="22"/>
                <w:szCs w:val="22"/>
                <w:lang w:val="en-AU" w:eastAsia="en-US"/>
              </w:rPr>
              <w:t>n emergency</w:t>
            </w:r>
            <w:r w:rsidRPr="00F34A39">
              <w:rPr>
                <w:rFonts w:asciiTheme="minorHAnsi" w:hAnsiTheme="minorHAnsi" w:cstheme="minorHAnsi"/>
                <w:sz w:val="22"/>
                <w:szCs w:val="22"/>
                <w:lang w:val="en-AU" w:eastAsia="en-US"/>
              </w:rPr>
              <w:t xml:space="preserve">. Reporting on identified/emerging risks is undertaken as part of all progress reporting, as well as in selected milestone reports. </w:t>
            </w:r>
          </w:p>
        </w:tc>
      </w:tr>
      <w:tr w:rsidR="00313C47" w:rsidRPr="00F34A39" w14:paraId="2481E6E1" w14:textId="77777777" w:rsidTr="00104867">
        <w:trPr>
          <w:cnfStyle w:val="000000100000" w:firstRow="0" w:lastRow="0" w:firstColumn="0" w:lastColumn="0" w:oddVBand="0" w:evenVBand="0" w:oddHBand="1" w:evenHBand="0" w:firstRowFirstColumn="0" w:firstRowLastColumn="0" w:lastRowFirstColumn="0" w:lastRowLastColumn="0"/>
          <w:trHeight w:val="72"/>
        </w:trPr>
        <w:tc>
          <w:tcPr>
            <w:cnfStyle w:val="000010000000" w:firstRow="0" w:lastRow="0" w:firstColumn="0" w:lastColumn="0" w:oddVBand="1" w:evenVBand="0" w:oddHBand="0" w:evenHBand="0" w:firstRowFirstColumn="0" w:firstRowLastColumn="0" w:lastRowFirstColumn="0" w:lastRowLastColumn="0"/>
            <w:tcW w:w="704"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7D38408C" w14:textId="0C5289FD" w:rsidR="00313C47" w:rsidRPr="00F34A39" w:rsidRDefault="00313C47" w:rsidP="00E47089">
            <w:pPr>
              <w:numPr>
                <w:ilvl w:val="0"/>
                <w:numId w:val="8"/>
              </w:numPr>
              <w:ind w:left="227" w:hanging="227"/>
              <w:contextualSpacing/>
              <w:rPr>
                <w:rFonts w:asciiTheme="minorHAnsi" w:hAnsiTheme="minorHAnsi" w:cstheme="minorHAnsi"/>
                <w:sz w:val="22"/>
                <w:szCs w:val="22"/>
                <w:lang w:val="en-AU"/>
              </w:rPr>
            </w:pPr>
            <w:r w:rsidRPr="00F34A39">
              <w:rPr>
                <w:rFonts w:asciiTheme="minorHAnsi" w:hAnsiTheme="minorHAnsi" w:cstheme="minorHAnsi"/>
                <w:sz w:val="22"/>
                <w:szCs w:val="22"/>
                <w:lang w:val="en-AU"/>
              </w:rPr>
              <w:t xml:space="preserve">Recruiting, contracting, deploying </w:t>
            </w:r>
            <w:r w:rsidR="00E47089">
              <w:rPr>
                <w:rFonts w:asciiTheme="minorHAnsi" w:hAnsiTheme="minorHAnsi" w:cstheme="minorHAnsi"/>
                <w:sz w:val="22"/>
                <w:szCs w:val="22"/>
                <w:lang w:val="en-AU"/>
              </w:rPr>
              <w:t>&amp;</w:t>
            </w:r>
            <w:r w:rsidRPr="00F34A39">
              <w:rPr>
                <w:rFonts w:asciiTheme="minorHAnsi" w:hAnsiTheme="minorHAnsi" w:cstheme="minorHAnsi"/>
                <w:sz w:val="22"/>
                <w:szCs w:val="22"/>
                <w:lang w:val="en-AU"/>
              </w:rPr>
              <w:t xml:space="preserve"> managing procurement of goods &amp; services</w:t>
            </w:r>
            <w:r w:rsidR="00E47089">
              <w:rPr>
                <w:rFonts w:asciiTheme="minorHAnsi" w:hAnsiTheme="minorHAnsi" w:cstheme="minorHAnsi"/>
                <w:sz w:val="22"/>
                <w:szCs w:val="22"/>
                <w:lang w:val="en-AU"/>
              </w:rPr>
              <w:t>, including TA</w:t>
            </w: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721133DE" w14:textId="77777777" w:rsidR="00313C47" w:rsidRPr="00F34A39" w:rsidRDefault="00313C47" w:rsidP="00104867">
            <w:pPr>
              <w:overflowPunct w:val="0"/>
              <w:autoSpaceDE w:val="0"/>
              <w:autoSpaceDN w:val="0"/>
              <w:adjustRightInd w:val="0"/>
              <w:contextualSpacing/>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All goods &amp; services are procured in accordance with NZ Government Procurement Guidelines and other value for money guidance.</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18FFB2FA" w14:textId="6206A47F" w:rsidR="00313C47" w:rsidRPr="00F34A39" w:rsidRDefault="00104867" w:rsidP="00104867">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All </w:t>
            </w:r>
            <w:r w:rsidR="00313C47" w:rsidRPr="00F34A39">
              <w:rPr>
                <w:rFonts w:asciiTheme="minorHAnsi" w:hAnsiTheme="minorHAnsi" w:cstheme="minorHAnsi"/>
                <w:sz w:val="22"/>
                <w:szCs w:val="22"/>
                <w:lang w:val="en-AU" w:eastAsia="en-US"/>
              </w:rPr>
              <w:t xml:space="preserve">goods and services </w:t>
            </w:r>
            <w:r w:rsidRPr="00F34A39">
              <w:rPr>
                <w:rFonts w:asciiTheme="minorHAnsi" w:hAnsiTheme="minorHAnsi" w:cstheme="minorHAnsi"/>
                <w:sz w:val="22"/>
                <w:szCs w:val="22"/>
                <w:lang w:val="en-AU" w:eastAsia="en-US"/>
              </w:rPr>
              <w:t xml:space="preserve">are procured </w:t>
            </w:r>
            <w:r w:rsidR="00313C47" w:rsidRPr="00F34A39">
              <w:rPr>
                <w:rFonts w:asciiTheme="minorHAnsi" w:hAnsiTheme="minorHAnsi" w:cstheme="minorHAnsi"/>
                <w:sz w:val="22"/>
                <w:szCs w:val="22"/>
                <w:lang w:val="en-AU" w:eastAsia="en-US"/>
              </w:rPr>
              <w:t>in line with Australian Commonwealth Government Procurement Guidelines. All advisers were identified based on a comprehensive competitive regional / international recruitment proc</w:t>
            </w:r>
            <w:r w:rsidRPr="00F34A39">
              <w:rPr>
                <w:rFonts w:asciiTheme="minorHAnsi" w:hAnsiTheme="minorHAnsi" w:cstheme="minorHAnsi"/>
                <w:sz w:val="22"/>
                <w:szCs w:val="22"/>
                <w:lang w:val="en-AU" w:eastAsia="en-US"/>
              </w:rPr>
              <w:t>ess which aligned with the FCAs</w:t>
            </w:r>
            <w:r w:rsidR="00313C47" w:rsidRPr="00F34A39">
              <w:rPr>
                <w:rFonts w:asciiTheme="minorHAnsi" w:hAnsiTheme="minorHAnsi" w:cstheme="minorHAnsi"/>
                <w:sz w:val="22"/>
                <w:szCs w:val="22"/>
                <w:lang w:val="en-AU" w:eastAsia="en-US"/>
              </w:rPr>
              <w:t xml:space="preserve"> Commonwealth obligations.  All goods and ser</w:t>
            </w:r>
            <w:r w:rsidRPr="00F34A39">
              <w:rPr>
                <w:rFonts w:asciiTheme="minorHAnsi" w:hAnsiTheme="minorHAnsi" w:cstheme="minorHAnsi"/>
                <w:sz w:val="22"/>
                <w:szCs w:val="22"/>
                <w:lang w:val="en-AU" w:eastAsia="en-US"/>
              </w:rPr>
              <w:t>vices otherwise required by PJSI</w:t>
            </w:r>
            <w:r w:rsidR="00313C47" w:rsidRPr="00F34A39">
              <w:rPr>
                <w:rFonts w:asciiTheme="minorHAnsi" w:hAnsiTheme="minorHAnsi" w:cstheme="minorHAnsi"/>
                <w:sz w:val="22"/>
                <w:szCs w:val="22"/>
                <w:lang w:val="en-AU" w:eastAsia="en-US"/>
              </w:rPr>
              <w:t xml:space="preserve"> have, and will continue to be procured in accordance with the MSC’s Commonwealth obligations.  </w:t>
            </w:r>
          </w:p>
        </w:tc>
      </w:tr>
      <w:tr w:rsidR="00313C47" w:rsidRPr="00F34A39" w14:paraId="660DD841" w14:textId="77777777" w:rsidTr="00104867">
        <w:trPr>
          <w:trHeight w:val="563"/>
        </w:trPr>
        <w:tc>
          <w:tcPr>
            <w:cnfStyle w:val="000010000000" w:firstRow="0" w:lastRow="0" w:firstColumn="0" w:lastColumn="0" w:oddVBand="1" w:evenVBand="0" w:oddHBand="0" w:evenHBand="0" w:firstRowFirstColumn="0" w:firstRowLastColumn="0" w:lastRowFirstColumn="0" w:lastRowLastColumn="0"/>
            <w:tcW w:w="704"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26831936" w14:textId="77777777" w:rsidR="00313C47" w:rsidRPr="00F34A39" w:rsidRDefault="00313C47" w:rsidP="008C15D6">
            <w:pPr>
              <w:numPr>
                <w:ilvl w:val="0"/>
                <w:numId w:val="8"/>
              </w:numPr>
              <w:ind w:left="227" w:hanging="227"/>
              <w:contextualSpacing/>
              <w:rPr>
                <w:rFonts w:asciiTheme="minorHAnsi" w:hAnsiTheme="minorHAnsi" w:cstheme="minorHAnsi"/>
                <w:sz w:val="22"/>
                <w:szCs w:val="22"/>
                <w:lang w:val="en-AU"/>
              </w:rPr>
            </w:pPr>
            <w:r w:rsidRPr="00F34A39">
              <w:rPr>
                <w:rFonts w:asciiTheme="minorHAnsi" w:hAnsiTheme="minorHAnsi" w:cstheme="minorHAnsi"/>
                <w:sz w:val="22"/>
                <w:szCs w:val="22"/>
                <w:lang w:val="en-AU"/>
              </w:rPr>
              <w:t>Stakeholder engagement</w:t>
            </w: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0E6AED6F" w14:textId="77777777" w:rsidR="00313C47" w:rsidRPr="00F34A39" w:rsidRDefault="00313C47" w:rsidP="00104867">
            <w:pPr>
              <w:overflowPunct w:val="0"/>
              <w:autoSpaceDE w:val="0"/>
              <w:autoSpaceDN w:val="0"/>
              <w:adjustRightInd w:val="0"/>
              <w:ind w:right="-57"/>
              <w:contextualSpacing/>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Appointees to lead roles must show demonstrated experience in having highly developed communication and mediation skills for addressing professional differences, to effectively resolve issues that may arise and maintain relationships with a vast and diverse range of stakeholders in the course of managing a complex, regional programme of this nature.</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3723735F" w14:textId="5F29A854" w:rsidR="00313C47" w:rsidRPr="00F34A39" w:rsidRDefault="00313C47" w:rsidP="00104867">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As a prerequisite, all team members interacting with constituents have demonstrably advanced communication, dispute resolution and relationship management skills.  A key requirement included in all terms of reference for external advisers and experts contracted by the </w:t>
            </w:r>
            <w:r w:rsidR="00104867" w:rsidRPr="00F34A39">
              <w:rPr>
                <w:rFonts w:asciiTheme="minorHAnsi" w:hAnsiTheme="minorHAnsi" w:cstheme="minorHAnsi"/>
                <w:sz w:val="22"/>
                <w:szCs w:val="22"/>
                <w:lang w:val="en-AU" w:eastAsia="en-US"/>
              </w:rPr>
              <w:t>FCA</w:t>
            </w:r>
            <w:r w:rsidRPr="00F34A39">
              <w:rPr>
                <w:rFonts w:asciiTheme="minorHAnsi" w:hAnsiTheme="minorHAnsi" w:cstheme="minorHAnsi"/>
                <w:sz w:val="22"/>
                <w:szCs w:val="22"/>
                <w:lang w:val="en-AU" w:eastAsia="en-US"/>
              </w:rPr>
              <w:t xml:space="preserve"> was high level interpersonal and communication skills, which was confirmed as part of the assessment and selection process.  </w:t>
            </w:r>
          </w:p>
        </w:tc>
      </w:tr>
      <w:tr w:rsidR="00313C47" w:rsidRPr="00F34A39" w14:paraId="0B3C0616" w14:textId="77777777" w:rsidTr="00104867">
        <w:trPr>
          <w:cnfStyle w:val="000000100000" w:firstRow="0" w:lastRow="0" w:firstColumn="0" w:lastColumn="0" w:oddVBand="0" w:evenVBand="0" w:oddHBand="1" w:evenHBand="0" w:firstRowFirstColumn="0" w:firstRowLastColumn="0" w:lastRowFirstColumn="0" w:lastRowLastColumn="0"/>
          <w:trHeight w:val="51"/>
        </w:trPr>
        <w:tc>
          <w:tcPr>
            <w:cnfStyle w:val="000010000000" w:firstRow="0" w:lastRow="0" w:firstColumn="0" w:lastColumn="0" w:oddVBand="1" w:evenVBand="0" w:oddHBand="0" w:evenHBand="0" w:firstRowFirstColumn="0" w:firstRowLastColumn="0" w:lastRowFirstColumn="0" w:lastRowLastColumn="0"/>
            <w:tcW w:w="704"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3C2E2029" w14:textId="77777777" w:rsidR="00313C47" w:rsidRPr="00F34A39" w:rsidRDefault="00313C47" w:rsidP="008C15D6">
            <w:pPr>
              <w:numPr>
                <w:ilvl w:val="0"/>
                <w:numId w:val="8"/>
              </w:numPr>
              <w:ind w:left="227" w:hanging="227"/>
              <w:contextualSpacing/>
              <w:rPr>
                <w:rFonts w:asciiTheme="minorHAnsi" w:hAnsiTheme="minorHAnsi" w:cstheme="minorHAnsi"/>
                <w:sz w:val="22"/>
                <w:szCs w:val="22"/>
                <w:lang w:val="en-AU"/>
              </w:rPr>
            </w:pPr>
            <w:r w:rsidRPr="00F34A39">
              <w:rPr>
                <w:rFonts w:asciiTheme="minorHAnsi" w:hAnsiTheme="minorHAnsi" w:cstheme="minorHAnsi"/>
                <w:sz w:val="22"/>
                <w:szCs w:val="22"/>
                <w:lang w:val="en-AU"/>
              </w:rPr>
              <w:t>MSC sub-contractor management</w:t>
            </w:r>
          </w:p>
        </w:tc>
        <w:tc>
          <w:tcPr>
            <w:tcW w:w="1480"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5094A9F9" w14:textId="79F7EA88" w:rsidR="00313C47" w:rsidRPr="00F34A39" w:rsidRDefault="00104867" w:rsidP="00104867">
            <w:pPr>
              <w:overflowPunct w:val="0"/>
              <w:autoSpaceDE w:val="0"/>
              <w:autoSpaceDN w:val="0"/>
              <w:adjustRightInd w:val="0"/>
              <w:contextualSpacing/>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E</w:t>
            </w:r>
            <w:r w:rsidR="00313C47" w:rsidRPr="00F34A39">
              <w:rPr>
                <w:rFonts w:asciiTheme="minorHAnsi" w:hAnsiTheme="minorHAnsi" w:cstheme="minorHAnsi"/>
                <w:sz w:val="22"/>
                <w:szCs w:val="22"/>
                <w:lang w:val="en-AU" w:eastAsia="en-US"/>
              </w:rPr>
              <w:t>ffective management of sub-contractors to ensure sufficient capacity and capability to carry out services to the standards required.</w:t>
            </w:r>
          </w:p>
        </w:tc>
        <w:tc>
          <w:tcPr>
            <w:cnfStyle w:val="000010000000" w:firstRow="0" w:lastRow="0" w:firstColumn="0" w:lastColumn="0" w:oddVBand="1" w:evenVBand="0" w:oddHBand="0" w:evenHBand="0" w:firstRowFirstColumn="0" w:firstRowLastColumn="0" w:lastRowFirstColumn="0" w:lastRowLastColumn="0"/>
            <w:tcW w:w="2816" w:type="pct"/>
            <w:tcBorders>
              <w:top w:val="single" w:sz="8" w:space="0" w:color="81ADB5" w:themeColor="accent5"/>
              <w:left w:val="single" w:sz="8" w:space="0" w:color="81ADB5" w:themeColor="accent5"/>
              <w:bottom w:val="single" w:sz="8" w:space="0" w:color="81ADB5" w:themeColor="accent5"/>
              <w:right w:val="single" w:sz="8" w:space="0" w:color="81ADB5" w:themeColor="accent5"/>
            </w:tcBorders>
          </w:tcPr>
          <w:p w14:paraId="72499091" w14:textId="730EF71B" w:rsidR="00313C47" w:rsidRPr="00F34A39" w:rsidRDefault="00313C47" w:rsidP="00104867">
            <w:pPr>
              <w:overflowPunct w:val="0"/>
              <w:autoSpaceDE w:val="0"/>
              <w:autoSpaceDN w:val="0"/>
              <w:adjustRightInd w:val="0"/>
              <w:contextualSpacing/>
              <w:textAlignment w:val="baseline"/>
              <w:rPr>
                <w:rFonts w:asciiTheme="minorHAnsi" w:hAnsiTheme="minorHAnsi" w:cstheme="minorHAnsi"/>
                <w:sz w:val="22"/>
                <w:szCs w:val="22"/>
                <w:lang w:val="en-AU" w:eastAsia="en-US"/>
              </w:rPr>
            </w:pPr>
            <w:r w:rsidRPr="00F34A39">
              <w:rPr>
                <w:rFonts w:asciiTheme="minorHAnsi" w:hAnsiTheme="minorHAnsi" w:cstheme="minorHAnsi"/>
                <w:sz w:val="22"/>
                <w:szCs w:val="22"/>
                <w:lang w:val="en-AU" w:eastAsia="en-US"/>
              </w:rPr>
              <w:t xml:space="preserve">Following the identification and selection preferred candidates for each advertised role, all identified individuals accepted appointment and contract negotiations were successfully completed.  </w:t>
            </w:r>
            <w:r w:rsidR="00104867" w:rsidRPr="00F34A39">
              <w:rPr>
                <w:rFonts w:asciiTheme="minorHAnsi" w:hAnsiTheme="minorHAnsi" w:cstheme="minorHAnsi"/>
                <w:sz w:val="22"/>
                <w:szCs w:val="22"/>
                <w:lang w:val="en-AU" w:eastAsia="en-US"/>
              </w:rPr>
              <w:t>PJSI management</w:t>
            </w:r>
            <w:r w:rsidRPr="00F34A39">
              <w:rPr>
                <w:rFonts w:asciiTheme="minorHAnsi" w:hAnsiTheme="minorHAnsi" w:cstheme="minorHAnsi"/>
                <w:sz w:val="22"/>
                <w:szCs w:val="22"/>
                <w:lang w:val="en-AU" w:eastAsia="en-US"/>
              </w:rPr>
              <w:t xml:space="preserve"> </w:t>
            </w:r>
            <w:r w:rsidR="00104867" w:rsidRPr="00F34A39">
              <w:rPr>
                <w:rFonts w:asciiTheme="minorHAnsi" w:hAnsiTheme="minorHAnsi" w:cstheme="minorHAnsi"/>
                <w:sz w:val="22"/>
                <w:szCs w:val="22"/>
                <w:lang w:val="en-AU" w:eastAsia="en-US"/>
              </w:rPr>
              <w:t xml:space="preserve">of its advisers </w:t>
            </w:r>
            <w:r w:rsidRPr="00F34A39">
              <w:rPr>
                <w:rFonts w:asciiTheme="minorHAnsi" w:hAnsiTheme="minorHAnsi" w:cstheme="minorHAnsi"/>
                <w:sz w:val="22"/>
                <w:szCs w:val="22"/>
                <w:lang w:val="en-AU" w:eastAsia="en-US"/>
              </w:rPr>
              <w:t>ensure</w:t>
            </w:r>
            <w:r w:rsidR="00104867" w:rsidRPr="00F34A39">
              <w:rPr>
                <w:rFonts w:asciiTheme="minorHAnsi" w:hAnsiTheme="minorHAnsi" w:cstheme="minorHAnsi"/>
                <w:sz w:val="22"/>
                <w:szCs w:val="22"/>
                <w:lang w:val="en-AU" w:eastAsia="en-US"/>
              </w:rPr>
              <w:t>s</w:t>
            </w:r>
            <w:r w:rsidRPr="00F34A39">
              <w:rPr>
                <w:rFonts w:asciiTheme="minorHAnsi" w:hAnsiTheme="minorHAnsi" w:cstheme="minorHAnsi"/>
                <w:sz w:val="22"/>
                <w:szCs w:val="22"/>
                <w:lang w:val="en-AU" w:eastAsia="en-US"/>
              </w:rPr>
              <w:t xml:space="preserve">: proactive management of adviser resources; and the best quality outputs are achieved for each partner court.  Feedback received </w:t>
            </w:r>
            <w:r w:rsidR="00104867" w:rsidRPr="00F34A39">
              <w:rPr>
                <w:rFonts w:asciiTheme="minorHAnsi" w:hAnsiTheme="minorHAnsi" w:cstheme="minorHAnsi"/>
                <w:sz w:val="22"/>
                <w:szCs w:val="22"/>
                <w:lang w:val="en-AU" w:eastAsia="en-US"/>
              </w:rPr>
              <w:t xml:space="preserve">from all </w:t>
            </w:r>
            <w:r w:rsidR="001F0971" w:rsidRPr="00F34A39">
              <w:rPr>
                <w:rFonts w:asciiTheme="minorHAnsi" w:hAnsiTheme="minorHAnsi"/>
                <w:sz w:val="22"/>
                <w:szCs w:val="22"/>
                <w:lang w:val="en-AU"/>
              </w:rPr>
              <w:t>Partner Courts</w:t>
            </w:r>
            <w:r w:rsidR="001F0971" w:rsidRPr="00F34A39" w:rsidDel="00FA7421">
              <w:rPr>
                <w:rFonts w:asciiTheme="minorHAnsi" w:hAnsiTheme="minorHAnsi"/>
                <w:sz w:val="22"/>
                <w:szCs w:val="22"/>
                <w:lang w:val="en-AU"/>
              </w:rPr>
              <w:t xml:space="preserve"> </w:t>
            </w:r>
            <w:r w:rsidR="00104867" w:rsidRPr="00F34A39">
              <w:rPr>
                <w:rFonts w:asciiTheme="minorHAnsi" w:hAnsiTheme="minorHAnsi" w:cstheme="minorHAnsi"/>
                <w:sz w:val="22"/>
                <w:szCs w:val="22"/>
                <w:lang w:val="en-AU" w:eastAsia="en-US"/>
              </w:rPr>
              <w:t xml:space="preserve">indicates satisfaction with and gratitude for PJSI </w:t>
            </w:r>
            <w:r w:rsidR="00080D9B">
              <w:rPr>
                <w:rFonts w:asciiTheme="minorHAnsi" w:hAnsiTheme="minorHAnsi" w:cstheme="minorHAnsi"/>
                <w:sz w:val="22"/>
                <w:szCs w:val="22"/>
                <w:lang w:val="en-AU" w:eastAsia="en-US"/>
              </w:rPr>
              <w:t>Advisor</w:t>
            </w:r>
            <w:r w:rsidR="00080D9B" w:rsidRPr="00F34A39">
              <w:rPr>
                <w:rFonts w:asciiTheme="minorHAnsi" w:hAnsiTheme="minorHAnsi" w:cstheme="minorHAnsi"/>
                <w:sz w:val="22"/>
                <w:szCs w:val="22"/>
                <w:lang w:val="en-AU" w:eastAsia="en-US"/>
              </w:rPr>
              <w:t>y</w:t>
            </w:r>
            <w:r w:rsidR="00104867" w:rsidRPr="00F34A39">
              <w:rPr>
                <w:rFonts w:asciiTheme="minorHAnsi" w:hAnsiTheme="minorHAnsi" w:cstheme="minorHAnsi"/>
                <w:sz w:val="22"/>
                <w:szCs w:val="22"/>
                <w:lang w:val="en-AU" w:eastAsia="en-US"/>
              </w:rPr>
              <w:t xml:space="preserve"> team.</w:t>
            </w:r>
          </w:p>
        </w:tc>
      </w:tr>
    </w:tbl>
    <w:p w14:paraId="2E3B652C" w14:textId="2F8ACD92" w:rsidR="003907E9" w:rsidRDefault="003907E9" w:rsidP="00476F8C">
      <w:pPr>
        <w:rPr>
          <w:sz w:val="2"/>
          <w:szCs w:val="2"/>
          <w:lang w:val="en-AU"/>
        </w:rPr>
      </w:pPr>
    </w:p>
    <w:p w14:paraId="7AFD1800" w14:textId="77777777" w:rsidR="003907E9" w:rsidRDefault="003907E9">
      <w:pPr>
        <w:rPr>
          <w:sz w:val="2"/>
          <w:szCs w:val="2"/>
          <w:lang w:val="en-AU"/>
        </w:rPr>
      </w:pPr>
      <w:r>
        <w:rPr>
          <w:sz w:val="2"/>
          <w:szCs w:val="2"/>
          <w:lang w:val="en-AU"/>
        </w:rPr>
        <w:br w:type="page"/>
      </w:r>
    </w:p>
    <w:p w14:paraId="4D7AC74D" w14:textId="77777777" w:rsidR="003907E9" w:rsidRDefault="003907E9" w:rsidP="00476F8C">
      <w:pPr>
        <w:rPr>
          <w:sz w:val="2"/>
          <w:szCs w:val="2"/>
          <w:lang w:val="en-AU"/>
        </w:rPr>
        <w:sectPr w:rsidR="003907E9" w:rsidSect="00313C47">
          <w:headerReference w:type="default" r:id="rId246"/>
          <w:headerReference w:type="first" r:id="rId247"/>
          <w:footerReference w:type="first" r:id="rId248"/>
          <w:pgSz w:w="16838" w:h="11906" w:orient="landscape" w:code="9"/>
          <w:pgMar w:top="1361" w:right="1559" w:bottom="1361" w:left="1418" w:header="397" w:footer="249" w:gutter="0"/>
          <w:cols w:space="708"/>
          <w:titlePg/>
          <w:docGrid w:linePitch="360"/>
        </w:sectPr>
      </w:pPr>
    </w:p>
    <w:p w14:paraId="4CC21D02" w14:textId="6B44ED96" w:rsidR="00216197" w:rsidRDefault="00D97F4D" w:rsidP="004C63D8">
      <w:pPr>
        <w:pStyle w:val="HBHeading1"/>
        <w:spacing w:before="0" w:after="60"/>
        <w:rPr>
          <w:color w:val="004B5C" w:themeColor="accent1" w:themeShade="BF"/>
          <w:lang w:val="en-AU"/>
        </w:rPr>
      </w:pPr>
      <w:bookmarkStart w:id="127" w:name="_Toc77423635"/>
      <w:bookmarkStart w:id="128" w:name="_Toc90564323"/>
      <w:r w:rsidRPr="00D97F4D">
        <w:rPr>
          <w:color w:val="004B5C" w:themeColor="accent1" w:themeShade="BF"/>
          <w:lang w:val="en-AU"/>
        </w:rPr>
        <w:lastRenderedPageBreak/>
        <w:t xml:space="preserve">Annex </w:t>
      </w:r>
      <w:r w:rsidR="0025389B">
        <w:rPr>
          <w:color w:val="004B5C" w:themeColor="accent1" w:themeShade="BF"/>
          <w:lang w:val="en-AU"/>
        </w:rPr>
        <w:t>Ten</w:t>
      </w:r>
      <w:r>
        <w:rPr>
          <w:color w:val="004B5C" w:themeColor="accent1" w:themeShade="BF"/>
          <w:lang w:val="en-AU"/>
        </w:rPr>
        <w:t>: Financial Statement</w:t>
      </w:r>
      <w:bookmarkEnd w:id="127"/>
      <w:bookmarkEnd w:id="128"/>
    </w:p>
    <w:p w14:paraId="4E5B8010" w14:textId="467CDCB8" w:rsidR="0088166C" w:rsidRDefault="0088166C" w:rsidP="0088166C">
      <w:pPr>
        <w:rPr>
          <w:lang w:val="en-AU"/>
        </w:rPr>
      </w:pPr>
      <w:r w:rsidRPr="0088166C">
        <w:rPr>
          <w:rFonts w:cstheme="minorHAnsi"/>
          <w:b/>
          <w:bCs/>
          <w:sz w:val="22"/>
          <w:szCs w:val="22"/>
          <w:lang w:val="en-AU"/>
        </w:rPr>
        <w:t>Expenditure Projection Summary by Output:  PJSI December 2015 to December 2021</w:t>
      </w:r>
    </w:p>
    <w:p w14:paraId="2081E71E" w14:textId="12ED8859" w:rsidR="004C63D8" w:rsidRDefault="004C63D8" w:rsidP="00216197">
      <w:pPr>
        <w:pStyle w:val="NoSpacing"/>
        <w:contextualSpacing/>
        <w:rPr>
          <w:rFonts w:cstheme="minorHAnsi"/>
          <w:b/>
        </w:rPr>
      </w:pPr>
      <w:bookmarkStart w:id="129" w:name="_Toc444864071"/>
      <w:bookmarkStart w:id="130" w:name="_Toc8823787"/>
      <w:bookmarkStart w:id="131" w:name="_Toc14681718"/>
      <w:bookmarkStart w:id="132" w:name="_Toc14696341"/>
    </w:p>
    <w:p w14:paraId="1BFE3A48" w14:textId="77777777" w:rsidR="0010742D" w:rsidRPr="00216197" w:rsidRDefault="0010742D" w:rsidP="0010742D">
      <w:pPr>
        <w:contextualSpacing/>
        <w:rPr>
          <w:rFonts w:cstheme="minorHAnsi"/>
          <w:sz w:val="22"/>
          <w:szCs w:val="23"/>
        </w:rPr>
      </w:pPr>
      <w:r w:rsidRPr="00216197">
        <w:rPr>
          <w:rFonts w:cstheme="minorHAnsi"/>
          <w:sz w:val="22"/>
        </w:rPr>
        <w:t>Commercial-in-confidence, supplied to MFAT separately.</w:t>
      </w:r>
    </w:p>
    <w:p w14:paraId="3D948451" w14:textId="77777777" w:rsidR="0010742D" w:rsidRDefault="0010742D" w:rsidP="00216197">
      <w:pPr>
        <w:pStyle w:val="NoSpacing"/>
        <w:contextualSpacing/>
        <w:rPr>
          <w:rFonts w:cstheme="minorHAnsi"/>
          <w:b/>
        </w:rPr>
        <w:sectPr w:rsidR="0010742D" w:rsidSect="00216197">
          <w:headerReference w:type="default" r:id="rId249"/>
          <w:footerReference w:type="default" r:id="rId250"/>
          <w:pgSz w:w="16838" w:h="11906" w:orient="landscape" w:code="9"/>
          <w:pgMar w:top="1361" w:right="1677" w:bottom="1418" w:left="1276" w:header="397" w:footer="249" w:gutter="0"/>
          <w:cols w:space="708"/>
          <w:docGrid w:linePitch="360"/>
        </w:sectPr>
      </w:pPr>
    </w:p>
    <w:p w14:paraId="5D976572" w14:textId="591F2D71" w:rsidR="00216197" w:rsidRPr="00F26193" w:rsidRDefault="00216197" w:rsidP="00216197">
      <w:pPr>
        <w:pStyle w:val="NoSpacing"/>
        <w:contextualSpacing/>
        <w:rPr>
          <w:rFonts w:cstheme="minorHAnsi"/>
          <w:b/>
          <w:noProof/>
        </w:rPr>
      </w:pPr>
      <w:r>
        <w:rPr>
          <w:rFonts w:cstheme="minorHAnsi"/>
          <w:b/>
        </w:rPr>
        <w:lastRenderedPageBreak/>
        <w:t>Costed Workplan</w:t>
      </w:r>
      <w:r w:rsidRPr="00F26193">
        <w:rPr>
          <w:rFonts w:cstheme="minorHAnsi"/>
          <w:b/>
        </w:rPr>
        <w:t xml:space="preserve"> (as at 31 </w:t>
      </w:r>
      <w:r w:rsidR="001A46A4">
        <w:rPr>
          <w:rFonts w:cstheme="minorHAnsi"/>
          <w:b/>
        </w:rPr>
        <w:t>December</w:t>
      </w:r>
      <w:r w:rsidRPr="00F26193">
        <w:rPr>
          <w:rFonts w:cstheme="minorHAnsi"/>
          <w:b/>
        </w:rPr>
        <w:t xml:space="preserve"> 2021)</w:t>
      </w:r>
    </w:p>
    <w:p w14:paraId="06C81949" w14:textId="5175BEC9" w:rsidR="00216197" w:rsidRPr="00216197" w:rsidRDefault="00216197" w:rsidP="00216197">
      <w:pPr>
        <w:contextualSpacing/>
        <w:rPr>
          <w:rFonts w:cstheme="minorHAnsi"/>
          <w:sz w:val="22"/>
          <w:szCs w:val="23"/>
        </w:rPr>
      </w:pPr>
      <w:r w:rsidRPr="00216197">
        <w:rPr>
          <w:rFonts w:cstheme="minorHAnsi"/>
          <w:sz w:val="22"/>
        </w:rPr>
        <w:t>Commercial-in-confidence, supplied to MFAT separately.</w:t>
      </w:r>
    </w:p>
    <w:p w14:paraId="66720B0C" w14:textId="6D899B94" w:rsidR="00216197" w:rsidRDefault="00216197" w:rsidP="00216197"/>
    <w:p w14:paraId="23838629" w14:textId="4B35836F" w:rsidR="004C63D8" w:rsidRDefault="004C63D8" w:rsidP="00216197"/>
    <w:p w14:paraId="37A01EAD" w14:textId="34F37478" w:rsidR="004C63D8" w:rsidRDefault="004C63D8" w:rsidP="004C020C">
      <w:pPr>
        <w:jc w:val="center"/>
      </w:pPr>
    </w:p>
    <w:p w14:paraId="711C8EF3" w14:textId="77777777" w:rsidR="004C63D8" w:rsidRPr="00906DF3" w:rsidRDefault="004C63D8" w:rsidP="00216197">
      <w:pPr>
        <w:sectPr w:rsidR="004C63D8" w:rsidRPr="00906DF3" w:rsidSect="004C020C">
          <w:pgSz w:w="16838" w:h="11906" w:orient="landscape" w:code="9"/>
          <w:pgMar w:top="1361" w:right="1677" w:bottom="1418" w:left="1276" w:header="397" w:footer="249" w:gutter="0"/>
          <w:cols w:space="708"/>
          <w:docGrid w:linePitch="360"/>
        </w:sectPr>
      </w:pPr>
    </w:p>
    <w:p w14:paraId="13DD7FF5" w14:textId="2431C51F" w:rsidR="00D97F4D" w:rsidRDefault="00D97F4D" w:rsidP="00BC1A90">
      <w:pPr>
        <w:pStyle w:val="HBHeading1"/>
        <w:spacing w:before="0"/>
        <w:rPr>
          <w:color w:val="004B5C" w:themeColor="accent1" w:themeShade="BF"/>
          <w:lang w:val="en-AU"/>
        </w:rPr>
      </w:pPr>
      <w:bookmarkStart w:id="133" w:name="_Toc77423636"/>
      <w:bookmarkStart w:id="134" w:name="_Toc90564324"/>
      <w:bookmarkEnd w:id="129"/>
      <w:bookmarkEnd w:id="130"/>
      <w:bookmarkEnd w:id="131"/>
      <w:bookmarkEnd w:id="132"/>
      <w:r>
        <w:rPr>
          <w:color w:val="004B5C" w:themeColor="accent1" w:themeShade="BF"/>
          <w:lang w:val="en-AU"/>
        </w:rPr>
        <w:lastRenderedPageBreak/>
        <w:t xml:space="preserve">Annex </w:t>
      </w:r>
      <w:r w:rsidR="0025389B">
        <w:rPr>
          <w:color w:val="004B5C" w:themeColor="accent1" w:themeShade="BF"/>
          <w:lang w:val="en-AU"/>
        </w:rPr>
        <w:t>Eleven</w:t>
      </w:r>
      <w:r>
        <w:rPr>
          <w:color w:val="004B5C" w:themeColor="accent1" w:themeShade="BF"/>
          <w:lang w:val="en-AU"/>
        </w:rPr>
        <w:t>: Asset Register</w:t>
      </w:r>
      <w:bookmarkEnd w:id="133"/>
      <w:bookmarkEnd w:id="134"/>
      <w:r>
        <w:rPr>
          <w:color w:val="004B5C" w:themeColor="accent1" w:themeShade="BF"/>
          <w:lang w:val="en-AU"/>
        </w:rPr>
        <w:t xml:space="preserve"> </w:t>
      </w:r>
    </w:p>
    <w:tbl>
      <w:tblPr>
        <w:tblStyle w:val="TableGrid"/>
        <w:tblW w:w="5206" w:type="pct"/>
        <w:tblBorders>
          <w:left w:val="none" w:sz="0" w:space="0" w:color="auto"/>
          <w:right w:val="none" w:sz="0" w:space="0" w:color="auto"/>
        </w:tblBorders>
        <w:tblLook w:val="04A0" w:firstRow="1" w:lastRow="0" w:firstColumn="1" w:lastColumn="0" w:noHBand="0" w:noVBand="1"/>
      </w:tblPr>
      <w:tblGrid>
        <w:gridCol w:w="2363"/>
        <w:gridCol w:w="4093"/>
        <w:gridCol w:w="3467"/>
        <w:gridCol w:w="4509"/>
      </w:tblGrid>
      <w:tr w:rsidR="00D97F4D" w:rsidRPr="00D97F4D" w14:paraId="24D9A46D" w14:textId="77777777" w:rsidTr="003232DE">
        <w:tc>
          <w:tcPr>
            <w:tcW w:w="819" w:type="pct"/>
            <w:tcBorders>
              <w:bottom w:val="single" w:sz="4" w:space="0" w:color="auto"/>
            </w:tcBorders>
            <w:shd w:val="clear" w:color="auto" w:fill="F2F2F2" w:themeFill="background1" w:themeFillShade="F2"/>
            <w:vAlign w:val="center"/>
          </w:tcPr>
          <w:p w14:paraId="0406EBC8" w14:textId="77777777" w:rsidR="00D97F4D" w:rsidRPr="00D97F4D" w:rsidRDefault="00D97F4D" w:rsidP="00D97F4D">
            <w:pPr>
              <w:jc w:val="center"/>
              <w:rPr>
                <w:rFonts w:asciiTheme="minorHAnsi" w:hAnsiTheme="minorHAnsi" w:cstheme="minorHAnsi"/>
                <w:b/>
                <w:sz w:val="22"/>
                <w:szCs w:val="22"/>
              </w:rPr>
            </w:pPr>
            <w:r w:rsidRPr="00D97F4D">
              <w:rPr>
                <w:rFonts w:asciiTheme="minorHAnsi" w:hAnsiTheme="minorHAnsi" w:cstheme="minorHAnsi"/>
                <w:b/>
                <w:sz w:val="22"/>
                <w:szCs w:val="22"/>
              </w:rPr>
              <w:t>Purchase Date</w:t>
            </w:r>
          </w:p>
        </w:tc>
        <w:tc>
          <w:tcPr>
            <w:tcW w:w="1418" w:type="pct"/>
            <w:tcBorders>
              <w:bottom w:val="single" w:sz="4" w:space="0" w:color="auto"/>
            </w:tcBorders>
            <w:shd w:val="clear" w:color="auto" w:fill="F2F2F2" w:themeFill="background1" w:themeFillShade="F2"/>
            <w:vAlign w:val="center"/>
          </w:tcPr>
          <w:p w14:paraId="188FF9D4" w14:textId="77777777" w:rsidR="00D97F4D" w:rsidRPr="00D97F4D" w:rsidRDefault="00D97F4D" w:rsidP="00D97F4D">
            <w:pPr>
              <w:jc w:val="center"/>
              <w:rPr>
                <w:rFonts w:asciiTheme="minorHAnsi" w:hAnsiTheme="minorHAnsi" w:cstheme="minorHAnsi"/>
                <w:b/>
                <w:sz w:val="22"/>
                <w:szCs w:val="22"/>
              </w:rPr>
            </w:pPr>
            <w:r w:rsidRPr="00D97F4D">
              <w:rPr>
                <w:rFonts w:asciiTheme="minorHAnsi" w:hAnsiTheme="minorHAnsi" w:cstheme="minorHAnsi"/>
                <w:b/>
                <w:sz w:val="22"/>
                <w:szCs w:val="22"/>
              </w:rPr>
              <w:t>Item</w:t>
            </w:r>
          </w:p>
        </w:tc>
        <w:tc>
          <w:tcPr>
            <w:tcW w:w="1201" w:type="pct"/>
            <w:tcBorders>
              <w:bottom w:val="single" w:sz="4" w:space="0" w:color="auto"/>
            </w:tcBorders>
            <w:shd w:val="clear" w:color="auto" w:fill="F2F2F2" w:themeFill="background1" w:themeFillShade="F2"/>
            <w:vAlign w:val="center"/>
          </w:tcPr>
          <w:p w14:paraId="666FE6E5" w14:textId="77777777" w:rsidR="00D97F4D" w:rsidRPr="00D97F4D" w:rsidRDefault="00D97F4D" w:rsidP="00D97F4D">
            <w:pPr>
              <w:jc w:val="center"/>
              <w:rPr>
                <w:rFonts w:asciiTheme="minorHAnsi" w:hAnsiTheme="minorHAnsi" w:cstheme="minorHAnsi"/>
                <w:b/>
                <w:sz w:val="22"/>
                <w:szCs w:val="22"/>
              </w:rPr>
            </w:pPr>
            <w:r w:rsidRPr="00D97F4D">
              <w:rPr>
                <w:rFonts w:asciiTheme="minorHAnsi" w:hAnsiTheme="minorHAnsi" w:cstheme="minorHAnsi"/>
                <w:b/>
                <w:sz w:val="22"/>
                <w:szCs w:val="22"/>
              </w:rPr>
              <w:t>Description</w:t>
            </w:r>
          </w:p>
        </w:tc>
        <w:tc>
          <w:tcPr>
            <w:tcW w:w="1562" w:type="pct"/>
            <w:tcBorders>
              <w:bottom w:val="single" w:sz="4" w:space="0" w:color="auto"/>
            </w:tcBorders>
            <w:shd w:val="clear" w:color="auto" w:fill="F2F2F2" w:themeFill="background1" w:themeFillShade="F2"/>
            <w:vAlign w:val="center"/>
          </w:tcPr>
          <w:p w14:paraId="6DF9D7D3" w14:textId="77777777" w:rsidR="00D97F4D" w:rsidRPr="00D97F4D" w:rsidRDefault="00D97F4D" w:rsidP="00D97F4D">
            <w:pPr>
              <w:jc w:val="center"/>
              <w:rPr>
                <w:rFonts w:asciiTheme="minorHAnsi" w:hAnsiTheme="minorHAnsi" w:cstheme="minorHAnsi"/>
                <w:b/>
                <w:sz w:val="22"/>
                <w:szCs w:val="22"/>
              </w:rPr>
            </w:pPr>
            <w:r w:rsidRPr="00D97F4D">
              <w:rPr>
                <w:rFonts w:asciiTheme="minorHAnsi" w:hAnsiTheme="minorHAnsi" w:cstheme="minorHAnsi"/>
                <w:b/>
                <w:sz w:val="22"/>
                <w:szCs w:val="22"/>
              </w:rPr>
              <w:t>Action</w:t>
            </w:r>
          </w:p>
        </w:tc>
      </w:tr>
      <w:tr w:rsidR="00D97F4D" w:rsidRPr="00D97F4D" w14:paraId="71A5F0E0" w14:textId="77777777" w:rsidTr="003232DE">
        <w:tc>
          <w:tcPr>
            <w:tcW w:w="819" w:type="pct"/>
            <w:tcBorders>
              <w:bottom w:val="dotted" w:sz="4" w:space="0" w:color="auto"/>
              <w:right w:val="dotted" w:sz="4" w:space="0" w:color="auto"/>
            </w:tcBorders>
          </w:tcPr>
          <w:p w14:paraId="4C85BD4B"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2010</w:t>
            </w:r>
          </w:p>
        </w:tc>
        <w:tc>
          <w:tcPr>
            <w:tcW w:w="1418" w:type="pct"/>
            <w:tcBorders>
              <w:left w:val="dotted" w:sz="4" w:space="0" w:color="auto"/>
              <w:bottom w:val="dotted" w:sz="4" w:space="0" w:color="auto"/>
              <w:right w:val="dotted" w:sz="4" w:space="0" w:color="auto"/>
            </w:tcBorders>
          </w:tcPr>
          <w:p w14:paraId="41BBBBF7"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Laptop</w:t>
            </w:r>
          </w:p>
        </w:tc>
        <w:tc>
          <w:tcPr>
            <w:tcW w:w="1201" w:type="pct"/>
            <w:tcBorders>
              <w:left w:val="dotted" w:sz="4" w:space="0" w:color="auto"/>
              <w:bottom w:val="dotted" w:sz="4" w:space="0" w:color="auto"/>
              <w:right w:val="dotted" w:sz="4" w:space="0" w:color="auto"/>
            </w:tcBorders>
          </w:tcPr>
          <w:p w14:paraId="5A26C4C7"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 xml:space="preserve">Compaq (model type X13 -04600) </w:t>
            </w:r>
          </w:p>
        </w:tc>
        <w:tc>
          <w:tcPr>
            <w:tcW w:w="1562" w:type="pct"/>
            <w:tcBorders>
              <w:left w:val="dotted" w:sz="4" w:space="0" w:color="auto"/>
              <w:bottom w:val="dotted" w:sz="4" w:space="0" w:color="auto"/>
            </w:tcBorders>
          </w:tcPr>
          <w:p w14:paraId="1C57DC2A"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64E1C361" w14:textId="77777777" w:rsidTr="003232DE">
        <w:tc>
          <w:tcPr>
            <w:tcW w:w="819" w:type="pct"/>
            <w:tcBorders>
              <w:top w:val="dotted" w:sz="4" w:space="0" w:color="auto"/>
              <w:bottom w:val="dotted" w:sz="4" w:space="0" w:color="auto"/>
              <w:right w:val="dotted" w:sz="4" w:space="0" w:color="auto"/>
            </w:tcBorders>
          </w:tcPr>
          <w:p w14:paraId="0616B55E"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26/10/2010</w:t>
            </w:r>
          </w:p>
        </w:tc>
        <w:tc>
          <w:tcPr>
            <w:tcW w:w="1418" w:type="pct"/>
            <w:tcBorders>
              <w:top w:val="dotted" w:sz="4" w:space="0" w:color="auto"/>
              <w:left w:val="dotted" w:sz="4" w:space="0" w:color="auto"/>
              <w:bottom w:val="dotted" w:sz="4" w:space="0" w:color="auto"/>
              <w:right w:val="dotted" w:sz="4" w:space="0" w:color="auto"/>
            </w:tcBorders>
          </w:tcPr>
          <w:p w14:paraId="30389185"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Data Projector and remote</w:t>
            </w:r>
          </w:p>
        </w:tc>
        <w:tc>
          <w:tcPr>
            <w:tcW w:w="1201" w:type="pct"/>
            <w:tcBorders>
              <w:top w:val="dotted" w:sz="4" w:space="0" w:color="auto"/>
              <w:left w:val="dotted" w:sz="4" w:space="0" w:color="auto"/>
              <w:bottom w:val="dotted" w:sz="4" w:space="0" w:color="auto"/>
              <w:right w:val="dotted" w:sz="4" w:space="0" w:color="auto"/>
            </w:tcBorders>
          </w:tcPr>
          <w:p w14:paraId="053361E7"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Acer X1161P</w:t>
            </w:r>
          </w:p>
        </w:tc>
        <w:tc>
          <w:tcPr>
            <w:tcW w:w="1562" w:type="pct"/>
            <w:tcBorders>
              <w:top w:val="dotted" w:sz="4" w:space="0" w:color="auto"/>
              <w:left w:val="dotted" w:sz="4" w:space="0" w:color="auto"/>
              <w:bottom w:val="dotted" w:sz="4" w:space="0" w:color="auto"/>
            </w:tcBorders>
          </w:tcPr>
          <w:p w14:paraId="1F3F9271"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49938873" w14:textId="77777777" w:rsidTr="003232DE">
        <w:tc>
          <w:tcPr>
            <w:tcW w:w="819" w:type="pct"/>
            <w:tcBorders>
              <w:top w:val="dotted" w:sz="4" w:space="0" w:color="auto"/>
              <w:bottom w:val="dotted" w:sz="4" w:space="0" w:color="auto"/>
              <w:right w:val="dotted" w:sz="4" w:space="0" w:color="auto"/>
            </w:tcBorders>
          </w:tcPr>
          <w:p w14:paraId="44114145"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2011</w:t>
            </w:r>
          </w:p>
        </w:tc>
        <w:tc>
          <w:tcPr>
            <w:tcW w:w="1418" w:type="pct"/>
            <w:tcBorders>
              <w:top w:val="dotted" w:sz="4" w:space="0" w:color="auto"/>
              <w:left w:val="dotted" w:sz="4" w:space="0" w:color="auto"/>
              <w:bottom w:val="dotted" w:sz="4" w:space="0" w:color="auto"/>
              <w:right w:val="dotted" w:sz="4" w:space="0" w:color="auto"/>
            </w:tcBorders>
          </w:tcPr>
          <w:p w14:paraId="6501D685"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USB Hub</w:t>
            </w:r>
          </w:p>
        </w:tc>
        <w:tc>
          <w:tcPr>
            <w:tcW w:w="1201" w:type="pct"/>
            <w:tcBorders>
              <w:top w:val="dotted" w:sz="4" w:space="0" w:color="auto"/>
              <w:left w:val="dotted" w:sz="4" w:space="0" w:color="auto"/>
              <w:bottom w:val="dotted" w:sz="4" w:space="0" w:color="auto"/>
              <w:right w:val="dotted" w:sz="4" w:space="0" w:color="auto"/>
            </w:tcBorders>
          </w:tcPr>
          <w:p w14:paraId="128FA015"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Belkin, 6-port USB Hub</w:t>
            </w:r>
          </w:p>
        </w:tc>
        <w:tc>
          <w:tcPr>
            <w:tcW w:w="1562" w:type="pct"/>
            <w:tcBorders>
              <w:top w:val="dotted" w:sz="4" w:space="0" w:color="auto"/>
              <w:left w:val="dotted" w:sz="4" w:space="0" w:color="auto"/>
              <w:bottom w:val="dotted" w:sz="4" w:space="0" w:color="auto"/>
            </w:tcBorders>
          </w:tcPr>
          <w:p w14:paraId="2AFD1175"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194C3E15" w14:textId="77777777" w:rsidTr="003232DE">
        <w:tc>
          <w:tcPr>
            <w:tcW w:w="819" w:type="pct"/>
            <w:tcBorders>
              <w:top w:val="dotted" w:sz="4" w:space="0" w:color="auto"/>
              <w:bottom w:val="dotted" w:sz="4" w:space="0" w:color="auto"/>
              <w:right w:val="dotted" w:sz="4" w:space="0" w:color="auto"/>
            </w:tcBorders>
          </w:tcPr>
          <w:p w14:paraId="3BE6808A"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2011</w:t>
            </w:r>
          </w:p>
        </w:tc>
        <w:tc>
          <w:tcPr>
            <w:tcW w:w="1418" w:type="pct"/>
            <w:tcBorders>
              <w:top w:val="dotted" w:sz="4" w:space="0" w:color="auto"/>
              <w:left w:val="dotted" w:sz="4" w:space="0" w:color="auto"/>
              <w:bottom w:val="dotted" w:sz="4" w:space="0" w:color="auto"/>
              <w:right w:val="dotted" w:sz="4" w:space="0" w:color="auto"/>
            </w:tcBorders>
          </w:tcPr>
          <w:p w14:paraId="14DE0308"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 xml:space="preserve">Mobile Phone </w:t>
            </w:r>
          </w:p>
        </w:tc>
        <w:tc>
          <w:tcPr>
            <w:tcW w:w="1201" w:type="pct"/>
            <w:tcBorders>
              <w:top w:val="dotted" w:sz="4" w:space="0" w:color="auto"/>
              <w:left w:val="dotted" w:sz="4" w:space="0" w:color="auto"/>
              <w:bottom w:val="dotted" w:sz="4" w:space="0" w:color="auto"/>
              <w:right w:val="dotted" w:sz="4" w:space="0" w:color="auto"/>
            </w:tcBorders>
          </w:tcPr>
          <w:p w14:paraId="2426F5AB"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Alcatel one touch</w:t>
            </w:r>
          </w:p>
        </w:tc>
        <w:tc>
          <w:tcPr>
            <w:tcW w:w="1562" w:type="pct"/>
            <w:tcBorders>
              <w:top w:val="dotted" w:sz="4" w:space="0" w:color="auto"/>
              <w:left w:val="dotted" w:sz="4" w:space="0" w:color="auto"/>
              <w:bottom w:val="dotted" w:sz="4" w:space="0" w:color="auto"/>
            </w:tcBorders>
          </w:tcPr>
          <w:p w14:paraId="05AB5799"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0905A185" w14:textId="77777777" w:rsidTr="003232DE">
        <w:tc>
          <w:tcPr>
            <w:tcW w:w="819" w:type="pct"/>
            <w:tcBorders>
              <w:top w:val="dotted" w:sz="4" w:space="0" w:color="auto"/>
              <w:bottom w:val="dotted" w:sz="4" w:space="0" w:color="auto"/>
              <w:right w:val="dotted" w:sz="4" w:space="0" w:color="auto"/>
            </w:tcBorders>
          </w:tcPr>
          <w:p w14:paraId="1CF679A2"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12/09/2011</w:t>
            </w:r>
          </w:p>
        </w:tc>
        <w:tc>
          <w:tcPr>
            <w:tcW w:w="1418" w:type="pct"/>
            <w:tcBorders>
              <w:top w:val="dotted" w:sz="4" w:space="0" w:color="auto"/>
              <w:left w:val="dotted" w:sz="4" w:space="0" w:color="auto"/>
              <w:bottom w:val="dotted" w:sz="4" w:space="0" w:color="auto"/>
              <w:right w:val="dotted" w:sz="4" w:space="0" w:color="auto"/>
            </w:tcBorders>
          </w:tcPr>
          <w:p w14:paraId="36A4F2B3"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Video Camera</w:t>
            </w:r>
          </w:p>
        </w:tc>
        <w:tc>
          <w:tcPr>
            <w:tcW w:w="1201" w:type="pct"/>
            <w:tcBorders>
              <w:top w:val="dotted" w:sz="4" w:space="0" w:color="auto"/>
              <w:left w:val="dotted" w:sz="4" w:space="0" w:color="auto"/>
              <w:bottom w:val="dotted" w:sz="4" w:space="0" w:color="auto"/>
              <w:right w:val="dotted" w:sz="4" w:space="0" w:color="auto"/>
            </w:tcBorders>
          </w:tcPr>
          <w:p w14:paraId="70FF955D"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Panasonic, HDC-SC80</w:t>
            </w:r>
          </w:p>
        </w:tc>
        <w:tc>
          <w:tcPr>
            <w:tcW w:w="1562" w:type="pct"/>
            <w:tcBorders>
              <w:top w:val="dotted" w:sz="4" w:space="0" w:color="auto"/>
              <w:left w:val="dotted" w:sz="4" w:space="0" w:color="auto"/>
              <w:bottom w:val="dotted" w:sz="4" w:space="0" w:color="auto"/>
            </w:tcBorders>
          </w:tcPr>
          <w:p w14:paraId="181216E9"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2F09130B" w14:textId="77777777" w:rsidTr="003232DE">
        <w:tc>
          <w:tcPr>
            <w:tcW w:w="819" w:type="pct"/>
            <w:tcBorders>
              <w:top w:val="dotted" w:sz="4" w:space="0" w:color="auto"/>
              <w:bottom w:val="dotted" w:sz="4" w:space="0" w:color="auto"/>
              <w:right w:val="dotted" w:sz="4" w:space="0" w:color="auto"/>
            </w:tcBorders>
          </w:tcPr>
          <w:p w14:paraId="3812199F"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2012</w:t>
            </w:r>
          </w:p>
        </w:tc>
        <w:tc>
          <w:tcPr>
            <w:tcW w:w="1418" w:type="pct"/>
            <w:tcBorders>
              <w:top w:val="dotted" w:sz="4" w:space="0" w:color="auto"/>
              <w:left w:val="dotted" w:sz="4" w:space="0" w:color="auto"/>
              <w:bottom w:val="dotted" w:sz="4" w:space="0" w:color="auto"/>
              <w:right w:val="dotted" w:sz="4" w:space="0" w:color="auto"/>
            </w:tcBorders>
          </w:tcPr>
          <w:p w14:paraId="296DCC58"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Workshop Materials Travel Luggage</w:t>
            </w:r>
          </w:p>
        </w:tc>
        <w:tc>
          <w:tcPr>
            <w:tcW w:w="1201" w:type="pct"/>
            <w:tcBorders>
              <w:top w:val="dotted" w:sz="4" w:space="0" w:color="auto"/>
              <w:left w:val="dotted" w:sz="4" w:space="0" w:color="auto"/>
              <w:bottom w:val="dotted" w:sz="4" w:space="0" w:color="auto"/>
              <w:right w:val="dotted" w:sz="4" w:space="0" w:color="auto"/>
            </w:tcBorders>
          </w:tcPr>
          <w:p w14:paraId="74450ECD"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Lenza Soft Case</w:t>
            </w:r>
          </w:p>
        </w:tc>
        <w:tc>
          <w:tcPr>
            <w:tcW w:w="1562" w:type="pct"/>
            <w:tcBorders>
              <w:top w:val="dotted" w:sz="4" w:space="0" w:color="auto"/>
              <w:left w:val="dotted" w:sz="4" w:space="0" w:color="auto"/>
              <w:bottom w:val="dotted" w:sz="4" w:space="0" w:color="auto"/>
            </w:tcBorders>
          </w:tcPr>
          <w:p w14:paraId="1855CF94" w14:textId="4BB9EA8A"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 xml:space="preserve">Transfer to Te </w:t>
            </w:r>
            <w:r w:rsidR="00B50DD5">
              <w:rPr>
                <w:rFonts w:asciiTheme="minorHAnsi" w:hAnsiTheme="minorHAnsi" w:cstheme="minorHAnsi"/>
                <w:sz w:val="22"/>
                <w:szCs w:val="22"/>
              </w:rPr>
              <w:t>Kura Kaiwhakawā</w:t>
            </w:r>
            <w:r w:rsidRPr="00D97F4D">
              <w:rPr>
                <w:rFonts w:asciiTheme="minorHAnsi" w:hAnsiTheme="minorHAnsi" w:cstheme="minorHAnsi"/>
                <w:sz w:val="22"/>
                <w:szCs w:val="22"/>
              </w:rPr>
              <w:t xml:space="preserve"> (as ongoing implementing agent for MFAT)</w:t>
            </w:r>
          </w:p>
        </w:tc>
      </w:tr>
      <w:tr w:rsidR="00D97F4D" w:rsidRPr="00D97F4D" w14:paraId="0D610BE7" w14:textId="77777777" w:rsidTr="003232DE">
        <w:tc>
          <w:tcPr>
            <w:tcW w:w="819" w:type="pct"/>
            <w:tcBorders>
              <w:top w:val="dotted" w:sz="4" w:space="0" w:color="auto"/>
              <w:bottom w:val="dotted" w:sz="4" w:space="0" w:color="auto"/>
              <w:right w:val="dotted" w:sz="4" w:space="0" w:color="auto"/>
            </w:tcBorders>
          </w:tcPr>
          <w:p w14:paraId="0A2C6245"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29/06/2012</w:t>
            </w:r>
          </w:p>
        </w:tc>
        <w:tc>
          <w:tcPr>
            <w:tcW w:w="1418" w:type="pct"/>
            <w:tcBorders>
              <w:top w:val="dotted" w:sz="4" w:space="0" w:color="auto"/>
              <w:left w:val="dotted" w:sz="4" w:space="0" w:color="auto"/>
              <w:bottom w:val="dotted" w:sz="4" w:space="0" w:color="auto"/>
              <w:right w:val="dotted" w:sz="4" w:space="0" w:color="auto"/>
            </w:tcBorders>
          </w:tcPr>
          <w:p w14:paraId="63C2994D"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Laptop</w:t>
            </w:r>
          </w:p>
        </w:tc>
        <w:tc>
          <w:tcPr>
            <w:tcW w:w="1201" w:type="pct"/>
            <w:tcBorders>
              <w:top w:val="dotted" w:sz="4" w:space="0" w:color="auto"/>
              <w:left w:val="dotted" w:sz="4" w:space="0" w:color="auto"/>
              <w:bottom w:val="dotted" w:sz="4" w:space="0" w:color="auto"/>
              <w:right w:val="dotted" w:sz="4" w:space="0" w:color="auto"/>
            </w:tcBorders>
          </w:tcPr>
          <w:p w14:paraId="3B800D91"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Dell, XPS 14Z</w:t>
            </w:r>
          </w:p>
        </w:tc>
        <w:tc>
          <w:tcPr>
            <w:tcW w:w="1562" w:type="pct"/>
            <w:tcBorders>
              <w:top w:val="dotted" w:sz="4" w:space="0" w:color="auto"/>
              <w:left w:val="dotted" w:sz="4" w:space="0" w:color="auto"/>
              <w:bottom w:val="dotted" w:sz="4" w:space="0" w:color="auto"/>
            </w:tcBorders>
          </w:tcPr>
          <w:p w14:paraId="3A955169"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292DE22B" w14:textId="77777777" w:rsidTr="003232DE">
        <w:tc>
          <w:tcPr>
            <w:tcW w:w="819" w:type="pct"/>
            <w:tcBorders>
              <w:top w:val="dotted" w:sz="4" w:space="0" w:color="auto"/>
              <w:bottom w:val="dotted" w:sz="4" w:space="0" w:color="auto"/>
              <w:right w:val="dotted" w:sz="4" w:space="0" w:color="auto"/>
            </w:tcBorders>
          </w:tcPr>
          <w:p w14:paraId="5F125FD4"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20/02/2012</w:t>
            </w:r>
          </w:p>
        </w:tc>
        <w:tc>
          <w:tcPr>
            <w:tcW w:w="1418" w:type="pct"/>
            <w:tcBorders>
              <w:top w:val="dotted" w:sz="4" w:space="0" w:color="auto"/>
              <w:left w:val="dotted" w:sz="4" w:space="0" w:color="auto"/>
              <w:bottom w:val="dotted" w:sz="4" w:space="0" w:color="auto"/>
              <w:right w:val="dotted" w:sz="4" w:space="0" w:color="auto"/>
            </w:tcBorders>
          </w:tcPr>
          <w:p w14:paraId="5EF329B8"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Portable Printer</w:t>
            </w:r>
          </w:p>
        </w:tc>
        <w:tc>
          <w:tcPr>
            <w:tcW w:w="1201" w:type="pct"/>
            <w:tcBorders>
              <w:top w:val="dotted" w:sz="4" w:space="0" w:color="auto"/>
              <w:left w:val="dotted" w:sz="4" w:space="0" w:color="auto"/>
              <w:bottom w:val="dotted" w:sz="4" w:space="0" w:color="auto"/>
              <w:right w:val="dotted" w:sz="4" w:space="0" w:color="auto"/>
            </w:tcBorders>
          </w:tcPr>
          <w:p w14:paraId="319472A7"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HP Officejet 100</w:t>
            </w:r>
          </w:p>
        </w:tc>
        <w:tc>
          <w:tcPr>
            <w:tcW w:w="1562" w:type="pct"/>
            <w:tcBorders>
              <w:top w:val="dotted" w:sz="4" w:space="0" w:color="auto"/>
              <w:left w:val="dotted" w:sz="4" w:space="0" w:color="auto"/>
              <w:bottom w:val="dotted" w:sz="4" w:space="0" w:color="auto"/>
            </w:tcBorders>
          </w:tcPr>
          <w:p w14:paraId="26FF3F58"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11C117EE" w14:textId="77777777" w:rsidTr="003232DE">
        <w:tc>
          <w:tcPr>
            <w:tcW w:w="819" w:type="pct"/>
            <w:tcBorders>
              <w:top w:val="dotted" w:sz="4" w:space="0" w:color="auto"/>
              <w:bottom w:val="dotted" w:sz="4" w:space="0" w:color="auto"/>
              <w:right w:val="dotted" w:sz="4" w:space="0" w:color="auto"/>
            </w:tcBorders>
          </w:tcPr>
          <w:p w14:paraId="604A653C"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17/02/2012</w:t>
            </w:r>
          </w:p>
        </w:tc>
        <w:tc>
          <w:tcPr>
            <w:tcW w:w="1418" w:type="pct"/>
            <w:tcBorders>
              <w:top w:val="dotted" w:sz="4" w:space="0" w:color="auto"/>
              <w:left w:val="dotted" w:sz="4" w:space="0" w:color="auto"/>
              <w:bottom w:val="dotted" w:sz="4" w:space="0" w:color="auto"/>
              <w:right w:val="dotted" w:sz="4" w:space="0" w:color="auto"/>
            </w:tcBorders>
          </w:tcPr>
          <w:p w14:paraId="211A91EE"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Data Projector and remote</w:t>
            </w:r>
          </w:p>
        </w:tc>
        <w:tc>
          <w:tcPr>
            <w:tcW w:w="1201" w:type="pct"/>
            <w:tcBorders>
              <w:top w:val="dotted" w:sz="4" w:space="0" w:color="auto"/>
              <w:left w:val="dotted" w:sz="4" w:space="0" w:color="auto"/>
              <w:bottom w:val="dotted" w:sz="4" w:space="0" w:color="auto"/>
              <w:right w:val="dotted" w:sz="4" w:space="0" w:color="auto"/>
            </w:tcBorders>
          </w:tcPr>
          <w:p w14:paraId="135D16DA"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Acer X1161</w:t>
            </w:r>
          </w:p>
        </w:tc>
        <w:tc>
          <w:tcPr>
            <w:tcW w:w="1562" w:type="pct"/>
            <w:tcBorders>
              <w:top w:val="dotted" w:sz="4" w:space="0" w:color="auto"/>
              <w:left w:val="dotted" w:sz="4" w:space="0" w:color="auto"/>
              <w:bottom w:val="dotted" w:sz="4" w:space="0" w:color="auto"/>
            </w:tcBorders>
          </w:tcPr>
          <w:p w14:paraId="7542764B"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2DAE89DE" w14:textId="77777777" w:rsidTr="003232DE">
        <w:tc>
          <w:tcPr>
            <w:tcW w:w="819" w:type="pct"/>
            <w:tcBorders>
              <w:top w:val="dotted" w:sz="4" w:space="0" w:color="auto"/>
              <w:bottom w:val="dotted" w:sz="4" w:space="0" w:color="auto"/>
              <w:right w:val="dotted" w:sz="4" w:space="0" w:color="auto"/>
            </w:tcBorders>
          </w:tcPr>
          <w:p w14:paraId="37BFC287"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2/02/2012</w:t>
            </w:r>
          </w:p>
        </w:tc>
        <w:tc>
          <w:tcPr>
            <w:tcW w:w="1418" w:type="pct"/>
            <w:tcBorders>
              <w:top w:val="dotted" w:sz="4" w:space="0" w:color="auto"/>
              <w:left w:val="dotted" w:sz="4" w:space="0" w:color="auto"/>
              <w:bottom w:val="dotted" w:sz="4" w:space="0" w:color="auto"/>
              <w:right w:val="dotted" w:sz="4" w:space="0" w:color="auto"/>
            </w:tcBorders>
          </w:tcPr>
          <w:p w14:paraId="5296904E"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Digital Camera</w:t>
            </w:r>
          </w:p>
        </w:tc>
        <w:tc>
          <w:tcPr>
            <w:tcW w:w="1201" w:type="pct"/>
            <w:tcBorders>
              <w:top w:val="dotted" w:sz="4" w:space="0" w:color="auto"/>
              <w:left w:val="dotted" w:sz="4" w:space="0" w:color="auto"/>
              <w:bottom w:val="dotted" w:sz="4" w:space="0" w:color="auto"/>
              <w:right w:val="dotted" w:sz="4" w:space="0" w:color="auto"/>
            </w:tcBorders>
          </w:tcPr>
          <w:p w14:paraId="752AE350"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Canon, Powershot S100</w:t>
            </w:r>
          </w:p>
        </w:tc>
        <w:tc>
          <w:tcPr>
            <w:tcW w:w="1562" w:type="pct"/>
            <w:tcBorders>
              <w:top w:val="dotted" w:sz="4" w:space="0" w:color="auto"/>
              <w:left w:val="dotted" w:sz="4" w:space="0" w:color="auto"/>
              <w:bottom w:val="dotted" w:sz="4" w:space="0" w:color="auto"/>
            </w:tcBorders>
          </w:tcPr>
          <w:p w14:paraId="095F723F"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40C05EB7" w14:textId="77777777" w:rsidTr="003232DE">
        <w:tc>
          <w:tcPr>
            <w:tcW w:w="819" w:type="pct"/>
            <w:tcBorders>
              <w:top w:val="dotted" w:sz="4" w:space="0" w:color="auto"/>
              <w:bottom w:val="dotted" w:sz="4" w:space="0" w:color="auto"/>
              <w:right w:val="dotted" w:sz="4" w:space="0" w:color="auto"/>
            </w:tcBorders>
          </w:tcPr>
          <w:p w14:paraId="1BEBDF38"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2013</w:t>
            </w:r>
          </w:p>
        </w:tc>
        <w:tc>
          <w:tcPr>
            <w:tcW w:w="1418" w:type="pct"/>
            <w:tcBorders>
              <w:top w:val="dotted" w:sz="4" w:space="0" w:color="auto"/>
              <w:left w:val="dotted" w:sz="4" w:space="0" w:color="auto"/>
              <w:bottom w:val="dotted" w:sz="4" w:space="0" w:color="auto"/>
              <w:right w:val="dotted" w:sz="4" w:space="0" w:color="auto"/>
            </w:tcBorders>
          </w:tcPr>
          <w:p w14:paraId="42DF2B74"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1 TB Hard Drive</w:t>
            </w:r>
          </w:p>
        </w:tc>
        <w:tc>
          <w:tcPr>
            <w:tcW w:w="1201" w:type="pct"/>
            <w:tcBorders>
              <w:top w:val="dotted" w:sz="4" w:space="0" w:color="auto"/>
              <w:left w:val="dotted" w:sz="4" w:space="0" w:color="auto"/>
              <w:bottom w:val="dotted" w:sz="4" w:space="0" w:color="auto"/>
              <w:right w:val="dotted" w:sz="4" w:space="0" w:color="auto"/>
            </w:tcBorders>
          </w:tcPr>
          <w:p w14:paraId="0692DF41"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Toshiba</w:t>
            </w:r>
          </w:p>
        </w:tc>
        <w:tc>
          <w:tcPr>
            <w:tcW w:w="1562" w:type="pct"/>
            <w:tcBorders>
              <w:top w:val="dotted" w:sz="4" w:space="0" w:color="auto"/>
              <w:left w:val="dotted" w:sz="4" w:space="0" w:color="auto"/>
              <w:bottom w:val="dotted" w:sz="4" w:space="0" w:color="auto"/>
            </w:tcBorders>
          </w:tcPr>
          <w:p w14:paraId="4B8B797C" w14:textId="3C5E900E"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 xml:space="preserve">Transfer to Te </w:t>
            </w:r>
            <w:r w:rsidR="00B50DD5">
              <w:rPr>
                <w:rFonts w:asciiTheme="minorHAnsi" w:hAnsiTheme="minorHAnsi" w:cstheme="minorHAnsi"/>
                <w:sz w:val="22"/>
                <w:szCs w:val="22"/>
              </w:rPr>
              <w:t>Kura Kaiwhakawā</w:t>
            </w:r>
            <w:r w:rsidRPr="00D97F4D">
              <w:rPr>
                <w:rFonts w:asciiTheme="minorHAnsi" w:hAnsiTheme="minorHAnsi" w:cstheme="minorHAnsi"/>
                <w:sz w:val="22"/>
                <w:szCs w:val="22"/>
              </w:rPr>
              <w:t xml:space="preserve"> with PJSI files</w:t>
            </w:r>
          </w:p>
        </w:tc>
      </w:tr>
      <w:tr w:rsidR="00D97F4D" w:rsidRPr="00D97F4D" w14:paraId="1C8FF990" w14:textId="77777777" w:rsidTr="003232DE">
        <w:tc>
          <w:tcPr>
            <w:tcW w:w="819" w:type="pct"/>
            <w:tcBorders>
              <w:top w:val="dotted" w:sz="4" w:space="0" w:color="auto"/>
              <w:bottom w:val="dotted" w:sz="4" w:space="0" w:color="auto"/>
              <w:right w:val="dotted" w:sz="4" w:space="0" w:color="auto"/>
            </w:tcBorders>
          </w:tcPr>
          <w:p w14:paraId="2EFE7610"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2/10/2013</w:t>
            </w:r>
          </w:p>
        </w:tc>
        <w:tc>
          <w:tcPr>
            <w:tcW w:w="1418" w:type="pct"/>
            <w:tcBorders>
              <w:top w:val="dotted" w:sz="4" w:space="0" w:color="auto"/>
              <w:left w:val="dotted" w:sz="4" w:space="0" w:color="auto"/>
              <w:bottom w:val="dotted" w:sz="4" w:space="0" w:color="auto"/>
              <w:right w:val="dotted" w:sz="4" w:space="0" w:color="auto"/>
            </w:tcBorders>
          </w:tcPr>
          <w:p w14:paraId="730406A5"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Wireless N Router</w:t>
            </w:r>
          </w:p>
        </w:tc>
        <w:tc>
          <w:tcPr>
            <w:tcW w:w="1201" w:type="pct"/>
            <w:tcBorders>
              <w:top w:val="dotted" w:sz="4" w:space="0" w:color="auto"/>
              <w:left w:val="dotted" w:sz="4" w:space="0" w:color="auto"/>
              <w:bottom w:val="dotted" w:sz="4" w:space="0" w:color="auto"/>
              <w:right w:val="dotted" w:sz="4" w:space="0" w:color="auto"/>
            </w:tcBorders>
          </w:tcPr>
          <w:p w14:paraId="7C7FE90A"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TP-LINK, TL-MR3420</w:t>
            </w:r>
          </w:p>
        </w:tc>
        <w:tc>
          <w:tcPr>
            <w:tcW w:w="1562" w:type="pct"/>
            <w:tcBorders>
              <w:top w:val="dotted" w:sz="4" w:space="0" w:color="auto"/>
              <w:left w:val="dotted" w:sz="4" w:space="0" w:color="auto"/>
              <w:bottom w:val="dotted" w:sz="4" w:space="0" w:color="auto"/>
            </w:tcBorders>
          </w:tcPr>
          <w:p w14:paraId="521C23A3"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50C8C194" w14:textId="77777777" w:rsidTr="003232DE">
        <w:tc>
          <w:tcPr>
            <w:tcW w:w="819" w:type="pct"/>
            <w:tcBorders>
              <w:top w:val="dotted" w:sz="4" w:space="0" w:color="auto"/>
              <w:bottom w:val="dotted" w:sz="4" w:space="0" w:color="auto"/>
              <w:right w:val="dotted" w:sz="4" w:space="0" w:color="auto"/>
            </w:tcBorders>
          </w:tcPr>
          <w:p w14:paraId="5A65B884"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12/11/2013</w:t>
            </w:r>
          </w:p>
        </w:tc>
        <w:tc>
          <w:tcPr>
            <w:tcW w:w="1418" w:type="pct"/>
            <w:tcBorders>
              <w:top w:val="dotted" w:sz="4" w:space="0" w:color="auto"/>
              <w:left w:val="dotted" w:sz="4" w:space="0" w:color="auto"/>
              <w:bottom w:val="dotted" w:sz="4" w:space="0" w:color="auto"/>
              <w:right w:val="dotted" w:sz="4" w:space="0" w:color="auto"/>
            </w:tcBorders>
          </w:tcPr>
          <w:p w14:paraId="0B648A6E"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Workshop Materials Travel Luggage</w:t>
            </w:r>
          </w:p>
        </w:tc>
        <w:tc>
          <w:tcPr>
            <w:tcW w:w="1201" w:type="pct"/>
            <w:tcBorders>
              <w:top w:val="dotted" w:sz="4" w:space="0" w:color="auto"/>
              <w:left w:val="dotted" w:sz="4" w:space="0" w:color="auto"/>
              <w:bottom w:val="dotted" w:sz="4" w:space="0" w:color="auto"/>
              <w:right w:val="dotted" w:sz="4" w:space="0" w:color="auto"/>
            </w:tcBorders>
          </w:tcPr>
          <w:p w14:paraId="2B1F55B6"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Samsonite, Brightlite 74cm</w:t>
            </w:r>
          </w:p>
        </w:tc>
        <w:tc>
          <w:tcPr>
            <w:tcW w:w="1562" w:type="pct"/>
            <w:tcBorders>
              <w:top w:val="dotted" w:sz="4" w:space="0" w:color="auto"/>
              <w:left w:val="dotted" w:sz="4" w:space="0" w:color="auto"/>
              <w:bottom w:val="dotted" w:sz="4" w:space="0" w:color="auto"/>
            </w:tcBorders>
          </w:tcPr>
          <w:p w14:paraId="6C27DFFC" w14:textId="4AA6D779" w:rsidR="00D97F4D" w:rsidRPr="00D97F4D" w:rsidRDefault="00D97F4D" w:rsidP="00D97F4D">
            <w:pPr>
              <w:rPr>
                <w:rFonts w:asciiTheme="minorHAnsi" w:hAnsiTheme="minorHAnsi" w:cstheme="minorHAnsi"/>
                <w:sz w:val="22"/>
                <w:szCs w:val="22"/>
                <w:lang w:val="de-DE"/>
              </w:rPr>
            </w:pPr>
            <w:r w:rsidRPr="00D97F4D">
              <w:rPr>
                <w:rFonts w:asciiTheme="minorHAnsi" w:hAnsiTheme="minorHAnsi" w:cstheme="minorHAnsi"/>
                <w:sz w:val="22"/>
                <w:szCs w:val="22"/>
                <w:lang w:val="de-DE"/>
              </w:rPr>
              <w:t xml:space="preserve">Transfer to Te </w:t>
            </w:r>
            <w:r w:rsidR="00B50DD5">
              <w:rPr>
                <w:rFonts w:asciiTheme="minorHAnsi" w:hAnsiTheme="minorHAnsi" w:cstheme="minorHAnsi"/>
                <w:sz w:val="22"/>
                <w:szCs w:val="22"/>
                <w:lang w:val="de-DE"/>
              </w:rPr>
              <w:t>Kura Kaiwhakawā</w:t>
            </w:r>
          </w:p>
        </w:tc>
      </w:tr>
      <w:tr w:rsidR="00D97F4D" w:rsidRPr="00D97F4D" w14:paraId="79629AF2" w14:textId="77777777" w:rsidTr="003232DE">
        <w:tc>
          <w:tcPr>
            <w:tcW w:w="819" w:type="pct"/>
            <w:tcBorders>
              <w:top w:val="dotted" w:sz="4" w:space="0" w:color="auto"/>
              <w:bottom w:val="dotted" w:sz="4" w:space="0" w:color="auto"/>
              <w:right w:val="dotted" w:sz="4" w:space="0" w:color="auto"/>
            </w:tcBorders>
          </w:tcPr>
          <w:p w14:paraId="40B72E7F"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2/04/2014</w:t>
            </w:r>
          </w:p>
        </w:tc>
        <w:tc>
          <w:tcPr>
            <w:tcW w:w="1418" w:type="pct"/>
            <w:tcBorders>
              <w:top w:val="dotted" w:sz="4" w:space="0" w:color="auto"/>
              <w:left w:val="dotted" w:sz="4" w:space="0" w:color="auto"/>
              <w:bottom w:val="dotted" w:sz="4" w:space="0" w:color="auto"/>
              <w:right w:val="dotted" w:sz="4" w:space="0" w:color="auto"/>
            </w:tcBorders>
          </w:tcPr>
          <w:p w14:paraId="4E7F8EE9"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Mobile Phone</w:t>
            </w:r>
          </w:p>
        </w:tc>
        <w:tc>
          <w:tcPr>
            <w:tcW w:w="1201" w:type="pct"/>
            <w:tcBorders>
              <w:top w:val="dotted" w:sz="4" w:space="0" w:color="auto"/>
              <w:left w:val="dotted" w:sz="4" w:space="0" w:color="auto"/>
              <w:bottom w:val="dotted" w:sz="4" w:space="0" w:color="auto"/>
              <w:right w:val="dotted" w:sz="4" w:space="0" w:color="auto"/>
            </w:tcBorders>
          </w:tcPr>
          <w:p w14:paraId="0E9A5325"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Nokia NX-Nokia 101</w:t>
            </w:r>
          </w:p>
        </w:tc>
        <w:tc>
          <w:tcPr>
            <w:tcW w:w="1562" w:type="pct"/>
            <w:tcBorders>
              <w:top w:val="dotted" w:sz="4" w:space="0" w:color="auto"/>
              <w:left w:val="dotted" w:sz="4" w:space="0" w:color="auto"/>
              <w:bottom w:val="dotted" w:sz="4" w:space="0" w:color="auto"/>
            </w:tcBorders>
          </w:tcPr>
          <w:p w14:paraId="51746564"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Disposal by ACT Logistics</w:t>
            </w:r>
          </w:p>
        </w:tc>
      </w:tr>
      <w:tr w:rsidR="00D97F4D" w:rsidRPr="00D97F4D" w14:paraId="131E4B86" w14:textId="77777777" w:rsidTr="003232DE">
        <w:tc>
          <w:tcPr>
            <w:tcW w:w="819" w:type="pct"/>
            <w:tcBorders>
              <w:top w:val="dotted" w:sz="4" w:space="0" w:color="auto"/>
              <w:bottom w:val="dotted" w:sz="4" w:space="0" w:color="auto"/>
              <w:right w:val="dotted" w:sz="4" w:space="0" w:color="auto"/>
            </w:tcBorders>
          </w:tcPr>
          <w:p w14:paraId="56DF2C26"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25/10/2014</w:t>
            </w:r>
          </w:p>
        </w:tc>
        <w:tc>
          <w:tcPr>
            <w:tcW w:w="1418" w:type="pct"/>
            <w:tcBorders>
              <w:top w:val="dotted" w:sz="4" w:space="0" w:color="auto"/>
              <w:left w:val="dotted" w:sz="4" w:space="0" w:color="auto"/>
              <w:bottom w:val="dotted" w:sz="4" w:space="0" w:color="auto"/>
              <w:right w:val="dotted" w:sz="4" w:space="0" w:color="auto"/>
            </w:tcBorders>
          </w:tcPr>
          <w:p w14:paraId="4AAD9FEC"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Bicycle</w:t>
            </w:r>
          </w:p>
        </w:tc>
        <w:tc>
          <w:tcPr>
            <w:tcW w:w="1201" w:type="pct"/>
            <w:tcBorders>
              <w:top w:val="dotted" w:sz="4" w:space="0" w:color="auto"/>
              <w:left w:val="dotted" w:sz="4" w:space="0" w:color="auto"/>
              <w:bottom w:val="dotted" w:sz="4" w:space="0" w:color="auto"/>
              <w:right w:val="dotted" w:sz="4" w:space="0" w:color="auto"/>
            </w:tcBorders>
          </w:tcPr>
          <w:p w14:paraId="01DCECB7" w14:textId="77777777" w:rsidR="00D97F4D" w:rsidRPr="00D97F4D" w:rsidRDefault="00D97F4D" w:rsidP="00D97F4D">
            <w:pPr>
              <w:rPr>
                <w:rFonts w:asciiTheme="minorHAnsi" w:hAnsiTheme="minorHAnsi" w:cstheme="minorHAnsi"/>
                <w:sz w:val="22"/>
                <w:szCs w:val="22"/>
              </w:rPr>
            </w:pPr>
          </w:p>
        </w:tc>
        <w:tc>
          <w:tcPr>
            <w:tcW w:w="1562" w:type="pct"/>
            <w:tcBorders>
              <w:top w:val="dotted" w:sz="4" w:space="0" w:color="auto"/>
              <w:left w:val="dotted" w:sz="4" w:space="0" w:color="auto"/>
              <w:bottom w:val="dotted" w:sz="4" w:space="0" w:color="auto"/>
            </w:tcBorders>
          </w:tcPr>
          <w:p w14:paraId="1371E301"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Gifted to Tuvalu Judiciary, as agreed with MFAT at the end of PJDP</w:t>
            </w:r>
          </w:p>
        </w:tc>
      </w:tr>
      <w:tr w:rsidR="00D97F4D" w:rsidRPr="00D97F4D" w14:paraId="3B72680C" w14:textId="77777777" w:rsidTr="003232DE">
        <w:tc>
          <w:tcPr>
            <w:tcW w:w="819" w:type="pct"/>
            <w:tcBorders>
              <w:top w:val="dotted" w:sz="4" w:space="0" w:color="auto"/>
              <w:bottom w:val="dotted" w:sz="4" w:space="0" w:color="auto"/>
              <w:right w:val="dotted" w:sz="4" w:space="0" w:color="auto"/>
            </w:tcBorders>
          </w:tcPr>
          <w:p w14:paraId="0C4419F7"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2018</w:t>
            </w:r>
          </w:p>
        </w:tc>
        <w:tc>
          <w:tcPr>
            <w:tcW w:w="1418" w:type="pct"/>
            <w:tcBorders>
              <w:top w:val="dotted" w:sz="4" w:space="0" w:color="auto"/>
              <w:left w:val="dotted" w:sz="4" w:space="0" w:color="auto"/>
              <w:bottom w:val="dotted" w:sz="4" w:space="0" w:color="auto"/>
              <w:right w:val="dotted" w:sz="4" w:space="0" w:color="auto"/>
            </w:tcBorders>
          </w:tcPr>
          <w:p w14:paraId="2BA4DABE"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Data Projector and remote</w:t>
            </w:r>
          </w:p>
        </w:tc>
        <w:tc>
          <w:tcPr>
            <w:tcW w:w="1201" w:type="pct"/>
            <w:tcBorders>
              <w:top w:val="dotted" w:sz="4" w:space="0" w:color="auto"/>
              <w:left w:val="dotted" w:sz="4" w:space="0" w:color="auto"/>
              <w:bottom w:val="dotted" w:sz="4" w:space="0" w:color="auto"/>
              <w:right w:val="dotted" w:sz="4" w:space="0" w:color="auto"/>
            </w:tcBorders>
          </w:tcPr>
          <w:p w14:paraId="6E6885D6"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Epson, H839B</w:t>
            </w:r>
          </w:p>
        </w:tc>
        <w:tc>
          <w:tcPr>
            <w:tcW w:w="1562" w:type="pct"/>
            <w:tcBorders>
              <w:top w:val="dotted" w:sz="4" w:space="0" w:color="auto"/>
              <w:left w:val="dotted" w:sz="4" w:space="0" w:color="auto"/>
              <w:bottom w:val="dotted" w:sz="4" w:space="0" w:color="auto"/>
            </w:tcBorders>
          </w:tcPr>
          <w:p w14:paraId="3AE34247" w14:textId="413783FB" w:rsidR="00D97F4D" w:rsidRPr="00D97F4D" w:rsidRDefault="00D97F4D" w:rsidP="00D97F4D">
            <w:pPr>
              <w:rPr>
                <w:rFonts w:asciiTheme="minorHAnsi" w:hAnsiTheme="minorHAnsi" w:cstheme="minorHAnsi"/>
                <w:sz w:val="22"/>
                <w:szCs w:val="22"/>
                <w:lang w:val="de-DE"/>
              </w:rPr>
            </w:pPr>
            <w:r w:rsidRPr="00D97F4D">
              <w:rPr>
                <w:rFonts w:asciiTheme="minorHAnsi" w:hAnsiTheme="minorHAnsi" w:cstheme="minorHAnsi"/>
                <w:sz w:val="22"/>
                <w:szCs w:val="22"/>
                <w:lang w:val="de-DE"/>
              </w:rPr>
              <w:t xml:space="preserve">Transfer to Te </w:t>
            </w:r>
            <w:r w:rsidR="00B50DD5">
              <w:rPr>
                <w:rFonts w:asciiTheme="minorHAnsi" w:hAnsiTheme="minorHAnsi" w:cstheme="minorHAnsi"/>
                <w:sz w:val="22"/>
                <w:szCs w:val="22"/>
                <w:lang w:val="de-DE"/>
              </w:rPr>
              <w:t>Kura Kaiwhakawā</w:t>
            </w:r>
          </w:p>
        </w:tc>
      </w:tr>
      <w:tr w:rsidR="00D97F4D" w:rsidRPr="00D97F4D" w14:paraId="15355185" w14:textId="77777777" w:rsidTr="003232DE">
        <w:tc>
          <w:tcPr>
            <w:tcW w:w="819" w:type="pct"/>
            <w:tcBorders>
              <w:top w:val="dotted" w:sz="4" w:space="0" w:color="auto"/>
              <w:bottom w:val="dotted" w:sz="4" w:space="0" w:color="auto"/>
              <w:right w:val="dotted" w:sz="4" w:space="0" w:color="auto"/>
            </w:tcBorders>
          </w:tcPr>
          <w:p w14:paraId="2F0E6E6D"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2018</w:t>
            </w:r>
          </w:p>
        </w:tc>
        <w:tc>
          <w:tcPr>
            <w:tcW w:w="1418" w:type="pct"/>
            <w:tcBorders>
              <w:top w:val="dotted" w:sz="4" w:space="0" w:color="auto"/>
              <w:left w:val="dotted" w:sz="4" w:space="0" w:color="auto"/>
              <w:bottom w:val="dotted" w:sz="4" w:space="0" w:color="auto"/>
              <w:right w:val="dotted" w:sz="4" w:space="0" w:color="auto"/>
            </w:tcBorders>
          </w:tcPr>
          <w:p w14:paraId="57AF0BCF"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Universal Carry Bag (Data Projector)</w:t>
            </w:r>
          </w:p>
        </w:tc>
        <w:tc>
          <w:tcPr>
            <w:tcW w:w="1201" w:type="pct"/>
            <w:tcBorders>
              <w:top w:val="dotted" w:sz="4" w:space="0" w:color="auto"/>
              <w:left w:val="dotted" w:sz="4" w:space="0" w:color="auto"/>
              <w:bottom w:val="dotted" w:sz="4" w:space="0" w:color="auto"/>
              <w:right w:val="dotted" w:sz="4" w:space="0" w:color="auto"/>
            </w:tcBorders>
          </w:tcPr>
          <w:p w14:paraId="7164F796"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Mbeat</w:t>
            </w:r>
          </w:p>
        </w:tc>
        <w:tc>
          <w:tcPr>
            <w:tcW w:w="1562" w:type="pct"/>
            <w:tcBorders>
              <w:top w:val="dotted" w:sz="4" w:space="0" w:color="auto"/>
              <w:left w:val="dotted" w:sz="4" w:space="0" w:color="auto"/>
              <w:bottom w:val="dotted" w:sz="4" w:space="0" w:color="auto"/>
            </w:tcBorders>
          </w:tcPr>
          <w:p w14:paraId="497B2B34" w14:textId="664B9A02" w:rsidR="00D97F4D" w:rsidRPr="00D97F4D" w:rsidRDefault="00D97F4D" w:rsidP="00D97F4D">
            <w:pPr>
              <w:rPr>
                <w:rFonts w:asciiTheme="minorHAnsi" w:hAnsiTheme="minorHAnsi" w:cstheme="minorHAnsi"/>
                <w:sz w:val="22"/>
                <w:szCs w:val="22"/>
                <w:lang w:val="de-DE"/>
              </w:rPr>
            </w:pPr>
            <w:r w:rsidRPr="00D97F4D">
              <w:rPr>
                <w:rFonts w:asciiTheme="minorHAnsi" w:hAnsiTheme="minorHAnsi" w:cstheme="minorHAnsi"/>
                <w:sz w:val="22"/>
                <w:szCs w:val="22"/>
                <w:lang w:val="de-DE"/>
              </w:rPr>
              <w:t xml:space="preserve">Transfer to Te </w:t>
            </w:r>
            <w:r w:rsidR="00B50DD5">
              <w:rPr>
                <w:rFonts w:asciiTheme="minorHAnsi" w:hAnsiTheme="minorHAnsi" w:cstheme="minorHAnsi"/>
                <w:sz w:val="22"/>
                <w:szCs w:val="22"/>
                <w:lang w:val="de-DE"/>
              </w:rPr>
              <w:t>Kura Kaiwhakawā</w:t>
            </w:r>
          </w:p>
        </w:tc>
      </w:tr>
      <w:tr w:rsidR="00D97F4D" w:rsidRPr="00D97F4D" w14:paraId="2B0313EA" w14:textId="77777777" w:rsidTr="003232DE">
        <w:tc>
          <w:tcPr>
            <w:tcW w:w="819" w:type="pct"/>
            <w:tcBorders>
              <w:top w:val="dotted" w:sz="4" w:space="0" w:color="auto"/>
              <w:bottom w:val="dotted" w:sz="4" w:space="0" w:color="auto"/>
              <w:right w:val="dotted" w:sz="4" w:space="0" w:color="auto"/>
            </w:tcBorders>
          </w:tcPr>
          <w:p w14:paraId="398516CF"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31/05/2018</w:t>
            </w:r>
          </w:p>
        </w:tc>
        <w:tc>
          <w:tcPr>
            <w:tcW w:w="1418" w:type="pct"/>
            <w:tcBorders>
              <w:top w:val="dotted" w:sz="4" w:space="0" w:color="auto"/>
              <w:left w:val="dotted" w:sz="4" w:space="0" w:color="auto"/>
              <w:bottom w:val="dotted" w:sz="4" w:space="0" w:color="auto"/>
              <w:right w:val="dotted" w:sz="4" w:space="0" w:color="auto"/>
            </w:tcBorders>
          </w:tcPr>
          <w:p w14:paraId="41C8E595"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Laser Pointer</w:t>
            </w:r>
          </w:p>
        </w:tc>
        <w:tc>
          <w:tcPr>
            <w:tcW w:w="1201" w:type="pct"/>
            <w:tcBorders>
              <w:top w:val="dotted" w:sz="4" w:space="0" w:color="auto"/>
              <w:left w:val="dotted" w:sz="4" w:space="0" w:color="auto"/>
              <w:bottom w:val="dotted" w:sz="4" w:space="0" w:color="auto"/>
              <w:right w:val="dotted" w:sz="4" w:space="0" w:color="auto"/>
            </w:tcBorders>
          </w:tcPr>
          <w:p w14:paraId="531C4B90"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Logitech</w:t>
            </w:r>
          </w:p>
        </w:tc>
        <w:tc>
          <w:tcPr>
            <w:tcW w:w="1562" w:type="pct"/>
            <w:tcBorders>
              <w:top w:val="dotted" w:sz="4" w:space="0" w:color="auto"/>
              <w:left w:val="dotted" w:sz="4" w:space="0" w:color="auto"/>
              <w:bottom w:val="dotted" w:sz="4" w:space="0" w:color="auto"/>
            </w:tcBorders>
          </w:tcPr>
          <w:p w14:paraId="7F8BA342" w14:textId="6B19BEA8" w:rsidR="00D97F4D" w:rsidRPr="00D97F4D" w:rsidRDefault="00D97F4D" w:rsidP="00D97F4D">
            <w:pPr>
              <w:rPr>
                <w:rFonts w:asciiTheme="minorHAnsi" w:hAnsiTheme="minorHAnsi" w:cstheme="minorHAnsi"/>
                <w:sz w:val="22"/>
                <w:szCs w:val="22"/>
                <w:lang w:val="de-DE"/>
              </w:rPr>
            </w:pPr>
            <w:r w:rsidRPr="00D97F4D">
              <w:rPr>
                <w:rFonts w:asciiTheme="minorHAnsi" w:hAnsiTheme="minorHAnsi" w:cstheme="minorHAnsi"/>
                <w:sz w:val="22"/>
                <w:szCs w:val="22"/>
                <w:lang w:val="de-DE"/>
              </w:rPr>
              <w:t xml:space="preserve">Transfer to Te </w:t>
            </w:r>
            <w:r w:rsidR="00B50DD5">
              <w:rPr>
                <w:rFonts w:asciiTheme="minorHAnsi" w:hAnsiTheme="minorHAnsi" w:cstheme="minorHAnsi"/>
                <w:sz w:val="22"/>
                <w:szCs w:val="22"/>
                <w:lang w:val="de-DE"/>
              </w:rPr>
              <w:t>Kura Kaiwhakawā</w:t>
            </w:r>
          </w:p>
        </w:tc>
      </w:tr>
      <w:tr w:rsidR="00D97F4D" w:rsidRPr="00D97F4D" w14:paraId="3CF83B68" w14:textId="77777777" w:rsidTr="003232DE">
        <w:tc>
          <w:tcPr>
            <w:tcW w:w="819" w:type="pct"/>
            <w:tcBorders>
              <w:top w:val="dotted" w:sz="4" w:space="0" w:color="auto"/>
              <w:bottom w:val="dotted" w:sz="4" w:space="0" w:color="auto"/>
              <w:right w:val="dotted" w:sz="4" w:space="0" w:color="auto"/>
            </w:tcBorders>
          </w:tcPr>
          <w:p w14:paraId="301FB214"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30/07/2020</w:t>
            </w:r>
          </w:p>
        </w:tc>
        <w:tc>
          <w:tcPr>
            <w:tcW w:w="1418" w:type="pct"/>
            <w:tcBorders>
              <w:top w:val="dotted" w:sz="4" w:space="0" w:color="auto"/>
              <w:left w:val="dotted" w:sz="4" w:space="0" w:color="auto"/>
              <w:bottom w:val="dotted" w:sz="4" w:space="0" w:color="auto"/>
              <w:right w:val="dotted" w:sz="4" w:space="0" w:color="auto"/>
            </w:tcBorders>
          </w:tcPr>
          <w:p w14:paraId="4AFF7A56"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HD Webcam</w:t>
            </w:r>
          </w:p>
        </w:tc>
        <w:tc>
          <w:tcPr>
            <w:tcW w:w="1201" w:type="pct"/>
            <w:tcBorders>
              <w:top w:val="dotted" w:sz="4" w:space="0" w:color="auto"/>
              <w:left w:val="dotted" w:sz="4" w:space="0" w:color="auto"/>
              <w:bottom w:val="dotted" w:sz="4" w:space="0" w:color="auto"/>
              <w:right w:val="dotted" w:sz="4" w:space="0" w:color="auto"/>
            </w:tcBorders>
          </w:tcPr>
          <w:p w14:paraId="4605239D"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Logitech, C270</w:t>
            </w:r>
          </w:p>
        </w:tc>
        <w:tc>
          <w:tcPr>
            <w:tcW w:w="1562" w:type="pct"/>
            <w:tcBorders>
              <w:top w:val="dotted" w:sz="4" w:space="0" w:color="auto"/>
              <w:left w:val="dotted" w:sz="4" w:space="0" w:color="auto"/>
              <w:bottom w:val="dotted" w:sz="4" w:space="0" w:color="auto"/>
            </w:tcBorders>
          </w:tcPr>
          <w:p w14:paraId="4E3406DD" w14:textId="78E5872B" w:rsidR="00D97F4D" w:rsidRPr="00D97F4D" w:rsidRDefault="00D97F4D" w:rsidP="00D97F4D">
            <w:pPr>
              <w:rPr>
                <w:rFonts w:asciiTheme="minorHAnsi" w:hAnsiTheme="minorHAnsi" w:cstheme="minorHAnsi"/>
                <w:sz w:val="22"/>
                <w:szCs w:val="22"/>
                <w:lang w:val="de-DE"/>
              </w:rPr>
            </w:pPr>
            <w:r w:rsidRPr="00D97F4D">
              <w:rPr>
                <w:rFonts w:asciiTheme="minorHAnsi" w:hAnsiTheme="minorHAnsi" w:cstheme="minorHAnsi"/>
                <w:sz w:val="22"/>
                <w:szCs w:val="22"/>
                <w:lang w:val="de-DE"/>
              </w:rPr>
              <w:t xml:space="preserve">Transfer to Te </w:t>
            </w:r>
            <w:r w:rsidR="00B50DD5">
              <w:rPr>
                <w:rFonts w:asciiTheme="minorHAnsi" w:hAnsiTheme="minorHAnsi" w:cstheme="minorHAnsi"/>
                <w:sz w:val="22"/>
                <w:szCs w:val="22"/>
                <w:lang w:val="de-DE"/>
              </w:rPr>
              <w:t>Kura Kaiwhakawā</w:t>
            </w:r>
            <w:r w:rsidRPr="00D97F4D">
              <w:rPr>
                <w:rFonts w:asciiTheme="minorHAnsi" w:hAnsiTheme="minorHAnsi" w:cstheme="minorHAnsi"/>
                <w:sz w:val="22"/>
                <w:szCs w:val="22"/>
                <w:lang w:val="de-DE"/>
              </w:rPr>
              <w:t xml:space="preserve"> </w:t>
            </w:r>
          </w:p>
        </w:tc>
      </w:tr>
      <w:tr w:rsidR="00D97F4D" w:rsidRPr="00D97F4D" w14:paraId="6648FA22" w14:textId="77777777" w:rsidTr="003232DE">
        <w:tc>
          <w:tcPr>
            <w:tcW w:w="819" w:type="pct"/>
            <w:tcBorders>
              <w:top w:val="dotted" w:sz="4" w:space="0" w:color="auto"/>
              <w:right w:val="dotted" w:sz="4" w:space="0" w:color="auto"/>
            </w:tcBorders>
          </w:tcPr>
          <w:p w14:paraId="1A0BC692"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17/07/2020</w:t>
            </w:r>
          </w:p>
        </w:tc>
        <w:tc>
          <w:tcPr>
            <w:tcW w:w="1418" w:type="pct"/>
            <w:tcBorders>
              <w:top w:val="dotted" w:sz="4" w:space="0" w:color="auto"/>
              <w:left w:val="dotted" w:sz="4" w:space="0" w:color="auto"/>
              <w:right w:val="dotted" w:sz="4" w:space="0" w:color="auto"/>
            </w:tcBorders>
          </w:tcPr>
          <w:p w14:paraId="50CD94F2"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2 TB Hard Drive</w:t>
            </w:r>
          </w:p>
        </w:tc>
        <w:tc>
          <w:tcPr>
            <w:tcW w:w="1201" w:type="pct"/>
            <w:tcBorders>
              <w:top w:val="dotted" w:sz="4" w:space="0" w:color="auto"/>
              <w:left w:val="dotted" w:sz="4" w:space="0" w:color="auto"/>
              <w:right w:val="dotted" w:sz="4" w:space="0" w:color="auto"/>
            </w:tcBorders>
          </w:tcPr>
          <w:p w14:paraId="79D7F3CF" w14:textId="77777777"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Toshiba</w:t>
            </w:r>
          </w:p>
        </w:tc>
        <w:tc>
          <w:tcPr>
            <w:tcW w:w="1562" w:type="pct"/>
            <w:tcBorders>
              <w:top w:val="dotted" w:sz="4" w:space="0" w:color="auto"/>
              <w:left w:val="dotted" w:sz="4" w:space="0" w:color="auto"/>
            </w:tcBorders>
          </w:tcPr>
          <w:p w14:paraId="6CB13B9D" w14:textId="6B5DB992" w:rsidR="00D97F4D" w:rsidRPr="00D97F4D" w:rsidRDefault="00D97F4D" w:rsidP="00D97F4D">
            <w:pPr>
              <w:rPr>
                <w:rFonts w:asciiTheme="minorHAnsi" w:hAnsiTheme="minorHAnsi" w:cstheme="minorHAnsi"/>
                <w:sz w:val="22"/>
                <w:szCs w:val="22"/>
              </w:rPr>
            </w:pPr>
            <w:r w:rsidRPr="00D97F4D">
              <w:rPr>
                <w:rFonts w:asciiTheme="minorHAnsi" w:hAnsiTheme="minorHAnsi" w:cstheme="minorHAnsi"/>
                <w:sz w:val="22"/>
                <w:szCs w:val="22"/>
              </w:rPr>
              <w:t xml:space="preserve">Transfer to Te </w:t>
            </w:r>
            <w:r w:rsidR="00B50DD5">
              <w:rPr>
                <w:rFonts w:asciiTheme="minorHAnsi" w:hAnsiTheme="minorHAnsi" w:cstheme="minorHAnsi"/>
                <w:sz w:val="22"/>
                <w:szCs w:val="22"/>
              </w:rPr>
              <w:t>Kura Kaiwhakawā</w:t>
            </w:r>
            <w:r w:rsidRPr="00D97F4D">
              <w:rPr>
                <w:rFonts w:asciiTheme="minorHAnsi" w:hAnsiTheme="minorHAnsi" w:cstheme="minorHAnsi"/>
                <w:sz w:val="22"/>
                <w:szCs w:val="22"/>
              </w:rPr>
              <w:t xml:space="preserve"> with PJSI files</w:t>
            </w:r>
          </w:p>
        </w:tc>
      </w:tr>
    </w:tbl>
    <w:p w14:paraId="5760AA10" w14:textId="305DBC96" w:rsidR="008A56B6" w:rsidRDefault="008A56B6" w:rsidP="008A56B6">
      <w:pPr>
        <w:rPr>
          <w:lang w:val="en-AU"/>
        </w:rPr>
      </w:pPr>
    </w:p>
    <w:p w14:paraId="4FE200D7" w14:textId="4650F41A" w:rsidR="001012E7" w:rsidRDefault="001012E7" w:rsidP="00E47089">
      <w:pPr>
        <w:rPr>
          <w:lang w:val="en-AU"/>
        </w:rPr>
      </w:pPr>
    </w:p>
    <w:p w14:paraId="12713EBC" w14:textId="77777777" w:rsidR="001012E7" w:rsidRDefault="001012E7">
      <w:pPr>
        <w:rPr>
          <w:lang w:val="en-AU"/>
        </w:rPr>
        <w:sectPr w:rsidR="001012E7" w:rsidSect="00D97F4D">
          <w:headerReference w:type="first" r:id="rId251"/>
          <w:footerReference w:type="first" r:id="rId252"/>
          <w:pgSz w:w="16838" w:h="11906" w:orient="landscape" w:code="9"/>
          <w:pgMar w:top="1361" w:right="1559" w:bottom="1361" w:left="1418" w:header="397" w:footer="249" w:gutter="0"/>
          <w:cols w:space="708"/>
          <w:titlePg/>
          <w:docGrid w:linePitch="360"/>
        </w:sectPr>
      </w:pPr>
      <w:r>
        <w:rPr>
          <w:lang w:val="en-AU"/>
        </w:rPr>
        <w:br w:type="page"/>
      </w:r>
    </w:p>
    <w:p w14:paraId="760B28AA" w14:textId="77777777" w:rsidR="001012E7" w:rsidRDefault="001012E7" w:rsidP="001012E7">
      <w:pPr>
        <w:pStyle w:val="HBHeading1"/>
        <w:spacing w:before="0"/>
        <w:rPr>
          <w:color w:val="004B5C" w:themeColor="accent1" w:themeShade="BF"/>
          <w:lang w:val="en-AU"/>
        </w:rPr>
      </w:pPr>
      <w:bookmarkStart w:id="135" w:name="_Toc90564325"/>
      <w:bookmarkStart w:id="136" w:name="_Toc89960606"/>
      <w:bookmarkStart w:id="137" w:name="_Toc89960605"/>
      <w:r>
        <w:rPr>
          <w:color w:val="004B5C" w:themeColor="accent1" w:themeShade="BF"/>
          <w:lang w:val="en-AU"/>
        </w:rPr>
        <w:lastRenderedPageBreak/>
        <w:t>Annex Twelve: Asset Disposal Report</w:t>
      </w:r>
      <w:bookmarkEnd w:id="135"/>
      <w:r>
        <w:rPr>
          <w:color w:val="004B5C" w:themeColor="accent1" w:themeShade="BF"/>
          <w:lang w:val="en-AU"/>
        </w:rPr>
        <w:t xml:space="preserve"> </w:t>
      </w:r>
    </w:p>
    <w:bookmarkEnd w:id="136"/>
    <w:p w14:paraId="254AFB42" w14:textId="77777777" w:rsidR="001012E7" w:rsidRDefault="001012E7">
      <w:pPr>
        <w:rPr>
          <w:rFonts w:cstheme="minorHAnsi"/>
        </w:rPr>
      </w:pPr>
      <w:r>
        <w:rPr>
          <w:rFonts w:cstheme="minorHAnsi"/>
        </w:rPr>
        <w:br w:type="page"/>
      </w:r>
    </w:p>
    <w:p w14:paraId="4505F077" w14:textId="77777777" w:rsidR="001012E7" w:rsidRPr="00E93014" w:rsidRDefault="001012E7" w:rsidP="001012E7">
      <w:pPr>
        <w:rPr>
          <w:rFonts w:cstheme="minorHAnsi"/>
        </w:rPr>
      </w:pPr>
    </w:p>
    <w:p w14:paraId="206F62BE" w14:textId="04DB665B" w:rsidR="001012E7" w:rsidRDefault="001012E7" w:rsidP="001012E7">
      <w:pPr>
        <w:pStyle w:val="HBHeading1"/>
        <w:spacing w:before="0"/>
        <w:rPr>
          <w:color w:val="004B5C" w:themeColor="accent1" w:themeShade="BF"/>
          <w:lang w:val="en-AU"/>
        </w:rPr>
      </w:pPr>
      <w:bookmarkStart w:id="138" w:name="_Toc90564326"/>
      <w:r>
        <w:rPr>
          <w:color w:val="004B5C" w:themeColor="accent1" w:themeShade="BF"/>
          <w:lang w:val="en-AU"/>
        </w:rPr>
        <w:t>Annex Thirteen: Activity Progress Update June</w:t>
      </w:r>
      <w:r w:rsidR="001560C9">
        <w:rPr>
          <w:color w:val="004B5C" w:themeColor="accent1" w:themeShade="BF"/>
          <w:lang w:val="en-AU"/>
        </w:rPr>
        <w:t>-</w:t>
      </w:r>
      <w:r>
        <w:rPr>
          <w:color w:val="004B5C" w:themeColor="accent1" w:themeShade="BF"/>
          <w:lang w:val="en-AU"/>
        </w:rPr>
        <w:t>December 2021</w:t>
      </w:r>
      <w:bookmarkEnd w:id="138"/>
      <w:r>
        <w:rPr>
          <w:color w:val="004B5C" w:themeColor="accent1" w:themeShade="BF"/>
          <w:lang w:val="en-AU"/>
        </w:rPr>
        <w:t xml:space="preserve"> </w:t>
      </w:r>
    </w:p>
    <w:bookmarkEnd w:id="137"/>
    <w:p w14:paraId="48B1E08A" w14:textId="29C88953" w:rsidR="00B81DE9" w:rsidRPr="001A09D1" w:rsidRDefault="00B81DE9" w:rsidP="000340B0">
      <w:pPr>
        <w:pStyle w:val="NORMALHEADING"/>
        <w:spacing w:before="0" w:beforeAutospacing="0" w:after="0" w:afterAutospacing="0"/>
        <w:contextualSpacing/>
        <w:jc w:val="left"/>
        <w:rPr>
          <w:rFonts w:asciiTheme="minorHAnsi" w:hAnsiTheme="minorHAnsi" w:cstheme="minorHAnsi"/>
          <w:b w:val="0"/>
          <w:sz w:val="21"/>
          <w:szCs w:val="21"/>
        </w:rPr>
      </w:pPr>
      <w:r w:rsidRPr="001A09D1">
        <w:rPr>
          <w:rFonts w:asciiTheme="minorHAnsi" w:hAnsiTheme="minorHAnsi" w:cstheme="minorHAnsi"/>
          <w:b w:val="0"/>
          <w:sz w:val="21"/>
          <w:szCs w:val="21"/>
        </w:rPr>
        <w:t xml:space="preserve">During </w:t>
      </w:r>
      <w:r w:rsidR="00417B27" w:rsidRPr="001A09D1">
        <w:rPr>
          <w:rFonts w:asciiTheme="minorHAnsi" w:hAnsiTheme="minorHAnsi" w:cstheme="minorHAnsi"/>
          <w:b w:val="0"/>
          <w:sz w:val="21"/>
          <w:szCs w:val="21"/>
        </w:rPr>
        <w:t>the no-cost extension from June-</w:t>
      </w:r>
      <w:r w:rsidRPr="001A09D1">
        <w:rPr>
          <w:rFonts w:asciiTheme="minorHAnsi" w:hAnsiTheme="minorHAnsi" w:cstheme="minorHAnsi"/>
          <w:b w:val="0"/>
          <w:sz w:val="21"/>
          <w:szCs w:val="21"/>
        </w:rPr>
        <w:t>December, 2021, PJSI delivered 36 activities to 437 participants (39% female).</w:t>
      </w:r>
      <w:r w:rsidRPr="001A09D1">
        <w:rPr>
          <w:rStyle w:val="FootnoteReference"/>
          <w:rFonts w:asciiTheme="minorHAnsi" w:hAnsiTheme="minorHAnsi" w:cstheme="minorHAnsi"/>
          <w:b w:val="0"/>
          <w:sz w:val="21"/>
          <w:szCs w:val="21"/>
        </w:rPr>
        <w:footnoteReference w:id="24"/>
      </w:r>
      <w:r w:rsidRPr="001A09D1">
        <w:rPr>
          <w:rFonts w:asciiTheme="minorHAnsi" w:hAnsiTheme="minorHAnsi" w:cstheme="minorHAnsi"/>
          <w:b w:val="0"/>
          <w:sz w:val="21"/>
          <w:szCs w:val="21"/>
        </w:rPr>
        <w:t xml:space="preserve"> Please see below a summary of the activities delivered during this period. </w:t>
      </w:r>
    </w:p>
    <w:p w14:paraId="485F1888" w14:textId="77777777" w:rsidR="00B81DE9" w:rsidRPr="001A09D1" w:rsidRDefault="00B81DE9" w:rsidP="000340B0">
      <w:pPr>
        <w:pStyle w:val="NORMALHEADING"/>
        <w:spacing w:before="0" w:beforeAutospacing="0" w:after="0" w:afterAutospacing="0"/>
        <w:ind w:left="720" w:hanging="720"/>
        <w:contextualSpacing/>
        <w:jc w:val="left"/>
        <w:rPr>
          <w:rFonts w:asciiTheme="minorHAnsi" w:hAnsiTheme="minorHAnsi" w:cstheme="minorHAnsi"/>
          <w:b w:val="0"/>
          <w:sz w:val="21"/>
          <w:szCs w:val="21"/>
        </w:rPr>
      </w:pPr>
    </w:p>
    <w:p w14:paraId="6517D3A0" w14:textId="1917FF82"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i/>
          <w:sz w:val="21"/>
          <w:szCs w:val="21"/>
        </w:rPr>
      </w:pPr>
      <w:r w:rsidRPr="001A09D1">
        <w:rPr>
          <w:rFonts w:asciiTheme="minorHAnsi" w:hAnsiTheme="minorHAnsi" w:cstheme="minorHAnsi"/>
          <w:i/>
          <w:sz w:val="21"/>
          <w:szCs w:val="21"/>
        </w:rPr>
        <w:t>Leadership</w:t>
      </w:r>
    </w:p>
    <w:p w14:paraId="6C6DFA00" w14:textId="77777777" w:rsidR="001012E7" w:rsidRPr="001A09D1" w:rsidRDefault="001012E7" w:rsidP="000340B0">
      <w:pPr>
        <w:pStyle w:val="NORMALHEADING"/>
        <w:contextualSpacing/>
        <w:jc w:val="left"/>
        <w:rPr>
          <w:rFonts w:asciiTheme="minorHAnsi" w:hAnsiTheme="minorHAnsi" w:cstheme="minorHAnsi"/>
          <w:sz w:val="21"/>
          <w:szCs w:val="21"/>
        </w:rPr>
      </w:pPr>
      <w:r w:rsidRPr="001A09D1">
        <w:rPr>
          <w:rFonts w:asciiTheme="minorHAnsi" w:hAnsiTheme="minorHAnsi" w:cstheme="minorHAnsi"/>
          <w:sz w:val="21"/>
          <w:szCs w:val="21"/>
        </w:rPr>
        <w:t>2021</w:t>
      </w:r>
      <w:r w:rsidRPr="001A09D1">
        <w:rPr>
          <w:rFonts w:asciiTheme="minorHAnsi" w:hAnsiTheme="minorHAnsi" w:cstheme="minorHAnsi"/>
          <w:sz w:val="21"/>
          <w:szCs w:val="21"/>
        </w:rPr>
        <w:tab/>
        <w:t>8th Chief Justices’ Leadership Forum, 3 November, Remote</w:t>
      </w:r>
      <w:r w:rsidRPr="001A09D1">
        <w:rPr>
          <w:rFonts w:asciiTheme="minorHAnsi" w:hAnsiTheme="minorHAnsi" w:cstheme="minorHAnsi"/>
          <w:sz w:val="21"/>
          <w:szCs w:val="21"/>
        </w:rPr>
        <w:tab/>
      </w:r>
    </w:p>
    <w:p w14:paraId="62234A25" w14:textId="3AB0BD62" w:rsidR="0087233D" w:rsidRPr="001A09D1" w:rsidRDefault="00076D46" w:rsidP="000340B0">
      <w:pPr>
        <w:pStyle w:val="NORMALHEADING"/>
        <w:contextualSpacing/>
        <w:jc w:val="left"/>
        <w:rPr>
          <w:rFonts w:asciiTheme="minorHAnsi" w:hAnsiTheme="minorHAnsi" w:cstheme="minorHAnsi"/>
          <w:b w:val="0"/>
          <w:sz w:val="21"/>
          <w:szCs w:val="21"/>
        </w:rPr>
      </w:pPr>
      <w:r w:rsidRPr="001A09D1">
        <w:rPr>
          <w:rFonts w:asciiTheme="minorHAnsi" w:hAnsiTheme="minorHAnsi" w:cstheme="minorHAnsi"/>
          <w:b w:val="0"/>
          <w:sz w:val="21"/>
          <w:szCs w:val="21"/>
        </w:rPr>
        <w:t>Thirteen</w:t>
      </w:r>
      <w:r w:rsidR="0087233D" w:rsidRPr="001A09D1">
        <w:rPr>
          <w:rFonts w:asciiTheme="minorHAnsi" w:hAnsiTheme="minorHAnsi" w:cstheme="minorHAnsi"/>
          <w:b w:val="0"/>
          <w:sz w:val="21"/>
          <w:szCs w:val="21"/>
        </w:rPr>
        <w:t xml:space="preserve"> Chief Justices and </w:t>
      </w:r>
      <w:r w:rsidRPr="001A09D1">
        <w:rPr>
          <w:rFonts w:asciiTheme="minorHAnsi" w:hAnsiTheme="minorHAnsi" w:cstheme="minorHAnsi"/>
          <w:b w:val="0"/>
          <w:sz w:val="21"/>
          <w:szCs w:val="21"/>
        </w:rPr>
        <w:t>one Chief Justice Representative</w:t>
      </w:r>
      <w:r w:rsidR="0087233D" w:rsidRPr="001A09D1">
        <w:rPr>
          <w:rFonts w:asciiTheme="minorHAnsi" w:hAnsiTheme="minorHAnsi" w:cstheme="minorHAnsi"/>
          <w:b w:val="0"/>
          <w:sz w:val="21"/>
          <w:szCs w:val="21"/>
        </w:rPr>
        <w:t xml:space="preserve"> </w:t>
      </w:r>
      <w:r w:rsidR="00B81DE9" w:rsidRPr="001A09D1">
        <w:rPr>
          <w:rFonts w:asciiTheme="minorHAnsi" w:hAnsiTheme="minorHAnsi" w:cstheme="minorHAnsi"/>
          <w:b w:val="0"/>
          <w:sz w:val="21"/>
          <w:szCs w:val="21"/>
        </w:rPr>
        <w:t xml:space="preserve">remotely </w:t>
      </w:r>
      <w:r w:rsidR="0087233D" w:rsidRPr="001A09D1">
        <w:rPr>
          <w:rFonts w:asciiTheme="minorHAnsi" w:hAnsiTheme="minorHAnsi" w:cstheme="minorHAnsi"/>
          <w:b w:val="0"/>
          <w:sz w:val="21"/>
          <w:szCs w:val="21"/>
        </w:rPr>
        <w:t>attended the 8</w:t>
      </w:r>
      <w:r w:rsidR="0087233D" w:rsidRPr="001A09D1">
        <w:rPr>
          <w:rFonts w:asciiTheme="minorHAnsi" w:hAnsiTheme="minorHAnsi" w:cstheme="minorHAnsi"/>
          <w:b w:val="0"/>
          <w:sz w:val="21"/>
          <w:szCs w:val="21"/>
          <w:vertAlign w:val="superscript"/>
        </w:rPr>
        <w:t>th</w:t>
      </w:r>
      <w:r w:rsidR="0087233D" w:rsidRPr="001A09D1">
        <w:rPr>
          <w:rFonts w:asciiTheme="minorHAnsi" w:hAnsiTheme="minorHAnsi" w:cstheme="minorHAnsi"/>
          <w:b w:val="0"/>
          <w:sz w:val="21"/>
          <w:szCs w:val="21"/>
        </w:rPr>
        <w:t xml:space="preserve"> Chief Justices’ Leadership Forum. The Forum served as the official farewell </w:t>
      </w:r>
      <w:r w:rsidRPr="001A09D1">
        <w:rPr>
          <w:rFonts w:asciiTheme="minorHAnsi" w:hAnsiTheme="minorHAnsi" w:cstheme="minorHAnsi"/>
          <w:b w:val="0"/>
          <w:sz w:val="21"/>
          <w:szCs w:val="21"/>
        </w:rPr>
        <w:t xml:space="preserve">of the PJSI </w:t>
      </w:r>
      <w:r w:rsidR="0087233D" w:rsidRPr="001A09D1">
        <w:rPr>
          <w:rFonts w:asciiTheme="minorHAnsi" w:hAnsiTheme="minorHAnsi" w:cstheme="minorHAnsi"/>
          <w:b w:val="0"/>
          <w:sz w:val="21"/>
          <w:szCs w:val="21"/>
        </w:rPr>
        <w:t xml:space="preserve">and </w:t>
      </w:r>
      <w:r w:rsidRPr="001A09D1">
        <w:rPr>
          <w:rFonts w:asciiTheme="minorHAnsi" w:hAnsiTheme="minorHAnsi" w:cstheme="minorHAnsi"/>
          <w:b w:val="0"/>
          <w:sz w:val="21"/>
          <w:szCs w:val="21"/>
        </w:rPr>
        <w:t xml:space="preserve">the </w:t>
      </w:r>
      <w:r w:rsidR="0087233D" w:rsidRPr="001A09D1">
        <w:rPr>
          <w:rFonts w:asciiTheme="minorHAnsi" w:hAnsiTheme="minorHAnsi" w:cstheme="minorHAnsi"/>
          <w:b w:val="0"/>
          <w:sz w:val="21"/>
          <w:szCs w:val="21"/>
        </w:rPr>
        <w:t xml:space="preserve">transfer of the </w:t>
      </w:r>
      <w:r w:rsidRPr="001A09D1">
        <w:rPr>
          <w:rFonts w:asciiTheme="minorHAnsi" w:hAnsiTheme="minorHAnsi" w:cstheme="minorHAnsi"/>
          <w:b w:val="0"/>
          <w:sz w:val="21"/>
          <w:szCs w:val="21"/>
        </w:rPr>
        <w:t>future program to</w:t>
      </w:r>
      <w:r w:rsidR="0087233D" w:rsidRPr="001A09D1">
        <w:rPr>
          <w:rFonts w:asciiTheme="minorHAnsi" w:hAnsiTheme="minorHAnsi" w:cstheme="minorHAnsi"/>
          <w:b w:val="0"/>
          <w:sz w:val="21"/>
          <w:szCs w:val="21"/>
        </w:rPr>
        <w:t xml:space="preserve"> </w:t>
      </w:r>
      <w:r w:rsidR="001A46A4" w:rsidRPr="001A09D1">
        <w:rPr>
          <w:rFonts w:asciiTheme="minorHAnsi" w:hAnsiTheme="minorHAnsi" w:cstheme="minorHAnsi"/>
          <w:b w:val="0"/>
          <w:sz w:val="21"/>
          <w:szCs w:val="21"/>
        </w:rPr>
        <w:t>Te Kura Kaiwhakawā</w:t>
      </w:r>
      <w:r w:rsidR="0087233D" w:rsidRPr="001A09D1">
        <w:rPr>
          <w:rFonts w:asciiTheme="minorHAnsi" w:hAnsiTheme="minorHAnsi" w:cstheme="minorHAnsi"/>
          <w:b w:val="0"/>
          <w:sz w:val="21"/>
          <w:szCs w:val="21"/>
        </w:rPr>
        <w:t xml:space="preserve">. </w:t>
      </w:r>
    </w:p>
    <w:p w14:paraId="3CDB3EB7" w14:textId="77777777" w:rsidR="0087233D" w:rsidRPr="001A09D1" w:rsidRDefault="0087233D" w:rsidP="000340B0">
      <w:pPr>
        <w:pStyle w:val="NORMALHEADING"/>
        <w:contextualSpacing/>
        <w:jc w:val="left"/>
        <w:rPr>
          <w:rFonts w:asciiTheme="minorHAnsi" w:hAnsiTheme="minorHAnsi" w:cstheme="minorHAnsi"/>
          <w:b w:val="0"/>
          <w:sz w:val="21"/>
          <w:szCs w:val="21"/>
        </w:rPr>
      </w:pPr>
    </w:p>
    <w:p w14:paraId="729D1B26" w14:textId="625E3A11" w:rsidR="001012E7" w:rsidRPr="001A09D1" w:rsidRDefault="001012E7" w:rsidP="000340B0">
      <w:pPr>
        <w:pStyle w:val="NORMALHEADING"/>
        <w:spacing w:before="0" w:beforeAutospacing="0" w:after="0" w:afterAutospacing="0"/>
        <w:contextualSpacing/>
        <w:jc w:val="left"/>
        <w:rPr>
          <w:rFonts w:asciiTheme="minorHAnsi" w:hAnsiTheme="minorHAnsi" w:cstheme="minorHAnsi"/>
          <w:sz w:val="21"/>
          <w:szCs w:val="21"/>
        </w:rPr>
      </w:pPr>
      <w:r w:rsidRPr="001A09D1">
        <w:rPr>
          <w:rFonts w:asciiTheme="minorHAnsi" w:hAnsiTheme="minorHAnsi" w:cstheme="minorHAnsi"/>
          <w:sz w:val="21"/>
          <w:szCs w:val="21"/>
        </w:rPr>
        <w:t>2021</w:t>
      </w:r>
      <w:r w:rsidRPr="001A09D1">
        <w:rPr>
          <w:rFonts w:asciiTheme="minorHAnsi" w:hAnsiTheme="minorHAnsi" w:cstheme="minorHAnsi"/>
          <w:sz w:val="21"/>
          <w:szCs w:val="21"/>
        </w:rPr>
        <w:tab/>
        <w:t>11th Initiative Executive Committee Meeting, 4 Nov</w:t>
      </w:r>
      <w:r w:rsidR="00076D46" w:rsidRPr="001A09D1">
        <w:rPr>
          <w:rFonts w:asciiTheme="minorHAnsi" w:hAnsiTheme="minorHAnsi" w:cstheme="minorHAnsi"/>
          <w:sz w:val="21"/>
          <w:szCs w:val="21"/>
        </w:rPr>
        <w:t>ember</w:t>
      </w:r>
      <w:r w:rsidRPr="001A09D1">
        <w:rPr>
          <w:rFonts w:asciiTheme="minorHAnsi" w:hAnsiTheme="minorHAnsi" w:cstheme="minorHAnsi"/>
          <w:sz w:val="21"/>
          <w:szCs w:val="21"/>
        </w:rPr>
        <w:t>, Remote</w:t>
      </w:r>
      <w:r w:rsidRPr="001A09D1">
        <w:rPr>
          <w:rFonts w:asciiTheme="minorHAnsi" w:hAnsiTheme="minorHAnsi" w:cstheme="minorHAnsi"/>
          <w:sz w:val="21"/>
          <w:szCs w:val="21"/>
        </w:rPr>
        <w:tab/>
      </w:r>
    </w:p>
    <w:p w14:paraId="027E5CF1" w14:textId="64F81FE6" w:rsidR="0087233D" w:rsidRPr="001A09D1" w:rsidRDefault="0087233D" w:rsidP="000340B0">
      <w:pPr>
        <w:pStyle w:val="NORMALHEADING"/>
        <w:spacing w:before="0" w:beforeAutospacing="0" w:after="0" w:afterAutospacing="0"/>
        <w:contextualSpacing/>
        <w:jc w:val="left"/>
        <w:rPr>
          <w:rFonts w:asciiTheme="minorHAnsi" w:hAnsiTheme="minorHAnsi" w:cstheme="minorHAnsi"/>
          <w:b w:val="0"/>
          <w:sz w:val="21"/>
          <w:szCs w:val="21"/>
        </w:rPr>
      </w:pPr>
      <w:r w:rsidRPr="001A09D1">
        <w:rPr>
          <w:rFonts w:asciiTheme="minorHAnsi" w:hAnsiTheme="minorHAnsi" w:cstheme="minorHAnsi"/>
          <w:b w:val="0"/>
          <w:sz w:val="21"/>
          <w:szCs w:val="21"/>
        </w:rPr>
        <w:t>The 11</w:t>
      </w:r>
      <w:r w:rsidRPr="001A09D1">
        <w:rPr>
          <w:rFonts w:asciiTheme="minorHAnsi" w:hAnsiTheme="minorHAnsi" w:cstheme="minorHAnsi"/>
          <w:b w:val="0"/>
          <w:sz w:val="21"/>
          <w:szCs w:val="21"/>
          <w:vertAlign w:val="superscript"/>
        </w:rPr>
        <w:t>th</w:t>
      </w:r>
      <w:r w:rsidRPr="001A09D1">
        <w:rPr>
          <w:rFonts w:asciiTheme="minorHAnsi" w:hAnsiTheme="minorHAnsi" w:cstheme="minorHAnsi"/>
          <w:b w:val="0"/>
          <w:sz w:val="21"/>
          <w:szCs w:val="21"/>
        </w:rPr>
        <w:t xml:space="preserve"> Initiative Executive Committee Meeting was attended</w:t>
      </w:r>
      <w:r w:rsidR="00076D46" w:rsidRPr="001A09D1">
        <w:rPr>
          <w:rFonts w:asciiTheme="minorHAnsi" w:hAnsiTheme="minorHAnsi" w:cstheme="minorHAnsi"/>
          <w:b w:val="0"/>
          <w:sz w:val="21"/>
          <w:szCs w:val="21"/>
        </w:rPr>
        <w:t xml:space="preserve"> remotely</w:t>
      </w:r>
      <w:r w:rsidRPr="001A09D1">
        <w:rPr>
          <w:rFonts w:asciiTheme="minorHAnsi" w:hAnsiTheme="minorHAnsi" w:cstheme="minorHAnsi"/>
          <w:b w:val="0"/>
          <w:sz w:val="21"/>
          <w:szCs w:val="21"/>
        </w:rPr>
        <w:t xml:space="preserve"> by the Chief Justices from the Solomon Islands and </w:t>
      </w:r>
      <w:r w:rsidR="00076D46" w:rsidRPr="001A09D1">
        <w:rPr>
          <w:rFonts w:asciiTheme="minorHAnsi" w:hAnsiTheme="minorHAnsi" w:cstheme="minorHAnsi"/>
          <w:b w:val="0"/>
          <w:sz w:val="21"/>
          <w:szCs w:val="21"/>
        </w:rPr>
        <w:t>Marshall Islands, the Lay Judicial Officer representative and MFAT</w:t>
      </w:r>
      <w:r w:rsidRPr="001A09D1">
        <w:rPr>
          <w:rFonts w:asciiTheme="minorHAnsi" w:hAnsiTheme="minorHAnsi" w:cstheme="minorHAnsi"/>
          <w:b w:val="0"/>
          <w:sz w:val="21"/>
          <w:szCs w:val="21"/>
        </w:rPr>
        <w:t>. The IEC thanked the Federal Court of Australia for their invaluable support and partnership over the past 11+ years in implementing both the Pacific Judicial Development Programme (PJDP) and Pacific Judicial Strengthening Initiative (PJSI).</w:t>
      </w:r>
    </w:p>
    <w:p w14:paraId="53A75CD7" w14:textId="3169EBD5" w:rsidR="001012E7" w:rsidRPr="001A09D1" w:rsidRDefault="001012E7" w:rsidP="000340B0">
      <w:pPr>
        <w:pStyle w:val="NORMALHEADING"/>
        <w:spacing w:before="0" w:beforeAutospacing="0" w:after="0" w:afterAutospacing="0"/>
        <w:contextualSpacing/>
        <w:jc w:val="left"/>
        <w:rPr>
          <w:rFonts w:asciiTheme="minorHAnsi" w:hAnsiTheme="minorHAnsi" w:cstheme="minorHAnsi"/>
          <w:i/>
          <w:sz w:val="21"/>
          <w:szCs w:val="21"/>
        </w:rPr>
      </w:pPr>
    </w:p>
    <w:p w14:paraId="56A17986" w14:textId="77777777"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i/>
          <w:sz w:val="21"/>
          <w:szCs w:val="21"/>
        </w:rPr>
      </w:pPr>
      <w:r w:rsidRPr="001A09D1">
        <w:rPr>
          <w:rFonts w:asciiTheme="minorHAnsi" w:hAnsiTheme="minorHAnsi" w:cstheme="minorHAnsi"/>
          <w:i/>
          <w:sz w:val="21"/>
          <w:szCs w:val="21"/>
        </w:rPr>
        <w:t>Access to Justice</w:t>
      </w:r>
    </w:p>
    <w:p w14:paraId="0BBFE638" w14:textId="7701F8C0"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sz w:val="21"/>
          <w:szCs w:val="21"/>
        </w:rPr>
      </w:pPr>
      <w:r w:rsidRPr="001A09D1">
        <w:rPr>
          <w:rFonts w:asciiTheme="minorHAnsi" w:hAnsiTheme="minorHAnsi" w:cstheme="minorHAnsi"/>
          <w:sz w:val="21"/>
          <w:szCs w:val="21"/>
        </w:rPr>
        <w:t>2021</w:t>
      </w:r>
      <w:r w:rsidRPr="001A09D1">
        <w:rPr>
          <w:rFonts w:asciiTheme="minorHAnsi" w:hAnsiTheme="minorHAnsi" w:cstheme="minorHAnsi"/>
          <w:sz w:val="21"/>
          <w:szCs w:val="21"/>
        </w:rPr>
        <w:tab/>
        <w:t>Support to Certificate of Justice Materials for inclusion in Secondary School Curriculum, June-</w:t>
      </w:r>
      <w:r w:rsidR="0023786E" w:rsidRPr="001A09D1">
        <w:rPr>
          <w:rFonts w:asciiTheme="minorHAnsi" w:hAnsiTheme="minorHAnsi" w:cstheme="minorHAnsi"/>
          <w:sz w:val="21"/>
          <w:szCs w:val="21"/>
        </w:rPr>
        <w:t>November</w:t>
      </w:r>
      <w:r w:rsidRPr="001A09D1">
        <w:rPr>
          <w:rFonts w:asciiTheme="minorHAnsi" w:hAnsiTheme="minorHAnsi" w:cstheme="minorHAnsi"/>
          <w:sz w:val="21"/>
          <w:szCs w:val="21"/>
        </w:rPr>
        <w:t>, Remote</w:t>
      </w:r>
    </w:p>
    <w:p w14:paraId="283AE47B" w14:textId="4613AC24" w:rsidR="0087233D" w:rsidRPr="001A09D1" w:rsidRDefault="0087233D" w:rsidP="000340B0">
      <w:pPr>
        <w:pStyle w:val="NORMALHEADING"/>
        <w:spacing w:before="0" w:beforeAutospacing="0" w:after="0" w:afterAutospacing="0"/>
        <w:contextualSpacing/>
        <w:jc w:val="left"/>
        <w:rPr>
          <w:rFonts w:asciiTheme="minorHAnsi" w:hAnsiTheme="minorHAnsi" w:cstheme="minorHAnsi"/>
          <w:b w:val="0"/>
          <w:sz w:val="21"/>
          <w:szCs w:val="21"/>
        </w:rPr>
      </w:pPr>
      <w:r w:rsidRPr="001A09D1">
        <w:rPr>
          <w:rFonts w:asciiTheme="minorHAnsi" w:hAnsiTheme="minorHAnsi" w:cstheme="minorHAnsi"/>
          <w:b w:val="0"/>
          <w:sz w:val="21"/>
          <w:szCs w:val="21"/>
        </w:rPr>
        <w:t>Dr</w:t>
      </w:r>
      <w:r w:rsidR="00971BDF">
        <w:rPr>
          <w:rFonts w:asciiTheme="minorHAnsi" w:hAnsiTheme="minorHAnsi" w:cstheme="minorHAnsi"/>
          <w:b w:val="0"/>
          <w:sz w:val="21"/>
          <w:szCs w:val="21"/>
        </w:rPr>
        <w:t>.</w:t>
      </w:r>
      <w:r w:rsidRPr="001A09D1">
        <w:rPr>
          <w:rFonts w:asciiTheme="minorHAnsi" w:hAnsiTheme="minorHAnsi" w:cstheme="minorHAnsi"/>
          <w:b w:val="0"/>
          <w:sz w:val="21"/>
          <w:szCs w:val="21"/>
        </w:rPr>
        <w:t xml:space="preserve"> Livingston Armytage </w:t>
      </w:r>
      <w:r w:rsidR="00392800" w:rsidRPr="001A09D1">
        <w:rPr>
          <w:rFonts w:asciiTheme="minorHAnsi" w:hAnsiTheme="minorHAnsi" w:cstheme="minorHAnsi"/>
          <w:b w:val="0"/>
          <w:sz w:val="21"/>
          <w:szCs w:val="21"/>
        </w:rPr>
        <w:t>consulted with</w:t>
      </w:r>
      <w:r w:rsidRPr="001A09D1">
        <w:rPr>
          <w:rFonts w:asciiTheme="minorHAnsi" w:hAnsiTheme="minorHAnsi" w:cstheme="minorHAnsi"/>
          <w:b w:val="0"/>
          <w:sz w:val="21"/>
          <w:szCs w:val="21"/>
        </w:rPr>
        <w:t xml:space="preserve"> various courts and Ministries of Education across</w:t>
      </w:r>
      <w:r w:rsidR="00076D46" w:rsidRPr="001A09D1">
        <w:rPr>
          <w:rFonts w:asciiTheme="minorHAnsi" w:hAnsiTheme="minorHAnsi" w:cstheme="minorHAnsi"/>
          <w:b w:val="0"/>
          <w:sz w:val="21"/>
          <w:szCs w:val="21"/>
        </w:rPr>
        <w:t xml:space="preserve"> the region</w:t>
      </w:r>
      <w:r w:rsidR="0023786E" w:rsidRPr="001A09D1">
        <w:rPr>
          <w:rFonts w:asciiTheme="minorHAnsi" w:hAnsiTheme="minorHAnsi" w:cstheme="minorHAnsi"/>
          <w:b w:val="0"/>
          <w:sz w:val="21"/>
          <w:szCs w:val="21"/>
        </w:rPr>
        <w:t xml:space="preserve"> (RMI, PNG, Kiribati, FSM, Vanuatu, Tonga)</w:t>
      </w:r>
      <w:r w:rsidR="00076D46" w:rsidRPr="001A09D1">
        <w:rPr>
          <w:rFonts w:asciiTheme="minorHAnsi" w:hAnsiTheme="minorHAnsi" w:cstheme="minorHAnsi"/>
          <w:b w:val="0"/>
          <w:sz w:val="21"/>
          <w:szCs w:val="21"/>
        </w:rPr>
        <w:t>. The support</w:t>
      </w:r>
      <w:r w:rsidR="00556C2C" w:rsidRPr="001A09D1">
        <w:rPr>
          <w:rFonts w:asciiTheme="minorHAnsi" w:hAnsiTheme="minorHAnsi" w:cstheme="minorHAnsi"/>
          <w:b w:val="0"/>
          <w:sz w:val="21"/>
          <w:szCs w:val="21"/>
        </w:rPr>
        <w:t xml:space="preserve"> promote</w:t>
      </w:r>
      <w:r w:rsidR="00076D46" w:rsidRPr="001A09D1">
        <w:rPr>
          <w:rFonts w:asciiTheme="minorHAnsi" w:hAnsiTheme="minorHAnsi" w:cstheme="minorHAnsi"/>
          <w:b w:val="0"/>
          <w:sz w:val="21"/>
          <w:szCs w:val="21"/>
        </w:rPr>
        <w:t>d</w:t>
      </w:r>
      <w:r w:rsidR="00556C2C" w:rsidRPr="001A09D1">
        <w:rPr>
          <w:rFonts w:asciiTheme="minorHAnsi" w:hAnsiTheme="minorHAnsi" w:cstheme="minorHAnsi"/>
          <w:b w:val="0"/>
          <w:sz w:val="21"/>
          <w:szCs w:val="21"/>
        </w:rPr>
        <w:t xml:space="preserve"> access to justice by reforming secondary school curriculum to improve public knowledge and understanding of the role and function of the courts</w:t>
      </w:r>
      <w:r w:rsidR="00076D46" w:rsidRPr="001A09D1">
        <w:rPr>
          <w:rFonts w:asciiTheme="minorHAnsi" w:hAnsiTheme="minorHAnsi" w:cstheme="minorHAnsi"/>
          <w:b w:val="0"/>
          <w:sz w:val="21"/>
          <w:szCs w:val="21"/>
        </w:rPr>
        <w:t xml:space="preserve">. </w:t>
      </w:r>
      <w:r w:rsidR="0023786E" w:rsidRPr="001A09D1">
        <w:rPr>
          <w:rFonts w:asciiTheme="minorHAnsi" w:hAnsiTheme="minorHAnsi" w:cstheme="minorHAnsi"/>
          <w:b w:val="0"/>
          <w:sz w:val="21"/>
          <w:szCs w:val="21"/>
        </w:rPr>
        <w:t>All six</w:t>
      </w:r>
      <w:r w:rsidR="00392800" w:rsidRPr="001A09D1">
        <w:rPr>
          <w:rFonts w:asciiTheme="minorHAnsi" w:hAnsiTheme="minorHAnsi" w:cstheme="minorHAnsi"/>
          <w:b w:val="0"/>
          <w:sz w:val="21"/>
          <w:szCs w:val="21"/>
        </w:rPr>
        <w:t xml:space="preserve"> countries revised the</w:t>
      </w:r>
      <w:r w:rsidR="0023786E" w:rsidRPr="001A09D1">
        <w:rPr>
          <w:rFonts w:asciiTheme="minorHAnsi" w:hAnsiTheme="minorHAnsi" w:cstheme="minorHAnsi"/>
          <w:b w:val="0"/>
          <w:sz w:val="21"/>
          <w:szCs w:val="21"/>
        </w:rPr>
        <w:t>ir</w:t>
      </w:r>
      <w:r w:rsidR="00392800" w:rsidRPr="001A09D1">
        <w:rPr>
          <w:rFonts w:asciiTheme="minorHAnsi" w:hAnsiTheme="minorHAnsi" w:cstheme="minorHAnsi"/>
          <w:b w:val="0"/>
          <w:sz w:val="21"/>
          <w:szCs w:val="21"/>
        </w:rPr>
        <w:t xml:space="preserve"> local</w:t>
      </w:r>
      <w:r w:rsidR="0023786E" w:rsidRPr="001A09D1">
        <w:rPr>
          <w:rFonts w:asciiTheme="minorHAnsi" w:hAnsiTheme="minorHAnsi" w:cstheme="minorHAnsi"/>
          <w:b w:val="0"/>
          <w:sz w:val="21"/>
          <w:szCs w:val="21"/>
        </w:rPr>
        <w:t xml:space="preserve"> secondary school</w:t>
      </w:r>
      <w:r w:rsidR="00392800" w:rsidRPr="001A09D1">
        <w:rPr>
          <w:rFonts w:asciiTheme="minorHAnsi" w:hAnsiTheme="minorHAnsi" w:cstheme="minorHAnsi"/>
          <w:b w:val="0"/>
          <w:sz w:val="21"/>
          <w:szCs w:val="21"/>
        </w:rPr>
        <w:t xml:space="preserve"> curriculum to be inclusive of selected COJ01 topics</w:t>
      </w:r>
      <w:r w:rsidR="0023786E" w:rsidRPr="001A09D1">
        <w:rPr>
          <w:rFonts w:asciiTheme="minorHAnsi" w:hAnsiTheme="minorHAnsi" w:cstheme="minorHAnsi"/>
          <w:b w:val="0"/>
          <w:sz w:val="21"/>
          <w:szCs w:val="21"/>
        </w:rPr>
        <w:t xml:space="preserve">, </w:t>
      </w:r>
      <w:r w:rsidR="0023786E" w:rsidRPr="001A09D1">
        <w:rPr>
          <w:rFonts w:asciiTheme="minorHAnsi" w:hAnsiTheme="minorHAnsi" w:cstheme="minorHAnsi"/>
          <w:b w:val="0"/>
          <w:i/>
          <w:sz w:val="21"/>
          <w:szCs w:val="21"/>
        </w:rPr>
        <w:t>“Introduction to Law”</w:t>
      </w:r>
      <w:r w:rsidR="00392800" w:rsidRPr="001A09D1">
        <w:rPr>
          <w:rFonts w:asciiTheme="minorHAnsi" w:hAnsiTheme="minorHAnsi" w:cstheme="minorHAnsi"/>
          <w:b w:val="0"/>
          <w:sz w:val="21"/>
          <w:szCs w:val="21"/>
        </w:rPr>
        <w:t>.</w:t>
      </w:r>
    </w:p>
    <w:p w14:paraId="056EBE94" w14:textId="77777777" w:rsidR="0087233D" w:rsidRPr="001A09D1" w:rsidRDefault="0087233D" w:rsidP="000340B0">
      <w:pPr>
        <w:pStyle w:val="NORMALHEADING"/>
        <w:spacing w:before="0" w:beforeAutospacing="0" w:after="0" w:afterAutospacing="0"/>
        <w:contextualSpacing/>
        <w:jc w:val="left"/>
        <w:rPr>
          <w:rFonts w:asciiTheme="minorHAnsi" w:hAnsiTheme="minorHAnsi" w:cstheme="minorHAnsi"/>
          <w:b w:val="0"/>
          <w:sz w:val="21"/>
          <w:szCs w:val="21"/>
        </w:rPr>
      </w:pPr>
    </w:p>
    <w:p w14:paraId="3406DC80" w14:textId="77777777"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i/>
          <w:sz w:val="21"/>
          <w:szCs w:val="21"/>
        </w:rPr>
      </w:pPr>
      <w:r w:rsidRPr="001A09D1">
        <w:rPr>
          <w:rFonts w:asciiTheme="minorHAnsi" w:hAnsiTheme="minorHAnsi" w:cstheme="minorHAnsi"/>
          <w:i/>
          <w:sz w:val="21"/>
          <w:szCs w:val="21"/>
        </w:rPr>
        <w:t>Professionalisation</w:t>
      </w:r>
    </w:p>
    <w:p w14:paraId="0645DA91" w14:textId="77777777" w:rsidR="001012E7" w:rsidRPr="001A09D1" w:rsidRDefault="001012E7" w:rsidP="000340B0">
      <w:pPr>
        <w:ind w:left="720" w:hanging="720"/>
        <w:contextualSpacing/>
        <w:rPr>
          <w:rFonts w:cstheme="minorHAnsi"/>
          <w:b/>
          <w:bCs/>
          <w:sz w:val="21"/>
          <w:szCs w:val="21"/>
        </w:rPr>
      </w:pPr>
      <w:r w:rsidRPr="001A09D1">
        <w:rPr>
          <w:rFonts w:cstheme="minorHAnsi"/>
          <w:b/>
          <w:bCs/>
          <w:sz w:val="21"/>
          <w:szCs w:val="21"/>
        </w:rPr>
        <w:t>2021</w:t>
      </w:r>
      <w:r w:rsidRPr="001A09D1">
        <w:rPr>
          <w:rFonts w:cstheme="minorHAnsi"/>
          <w:b/>
          <w:bCs/>
          <w:sz w:val="21"/>
          <w:szCs w:val="21"/>
        </w:rPr>
        <w:tab/>
        <w:t>Community Engagement Guidance Note Webinar, 24 June, Remote</w:t>
      </w:r>
    </w:p>
    <w:p w14:paraId="1A758B2C" w14:textId="742B5E49" w:rsidR="00392800" w:rsidRPr="001A09D1" w:rsidRDefault="00392800" w:rsidP="000340B0">
      <w:pPr>
        <w:pStyle w:val="NORMALHEADING"/>
        <w:spacing w:before="0" w:beforeAutospacing="0" w:after="0" w:afterAutospacing="0"/>
        <w:contextualSpacing/>
        <w:jc w:val="left"/>
        <w:rPr>
          <w:rFonts w:asciiTheme="minorHAnsi" w:hAnsiTheme="minorHAnsi" w:cstheme="minorHAnsi"/>
          <w:b w:val="0"/>
          <w:bCs w:val="0"/>
          <w:sz w:val="21"/>
          <w:szCs w:val="21"/>
        </w:rPr>
      </w:pPr>
      <w:r w:rsidRPr="001A09D1">
        <w:rPr>
          <w:rFonts w:asciiTheme="minorHAnsi" w:hAnsiTheme="minorHAnsi" w:cstheme="minorHAnsi"/>
          <w:b w:val="0"/>
          <w:bCs w:val="0"/>
          <w:sz w:val="21"/>
          <w:szCs w:val="21"/>
        </w:rPr>
        <w:t>Dr</w:t>
      </w:r>
      <w:r w:rsidR="00971BDF">
        <w:rPr>
          <w:rFonts w:asciiTheme="minorHAnsi" w:hAnsiTheme="minorHAnsi" w:cstheme="minorHAnsi"/>
          <w:b w:val="0"/>
          <w:bCs w:val="0"/>
          <w:sz w:val="21"/>
          <w:szCs w:val="21"/>
        </w:rPr>
        <w:t>.</w:t>
      </w:r>
      <w:r w:rsidRPr="001A09D1">
        <w:rPr>
          <w:rFonts w:asciiTheme="minorHAnsi" w:hAnsiTheme="minorHAnsi" w:cstheme="minorHAnsi"/>
          <w:b w:val="0"/>
          <w:bCs w:val="0"/>
          <w:sz w:val="21"/>
          <w:szCs w:val="21"/>
        </w:rPr>
        <w:t xml:space="preserve"> Livingston Armytage facilitated the delivery of a 2-hour webinar focused on introducing and explaining PJSI’s guidance note, with co-presenters,</w:t>
      </w:r>
      <w:r w:rsidR="0023786E" w:rsidRPr="001A09D1">
        <w:rPr>
          <w:rFonts w:asciiTheme="minorHAnsi" w:hAnsiTheme="minorHAnsi" w:cstheme="minorHAnsi"/>
          <w:b w:val="0"/>
          <w:bCs w:val="0"/>
          <w:sz w:val="21"/>
          <w:szCs w:val="21"/>
        </w:rPr>
        <w:t xml:space="preserve"> Executive Director</w:t>
      </w:r>
      <w:r w:rsidRPr="001A09D1">
        <w:rPr>
          <w:rFonts w:asciiTheme="minorHAnsi" w:hAnsiTheme="minorHAnsi" w:cstheme="minorHAnsi"/>
          <w:b w:val="0"/>
          <w:bCs w:val="0"/>
          <w:sz w:val="21"/>
          <w:szCs w:val="21"/>
        </w:rPr>
        <w:t xml:space="preserve"> </w:t>
      </w:r>
      <w:r w:rsidR="00971BDF">
        <w:rPr>
          <w:rFonts w:asciiTheme="minorHAnsi" w:hAnsiTheme="minorHAnsi" w:cstheme="minorHAnsi"/>
          <w:b w:val="0"/>
          <w:bCs w:val="0"/>
          <w:sz w:val="21"/>
          <w:szCs w:val="21"/>
        </w:rPr>
        <w:t xml:space="preserve">Mr. </w:t>
      </w:r>
      <w:r w:rsidRPr="001A09D1">
        <w:rPr>
          <w:rFonts w:asciiTheme="minorHAnsi" w:hAnsiTheme="minorHAnsi" w:cstheme="minorHAnsi"/>
          <w:b w:val="0"/>
          <w:bCs w:val="0"/>
          <w:sz w:val="21"/>
          <w:szCs w:val="21"/>
        </w:rPr>
        <w:t xml:space="preserve">Motiti Koae </w:t>
      </w:r>
      <w:r w:rsidR="0023786E" w:rsidRPr="001A09D1">
        <w:rPr>
          <w:rFonts w:asciiTheme="minorHAnsi" w:hAnsiTheme="minorHAnsi" w:cstheme="minorHAnsi"/>
          <w:b w:val="0"/>
          <w:bCs w:val="0"/>
          <w:sz w:val="21"/>
          <w:szCs w:val="21"/>
        </w:rPr>
        <w:t xml:space="preserve">(Kiribati) </w:t>
      </w:r>
      <w:r w:rsidRPr="001A09D1">
        <w:rPr>
          <w:rFonts w:asciiTheme="minorHAnsi" w:hAnsiTheme="minorHAnsi" w:cstheme="minorHAnsi"/>
          <w:b w:val="0"/>
          <w:bCs w:val="0"/>
          <w:sz w:val="21"/>
          <w:szCs w:val="21"/>
        </w:rPr>
        <w:t xml:space="preserve">and </w:t>
      </w:r>
      <w:r w:rsidR="0023786E" w:rsidRPr="001A09D1">
        <w:rPr>
          <w:rFonts w:asciiTheme="minorHAnsi" w:hAnsiTheme="minorHAnsi" w:cstheme="minorHAnsi"/>
          <w:b w:val="0"/>
          <w:bCs w:val="0"/>
          <w:sz w:val="21"/>
          <w:szCs w:val="21"/>
        </w:rPr>
        <w:t xml:space="preserve">Judicial Training Officer </w:t>
      </w:r>
      <w:r w:rsidR="00971BDF">
        <w:rPr>
          <w:rFonts w:asciiTheme="minorHAnsi" w:hAnsiTheme="minorHAnsi" w:cstheme="minorHAnsi"/>
          <w:b w:val="0"/>
          <w:bCs w:val="0"/>
          <w:sz w:val="21"/>
          <w:szCs w:val="21"/>
        </w:rPr>
        <w:t xml:space="preserve">Ms. </w:t>
      </w:r>
      <w:r w:rsidRPr="001A09D1">
        <w:rPr>
          <w:rFonts w:asciiTheme="minorHAnsi" w:hAnsiTheme="minorHAnsi" w:cstheme="minorHAnsi"/>
          <w:b w:val="0"/>
          <w:bCs w:val="0"/>
          <w:sz w:val="21"/>
          <w:szCs w:val="21"/>
        </w:rPr>
        <w:t>Wendy Raptigh</w:t>
      </w:r>
      <w:r w:rsidR="0023786E" w:rsidRPr="001A09D1">
        <w:rPr>
          <w:rFonts w:asciiTheme="minorHAnsi" w:hAnsiTheme="minorHAnsi" w:cstheme="minorHAnsi"/>
          <w:b w:val="0"/>
          <w:bCs w:val="0"/>
          <w:sz w:val="21"/>
          <w:szCs w:val="21"/>
        </w:rPr>
        <w:t xml:space="preserve"> (Vanuatu)</w:t>
      </w:r>
      <w:r w:rsidRPr="001A09D1">
        <w:rPr>
          <w:rFonts w:asciiTheme="minorHAnsi" w:hAnsiTheme="minorHAnsi" w:cstheme="minorHAnsi"/>
          <w:b w:val="0"/>
          <w:bCs w:val="0"/>
          <w:sz w:val="21"/>
          <w:szCs w:val="21"/>
        </w:rPr>
        <w:t>. The Guidance Note assists Partner Courts to conduct and utilise community consultations to promote access to justice and improve the quality of judicial service delivery.</w:t>
      </w:r>
    </w:p>
    <w:p w14:paraId="397055CC" w14:textId="79E910E8" w:rsidR="001012E7" w:rsidRPr="001A09D1" w:rsidRDefault="001012E7" w:rsidP="000340B0">
      <w:pPr>
        <w:pStyle w:val="NORMALHEADING"/>
        <w:spacing w:before="0" w:beforeAutospacing="0" w:after="0" w:afterAutospacing="0"/>
        <w:contextualSpacing/>
        <w:jc w:val="left"/>
        <w:rPr>
          <w:rFonts w:asciiTheme="minorHAnsi" w:hAnsiTheme="minorHAnsi" w:cstheme="minorHAnsi"/>
          <w:b w:val="0"/>
          <w:bCs w:val="0"/>
          <w:color w:val="FF0000"/>
          <w:sz w:val="21"/>
          <w:szCs w:val="21"/>
        </w:rPr>
      </w:pPr>
    </w:p>
    <w:p w14:paraId="2598338D" w14:textId="1D89A381"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sz w:val="21"/>
          <w:szCs w:val="21"/>
        </w:rPr>
      </w:pPr>
      <w:r w:rsidRPr="001A09D1">
        <w:rPr>
          <w:rFonts w:asciiTheme="minorHAnsi" w:hAnsiTheme="minorHAnsi" w:cstheme="minorHAnsi"/>
          <w:sz w:val="21"/>
          <w:szCs w:val="21"/>
        </w:rPr>
        <w:t>2021</w:t>
      </w:r>
      <w:r w:rsidRPr="001A09D1">
        <w:rPr>
          <w:rFonts w:asciiTheme="minorHAnsi" w:hAnsiTheme="minorHAnsi" w:cstheme="minorHAnsi"/>
          <w:sz w:val="21"/>
          <w:szCs w:val="21"/>
        </w:rPr>
        <w:tab/>
        <w:t xml:space="preserve">Judicial Wellbeing for Pacific Partner Courts Webinar, </w:t>
      </w:r>
      <w:r w:rsidR="0023786E" w:rsidRPr="001A09D1">
        <w:rPr>
          <w:rFonts w:asciiTheme="minorHAnsi" w:hAnsiTheme="minorHAnsi" w:cstheme="minorHAnsi"/>
          <w:sz w:val="21"/>
          <w:szCs w:val="21"/>
        </w:rPr>
        <w:t>2</w:t>
      </w:r>
      <w:r w:rsidRPr="001A09D1">
        <w:rPr>
          <w:rFonts w:asciiTheme="minorHAnsi" w:hAnsiTheme="minorHAnsi" w:cstheme="minorHAnsi"/>
          <w:sz w:val="21"/>
          <w:szCs w:val="21"/>
        </w:rPr>
        <w:t>9 July, Remote</w:t>
      </w:r>
      <w:r w:rsidR="00971BDF">
        <w:rPr>
          <w:rFonts w:asciiTheme="minorHAnsi" w:hAnsiTheme="minorHAnsi" w:cstheme="minorHAnsi"/>
          <w:sz w:val="21"/>
          <w:szCs w:val="21"/>
        </w:rPr>
        <w:t>-</w:t>
      </w:r>
      <w:r w:rsidRPr="001A09D1">
        <w:rPr>
          <w:rFonts w:asciiTheme="minorHAnsi" w:hAnsiTheme="minorHAnsi" w:cstheme="minorHAnsi"/>
          <w:sz w:val="21"/>
          <w:szCs w:val="21"/>
        </w:rPr>
        <w:t xml:space="preserve">Regional </w:t>
      </w:r>
    </w:p>
    <w:p w14:paraId="5FC7249B" w14:textId="1546C30B" w:rsidR="00392800" w:rsidRPr="001A09D1" w:rsidRDefault="0023786E" w:rsidP="000340B0">
      <w:pPr>
        <w:pStyle w:val="NORMALHEADING"/>
        <w:spacing w:before="0" w:beforeAutospacing="0" w:after="0" w:afterAutospacing="0"/>
        <w:contextualSpacing/>
        <w:jc w:val="left"/>
        <w:rPr>
          <w:rFonts w:asciiTheme="minorHAnsi" w:hAnsiTheme="minorHAnsi" w:cstheme="minorHAnsi"/>
          <w:b w:val="0"/>
          <w:bCs w:val="0"/>
          <w:sz w:val="21"/>
          <w:szCs w:val="21"/>
        </w:rPr>
      </w:pPr>
      <w:r w:rsidRPr="001A09D1">
        <w:rPr>
          <w:rFonts w:asciiTheme="minorHAnsi" w:hAnsiTheme="minorHAnsi" w:cstheme="minorHAnsi"/>
          <w:b w:val="0"/>
          <w:bCs w:val="0"/>
          <w:sz w:val="21"/>
          <w:szCs w:val="21"/>
        </w:rPr>
        <w:t>The</w:t>
      </w:r>
      <w:r w:rsidR="00392800" w:rsidRPr="001A09D1">
        <w:rPr>
          <w:rFonts w:asciiTheme="minorHAnsi" w:hAnsiTheme="minorHAnsi" w:cstheme="minorHAnsi"/>
          <w:b w:val="0"/>
          <w:bCs w:val="0"/>
          <w:sz w:val="21"/>
          <w:szCs w:val="21"/>
        </w:rPr>
        <w:t xml:space="preserve"> PJSI</w:t>
      </w:r>
      <w:r w:rsidRPr="001A09D1">
        <w:rPr>
          <w:rFonts w:asciiTheme="minorHAnsi" w:hAnsiTheme="minorHAnsi" w:cstheme="minorHAnsi"/>
          <w:b w:val="0"/>
          <w:bCs w:val="0"/>
          <w:sz w:val="21"/>
          <w:szCs w:val="21"/>
        </w:rPr>
        <w:t xml:space="preserve"> team</w:t>
      </w:r>
      <w:r w:rsidR="00392800" w:rsidRPr="001A09D1">
        <w:rPr>
          <w:rFonts w:asciiTheme="minorHAnsi" w:hAnsiTheme="minorHAnsi" w:cstheme="minorHAnsi"/>
          <w:b w:val="0"/>
          <w:bCs w:val="0"/>
          <w:sz w:val="21"/>
          <w:szCs w:val="21"/>
        </w:rPr>
        <w:t xml:space="preserve"> conducted a regional Judicial Wellbeing for Pacific Partner Courts Webinar in partnership with the Judicial College of Victoria. Ms</w:t>
      </w:r>
      <w:r w:rsidR="00971BDF">
        <w:rPr>
          <w:rFonts w:asciiTheme="minorHAnsi" w:hAnsiTheme="minorHAnsi" w:cstheme="minorHAnsi"/>
          <w:b w:val="0"/>
          <w:bCs w:val="0"/>
          <w:sz w:val="21"/>
          <w:szCs w:val="21"/>
        </w:rPr>
        <w:t>.</w:t>
      </w:r>
      <w:r w:rsidR="00392800" w:rsidRPr="001A09D1">
        <w:rPr>
          <w:rFonts w:asciiTheme="minorHAnsi" w:hAnsiTheme="minorHAnsi" w:cstheme="minorHAnsi"/>
          <w:b w:val="0"/>
          <w:bCs w:val="0"/>
          <w:sz w:val="21"/>
          <w:szCs w:val="21"/>
        </w:rPr>
        <w:t xml:space="preserve"> Carly Schrever and Ms</w:t>
      </w:r>
      <w:r w:rsidR="00971BDF">
        <w:rPr>
          <w:rFonts w:asciiTheme="minorHAnsi" w:hAnsiTheme="minorHAnsi" w:cstheme="minorHAnsi"/>
          <w:b w:val="0"/>
          <w:bCs w:val="0"/>
          <w:sz w:val="21"/>
          <w:szCs w:val="21"/>
        </w:rPr>
        <w:t>.</w:t>
      </w:r>
      <w:r w:rsidR="00392800" w:rsidRPr="001A09D1">
        <w:rPr>
          <w:rFonts w:asciiTheme="minorHAnsi" w:hAnsiTheme="minorHAnsi" w:cstheme="minorHAnsi"/>
          <w:b w:val="0"/>
          <w:bCs w:val="0"/>
          <w:sz w:val="21"/>
          <w:szCs w:val="21"/>
        </w:rPr>
        <w:t xml:space="preserve"> Sally Ryan, Judicial Wellbeing Advisers from the Judicial College of Victoria, delivered presentations on identifying and managing judicial stress. Discussion was further facilitated by Mr</w:t>
      </w:r>
      <w:r w:rsidR="00971BDF">
        <w:rPr>
          <w:rFonts w:asciiTheme="minorHAnsi" w:hAnsiTheme="minorHAnsi" w:cstheme="minorHAnsi"/>
          <w:b w:val="0"/>
          <w:bCs w:val="0"/>
          <w:sz w:val="21"/>
          <w:szCs w:val="21"/>
        </w:rPr>
        <w:t>.</w:t>
      </w:r>
      <w:r w:rsidR="00392800" w:rsidRPr="001A09D1">
        <w:rPr>
          <w:rFonts w:asciiTheme="minorHAnsi" w:hAnsiTheme="minorHAnsi" w:cstheme="minorHAnsi"/>
          <w:b w:val="0"/>
          <w:bCs w:val="0"/>
          <w:sz w:val="21"/>
          <w:szCs w:val="21"/>
        </w:rPr>
        <w:t xml:space="preserve"> Lorenz Metzner, PJSI Remote Support Adviser.</w:t>
      </w:r>
    </w:p>
    <w:p w14:paraId="6C4725BB" w14:textId="77777777" w:rsidR="001012E7" w:rsidRPr="001A09D1" w:rsidRDefault="001012E7" w:rsidP="000340B0">
      <w:pPr>
        <w:pStyle w:val="NORMALHEADING"/>
        <w:spacing w:before="0" w:beforeAutospacing="0" w:after="0" w:afterAutospacing="0"/>
        <w:contextualSpacing/>
        <w:jc w:val="left"/>
        <w:rPr>
          <w:rFonts w:asciiTheme="minorHAnsi" w:hAnsiTheme="minorHAnsi" w:cstheme="minorHAnsi"/>
          <w:b w:val="0"/>
          <w:bCs w:val="0"/>
          <w:color w:val="FF0000"/>
          <w:sz w:val="21"/>
          <w:szCs w:val="21"/>
        </w:rPr>
      </w:pPr>
    </w:p>
    <w:p w14:paraId="007F5F9D" w14:textId="00DEA252"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sz w:val="21"/>
          <w:szCs w:val="21"/>
        </w:rPr>
      </w:pPr>
      <w:r w:rsidRPr="001A09D1">
        <w:rPr>
          <w:rFonts w:asciiTheme="minorHAnsi" w:hAnsiTheme="minorHAnsi" w:cstheme="minorHAnsi"/>
          <w:sz w:val="21"/>
          <w:szCs w:val="21"/>
        </w:rPr>
        <w:t>2021</w:t>
      </w:r>
      <w:r w:rsidRPr="001A09D1">
        <w:rPr>
          <w:rFonts w:asciiTheme="minorHAnsi" w:hAnsiTheme="minorHAnsi" w:cstheme="minorHAnsi"/>
          <w:sz w:val="21"/>
          <w:szCs w:val="21"/>
        </w:rPr>
        <w:tab/>
        <w:t>PJSI Virtual Farewell Gathering, 14 October, Remote</w:t>
      </w:r>
      <w:r w:rsidR="00971BDF">
        <w:rPr>
          <w:rFonts w:asciiTheme="minorHAnsi" w:hAnsiTheme="minorHAnsi" w:cstheme="minorHAnsi"/>
          <w:sz w:val="21"/>
          <w:szCs w:val="21"/>
        </w:rPr>
        <w:t>-</w:t>
      </w:r>
      <w:r w:rsidRPr="001A09D1">
        <w:rPr>
          <w:rFonts w:asciiTheme="minorHAnsi" w:hAnsiTheme="minorHAnsi" w:cstheme="minorHAnsi"/>
          <w:sz w:val="21"/>
          <w:szCs w:val="21"/>
        </w:rPr>
        <w:t xml:space="preserve">Regional </w:t>
      </w:r>
    </w:p>
    <w:p w14:paraId="3183B412" w14:textId="0FBB5610" w:rsidR="001012E7" w:rsidRPr="001A09D1" w:rsidRDefault="0023786E" w:rsidP="000340B0">
      <w:pPr>
        <w:pStyle w:val="NORMALHEADING"/>
        <w:spacing w:before="0" w:beforeAutospacing="0" w:after="0" w:afterAutospacing="0"/>
        <w:contextualSpacing/>
        <w:jc w:val="left"/>
        <w:rPr>
          <w:rFonts w:asciiTheme="minorHAnsi" w:hAnsiTheme="minorHAnsi" w:cstheme="minorHAnsi"/>
          <w:b w:val="0"/>
          <w:sz w:val="21"/>
          <w:szCs w:val="21"/>
        </w:rPr>
      </w:pPr>
      <w:r w:rsidRPr="001A09D1">
        <w:rPr>
          <w:rFonts w:asciiTheme="minorHAnsi" w:hAnsiTheme="minorHAnsi" w:cstheme="minorHAnsi"/>
          <w:b w:val="0"/>
          <w:sz w:val="21"/>
          <w:szCs w:val="21"/>
        </w:rPr>
        <w:t>The</w:t>
      </w:r>
      <w:r w:rsidR="001012E7" w:rsidRPr="001A09D1">
        <w:rPr>
          <w:rFonts w:asciiTheme="minorHAnsi" w:hAnsiTheme="minorHAnsi" w:cstheme="minorHAnsi"/>
          <w:b w:val="0"/>
          <w:sz w:val="21"/>
          <w:szCs w:val="21"/>
        </w:rPr>
        <w:t xml:space="preserve"> PJSI team conducted an informal get-together with individuals from Partner Courts that have worked closely with the PJSI and/or the PJDP. The PJSI team thanked and said farewell to friends across the Pacific, and reminisced on past PJSI activities </w:t>
      </w:r>
      <w:r w:rsidR="00392800" w:rsidRPr="001A09D1">
        <w:rPr>
          <w:rFonts w:asciiTheme="minorHAnsi" w:hAnsiTheme="minorHAnsi" w:cstheme="minorHAnsi"/>
          <w:b w:val="0"/>
          <w:sz w:val="21"/>
          <w:szCs w:val="21"/>
        </w:rPr>
        <w:t>and notable experiences.</w:t>
      </w:r>
    </w:p>
    <w:p w14:paraId="456FCF52" w14:textId="77777777" w:rsidR="00392800" w:rsidRPr="001A09D1" w:rsidRDefault="00392800" w:rsidP="000340B0">
      <w:pPr>
        <w:pStyle w:val="NORMALHEADING"/>
        <w:spacing w:before="0" w:beforeAutospacing="0" w:after="0" w:afterAutospacing="0"/>
        <w:ind w:left="720" w:hanging="720"/>
        <w:contextualSpacing/>
        <w:jc w:val="left"/>
        <w:rPr>
          <w:rFonts w:asciiTheme="minorHAnsi" w:hAnsiTheme="minorHAnsi" w:cstheme="minorHAnsi"/>
          <w:sz w:val="21"/>
          <w:szCs w:val="21"/>
        </w:rPr>
      </w:pPr>
    </w:p>
    <w:p w14:paraId="2642FD02" w14:textId="77777777"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sz w:val="21"/>
          <w:szCs w:val="21"/>
        </w:rPr>
      </w:pPr>
      <w:r w:rsidRPr="001A09D1">
        <w:rPr>
          <w:rFonts w:asciiTheme="minorHAnsi" w:hAnsiTheme="minorHAnsi" w:cstheme="minorHAnsi"/>
          <w:i/>
          <w:sz w:val="21"/>
          <w:szCs w:val="21"/>
        </w:rPr>
        <w:t>Substantive Justice</w:t>
      </w:r>
    </w:p>
    <w:p w14:paraId="72F109C1" w14:textId="5D57827A"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sz w:val="21"/>
          <w:szCs w:val="21"/>
        </w:rPr>
      </w:pPr>
      <w:r w:rsidRPr="001A09D1">
        <w:rPr>
          <w:rFonts w:asciiTheme="minorHAnsi" w:hAnsiTheme="minorHAnsi" w:cstheme="minorHAnsi"/>
          <w:sz w:val="21"/>
          <w:szCs w:val="21"/>
        </w:rPr>
        <w:t>2021</w:t>
      </w:r>
      <w:r w:rsidRPr="001A09D1">
        <w:rPr>
          <w:rFonts w:asciiTheme="minorHAnsi" w:hAnsiTheme="minorHAnsi" w:cstheme="minorHAnsi"/>
          <w:sz w:val="21"/>
          <w:szCs w:val="21"/>
        </w:rPr>
        <w:tab/>
        <w:t>Applying Human Rights in Vanuatu Courts, 20-24 September, Remote</w:t>
      </w:r>
      <w:r w:rsidR="00971BDF">
        <w:rPr>
          <w:rFonts w:asciiTheme="minorHAnsi" w:hAnsiTheme="minorHAnsi" w:cstheme="minorHAnsi"/>
          <w:sz w:val="21"/>
          <w:szCs w:val="21"/>
        </w:rPr>
        <w:t>-</w:t>
      </w:r>
      <w:r w:rsidRPr="001A09D1">
        <w:rPr>
          <w:rFonts w:asciiTheme="minorHAnsi" w:hAnsiTheme="minorHAnsi" w:cstheme="minorHAnsi"/>
          <w:sz w:val="21"/>
          <w:szCs w:val="21"/>
        </w:rPr>
        <w:t>Vanuatu</w:t>
      </w:r>
    </w:p>
    <w:p w14:paraId="5D362AD2" w14:textId="1B73A340" w:rsidR="00392800" w:rsidRPr="001A09D1" w:rsidRDefault="00392800" w:rsidP="000340B0">
      <w:pPr>
        <w:pStyle w:val="NORMALHEADING"/>
        <w:spacing w:before="0" w:beforeAutospacing="0" w:after="0" w:afterAutospacing="0"/>
        <w:contextualSpacing/>
        <w:jc w:val="left"/>
        <w:rPr>
          <w:rFonts w:asciiTheme="minorHAnsi" w:hAnsiTheme="minorHAnsi" w:cstheme="minorHAnsi"/>
          <w:b w:val="0"/>
          <w:sz w:val="21"/>
          <w:szCs w:val="21"/>
        </w:rPr>
      </w:pPr>
      <w:r w:rsidRPr="001A09D1">
        <w:rPr>
          <w:rFonts w:asciiTheme="minorHAnsi" w:hAnsiTheme="minorHAnsi" w:cstheme="minorHAnsi"/>
          <w:b w:val="0"/>
          <w:sz w:val="21"/>
          <w:szCs w:val="21"/>
        </w:rPr>
        <w:t>Dr</w:t>
      </w:r>
      <w:r w:rsidR="00971BDF">
        <w:rPr>
          <w:rFonts w:asciiTheme="minorHAnsi" w:hAnsiTheme="minorHAnsi" w:cstheme="minorHAnsi"/>
          <w:b w:val="0"/>
          <w:sz w:val="21"/>
          <w:szCs w:val="21"/>
        </w:rPr>
        <w:t>.</w:t>
      </w:r>
      <w:r w:rsidRPr="001A09D1">
        <w:rPr>
          <w:rFonts w:asciiTheme="minorHAnsi" w:hAnsiTheme="minorHAnsi" w:cstheme="minorHAnsi"/>
          <w:b w:val="0"/>
          <w:sz w:val="21"/>
          <w:szCs w:val="21"/>
        </w:rPr>
        <w:t xml:space="preserve"> Carolyn Graydon delivered a series of intensive</w:t>
      </w:r>
      <w:r w:rsidR="008B6F5D" w:rsidRPr="001A09D1">
        <w:rPr>
          <w:rFonts w:asciiTheme="minorHAnsi" w:hAnsiTheme="minorHAnsi" w:cstheme="minorHAnsi"/>
          <w:b w:val="0"/>
          <w:sz w:val="21"/>
          <w:szCs w:val="21"/>
        </w:rPr>
        <w:t xml:space="preserve"> </w:t>
      </w:r>
      <w:r w:rsidRPr="001A09D1">
        <w:rPr>
          <w:rFonts w:asciiTheme="minorHAnsi" w:hAnsiTheme="minorHAnsi" w:cstheme="minorHAnsi"/>
          <w:b w:val="0"/>
          <w:sz w:val="21"/>
          <w:szCs w:val="21"/>
        </w:rPr>
        <w:t xml:space="preserve">workshops.  The workshops were held remotely with Judges, Magistrates and Court </w:t>
      </w:r>
      <w:r w:rsidR="008B6F5D" w:rsidRPr="001A09D1">
        <w:rPr>
          <w:rFonts w:asciiTheme="minorHAnsi" w:hAnsiTheme="minorHAnsi" w:cstheme="minorHAnsi"/>
          <w:b w:val="0"/>
          <w:sz w:val="21"/>
          <w:szCs w:val="21"/>
        </w:rPr>
        <w:t xml:space="preserve">staff of the Vanuatu Judiciary. The series of workshops aimed to introduce Judges, Magistrates and Court Staff to the relevance and content of human rights standards to their </w:t>
      </w:r>
      <w:r w:rsidR="008B6F5D" w:rsidRPr="001A09D1">
        <w:rPr>
          <w:rFonts w:asciiTheme="minorHAnsi" w:hAnsiTheme="minorHAnsi" w:cstheme="minorHAnsi"/>
          <w:b w:val="0"/>
          <w:sz w:val="21"/>
          <w:szCs w:val="21"/>
        </w:rPr>
        <w:lastRenderedPageBreak/>
        <w:t>specific roles and the actions they can take towards achieving a whole-of-court human rights-based approach and to identify mechanisms through which all court actors can coordinate, track and measure their progress towards implementation of human rights standards and approaches.</w:t>
      </w:r>
    </w:p>
    <w:p w14:paraId="782C1434" w14:textId="77777777" w:rsidR="00392800" w:rsidRPr="001A09D1" w:rsidRDefault="00392800" w:rsidP="000340B0">
      <w:pPr>
        <w:pStyle w:val="NORMALHEADING"/>
        <w:spacing w:before="0" w:beforeAutospacing="0" w:after="0" w:afterAutospacing="0"/>
        <w:contextualSpacing/>
        <w:jc w:val="left"/>
        <w:rPr>
          <w:rFonts w:asciiTheme="minorHAnsi" w:hAnsiTheme="minorHAnsi" w:cstheme="minorHAnsi"/>
          <w:b w:val="0"/>
          <w:sz w:val="21"/>
          <w:szCs w:val="21"/>
        </w:rPr>
      </w:pPr>
    </w:p>
    <w:p w14:paraId="49F8D986" w14:textId="7B9C4E98"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sz w:val="21"/>
          <w:szCs w:val="21"/>
        </w:rPr>
      </w:pPr>
      <w:r w:rsidRPr="001A09D1">
        <w:rPr>
          <w:rFonts w:asciiTheme="minorHAnsi" w:hAnsiTheme="minorHAnsi" w:cstheme="minorHAnsi"/>
          <w:sz w:val="21"/>
          <w:szCs w:val="21"/>
        </w:rPr>
        <w:t>2021</w:t>
      </w:r>
      <w:r w:rsidRPr="001A09D1">
        <w:rPr>
          <w:rFonts w:asciiTheme="minorHAnsi" w:hAnsiTheme="minorHAnsi" w:cstheme="minorHAnsi"/>
          <w:sz w:val="21"/>
          <w:szCs w:val="21"/>
        </w:rPr>
        <w:tab/>
        <w:t>Applying Human Rights in Samoan Courts, 5-7 October, Remote</w:t>
      </w:r>
      <w:r w:rsidR="00971BDF">
        <w:rPr>
          <w:rFonts w:asciiTheme="minorHAnsi" w:hAnsiTheme="minorHAnsi" w:cstheme="minorHAnsi"/>
          <w:sz w:val="21"/>
          <w:szCs w:val="21"/>
        </w:rPr>
        <w:t>-</w:t>
      </w:r>
      <w:r w:rsidRPr="001A09D1">
        <w:rPr>
          <w:rFonts w:asciiTheme="minorHAnsi" w:hAnsiTheme="minorHAnsi" w:cstheme="minorHAnsi"/>
          <w:sz w:val="21"/>
          <w:szCs w:val="21"/>
        </w:rPr>
        <w:t>Samoa</w:t>
      </w:r>
    </w:p>
    <w:p w14:paraId="1B739B9D" w14:textId="5DC19A8B" w:rsidR="008B6F5D" w:rsidRPr="001A09D1" w:rsidRDefault="008B6F5D" w:rsidP="000340B0">
      <w:pPr>
        <w:pStyle w:val="NORMALHEADING"/>
        <w:spacing w:before="0" w:beforeAutospacing="0" w:after="0" w:afterAutospacing="0"/>
        <w:contextualSpacing/>
        <w:jc w:val="left"/>
        <w:rPr>
          <w:rFonts w:asciiTheme="minorHAnsi" w:hAnsiTheme="minorHAnsi" w:cstheme="minorHAnsi"/>
          <w:b w:val="0"/>
          <w:sz w:val="21"/>
          <w:szCs w:val="21"/>
        </w:rPr>
      </w:pPr>
      <w:r w:rsidRPr="001A09D1">
        <w:rPr>
          <w:rFonts w:asciiTheme="minorHAnsi" w:hAnsiTheme="minorHAnsi" w:cstheme="minorHAnsi"/>
          <w:b w:val="0"/>
          <w:sz w:val="21"/>
          <w:szCs w:val="21"/>
        </w:rPr>
        <w:t>Dr</w:t>
      </w:r>
      <w:r w:rsidR="00971BDF">
        <w:rPr>
          <w:rFonts w:asciiTheme="minorHAnsi" w:hAnsiTheme="minorHAnsi" w:cstheme="minorHAnsi"/>
          <w:b w:val="0"/>
          <w:sz w:val="21"/>
          <w:szCs w:val="21"/>
        </w:rPr>
        <w:t>.</w:t>
      </w:r>
      <w:r w:rsidRPr="001A09D1">
        <w:rPr>
          <w:rFonts w:asciiTheme="minorHAnsi" w:hAnsiTheme="minorHAnsi" w:cstheme="minorHAnsi"/>
          <w:b w:val="0"/>
          <w:sz w:val="21"/>
          <w:szCs w:val="21"/>
        </w:rPr>
        <w:t xml:space="preserve"> Carolyn Graydon delivered a series of intensive </w:t>
      </w:r>
      <w:r w:rsidR="0023786E" w:rsidRPr="001A09D1">
        <w:rPr>
          <w:rFonts w:asciiTheme="minorHAnsi" w:hAnsiTheme="minorHAnsi" w:cstheme="minorHAnsi"/>
          <w:b w:val="0"/>
          <w:sz w:val="21"/>
          <w:szCs w:val="21"/>
        </w:rPr>
        <w:t xml:space="preserve">remote </w:t>
      </w:r>
      <w:r w:rsidRPr="001A09D1">
        <w:rPr>
          <w:rFonts w:asciiTheme="minorHAnsi" w:hAnsiTheme="minorHAnsi" w:cstheme="minorHAnsi"/>
          <w:b w:val="0"/>
          <w:sz w:val="21"/>
          <w:szCs w:val="21"/>
        </w:rPr>
        <w:t xml:space="preserve">workshops with Judges, Court staff and Police who work with the Samoan Judiciary. The series of workshops aimed to introduce </w:t>
      </w:r>
      <w:r w:rsidR="0023786E" w:rsidRPr="001A09D1">
        <w:rPr>
          <w:rFonts w:asciiTheme="minorHAnsi" w:hAnsiTheme="minorHAnsi" w:cstheme="minorHAnsi"/>
          <w:b w:val="0"/>
          <w:sz w:val="21"/>
          <w:szCs w:val="21"/>
        </w:rPr>
        <w:t>attendees</w:t>
      </w:r>
      <w:r w:rsidRPr="001A09D1">
        <w:rPr>
          <w:rFonts w:asciiTheme="minorHAnsi" w:hAnsiTheme="minorHAnsi" w:cstheme="minorHAnsi"/>
          <w:b w:val="0"/>
          <w:sz w:val="21"/>
          <w:szCs w:val="21"/>
        </w:rPr>
        <w:t xml:space="preserve"> to the relevance and content of human rights standards to their specific roles and the actions they can take towards achieving a whole-of-court human rights-based approach and to identify mechanisms through which all court actors can coordinate, track and measure their progress towards implementation of human rights standards and approaches.</w:t>
      </w:r>
    </w:p>
    <w:p w14:paraId="0D81114D" w14:textId="77777777" w:rsidR="001012E7" w:rsidRPr="001A09D1" w:rsidRDefault="001012E7" w:rsidP="000340B0">
      <w:pPr>
        <w:pStyle w:val="NORMALHEADING"/>
        <w:spacing w:before="0" w:beforeAutospacing="0" w:after="0" w:afterAutospacing="0"/>
        <w:contextualSpacing/>
        <w:jc w:val="left"/>
        <w:rPr>
          <w:rFonts w:asciiTheme="minorHAnsi" w:hAnsiTheme="minorHAnsi" w:cstheme="minorHAnsi"/>
          <w:i/>
          <w:sz w:val="21"/>
          <w:szCs w:val="21"/>
        </w:rPr>
      </w:pPr>
    </w:p>
    <w:p w14:paraId="2B81747E" w14:textId="77777777"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i/>
          <w:sz w:val="21"/>
          <w:szCs w:val="21"/>
        </w:rPr>
      </w:pPr>
      <w:r w:rsidRPr="001A09D1">
        <w:rPr>
          <w:rFonts w:asciiTheme="minorHAnsi" w:hAnsiTheme="minorHAnsi" w:cstheme="minorHAnsi"/>
          <w:i/>
          <w:sz w:val="21"/>
          <w:szCs w:val="21"/>
        </w:rPr>
        <w:t xml:space="preserve">Procedural Justice </w:t>
      </w:r>
    </w:p>
    <w:p w14:paraId="205EBE1F" w14:textId="09C89F18" w:rsidR="001012E7" w:rsidRPr="001A09D1" w:rsidRDefault="001012E7" w:rsidP="000340B0">
      <w:pPr>
        <w:pStyle w:val="NORMALHEADING"/>
        <w:spacing w:before="0" w:beforeAutospacing="0" w:after="0" w:afterAutospacing="0"/>
        <w:ind w:left="720" w:hanging="720"/>
        <w:contextualSpacing/>
        <w:jc w:val="left"/>
        <w:rPr>
          <w:rFonts w:asciiTheme="minorHAnsi" w:hAnsiTheme="minorHAnsi" w:cstheme="minorHAnsi"/>
          <w:sz w:val="21"/>
          <w:szCs w:val="21"/>
        </w:rPr>
      </w:pPr>
      <w:r w:rsidRPr="001A09D1">
        <w:rPr>
          <w:rFonts w:asciiTheme="minorHAnsi" w:hAnsiTheme="minorHAnsi" w:cstheme="minorHAnsi"/>
          <w:sz w:val="21"/>
          <w:szCs w:val="21"/>
        </w:rPr>
        <w:t>2021</w:t>
      </w:r>
      <w:r w:rsidRPr="001A09D1">
        <w:rPr>
          <w:rFonts w:asciiTheme="minorHAnsi" w:hAnsiTheme="minorHAnsi" w:cstheme="minorHAnsi"/>
          <w:sz w:val="21"/>
          <w:szCs w:val="21"/>
        </w:rPr>
        <w:tab/>
        <w:t xml:space="preserve">Sustainable Development Goals Follow-up </w:t>
      </w:r>
      <w:r w:rsidR="00A83339" w:rsidRPr="001A09D1">
        <w:rPr>
          <w:rFonts w:asciiTheme="minorHAnsi" w:hAnsiTheme="minorHAnsi" w:cstheme="minorHAnsi"/>
          <w:sz w:val="21"/>
          <w:szCs w:val="21"/>
        </w:rPr>
        <w:t>Discussions</w:t>
      </w:r>
      <w:r w:rsidRPr="001A09D1">
        <w:rPr>
          <w:rFonts w:asciiTheme="minorHAnsi" w:hAnsiTheme="minorHAnsi" w:cstheme="minorHAnsi"/>
          <w:sz w:val="21"/>
          <w:szCs w:val="21"/>
        </w:rPr>
        <w:t>, June</w:t>
      </w:r>
      <w:r w:rsidR="0023786E" w:rsidRPr="001A09D1">
        <w:rPr>
          <w:rFonts w:asciiTheme="minorHAnsi" w:hAnsiTheme="minorHAnsi" w:cstheme="minorHAnsi"/>
          <w:sz w:val="21"/>
          <w:szCs w:val="21"/>
        </w:rPr>
        <w:t>-November</w:t>
      </w:r>
      <w:r w:rsidRPr="001A09D1">
        <w:rPr>
          <w:rFonts w:asciiTheme="minorHAnsi" w:hAnsiTheme="minorHAnsi" w:cstheme="minorHAnsi"/>
          <w:sz w:val="21"/>
          <w:szCs w:val="21"/>
        </w:rPr>
        <w:t>, Remote</w:t>
      </w:r>
      <w:r w:rsidR="00971BDF">
        <w:rPr>
          <w:rFonts w:asciiTheme="minorHAnsi" w:hAnsiTheme="minorHAnsi" w:cstheme="minorHAnsi"/>
          <w:sz w:val="21"/>
          <w:szCs w:val="21"/>
        </w:rPr>
        <w:t>-</w:t>
      </w:r>
      <w:r w:rsidRPr="001A09D1">
        <w:rPr>
          <w:rFonts w:asciiTheme="minorHAnsi" w:hAnsiTheme="minorHAnsi" w:cstheme="minorHAnsi"/>
          <w:sz w:val="21"/>
          <w:szCs w:val="21"/>
        </w:rPr>
        <w:t xml:space="preserve">Regional </w:t>
      </w:r>
    </w:p>
    <w:p w14:paraId="2E35A2B4" w14:textId="3C37BBC3" w:rsidR="008B6F5D" w:rsidRPr="001A09D1" w:rsidRDefault="008B6F5D" w:rsidP="000340B0">
      <w:pPr>
        <w:tabs>
          <w:tab w:val="left" w:pos="993"/>
        </w:tabs>
        <w:spacing w:after="120"/>
        <w:contextualSpacing/>
        <w:rPr>
          <w:rFonts w:cstheme="minorHAnsi"/>
          <w:sz w:val="21"/>
          <w:szCs w:val="21"/>
        </w:rPr>
      </w:pPr>
      <w:r w:rsidRPr="001A09D1">
        <w:rPr>
          <w:rFonts w:cstheme="minorHAnsi"/>
          <w:sz w:val="21"/>
          <w:szCs w:val="21"/>
        </w:rPr>
        <w:t>Ms. Helen Burrows and Mr. Lorenz Metzner collaborated to design, support, deliver, facilitate and evaluate a Sustainable Develop G</w:t>
      </w:r>
      <w:r w:rsidR="00D073C3" w:rsidRPr="001A09D1">
        <w:rPr>
          <w:rFonts w:cstheme="minorHAnsi"/>
          <w:sz w:val="21"/>
          <w:szCs w:val="21"/>
        </w:rPr>
        <w:t>oals</w:t>
      </w:r>
      <w:r w:rsidRPr="001A09D1">
        <w:rPr>
          <w:rFonts w:cstheme="minorHAnsi"/>
          <w:sz w:val="21"/>
          <w:szCs w:val="21"/>
        </w:rPr>
        <w:t xml:space="preserve"> </w:t>
      </w:r>
      <w:r w:rsidR="00D073C3" w:rsidRPr="001A09D1">
        <w:rPr>
          <w:rFonts w:cstheme="minorHAnsi"/>
          <w:sz w:val="21"/>
          <w:szCs w:val="21"/>
        </w:rPr>
        <w:t>Follow-up W</w:t>
      </w:r>
      <w:r w:rsidRPr="001A09D1">
        <w:rPr>
          <w:rFonts w:cstheme="minorHAnsi"/>
          <w:sz w:val="21"/>
          <w:szCs w:val="21"/>
        </w:rPr>
        <w:t>ebinar</w:t>
      </w:r>
      <w:r w:rsidR="00D073C3" w:rsidRPr="001A09D1">
        <w:rPr>
          <w:rFonts w:cstheme="minorHAnsi"/>
          <w:sz w:val="21"/>
          <w:szCs w:val="21"/>
        </w:rPr>
        <w:t xml:space="preserve"> with FSM, Kiribati and Palau. These countries were selected to participate in the webinar, given their level of interest and work that they had already done to include the SDGs in reports following previous PJSI SDG Webinars.</w:t>
      </w:r>
      <w:r w:rsidR="0023786E" w:rsidRPr="001A09D1">
        <w:rPr>
          <w:rFonts w:cstheme="minorHAnsi"/>
          <w:sz w:val="21"/>
          <w:szCs w:val="21"/>
        </w:rPr>
        <w:t xml:space="preserve"> </w:t>
      </w:r>
      <w:r w:rsidR="00A83339" w:rsidRPr="001A09D1">
        <w:rPr>
          <w:rFonts w:cstheme="minorHAnsi"/>
          <w:sz w:val="21"/>
          <w:szCs w:val="21"/>
        </w:rPr>
        <w:t>Additional discussions were undertaken with each partner court, and a PJSI Guide to SDG Reporting document was developed and circulated.</w:t>
      </w:r>
    </w:p>
    <w:p w14:paraId="1AEF70CC" w14:textId="77777777" w:rsidR="008B6F5D" w:rsidRPr="001A09D1" w:rsidRDefault="008B6F5D" w:rsidP="000340B0">
      <w:pPr>
        <w:tabs>
          <w:tab w:val="left" w:pos="993"/>
        </w:tabs>
        <w:contextualSpacing/>
        <w:rPr>
          <w:rFonts w:cstheme="minorHAnsi"/>
          <w:sz w:val="21"/>
          <w:szCs w:val="21"/>
        </w:rPr>
      </w:pPr>
    </w:p>
    <w:p w14:paraId="7EE1372D" w14:textId="4E2835F9" w:rsidR="001012E7" w:rsidRPr="001A09D1" w:rsidRDefault="00A83339" w:rsidP="000340B0">
      <w:pPr>
        <w:pStyle w:val="NORMALHEADING"/>
        <w:spacing w:before="0" w:beforeAutospacing="0" w:after="0" w:afterAutospacing="0"/>
        <w:contextualSpacing/>
        <w:jc w:val="left"/>
        <w:rPr>
          <w:rFonts w:asciiTheme="minorHAnsi" w:hAnsiTheme="minorHAnsi" w:cstheme="minorHAnsi"/>
          <w:b w:val="0"/>
          <w:bCs w:val="0"/>
          <w:sz w:val="21"/>
          <w:szCs w:val="21"/>
        </w:rPr>
      </w:pPr>
      <w:r w:rsidRPr="001A09D1">
        <w:rPr>
          <w:rFonts w:asciiTheme="minorHAnsi" w:hAnsiTheme="minorHAnsi" w:cstheme="minorHAnsi"/>
          <w:sz w:val="21"/>
          <w:szCs w:val="21"/>
        </w:rPr>
        <w:t>2021</w:t>
      </w:r>
      <w:r w:rsidRPr="001A09D1">
        <w:rPr>
          <w:rFonts w:asciiTheme="minorHAnsi" w:hAnsiTheme="minorHAnsi" w:cstheme="minorHAnsi"/>
          <w:sz w:val="21"/>
          <w:szCs w:val="21"/>
        </w:rPr>
        <w:tab/>
        <w:t>Court Annual R</w:t>
      </w:r>
      <w:r w:rsidR="001012E7" w:rsidRPr="001A09D1">
        <w:rPr>
          <w:rFonts w:asciiTheme="minorHAnsi" w:hAnsiTheme="minorHAnsi" w:cstheme="minorHAnsi"/>
          <w:sz w:val="21"/>
          <w:szCs w:val="21"/>
        </w:rPr>
        <w:t>eporting and Disaggregated Data Support, June-Nov</w:t>
      </w:r>
      <w:r w:rsidRPr="001A09D1">
        <w:rPr>
          <w:rFonts w:asciiTheme="minorHAnsi" w:hAnsiTheme="minorHAnsi" w:cstheme="minorHAnsi"/>
          <w:sz w:val="21"/>
          <w:szCs w:val="21"/>
        </w:rPr>
        <w:t>ember</w:t>
      </w:r>
      <w:r w:rsidR="001012E7" w:rsidRPr="001A09D1">
        <w:rPr>
          <w:rFonts w:asciiTheme="minorHAnsi" w:hAnsiTheme="minorHAnsi" w:cstheme="minorHAnsi"/>
          <w:sz w:val="21"/>
          <w:szCs w:val="21"/>
        </w:rPr>
        <w:t>, Remote-Tokelau, Nauru</w:t>
      </w:r>
    </w:p>
    <w:p w14:paraId="5D515617" w14:textId="5251DE71" w:rsidR="00D25EC0" w:rsidRPr="001A09D1" w:rsidRDefault="00D25EC0" w:rsidP="000340B0">
      <w:pPr>
        <w:contextualSpacing/>
        <w:rPr>
          <w:rFonts w:cstheme="minorHAnsi"/>
          <w:bCs/>
          <w:sz w:val="21"/>
          <w:szCs w:val="21"/>
        </w:rPr>
      </w:pPr>
      <w:r w:rsidRPr="001A09D1">
        <w:rPr>
          <w:rFonts w:cstheme="minorHAnsi"/>
          <w:bCs/>
          <w:sz w:val="21"/>
          <w:szCs w:val="21"/>
        </w:rPr>
        <w:t>Ms. Cate Sumner provide</w:t>
      </w:r>
      <w:r w:rsidR="00D073C3" w:rsidRPr="001A09D1">
        <w:rPr>
          <w:rFonts w:cstheme="minorHAnsi"/>
          <w:bCs/>
          <w:sz w:val="21"/>
          <w:szCs w:val="21"/>
        </w:rPr>
        <w:t xml:space="preserve">d remote support and assistance with the preparation of data for court annual reporting with the courts of Nauru and Tokelau. </w:t>
      </w:r>
      <w:r w:rsidRPr="001A09D1">
        <w:rPr>
          <w:rFonts w:cstheme="minorHAnsi"/>
          <w:bCs/>
          <w:sz w:val="21"/>
          <w:szCs w:val="21"/>
        </w:rPr>
        <w:t xml:space="preserve">A range of court staff in Nauru and Tokelau received tailored support on </w:t>
      </w:r>
      <w:r w:rsidR="00A83339" w:rsidRPr="001A09D1">
        <w:rPr>
          <w:rFonts w:cstheme="minorHAnsi"/>
          <w:bCs/>
          <w:sz w:val="21"/>
          <w:szCs w:val="21"/>
        </w:rPr>
        <w:t>improving</w:t>
      </w:r>
      <w:r w:rsidRPr="001A09D1">
        <w:rPr>
          <w:rFonts w:cstheme="minorHAnsi"/>
          <w:bCs/>
          <w:sz w:val="21"/>
          <w:szCs w:val="21"/>
        </w:rPr>
        <w:t xml:space="preserve"> the presentation of court performance information in their Annual Reports. The discussion groups were small, allowing each court clerk to present the work of their island and ensure that they grasped the principles </w:t>
      </w:r>
      <w:r w:rsidR="00A83339" w:rsidRPr="001A09D1">
        <w:rPr>
          <w:rFonts w:cstheme="minorHAnsi"/>
          <w:bCs/>
          <w:sz w:val="21"/>
          <w:szCs w:val="21"/>
        </w:rPr>
        <w:t>and ways in which to</w:t>
      </w:r>
      <w:r w:rsidRPr="001A09D1">
        <w:rPr>
          <w:rFonts w:cstheme="minorHAnsi"/>
          <w:bCs/>
          <w:sz w:val="21"/>
          <w:szCs w:val="21"/>
        </w:rPr>
        <w:t xml:space="preserve"> present data using the chart creator tools developed under PJDP/ PJSI.</w:t>
      </w:r>
    </w:p>
    <w:p w14:paraId="06A6F329" w14:textId="5829F389" w:rsidR="00D073C3" w:rsidRPr="001A09D1" w:rsidRDefault="00D073C3" w:rsidP="000340B0">
      <w:pPr>
        <w:contextualSpacing/>
        <w:rPr>
          <w:rFonts w:cstheme="minorHAnsi"/>
          <w:bCs/>
          <w:sz w:val="21"/>
          <w:szCs w:val="21"/>
        </w:rPr>
      </w:pPr>
    </w:p>
    <w:p w14:paraId="4D1C461B" w14:textId="1E423A7C" w:rsidR="001012E7" w:rsidRPr="001A09D1" w:rsidRDefault="001012E7" w:rsidP="000340B0">
      <w:pPr>
        <w:contextualSpacing/>
        <w:rPr>
          <w:rFonts w:cstheme="minorHAnsi"/>
          <w:b/>
          <w:bCs/>
          <w:sz w:val="21"/>
          <w:szCs w:val="21"/>
        </w:rPr>
      </w:pPr>
      <w:r w:rsidRPr="001A09D1">
        <w:rPr>
          <w:rFonts w:cstheme="minorHAnsi"/>
          <w:b/>
          <w:bCs/>
          <w:sz w:val="21"/>
          <w:szCs w:val="21"/>
        </w:rPr>
        <w:t>2021</w:t>
      </w:r>
      <w:r w:rsidRPr="001A09D1">
        <w:rPr>
          <w:rFonts w:cstheme="minorHAnsi"/>
          <w:b/>
          <w:bCs/>
          <w:sz w:val="21"/>
          <w:szCs w:val="21"/>
        </w:rPr>
        <w:tab/>
        <w:t>Remote Implementation of a Case Tracking System (CTS), July, Remote-Niue</w:t>
      </w:r>
      <w:r w:rsidRPr="001A09D1">
        <w:rPr>
          <w:rFonts w:cstheme="minorHAnsi"/>
          <w:b/>
          <w:bCs/>
          <w:sz w:val="21"/>
          <w:szCs w:val="21"/>
        </w:rPr>
        <w:tab/>
      </w:r>
    </w:p>
    <w:p w14:paraId="6CEF9CFF" w14:textId="0A16A917" w:rsidR="00D25EC0" w:rsidRPr="001A09D1" w:rsidRDefault="00D25EC0" w:rsidP="000340B0">
      <w:pPr>
        <w:contextualSpacing/>
        <w:rPr>
          <w:rFonts w:cstheme="minorHAnsi"/>
          <w:bCs/>
          <w:sz w:val="21"/>
          <w:szCs w:val="21"/>
        </w:rPr>
      </w:pPr>
      <w:r w:rsidRPr="001A09D1">
        <w:rPr>
          <w:rFonts w:cstheme="minorHAnsi"/>
          <w:bCs/>
          <w:sz w:val="21"/>
          <w:szCs w:val="21"/>
        </w:rPr>
        <w:t xml:space="preserve">Mr. Tony Lansdell </w:t>
      </w:r>
      <w:r w:rsidR="00A83339" w:rsidRPr="001A09D1">
        <w:rPr>
          <w:rFonts w:cstheme="minorHAnsi"/>
          <w:bCs/>
          <w:sz w:val="21"/>
          <w:szCs w:val="21"/>
        </w:rPr>
        <w:t xml:space="preserve">and Mr. Karae Vurobaravu </w:t>
      </w:r>
      <w:r w:rsidRPr="001A09D1">
        <w:rPr>
          <w:rFonts w:cstheme="minorHAnsi"/>
          <w:bCs/>
          <w:sz w:val="21"/>
          <w:szCs w:val="21"/>
        </w:rPr>
        <w:t>remotely oversaw the implementation of</w:t>
      </w:r>
      <w:r w:rsidR="00971BDF">
        <w:rPr>
          <w:rFonts w:cstheme="minorHAnsi"/>
          <w:bCs/>
          <w:sz w:val="21"/>
          <w:szCs w:val="21"/>
        </w:rPr>
        <w:t xml:space="preserve"> a Case Tracking System (CTS) for</w:t>
      </w:r>
      <w:r w:rsidRPr="001A09D1">
        <w:rPr>
          <w:rFonts w:cstheme="minorHAnsi"/>
          <w:bCs/>
          <w:sz w:val="21"/>
          <w:szCs w:val="21"/>
        </w:rPr>
        <w:t xml:space="preserve"> the Niue </w:t>
      </w:r>
      <w:r w:rsidR="00971BDF">
        <w:rPr>
          <w:rFonts w:cstheme="minorHAnsi"/>
          <w:bCs/>
          <w:sz w:val="21"/>
          <w:szCs w:val="21"/>
        </w:rPr>
        <w:t>Judiciary</w:t>
      </w:r>
      <w:r w:rsidRPr="001A09D1">
        <w:rPr>
          <w:rFonts w:cstheme="minorHAnsi"/>
          <w:bCs/>
          <w:sz w:val="21"/>
          <w:szCs w:val="21"/>
        </w:rPr>
        <w:t>. The CTS was successfully delivered</w:t>
      </w:r>
      <w:r w:rsidR="00A83339" w:rsidRPr="001A09D1">
        <w:rPr>
          <w:rFonts w:cstheme="minorHAnsi"/>
          <w:bCs/>
          <w:sz w:val="21"/>
          <w:szCs w:val="21"/>
        </w:rPr>
        <w:t>,</w:t>
      </w:r>
      <w:r w:rsidRPr="001A09D1">
        <w:rPr>
          <w:rFonts w:cstheme="minorHAnsi"/>
          <w:bCs/>
          <w:sz w:val="21"/>
          <w:szCs w:val="21"/>
        </w:rPr>
        <w:t xml:space="preserve"> and </w:t>
      </w:r>
      <w:r w:rsidR="00A83339" w:rsidRPr="001A09D1">
        <w:rPr>
          <w:rFonts w:cstheme="minorHAnsi"/>
          <w:bCs/>
          <w:sz w:val="21"/>
          <w:szCs w:val="21"/>
        </w:rPr>
        <w:t>assists</w:t>
      </w:r>
      <w:r w:rsidRPr="001A09D1">
        <w:rPr>
          <w:rFonts w:cstheme="minorHAnsi"/>
          <w:bCs/>
          <w:sz w:val="21"/>
          <w:szCs w:val="21"/>
        </w:rPr>
        <w:t xml:space="preserve"> the </w:t>
      </w:r>
      <w:r w:rsidR="00A83339" w:rsidRPr="001A09D1">
        <w:rPr>
          <w:rFonts w:cstheme="minorHAnsi"/>
          <w:bCs/>
          <w:sz w:val="21"/>
          <w:szCs w:val="21"/>
        </w:rPr>
        <w:t>c</w:t>
      </w:r>
      <w:r w:rsidRPr="001A09D1">
        <w:rPr>
          <w:rFonts w:cstheme="minorHAnsi"/>
          <w:bCs/>
          <w:sz w:val="21"/>
          <w:szCs w:val="21"/>
        </w:rPr>
        <w:t>ourt to better manage their caseloads, provides significant efficiency b</w:t>
      </w:r>
      <w:r w:rsidR="00A83339" w:rsidRPr="001A09D1">
        <w:rPr>
          <w:rFonts w:cstheme="minorHAnsi"/>
          <w:bCs/>
          <w:sz w:val="21"/>
          <w:szCs w:val="21"/>
        </w:rPr>
        <w:t xml:space="preserve">enefits to all, and allows simple and </w:t>
      </w:r>
      <w:r w:rsidRPr="001A09D1">
        <w:rPr>
          <w:rFonts w:cstheme="minorHAnsi"/>
          <w:bCs/>
          <w:sz w:val="21"/>
          <w:szCs w:val="21"/>
        </w:rPr>
        <w:t>secure access to all case and document records across the court.</w:t>
      </w:r>
      <w:r w:rsidR="00A83339" w:rsidRPr="001A09D1">
        <w:rPr>
          <w:rFonts w:cstheme="minorHAnsi"/>
          <w:bCs/>
          <w:sz w:val="21"/>
          <w:szCs w:val="21"/>
        </w:rPr>
        <w:t xml:space="preserve"> </w:t>
      </w:r>
    </w:p>
    <w:p w14:paraId="150362E0" w14:textId="77777777" w:rsidR="00D25EC0" w:rsidRPr="001A09D1" w:rsidRDefault="00D25EC0" w:rsidP="000340B0">
      <w:pPr>
        <w:contextualSpacing/>
        <w:rPr>
          <w:rFonts w:cstheme="minorHAnsi"/>
          <w:bCs/>
          <w:sz w:val="21"/>
          <w:szCs w:val="21"/>
        </w:rPr>
      </w:pPr>
    </w:p>
    <w:p w14:paraId="2426C4C1" w14:textId="58E5DA87" w:rsidR="001012E7" w:rsidRPr="001A09D1" w:rsidRDefault="001012E7" w:rsidP="000340B0">
      <w:pPr>
        <w:contextualSpacing/>
        <w:rPr>
          <w:rFonts w:cstheme="minorHAnsi"/>
          <w:b/>
          <w:bCs/>
          <w:sz w:val="21"/>
          <w:szCs w:val="21"/>
        </w:rPr>
      </w:pPr>
      <w:r w:rsidRPr="001A09D1">
        <w:rPr>
          <w:rFonts w:cstheme="minorHAnsi"/>
          <w:b/>
          <w:bCs/>
          <w:sz w:val="21"/>
          <w:szCs w:val="21"/>
        </w:rPr>
        <w:t>2021</w:t>
      </w:r>
      <w:r w:rsidRPr="001A09D1">
        <w:rPr>
          <w:rFonts w:cstheme="minorHAnsi"/>
          <w:b/>
          <w:bCs/>
          <w:sz w:val="21"/>
          <w:szCs w:val="21"/>
        </w:rPr>
        <w:tab/>
        <w:t xml:space="preserve">Remote Court Proceedings Toolkit Pilot </w:t>
      </w:r>
      <w:r w:rsidR="00AC6ED3" w:rsidRPr="001A09D1">
        <w:rPr>
          <w:rFonts w:cstheme="minorHAnsi"/>
          <w:b/>
          <w:bCs/>
          <w:sz w:val="21"/>
          <w:szCs w:val="21"/>
        </w:rPr>
        <w:t>Discussions</w:t>
      </w:r>
      <w:r w:rsidRPr="001A09D1">
        <w:rPr>
          <w:rFonts w:cstheme="minorHAnsi"/>
          <w:b/>
          <w:bCs/>
          <w:sz w:val="21"/>
          <w:szCs w:val="21"/>
        </w:rPr>
        <w:t xml:space="preserve"> July</w:t>
      </w:r>
      <w:r w:rsidR="00971BDF">
        <w:rPr>
          <w:rFonts w:cstheme="minorHAnsi"/>
          <w:b/>
          <w:bCs/>
          <w:sz w:val="21"/>
          <w:szCs w:val="21"/>
        </w:rPr>
        <w:t>-</w:t>
      </w:r>
      <w:r w:rsidR="00D25EC0" w:rsidRPr="001A09D1">
        <w:rPr>
          <w:rFonts w:cstheme="minorHAnsi"/>
          <w:b/>
          <w:bCs/>
          <w:sz w:val="21"/>
          <w:szCs w:val="21"/>
        </w:rPr>
        <w:t>September</w:t>
      </w:r>
      <w:r w:rsidRPr="001A09D1">
        <w:rPr>
          <w:rFonts w:cstheme="minorHAnsi"/>
          <w:b/>
          <w:bCs/>
          <w:sz w:val="21"/>
          <w:szCs w:val="21"/>
        </w:rPr>
        <w:t>, Remote</w:t>
      </w:r>
      <w:r w:rsidR="00971BDF">
        <w:rPr>
          <w:rFonts w:cstheme="minorHAnsi"/>
          <w:b/>
          <w:bCs/>
          <w:sz w:val="21"/>
          <w:szCs w:val="21"/>
        </w:rPr>
        <w:t>-</w:t>
      </w:r>
      <w:r w:rsidRPr="001A09D1">
        <w:rPr>
          <w:rFonts w:cstheme="minorHAnsi"/>
          <w:b/>
          <w:bCs/>
          <w:sz w:val="21"/>
          <w:szCs w:val="21"/>
        </w:rPr>
        <w:t>Niue, Cook Islands, Solomon Islands, Tonga, RMI</w:t>
      </w:r>
      <w:r w:rsidRPr="001A09D1">
        <w:rPr>
          <w:rFonts w:cstheme="minorHAnsi"/>
          <w:b/>
          <w:bCs/>
          <w:sz w:val="21"/>
          <w:szCs w:val="21"/>
        </w:rPr>
        <w:tab/>
      </w:r>
    </w:p>
    <w:p w14:paraId="05917C0C" w14:textId="33A83E72" w:rsidR="00AC6ED3" w:rsidRPr="001A09D1" w:rsidRDefault="00D25EC0" w:rsidP="000340B0">
      <w:pPr>
        <w:contextualSpacing/>
        <w:rPr>
          <w:rFonts w:cstheme="minorHAnsi"/>
          <w:bCs/>
          <w:sz w:val="21"/>
          <w:szCs w:val="21"/>
        </w:rPr>
      </w:pPr>
      <w:r w:rsidRPr="001A09D1">
        <w:rPr>
          <w:rFonts w:cstheme="minorHAnsi"/>
          <w:bCs/>
          <w:sz w:val="21"/>
          <w:szCs w:val="21"/>
        </w:rPr>
        <w:t>Ms</w:t>
      </w:r>
      <w:r w:rsidR="00971BDF">
        <w:rPr>
          <w:rFonts w:cstheme="minorHAnsi"/>
          <w:bCs/>
          <w:sz w:val="21"/>
          <w:szCs w:val="21"/>
        </w:rPr>
        <w:t>.</w:t>
      </w:r>
      <w:r w:rsidRPr="001A09D1">
        <w:rPr>
          <w:rFonts w:cstheme="minorHAnsi"/>
          <w:bCs/>
          <w:sz w:val="21"/>
          <w:szCs w:val="21"/>
        </w:rPr>
        <w:t xml:space="preserve"> Jennifer Akers</w:t>
      </w:r>
      <w:r w:rsidR="00AC6ED3" w:rsidRPr="001A09D1">
        <w:rPr>
          <w:rFonts w:cstheme="minorHAnsi"/>
          <w:bCs/>
          <w:sz w:val="21"/>
          <w:szCs w:val="21"/>
        </w:rPr>
        <w:t xml:space="preserve"> and Mr</w:t>
      </w:r>
      <w:r w:rsidR="00971BDF">
        <w:rPr>
          <w:rFonts w:cstheme="minorHAnsi"/>
          <w:bCs/>
          <w:sz w:val="21"/>
          <w:szCs w:val="21"/>
        </w:rPr>
        <w:t>.</w:t>
      </w:r>
      <w:r w:rsidR="00AC6ED3" w:rsidRPr="001A09D1">
        <w:rPr>
          <w:rFonts w:cstheme="minorHAnsi"/>
          <w:bCs/>
          <w:sz w:val="21"/>
          <w:szCs w:val="21"/>
        </w:rPr>
        <w:t xml:space="preserve"> Tony Lansdell conducted multiple</w:t>
      </w:r>
      <w:r w:rsidR="00A83339" w:rsidRPr="001A09D1">
        <w:rPr>
          <w:rFonts w:cstheme="minorHAnsi"/>
          <w:bCs/>
          <w:sz w:val="21"/>
          <w:szCs w:val="21"/>
        </w:rPr>
        <w:t xml:space="preserve"> RCP Toolkit follow-up</w:t>
      </w:r>
      <w:r w:rsidR="00AC6ED3" w:rsidRPr="001A09D1">
        <w:rPr>
          <w:rFonts w:cstheme="minorHAnsi"/>
          <w:bCs/>
          <w:sz w:val="21"/>
          <w:szCs w:val="21"/>
        </w:rPr>
        <w:t xml:space="preserve"> discussions with Niue, Cook Islands, Tonga and Solomon Islands</w:t>
      </w:r>
      <w:r w:rsidR="00A83339" w:rsidRPr="001A09D1">
        <w:rPr>
          <w:rFonts w:cstheme="minorHAnsi"/>
          <w:bCs/>
          <w:sz w:val="21"/>
          <w:szCs w:val="21"/>
        </w:rPr>
        <w:t>, and</w:t>
      </w:r>
      <w:r w:rsidR="00AC6ED3" w:rsidRPr="001A09D1">
        <w:rPr>
          <w:rFonts w:cstheme="minorHAnsi"/>
          <w:bCs/>
          <w:sz w:val="21"/>
          <w:szCs w:val="21"/>
        </w:rPr>
        <w:t xml:space="preserve"> </w:t>
      </w:r>
      <w:r w:rsidR="00A83339" w:rsidRPr="001A09D1">
        <w:rPr>
          <w:rFonts w:cstheme="minorHAnsi"/>
          <w:bCs/>
          <w:sz w:val="21"/>
          <w:szCs w:val="21"/>
        </w:rPr>
        <w:t>further piloted the Toolkit</w:t>
      </w:r>
      <w:r w:rsidR="00AC6ED3" w:rsidRPr="001A09D1">
        <w:rPr>
          <w:rFonts w:cstheme="minorHAnsi"/>
          <w:bCs/>
          <w:sz w:val="21"/>
          <w:szCs w:val="21"/>
        </w:rPr>
        <w:t xml:space="preserve"> with RMI. The discussions</w:t>
      </w:r>
      <w:r w:rsidR="00A83339" w:rsidRPr="001A09D1">
        <w:rPr>
          <w:rFonts w:cstheme="minorHAnsi"/>
          <w:bCs/>
          <w:sz w:val="21"/>
          <w:szCs w:val="21"/>
        </w:rPr>
        <w:t xml:space="preserve"> aimed to improve each court’s RCP capabilities and produced Remote Court Proceedings Action Plans. </w:t>
      </w:r>
    </w:p>
    <w:p w14:paraId="664A7F25" w14:textId="0EA22264" w:rsidR="001012E7" w:rsidRPr="001A09D1" w:rsidRDefault="001012E7" w:rsidP="000340B0">
      <w:pPr>
        <w:contextualSpacing/>
        <w:rPr>
          <w:rFonts w:cstheme="minorHAnsi"/>
          <w:b/>
          <w:bCs/>
          <w:i/>
          <w:sz w:val="21"/>
          <w:szCs w:val="21"/>
        </w:rPr>
      </w:pPr>
    </w:p>
    <w:p w14:paraId="52FC8B47" w14:textId="77777777" w:rsidR="001012E7" w:rsidRPr="001A09D1" w:rsidRDefault="001012E7" w:rsidP="000340B0">
      <w:pPr>
        <w:contextualSpacing/>
        <w:rPr>
          <w:rFonts w:cstheme="minorHAnsi"/>
          <w:b/>
          <w:bCs/>
          <w:i/>
          <w:sz w:val="21"/>
          <w:szCs w:val="21"/>
        </w:rPr>
      </w:pPr>
      <w:r w:rsidRPr="001A09D1">
        <w:rPr>
          <w:rFonts w:cstheme="minorHAnsi"/>
          <w:b/>
          <w:bCs/>
          <w:i/>
          <w:sz w:val="21"/>
          <w:szCs w:val="21"/>
        </w:rPr>
        <w:t>Leadership Incentive Fund Activities</w:t>
      </w:r>
    </w:p>
    <w:p w14:paraId="3D77FEA8" w14:textId="77777777" w:rsidR="001012E7" w:rsidRPr="001A09D1" w:rsidRDefault="001012E7" w:rsidP="000340B0">
      <w:pPr>
        <w:ind w:left="360"/>
        <w:contextualSpacing/>
        <w:rPr>
          <w:rFonts w:cstheme="minorHAnsi"/>
          <w:bCs/>
          <w:sz w:val="21"/>
          <w:szCs w:val="21"/>
        </w:rPr>
      </w:pPr>
      <w:r w:rsidRPr="001A09D1">
        <w:rPr>
          <w:rFonts w:cstheme="minorHAnsi"/>
          <w:b/>
          <w:bCs/>
          <w:sz w:val="21"/>
          <w:szCs w:val="21"/>
        </w:rPr>
        <w:t>2021</w:t>
      </w:r>
      <w:r w:rsidRPr="001A09D1">
        <w:rPr>
          <w:rFonts w:cstheme="minorHAnsi"/>
          <w:b/>
          <w:bCs/>
          <w:sz w:val="21"/>
          <w:szCs w:val="21"/>
        </w:rPr>
        <w:tab/>
      </w:r>
      <w:r w:rsidRPr="001A09D1">
        <w:rPr>
          <w:rFonts w:cstheme="minorHAnsi"/>
          <w:bCs/>
          <w:sz w:val="21"/>
          <w:szCs w:val="21"/>
        </w:rPr>
        <w:t>Case Tracking System Enhancement (small grant), RMI</w:t>
      </w:r>
    </w:p>
    <w:p w14:paraId="3F714108" w14:textId="77777777" w:rsidR="001012E7" w:rsidRPr="001A09D1" w:rsidRDefault="001012E7" w:rsidP="000340B0">
      <w:pPr>
        <w:ind w:left="360"/>
        <w:contextualSpacing/>
        <w:rPr>
          <w:rFonts w:cstheme="minorHAnsi"/>
          <w:bCs/>
          <w:sz w:val="21"/>
          <w:szCs w:val="21"/>
        </w:rPr>
      </w:pPr>
      <w:r w:rsidRPr="001A09D1">
        <w:rPr>
          <w:rFonts w:cstheme="minorHAnsi"/>
          <w:b/>
          <w:bCs/>
          <w:sz w:val="21"/>
          <w:szCs w:val="21"/>
        </w:rPr>
        <w:t xml:space="preserve">2021 </w:t>
      </w:r>
      <w:r w:rsidRPr="001A09D1">
        <w:rPr>
          <w:rFonts w:cstheme="minorHAnsi"/>
          <w:b/>
          <w:bCs/>
          <w:sz w:val="21"/>
          <w:szCs w:val="21"/>
        </w:rPr>
        <w:tab/>
      </w:r>
      <w:r w:rsidRPr="001A09D1">
        <w:rPr>
          <w:rFonts w:cstheme="minorHAnsi"/>
          <w:bCs/>
          <w:sz w:val="21"/>
          <w:szCs w:val="21"/>
        </w:rPr>
        <w:t>Customer Service Training (small grant), PNG</w:t>
      </w:r>
    </w:p>
    <w:p w14:paraId="76D8AD1D" w14:textId="77777777" w:rsidR="001012E7" w:rsidRPr="001A09D1" w:rsidRDefault="001012E7" w:rsidP="000340B0">
      <w:pPr>
        <w:ind w:left="360"/>
        <w:contextualSpacing/>
        <w:rPr>
          <w:rFonts w:cstheme="minorHAnsi"/>
          <w:bCs/>
          <w:sz w:val="21"/>
          <w:szCs w:val="21"/>
        </w:rPr>
      </w:pPr>
      <w:r w:rsidRPr="001A09D1">
        <w:rPr>
          <w:rFonts w:cstheme="minorHAnsi"/>
          <w:b/>
          <w:bCs/>
          <w:sz w:val="21"/>
          <w:szCs w:val="21"/>
        </w:rPr>
        <w:t>2021</w:t>
      </w:r>
      <w:r w:rsidRPr="001A09D1">
        <w:rPr>
          <w:rFonts w:cstheme="minorHAnsi"/>
          <w:b/>
          <w:bCs/>
          <w:sz w:val="21"/>
          <w:szCs w:val="21"/>
        </w:rPr>
        <w:tab/>
      </w:r>
      <w:r w:rsidRPr="001A09D1">
        <w:rPr>
          <w:rFonts w:cstheme="minorHAnsi"/>
          <w:bCs/>
          <w:sz w:val="21"/>
          <w:szCs w:val="21"/>
        </w:rPr>
        <w:t>Community Awareness Program (small grant), PNG</w:t>
      </w:r>
    </w:p>
    <w:p w14:paraId="7176303C" w14:textId="77777777" w:rsidR="001012E7" w:rsidRPr="001A09D1" w:rsidRDefault="001012E7" w:rsidP="000340B0">
      <w:pPr>
        <w:ind w:left="360"/>
        <w:contextualSpacing/>
        <w:rPr>
          <w:rFonts w:cstheme="minorHAnsi"/>
          <w:bCs/>
          <w:sz w:val="21"/>
          <w:szCs w:val="21"/>
        </w:rPr>
      </w:pPr>
      <w:r w:rsidRPr="001A09D1">
        <w:rPr>
          <w:rFonts w:cstheme="minorHAnsi"/>
          <w:b/>
          <w:bCs/>
          <w:sz w:val="21"/>
          <w:szCs w:val="21"/>
        </w:rPr>
        <w:t>2021</w:t>
      </w:r>
      <w:r w:rsidRPr="001A09D1">
        <w:rPr>
          <w:rFonts w:cstheme="minorHAnsi"/>
          <w:b/>
          <w:bCs/>
          <w:sz w:val="21"/>
          <w:szCs w:val="21"/>
        </w:rPr>
        <w:tab/>
      </w:r>
      <w:r w:rsidRPr="001A09D1">
        <w:rPr>
          <w:rFonts w:cstheme="minorHAnsi"/>
          <w:bCs/>
          <w:sz w:val="21"/>
          <w:szCs w:val="21"/>
        </w:rPr>
        <w:t>Judges Conference (small grant), Samoa</w:t>
      </w:r>
    </w:p>
    <w:p w14:paraId="5E2573FE" w14:textId="562629E9" w:rsidR="001012E7" w:rsidRPr="001A09D1" w:rsidRDefault="001012E7" w:rsidP="000340B0">
      <w:pPr>
        <w:ind w:left="360"/>
        <w:contextualSpacing/>
        <w:rPr>
          <w:rFonts w:cstheme="minorHAnsi"/>
          <w:bCs/>
          <w:sz w:val="21"/>
          <w:szCs w:val="21"/>
        </w:rPr>
      </w:pPr>
      <w:r w:rsidRPr="001A09D1">
        <w:rPr>
          <w:rFonts w:cstheme="minorHAnsi"/>
          <w:b/>
          <w:bCs/>
          <w:sz w:val="21"/>
          <w:szCs w:val="21"/>
        </w:rPr>
        <w:t>2021</w:t>
      </w:r>
      <w:r w:rsidRPr="001A09D1">
        <w:rPr>
          <w:rFonts w:cstheme="minorHAnsi"/>
          <w:b/>
          <w:bCs/>
          <w:sz w:val="21"/>
          <w:szCs w:val="21"/>
        </w:rPr>
        <w:tab/>
      </w:r>
      <w:r w:rsidRPr="001A09D1">
        <w:rPr>
          <w:rFonts w:cstheme="minorHAnsi"/>
          <w:bCs/>
          <w:sz w:val="21"/>
          <w:szCs w:val="21"/>
        </w:rPr>
        <w:t xml:space="preserve">Orientation of Lay Justices on Epi </w:t>
      </w:r>
      <w:r w:rsidR="00A83339" w:rsidRPr="001A09D1">
        <w:rPr>
          <w:rFonts w:cstheme="minorHAnsi"/>
          <w:bCs/>
          <w:sz w:val="21"/>
          <w:szCs w:val="21"/>
        </w:rPr>
        <w:t xml:space="preserve">Island </w:t>
      </w:r>
      <w:r w:rsidRPr="001A09D1">
        <w:rPr>
          <w:rFonts w:cstheme="minorHAnsi"/>
          <w:bCs/>
          <w:sz w:val="21"/>
          <w:szCs w:val="21"/>
        </w:rPr>
        <w:t>(small grant), Vanuatu</w:t>
      </w:r>
    </w:p>
    <w:p w14:paraId="5DDFBD66" w14:textId="77777777" w:rsidR="001012E7" w:rsidRPr="001A09D1" w:rsidRDefault="001012E7" w:rsidP="000340B0">
      <w:pPr>
        <w:ind w:left="360"/>
        <w:contextualSpacing/>
        <w:rPr>
          <w:rFonts w:cstheme="minorHAnsi"/>
          <w:bCs/>
          <w:sz w:val="21"/>
          <w:szCs w:val="21"/>
        </w:rPr>
      </w:pPr>
      <w:r w:rsidRPr="001A09D1">
        <w:rPr>
          <w:rFonts w:cstheme="minorHAnsi"/>
          <w:b/>
          <w:bCs/>
          <w:sz w:val="21"/>
          <w:szCs w:val="21"/>
        </w:rPr>
        <w:t>2021</w:t>
      </w:r>
      <w:r w:rsidRPr="001A09D1">
        <w:rPr>
          <w:rFonts w:cstheme="minorHAnsi"/>
          <w:b/>
          <w:bCs/>
          <w:sz w:val="21"/>
          <w:szCs w:val="21"/>
        </w:rPr>
        <w:tab/>
      </w:r>
      <w:r w:rsidRPr="001A09D1">
        <w:rPr>
          <w:rFonts w:cstheme="minorHAnsi"/>
          <w:bCs/>
          <w:sz w:val="21"/>
          <w:szCs w:val="21"/>
        </w:rPr>
        <w:t>Fundamentals of Justice Training (large grant), PNG</w:t>
      </w:r>
    </w:p>
    <w:p w14:paraId="6B71E1FF" w14:textId="77777777" w:rsidR="001012E7" w:rsidRPr="001A09D1" w:rsidRDefault="001012E7" w:rsidP="000340B0">
      <w:pPr>
        <w:ind w:left="360"/>
        <w:contextualSpacing/>
        <w:rPr>
          <w:rFonts w:cstheme="minorHAnsi"/>
          <w:bCs/>
          <w:sz w:val="21"/>
          <w:szCs w:val="21"/>
        </w:rPr>
      </w:pPr>
      <w:r w:rsidRPr="001A09D1">
        <w:rPr>
          <w:rFonts w:cstheme="minorHAnsi"/>
          <w:b/>
          <w:bCs/>
          <w:sz w:val="21"/>
          <w:szCs w:val="21"/>
        </w:rPr>
        <w:t>2021</w:t>
      </w:r>
      <w:r w:rsidRPr="001A09D1">
        <w:rPr>
          <w:rFonts w:cstheme="minorHAnsi"/>
          <w:b/>
          <w:bCs/>
          <w:sz w:val="21"/>
          <w:szCs w:val="21"/>
        </w:rPr>
        <w:tab/>
      </w:r>
      <w:r w:rsidRPr="001A09D1">
        <w:rPr>
          <w:rFonts w:cstheme="minorHAnsi"/>
          <w:bCs/>
          <w:sz w:val="21"/>
          <w:szCs w:val="21"/>
        </w:rPr>
        <w:t>Certificate and Diploma of Justice 2021 (Semester 2, 2021) (small grant), Tonga</w:t>
      </w:r>
    </w:p>
    <w:p w14:paraId="0AF7DBB7" w14:textId="77777777" w:rsidR="001012E7" w:rsidRPr="001A09D1" w:rsidRDefault="001012E7" w:rsidP="000340B0">
      <w:pPr>
        <w:ind w:left="360"/>
        <w:contextualSpacing/>
        <w:rPr>
          <w:rFonts w:cstheme="minorHAnsi"/>
          <w:bCs/>
          <w:sz w:val="21"/>
          <w:szCs w:val="21"/>
        </w:rPr>
      </w:pPr>
      <w:r w:rsidRPr="001A09D1">
        <w:rPr>
          <w:rFonts w:cstheme="minorHAnsi"/>
          <w:b/>
          <w:bCs/>
          <w:sz w:val="21"/>
          <w:szCs w:val="21"/>
        </w:rPr>
        <w:t>2021</w:t>
      </w:r>
      <w:r w:rsidRPr="001A09D1">
        <w:rPr>
          <w:rFonts w:cstheme="minorHAnsi"/>
          <w:b/>
          <w:bCs/>
          <w:sz w:val="21"/>
          <w:szCs w:val="21"/>
        </w:rPr>
        <w:tab/>
      </w:r>
      <w:r w:rsidRPr="001A09D1">
        <w:rPr>
          <w:rFonts w:cstheme="minorHAnsi"/>
          <w:bCs/>
          <w:sz w:val="21"/>
          <w:szCs w:val="21"/>
        </w:rPr>
        <w:t>Printing of Pamphlets (small grant), Vanuatu</w:t>
      </w:r>
    </w:p>
    <w:p w14:paraId="61B4BA7E" w14:textId="77777777" w:rsidR="001012E7" w:rsidRPr="001A09D1" w:rsidRDefault="001012E7" w:rsidP="000340B0">
      <w:pPr>
        <w:ind w:left="1440" w:hanging="1080"/>
        <w:contextualSpacing/>
        <w:rPr>
          <w:rFonts w:cstheme="minorHAnsi"/>
          <w:bCs/>
          <w:sz w:val="21"/>
          <w:szCs w:val="21"/>
        </w:rPr>
      </w:pPr>
      <w:r w:rsidRPr="001A09D1">
        <w:rPr>
          <w:rFonts w:cstheme="minorHAnsi"/>
          <w:b/>
          <w:bCs/>
          <w:sz w:val="21"/>
          <w:szCs w:val="21"/>
        </w:rPr>
        <w:t>2021</w:t>
      </w:r>
      <w:r w:rsidRPr="001A09D1">
        <w:rPr>
          <w:rFonts w:cstheme="minorHAnsi"/>
          <w:b/>
          <w:bCs/>
          <w:sz w:val="21"/>
          <w:szCs w:val="21"/>
        </w:rPr>
        <w:tab/>
      </w:r>
      <w:r w:rsidRPr="001A09D1">
        <w:rPr>
          <w:rFonts w:cstheme="minorHAnsi"/>
          <w:bCs/>
          <w:sz w:val="21"/>
          <w:szCs w:val="21"/>
        </w:rPr>
        <w:t>Certificate and Diploma of Justice 2021 (Semester 2, 2021) (small grant), Solomon Islands</w:t>
      </w:r>
    </w:p>
    <w:p w14:paraId="6D636AC2" w14:textId="5D015317" w:rsidR="001012E7" w:rsidRPr="001A09D1" w:rsidRDefault="001012E7" w:rsidP="000340B0">
      <w:pPr>
        <w:ind w:left="1440" w:hanging="1080"/>
        <w:contextualSpacing/>
        <w:rPr>
          <w:rFonts w:cstheme="minorHAnsi"/>
          <w:bCs/>
          <w:sz w:val="21"/>
          <w:szCs w:val="21"/>
        </w:rPr>
      </w:pPr>
      <w:r w:rsidRPr="001A09D1">
        <w:rPr>
          <w:rFonts w:cstheme="minorHAnsi"/>
          <w:b/>
          <w:bCs/>
          <w:sz w:val="21"/>
          <w:szCs w:val="21"/>
        </w:rPr>
        <w:t>2021</w:t>
      </w:r>
      <w:r w:rsidRPr="001A09D1">
        <w:rPr>
          <w:rFonts w:cstheme="minorHAnsi"/>
          <w:b/>
          <w:bCs/>
          <w:sz w:val="21"/>
          <w:szCs w:val="21"/>
        </w:rPr>
        <w:tab/>
      </w:r>
      <w:r w:rsidRPr="001A09D1">
        <w:rPr>
          <w:rFonts w:cstheme="minorHAnsi"/>
          <w:bCs/>
          <w:sz w:val="21"/>
          <w:szCs w:val="21"/>
        </w:rPr>
        <w:t>Remote Court Proceedings</w:t>
      </w:r>
      <w:r w:rsidR="00A83339" w:rsidRPr="001A09D1">
        <w:rPr>
          <w:rFonts w:cstheme="minorHAnsi"/>
          <w:bCs/>
          <w:sz w:val="21"/>
          <w:szCs w:val="21"/>
        </w:rPr>
        <w:t xml:space="preserve"> Equipment</w:t>
      </w:r>
      <w:r w:rsidRPr="001A09D1">
        <w:rPr>
          <w:rFonts w:cstheme="minorHAnsi"/>
          <w:bCs/>
          <w:sz w:val="21"/>
          <w:szCs w:val="21"/>
        </w:rPr>
        <w:t xml:space="preserve"> (small grant), Vanuatu</w:t>
      </w:r>
    </w:p>
    <w:p w14:paraId="26B34453" w14:textId="1C0D2089" w:rsidR="003D2FBF" w:rsidRPr="001012E7" w:rsidRDefault="003D2FBF" w:rsidP="001012E7">
      <w:pPr>
        <w:spacing w:after="160" w:line="259" w:lineRule="auto"/>
        <w:rPr>
          <w:rFonts w:cstheme="minorHAnsi"/>
        </w:rPr>
      </w:pPr>
    </w:p>
    <w:sectPr w:rsidR="003D2FBF" w:rsidRPr="001012E7" w:rsidSect="00ED44AC">
      <w:headerReference w:type="default" r:id="rId253"/>
      <w:footerReference w:type="default" r:id="rId254"/>
      <w:pgSz w:w="11906" w:h="16838"/>
      <w:pgMar w:top="1559" w:right="1361" w:bottom="1418" w:left="1361"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82780B" w16cex:dateUtc="2022-01-07T03:27:00Z"/>
  <w16cex:commentExtensible w16cex:durableId="2582781E" w16cex:dateUtc="2022-01-07T03:28:00Z"/>
  <w16cex:commentExtensible w16cex:durableId="25828A5A" w16cex:dateUtc="2022-01-07T04:46:00Z"/>
  <w16cex:commentExtensible w16cex:durableId="25814BF3" w16cex:dateUtc="2021-12-22T11:40:00Z"/>
  <w16cex:commentExtensible w16cex:durableId="25828B53" w16cex:dateUtc="2022-01-07T04:50:00Z"/>
  <w16cex:commentExtensible w16cex:durableId="25828BE6" w16cex:dateUtc="2022-01-07T04:52:00Z"/>
  <w16cex:commentExtensible w16cex:durableId="25828C3E" w16cex:dateUtc="2022-01-07T04:54:00Z"/>
  <w16cex:commentExtensible w16cex:durableId="25828C4F" w16cex:dateUtc="2022-01-07T04:54:00Z"/>
  <w16cex:commentExtensible w16cex:durableId="25828CA9" w16cex:dateUtc="2022-01-07T04:55:00Z"/>
  <w16cex:commentExtensible w16cex:durableId="25828D3B" w16cex:dateUtc="2022-01-07T04:58:00Z"/>
  <w16cex:commentExtensible w16cex:durableId="25828F93" w16cex:dateUtc="2022-01-07T05:08:00Z"/>
  <w16cex:commentExtensible w16cex:durableId="25829085" w16cex:dateUtc="2022-01-07T05:12:00Z"/>
  <w16cex:commentExtensible w16cex:durableId="2582912A" w16cex:dateUtc="2022-01-07T05:1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32480E9" w16cid:durableId="2582780B"/>
  <w16cid:commentId w16cid:paraId="090D3CA4" w16cid:durableId="2582781E"/>
  <w16cid:commentId w16cid:paraId="27E1D021" w16cid:durableId="25828A5A"/>
  <w16cid:commentId w16cid:paraId="1AB7837B" w16cid:durableId="25814BF3"/>
  <w16cid:commentId w16cid:paraId="4F05EDEB" w16cid:durableId="25828B53"/>
  <w16cid:commentId w16cid:paraId="56FABFF7" w16cid:durableId="25828BE6"/>
  <w16cid:commentId w16cid:paraId="73BDA957" w16cid:durableId="25828C3E"/>
  <w16cid:commentId w16cid:paraId="66658BCE" w16cid:durableId="25828C4F"/>
  <w16cid:commentId w16cid:paraId="6A6C82D6" w16cid:durableId="25828CA9"/>
  <w16cid:commentId w16cid:paraId="57899EAB" w16cid:durableId="25828D3B"/>
  <w16cid:commentId w16cid:paraId="2F11F05B" w16cid:durableId="25828F93"/>
  <w16cid:commentId w16cid:paraId="16153FA4" w16cid:durableId="25829085"/>
  <w16cid:commentId w16cid:paraId="190C00F4" w16cid:durableId="2582912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F7C424" w14:textId="77777777" w:rsidR="001C138D" w:rsidRDefault="001C138D" w:rsidP="00181670">
      <w:r>
        <w:separator/>
      </w:r>
    </w:p>
    <w:p w14:paraId="0A2C545A" w14:textId="77777777" w:rsidR="001C138D" w:rsidRDefault="001C138D"/>
  </w:endnote>
  <w:endnote w:type="continuationSeparator" w:id="0">
    <w:p w14:paraId="37AE82FF" w14:textId="77777777" w:rsidR="001C138D" w:rsidRDefault="001C138D" w:rsidP="00181670">
      <w:r>
        <w:continuationSeparator/>
      </w:r>
    </w:p>
    <w:p w14:paraId="3CE43F76" w14:textId="77777777" w:rsidR="001C138D" w:rsidRDefault="001C13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rdia New">
    <w:altName w:val="Microsoft Sans Serif"/>
    <w:panose1 w:val="020B0304020202020204"/>
    <w:charset w:val="DE"/>
    <w:family w:val="swiss"/>
    <w:pitch w:val="variable"/>
    <w:sig w:usb0="00000000"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altName w:val="Leelawadee UI"/>
    <w:panose1 w:val="02020603050405020304"/>
    <w:charset w:val="DE"/>
    <w:family w:val="roman"/>
    <w:pitch w:val="variable"/>
    <w:sig w:usb0="00000000"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Optima">
    <w:altName w:val="﷽﷽﷽﷽﷽﷽﷽﷽E"/>
    <w:panose1 w:val="00000000000000000000"/>
    <w:charset w:val="00"/>
    <w:family w:val="swiss"/>
    <w:notTrueType/>
    <w:pitch w:val="variable"/>
    <w:sig w:usb0="00000003" w:usb1="00000000" w:usb2="00000000" w:usb3="00000000" w:csb0="00000001" w:csb1="00000000"/>
  </w:font>
  <w:font w:name="Optima-Italic">
    <w:altName w:val="Optima"/>
    <w:panose1 w:val="00000000000000000000"/>
    <w:charset w:val="4D"/>
    <w:family w:val="auto"/>
    <w:notTrueType/>
    <w:pitch w:val="default"/>
    <w:sig w:usb0="00000003" w:usb1="00000000" w:usb2="00000000" w:usb3="00000000" w:csb0="00000001" w:csb1="00000000"/>
  </w:font>
  <w:font w:name="Optima-Regular">
    <w:altName w:val="Calibri"/>
    <w:panose1 w:val="00000000000000000000"/>
    <w:charset w:val="4D"/>
    <w:family w:val="auto"/>
    <w:notTrueType/>
    <w:pitch w:val="default"/>
    <w:sig w:usb0="00000003" w:usb1="00000000" w:usb2="00000000" w:usb3="00000000" w:csb0="00000001" w:csb1="00000000"/>
  </w:font>
  <w:font w:name="Marcellus">
    <w:altName w:val="Candara"/>
    <w:charset w:val="00"/>
    <w:family w:val="swiss"/>
    <w:pitch w:val="variable"/>
    <w:sig w:usb0="00000001" w:usb1="4000004A" w:usb2="00000000" w:usb3="00000000" w:csb0="00000093" w:csb1="00000000"/>
  </w:font>
  <w:font w:name="0@¯/e'18ƒ…©∞EH">
    <w:altName w:val="Calibri"/>
    <w:panose1 w:val="00000000000000000000"/>
    <w:charset w:val="4D"/>
    <w:family w:val="auto"/>
    <w:notTrueType/>
    <w:pitch w:val="default"/>
    <w:sig w:usb0="00000003" w:usb1="00000000" w:usb2="00000000" w:usb3="00000000" w:csb0="00000001" w:csb1="00000000"/>
  </w:font>
  <w:font w:name="CKBUWN+Optima-Regular">
    <w:altName w:val="Arial"/>
    <w:charset w:val="4D"/>
    <w:family w:val="swiss"/>
    <w:pitch w:val="default"/>
    <w:sig w:usb0="00000003" w:usb1="00000000" w:usb2="00000000" w:usb3="00000000" w:csb0="00000001" w:csb1="00000000"/>
  </w:font>
  <w:font w:name="HelveticaNeue-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729DB" w14:textId="77777777" w:rsidR="00D4303F" w:rsidRDefault="00D4303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655455340"/>
      <w:docPartObj>
        <w:docPartGallery w:val="Page Numbers (Bottom of Page)"/>
        <w:docPartUnique/>
      </w:docPartObj>
    </w:sdtPr>
    <w:sdtEndPr>
      <w:rPr>
        <w:noProof/>
      </w:rPr>
    </w:sdtEndPr>
    <w:sdtContent>
      <w:p w14:paraId="7E28EAA0" w14:textId="3808CC6B" w:rsidR="00CA4E85" w:rsidRPr="00ED721E" w:rsidRDefault="00CA4E85" w:rsidP="00AA3D5E">
        <w:pPr>
          <w:pStyle w:val="Footer"/>
          <w:jc w:val="right"/>
          <w:rPr>
            <w:sz w:val="20"/>
          </w:rPr>
        </w:pPr>
        <w:r w:rsidRPr="00ED721E">
          <w:rPr>
            <w:noProof/>
            <w:sz w:val="20"/>
            <w:lang w:val="en-AU"/>
          </w:rPr>
          <mc:AlternateContent>
            <mc:Choice Requires="wps">
              <w:drawing>
                <wp:anchor distT="0" distB="0" distL="114300" distR="114300" simplePos="0" relativeHeight="251720704" behindDoc="0" locked="0" layoutInCell="1" allowOverlap="1" wp14:anchorId="34E73C8E" wp14:editId="260AD53A">
                  <wp:simplePos x="0" y="0"/>
                  <wp:positionH relativeFrom="page">
                    <wp:align>right</wp:align>
                  </wp:positionH>
                  <wp:positionV relativeFrom="paragraph">
                    <wp:posOffset>-147955</wp:posOffset>
                  </wp:positionV>
                  <wp:extent cx="10829925" cy="19050"/>
                  <wp:effectExtent l="0" t="0" r="28575" b="19050"/>
                  <wp:wrapNone/>
                  <wp:docPr id="4683" name="Straight Connector 4683"/>
                  <wp:cNvGraphicFramePr/>
                  <a:graphic xmlns:a="http://schemas.openxmlformats.org/drawingml/2006/main">
                    <a:graphicData uri="http://schemas.microsoft.com/office/word/2010/wordprocessingShape">
                      <wps:wsp>
                        <wps:cNvCnPr/>
                        <wps:spPr>
                          <a:xfrm flipV="1">
                            <a:off x="0" y="0"/>
                            <a:ext cx="108299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E44EB19" id="Straight Connector 4683" o:spid="_x0000_s1026" style="position:absolute;flip:y;z-index:2517207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801.55pt,-11.65pt" to="1654.3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W7vxwEAAMwDAAAOAAAAZHJzL2Uyb0RvYy54bWysU02P0zAQvSPxHyzfaZLCrtqo6R66gguC&#10;igXuXmfcWPhLY9Om/56x0wYECK1WXKyMZ96bec+Tzd1oDTsCRu1dx5tFzRk46XvtDh3/8vntqxVn&#10;MQnXC+MddPwMkd9tX77YnEILSz940wMyInGxPYWODymFtqqiHMCKuPABHCWVRysShXioehQnYrem&#10;Wtb1bXXy2Af0EmKk2/spybeFXymQ6aNSERIzHafZUjmxnI/5rLYb0R5QhEHLyxjiGVNYoR01nanu&#10;RRLsO+o/qKyW6KNXaSG9rbxSWkLRQGqa+jc1D4MIULSQOTHMNsX/Rys/HPfIdN/xN7er15w5YemV&#10;HhIKfRgS23nnyEOPrKTJrVOILYF2bo+XKIY9ZumjQsuU0eErLUIxg+SxsXh9nr2GMTFJl029Wq7X&#10;yxvOJCWbdX1THqOaeDJfwJjegbcsf3TcaJe9EK04vo+JelPptYSCPNc0SflKZwO52LhPoEhf7ljQ&#10;ZbNgZ5AdBe1E/63JO0BcpTJDlDZmBtX/Bl1qMwzKtj0VOFeXjt6lGWi18/i3rmm8jqqm+qvqSWuW&#10;/ej7c3mXYgetTFF2We+8k7/GBf7zJ9z+AAAA//8DAFBLAwQUAAYACAAAACEALzhbktsAAAAJAQAA&#10;DwAAAGRycy9kb3ducmV2LnhtbEyPwW7CMBBE70j8g7WVegO7RIEqzQZRpKrnAhduTrxNosbrEBtI&#10;/77OqRxnZzXzJt+OthM3GnzrGOFlqUAQV860XCOcjh+LVxA+aDa6c0wIv+RhW8xnuc6Mu/MX3Q6h&#10;FjGEfaYRmhD6TEpfNWS1X7qeOHrfbrA6RDnU0gz6HsNtJ1dKraXVLceGRve0b6j6OVwtwvHTqrEM&#10;7Z74slG783u65nOK+Pw07t5ABBrD/zNM+BEdishUuisbLzqEOCQgLFZJAmKyNypNQZTTSSUgi1w+&#10;Lij+AAAA//8DAFBLAQItABQABgAIAAAAIQC2gziS/gAAAOEBAAATAAAAAAAAAAAAAAAAAAAAAABb&#10;Q29udGVudF9UeXBlc10ueG1sUEsBAi0AFAAGAAgAAAAhADj9If/WAAAAlAEAAAsAAAAAAAAAAAAA&#10;AAAALwEAAF9yZWxzLy5yZWxzUEsBAi0AFAAGAAgAAAAhAAsZbu/HAQAAzAMAAA4AAAAAAAAAAAAA&#10;AAAALgIAAGRycy9lMm9Eb2MueG1sUEsBAi0AFAAGAAgAAAAhAC84W5LbAAAACQEAAA8AAAAAAAAA&#10;AAAAAAAAIQQAAGRycy9kb3ducmV2LnhtbFBLBQYAAAAABAAEAPMAAAApBQAAAAA=&#10;" strokecolor="black [3200]" strokeweight=".5pt">
                  <v:stroke joinstyle="miter"/>
                  <w10:wrap anchorx="page"/>
                </v:line>
              </w:pict>
            </mc:Fallback>
          </mc:AlternateContent>
        </w:r>
        <w:r>
          <w:rPr>
            <w:sz w:val="20"/>
          </w:rPr>
          <w:t>A-</w:t>
        </w: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16</w:t>
        </w:r>
        <w:r w:rsidRPr="00044D92">
          <w:rPr>
            <w:noProof/>
            <w:sz w:val="20"/>
            <w:szCs w:val="20"/>
          </w:rPr>
          <w:fldChar w:fldCharType="end"/>
        </w:r>
        <w:r w:rsidRPr="00ED721E">
          <w:rPr>
            <w:noProof/>
            <w:sz w:val="20"/>
          </w:rPr>
          <w:t xml:space="preserve"> </w:t>
        </w:r>
        <w:r w:rsidRPr="003C4412">
          <w:rPr>
            <w:noProof/>
            <w:sz w:val="20"/>
            <w:szCs w:val="20"/>
            <w:lang w:val="en-AU"/>
          </w:rPr>
          <w:drawing>
            <wp:anchor distT="0" distB="0" distL="114300" distR="114300" simplePos="0" relativeHeight="251721728" behindDoc="0" locked="0" layoutInCell="1" allowOverlap="1" wp14:anchorId="08A2CA0C" wp14:editId="682DD5C5">
              <wp:simplePos x="0" y="0"/>
              <wp:positionH relativeFrom="column">
                <wp:posOffset>-149860</wp:posOffset>
              </wp:positionH>
              <wp:positionV relativeFrom="paragraph">
                <wp:posOffset>-84455</wp:posOffset>
              </wp:positionV>
              <wp:extent cx="628650" cy="466725"/>
              <wp:effectExtent l="0" t="0" r="0" b="9525"/>
              <wp:wrapSquare wrapText="bothSides"/>
              <wp:docPr id="4684" name="Picture 4684"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02BDF6DD" w14:textId="77777777" w:rsidR="00CA4E85" w:rsidRPr="003B6A17" w:rsidRDefault="00CA4E85" w:rsidP="00AA3D5E">
    <w:pPr>
      <w:pStyle w:val="Footer"/>
      <w:ind w:left="426"/>
      <w:jc w:val="center"/>
    </w:pPr>
    <w:r w:rsidRPr="00C63E70">
      <w:rPr>
        <w:i/>
        <w:sz w:val="18"/>
        <w:szCs w:val="19"/>
      </w:rPr>
      <w:t>PJSI is funded by the New Zealand Government and implemented by the Federal Court of Australia</w:t>
    </w:r>
  </w:p>
  <w:p w14:paraId="4CB41DC7" w14:textId="77777777" w:rsidR="00CA4E85" w:rsidRDefault="00CA4E85" w:rsidP="00AA3D5E">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868221880"/>
      <w:docPartObj>
        <w:docPartGallery w:val="Page Numbers (Bottom of Page)"/>
        <w:docPartUnique/>
      </w:docPartObj>
    </w:sdtPr>
    <w:sdtEndPr>
      <w:rPr>
        <w:noProof/>
      </w:rPr>
    </w:sdtEndPr>
    <w:sdtContent>
      <w:p w14:paraId="6338D7A3" w14:textId="1B97D6ED" w:rsidR="00CA4E85" w:rsidRPr="00ED721E" w:rsidRDefault="00CA4E85" w:rsidP="00313C47">
        <w:pPr>
          <w:pStyle w:val="Footer"/>
          <w:jc w:val="right"/>
          <w:rPr>
            <w:sz w:val="20"/>
          </w:rPr>
        </w:pPr>
        <w:r w:rsidRPr="00ED721E">
          <w:rPr>
            <w:noProof/>
            <w:sz w:val="20"/>
            <w:lang w:val="en-AU"/>
          </w:rPr>
          <mc:AlternateContent>
            <mc:Choice Requires="wps">
              <w:drawing>
                <wp:anchor distT="0" distB="0" distL="114300" distR="114300" simplePos="0" relativeHeight="251654144" behindDoc="0" locked="0" layoutInCell="1" allowOverlap="1" wp14:anchorId="3AF04D37" wp14:editId="2FCF110C">
                  <wp:simplePos x="0" y="0"/>
                  <wp:positionH relativeFrom="page">
                    <wp:align>right</wp:align>
                  </wp:positionH>
                  <wp:positionV relativeFrom="paragraph">
                    <wp:posOffset>-147955</wp:posOffset>
                  </wp:positionV>
                  <wp:extent cx="10829925" cy="19050"/>
                  <wp:effectExtent l="0" t="0" r="28575" b="19050"/>
                  <wp:wrapNone/>
                  <wp:docPr id="63" name="Straight Connector 63"/>
                  <wp:cNvGraphicFramePr/>
                  <a:graphic xmlns:a="http://schemas.openxmlformats.org/drawingml/2006/main">
                    <a:graphicData uri="http://schemas.microsoft.com/office/word/2010/wordprocessingShape">
                      <wps:wsp>
                        <wps:cNvCnPr/>
                        <wps:spPr>
                          <a:xfrm flipV="1">
                            <a:off x="0" y="0"/>
                            <a:ext cx="108299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8B0BEAE" id="Straight Connector 63" o:spid="_x0000_s1026" style="position:absolute;flip:y;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801.55pt,-11.65pt" to="1654.3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SnIxQEAAMgDAAAOAAAAZHJzL2Uyb0RvYy54bWysU8GO0zAQvSPxD5bvNEnRrrZR0z10BRcE&#10;Fcty9zp2Y2F7rLFp0r9n7LQBAUIIcbEynnlv5j1PtveTs+ykMBrwHW9WNWfKS+iNP3b86dObV3ec&#10;xSR8Lyx41fGzivx+9/LFdgytWsMAtlfIiMTHdgwdH1IKbVVFOSgn4gqC8pTUgE4kCvFY9ShGYne2&#10;Wtf1bTUC9gFBqhjp9mFO8l3h11rJ9EHrqBKzHafZUjmxnM/5rHZb0R5RhMHIyxjiH6ZwwnhqulA9&#10;iCTYVzS/UDkjESLotJLgKtDaSFU0kJqm/knN4yCCKlrInBgWm+L/o5XvTwdkpu/47WvOvHD0Ro8J&#10;hTkOie3Be3IQkFGSnBpDbAmw9we8RDEcMMueNDqmrQmfaQmKESSNTcXn8+KzmhKTdNnUd+vNZn3D&#10;maRks6lvykNUM0/mCxjTWwWO5Y+OW+OzD6IVp3cxUW8qvZZQkOeaJylf6WxVLrb+o9KkLXcs6LJV&#10;am+RnQTtQ/+lyaqIq1RmiDbWLqD6z6BLbYapsml/C1yqS0fwaQE64wF/1zVN11H1XH9VPWvNsp+h&#10;P5d3KXbQuhRll9XO+/hjXODff8DdNwAAAP//AwBQSwMEFAAGAAgAAAAhAC84W5LbAAAACQEAAA8A&#10;AABkcnMvZG93bnJldi54bWxMj8FuwjAQRO9I/IO1lXoDu0SBKs0GUaSq5wIXbk68TaLG6xAbSP++&#10;zqkcZ2c18ybfjrYTNxp86xjhZalAEFfOtFwjnI4fi1cQPmg2unNMCL/kYVvMZ7nOjLvzF90OoRYx&#10;hH2mEZoQ+kxKXzVktV+6njh6326wOkQ51NIM+h7DbSdXSq2l1S3Hhkb3tG+o+jlcLcLx06qxDO2e&#10;+LJRu/N7uuZzivj8NO7eQAQaw/8zTPgRHYrIVLorGy86hDgkICxWSQJisjcqTUGU00klIItcPi4o&#10;/gAAAP//AwBQSwECLQAUAAYACAAAACEAtoM4kv4AAADhAQAAEwAAAAAAAAAAAAAAAAAAAAAAW0Nv&#10;bnRlbnRfVHlwZXNdLnhtbFBLAQItABQABgAIAAAAIQA4/SH/1gAAAJQBAAALAAAAAAAAAAAAAAAA&#10;AC8BAABfcmVscy8ucmVsc1BLAQItABQABgAIAAAAIQCgKSnIxQEAAMgDAAAOAAAAAAAAAAAAAAAA&#10;AC4CAABkcnMvZTJvRG9jLnhtbFBLAQItABQABgAIAAAAIQAvOFuS2wAAAAkBAAAPAAAAAAAAAAAA&#10;AAAAAB8EAABkcnMvZG93bnJldi54bWxQSwUGAAAAAAQABADzAAAAJwUAAAAA&#10;" strokecolor="black [3200]" strokeweight=".5pt">
                  <v:stroke joinstyle="miter"/>
                  <w10:wrap anchorx="page"/>
                </v:line>
              </w:pict>
            </mc:Fallback>
          </mc:AlternateContent>
        </w:r>
        <w:r>
          <w:rPr>
            <w:sz w:val="20"/>
          </w:rPr>
          <w:t>A-</w:t>
        </w: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21</w:t>
        </w:r>
        <w:r w:rsidRPr="00044D92">
          <w:rPr>
            <w:noProof/>
            <w:sz w:val="20"/>
            <w:szCs w:val="20"/>
          </w:rPr>
          <w:fldChar w:fldCharType="end"/>
        </w:r>
        <w:r w:rsidRPr="00ED721E">
          <w:rPr>
            <w:noProof/>
            <w:sz w:val="20"/>
          </w:rPr>
          <w:t xml:space="preserve"> </w:t>
        </w:r>
        <w:r w:rsidRPr="003C4412">
          <w:rPr>
            <w:noProof/>
            <w:sz w:val="20"/>
            <w:szCs w:val="20"/>
            <w:lang w:val="en-AU"/>
          </w:rPr>
          <w:drawing>
            <wp:anchor distT="0" distB="0" distL="114300" distR="114300" simplePos="0" relativeHeight="251655168" behindDoc="0" locked="0" layoutInCell="1" allowOverlap="1" wp14:anchorId="35CDB993" wp14:editId="3055096E">
              <wp:simplePos x="0" y="0"/>
              <wp:positionH relativeFrom="column">
                <wp:posOffset>-149860</wp:posOffset>
              </wp:positionH>
              <wp:positionV relativeFrom="paragraph">
                <wp:posOffset>-84455</wp:posOffset>
              </wp:positionV>
              <wp:extent cx="628650" cy="466725"/>
              <wp:effectExtent l="0" t="0" r="0" b="9525"/>
              <wp:wrapSquare wrapText="bothSides"/>
              <wp:docPr id="4693" name="Picture 4693"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16B56C19" w14:textId="77777777" w:rsidR="00CA4E85" w:rsidRPr="003B6A17" w:rsidRDefault="00CA4E85" w:rsidP="00313C47">
    <w:pPr>
      <w:pStyle w:val="Footer"/>
      <w:ind w:left="426"/>
      <w:jc w:val="center"/>
    </w:pPr>
    <w:r w:rsidRPr="00C63E70">
      <w:rPr>
        <w:i/>
        <w:sz w:val="18"/>
        <w:szCs w:val="19"/>
      </w:rPr>
      <w:t>PJSI is funded by the New Zealand Government and implemented by the Federal Court of Australia</w:t>
    </w:r>
  </w:p>
  <w:p w14:paraId="4900B36E" w14:textId="77777777" w:rsidR="00CA4E85" w:rsidRDefault="00CA4E85" w:rsidP="00313C4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1469428000"/>
      <w:docPartObj>
        <w:docPartGallery w:val="Page Numbers (Bottom of Page)"/>
        <w:docPartUnique/>
      </w:docPartObj>
    </w:sdtPr>
    <w:sdtEndPr>
      <w:rPr>
        <w:noProof/>
      </w:rPr>
    </w:sdtEndPr>
    <w:sdtContent>
      <w:p w14:paraId="5E622E0C" w14:textId="6F65E168" w:rsidR="00CA4E85" w:rsidRPr="00ED721E" w:rsidRDefault="00CA4E85" w:rsidP="00313C47">
        <w:pPr>
          <w:pStyle w:val="Footer"/>
          <w:jc w:val="right"/>
          <w:rPr>
            <w:sz w:val="20"/>
          </w:rPr>
        </w:pPr>
        <w:r w:rsidRPr="00ED721E">
          <w:rPr>
            <w:noProof/>
            <w:sz w:val="20"/>
            <w:lang w:val="en-AU"/>
          </w:rPr>
          <mc:AlternateContent>
            <mc:Choice Requires="wps">
              <w:drawing>
                <wp:anchor distT="0" distB="0" distL="114300" distR="114300" simplePos="0" relativeHeight="251650048" behindDoc="0" locked="0" layoutInCell="1" allowOverlap="1" wp14:anchorId="5F47ECDC" wp14:editId="6556ADE7">
                  <wp:simplePos x="0" y="0"/>
                  <wp:positionH relativeFrom="page">
                    <wp:align>right</wp:align>
                  </wp:positionH>
                  <wp:positionV relativeFrom="paragraph">
                    <wp:posOffset>-147955</wp:posOffset>
                  </wp:positionV>
                  <wp:extent cx="10829925" cy="19050"/>
                  <wp:effectExtent l="0" t="0" r="28575" b="19050"/>
                  <wp:wrapNone/>
                  <wp:docPr id="48" name="Straight Connector 48"/>
                  <wp:cNvGraphicFramePr/>
                  <a:graphic xmlns:a="http://schemas.openxmlformats.org/drawingml/2006/main">
                    <a:graphicData uri="http://schemas.microsoft.com/office/word/2010/wordprocessingShape">
                      <wps:wsp>
                        <wps:cNvCnPr/>
                        <wps:spPr>
                          <a:xfrm flipV="1">
                            <a:off x="0" y="0"/>
                            <a:ext cx="108299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F61A5F5" id="Straight Connector 48" o:spid="_x0000_s1026" style="position:absolute;flip:y;z-index:2516551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801.55pt,-11.65pt" to="1654.3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xSxAEAAMgDAAAOAAAAZHJzL2Uyb0RvYy54bWysU8GO0zAQvSPxD5bvNEnFom3UdA9dwQVB&#10;xQJ3r2M3FrbHGpsm/XvGThsQIIRWe7Fiz7w3895MtneTs+ykMBrwHW9WNWfKS+iNP3b8y+e3r245&#10;i0n4XljwquNnFfnd7uWL7RhatYYBbK+QEYmP7Rg6PqQU2qqKclBOxBUE5SmoAZ1IdMVj1aMYid3Z&#10;al3Xb6oRsA8IUsVIr/dzkO8Kv9ZKpo9aR5WY7Tj1lsqJ5XzMZ7XbivaIIgxGXtoQT+jCCeOp6EJ1&#10;L5Jg39H8QeWMRIig00qCq0BrI1XRQGqa+jc1D4MIqmghc2JYbIrPRys/nA7ITN/x1zQpLxzN6CGh&#10;MMchsT14Tw4CMgqSU2OILQH2/oCXWwwHzLInjY5pa8JXWoJiBEljU/H5vPispsQkPTb17XqzWd9w&#10;JinYbOqbMohq5sl8AWN6p8Cx/NFxa3z2QbTi9D4mqk2p1xS65L7mTspXOluVk63/pDRpyxULumyV&#10;2ltkJ0H70H9rsiriKpkZoo21C6j+N+iSm2GqbNr/ApfsUhF8WoDOeMC/VU3TtVU9519Vz1qz7Efo&#10;z2UuxQ5al6Lsstp5H3+9F/jPH3D3AwAA//8DAFBLAwQUAAYACAAAACEALzhbktsAAAAJAQAADwAA&#10;AGRycy9kb3ducmV2LnhtbEyPwW7CMBBE70j8g7WVegO7RIEqzQZRpKrnAhduTrxNosbrEBtI/77O&#10;qRxnZzXzJt+OthM3GnzrGOFlqUAQV860XCOcjh+LVxA+aDa6c0wIv+RhW8xnuc6Mu/MX3Q6hFjGE&#10;faYRmhD6TEpfNWS1X7qeOHrfbrA6RDnU0gz6HsNtJ1dKraXVLceGRve0b6j6OVwtwvHTqrEM7Z74&#10;slG783u65nOK+Pw07t5ABBrD/zNM+BEdishUuisbLzqEOCQgLFZJAmKyNypNQZTTSSUgi1w+Lij+&#10;AAAA//8DAFBLAQItABQABgAIAAAAIQC2gziS/gAAAOEBAAATAAAAAAAAAAAAAAAAAAAAAABbQ29u&#10;dGVudF9UeXBlc10ueG1sUEsBAi0AFAAGAAgAAAAhADj9If/WAAAAlAEAAAsAAAAAAAAAAAAAAAAA&#10;LwEAAF9yZWxzLy5yZWxzUEsBAi0AFAAGAAgAAAAhANEqHFLEAQAAyAMAAA4AAAAAAAAAAAAAAAAA&#10;LgIAAGRycy9lMm9Eb2MueG1sUEsBAi0AFAAGAAgAAAAhAC84W5LbAAAACQEAAA8AAAAAAAAAAAAA&#10;AAAAHgQAAGRycy9kb3ducmV2LnhtbFBLBQYAAAAABAAEAPMAAAAmBQAAAAA=&#10;" strokecolor="black [3200]" strokeweight=".5pt">
                  <v:stroke joinstyle="miter"/>
                  <w10:wrap anchorx="page"/>
                </v:line>
              </w:pict>
            </mc:Fallback>
          </mc:AlternateContent>
        </w:r>
        <w:r>
          <w:rPr>
            <w:sz w:val="20"/>
          </w:rPr>
          <w:t>A-</w:t>
        </w: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19</w:t>
        </w:r>
        <w:r w:rsidRPr="00044D92">
          <w:rPr>
            <w:noProof/>
            <w:sz w:val="20"/>
            <w:szCs w:val="20"/>
          </w:rPr>
          <w:fldChar w:fldCharType="end"/>
        </w:r>
        <w:r w:rsidRPr="00ED721E">
          <w:rPr>
            <w:noProof/>
            <w:sz w:val="20"/>
          </w:rPr>
          <w:t xml:space="preserve"> </w:t>
        </w:r>
        <w:r w:rsidRPr="003C4412">
          <w:rPr>
            <w:noProof/>
            <w:sz w:val="20"/>
            <w:szCs w:val="20"/>
            <w:lang w:val="en-AU"/>
          </w:rPr>
          <w:drawing>
            <wp:anchor distT="0" distB="0" distL="114300" distR="114300" simplePos="0" relativeHeight="251651072" behindDoc="0" locked="0" layoutInCell="1" allowOverlap="1" wp14:anchorId="495A6C08" wp14:editId="2CEF4513">
              <wp:simplePos x="0" y="0"/>
              <wp:positionH relativeFrom="column">
                <wp:posOffset>-149860</wp:posOffset>
              </wp:positionH>
              <wp:positionV relativeFrom="paragraph">
                <wp:posOffset>-84455</wp:posOffset>
              </wp:positionV>
              <wp:extent cx="628650" cy="466725"/>
              <wp:effectExtent l="0" t="0" r="0" b="9525"/>
              <wp:wrapSquare wrapText="bothSides"/>
              <wp:docPr id="4698" name="Picture 4698"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778D72E6" w14:textId="77777777" w:rsidR="00CA4E85" w:rsidRPr="003B6A17" w:rsidRDefault="00CA4E85" w:rsidP="00313C47">
    <w:pPr>
      <w:pStyle w:val="Footer"/>
      <w:ind w:left="426"/>
      <w:jc w:val="center"/>
    </w:pPr>
    <w:r w:rsidRPr="00C63E70">
      <w:rPr>
        <w:i/>
        <w:sz w:val="18"/>
        <w:szCs w:val="19"/>
      </w:rPr>
      <w:t>PJSI is funded by the New Zealand Government and implemented by the Federal Court of Australia</w:t>
    </w:r>
  </w:p>
  <w:p w14:paraId="087DDB04" w14:textId="77777777" w:rsidR="00CA4E85" w:rsidRDefault="00CA4E85" w:rsidP="00313C47">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3802314"/>
      <w:docPartObj>
        <w:docPartGallery w:val="Page Numbers (Bottom of Page)"/>
        <w:docPartUnique/>
      </w:docPartObj>
    </w:sdtPr>
    <w:sdtEndPr>
      <w:rPr>
        <w:noProof/>
      </w:rPr>
    </w:sdtEndPr>
    <w:sdtContent>
      <w:p w14:paraId="79917E17" w14:textId="480EE072" w:rsidR="00CA4E85" w:rsidRPr="00ED721E" w:rsidRDefault="00CA4E85" w:rsidP="005466A3">
        <w:pPr>
          <w:pStyle w:val="Footer"/>
          <w:jc w:val="right"/>
          <w:rPr>
            <w:sz w:val="20"/>
          </w:rPr>
        </w:pPr>
        <w:r w:rsidRPr="00ED721E">
          <w:rPr>
            <w:noProof/>
            <w:sz w:val="20"/>
            <w:lang w:val="en-AU"/>
          </w:rPr>
          <mc:AlternateContent>
            <mc:Choice Requires="wps">
              <w:drawing>
                <wp:anchor distT="0" distB="0" distL="114300" distR="114300" simplePos="0" relativeHeight="251759616" behindDoc="0" locked="0" layoutInCell="1" allowOverlap="1" wp14:anchorId="101D7737" wp14:editId="55733838">
                  <wp:simplePos x="0" y="0"/>
                  <wp:positionH relativeFrom="page">
                    <wp:align>right</wp:align>
                  </wp:positionH>
                  <wp:positionV relativeFrom="paragraph">
                    <wp:posOffset>-147955</wp:posOffset>
                  </wp:positionV>
                  <wp:extent cx="10829925" cy="19050"/>
                  <wp:effectExtent l="0" t="0" r="28575" b="19050"/>
                  <wp:wrapNone/>
                  <wp:docPr id="4709" name="Straight Connector 4709"/>
                  <wp:cNvGraphicFramePr/>
                  <a:graphic xmlns:a="http://schemas.openxmlformats.org/drawingml/2006/main">
                    <a:graphicData uri="http://schemas.microsoft.com/office/word/2010/wordprocessingShape">
                      <wps:wsp>
                        <wps:cNvCnPr/>
                        <wps:spPr>
                          <a:xfrm flipV="1">
                            <a:off x="0" y="0"/>
                            <a:ext cx="108299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AFCB4D7" id="Straight Connector 4709" o:spid="_x0000_s1026" style="position:absolute;flip:y;z-index:2517596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801.55pt,-11.65pt" to="1654.3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l9TxgEAAMwDAAAOAAAAZHJzL2Uyb0RvYy54bWysU02P0zAQvSPxHyzfaZKKhW3UdA9dwQVB&#10;xS7cvY7dWPhLY9Ok/57xpA0IEEKIi5XxzHsz73myvZucZScFyQTf8WZVc6a8DL3xx45/enzz4paz&#10;lIXvhQ1edfysEr/bPX+2HWOr1mEItlfAkMSndowdH3KObVUlOSgn0ipE5TGpAziRMYRj1YMYkd3Z&#10;al3Xr6oxQB8hSJUS3t7PSb4jfq2VzB+0Tioz23GcLdMJdD6Vs9ptRXsEEQcjL2OIf5jCCeOx6UJ1&#10;L7JgX8H8QuWMhJCCzisZXBW0NlKRBlTT1D+peRhEVKQFzUlxsSn9P1r5/nQAZvqOv3xdbzjzwuEr&#10;PWQQ5jhktg/eo4cBGKXRrTGmFkF7f4BLlOIBivRJg2PamvgZF4HMQHlsIq/Pi9dqykziZVPfrjeb&#10;9Q1nEpPNpr6hx6hmnsIXIeW3KjhWPjpujS9eiFac3qWMvbH0WoJBmWuehL7y2apSbP1HpVFf6Uho&#10;2iy1t8BOAnei/9KUHUAuqiwQbaxdQPWfQZfaAlO0bX8LXKqpY/B5ATrjA/yua56uo+q5/qp61lpk&#10;P4X+TO9CduDKkLLLeped/DEm+PefcPcNAAD//wMAUEsDBBQABgAIAAAAIQAvOFuS2wAAAAkBAAAP&#10;AAAAZHJzL2Rvd25yZXYueG1sTI/BbsIwEETvSPyDtZV6A7tEgSrNBlGkqucCF25OvE2ixusQG0j/&#10;vs6pHGdnNfMm3462EzcafOsY4WWpQBBXzrRcI5yOH4tXED5oNrpzTAi/5GFbzGe5zoy78xfdDqEW&#10;MYR9phGaEPpMSl81ZLVfup44et9usDpEOdTSDPoew20nV0qtpdUtx4ZG97RvqPo5XC3C8dOqsQzt&#10;nviyUbvze7rmc4r4/DTu3kAEGsP/M0z4ER2KyFS6KxsvOoQ4JCAsVkkCYrI3Kk1BlNNJJSCLXD4u&#10;KP4AAAD//wMAUEsBAi0AFAAGAAgAAAAhALaDOJL+AAAA4QEAABMAAAAAAAAAAAAAAAAAAAAAAFtD&#10;b250ZW50X1R5cGVzXS54bWxQSwECLQAUAAYACAAAACEAOP0h/9YAAACUAQAACwAAAAAAAAAAAAAA&#10;AAAvAQAAX3JlbHMvLnJlbHNQSwECLQAUAAYACAAAACEA2C5fU8YBAADMAwAADgAAAAAAAAAAAAAA&#10;AAAuAgAAZHJzL2Uyb0RvYy54bWxQSwECLQAUAAYACAAAACEALzhbktsAAAAJAQAADwAAAAAAAAAA&#10;AAAAAAAgBAAAZHJzL2Rvd25yZXYueG1sUEsFBgAAAAAEAAQA8wAAACgFAAAAAA==&#10;" strokecolor="black [3200]" strokeweight=".5pt">
                  <v:stroke joinstyle="miter"/>
                  <w10:wrap anchorx="page"/>
                </v:line>
              </w:pict>
            </mc:Fallback>
          </mc:AlternateContent>
        </w:r>
        <w:r>
          <w:rPr>
            <w:sz w:val="20"/>
          </w:rPr>
          <w:t>A-</w:t>
        </w: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23</w:t>
        </w:r>
        <w:r w:rsidRPr="00044D92">
          <w:rPr>
            <w:noProof/>
            <w:sz w:val="20"/>
            <w:szCs w:val="20"/>
          </w:rPr>
          <w:fldChar w:fldCharType="end"/>
        </w:r>
        <w:r w:rsidRPr="00ED721E">
          <w:rPr>
            <w:noProof/>
            <w:sz w:val="20"/>
          </w:rPr>
          <w:t xml:space="preserve"> </w:t>
        </w:r>
        <w:r w:rsidRPr="003C4412">
          <w:rPr>
            <w:noProof/>
            <w:sz w:val="20"/>
            <w:szCs w:val="20"/>
            <w:lang w:val="en-AU"/>
          </w:rPr>
          <w:drawing>
            <wp:anchor distT="0" distB="0" distL="114300" distR="114300" simplePos="0" relativeHeight="251760640" behindDoc="0" locked="0" layoutInCell="1" allowOverlap="1" wp14:anchorId="4040A1DF" wp14:editId="0A8EC693">
              <wp:simplePos x="0" y="0"/>
              <wp:positionH relativeFrom="column">
                <wp:posOffset>-149860</wp:posOffset>
              </wp:positionH>
              <wp:positionV relativeFrom="paragraph">
                <wp:posOffset>-84455</wp:posOffset>
              </wp:positionV>
              <wp:extent cx="628650" cy="466725"/>
              <wp:effectExtent l="0" t="0" r="0" b="9525"/>
              <wp:wrapSquare wrapText="bothSides"/>
              <wp:docPr id="4714" name="Picture 4714"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5D9F33C3" w14:textId="77777777" w:rsidR="00CA4E85" w:rsidRPr="003B6A17" w:rsidRDefault="00CA4E85" w:rsidP="005466A3">
    <w:pPr>
      <w:pStyle w:val="Footer"/>
      <w:ind w:left="426"/>
      <w:jc w:val="center"/>
    </w:pPr>
    <w:r w:rsidRPr="00C63E70">
      <w:rPr>
        <w:i/>
        <w:sz w:val="18"/>
        <w:szCs w:val="19"/>
      </w:rPr>
      <w:t>PJSI is funded by the New Zealand Government and implemented by the Federal Court of Australia</w:t>
    </w:r>
  </w:p>
  <w:p w14:paraId="3F919FF9" w14:textId="77777777" w:rsidR="00CA4E85" w:rsidRPr="00784A6C" w:rsidRDefault="00CA4E85" w:rsidP="00784A6C">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110665855"/>
      <w:docPartObj>
        <w:docPartGallery w:val="Page Numbers (Bottom of Page)"/>
        <w:docPartUnique/>
      </w:docPartObj>
    </w:sdtPr>
    <w:sdtEndPr>
      <w:rPr>
        <w:noProof/>
      </w:rPr>
    </w:sdtEndPr>
    <w:sdtContent>
      <w:p w14:paraId="1BD4430F" w14:textId="3FC79F8D" w:rsidR="00CA4E85" w:rsidRPr="00ED721E" w:rsidRDefault="00CA4E85" w:rsidP="00313C47">
        <w:pPr>
          <w:pStyle w:val="Footer"/>
          <w:jc w:val="right"/>
          <w:rPr>
            <w:sz w:val="20"/>
          </w:rPr>
        </w:pPr>
        <w:r w:rsidRPr="00ED721E">
          <w:rPr>
            <w:noProof/>
            <w:sz w:val="20"/>
            <w:lang w:val="en-AU"/>
          </w:rPr>
          <mc:AlternateContent>
            <mc:Choice Requires="wps">
              <w:drawing>
                <wp:anchor distT="0" distB="0" distL="114300" distR="114300" simplePos="0" relativeHeight="251748352" behindDoc="0" locked="0" layoutInCell="1" allowOverlap="1" wp14:anchorId="645F2253" wp14:editId="30B4C928">
                  <wp:simplePos x="0" y="0"/>
                  <wp:positionH relativeFrom="page">
                    <wp:align>right</wp:align>
                  </wp:positionH>
                  <wp:positionV relativeFrom="paragraph">
                    <wp:posOffset>-147955</wp:posOffset>
                  </wp:positionV>
                  <wp:extent cx="10829925" cy="19050"/>
                  <wp:effectExtent l="0" t="0" r="28575" b="19050"/>
                  <wp:wrapNone/>
                  <wp:docPr id="4703" name="Straight Connector 4703"/>
                  <wp:cNvGraphicFramePr/>
                  <a:graphic xmlns:a="http://schemas.openxmlformats.org/drawingml/2006/main">
                    <a:graphicData uri="http://schemas.microsoft.com/office/word/2010/wordprocessingShape">
                      <wps:wsp>
                        <wps:cNvCnPr/>
                        <wps:spPr>
                          <a:xfrm flipV="1">
                            <a:off x="0" y="0"/>
                            <a:ext cx="108299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42B9E54" id="Straight Connector 4703" o:spid="_x0000_s1026" style="position:absolute;flip:y;z-index:2517483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801.55pt,-11.65pt" to="1654.3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QfJxgEAAMwDAAAOAAAAZHJzL2Uyb0RvYy54bWysU02P0zAQvSPxHyzfaZLCwjZquoeu4IKg&#10;YoG71xk3Fv7S2DTpv2fstAEBQghxsTKeeW/mPU+2d5M17AQYtXcdb1Y1Z+Ck77U7dvzTx9fPbjmL&#10;SbheGO+g42eI/G739Ml2DC2s/eBND8iIxMV2DB0fUgptVUU5gBVx5QM4SiqPViQK8Vj1KEZit6Za&#10;1/XLavTYB/QSYqTb+znJd4VfKZDpvVIREjMdp9lSObGcj/msdlvRHlGEQcvLGOIfprBCO2q6UN2L&#10;JNhX1L9QWS3RR6/SSnpbeaW0hKKB1DT1T2oeBhGgaCFzYlhsiv+PVr47HZDpvuMvXtXPOXPC0is9&#10;JBT6OCS2986Rhx5ZSZNbY4gtgfbugJcohgNm6ZNCy5TR4TMtQjGD5LGpeH1evIYpMUmXTX273mzW&#10;N5xJSjab+qY8RjXzZL6AMb0Bb1n+6LjRLnshWnF6GxP1ptJrCQV5rnmS8pXOBnKxcR9Akb7csaDL&#10;ZsHeIDsJ2on+S5N3gLhKZYYobcwCqv8MutRmGJRt+1vgUl06epcWoNXO4++6puk6qprrr6pnrVn2&#10;o+/P5V2KHbQyRdllvfNO/hgX+PefcPcNAAD//wMAUEsDBBQABgAIAAAAIQAvOFuS2wAAAAkBAAAP&#10;AAAAZHJzL2Rvd25yZXYueG1sTI/BbsIwEETvSPyDtZV6A7tEgSrNBlGkqucCF25OvE2ixusQG0j/&#10;vs6pHGdnNfMm3462EzcafOsY4WWpQBBXzrRcI5yOH4tXED5oNrpzTAi/5GFbzGe5zoy78xfdDqEW&#10;MYR9phGaEPpMSl81ZLVfup44et9usDpEOdTSDPoew20nV0qtpdUtx4ZG97RvqPo5XC3C8dOqsQzt&#10;nviyUbvze7rmc4r4/DTu3kAEGsP/M0z4ER2KyFS6KxsvOoQ4JCAsVkkCYrI3Kk1BlNNJJSCLXD4u&#10;KP4AAAD//wMAUEsBAi0AFAAGAAgAAAAhALaDOJL+AAAA4QEAABMAAAAAAAAAAAAAAAAAAAAAAFtD&#10;b250ZW50X1R5cGVzXS54bWxQSwECLQAUAAYACAAAACEAOP0h/9YAAACUAQAACwAAAAAAAAAAAAAA&#10;AAAvAQAAX3JlbHMvLnJlbHNQSwECLQAUAAYACAAAACEAdlEHycYBAADMAwAADgAAAAAAAAAAAAAA&#10;AAAuAgAAZHJzL2Uyb0RvYy54bWxQSwECLQAUAAYACAAAACEALzhbktsAAAAJAQAADwAAAAAAAAAA&#10;AAAAAAAgBAAAZHJzL2Rvd25yZXYueG1sUEsFBgAAAAAEAAQA8wAAACgFAAAAAA==&#10;" strokecolor="black [3200]" strokeweight=".5pt">
                  <v:stroke joinstyle="miter"/>
                  <w10:wrap anchorx="page"/>
                </v:line>
              </w:pict>
            </mc:Fallback>
          </mc:AlternateContent>
        </w:r>
        <w:r>
          <w:rPr>
            <w:sz w:val="20"/>
          </w:rPr>
          <w:t>A-</w:t>
        </w: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24</w:t>
        </w:r>
        <w:r w:rsidRPr="00044D92">
          <w:rPr>
            <w:noProof/>
            <w:sz w:val="20"/>
            <w:szCs w:val="20"/>
          </w:rPr>
          <w:fldChar w:fldCharType="end"/>
        </w:r>
        <w:r w:rsidRPr="00ED721E">
          <w:rPr>
            <w:noProof/>
            <w:sz w:val="20"/>
          </w:rPr>
          <w:t xml:space="preserve"> </w:t>
        </w:r>
        <w:r w:rsidRPr="003C4412">
          <w:rPr>
            <w:noProof/>
            <w:sz w:val="20"/>
            <w:szCs w:val="20"/>
            <w:lang w:val="en-AU"/>
          </w:rPr>
          <w:drawing>
            <wp:anchor distT="0" distB="0" distL="114300" distR="114300" simplePos="0" relativeHeight="251749376" behindDoc="0" locked="0" layoutInCell="1" allowOverlap="1" wp14:anchorId="2295D8CD" wp14:editId="69AAFF12">
              <wp:simplePos x="0" y="0"/>
              <wp:positionH relativeFrom="column">
                <wp:posOffset>-149860</wp:posOffset>
              </wp:positionH>
              <wp:positionV relativeFrom="paragraph">
                <wp:posOffset>-84455</wp:posOffset>
              </wp:positionV>
              <wp:extent cx="628650" cy="466725"/>
              <wp:effectExtent l="0" t="0" r="0" b="9525"/>
              <wp:wrapSquare wrapText="bothSides"/>
              <wp:docPr id="4704" name="Picture 4704"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391D6307" w14:textId="77777777" w:rsidR="00CA4E85" w:rsidRPr="003B6A17" w:rsidRDefault="00CA4E85" w:rsidP="00313C47">
    <w:pPr>
      <w:pStyle w:val="Footer"/>
      <w:ind w:left="426"/>
      <w:jc w:val="center"/>
    </w:pPr>
    <w:r w:rsidRPr="00C63E70">
      <w:rPr>
        <w:i/>
        <w:sz w:val="18"/>
        <w:szCs w:val="19"/>
      </w:rPr>
      <w:t>PJSI is funded by the New Zealand Government and implemented by the Federal Court of Australia</w:t>
    </w:r>
  </w:p>
  <w:p w14:paraId="376CCF72" w14:textId="77777777" w:rsidR="00CA4E85" w:rsidRDefault="00CA4E85" w:rsidP="00313C47">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1002402387"/>
      <w:docPartObj>
        <w:docPartGallery w:val="Page Numbers (Bottom of Page)"/>
        <w:docPartUnique/>
      </w:docPartObj>
    </w:sdtPr>
    <w:sdtEndPr>
      <w:rPr>
        <w:noProof/>
      </w:rPr>
    </w:sdtEndPr>
    <w:sdtContent>
      <w:p w14:paraId="1B2717A9" w14:textId="551C0CC5" w:rsidR="00CA4E85" w:rsidRPr="00ED721E" w:rsidRDefault="00CA4E85" w:rsidP="00076D46">
        <w:pPr>
          <w:pStyle w:val="Footer"/>
          <w:jc w:val="right"/>
          <w:rPr>
            <w:sz w:val="20"/>
          </w:rPr>
        </w:pPr>
        <w:r>
          <w:rPr>
            <w:sz w:val="20"/>
          </w:rPr>
          <w:t>A-</w:t>
        </w: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27</w:t>
        </w:r>
        <w:r w:rsidRPr="00044D92">
          <w:rPr>
            <w:noProof/>
            <w:sz w:val="20"/>
            <w:szCs w:val="20"/>
          </w:rPr>
          <w:fldChar w:fldCharType="end"/>
        </w:r>
        <w:r w:rsidRPr="00ED721E">
          <w:rPr>
            <w:noProof/>
            <w:sz w:val="20"/>
          </w:rPr>
          <w:t xml:space="preserve"> </w:t>
        </w:r>
        <w:r w:rsidRPr="00ED721E">
          <w:rPr>
            <w:noProof/>
            <w:sz w:val="20"/>
            <w:lang w:val="en-AU"/>
          </w:rPr>
          <mc:AlternateContent>
            <mc:Choice Requires="wps">
              <w:drawing>
                <wp:anchor distT="0" distB="0" distL="114300" distR="114300" simplePos="0" relativeHeight="251807744" behindDoc="0" locked="0" layoutInCell="1" allowOverlap="1" wp14:anchorId="57F2534C" wp14:editId="06726CEB">
                  <wp:simplePos x="0" y="0"/>
                  <wp:positionH relativeFrom="column">
                    <wp:posOffset>-890905</wp:posOffset>
                  </wp:positionH>
                  <wp:positionV relativeFrom="paragraph">
                    <wp:posOffset>-132715</wp:posOffset>
                  </wp:positionV>
                  <wp:extent cx="7572375" cy="0"/>
                  <wp:effectExtent l="0" t="0" r="0" b="0"/>
                  <wp:wrapNone/>
                  <wp:docPr id="4727" name="Straight Connector 4727"/>
                  <wp:cNvGraphicFramePr/>
                  <a:graphic xmlns:a="http://schemas.openxmlformats.org/drawingml/2006/main">
                    <a:graphicData uri="http://schemas.microsoft.com/office/word/2010/wordprocessingShape">
                      <wps:wsp>
                        <wps:cNvCnPr/>
                        <wps:spPr>
                          <a:xfrm>
                            <a:off x="0" y="0"/>
                            <a:ext cx="7572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CB15E64" id="Straight Connector 4727" o:spid="_x0000_s1026" style="position:absolute;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0.15pt,-10.45pt" to="526.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AnugEAAL0DAAAOAAAAZHJzL2Uyb0RvYy54bWysU01v2zAMvQ/YfxB0b+xk6zwYcXpI0V2G&#10;LVi3H6DKVCxMX6C02Pn3o5TELdZhGIpeaFHke+Sj6PXNZA07AEbtXceXi5ozcNL32u07/uP73dVH&#10;zmISrhfGO+j4ESK/2bx9sx5DCys/eNMDMiJxsR1Dx4eUQltVUQ5gRVz4AI6CyqMViVzcVz2Kkdit&#10;qVZ1/aEaPfYBvYQY6fb2FOSbwq8UyPRVqQiJmY5Tb6lYLPYh22qzFu0eRRi0PLchXtCFFdpR0Znq&#10;ViTBfqF+RmW1RB+9SgvpbeWV0hKKBlKzrP9Qcz+IAEULDSeGeUzx9Wjll8MOme47/r5ZNZw5YemV&#10;7hMKvR8S23rnaIYeWQnTtMYQWwJt3Q7PXgw7zNInhTZ/SRSbyoSP84RhSkzSZXPdrN4115zJS6x6&#10;BAaM6RN4y/Kh40a7LF604vA5JipGqZcUcnIjp9LllI4GcrJx30CRICq2LOiySrA1yA6ClqD/ucyP&#10;TlwlM0OUNmYG1f8GnXMzDMp6/S9wzi4VvUsz0Grn8W9V03RpVZ3yL6pPWrPsB98fy0OUcdCOFGXn&#10;fc5L+NQv8Me/bvMbAAD//wMAUEsDBBQABgAIAAAAIQDWVibZ3wAAAA0BAAAPAAAAZHJzL2Rvd25y&#10;ZXYueG1sTI9dS8MwFIbvBf9DOIJ3W7Kow9WmYwxEvBHXufusydJqclKStKv/3gwEvTsfD+95Trme&#10;nCWjDrHzKGAxZ0A0Nl51aAR87J9nj0Bikqik9agFfOsI6+r6qpSF8mfc6bFOhuQQjIUU0KbUF5TG&#10;ptVOxrnvNebdyQcnU26DoSrIcw53lnLGltTJDvOFVvZ62+rmqx6cAPsaxoPZmk0cXnbL+vP9xN/2&#10;oxC3N9PmCUjSU/qD4aKf1aHKTkc/oIrECpgt7tldZnPF2QrIBWEPnAM5/o5oVdL/X1Q/AAAA//8D&#10;AFBLAQItABQABgAIAAAAIQC2gziS/gAAAOEBAAATAAAAAAAAAAAAAAAAAAAAAABbQ29udGVudF9U&#10;eXBlc10ueG1sUEsBAi0AFAAGAAgAAAAhADj9If/WAAAAlAEAAAsAAAAAAAAAAAAAAAAALwEAAF9y&#10;ZWxzLy5yZWxzUEsBAi0AFAAGAAgAAAAhABSuQCe6AQAAvQMAAA4AAAAAAAAAAAAAAAAALgIAAGRy&#10;cy9lMm9Eb2MueG1sUEsBAi0AFAAGAAgAAAAhANZWJtnfAAAADQEAAA8AAAAAAAAAAAAAAAAAFAQA&#10;AGRycy9kb3ducmV2LnhtbFBLBQYAAAAABAAEAPMAAAAgBQAAAAA=&#10;" strokecolor="black [3200]" strokeweight=".5pt">
                  <v:stroke joinstyle="miter"/>
                </v:line>
              </w:pict>
            </mc:Fallback>
          </mc:AlternateContent>
        </w:r>
        <w:r w:rsidRPr="003C4412">
          <w:rPr>
            <w:noProof/>
            <w:sz w:val="20"/>
            <w:szCs w:val="20"/>
            <w:lang w:val="en-AU"/>
          </w:rPr>
          <w:drawing>
            <wp:anchor distT="0" distB="0" distL="114300" distR="114300" simplePos="0" relativeHeight="251808768" behindDoc="0" locked="0" layoutInCell="1" allowOverlap="1" wp14:anchorId="6EC932D5" wp14:editId="37B00FD0">
              <wp:simplePos x="0" y="0"/>
              <wp:positionH relativeFrom="column">
                <wp:posOffset>-149860</wp:posOffset>
              </wp:positionH>
              <wp:positionV relativeFrom="paragraph">
                <wp:posOffset>-84455</wp:posOffset>
              </wp:positionV>
              <wp:extent cx="628650" cy="466725"/>
              <wp:effectExtent l="0" t="0" r="0" b="9525"/>
              <wp:wrapSquare wrapText="bothSides"/>
              <wp:docPr id="4728" name="Picture 4728"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45C35E46" w14:textId="77777777" w:rsidR="00CA4E85" w:rsidRPr="003B6A17" w:rsidRDefault="00CA4E85" w:rsidP="00076D46">
    <w:pPr>
      <w:pStyle w:val="Footer"/>
      <w:ind w:left="426"/>
      <w:jc w:val="center"/>
    </w:pPr>
    <w:r w:rsidRPr="00C63E70">
      <w:rPr>
        <w:i/>
        <w:sz w:val="18"/>
        <w:szCs w:val="19"/>
      </w:rPr>
      <w:t>PJSI is funded by the New Zealand Government and implemented by the Federal Court of Australia</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740641" w14:textId="77777777" w:rsidR="00D4303F" w:rsidRDefault="00D4303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634687642"/>
      <w:docPartObj>
        <w:docPartGallery w:val="Page Numbers (Bottom of Page)"/>
        <w:docPartUnique/>
      </w:docPartObj>
    </w:sdtPr>
    <w:sdtEndPr>
      <w:rPr>
        <w:noProof/>
      </w:rPr>
    </w:sdtEndPr>
    <w:sdtContent>
      <w:p w14:paraId="5DCF75A3" w14:textId="614ACC9D" w:rsidR="00CA4E85" w:rsidRPr="00ED721E" w:rsidRDefault="00CA4E85" w:rsidP="00AA3D5E">
        <w:pPr>
          <w:pStyle w:val="Footer"/>
          <w:jc w:val="right"/>
          <w:rPr>
            <w:sz w:val="20"/>
          </w:rPr>
        </w:pPr>
        <w:r>
          <w:rPr>
            <w:caps/>
            <w:sz w:val="20"/>
          </w:rPr>
          <w:t>A-</w:t>
        </w: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1</w:t>
        </w:r>
        <w:r w:rsidRPr="00044D92">
          <w:rPr>
            <w:noProof/>
            <w:sz w:val="20"/>
            <w:szCs w:val="20"/>
          </w:rPr>
          <w:fldChar w:fldCharType="end"/>
        </w:r>
        <w:r w:rsidRPr="00ED721E">
          <w:rPr>
            <w:noProof/>
            <w:sz w:val="20"/>
          </w:rPr>
          <w:t xml:space="preserve"> </w:t>
        </w:r>
        <w:r w:rsidRPr="00ED721E">
          <w:rPr>
            <w:noProof/>
            <w:sz w:val="20"/>
            <w:lang w:val="en-AU"/>
          </w:rPr>
          <mc:AlternateContent>
            <mc:Choice Requires="wps">
              <w:drawing>
                <wp:anchor distT="0" distB="0" distL="114300" distR="114300" simplePos="0" relativeHeight="251708416" behindDoc="0" locked="0" layoutInCell="1" allowOverlap="1" wp14:anchorId="4238D2E8" wp14:editId="18FFDE75">
                  <wp:simplePos x="0" y="0"/>
                  <wp:positionH relativeFrom="column">
                    <wp:posOffset>-890905</wp:posOffset>
                  </wp:positionH>
                  <wp:positionV relativeFrom="paragraph">
                    <wp:posOffset>-132715</wp:posOffset>
                  </wp:positionV>
                  <wp:extent cx="7572375" cy="0"/>
                  <wp:effectExtent l="0" t="0" r="0" b="0"/>
                  <wp:wrapNone/>
                  <wp:docPr id="4631" name="Straight Connector 4631"/>
                  <wp:cNvGraphicFramePr/>
                  <a:graphic xmlns:a="http://schemas.openxmlformats.org/drawingml/2006/main">
                    <a:graphicData uri="http://schemas.microsoft.com/office/word/2010/wordprocessingShape">
                      <wps:wsp>
                        <wps:cNvCnPr/>
                        <wps:spPr>
                          <a:xfrm>
                            <a:off x="0" y="0"/>
                            <a:ext cx="7572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1C53D73" id="Straight Connector 4631" o:spid="_x0000_s1026" style="position:absolute;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0.15pt,-10.45pt" to="526.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lOuwEAAL0DAAAOAAAAZHJzL2Uyb0RvYy54bWysU01v2zAMvQ/YfxB0b2ynazMYcXpI0V6G&#10;LVi3H6DKVCxMX6C02Pn3o5TEHbphGIZdaFHke+Sj6PXdZA07AEbtXcebRc0ZOOl77fYd//rl4eo9&#10;ZzEJ1wvjHXT8CJHfbd6+WY+hhaUfvOkBGZG42I6h40NKoa2qKAewIi58AEdB5dGKRC7uqx7FSOzW&#10;VMu6vq1Gj31ALyFGur0/Bfmm8CsFMn1SKkJipuPUWyoWi33OttqsRbtHEQYtz22If+jCCu2o6Ex1&#10;L5Jg31H/QmW1RB+9SgvpbeWV0hKKBlLT1K/UPA0iQNFCw4lhHlP8f7Ty42GHTPcdf3d73XDmhKVX&#10;ekoo9H5IbOudoxl6ZCVM0xpDbAm0dTs8ezHsMEufFNr8JVFsKhM+zhOGKTFJl6ub1fJ6dcOZvMSq&#10;F2DAmB7BW5YPHTfaZfGiFYcPMVExSr2kkJMbOZUup3Q0kJON+wyKBFGxpqDLKsHWIDsIWoL+W5Mf&#10;nbhKZoYobcwMqv8MOudmGJT1+lvgnF0qepdmoNXO4++qpunSqjrlX1SftGbZz74/loco46AdKcrO&#10;+5yX8Ge/wF/+us0PAAAA//8DAFBLAwQUAAYACAAAACEA1lYm2d8AAAANAQAADwAAAGRycy9kb3du&#10;cmV2LnhtbEyPXUvDMBSG7wX/QziCd1uyqMPVpmMMRLwR17n7rMnSanJSkrSr/94MBL07Hw/veU65&#10;npwlow6x8yhgMWdANDZedWgEfOyfZ49AYpKopPWoBXzrCOvq+qqUhfJn3OmxTobkEIyFFNCm1BeU&#10;xqbVTsa57zXm3ckHJ1Nug6EqyHMOd5ZyxpbUyQ7zhVb2etvq5qsenAD7GsaD2ZpNHF52y/rz/cTf&#10;9qMQtzfT5glI0lP6g+Gin9Whyk5HP6CKxAqYLe7ZXWZzxdkKyAVhD5wDOf6OaFXS/19UPwAAAP//&#10;AwBQSwECLQAUAAYACAAAACEAtoM4kv4AAADhAQAAEwAAAAAAAAAAAAAAAAAAAAAAW0NvbnRlbnRf&#10;VHlwZXNdLnhtbFBLAQItABQABgAIAAAAIQA4/SH/1gAAAJQBAAALAAAAAAAAAAAAAAAAAC8BAABf&#10;cmVscy8ucmVsc1BLAQItABQABgAIAAAAIQDmwolOuwEAAL0DAAAOAAAAAAAAAAAAAAAAAC4CAABk&#10;cnMvZTJvRG9jLnhtbFBLAQItABQABgAIAAAAIQDWVibZ3wAAAA0BAAAPAAAAAAAAAAAAAAAAABUE&#10;AABkcnMvZG93bnJldi54bWxQSwUGAAAAAAQABADzAAAAIQUAAAAA&#10;" strokecolor="black [3200]" strokeweight=".5pt">
                  <v:stroke joinstyle="miter"/>
                </v:line>
              </w:pict>
            </mc:Fallback>
          </mc:AlternateContent>
        </w:r>
        <w:r w:rsidRPr="003C4412">
          <w:rPr>
            <w:noProof/>
            <w:sz w:val="20"/>
            <w:szCs w:val="20"/>
            <w:lang w:val="en-AU"/>
          </w:rPr>
          <w:drawing>
            <wp:anchor distT="0" distB="0" distL="114300" distR="114300" simplePos="0" relativeHeight="251709440" behindDoc="0" locked="0" layoutInCell="1" allowOverlap="1" wp14:anchorId="2B05EF9E" wp14:editId="1DC65452">
              <wp:simplePos x="0" y="0"/>
              <wp:positionH relativeFrom="column">
                <wp:posOffset>-149860</wp:posOffset>
              </wp:positionH>
              <wp:positionV relativeFrom="paragraph">
                <wp:posOffset>-84455</wp:posOffset>
              </wp:positionV>
              <wp:extent cx="628650" cy="466725"/>
              <wp:effectExtent l="0" t="0" r="0" b="9525"/>
              <wp:wrapSquare wrapText="bothSides"/>
              <wp:docPr id="16" name="Picture 16"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7AE0D7C9" w14:textId="77777777" w:rsidR="00CA4E85" w:rsidRPr="003B6A17" w:rsidRDefault="00CA4E85" w:rsidP="00AA3D5E">
    <w:pPr>
      <w:pStyle w:val="Footer"/>
      <w:ind w:left="426"/>
      <w:jc w:val="center"/>
    </w:pPr>
    <w:r w:rsidRPr="00C63E70">
      <w:rPr>
        <w:i/>
        <w:sz w:val="18"/>
        <w:szCs w:val="19"/>
      </w:rPr>
      <w:t>PJSI is funded by the New Zealand Government and implemented by the Federal Court of Australia</w:t>
    </w:r>
  </w:p>
  <w:p w14:paraId="1EC3379A" w14:textId="4710CDBA" w:rsidR="00CA4E85" w:rsidRPr="003623A3" w:rsidRDefault="00CA4E85" w:rsidP="00AA3D5E">
    <w:pPr>
      <w:pStyle w:val="Footer"/>
      <w:tabs>
        <w:tab w:val="clear" w:pos="4513"/>
        <w:tab w:val="clear" w:pos="9026"/>
        <w:tab w:val="left" w:pos="11751"/>
      </w:tabs>
    </w:pPr>
    <w:r>
      <w:tab/>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A8DD3E" w14:textId="21B4FF50" w:rsidR="00CA4E85" w:rsidRPr="00966B07" w:rsidRDefault="00CA4E85" w:rsidP="00966B07">
    <w:pPr>
      <w:pStyle w:val="Footer"/>
    </w:pPr>
    <w:r w:rsidRPr="00006778">
      <w:rPr>
        <w:b/>
        <w:noProof/>
        <w:color w:val="00323E" w:themeColor="accent1" w:themeShade="80"/>
        <w:sz w:val="40"/>
        <w:szCs w:val="40"/>
        <w:lang w:val="en-AU"/>
      </w:rPr>
      <mc:AlternateContent>
        <mc:Choice Requires="wps">
          <w:drawing>
            <wp:anchor distT="45720" distB="45720" distL="114300" distR="114300" simplePos="0" relativeHeight="251784192" behindDoc="0" locked="0" layoutInCell="1" allowOverlap="1" wp14:anchorId="37B376D5" wp14:editId="4D3380DB">
              <wp:simplePos x="0" y="0"/>
              <wp:positionH relativeFrom="page">
                <wp:align>left</wp:align>
              </wp:positionH>
              <wp:positionV relativeFrom="paragraph">
                <wp:posOffset>-662940</wp:posOffset>
              </wp:positionV>
              <wp:extent cx="5686425" cy="1404620"/>
              <wp:effectExtent l="0" t="0" r="0" b="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1404620"/>
                      </a:xfrm>
                      <a:prstGeom prst="rect">
                        <a:avLst/>
                      </a:prstGeom>
                      <a:noFill/>
                      <a:ln w="9525">
                        <a:noFill/>
                        <a:miter lim="800000"/>
                        <a:headEnd/>
                        <a:tailEnd/>
                      </a:ln>
                    </wps:spPr>
                    <wps:txbx>
                      <w:txbxContent>
                        <w:p w14:paraId="524A5597" w14:textId="73888FED" w:rsidR="00CA4E85" w:rsidRPr="006F40E5" w:rsidRDefault="00CA4E85" w:rsidP="006F40E5">
                          <w:pPr>
                            <w:jc w:val="right"/>
                            <w:rPr>
                              <w:i/>
                              <w:sz w:val="22"/>
                              <w:lang w:val="en-AU"/>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7B376D5" id="_x0000_t202" coordsize="21600,21600" o:spt="202" path="m,l,21600r21600,l21600,xe">
              <v:stroke joinstyle="miter"/>
              <v:path gradientshapeok="t" o:connecttype="rect"/>
            </v:shapetype>
            <v:shape id="_x0000_s1069" type="#_x0000_t202" style="position:absolute;margin-left:0;margin-top:-52.2pt;width:447.75pt;height:110.6pt;z-index:251784192;visibility:visible;mso-wrap-style:square;mso-width-percent:0;mso-height-percent:200;mso-wrap-distance-left:9pt;mso-wrap-distance-top:3.6pt;mso-wrap-distance-right:9pt;mso-wrap-distance-bottom:3.6pt;mso-position-horizontal:lef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IcGDAIAAPUDAAAOAAAAZHJzL2Uyb0RvYy54bWysU11v2yAUfZ+0/4B4X+y4TpZacaquXaZJ&#10;3YfU7gdgjGM04DIgsbNfvwtO06h7m8YDAu7lcM+5h/XNqBU5COclmJrOZzklwnBopdnV9MfT9t2K&#10;Eh+YaZkCI2p6FJ7ebN6+WQ+2EgX0oFrhCIIYXw22pn0Itsoyz3uhmZ+BFQaDHTjNAm7dLmsdGxBd&#10;q6zI82U2gGutAy68x9P7KUg3Cb/rBA/fus6LQFRNsbaQZpfmJs7ZZs2qnWO2l/xUBvuHKjSTBh89&#10;Q92zwMjeyb+gtOQOPHRhxkFn0HWSi8QB2czzV2wee2ZF4oLieHuWyf8/WP718N0R2WLvrq4oMUxj&#10;k57EGMgHGEkR9RmsrzDt0WJiGPEYcxNXbx+A//TEwF3PzE7cOgdDL1iL9c3jzezi6oTjI0gzfIEW&#10;n2H7AAlo7JyO4qEcBNGxT8dzb2IpHA8Xy9WyLBaUcIzNy7xcFql7Gauer1vnwycBmsRFTR02P8Gz&#10;w4MPsRxWPafE1wxspVLJAMqQoabXC8R/FdEyoD+V1DVd5XFMjoksP5o2XQ5MqmmNDyhzoh2ZTpzD&#10;2IyYGLVooD2iAA4mH+K/wUUP7jclA3qwpv7XnjlBifpsUMTreVlG06ZNuXiPjIm7jDSXEWY4QtU0&#10;UDIt70IyemTk7S2KvZVJhpdKTrWit5I6p38QzXu5T1kvv3XzBwAA//8DAFBLAwQUAAYACAAAACEA&#10;4XQq+94AAAAJAQAADwAAAGRycy9kb3ducmV2LnhtbEyPzU7DMBCE70i8g7VI3Fo7VVtCiFNVqC1H&#10;Sok4u/GSRMQ/st00vD3LCY6jGc18U24mM7ARQ+ydlZDNBTC0jdO9bSXU7/tZDiwmZbUanEUJ3xhh&#10;U93elKrQ7mrfcDylllGJjYWS0KXkC85j06FRce48WvI+XTAqkQwt10FdqdwMfCHEmhvVW1rolMfn&#10;Dpuv08VI8MkfHl7C63G724+i/jjUi77dSXl/N22fgCWc0l8YfvEJHSpiOruL1ZENEuhIkjDLxHIJ&#10;jPz8cbUCdqZgts6BVyX//6D6AQAA//8DAFBLAQItABQABgAIAAAAIQC2gziS/gAAAOEBAAATAAAA&#10;AAAAAAAAAAAAAAAAAABbQ29udGVudF9UeXBlc10ueG1sUEsBAi0AFAAGAAgAAAAhADj9If/WAAAA&#10;lAEAAAsAAAAAAAAAAAAAAAAALwEAAF9yZWxzLy5yZWxzUEsBAi0AFAAGAAgAAAAhAOtohwYMAgAA&#10;9QMAAA4AAAAAAAAAAAAAAAAALgIAAGRycy9lMm9Eb2MueG1sUEsBAi0AFAAGAAgAAAAhAOF0Kvve&#10;AAAACQEAAA8AAAAAAAAAAAAAAAAAZgQAAGRycy9kb3ducmV2LnhtbFBLBQYAAAAABAAEAPMAAABx&#10;BQAAAAA=&#10;" filled="f" stroked="f">
              <v:textbox style="mso-fit-shape-to-text:t">
                <w:txbxContent>
                  <w:p w14:paraId="524A5597" w14:textId="73888FED" w:rsidR="00CA4E85" w:rsidRPr="006F40E5" w:rsidRDefault="00CA4E85" w:rsidP="006F40E5">
                    <w:pPr>
                      <w:jc w:val="right"/>
                      <w:rPr>
                        <w:i/>
                        <w:sz w:val="22"/>
                        <w:lang w:val="en-AU"/>
                      </w:rPr>
                    </w:pPr>
                  </w:p>
                </w:txbxContent>
              </v:textbox>
              <w10:wrap type="square" anchorx="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1208476574"/>
      <w:docPartObj>
        <w:docPartGallery w:val="Page Numbers (Bottom of Page)"/>
        <w:docPartUnique/>
      </w:docPartObj>
    </w:sdtPr>
    <w:sdtEndPr>
      <w:rPr>
        <w:noProof/>
      </w:rPr>
    </w:sdtEndPr>
    <w:sdtContent>
      <w:p w14:paraId="17BBBD0C" w14:textId="215BBB8D" w:rsidR="00CA4E85" w:rsidRPr="00ED721E" w:rsidRDefault="00CA4E85" w:rsidP="001D36CD">
        <w:pPr>
          <w:pStyle w:val="Footer"/>
          <w:jc w:val="right"/>
          <w:rPr>
            <w:sz w:val="20"/>
          </w:rPr>
        </w:pP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i</w:t>
        </w:r>
        <w:r w:rsidRPr="00044D92">
          <w:rPr>
            <w:noProof/>
            <w:sz w:val="20"/>
            <w:szCs w:val="20"/>
          </w:rPr>
          <w:fldChar w:fldCharType="end"/>
        </w:r>
        <w:r w:rsidRPr="00ED721E">
          <w:rPr>
            <w:noProof/>
            <w:sz w:val="20"/>
          </w:rPr>
          <w:t xml:space="preserve"> </w:t>
        </w:r>
        <w:r w:rsidRPr="00ED721E">
          <w:rPr>
            <w:noProof/>
            <w:sz w:val="20"/>
            <w:lang w:val="en-AU"/>
          </w:rPr>
          <mc:AlternateContent>
            <mc:Choice Requires="wps">
              <w:drawing>
                <wp:anchor distT="0" distB="0" distL="114300" distR="114300" simplePos="0" relativeHeight="251774976" behindDoc="0" locked="0" layoutInCell="1" allowOverlap="1" wp14:anchorId="15820F44" wp14:editId="399069E9">
                  <wp:simplePos x="0" y="0"/>
                  <wp:positionH relativeFrom="column">
                    <wp:posOffset>-890905</wp:posOffset>
                  </wp:positionH>
                  <wp:positionV relativeFrom="paragraph">
                    <wp:posOffset>-132715</wp:posOffset>
                  </wp:positionV>
                  <wp:extent cx="7572375" cy="0"/>
                  <wp:effectExtent l="0" t="0" r="0" b="0"/>
                  <wp:wrapNone/>
                  <wp:docPr id="4740" name="Straight Connector 4740"/>
                  <wp:cNvGraphicFramePr/>
                  <a:graphic xmlns:a="http://schemas.openxmlformats.org/drawingml/2006/main">
                    <a:graphicData uri="http://schemas.microsoft.com/office/word/2010/wordprocessingShape">
                      <wps:wsp>
                        <wps:cNvCnPr/>
                        <wps:spPr>
                          <a:xfrm>
                            <a:off x="0" y="0"/>
                            <a:ext cx="7572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96ED234" id="Straight Connector 4740" o:spid="_x0000_s1026" style="position:absolute;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0.15pt,-10.45pt" to="526.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2PuQEAAL0DAAAOAAAAZHJzL2Uyb0RvYy54bWysU8GOEzEMvSPxD1HudNqyS9Go0z10BRcE&#10;Fbt8QDbjdCKSOHJCp/17nLSdRYAQQlw8cexn+7141ndH78QBKFkMnVzM5lJA0NjbsO/kl8d3r95K&#10;kbIKvXIYoJMnSPJu8/LFeowtLHFA1wMJLhJSO8ZODjnHtmmSHsCrNMMIgYMGyavMLu2bntTI1b1r&#10;lvP5m2ZE6iOhhpT49v4clJta3xjQ+ZMxCbJwneTZcrVU7VOxzWat2j2pOFh9GUP9wxRe2cBNp1L3&#10;KivxjewvpbzVhAlNnmn0DRpjNVQOzGYx/4nNw6AiVC4sToqTTOn/ldUfDzsStu/kzeqGBQrK8ys9&#10;ZFJ2P2SxxRBYQyRRw6zWGFPLoG3Y0cVLcUeF+tGQL18mJY5V4dOkMByz0Hy5ul0tX69updDXWPMM&#10;jJTye0AvyqGTzoZCXrXq8CFlbsap1xR2yiDn1vWUTw5KsgufwTAhbrao6LpKsHUkDoqXoP+6KI/O&#10;tWpmgRjr3ASa/xl0yS0wqOv1t8Apu3bEkCegtwHpd13z8TqqOedfWZ+5FtpP2J/qQ1Q5eEcqs8s+&#10;lyX80a/w579u8x0AAP//AwBQSwMEFAAGAAgAAAAhANZWJtnfAAAADQEAAA8AAABkcnMvZG93bnJl&#10;di54bWxMj11LwzAUhu8F/0M4gndbsqjD1aZjDES8Ede5+6zJ0mpyUpK0q//eDAS9Ox8P73lOuZ6c&#10;JaMOsfMoYDFnQDQ2XnVoBHzsn2ePQGKSqKT1qAV86wjr6vqqlIXyZ9zpsU6G5BCMhRTQptQXlMam&#10;1U7Gue815t3JBydTboOhKshzDneWcsaW1MkO84VW9nrb6uarHpwA+xrGg9maTRxedsv68/3E3/aj&#10;ELc30+YJSNJT+oPhop/VocpORz+gisQKmC3u2V1mc8XZCsgFYQ+cAzn+jmhV0v9fVD8AAAD//wMA&#10;UEsBAi0AFAAGAAgAAAAhALaDOJL+AAAA4QEAABMAAAAAAAAAAAAAAAAAAAAAAFtDb250ZW50X1R5&#10;cGVzXS54bWxQSwECLQAUAAYACAAAACEAOP0h/9YAAACUAQAACwAAAAAAAAAAAAAAAAAvAQAAX3Jl&#10;bHMvLnJlbHNQSwECLQAUAAYACAAAACEAtnEtj7kBAAC9AwAADgAAAAAAAAAAAAAAAAAuAgAAZHJz&#10;L2Uyb0RvYy54bWxQSwECLQAUAAYACAAAACEA1lYm2d8AAAANAQAADwAAAAAAAAAAAAAAAAATBAAA&#10;ZHJzL2Rvd25yZXYueG1sUEsFBgAAAAAEAAQA8wAAAB8FAAAAAA==&#10;" strokecolor="black [3200]" strokeweight=".5pt">
                  <v:stroke joinstyle="miter"/>
                </v:line>
              </w:pict>
            </mc:Fallback>
          </mc:AlternateContent>
        </w:r>
        <w:r w:rsidRPr="003C4412">
          <w:rPr>
            <w:noProof/>
            <w:sz w:val="20"/>
            <w:szCs w:val="20"/>
            <w:lang w:val="en-AU"/>
          </w:rPr>
          <w:drawing>
            <wp:anchor distT="0" distB="0" distL="114300" distR="114300" simplePos="0" relativeHeight="251776000" behindDoc="0" locked="0" layoutInCell="1" allowOverlap="1" wp14:anchorId="743BF10C" wp14:editId="3A9B5EA8">
              <wp:simplePos x="0" y="0"/>
              <wp:positionH relativeFrom="column">
                <wp:posOffset>-149860</wp:posOffset>
              </wp:positionH>
              <wp:positionV relativeFrom="paragraph">
                <wp:posOffset>-84455</wp:posOffset>
              </wp:positionV>
              <wp:extent cx="628650" cy="466725"/>
              <wp:effectExtent l="0" t="0" r="0" b="9525"/>
              <wp:wrapSquare wrapText="bothSides"/>
              <wp:docPr id="41" name="Picture 41"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185025B1" w14:textId="77777777" w:rsidR="00CA4E85" w:rsidRPr="003B6A17" w:rsidRDefault="00CA4E85" w:rsidP="001D36CD">
    <w:pPr>
      <w:pStyle w:val="Footer"/>
      <w:ind w:left="426"/>
      <w:jc w:val="center"/>
    </w:pPr>
    <w:r w:rsidRPr="00C63E70">
      <w:rPr>
        <w:i/>
        <w:sz w:val="18"/>
        <w:szCs w:val="19"/>
      </w:rPr>
      <w:t>PJSI is funded by the New Zealand Government and implemented by the Federal Court of Australia</w:t>
    </w:r>
  </w:p>
  <w:p w14:paraId="55C2B0D8" w14:textId="77777777" w:rsidR="00CA4E85" w:rsidRDefault="00CA4E85" w:rsidP="001D36CD">
    <w:pPr>
      <w:pStyle w:val="Footer"/>
    </w:pPr>
  </w:p>
  <w:p w14:paraId="29073B7E" w14:textId="77777777" w:rsidR="00CA4E85" w:rsidRPr="001D36CD" w:rsidRDefault="00CA4E85" w:rsidP="001D36C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1786855515"/>
      <w:docPartObj>
        <w:docPartGallery w:val="Page Numbers (Bottom of Page)"/>
        <w:docPartUnique/>
      </w:docPartObj>
    </w:sdtPr>
    <w:sdtEndPr>
      <w:rPr>
        <w:noProof/>
      </w:rPr>
    </w:sdtEndPr>
    <w:sdtContent>
      <w:p w14:paraId="1DDB1D0D" w14:textId="6E70F3FE" w:rsidR="00CA4E85" w:rsidRPr="00ED721E" w:rsidRDefault="00CA4E85" w:rsidP="001D36CD">
        <w:pPr>
          <w:pStyle w:val="Footer"/>
          <w:jc w:val="right"/>
          <w:rPr>
            <w:sz w:val="20"/>
          </w:rPr>
        </w:pP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ii</w:t>
        </w:r>
        <w:r w:rsidRPr="00044D92">
          <w:rPr>
            <w:noProof/>
            <w:sz w:val="20"/>
            <w:szCs w:val="20"/>
          </w:rPr>
          <w:fldChar w:fldCharType="end"/>
        </w:r>
        <w:r w:rsidRPr="00ED721E">
          <w:rPr>
            <w:noProof/>
            <w:sz w:val="20"/>
          </w:rPr>
          <w:t xml:space="preserve"> </w:t>
        </w:r>
        <w:r w:rsidRPr="00ED721E">
          <w:rPr>
            <w:noProof/>
            <w:sz w:val="20"/>
            <w:lang w:val="en-AU"/>
          </w:rPr>
          <mc:AlternateContent>
            <mc:Choice Requires="wps">
              <w:drawing>
                <wp:anchor distT="0" distB="0" distL="114300" distR="114300" simplePos="0" relativeHeight="251686912" behindDoc="0" locked="0" layoutInCell="1" allowOverlap="1" wp14:anchorId="3259521B" wp14:editId="27AF9C51">
                  <wp:simplePos x="0" y="0"/>
                  <wp:positionH relativeFrom="column">
                    <wp:posOffset>-890905</wp:posOffset>
                  </wp:positionH>
                  <wp:positionV relativeFrom="paragraph">
                    <wp:posOffset>-132715</wp:posOffset>
                  </wp:positionV>
                  <wp:extent cx="7572375" cy="0"/>
                  <wp:effectExtent l="0" t="0" r="0" b="0"/>
                  <wp:wrapNone/>
                  <wp:docPr id="4613" name="Straight Connector 4613"/>
                  <wp:cNvGraphicFramePr/>
                  <a:graphic xmlns:a="http://schemas.openxmlformats.org/drawingml/2006/main">
                    <a:graphicData uri="http://schemas.microsoft.com/office/word/2010/wordprocessingShape">
                      <wps:wsp>
                        <wps:cNvCnPr/>
                        <wps:spPr>
                          <a:xfrm>
                            <a:off x="0" y="0"/>
                            <a:ext cx="7572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CD656B2" id="Straight Connector 4613" o:spid="_x0000_s1026" style="position:absolute;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0.15pt,-10.45pt" to="526.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UsnuwEAAL0DAAAOAAAAZHJzL2Uyb0RvYy54bWysU01v2zAMvQ/YfxB0b2ynazMYcXpI0V6G&#10;LVi3H6DKVCxMX6C02Pn3o5TEHbphGIZdaFHke+Sj6PXdZA07AEbtXcebRc0ZOOl77fYd//rl4eo9&#10;ZzEJ1wvjHXT8CJHfbd6+WY+hhaUfvOkBGZG42I6h40NKoa2qKAewIi58AEdB5dGKRC7uqx7FSOzW&#10;VMu6vq1Gj31ALyFGur0/Bfmm8CsFMn1SKkJipuPUWyoWi33OttqsRbtHEQYtz22If+jCCu2o6Ex1&#10;L5Jg31H/QmW1RB+9SgvpbeWV0hKKBlLT1K/UPA0iQNFCw4lhHlP8f7Ty42GHTPcdf3fbXHPmhKVX&#10;ekoo9H5IbOudoxl6ZCVM0xpDbAm0dTs8ezHsMEufFNr8JVFsKhM+zhOGKTFJl6ub1fJ6dcOZvMSq&#10;F2DAmB7BW5YPHTfaZfGiFYcPMVExSr2kkJMbOZUup3Q0kJON+wyKBFGxpqDLKsHWIDsIWoL+W5Mf&#10;nbhKZoYobcwMqv8MOudmGJT1+lvgnF0qepdmoNXO4++qpunSqjrlX1SftGbZz74/loco46AdKcrO&#10;+5yX8Ge/wF/+us0PAAAA//8DAFBLAwQUAAYACAAAACEA1lYm2d8AAAANAQAADwAAAGRycy9kb3du&#10;cmV2LnhtbEyPXUvDMBSG7wX/QziCd1uyqMPVpmMMRLwR17n7rMnSanJSkrSr/94MBL07Hw/veU65&#10;npwlow6x8yhgMWdANDZedWgEfOyfZ49AYpKopPWoBXzrCOvq+qqUhfJn3OmxTobkEIyFFNCm1BeU&#10;xqbVTsa57zXm3ckHJ1Nug6EqyHMOd5ZyxpbUyQ7zhVb2etvq5qsenAD7GsaD2ZpNHF52y/rz/cTf&#10;9qMQtzfT5glI0lP6g+Gin9Whyk5HP6CKxAqYLe7ZXWZzxdkKyAVhD5wDOf6OaFXS/19UPwAAAP//&#10;AwBQSwECLQAUAAYACAAAACEAtoM4kv4AAADhAQAAEwAAAAAAAAAAAAAAAAAAAAAAW0NvbnRlbnRf&#10;VHlwZXNdLnhtbFBLAQItABQABgAIAAAAIQA4/SH/1gAAAJQBAAALAAAAAAAAAAAAAAAAAC8BAABf&#10;cmVscy8ucmVsc1BLAQItABQABgAIAAAAIQBoQUsnuwEAAL0DAAAOAAAAAAAAAAAAAAAAAC4CAABk&#10;cnMvZTJvRG9jLnhtbFBLAQItABQABgAIAAAAIQDWVibZ3wAAAA0BAAAPAAAAAAAAAAAAAAAAABUE&#10;AABkcnMvZG93bnJldi54bWxQSwUGAAAAAAQABADzAAAAIQUAAAAA&#10;" strokecolor="black [3200]" strokeweight=".5pt">
                  <v:stroke joinstyle="miter"/>
                </v:line>
              </w:pict>
            </mc:Fallback>
          </mc:AlternateContent>
        </w:r>
        <w:r w:rsidRPr="003C4412">
          <w:rPr>
            <w:noProof/>
            <w:sz w:val="20"/>
            <w:szCs w:val="20"/>
            <w:lang w:val="en-AU"/>
          </w:rPr>
          <w:drawing>
            <wp:anchor distT="0" distB="0" distL="114300" distR="114300" simplePos="0" relativeHeight="251687936" behindDoc="0" locked="0" layoutInCell="1" allowOverlap="1" wp14:anchorId="170CA658" wp14:editId="5B564C6B">
              <wp:simplePos x="0" y="0"/>
              <wp:positionH relativeFrom="column">
                <wp:posOffset>-149860</wp:posOffset>
              </wp:positionH>
              <wp:positionV relativeFrom="paragraph">
                <wp:posOffset>-84455</wp:posOffset>
              </wp:positionV>
              <wp:extent cx="628650" cy="466725"/>
              <wp:effectExtent l="0" t="0" r="0" b="9525"/>
              <wp:wrapSquare wrapText="bothSides"/>
              <wp:docPr id="43" name="Picture 43"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79F633EA" w14:textId="77777777" w:rsidR="00CA4E85" w:rsidRPr="003B6A17" w:rsidRDefault="00CA4E85" w:rsidP="001D36CD">
    <w:pPr>
      <w:pStyle w:val="Footer"/>
      <w:ind w:left="426"/>
      <w:jc w:val="center"/>
    </w:pPr>
    <w:r w:rsidRPr="00C63E70">
      <w:rPr>
        <w:i/>
        <w:sz w:val="18"/>
        <w:szCs w:val="19"/>
      </w:rPr>
      <w:t>PJSI is funded by the New Zealand Government and implemented by the Federal Court of Australia</w:t>
    </w:r>
  </w:p>
  <w:p w14:paraId="7532A10C" w14:textId="77777777" w:rsidR="00CA4E85" w:rsidRDefault="00CA4E85" w:rsidP="001D36CD">
    <w:pPr>
      <w:pStyle w:val="Footer"/>
    </w:pPr>
  </w:p>
  <w:p w14:paraId="509A6633" w14:textId="77777777" w:rsidR="00CA4E85" w:rsidRDefault="00CA4E85" w:rsidP="00313C4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1650670905"/>
      <w:docPartObj>
        <w:docPartGallery w:val="Page Numbers (Bottom of Page)"/>
        <w:docPartUnique/>
      </w:docPartObj>
    </w:sdtPr>
    <w:sdtEndPr>
      <w:rPr>
        <w:noProof/>
      </w:rPr>
    </w:sdtEndPr>
    <w:sdtContent>
      <w:p w14:paraId="12EBBFC7" w14:textId="0A234693" w:rsidR="00CA4E85" w:rsidRPr="00ED721E" w:rsidRDefault="00CA4E85" w:rsidP="001D36CD">
        <w:pPr>
          <w:pStyle w:val="Footer"/>
          <w:jc w:val="right"/>
          <w:rPr>
            <w:sz w:val="20"/>
          </w:rPr>
        </w:pP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iii</w:t>
        </w:r>
        <w:r w:rsidRPr="00044D92">
          <w:rPr>
            <w:noProof/>
            <w:sz w:val="20"/>
            <w:szCs w:val="20"/>
          </w:rPr>
          <w:fldChar w:fldCharType="end"/>
        </w:r>
        <w:r w:rsidRPr="00ED721E">
          <w:rPr>
            <w:noProof/>
            <w:sz w:val="20"/>
          </w:rPr>
          <w:t xml:space="preserve"> </w:t>
        </w:r>
        <w:r w:rsidRPr="00ED721E">
          <w:rPr>
            <w:noProof/>
            <w:sz w:val="20"/>
            <w:lang w:val="en-AU"/>
          </w:rPr>
          <mc:AlternateContent>
            <mc:Choice Requires="wps">
              <w:drawing>
                <wp:anchor distT="0" distB="0" distL="114300" distR="114300" simplePos="0" relativeHeight="251702272" behindDoc="0" locked="0" layoutInCell="1" allowOverlap="1" wp14:anchorId="2F05FAC4" wp14:editId="1371F517">
                  <wp:simplePos x="0" y="0"/>
                  <wp:positionH relativeFrom="column">
                    <wp:posOffset>-890905</wp:posOffset>
                  </wp:positionH>
                  <wp:positionV relativeFrom="paragraph">
                    <wp:posOffset>-132715</wp:posOffset>
                  </wp:positionV>
                  <wp:extent cx="7572375" cy="0"/>
                  <wp:effectExtent l="0" t="0" r="0" b="0"/>
                  <wp:wrapNone/>
                  <wp:docPr id="3177" name="Straight Connector 3177"/>
                  <wp:cNvGraphicFramePr/>
                  <a:graphic xmlns:a="http://schemas.openxmlformats.org/drawingml/2006/main">
                    <a:graphicData uri="http://schemas.microsoft.com/office/word/2010/wordprocessingShape">
                      <wps:wsp>
                        <wps:cNvCnPr/>
                        <wps:spPr>
                          <a:xfrm>
                            <a:off x="0" y="0"/>
                            <a:ext cx="7572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EE714B0" id="Straight Connector 3177" o:spid="_x0000_s1026" style="position:absolute;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0.15pt,-10.45pt" to="526.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pqVugEAAL0DAAAOAAAAZHJzL2Uyb0RvYy54bWysU02P0zAQvSPxHyzfaZKulqCo6R66gguC&#10;ioUf4HXGjbX+0tg06b9n7LZZBAghtJeJxzPvzbzxZHM3W8OOgFF71/NmVXMGTvpBu0PPv319/+Yd&#10;ZzEJNwjjHfT8BJHfbV+/2kyhg7UfvRkAGZG42E2h52NKoauqKEewIq58AEdB5dGKRC4eqgHFROzW&#10;VOu6fltNHoeAXkKMdHt/DvJt4VcKZPqsVITETM+pt1QsFvuYbbXdiO6AIoxaXtoQ/9GFFdpR0YXq&#10;XiTBvqP+jcpqiT56lVbS28orpSUUDaSmqX9R8zCKAEULDSeGZUzx5Wjlp+MemR56ftO0LWdOWHql&#10;h4RCH8bEdt45mqFHVsI0rSnEjkA7t8eLF8Mes/RZoc1fEsXmMuHTMmGYE5N02d6265v2ljN5jVXP&#10;wIAxfQBvWT703GiXxYtOHD/GRMUo9ZpCTm7kXLqc0slATjbuCygSRMWagi6rBDuD7ChoCYanJj86&#10;cZXMDFHamAVU/x10yc0wKOv1r8Alu1T0Li1Aq53HP1VN87VVdc6/qj5rzbIf/XAqD1HGQTtSlF32&#10;OS/hz36BP/912x8AAAD//wMAUEsDBBQABgAIAAAAIQDWVibZ3wAAAA0BAAAPAAAAZHJzL2Rvd25y&#10;ZXYueG1sTI9dS8MwFIbvBf9DOIJ3W7Kow9WmYwxEvBHXufusydJqclKStKv/3gwEvTsfD+95Trme&#10;nCWjDrHzKGAxZ0A0Nl51aAR87J9nj0Bikqik9agFfOsI6+r6qpSF8mfc6bFOhuQQjIUU0KbUF5TG&#10;ptVOxrnvNebdyQcnU26DoSrIcw53lnLGltTJDvOFVvZ62+rmqx6cAPsaxoPZmk0cXnbL+vP9xN/2&#10;oxC3N9PmCUjSU/qD4aKf1aHKTkc/oIrECpgt7tldZnPF2QrIBWEPnAM5/o5oVdL/X1Q/AAAA//8D&#10;AFBLAQItABQABgAIAAAAIQC2gziS/gAAAOEBAAATAAAAAAAAAAAAAAAAAAAAAABbQ29udGVudF9U&#10;eXBlc10ueG1sUEsBAi0AFAAGAAgAAAAhADj9If/WAAAAlAEAAAsAAAAAAAAAAAAAAAAALwEAAF9y&#10;ZWxzLy5yZWxzUEsBAi0AFAAGAAgAAAAhABJimpW6AQAAvQMAAA4AAAAAAAAAAAAAAAAALgIAAGRy&#10;cy9lMm9Eb2MueG1sUEsBAi0AFAAGAAgAAAAhANZWJtnfAAAADQEAAA8AAAAAAAAAAAAAAAAAFAQA&#10;AGRycy9kb3ducmV2LnhtbFBLBQYAAAAABAAEAPMAAAAgBQAAAAA=&#10;" strokecolor="black [3200]" strokeweight=".5pt">
                  <v:stroke joinstyle="miter"/>
                </v:line>
              </w:pict>
            </mc:Fallback>
          </mc:AlternateContent>
        </w:r>
        <w:r w:rsidRPr="003C4412">
          <w:rPr>
            <w:noProof/>
            <w:sz w:val="20"/>
            <w:szCs w:val="20"/>
            <w:lang w:val="en-AU"/>
          </w:rPr>
          <w:drawing>
            <wp:anchor distT="0" distB="0" distL="114300" distR="114300" simplePos="0" relativeHeight="251703296" behindDoc="0" locked="0" layoutInCell="1" allowOverlap="1" wp14:anchorId="15D43C90" wp14:editId="0A24258D">
              <wp:simplePos x="0" y="0"/>
              <wp:positionH relativeFrom="column">
                <wp:posOffset>-149860</wp:posOffset>
              </wp:positionH>
              <wp:positionV relativeFrom="paragraph">
                <wp:posOffset>-84455</wp:posOffset>
              </wp:positionV>
              <wp:extent cx="628650" cy="466725"/>
              <wp:effectExtent l="0" t="0" r="0" b="9525"/>
              <wp:wrapSquare wrapText="bothSides"/>
              <wp:docPr id="46" name="Picture 46"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7928DF06" w14:textId="77777777" w:rsidR="00CA4E85" w:rsidRPr="003B6A17" w:rsidRDefault="00CA4E85" w:rsidP="001D36CD">
    <w:pPr>
      <w:pStyle w:val="Footer"/>
      <w:ind w:left="426"/>
      <w:jc w:val="center"/>
    </w:pPr>
    <w:r w:rsidRPr="00C63E70">
      <w:rPr>
        <w:i/>
        <w:sz w:val="18"/>
        <w:szCs w:val="19"/>
      </w:rPr>
      <w:t>PJSI is funded by the New Zealand Government and implemented by the Federal Court of Australia</w:t>
    </w:r>
  </w:p>
  <w:p w14:paraId="3000F00D" w14:textId="77777777" w:rsidR="00CA4E85" w:rsidRDefault="00CA4E85" w:rsidP="001D36CD">
    <w:pPr>
      <w:pStyle w:val="Footer"/>
    </w:pPr>
  </w:p>
  <w:p w14:paraId="47F7C333" w14:textId="77777777" w:rsidR="00CA4E85" w:rsidRPr="001D36CD" w:rsidRDefault="00CA4E85" w:rsidP="001D36C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1808042962"/>
      <w:docPartObj>
        <w:docPartGallery w:val="Page Numbers (Bottom of Page)"/>
        <w:docPartUnique/>
      </w:docPartObj>
    </w:sdtPr>
    <w:sdtEndPr>
      <w:rPr>
        <w:noProof/>
      </w:rPr>
    </w:sdtEndPr>
    <w:sdtContent>
      <w:p w14:paraId="2785BC26" w14:textId="54576CD1" w:rsidR="00CA4E85" w:rsidRPr="00ED721E" w:rsidRDefault="00CA4E85" w:rsidP="001D36CD">
        <w:pPr>
          <w:pStyle w:val="Footer"/>
          <w:jc w:val="right"/>
          <w:rPr>
            <w:sz w:val="20"/>
          </w:rPr>
        </w:pP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17</w:t>
        </w:r>
        <w:r w:rsidRPr="00044D92">
          <w:rPr>
            <w:noProof/>
            <w:sz w:val="20"/>
            <w:szCs w:val="20"/>
          </w:rPr>
          <w:fldChar w:fldCharType="end"/>
        </w:r>
        <w:r w:rsidRPr="00ED721E">
          <w:rPr>
            <w:noProof/>
            <w:sz w:val="20"/>
          </w:rPr>
          <w:t xml:space="preserve"> </w:t>
        </w:r>
        <w:r w:rsidRPr="00ED721E">
          <w:rPr>
            <w:noProof/>
            <w:sz w:val="20"/>
            <w:lang w:val="en-AU"/>
          </w:rPr>
          <mc:AlternateContent>
            <mc:Choice Requires="wps">
              <w:drawing>
                <wp:anchor distT="0" distB="0" distL="114300" distR="114300" simplePos="0" relativeHeight="251786240" behindDoc="0" locked="0" layoutInCell="1" allowOverlap="1" wp14:anchorId="6DAADDC8" wp14:editId="4F0B4408">
                  <wp:simplePos x="0" y="0"/>
                  <wp:positionH relativeFrom="column">
                    <wp:posOffset>-890905</wp:posOffset>
                  </wp:positionH>
                  <wp:positionV relativeFrom="paragraph">
                    <wp:posOffset>-132715</wp:posOffset>
                  </wp:positionV>
                  <wp:extent cx="7572375" cy="0"/>
                  <wp:effectExtent l="0" t="0" r="0" b="0"/>
                  <wp:wrapNone/>
                  <wp:docPr id="4689" name="Straight Connector 4689"/>
                  <wp:cNvGraphicFramePr/>
                  <a:graphic xmlns:a="http://schemas.openxmlformats.org/drawingml/2006/main">
                    <a:graphicData uri="http://schemas.microsoft.com/office/word/2010/wordprocessingShape">
                      <wps:wsp>
                        <wps:cNvCnPr/>
                        <wps:spPr>
                          <a:xfrm>
                            <a:off x="0" y="0"/>
                            <a:ext cx="7572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8608DEA" id="Straight Connector 4689" o:spid="_x0000_s1026" style="position:absolute;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0.15pt,-10.45pt" to="526.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a9ZuwEAAL0DAAAOAAAAZHJzL2Uyb0RvYy54bWysU9tu2zAMfR+wfxD0vthJL2mNOH1I0b0M&#10;W7BuH6DKVCxUN1Ba7Pz9KCVxi20YimEvtCjyHPJQ9OputIbtAaP2ruXzWc0ZOOk77XYt//7t4cMN&#10;ZzEJ1wnjHbT8AJHfrd+/Ww2hgYXvvekAGZG42Ayh5X1KoamqKHuwIs58AEdB5dGKRC7uqg7FQOzW&#10;VIu6vq4Gj11ALyFGur0/Bvm68CsFMn1RKkJipuXUWyoWi33KtlqvRLNDEXotT22If+jCCu2o6ER1&#10;L5JgP1D/RmW1RB+9SjPpbeWV0hKKBlIzr39R89iLAEULDSeGaUzx/9HKz/stMt21/PL65pYzJyy9&#10;0mNCoXd9YhvvHM3QIythmtYQYkOgjdviyYthi1n6qNDmL4liY5nwYZowjIlJulxeLRcXyyvO5DlW&#10;vQADxvQRvGX50HKjXRYvGrH/FBMVo9RzCjm5kWPpckoHAznZuK+gSBAVmxd0WSXYGGR7QUvQPc/z&#10;oxNXycwQpY2ZQPXfQafcDIOyXm8FTtmlondpAlrtPP6pahrPrapj/ln1UWuW/eS7Q3mIMg7akaLs&#10;tM95CV/7Bf7y161/AgAA//8DAFBLAwQUAAYACAAAACEA1lYm2d8AAAANAQAADwAAAGRycy9kb3du&#10;cmV2LnhtbEyPXUvDMBSG7wX/QziCd1uyqMPVpmMMRLwR17n7rMnSanJSkrSr/94MBL07Hw/veU65&#10;npwlow6x8yhgMWdANDZedWgEfOyfZ49AYpKopPWoBXzrCOvq+qqUhfJn3OmxTobkEIyFFNCm1BeU&#10;xqbVTsa57zXm3ckHJ1Nug6EqyHMOd5ZyxpbUyQ7zhVb2etvq5qsenAD7GsaD2ZpNHF52y/rz/cTf&#10;9qMQtzfT5glI0lP6g+Gin9Whyk5HP6CKxAqYLe7ZXWZzxdkKyAVhD5wDOf6OaFXS/19UPwAAAP//&#10;AwBQSwECLQAUAAYACAAAACEAtoM4kv4AAADhAQAAEwAAAAAAAAAAAAAAAAAAAAAAW0NvbnRlbnRf&#10;VHlwZXNdLnhtbFBLAQItABQABgAIAAAAIQA4/SH/1gAAAJQBAAALAAAAAAAAAAAAAAAAAC8BAABf&#10;cmVscy8ucmVsc1BLAQItABQABgAIAAAAIQCG5a9ZuwEAAL0DAAAOAAAAAAAAAAAAAAAAAC4CAABk&#10;cnMvZTJvRG9jLnhtbFBLAQItABQABgAIAAAAIQDWVibZ3wAAAA0BAAAPAAAAAAAAAAAAAAAAABUE&#10;AABkcnMvZG93bnJldi54bWxQSwUGAAAAAAQABADzAAAAIQUAAAAA&#10;" strokecolor="black [3200]" strokeweight=".5pt">
                  <v:stroke joinstyle="miter"/>
                </v:line>
              </w:pict>
            </mc:Fallback>
          </mc:AlternateContent>
        </w:r>
        <w:r w:rsidRPr="003C4412">
          <w:rPr>
            <w:noProof/>
            <w:sz w:val="20"/>
            <w:szCs w:val="20"/>
            <w:lang w:val="en-AU"/>
          </w:rPr>
          <w:drawing>
            <wp:anchor distT="0" distB="0" distL="114300" distR="114300" simplePos="0" relativeHeight="251787264" behindDoc="0" locked="0" layoutInCell="1" allowOverlap="1" wp14:anchorId="7E3DC2D7" wp14:editId="2268AD71">
              <wp:simplePos x="0" y="0"/>
              <wp:positionH relativeFrom="column">
                <wp:posOffset>-149860</wp:posOffset>
              </wp:positionH>
              <wp:positionV relativeFrom="paragraph">
                <wp:posOffset>-84455</wp:posOffset>
              </wp:positionV>
              <wp:extent cx="628650" cy="466725"/>
              <wp:effectExtent l="0" t="0" r="0" b="9525"/>
              <wp:wrapSquare wrapText="bothSides"/>
              <wp:docPr id="52" name="Picture 52"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508FBB8B" w14:textId="77777777" w:rsidR="00CA4E85" w:rsidRPr="003B6A17" w:rsidRDefault="00CA4E85" w:rsidP="001D36CD">
    <w:pPr>
      <w:pStyle w:val="Footer"/>
      <w:ind w:left="426"/>
      <w:jc w:val="center"/>
    </w:pPr>
    <w:r w:rsidRPr="00C63E70">
      <w:rPr>
        <w:i/>
        <w:sz w:val="18"/>
        <w:szCs w:val="19"/>
      </w:rPr>
      <w:t>PJSI is funded by the New Zealand Government and implemented by the Federal Court of Australia</w:t>
    </w:r>
  </w:p>
  <w:p w14:paraId="351AB71D" w14:textId="77777777" w:rsidR="00CA4E85" w:rsidRDefault="00CA4E85" w:rsidP="001D36CD">
    <w:pPr>
      <w:pStyle w:val="Footer"/>
    </w:pPr>
  </w:p>
  <w:p w14:paraId="5CEF916D" w14:textId="77777777" w:rsidR="00CA4E85" w:rsidRPr="001D36CD" w:rsidRDefault="00CA4E85" w:rsidP="001D36C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1495529331"/>
      <w:docPartObj>
        <w:docPartGallery w:val="Page Numbers (Bottom of Page)"/>
        <w:docPartUnique/>
      </w:docPartObj>
    </w:sdtPr>
    <w:sdtEndPr>
      <w:rPr>
        <w:noProof/>
      </w:rPr>
    </w:sdtEndPr>
    <w:sdtContent>
      <w:p w14:paraId="2B7E4086" w14:textId="429E5BAF" w:rsidR="00CA4E85" w:rsidRPr="00ED721E" w:rsidRDefault="00CA4E85" w:rsidP="00AA3D5E">
        <w:pPr>
          <w:pStyle w:val="Footer"/>
          <w:jc w:val="right"/>
          <w:rPr>
            <w:sz w:val="20"/>
          </w:rPr>
        </w:pPr>
        <w:r w:rsidRPr="00ED721E">
          <w:rPr>
            <w:noProof/>
            <w:sz w:val="20"/>
            <w:lang w:val="en-AU"/>
          </w:rPr>
          <mc:AlternateContent>
            <mc:Choice Requires="wps">
              <w:drawing>
                <wp:anchor distT="0" distB="0" distL="114300" distR="114300" simplePos="0" relativeHeight="251723776" behindDoc="0" locked="0" layoutInCell="1" allowOverlap="1" wp14:anchorId="7B86D244" wp14:editId="7E3D689F">
                  <wp:simplePos x="0" y="0"/>
                  <wp:positionH relativeFrom="page">
                    <wp:align>right</wp:align>
                  </wp:positionH>
                  <wp:positionV relativeFrom="paragraph">
                    <wp:posOffset>-147955</wp:posOffset>
                  </wp:positionV>
                  <wp:extent cx="10829925" cy="19050"/>
                  <wp:effectExtent l="0" t="0" r="28575" b="19050"/>
                  <wp:wrapNone/>
                  <wp:docPr id="4685" name="Straight Connector 4685"/>
                  <wp:cNvGraphicFramePr/>
                  <a:graphic xmlns:a="http://schemas.openxmlformats.org/drawingml/2006/main">
                    <a:graphicData uri="http://schemas.microsoft.com/office/word/2010/wordprocessingShape">
                      <wps:wsp>
                        <wps:cNvCnPr/>
                        <wps:spPr>
                          <a:xfrm flipV="1">
                            <a:off x="0" y="0"/>
                            <a:ext cx="108299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67E23C9" id="Straight Connector 4685" o:spid="_x0000_s1026" style="position:absolute;flip:y;z-index:2517237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801.55pt,-11.65pt" to="1654.3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kvxwEAAMwDAAAOAAAAZHJzL2Uyb0RvYy54bWysU02P0zAQvSPxHyzfaZKKXbVR0z10BRcE&#10;Fcty9zp2Y+EvjU2T/nvG0zYgQGi14mJlPPPezHuebO4mZ9lRQTLBd7xZ1JwpL0Nv/KHjj1/evVlx&#10;lrLwvbDBq46fVOJ329evNmNs1TIMwfYKGJL41I6x40POsa2qJAflRFqEqDwmdQAnMoZwqHoQI7I7&#10;Wy3r+rYaA/QRglQp4e39Ocm3xK+1kvmT1kllZjuOs2U6gc6nclbbjWgPIOJg5GUM8YIpnDAem85U&#10;9yIL9h3MH1TOSAgp6LyQwVVBayMVaUA1Tf2bmodBREVa0JwUZ5vS/6OVH497YKbv+Nvb1Q1nXjh8&#10;pYcMwhyGzHbBe/QwAKM0ujXG1CJo5/dwiVLcQ5E+aXBMWxO/4iKQGSiPTeT1afZaTZlJvGzq1XK9&#10;XmJLiclmXd/QY1RnnsIXIeX3KjhWPjpujS9eiFYcP6SMvbH0WoJBmes8CX3lk1Wl2PrPSqO+0pHQ&#10;tFlqZ4EdBe5E/60pO4BcVFkg2lg7g+p/gy61BaZo254LnKupY/B5BjrjA/yta56uo+pz/VX1WWuR&#10;/RT6E70L2YErQ8ou61128teY4D9/wu0PAAAA//8DAFBLAwQUAAYACAAAACEALzhbktsAAAAJAQAA&#10;DwAAAGRycy9kb3ducmV2LnhtbEyPwW7CMBBE70j8g7WVegO7RIEqzQZRpKrnAhduTrxNosbrEBtI&#10;/77OqRxnZzXzJt+OthM3GnzrGOFlqUAQV860XCOcjh+LVxA+aDa6c0wIv+RhW8xnuc6Mu/MX3Q6h&#10;FjGEfaYRmhD6TEpfNWS1X7qeOHrfbrA6RDnU0gz6HsNtJ1dKraXVLceGRve0b6j6OVwtwvHTqrEM&#10;7Z74slG783u65nOK+Pw07t5ABBrD/zNM+BEdishUuisbLzqEOCQgLFZJAmKyNypNQZTTSSUgi1w+&#10;Lij+AAAA//8DAFBLAQItABQABgAIAAAAIQC2gziS/gAAAOEBAAATAAAAAAAAAAAAAAAAAAAAAABb&#10;Q29udGVudF9UeXBlc10ueG1sUEsBAi0AFAAGAAgAAAAhADj9If/WAAAAlAEAAAsAAAAAAAAAAAAA&#10;AAAALwEAAF9yZWxzLy5yZWxzUEsBAi0AFAAGAAgAAAAhAK4xiS/HAQAAzAMAAA4AAAAAAAAAAAAA&#10;AAAALgIAAGRycy9lMm9Eb2MueG1sUEsBAi0AFAAGAAgAAAAhAC84W5LbAAAACQEAAA8AAAAAAAAA&#10;AAAAAAAAIQQAAGRycy9kb3ducmV2LnhtbFBLBQYAAAAABAAEAPMAAAApBQAAAAA=&#10;" strokecolor="black [3200]" strokeweight=".5pt">
                  <v:stroke joinstyle="miter"/>
                  <w10:wrap anchorx="page"/>
                </v:line>
              </w:pict>
            </mc:Fallback>
          </mc:AlternateContent>
        </w:r>
        <w:r>
          <w:rPr>
            <w:sz w:val="20"/>
          </w:rPr>
          <w:t>A-</w:t>
        </w:r>
        <w:r w:rsidRPr="00044D92">
          <w:rPr>
            <w:sz w:val="20"/>
            <w:szCs w:val="20"/>
          </w:rPr>
          <w:fldChar w:fldCharType="begin"/>
        </w:r>
        <w:r w:rsidRPr="00044D92">
          <w:rPr>
            <w:sz w:val="20"/>
            <w:szCs w:val="20"/>
          </w:rPr>
          <w:instrText xml:space="preserve"> PAGE   \* MERGEFORMAT </w:instrText>
        </w:r>
        <w:r w:rsidRPr="00044D92">
          <w:rPr>
            <w:sz w:val="20"/>
            <w:szCs w:val="20"/>
          </w:rPr>
          <w:fldChar w:fldCharType="separate"/>
        </w:r>
        <w:r w:rsidR="00D4303F">
          <w:rPr>
            <w:noProof/>
            <w:sz w:val="20"/>
            <w:szCs w:val="20"/>
          </w:rPr>
          <w:t>15</w:t>
        </w:r>
        <w:r w:rsidRPr="00044D92">
          <w:rPr>
            <w:noProof/>
            <w:sz w:val="20"/>
            <w:szCs w:val="20"/>
          </w:rPr>
          <w:fldChar w:fldCharType="end"/>
        </w:r>
        <w:r w:rsidRPr="00ED721E">
          <w:rPr>
            <w:noProof/>
            <w:sz w:val="20"/>
          </w:rPr>
          <w:t xml:space="preserve"> </w:t>
        </w:r>
        <w:r w:rsidRPr="003C4412">
          <w:rPr>
            <w:noProof/>
            <w:sz w:val="20"/>
            <w:szCs w:val="20"/>
            <w:lang w:val="en-AU"/>
          </w:rPr>
          <w:drawing>
            <wp:anchor distT="0" distB="0" distL="114300" distR="114300" simplePos="0" relativeHeight="251724800" behindDoc="0" locked="0" layoutInCell="1" allowOverlap="1" wp14:anchorId="14E38796" wp14:editId="77D547A7">
              <wp:simplePos x="0" y="0"/>
              <wp:positionH relativeFrom="column">
                <wp:posOffset>-149860</wp:posOffset>
              </wp:positionH>
              <wp:positionV relativeFrom="paragraph">
                <wp:posOffset>-84455</wp:posOffset>
              </wp:positionV>
              <wp:extent cx="628650" cy="466725"/>
              <wp:effectExtent l="0" t="0" r="0" b="9525"/>
              <wp:wrapSquare wrapText="bothSides"/>
              <wp:docPr id="55" name="Picture 55"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257E2D2C" w14:textId="77777777" w:rsidR="00CA4E85" w:rsidRPr="003B6A17" w:rsidRDefault="00CA4E85" w:rsidP="00AA3D5E">
    <w:pPr>
      <w:pStyle w:val="Footer"/>
      <w:ind w:left="426"/>
      <w:jc w:val="center"/>
    </w:pPr>
    <w:r w:rsidRPr="00C63E70">
      <w:rPr>
        <w:i/>
        <w:sz w:val="18"/>
        <w:szCs w:val="19"/>
      </w:rPr>
      <w:t>PJSI is funded by the New Zealand Government and implemented by the Federal Court of Australia</w:t>
    </w:r>
  </w:p>
  <w:p w14:paraId="7497B850" w14:textId="77777777" w:rsidR="00CA4E85" w:rsidRDefault="00CA4E85" w:rsidP="00AA3D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0FF26E" w14:textId="77777777" w:rsidR="001C138D" w:rsidRDefault="001C138D" w:rsidP="00181670">
      <w:r>
        <w:separator/>
      </w:r>
    </w:p>
  </w:footnote>
  <w:footnote w:type="continuationSeparator" w:id="0">
    <w:p w14:paraId="4D1EBBF2" w14:textId="77777777" w:rsidR="001C138D" w:rsidRDefault="001C138D" w:rsidP="00181670">
      <w:r>
        <w:continuationSeparator/>
      </w:r>
    </w:p>
    <w:p w14:paraId="2F1D014A" w14:textId="77777777" w:rsidR="001C138D" w:rsidRDefault="001C138D"/>
  </w:footnote>
  <w:footnote w:id="1">
    <w:p w14:paraId="2020980C" w14:textId="0B147561" w:rsidR="00CA4E85" w:rsidRPr="001E07AA" w:rsidRDefault="00CA4E85" w:rsidP="002C00DF">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lang w:val="en-AU"/>
        </w:rPr>
        <w:t xml:space="preserve">The methodology for this </w:t>
      </w:r>
      <w:r>
        <w:rPr>
          <w:rFonts w:cstheme="minorHAnsi"/>
          <w:sz w:val="18"/>
          <w:szCs w:val="18"/>
          <w:lang w:val="en-AU"/>
        </w:rPr>
        <w:t>assessment is located at Annex Two</w:t>
      </w:r>
      <w:r w:rsidRPr="001E07AA">
        <w:rPr>
          <w:rFonts w:cstheme="minorHAnsi"/>
          <w:sz w:val="18"/>
          <w:szCs w:val="18"/>
          <w:lang w:val="en-AU"/>
        </w:rPr>
        <w:t xml:space="preserve">. </w:t>
      </w:r>
    </w:p>
  </w:footnote>
  <w:footnote w:id="2">
    <w:p w14:paraId="1B65955F" w14:textId="77777777"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r>
      <w:r w:rsidRPr="001E07AA">
        <w:rPr>
          <w:rFonts w:cstheme="minorHAnsi"/>
          <w:sz w:val="18"/>
          <w:szCs w:val="18"/>
          <w:lang w:val="en-AU"/>
        </w:rPr>
        <w:t xml:space="preserve">Cook Islands, Federated States of Micronesia, Kiribati, Nauru, Niue, Palau, Papua New Guinea, Republic of the Marshall Islands, Samoa, Solomon Islands, Tokelau, Tonga, Tuvalu and Vanuatu. Fiji re-joined in the group in 2018, but no substantive activities have taken place with the judiciary. </w:t>
      </w:r>
    </w:p>
  </w:footnote>
  <w:footnote w:id="3">
    <w:p w14:paraId="48D2CADA" w14:textId="4DB8C324"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t xml:space="preserve">46% of participants were women, a 17% increase from PJDP. </w:t>
      </w:r>
      <w:r w:rsidRPr="001E07AA">
        <w:rPr>
          <w:rFonts w:cstheme="minorHAnsi"/>
          <w:sz w:val="18"/>
          <w:szCs w:val="18"/>
          <w:lang w:val="en-AU"/>
        </w:rPr>
        <w:t>The increase is a result of more women being in positions of authority and/or operational relevance to PJSIs projects.</w:t>
      </w:r>
    </w:p>
  </w:footnote>
  <w:footnote w:id="4">
    <w:p w14:paraId="67DC114B" w14:textId="257ABBDD" w:rsidR="00CA4E85" w:rsidRPr="001E07AA" w:rsidRDefault="00CA4E85" w:rsidP="00340106">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EC5FD7">
        <w:rPr>
          <w:rFonts w:cstheme="minorHAnsi"/>
          <w:sz w:val="18"/>
          <w:szCs w:val="18"/>
        </w:rPr>
        <w:tab/>
      </w:r>
      <w:r w:rsidRPr="001E07AA">
        <w:rPr>
          <w:rFonts w:cstheme="minorHAnsi"/>
          <w:sz w:val="18"/>
          <w:szCs w:val="18"/>
        </w:rPr>
        <w:t>PJDPs baseline and final resu</w:t>
      </w:r>
      <w:r>
        <w:rPr>
          <w:rFonts w:cstheme="minorHAnsi"/>
          <w:sz w:val="18"/>
          <w:szCs w:val="18"/>
        </w:rPr>
        <w:t>lts are summarised at Annex Five</w:t>
      </w:r>
      <w:r w:rsidRPr="001E07AA">
        <w:rPr>
          <w:rFonts w:cstheme="minorHAnsi"/>
          <w:sz w:val="18"/>
          <w:szCs w:val="18"/>
        </w:rPr>
        <w:t>.</w:t>
      </w:r>
    </w:p>
  </w:footnote>
  <w:footnote w:id="5">
    <w:p w14:paraId="1CE181E9" w14:textId="04957550" w:rsidR="00CA4E85" w:rsidRPr="001E07AA" w:rsidRDefault="00CA4E85" w:rsidP="00340106">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r>
      <w:r w:rsidRPr="001E07AA">
        <w:rPr>
          <w:rFonts w:cstheme="minorHAnsi"/>
          <w:sz w:val="18"/>
          <w:szCs w:val="18"/>
          <w:lang w:val="en-AU"/>
        </w:rPr>
        <w:t>More infor</w:t>
      </w:r>
      <w:r>
        <w:rPr>
          <w:rFonts w:cstheme="minorHAnsi"/>
          <w:sz w:val="18"/>
          <w:szCs w:val="18"/>
          <w:lang w:val="en-AU"/>
        </w:rPr>
        <w:t>mation is provided at Annex Six</w:t>
      </w:r>
      <w:r w:rsidRPr="001E07AA">
        <w:rPr>
          <w:rFonts w:cstheme="minorHAnsi"/>
          <w:sz w:val="18"/>
          <w:szCs w:val="18"/>
          <w:lang w:val="en-AU"/>
        </w:rPr>
        <w:t>.</w:t>
      </w:r>
    </w:p>
  </w:footnote>
  <w:footnote w:id="6">
    <w:p w14:paraId="6F2E83B3" w14:textId="57FF06F1" w:rsidR="00CA4E85" w:rsidRPr="001E07AA" w:rsidRDefault="00CA4E85" w:rsidP="00340106">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Pr>
          <w:rFonts w:cstheme="minorHAnsi"/>
          <w:sz w:val="18"/>
          <w:szCs w:val="18"/>
          <w:lang w:val="en-AU"/>
        </w:rPr>
        <w:t xml:space="preserve">   See Annex Four</w:t>
      </w:r>
      <w:r w:rsidRPr="001E07AA">
        <w:rPr>
          <w:rFonts w:cstheme="minorHAnsi"/>
          <w:sz w:val="18"/>
          <w:szCs w:val="18"/>
          <w:lang w:val="en-AU"/>
        </w:rPr>
        <w:t>.</w:t>
      </w:r>
    </w:p>
  </w:footnote>
  <w:footnote w:id="7">
    <w:p w14:paraId="1265D275" w14:textId="006AF009" w:rsidR="00CA4E85" w:rsidRPr="00340106" w:rsidRDefault="00CA4E85" w:rsidP="00340106">
      <w:pPr>
        <w:pStyle w:val="FootnoteText"/>
        <w:ind w:left="284" w:hanging="284"/>
        <w:rPr>
          <w:rFonts w:cstheme="minorHAnsi"/>
          <w:sz w:val="18"/>
          <w:szCs w:val="18"/>
          <w:lang w:val="en-AU"/>
        </w:rPr>
      </w:pPr>
      <w:r w:rsidRPr="00340106">
        <w:rPr>
          <w:rStyle w:val="FootnoteReference"/>
          <w:rFonts w:cstheme="minorHAnsi"/>
          <w:sz w:val="18"/>
          <w:szCs w:val="18"/>
        </w:rPr>
        <w:footnoteRef/>
      </w:r>
      <w:r w:rsidRPr="00340106">
        <w:rPr>
          <w:rFonts w:cstheme="minorHAnsi"/>
          <w:sz w:val="18"/>
          <w:szCs w:val="18"/>
        </w:rPr>
        <w:t xml:space="preserve"> </w:t>
      </w:r>
      <w:r w:rsidRPr="00340106">
        <w:rPr>
          <w:rFonts w:cstheme="minorHAnsi"/>
          <w:sz w:val="18"/>
          <w:szCs w:val="18"/>
        </w:rPr>
        <w:tab/>
      </w:r>
      <w:r w:rsidRPr="00340106">
        <w:rPr>
          <w:rFonts w:cstheme="minorHAnsi"/>
          <w:sz w:val="18"/>
          <w:szCs w:val="18"/>
          <w:lang w:val="en-AU"/>
        </w:rPr>
        <w:t>Vanuatu, Kiribati, FSM, Palau, Tonga and PNG.</w:t>
      </w:r>
    </w:p>
  </w:footnote>
  <w:footnote w:id="8">
    <w:p w14:paraId="7B3D8AC8" w14:textId="5B101258"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r>
      <w:r w:rsidRPr="001E07AA">
        <w:rPr>
          <w:rFonts w:cstheme="minorHAnsi"/>
          <w:sz w:val="18"/>
          <w:szCs w:val="18"/>
          <w:lang w:val="en-AU"/>
        </w:rPr>
        <w:t xml:space="preserve">Source: Supreme Court of Vanuatu, </w:t>
      </w:r>
      <w:r w:rsidRPr="001E07AA">
        <w:rPr>
          <w:rFonts w:cstheme="minorHAnsi"/>
          <w:i/>
          <w:sz w:val="18"/>
          <w:szCs w:val="18"/>
          <w:lang w:val="en-AU"/>
        </w:rPr>
        <w:t xml:space="preserve">‘Supreme Court of Vanuatu Eight Access to Justice Pamphlets’, </w:t>
      </w:r>
      <w:r w:rsidRPr="001E07AA">
        <w:rPr>
          <w:rFonts w:cstheme="minorHAnsi"/>
          <w:sz w:val="18"/>
          <w:szCs w:val="18"/>
          <w:lang w:val="en-AU"/>
        </w:rPr>
        <w:t xml:space="preserve">2020.  </w:t>
      </w:r>
    </w:p>
  </w:footnote>
  <w:footnote w:id="9">
    <w:p w14:paraId="0E609B00" w14:textId="0265C2E0"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r>
      <w:hyperlink r:id="rId1" w:history="1">
        <w:r w:rsidRPr="001E07AA">
          <w:rPr>
            <w:rStyle w:val="Hyperlink"/>
            <w:rFonts w:eastAsiaTheme="majorEastAsia" w:cstheme="minorHAnsi"/>
            <w:sz w:val="18"/>
            <w:szCs w:val="18"/>
            <w:shd w:val="clear" w:color="auto" w:fill="FFFFFF"/>
          </w:rPr>
          <w:t>Public Prosecutor v Vala [2020] VUMC 11; Criminal Case 2317 of 2020 (11 September 2020)</w:t>
        </w:r>
      </w:hyperlink>
      <w:r w:rsidRPr="001E07AA">
        <w:rPr>
          <w:rFonts w:cstheme="minorHAnsi"/>
          <w:sz w:val="18"/>
          <w:szCs w:val="18"/>
        </w:rPr>
        <w:t xml:space="preserve"> ; </w:t>
      </w:r>
      <w:hyperlink r:id="rId2" w:history="1">
        <w:r w:rsidRPr="001E07AA">
          <w:rPr>
            <w:rStyle w:val="Hyperlink"/>
            <w:rFonts w:eastAsiaTheme="majorEastAsia" w:cstheme="minorHAnsi"/>
            <w:sz w:val="18"/>
            <w:szCs w:val="18"/>
            <w:shd w:val="clear" w:color="auto" w:fill="FFFFFF"/>
          </w:rPr>
          <w:t>Public Prosecutor v Batick [2020] VUMC 7; Criminal Case 2043 of 2020 (24 August 2020)</w:t>
        </w:r>
      </w:hyperlink>
      <w:r w:rsidRPr="001E07AA">
        <w:rPr>
          <w:rFonts w:cstheme="minorHAnsi"/>
          <w:sz w:val="18"/>
          <w:szCs w:val="18"/>
        </w:rPr>
        <w:t xml:space="preserve"> ; </w:t>
      </w:r>
      <w:hyperlink r:id="rId3" w:history="1">
        <w:r w:rsidRPr="001E07AA">
          <w:rPr>
            <w:rStyle w:val="Hyperlink"/>
            <w:rFonts w:eastAsiaTheme="majorEastAsia" w:cstheme="minorHAnsi"/>
            <w:sz w:val="18"/>
            <w:szCs w:val="18"/>
            <w:shd w:val="clear" w:color="auto" w:fill="FFFFFF"/>
          </w:rPr>
          <w:t>Public Prosecutor v Jubiter [2020] VUMC 2; Criminal Case 657 of 2020 (4 May 2020)</w:t>
        </w:r>
      </w:hyperlink>
      <w:r w:rsidRPr="001E07AA">
        <w:rPr>
          <w:rStyle w:val="Hyperlink"/>
          <w:rFonts w:eastAsiaTheme="majorEastAsia" w:cstheme="minorHAnsi"/>
          <w:sz w:val="18"/>
          <w:szCs w:val="18"/>
          <w:shd w:val="clear" w:color="auto" w:fill="FFFFFF"/>
        </w:rPr>
        <w:t>.</w:t>
      </w:r>
    </w:p>
  </w:footnote>
  <w:footnote w:id="10">
    <w:p w14:paraId="2B2709F8" w14:textId="45968375"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r>
      <w:r w:rsidRPr="001E07AA">
        <w:rPr>
          <w:rFonts w:cstheme="minorHAnsi"/>
          <w:sz w:val="18"/>
          <w:szCs w:val="18"/>
          <w:lang w:val="en-AU"/>
        </w:rPr>
        <w:t xml:space="preserve">Observed during Adviser’s monitoring visits. Progress measured against </w:t>
      </w:r>
      <w:r w:rsidRPr="001E07AA">
        <w:rPr>
          <w:rFonts w:cstheme="minorHAnsi"/>
          <w:sz w:val="18"/>
          <w:szCs w:val="18"/>
        </w:rPr>
        <w:t>Partner Courts</w:t>
      </w:r>
      <w:r w:rsidRPr="001E07AA" w:rsidDel="00FA7421">
        <w:rPr>
          <w:rFonts w:cstheme="minorHAnsi"/>
          <w:sz w:val="18"/>
          <w:szCs w:val="18"/>
        </w:rPr>
        <w:t xml:space="preserve"> </w:t>
      </w:r>
      <w:r w:rsidRPr="001E07AA">
        <w:rPr>
          <w:rFonts w:cstheme="minorHAnsi"/>
          <w:sz w:val="18"/>
          <w:szCs w:val="18"/>
          <w:lang w:val="en-AU"/>
        </w:rPr>
        <w:t>Action Plans.</w:t>
      </w:r>
    </w:p>
  </w:footnote>
  <w:footnote w:id="11">
    <w:p w14:paraId="13B64710" w14:textId="34E5202A"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r>
      <w:r w:rsidRPr="001E07AA">
        <w:rPr>
          <w:rFonts w:cstheme="minorHAnsi"/>
          <w:sz w:val="18"/>
          <w:szCs w:val="18"/>
          <w:lang w:val="en-AU"/>
        </w:rPr>
        <w:t>Measured by self-reflective surveying (PNG, Tonga, Solomon Islands and Kiribati) and Chief Justices’ observations.</w:t>
      </w:r>
    </w:p>
  </w:footnote>
  <w:footnote w:id="12">
    <w:p w14:paraId="67C17802" w14:textId="7CA4C2E0" w:rsidR="00CA4E85" w:rsidRPr="001E07AA" w:rsidRDefault="00CA4E85" w:rsidP="00340106">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Pr>
          <w:rFonts w:cstheme="minorHAnsi"/>
          <w:sz w:val="18"/>
          <w:szCs w:val="18"/>
        </w:rPr>
        <w:tab/>
      </w:r>
      <w:r w:rsidRPr="001E07AA">
        <w:rPr>
          <w:rFonts w:cstheme="minorHAnsi"/>
          <w:sz w:val="18"/>
          <w:szCs w:val="18"/>
        </w:rPr>
        <w:t xml:space="preserve">Cook Islands, FSM, Kiribati, RMI, Niue, Palau, Samoa, Solomon Islands, Tokelau, Tonga, Vanuatu. </w:t>
      </w:r>
    </w:p>
  </w:footnote>
  <w:footnote w:id="13">
    <w:p w14:paraId="0F8A3067" w14:textId="43ED1E68" w:rsidR="00CA4E85" w:rsidRPr="001E07AA" w:rsidRDefault="00CA4E85" w:rsidP="00340106">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Pr>
          <w:rFonts w:cstheme="minorHAnsi"/>
          <w:sz w:val="18"/>
          <w:szCs w:val="18"/>
        </w:rPr>
        <w:tab/>
      </w:r>
      <w:r w:rsidRPr="001E07AA">
        <w:rPr>
          <w:rFonts w:cstheme="minorHAnsi"/>
          <w:sz w:val="18"/>
          <w:szCs w:val="18"/>
          <w:lang w:val="en-AU"/>
        </w:rPr>
        <w:t>FSM, Kiribati, RMI, Niue, Palau, Samoa, Solomon Islands, Tokelau, Tonga.</w:t>
      </w:r>
    </w:p>
  </w:footnote>
  <w:footnote w:id="14">
    <w:p w14:paraId="6185B3BD" w14:textId="19B18F08" w:rsidR="00CA4E85" w:rsidRPr="00340106" w:rsidRDefault="00CA4E85" w:rsidP="00340106">
      <w:pPr>
        <w:pStyle w:val="FootnoteText"/>
        <w:ind w:left="284" w:hanging="284"/>
        <w:rPr>
          <w:rFonts w:cstheme="minorHAnsi"/>
          <w:sz w:val="18"/>
          <w:szCs w:val="18"/>
          <w:lang w:val="en-AU"/>
        </w:rPr>
      </w:pPr>
      <w:r w:rsidRPr="00340106">
        <w:rPr>
          <w:rStyle w:val="FootnoteReference"/>
          <w:rFonts w:cstheme="minorHAnsi"/>
          <w:sz w:val="18"/>
          <w:szCs w:val="18"/>
        </w:rPr>
        <w:footnoteRef/>
      </w:r>
      <w:r w:rsidRPr="00340106">
        <w:rPr>
          <w:rFonts w:cstheme="minorHAnsi"/>
          <w:sz w:val="18"/>
          <w:szCs w:val="18"/>
        </w:rPr>
        <w:t xml:space="preserve"> </w:t>
      </w:r>
      <w:r>
        <w:rPr>
          <w:rFonts w:cstheme="minorHAnsi"/>
          <w:sz w:val="18"/>
          <w:szCs w:val="18"/>
        </w:rPr>
        <w:tab/>
      </w:r>
      <w:r w:rsidRPr="00340106">
        <w:rPr>
          <w:rFonts w:cstheme="minorHAnsi"/>
          <w:sz w:val="18"/>
          <w:szCs w:val="18"/>
          <w:lang w:val="en-AU"/>
        </w:rPr>
        <w:t xml:space="preserve">As at December 2021, PJSI has yet to receive final examination results from USP, for student’s undertaking the COJ and DOJ programs who commenced/continued in 2021. </w:t>
      </w:r>
    </w:p>
  </w:footnote>
  <w:footnote w:id="15">
    <w:p w14:paraId="1BE74D3C" w14:textId="0EB2349F" w:rsidR="00CA4E85" w:rsidRPr="001E07AA" w:rsidRDefault="00CA4E85" w:rsidP="001E07AA">
      <w:pPr>
        <w:pStyle w:val="FootnoteText"/>
        <w:ind w:left="284" w:hanging="284"/>
        <w:rPr>
          <w:rFonts w:cstheme="minorHAnsi"/>
          <w:sz w:val="18"/>
          <w:szCs w:val="18"/>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r>
      <w:r w:rsidRPr="00340106">
        <w:rPr>
          <w:rFonts w:cstheme="minorHAnsi"/>
          <w:i/>
          <w:iCs/>
          <w:sz w:val="18"/>
          <w:szCs w:val="18"/>
        </w:rPr>
        <w:t>Note:</w:t>
      </w:r>
      <w:r w:rsidRPr="001E07AA">
        <w:rPr>
          <w:rFonts w:cstheme="minorHAnsi"/>
          <w:sz w:val="18"/>
          <w:szCs w:val="18"/>
        </w:rPr>
        <w:t xml:space="preserve"> The Federal Court’s IT Department and ACT Logistics have both assessed that all technology assets purchased prior to 2013 hold no value.  ACT Logistics have provided a settlement report, confirming the disposal of assets in line with the above international standards. </w:t>
      </w:r>
    </w:p>
  </w:footnote>
  <w:footnote w:id="16">
    <w:p w14:paraId="070A41F4" w14:textId="42230DC9" w:rsidR="00CA4E85" w:rsidRPr="001E07AA" w:rsidRDefault="00CA4E85" w:rsidP="00340106">
      <w:pPr>
        <w:pStyle w:val="FootnoteText"/>
        <w:ind w:left="284" w:hanging="284"/>
        <w:rPr>
          <w:rFonts w:cstheme="minorHAnsi"/>
          <w:sz w:val="18"/>
          <w:szCs w:val="18"/>
        </w:rPr>
      </w:pPr>
      <w:r w:rsidRPr="001E07AA">
        <w:rPr>
          <w:rStyle w:val="FootnoteReference"/>
          <w:rFonts w:cstheme="minorHAnsi"/>
          <w:sz w:val="18"/>
          <w:szCs w:val="18"/>
        </w:rPr>
        <w:footnoteRef/>
      </w:r>
      <w:r w:rsidRPr="001E07AA">
        <w:rPr>
          <w:rFonts w:cstheme="minorHAnsi"/>
          <w:sz w:val="18"/>
          <w:szCs w:val="18"/>
        </w:rPr>
        <w:t xml:space="preserve"> </w:t>
      </w:r>
      <w:r>
        <w:rPr>
          <w:rFonts w:cstheme="minorHAnsi"/>
          <w:sz w:val="18"/>
          <w:szCs w:val="18"/>
        </w:rPr>
        <w:tab/>
      </w:r>
      <w:r w:rsidRPr="001E07AA">
        <w:rPr>
          <w:rFonts w:cstheme="minorHAnsi"/>
          <w:sz w:val="18"/>
          <w:szCs w:val="18"/>
        </w:rPr>
        <w:t>These increased public trust outcomes included: 96% of court users reported experiencing improvements in time standards and case disposal rates; 81% of court users reported experiencing improvements in competence and reliability; 77% of court users reported experiencing improvements in standards of judicial integrity and conduct, and 68% of court users reported improvements in efficiency, transparency and accountability; and 67% of court users reported experiencing improvements in court performance generally - PJDP Completion Report.</w:t>
      </w:r>
    </w:p>
  </w:footnote>
  <w:footnote w:id="17">
    <w:p w14:paraId="7177B78B" w14:textId="0B3FFFA6"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t>Partner Courts</w:t>
      </w:r>
      <w:r w:rsidRPr="001E07AA" w:rsidDel="00FA7421">
        <w:rPr>
          <w:rFonts w:cstheme="minorHAnsi"/>
          <w:sz w:val="18"/>
          <w:szCs w:val="18"/>
        </w:rPr>
        <w:t xml:space="preserve"> </w:t>
      </w:r>
      <w:r w:rsidRPr="001E07AA">
        <w:rPr>
          <w:rFonts w:cstheme="minorHAnsi"/>
          <w:sz w:val="18"/>
          <w:szCs w:val="18"/>
        </w:rPr>
        <w:t>completed a self-assessment during the PJSI Activity Design Consultation Workshop, Auckland, February 2016. Pacific Judicial Strengthening Initiative, Final Activity Design Document, 2016, Sydney, p24. All Partner Courts</w:t>
      </w:r>
      <w:r w:rsidRPr="001E07AA" w:rsidDel="00FA7421">
        <w:rPr>
          <w:rFonts w:cstheme="minorHAnsi"/>
          <w:sz w:val="18"/>
          <w:szCs w:val="18"/>
        </w:rPr>
        <w:t xml:space="preserve"> </w:t>
      </w:r>
      <w:r w:rsidRPr="001E07AA">
        <w:rPr>
          <w:rFonts w:cstheme="minorHAnsi"/>
          <w:sz w:val="18"/>
          <w:szCs w:val="18"/>
        </w:rPr>
        <w:t>considered their capacity as medium, but for Tokelau, Niue, Nauru and Tuvalu who considered their capacity to be low.</w:t>
      </w:r>
    </w:p>
  </w:footnote>
  <w:footnote w:id="18">
    <w:p w14:paraId="18C93E9E" w14:textId="313F27CC" w:rsidR="00CA4E85" w:rsidRPr="001E07AA" w:rsidRDefault="00CA4E85" w:rsidP="001E07AA">
      <w:pPr>
        <w:pStyle w:val="QuoteA2"/>
        <w:spacing w:after="0"/>
        <w:ind w:left="284" w:hanging="284"/>
        <w:rPr>
          <w:rFonts w:asciiTheme="minorHAnsi" w:hAnsiTheme="minorHAnsi" w:cstheme="minorHAnsi"/>
          <w:i w:val="0"/>
          <w:iCs w:val="0"/>
          <w:sz w:val="18"/>
          <w:szCs w:val="18"/>
        </w:rPr>
      </w:pPr>
      <w:r w:rsidRPr="001E07AA">
        <w:rPr>
          <w:rStyle w:val="FootnoteReference"/>
          <w:rFonts w:asciiTheme="minorHAnsi" w:hAnsiTheme="minorHAnsi" w:cstheme="minorHAnsi"/>
          <w:sz w:val="18"/>
          <w:szCs w:val="18"/>
        </w:rPr>
        <w:footnoteRef/>
      </w:r>
      <w:r w:rsidRPr="001E07AA">
        <w:rPr>
          <w:rFonts w:asciiTheme="minorHAnsi" w:hAnsiTheme="minorHAnsi" w:cstheme="minorHAnsi"/>
          <w:sz w:val="18"/>
          <w:szCs w:val="18"/>
        </w:rPr>
        <w:t xml:space="preserve"> </w:t>
      </w:r>
      <w:r w:rsidRPr="001E07AA">
        <w:rPr>
          <w:rFonts w:asciiTheme="minorHAnsi" w:hAnsiTheme="minorHAnsi" w:cstheme="minorHAnsi"/>
          <w:sz w:val="18"/>
          <w:szCs w:val="18"/>
        </w:rPr>
        <w:tab/>
      </w:r>
      <w:r w:rsidRPr="001E07AA">
        <w:rPr>
          <w:rFonts w:asciiTheme="minorHAnsi" w:hAnsiTheme="minorHAnsi" w:cstheme="minorHAnsi"/>
          <w:bCs/>
          <w:i w:val="0"/>
          <w:iCs w:val="0"/>
          <w:sz w:val="18"/>
          <w:szCs w:val="18"/>
        </w:rPr>
        <w:t>Measure 5.1 for the Effective Implementation of the Bangalore Principles of Judicial Conduct, 2010.</w:t>
      </w:r>
    </w:p>
  </w:footnote>
  <w:footnote w:id="19">
    <w:p w14:paraId="7B73F542" w14:textId="5EE68231"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t>All figures cited in this paragraph are drawn from the United Nations Population Fund estimate 2014, http://countryoffice.unfpa.org/pacific/drive/web__140414_UNFPAPopulationandDevelopmentProfiles-PacificSubRegionExtendedv1LRv2.pdf</w:t>
      </w:r>
    </w:p>
  </w:footnote>
  <w:footnote w:id="20">
    <w:p w14:paraId="2A94D838" w14:textId="4C1D7DC6" w:rsidR="00CA4E85" w:rsidRPr="001E07AA" w:rsidRDefault="00CA4E85" w:rsidP="001E07AA">
      <w:pPr>
        <w:pStyle w:val="QuoteA2"/>
        <w:tabs>
          <w:tab w:val="clear" w:pos="1134"/>
          <w:tab w:val="left" w:pos="0"/>
        </w:tabs>
        <w:spacing w:after="0"/>
        <w:ind w:left="284" w:hanging="284"/>
        <w:rPr>
          <w:rFonts w:asciiTheme="minorHAnsi" w:hAnsiTheme="minorHAnsi" w:cstheme="minorHAnsi"/>
          <w:i w:val="0"/>
          <w:iCs w:val="0"/>
          <w:sz w:val="18"/>
          <w:szCs w:val="18"/>
        </w:rPr>
      </w:pPr>
      <w:r w:rsidRPr="001E07AA">
        <w:rPr>
          <w:rStyle w:val="FootnoteReference"/>
          <w:rFonts w:asciiTheme="minorHAnsi" w:hAnsiTheme="minorHAnsi" w:cstheme="minorHAnsi"/>
          <w:sz w:val="18"/>
          <w:szCs w:val="18"/>
        </w:rPr>
        <w:footnoteRef/>
      </w:r>
      <w:r w:rsidRPr="001E07AA">
        <w:rPr>
          <w:rFonts w:asciiTheme="minorHAnsi" w:hAnsiTheme="minorHAnsi" w:cstheme="minorHAnsi"/>
          <w:sz w:val="18"/>
          <w:szCs w:val="18"/>
        </w:rPr>
        <w:t xml:space="preserve"> </w:t>
      </w:r>
      <w:r w:rsidRPr="001E07AA">
        <w:rPr>
          <w:rFonts w:asciiTheme="minorHAnsi" w:hAnsiTheme="minorHAnsi" w:cstheme="minorHAnsi"/>
          <w:sz w:val="18"/>
          <w:szCs w:val="18"/>
        </w:rPr>
        <w:tab/>
      </w:r>
      <w:r w:rsidRPr="001E07AA">
        <w:rPr>
          <w:rFonts w:asciiTheme="minorHAnsi" w:hAnsiTheme="minorHAnsi" w:cstheme="minorHAnsi"/>
          <w:bCs/>
          <w:i w:val="0"/>
          <w:iCs w:val="0"/>
          <w:sz w:val="18"/>
          <w:szCs w:val="18"/>
        </w:rPr>
        <w:t xml:space="preserve">Measures 4.3-4.5 for the </w:t>
      </w:r>
      <w:hyperlink r:id="rId4" w:history="1">
        <w:r w:rsidRPr="001E07AA">
          <w:rPr>
            <w:rStyle w:val="Hyperlink"/>
            <w:rFonts w:asciiTheme="minorHAnsi" w:hAnsiTheme="minorHAnsi" w:cstheme="minorHAnsi"/>
            <w:bCs/>
            <w:i w:val="0"/>
            <w:iCs w:val="0"/>
            <w:sz w:val="18"/>
            <w:szCs w:val="18"/>
          </w:rPr>
          <w:t>Effective Implementation of the Bangalore Principles of Judicial Conduct</w:t>
        </w:r>
      </w:hyperlink>
      <w:r w:rsidRPr="001E07AA">
        <w:rPr>
          <w:rFonts w:asciiTheme="minorHAnsi" w:hAnsiTheme="minorHAnsi" w:cstheme="minorHAnsi"/>
          <w:bCs/>
          <w:i w:val="0"/>
          <w:iCs w:val="0"/>
          <w:sz w:val="18"/>
          <w:szCs w:val="18"/>
        </w:rPr>
        <w:t>, UNODC, 2010.</w:t>
      </w:r>
    </w:p>
  </w:footnote>
  <w:footnote w:id="21">
    <w:p w14:paraId="11BD2C73" w14:textId="226EE4F5"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t>As identified by respondents to interviews about the Most Significant Change they have perceived as a result of PJSI’s interventions.</w:t>
      </w:r>
    </w:p>
  </w:footnote>
  <w:footnote w:id="22">
    <w:p w14:paraId="215EE2A3" w14:textId="13523E2F"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t>Palau, Cook Islands, Solomon Islands, Samoa, PNG, RMI, FSM, Vanuatu, Niue, Tokelau, Tonga and Kiribati.</w:t>
      </w:r>
    </w:p>
  </w:footnote>
  <w:footnote w:id="23">
    <w:p w14:paraId="50295D28" w14:textId="552846DF" w:rsidR="00CA4E85" w:rsidRPr="001E07AA" w:rsidRDefault="00CA4E85" w:rsidP="001E07AA">
      <w:pPr>
        <w:pStyle w:val="FootnoteText"/>
        <w:ind w:left="284" w:hanging="284"/>
        <w:rPr>
          <w:rFonts w:cstheme="minorHAnsi"/>
          <w:sz w:val="18"/>
          <w:szCs w:val="18"/>
          <w:lang w:val="en-AU"/>
        </w:rPr>
      </w:pPr>
      <w:r w:rsidRPr="001E07AA">
        <w:rPr>
          <w:rStyle w:val="FootnoteReference"/>
          <w:rFonts w:cstheme="minorHAnsi"/>
          <w:sz w:val="18"/>
          <w:szCs w:val="18"/>
        </w:rPr>
        <w:footnoteRef/>
      </w:r>
      <w:r w:rsidRPr="001E07AA">
        <w:rPr>
          <w:rFonts w:cstheme="minorHAnsi"/>
          <w:sz w:val="18"/>
          <w:szCs w:val="18"/>
        </w:rPr>
        <w:t xml:space="preserve"> </w:t>
      </w:r>
      <w:r w:rsidRPr="001E07AA">
        <w:rPr>
          <w:rFonts w:cstheme="minorHAnsi"/>
          <w:sz w:val="18"/>
          <w:szCs w:val="18"/>
        </w:rPr>
        <w:tab/>
        <w:t>85% of respondents to the Most Significant Change interviews referenced increases in professionalism as a significant change.</w:t>
      </w:r>
    </w:p>
  </w:footnote>
  <w:footnote w:id="24">
    <w:p w14:paraId="4ED9CDE3" w14:textId="503A2654" w:rsidR="00CA4E85" w:rsidRPr="00340106" w:rsidRDefault="00CA4E85" w:rsidP="00340106">
      <w:pPr>
        <w:pStyle w:val="FootnoteText"/>
        <w:ind w:left="284" w:hanging="284"/>
        <w:rPr>
          <w:rFonts w:cstheme="minorHAnsi"/>
          <w:sz w:val="18"/>
          <w:szCs w:val="18"/>
          <w:lang w:val="en-AU"/>
        </w:rPr>
      </w:pPr>
      <w:r w:rsidRPr="00340106">
        <w:rPr>
          <w:rStyle w:val="FootnoteReference"/>
          <w:rFonts w:cstheme="minorHAnsi"/>
          <w:sz w:val="18"/>
          <w:szCs w:val="18"/>
        </w:rPr>
        <w:footnoteRef/>
      </w:r>
      <w:r w:rsidRPr="00340106">
        <w:rPr>
          <w:rFonts w:cstheme="minorHAnsi"/>
          <w:sz w:val="18"/>
          <w:szCs w:val="18"/>
        </w:rPr>
        <w:t xml:space="preserve"> </w:t>
      </w:r>
      <w:r>
        <w:rPr>
          <w:rFonts w:cstheme="minorHAnsi"/>
          <w:sz w:val="18"/>
          <w:szCs w:val="18"/>
        </w:rPr>
        <w:tab/>
      </w:r>
      <w:r w:rsidRPr="00340106">
        <w:rPr>
          <w:rFonts w:cstheme="minorHAnsi"/>
          <w:sz w:val="18"/>
          <w:szCs w:val="18"/>
          <w:lang w:val="en-AU"/>
        </w:rPr>
        <w:t>These figures have been incorporated into the body of the report.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FE8403" w14:textId="77777777" w:rsidR="00D4303F" w:rsidRDefault="00D4303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D58870" w14:textId="77777777" w:rsidR="00CA4E85" w:rsidRDefault="00CA4E85" w:rsidP="00AA3D5E">
    <w:pPr>
      <w:pStyle w:val="Header"/>
      <w:rPr>
        <w:b/>
        <w:i/>
        <w:noProof/>
        <w:sz w:val="20"/>
        <w:szCs w:val="20"/>
        <w:lang w:eastAsia="en-US"/>
      </w:rPr>
    </w:pPr>
    <w:r>
      <w:rPr>
        <w:b/>
        <w:noProof/>
        <w:sz w:val="36"/>
        <w:lang w:val="en-AU"/>
      </w:rPr>
      <w:drawing>
        <wp:anchor distT="0" distB="0" distL="114300" distR="114300" simplePos="0" relativeHeight="251727872" behindDoc="0" locked="0" layoutInCell="1" allowOverlap="1" wp14:anchorId="13182DCE" wp14:editId="21A20158">
          <wp:simplePos x="0" y="0"/>
          <wp:positionH relativeFrom="column">
            <wp:posOffset>7451725</wp:posOffset>
          </wp:positionH>
          <wp:positionV relativeFrom="paragraph">
            <wp:posOffset>20320</wp:posOffset>
          </wp:positionV>
          <wp:extent cx="1749425" cy="503555"/>
          <wp:effectExtent l="0" t="0" r="3175" b="0"/>
          <wp:wrapTight wrapText="bothSides">
            <wp:wrapPolygon edited="0">
              <wp:start x="0" y="0"/>
              <wp:lineTo x="0" y="20429"/>
              <wp:lineTo x="21404" y="20429"/>
              <wp:lineTo x="21404" y="0"/>
              <wp:lineTo x="0" y="0"/>
            </wp:wrapPolygon>
          </wp:wrapTight>
          <wp:docPr id="4680" name="Picture 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16DFE91D" w14:textId="77777777" w:rsidR="00CA4E85" w:rsidRDefault="00CA4E85" w:rsidP="00AA3D5E">
    <w:pPr>
      <w:pStyle w:val="Header"/>
      <w:rPr>
        <w:b/>
        <w:i/>
        <w:noProof/>
        <w:sz w:val="20"/>
        <w:szCs w:val="20"/>
        <w:lang w:eastAsia="en-US"/>
      </w:rPr>
    </w:pPr>
  </w:p>
  <w:p w14:paraId="26FEA865" w14:textId="0AD2D8A3" w:rsidR="00CA4E85" w:rsidRDefault="00CA4E85" w:rsidP="00AA3D5E">
    <w:pPr>
      <w:pStyle w:val="Header"/>
    </w:pPr>
    <w:r>
      <w:rPr>
        <w:noProof/>
        <w:lang w:val="en-AU"/>
      </w:rPr>
      <w:drawing>
        <wp:anchor distT="0" distB="0" distL="114300" distR="114300" simplePos="0" relativeHeight="251726848" behindDoc="0" locked="0" layoutInCell="1" allowOverlap="1" wp14:anchorId="5F1A47B6" wp14:editId="0E3DFA8B">
          <wp:simplePos x="0" y="0"/>
          <wp:positionH relativeFrom="column">
            <wp:posOffset>-862965</wp:posOffset>
          </wp:positionH>
          <wp:positionV relativeFrom="paragraph">
            <wp:posOffset>172085</wp:posOffset>
          </wp:positionV>
          <wp:extent cx="8391525" cy="45719"/>
          <wp:effectExtent l="0" t="0" r="0" b="0"/>
          <wp:wrapNone/>
          <wp:docPr id="4681" name="Picture 4681"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a:off x="0" y="0"/>
                    <a:ext cx="20510238" cy="111745"/>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noProof/>
        <w:sz w:val="20"/>
        <w:szCs w:val="20"/>
        <w:lang w:eastAsia="en-US"/>
      </w:rPr>
      <w:t xml:space="preserve"> Completion Report</w:t>
    </w:r>
  </w:p>
  <w:p w14:paraId="128F00A3" w14:textId="77777777" w:rsidR="00CA4E85" w:rsidRPr="00A10B6A" w:rsidRDefault="00CA4E85" w:rsidP="00AA3D5E">
    <w:pPr>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A8815" w14:textId="77777777" w:rsidR="00CA4E85" w:rsidRDefault="00CA4E85" w:rsidP="00BA1DFB">
    <w:pPr>
      <w:pStyle w:val="Header"/>
      <w:tabs>
        <w:tab w:val="clear" w:pos="4513"/>
        <w:tab w:val="clear" w:pos="9026"/>
        <w:tab w:val="left" w:pos="1275"/>
      </w:tabs>
      <w:rPr>
        <w:b/>
        <w:i/>
        <w:noProof/>
        <w:sz w:val="20"/>
        <w:szCs w:val="20"/>
        <w:lang w:eastAsia="en-US"/>
      </w:rPr>
    </w:pPr>
    <w:r w:rsidRPr="00F34798">
      <w:rPr>
        <w:b/>
        <w:noProof/>
        <w:sz w:val="18"/>
        <w:szCs w:val="18"/>
        <w:lang w:val="en-AU"/>
      </w:rPr>
      <w:drawing>
        <wp:anchor distT="0" distB="0" distL="114300" distR="114300" simplePos="0" relativeHeight="251734016" behindDoc="0" locked="0" layoutInCell="1" allowOverlap="1" wp14:anchorId="3446D86E" wp14:editId="1CE9BA2C">
          <wp:simplePos x="0" y="0"/>
          <wp:positionH relativeFrom="column">
            <wp:posOffset>4686300</wp:posOffset>
          </wp:positionH>
          <wp:positionV relativeFrom="paragraph">
            <wp:posOffset>40640</wp:posOffset>
          </wp:positionV>
          <wp:extent cx="1749425" cy="503555"/>
          <wp:effectExtent l="0" t="0" r="3175" b="0"/>
          <wp:wrapTight wrapText="bothSides">
            <wp:wrapPolygon edited="0">
              <wp:start x="0" y="0"/>
              <wp:lineTo x="0" y="20429"/>
              <wp:lineTo x="21404" y="20429"/>
              <wp:lineTo x="21404" y="0"/>
              <wp:lineTo x="0" y="0"/>
            </wp:wrapPolygon>
          </wp:wrapTight>
          <wp:docPr id="4686" name="Picture 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11936453" w14:textId="77777777" w:rsidR="00CA4E85" w:rsidRDefault="00CA4E85" w:rsidP="00BA1DFB">
    <w:pPr>
      <w:pStyle w:val="Header"/>
      <w:tabs>
        <w:tab w:val="clear" w:pos="4513"/>
        <w:tab w:val="clear" w:pos="9026"/>
        <w:tab w:val="left" w:pos="1275"/>
      </w:tabs>
      <w:rPr>
        <w:b/>
        <w:i/>
        <w:noProof/>
        <w:sz w:val="20"/>
        <w:szCs w:val="20"/>
        <w:lang w:eastAsia="en-US"/>
      </w:rPr>
    </w:pPr>
  </w:p>
  <w:p w14:paraId="5E7C7DB2" w14:textId="77777777" w:rsidR="00CA4E85" w:rsidRDefault="00CA4E85" w:rsidP="00BA1DFB">
    <w:pPr>
      <w:pStyle w:val="Header"/>
      <w:tabs>
        <w:tab w:val="clear" w:pos="4513"/>
        <w:tab w:val="clear" w:pos="9026"/>
        <w:tab w:val="left" w:pos="1275"/>
      </w:tabs>
      <w:rPr>
        <w:i/>
        <w:noProof/>
        <w:sz w:val="20"/>
        <w:szCs w:val="20"/>
        <w:lang w:eastAsia="en-US"/>
      </w:rPr>
    </w:pPr>
    <w:r>
      <w:rPr>
        <w:noProof/>
        <w:lang w:val="en-AU"/>
      </w:rPr>
      <w:drawing>
        <wp:anchor distT="0" distB="0" distL="114300" distR="114300" simplePos="0" relativeHeight="251732992" behindDoc="0" locked="0" layoutInCell="1" allowOverlap="1" wp14:anchorId="4D97E507" wp14:editId="573A1C7A">
          <wp:simplePos x="0" y="0"/>
          <wp:positionH relativeFrom="column">
            <wp:posOffset>-953770</wp:posOffset>
          </wp:positionH>
          <wp:positionV relativeFrom="paragraph">
            <wp:posOffset>180975</wp:posOffset>
          </wp:positionV>
          <wp:extent cx="5688000" cy="45719"/>
          <wp:effectExtent l="0" t="0" r="0" b="0"/>
          <wp:wrapNone/>
          <wp:docPr id="4690" name="Picture 4690"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flipV="1">
                    <a:off x="0" y="0"/>
                    <a:ext cx="5688000" cy="45719"/>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b/>
        <w:i/>
        <w:noProof/>
        <w:sz w:val="20"/>
        <w:szCs w:val="20"/>
        <w:lang w:eastAsia="en-US"/>
      </w:rPr>
      <w:t xml:space="preserve"> </w:t>
    </w:r>
    <w:r w:rsidRPr="00AA3D5E">
      <w:rPr>
        <w:i/>
        <w:noProof/>
        <w:sz w:val="20"/>
        <w:szCs w:val="20"/>
        <w:lang w:eastAsia="en-US"/>
      </w:rPr>
      <w:t>Completion Report</w:t>
    </w:r>
    <w:r>
      <w:rPr>
        <w:i/>
        <w:noProof/>
        <w:sz w:val="20"/>
        <w:szCs w:val="20"/>
        <w:lang w:eastAsia="en-US"/>
      </w:rPr>
      <w:t xml:space="preserve"> </w:t>
    </w:r>
  </w:p>
  <w:p w14:paraId="68EF02AF" w14:textId="77777777" w:rsidR="00CA4E85" w:rsidRPr="00456A71" w:rsidRDefault="00CA4E85" w:rsidP="00BA1DF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B8FCFA" w14:textId="77777777" w:rsidR="00CA4E85" w:rsidRDefault="00CA4E85" w:rsidP="00AA3D5E">
    <w:pPr>
      <w:pStyle w:val="Header"/>
      <w:tabs>
        <w:tab w:val="clear" w:pos="4513"/>
        <w:tab w:val="clear" w:pos="9026"/>
        <w:tab w:val="left" w:pos="1275"/>
      </w:tabs>
      <w:rPr>
        <w:b/>
        <w:i/>
        <w:noProof/>
        <w:sz w:val="20"/>
        <w:szCs w:val="20"/>
        <w:lang w:eastAsia="en-US"/>
      </w:rPr>
    </w:pPr>
    <w:r w:rsidRPr="00F34798">
      <w:rPr>
        <w:b/>
        <w:noProof/>
        <w:sz w:val="18"/>
        <w:szCs w:val="18"/>
        <w:lang w:val="en-AU"/>
      </w:rPr>
      <w:drawing>
        <wp:anchor distT="0" distB="0" distL="114300" distR="114300" simplePos="0" relativeHeight="251718656" behindDoc="0" locked="0" layoutInCell="1" allowOverlap="1" wp14:anchorId="1BD86C0C" wp14:editId="58B5C56D">
          <wp:simplePos x="0" y="0"/>
          <wp:positionH relativeFrom="column">
            <wp:posOffset>4686300</wp:posOffset>
          </wp:positionH>
          <wp:positionV relativeFrom="paragraph">
            <wp:posOffset>40640</wp:posOffset>
          </wp:positionV>
          <wp:extent cx="1749425" cy="503555"/>
          <wp:effectExtent l="0" t="0" r="3175" b="0"/>
          <wp:wrapTight wrapText="bothSides">
            <wp:wrapPolygon edited="0">
              <wp:start x="0" y="0"/>
              <wp:lineTo x="0" y="20429"/>
              <wp:lineTo x="21404" y="20429"/>
              <wp:lineTo x="21404" y="0"/>
              <wp:lineTo x="0" y="0"/>
            </wp:wrapPolygon>
          </wp:wrapTight>
          <wp:docPr id="4691" name="Picture 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35CDE5F4" w14:textId="77777777" w:rsidR="00CA4E85" w:rsidRDefault="00CA4E85" w:rsidP="00AA3D5E">
    <w:pPr>
      <w:pStyle w:val="Header"/>
      <w:tabs>
        <w:tab w:val="clear" w:pos="4513"/>
        <w:tab w:val="clear" w:pos="9026"/>
        <w:tab w:val="left" w:pos="1275"/>
      </w:tabs>
      <w:rPr>
        <w:b/>
        <w:i/>
        <w:noProof/>
        <w:sz w:val="20"/>
        <w:szCs w:val="20"/>
        <w:lang w:eastAsia="en-US"/>
      </w:rPr>
    </w:pPr>
  </w:p>
  <w:p w14:paraId="36FB8108" w14:textId="77777777" w:rsidR="00CA4E85" w:rsidRDefault="00CA4E85" w:rsidP="00AA3D5E">
    <w:pPr>
      <w:pStyle w:val="Header"/>
      <w:tabs>
        <w:tab w:val="clear" w:pos="4513"/>
        <w:tab w:val="clear" w:pos="9026"/>
        <w:tab w:val="left" w:pos="1275"/>
      </w:tabs>
      <w:rPr>
        <w:i/>
        <w:noProof/>
        <w:sz w:val="20"/>
        <w:szCs w:val="20"/>
        <w:lang w:eastAsia="en-US"/>
      </w:rPr>
    </w:pPr>
    <w:r>
      <w:rPr>
        <w:noProof/>
        <w:lang w:val="en-AU"/>
      </w:rPr>
      <w:drawing>
        <wp:anchor distT="0" distB="0" distL="114300" distR="114300" simplePos="0" relativeHeight="251717632" behindDoc="0" locked="0" layoutInCell="1" allowOverlap="1" wp14:anchorId="5063C1DC" wp14:editId="1E10F7E8">
          <wp:simplePos x="0" y="0"/>
          <wp:positionH relativeFrom="column">
            <wp:posOffset>-953770</wp:posOffset>
          </wp:positionH>
          <wp:positionV relativeFrom="paragraph">
            <wp:posOffset>180975</wp:posOffset>
          </wp:positionV>
          <wp:extent cx="5688000" cy="45719"/>
          <wp:effectExtent l="0" t="0" r="0" b="0"/>
          <wp:wrapNone/>
          <wp:docPr id="4692" name="Picture 4692"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flipV="1">
                    <a:off x="0" y="0"/>
                    <a:ext cx="5688000" cy="45719"/>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b/>
        <w:i/>
        <w:noProof/>
        <w:sz w:val="20"/>
        <w:szCs w:val="20"/>
        <w:lang w:eastAsia="en-US"/>
      </w:rPr>
      <w:t xml:space="preserve"> </w:t>
    </w:r>
    <w:r w:rsidRPr="00AA3D5E">
      <w:rPr>
        <w:i/>
        <w:noProof/>
        <w:sz w:val="20"/>
        <w:szCs w:val="20"/>
        <w:lang w:eastAsia="en-US"/>
      </w:rPr>
      <w:t>Completion Report</w:t>
    </w:r>
    <w:r>
      <w:rPr>
        <w:i/>
        <w:noProof/>
        <w:sz w:val="20"/>
        <w:szCs w:val="20"/>
        <w:lang w:eastAsia="en-US"/>
      </w:rPr>
      <w:t xml:space="preserve"> </w:t>
    </w:r>
  </w:p>
  <w:p w14:paraId="6991DD01" w14:textId="77777777" w:rsidR="00CA4E85" w:rsidRPr="00456A71" w:rsidRDefault="00CA4E85" w:rsidP="00AA3D5E">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DB00AB" w14:textId="77777777" w:rsidR="00CA4E85" w:rsidRDefault="00CA4E85" w:rsidP="00BA1DFB">
    <w:pPr>
      <w:pStyle w:val="Header"/>
      <w:rPr>
        <w:b/>
        <w:i/>
        <w:noProof/>
        <w:sz w:val="20"/>
        <w:szCs w:val="20"/>
        <w:lang w:eastAsia="en-US"/>
      </w:rPr>
    </w:pPr>
    <w:r>
      <w:rPr>
        <w:b/>
        <w:noProof/>
        <w:sz w:val="36"/>
        <w:lang w:val="en-AU"/>
      </w:rPr>
      <w:drawing>
        <wp:anchor distT="0" distB="0" distL="114300" distR="114300" simplePos="0" relativeHeight="251752448" behindDoc="0" locked="0" layoutInCell="1" allowOverlap="1" wp14:anchorId="6F9A91F1" wp14:editId="17DDB241">
          <wp:simplePos x="0" y="0"/>
          <wp:positionH relativeFrom="column">
            <wp:posOffset>7451725</wp:posOffset>
          </wp:positionH>
          <wp:positionV relativeFrom="paragraph">
            <wp:posOffset>20320</wp:posOffset>
          </wp:positionV>
          <wp:extent cx="1749425" cy="503555"/>
          <wp:effectExtent l="0" t="0" r="3175" b="0"/>
          <wp:wrapTight wrapText="bothSides">
            <wp:wrapPolygon edited="0">
              <wp:start x="0" y="0"/>
              <wp:lineTo x="0" y="20429"/>
              <wp:lineTo x="21404" y="20429"/>
              <wp:lineTo x="21404" y="0"/>
              <wp:lineTo x="0" y="0"/>
            </wp:wrapPolygon>
          </wp:wrapTight>
          <wp:docPr id="4694" name="Picture 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3EB5A98A" w14:textId="77777777" w:rsidR="00CA4E85" w:rsidRDefault="00CA4E85" w:rsidP="00BA1DFB">
    <w:pPr>
      <w:pStyle w:val="Header"/>
      <w:rPr>
        <w:b/>
        <w:i/>
        <w:noProof/>
        <w:sz w:val="20"/>
        <w:szCs w:val="20"/>
        <w:lang w:eastAsia="en-US"/>
      </w:rPr>
    </w:pPr>
  </w:p>
  <w:p w14:paraId="5A35F211" w14:textId="76868E9A" w:rsidR="00CA4E85" w:rsidRDefault="00CA4E85" w:rsidP="00BA1DFB">
    <w:pPr>
      <w:pStyle w:val="Header"/>
    </w:pPr>
    <w:r>
      <w:rPr>
        <w:noProof/>
        <w:lang w:val="en-AU"/>
      </w:rPr>
      <w:drawing>
        <wp:anchor distT="0" distB="0" distL="114300" distR="114300" simplePos="0" relativeHeight="251751424" behindDoc="0" locked="0" layoutInCell="1" allowOverlap="1" wp14:anchorId="2F0C2A13" wp14:editId="00B6F92B">
          <wp:simplePos x="0" y="0"/>
          <wp:positionH relativeFrom="column">
            <wp:posOffset>-862965</wp:posOffset>
          </wp:positionH>
          <wp:positionV relativeFrom="paragraph">
            <wp:posOffset>172085</wp:posOffset>
          </wp:positionV>
          <wp:extent cx="8391525" cy="45719"/>
          <wp:effectExtent l="0" t="0" r="0" b="0"/>
          <wp:wrapNone/>
          <wp:docPr id="4695" name="Picture 4695"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a:off x="0" y="0"/>
                    <a:ext cx="20510238" cy="111745"/>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noProof/>
        <w:sz w:val="20"/>
        <w:szCs w:val="20"/>
        <w:lang w:eastAsia="en-US"/>
      </w:rPr>
      <w:t xml:space="preserve"> Completion Report</w:t>
    </w:r>
  </w:p>
  <w:p w14:paraId="62945555" w14:textId="77777777" w:rsidR="00CA4E85" w:rsidRPr="00A10B6A" w:rsidRDefault="00CA4E85" w:rsidP="00BA1DFB">
    <w:pPr>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6BEE48" w14:textId="55CF24DB" w:rsidR="00CA4E85" w:rsidRDefault="00CA4E85" w:rsidP="00313C47">
    <w:pPr>
      <w:pStyle w:val="Header"/>
      <w:rPr>
        <w:b/>
        <w:i/>
        <w:noProof/>
        <w:sz w:val="20"/>
        <w:szCs w:val="20"/>
        <w:lang w:eastAsia="en-US"/>
      </w:rPr>
    </w:pPr>
    <w:r>
      <w:rPr>
        <w:b/>
        <w:noProof/>
        <w:sz w:val="36"/>
        <w:lang w:val="en-AU"/>
      </w:rPr>
      <w:drawing>
        <wp:anchor distT="0" distB="0" distL="114300" distR="114300" simplePos="0" relativeHeight="251649024" behindDoc="0" locked="0" layoutInCell="1" allowOverlap="1" wp14:anchorId="1E92CEA7" wp14:editId="010E9A0A">
          <wp:simplePos x="0" y="0"/>
          <wp:positionH relativeFrom="column">
            <wp:posOffset>7451725</wp:posOffset>
          </wp:positionH>
          <wp:positionV relativeFrom="paragraph">
            <wp:posOffset>20320</wp:posOffset>
          </wp:positionV>
          <wp:extent cx="1749425" cy="503555"/>
          <wp:effectExtent l="0" t="0" r="3175" b="0"/>
          <wp:wrapTight wrapText="bothSides">
            <wp:wrapPolygon edited="0">
              <wp:start x="0" y="0"/>
              <wp:lineTo x="0" y="20429"/>
              <wp:lineTo x="21404" y="20429"/>
              <wp:lineTo x="21404" y="0"/>
              <wp:lineTo x="0" y="0"/>
            </wp:wrapPolygon>
          </wp:wrapTight>
          <wp:docPr id="4696" name="Picture 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4DA10B9C" w14:textId="77777777" w:rsidR="00CA4E85" w:rsidRDefault="00CA4E85" w:rsidP="00313C47">
    <w:pPr>
      <w:pStyle w:val="Header"/>
      <w:rPr>
        <w:b/>
        <w:i/>
        <w:noProof/>
        <w:sz w:val="20"/>
        <w:szCs w:val="20"/>
        <w:lang w:eastAsia="en-US"/>
      </w:rPr>
    </w:pPr>
  </w:p>
  <w:p w14:paraId="36473624" w14:textId="6B2D534F" w:rsidR="00CA4E85" w:rsidRDefault="00CA4E85" w:rsidP="00313C47">
    <w:pPr>
      <w:pStyle w:val="Header"/>
    </w:pPr>
    <w:r>
      <w:rPr>
        <w:noProof/>
        <w:lang w:val="en-AU"/>
      </w:rPr>
      <w:drawing>
        <wp:anchor distT="0" distB="0" distL="114300" distR="114300" simplePos="0" relativeHeight="251648000" behindDoc="0" locked="0" layoutInCell="1" allowOverlap="1" wp14:anchorId="28381C0B" wp14:editId="0B98A47F">
          <wp:simplePos x="0" y="0"/>
          <wp:positionH relativeFrom="column">
            <wp:posOffset>-862965</wp:posOffset>
          </wp:positionH>
          <wp:positionV relativeFrom="paragraph">
            <wp:posOffset>172085</wp:posOffset>
          </wp:positionV>
          <wp:extent cx="8391525" cy="45719"/>
          <wp:effectExtent l="0" t="0" r="0" b="0"/>
          <wp:wrapNone/>
          <wp:docPr id="4697" name="Picture 4697"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a:off x="0" y="0"/>
                    <a:ext cx="20510238" cy="111745"/>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noProof/>
        <w:sz w:val="20"/>
        <w:szCs w:val="20"/>
        <w:lang w:eastAsia="en-US"/>
      </w:rPr>
      <w:t xml:space="preserve"> Completion Report</w:t>
    </w:r>
  </w:p>
  <w:p w14:paraId="64F4CE14" w14:textId="77777777" w:rsidR="00CA4E85" w:rsidRPr="00A10B6A" w:rsidRDefault="00CA4E85" w:rsidP="00313C47">
    <w:pPr>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26B840" w14:textId="77777777" w:rsidR="00CA4E85" w:rsidRDefault="00CA4E85" w:rsidP="00216197">
    <w:pPr>
      <w:pStyle w:val="Header"/>
      <w:rPr>
        <w:b/>
        <w:i/>
        <w:noProof/>
        <w:sz w:val="20"/>
        <w:szCs w:val="20"/>
        <w:lang w:eastAsia="en-US"/>
      </w:rPr>
    </w:pPr>
    <w:r>
      <w:rPr>
        <w:b/>
        <w:noProof/>
        <w:sz w:val="36"/>
        <w:lang w:val="en-AU"/>
      </w:rPr>
      <w:drawing>
        <wp:anchor distT="0" distB="0" distL="114300" distR="114300" simplePos="0" relativeHeight="251763712" behindDoc="0" locked="0" layoutInCell="1" allowOverlap="1" wp14:anchorId="25F72327" wp14:editId="150C4F16">
          <wp:simplePos x="0" y="0"/>
          <wp:positionH relativeFrom="column">
            <wp:posOffset>7451725</wp:posOffset>
          </wp:positionH>
          <wp:positionV relativeFrom="paragraph">
            <wp:posOffset>20320</wp:posOffset>
          </wp:positionV>
          <wp:extent cx="1749425" cy="503555"/>
          <wp:effectExtent l="0" t="0" r="3175" b="0"/>
          <wp:wrapTight wrapText="bothSides">
            <wp:wrapPolygon edited="0">
              <wp:start x="0" y="0"/>
              <wp:lineTo x="0" y="20429"/>
              <wp:lineTo x="21404" y="20429"/>
              <wp:lineTo x="21404"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7177324F" w14:textId="77777777" w:rsidR="00CA4E85" w:rsidRDefault="00CA4E85" w:rsidP="00216197">
    <w:pPr>
      <w:pStyle w:val="Header"/>
      <w:rPr>
        <w:b/>
        <w:i/>
        <w:noProof/>
        <w:sz w:val="20"/>
        <w:szCs w:val="20"/>
        <w:lang w:eastAsia="en-US"/>
      </w:rPr>
    </w:pPr>
  </w:p>
  <w:p w14:paraId="04D1F059" w14:textId="6C96A4C1" w:rsidR="00CA4E85" w:rsidRDefault="00CA4E85" w:rsidP="00216197">
    <w:pPr>
      <w:pStyle w:val="Header"/>
    </w:pPr>
    <w:r>
      <w:rPr>
        <w:noProof/>
        <w:lang w:val="en-AU"/>
      </w:rPr>
      <w:drawing>
        <wp:anchor distT="0" distB="0" distL="114300" distR="114300" simplePos="0" relativeHeight="251762688" behindDoc="0" locked="0" layoutInCell="1" allowOverlap="1" wp14:anchorId="1442B026" wp14:editId="5D6C5B46">
          <wp:simplePos x="0" y="0"/>
          <wp:positionH relativeFrom="column">
            <wp:posOffset>-862965</wp:posOffset>
          </wp:positionH>
          <wp:positionV relativeFrom="paragraph">
            <wp:posOffset>172085</wp:posOffset>
          </wp:positionV>
          <wp:extent cx="8391525" cy="45719"/>
          <wp:effectExtent l="0" t="0" r="0" b="0"/>
          <wp:wrapNone/>
          <wp:docPr id="4705" name="Picture 4705"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a:off x="0" y="0"/>
                    <a:ext cx="20510238" cy="111745"/>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noProof/>
        <w:sz w:val="20"/>
        <w:szCs w:val="20"/>
        <w:lang w:eastAsia="en-US"/>
      </w:rPr>
      <w:t xml:space="preserve"> Completion Report</w:t>
    </w:r>
  </w:p>
  <w:p w14:paraId="04FE2C53" w14:textId="77777777" w:rsidR="00CA4E85" w:rsidRPr="00A10B6A" w:rsidRDefault="00CA4E85" w:rsidP="00216197">
    <w:pPr>
      <w:rPr>
        <w:sz w:val="20"/>
      </w:rPr>
    </w:pPr>
  </w:p>
  <w:p w14:paraId="451393FE" w14:textId="77777777" w:rsidR="00CA4E85" w:rsidRDefault="00CA4E85"/>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612C0" w14:textId="77777777" w:rsidR="00CA4E85" w:rsidRDefault="00CA4E85" w:rsidP="00313C47">
    <w:pPr>
      <w:pStyle w:val="Header"/>
      <w:rPr>
        <w:b/>
        <w:i/>
        <w:noProof/>
        <w:sz w:val="20"/>
        <w:szCs w:val="20"/>
        <w:lang w:eastAsia="en-US"/>
      </w:rPr>
    </w:pPr>
    <w:r>
      <w:rPr>
        <w:b/>
        <w:noProof/>
        <w:sz w:val="36"/>
        <w:lang w:val="en-AU"/>
      </w:rPr>
      <w:drawing>
        <wp:anchor distT="0" distB="0" distL="114300" distR="114300" simplePos="0" relativeHeight="251746304" behindDoc="0" locked="0" layoutInCell="1" allowOverlap="1" wp14:anchorId="3FA938F8" wp14:editId="59FB58A2">
          <wp:simplePos x="0" y="0"/>
          <wp:positionH relativeFrom="column">
            <wp:posOffset>7451725</wp:posOffset>
          </wp:positionH>
          <wp:positionV relativeFrom="paragraph">
            <wp:posOffset>20320</wp:posOffset>
          </wp:positionV>
          <wp:extent cx="1749425" cy="503555"/>
          <wp:effectExtent l="0" t="0" r="3175" b="0"/>
          <wp:wrapTight wrapText="bothSides">
            <wp:wrapPolygon edited="0">
              <wp:start x="0" y="0"/>
              <wp:lineTo x="0" y="20429"/>
              <wp:lineTo x="21404" y="20429"/>
              <wp:lineTo x="21404" y="0"/>
              <wp:lineTo x="0" y="0"/>
            </wp:wrapPolygon>
          </wp:wrapTight>
          <wp:docPr id="4701" name="Picture 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5D3A19DA" w14:textId="77777777" w:rsidR="00CA4E85" w:rsidRDefault="00CA4E85" w:rsidP="00313C47">
    <w:pPr>
      <w:pStyle w:val="Header"/>
      <w:rPr>
        <w:b/>
        <w:i/>
        <w:noProof/>
        <w:sz w:val="20"/>
        <w:szCs w:val="20"/>
        <w:lang w:eastAsia="en-US"/>
      </w:rPr>
    </w:pPr>
  </w:p>
  <w:p w14:paraId="18FEB2B0" w14:textId="57D7FF1B" w:rsidR="00CA4E85" w:rsidRDefault="00CA4E85" w:rsidP="00313C47">
    <w:pPr>
      <w:pStyle w:val="Header"/>
    </w:pPr>
    <w:r>
      <w:rPr>
        <w:noProof/>
        <w:lang w:val="en-AU"/>
      </w:rPr>
      <w:drawing>
        <wp:anchor distT="0" distB="0" distL="114300" distR="114300" simplePos="0" relativeHeight="251745280" behindDoc="0" locked="0" layoutInCell="1" allowOverlap="1" wp14:anchorId="1A843730" wp14:editId="5D45FB56">
          <wp:simplePos x="0" y="0"/>
          <wp:positionH relativeFrom="column">
            <wp:posOffset>-862965</wp:posOffset>
          </wp:positionH>
          <wp:positionV relativeFrom="paragraph">
            <wp:posOffset>172085</wp:posOffset>
          </wp:positionV>
          <wp:extent cx="8391525" cy="45719"/>
          <wp:effectExtent l="0" t="0" r="0" b="0"/>
          <wp:wrapNone/>
          <wp:docPr id="4702" name="Picture 4702"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a:off x="0" y="0"/>
                    <a:ext cx="20510238" cy="111745"/>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noProof/>
        <w:sz w:val="20"/>
        <w:szCs w:val="20"/>
        <w:lang w:eastAsia="en-US"/>
      </w:rPr>
      <w:t xml:space="preserve"> Completion Report</w:t>
    </w:r>
  </w:p>
  <w:p w14:paraId="7E19D264" w14:textId="77777777" w:rsidR="00CA4E85" w:rsidRPr="00A10B6A" w:rsidRDefault="00CA4E85" w:rsidP="00313C47">
    <w:pPr>
      <w:rPr>
        <w:sz w:val="20"/>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F0009" w14:textId="77777777" w:rsidR="00CA4E85" w:rsidRPr="00F42316" w:rsidRDefault="00CA4E85" w:rsidP="001012E7">
    <w:pPr>
      <w:pStyle w:val="Header"/>
      <w:tabs>
        <w:tab w:val="clear" w:pos="4513"/>
        <w:tab w:val="clear" w:pos="9026"/>
        <w:tab w:val="left" w:pos="1275"/>
      </w:tabs>
      <w:rPr>
        <w:b/>
        <w:i/>
        <w:noProof/>
        <w:sz w:val="20"/>
        <w:szCs w:val="20"/>
      </w:rPr>
    </w:pPr>
    <w:r w:rsidRPr="00F42316">
      <w:rPr>
        <w:b/>
        <w:noProof/>
        <w:sz w:val="18"/>
        <w:szCs w:val="18"/>
        <w:lang w:val="en-AU"/>
      </w:rPr>
      <w:drawing>
        <wp:anchor distT="0" distB="0" distL="114300" distR="114300" simplePos="0" relativeHeight="251805696" behindDoc="0" locked="0" layoutInCell="1" allowOverlap="1" wp14:anchorId="1E146DE8" wp14:editId="10C917E1">
          <wp:simplePos x="0" y="0"/>
          <wp:positionH relativeFrom="column">
            <wp:posOffset>4686300</wp:posOffset>
          </wp:positionH>
          <wp:positionV relativeFrom="paragraph">
            <wp:posOffset>-128270</wp:posOffset>
          </wp:positionV>
          <wp:extent cx="1749425" cy="503555"/>
          <wp:effectExtent l="0" t="0" r="3175" b="0"/>
          <wp:wrapTight wrapText="bothSides">
            <wp:wrapPolygon edited="0">
              <wp:start x="0" y="0"/>
              <wp:lineTo x="0" y="20429"/>
              <wp:lineTo x="21404" y="20429"/>
              <wp:lineTo x="21404" y="0"/>
              <wp:lineTo x="0" y="0"/>
            </wp:wrapPolygon>
          </wp:wrapTight>
          <wp:docPr id="4724" name="Picture 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42C10447" w14:textId="2CD70311" w:rsidR="00CA4E85" w:rsidRPr="00F42316" w:rsidRDefault="00CA4E85" w:rsidP="001012E7">
    <w:pPr>
      <w:pStyle w:val="Header"/>
      <w:tabs>
        <w:tab w:val="clear" w:pos="4513"/>
        <w:tab w:val="clear" w:pos="9026"/>
        <w:tab w:val="left" w:pos="1275"/>
      </w:tabs>
      <w:rPr>
        <w:i/>
        <w:noProof/>
        <w:sz w:val="20"/>
        <w:szCs w:val="20"/>
      </w:rPr>
    </w:pPr>
    <w:r w:rsidRPr="00F42316">
      <w:rPr>
        <w:noProof/>
        <w:lang w:val="en-AU"/>
      </w:rPr>
      <w:drawing>
        <wp:anchor distT="0" distB="0" distL="114300" distR="114300" simplePos="0" relativeHeight="251804672" behindDoc="0" locked="0" layoutInCell="1" allowOverlap="1" wp14:anchorId="0DA5C7DE" wp14:editId="2BF13ACF">
          <wp:simplePos x="0" y="0"/>
          <wp:positionH relativeFrom="column">
            <wp:posOffset>-953770</wp:posOffset>
          </wp:positionH>
          <wp:positionV relativeFrom="paragraph">
            <wp:posOffset>180975</wp:posOffset>
          </wp:positionV>
          <wp:extent cx="5688000" cy="45719"/>
          <wp:effectExtent l="0" t="0" r="0" b="0"/>
          <wp:wrapNone/>
          <wp:docPr id="4725" name="Picture 4725"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flipV="1">
                    <a:off x="0" y="0"/>
                    <a:ext cx="5688000" cy="457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2316">
      <w:rPr>
        <w:b/>
        <w:i/>
        <w:noProof/>
        <w:sz w:val="20"/>
        <w:szCs w:val="20"/>
      </w:rPr>
      <w:t xml:space="preserve">PJSI: </w:t>
    </w:r>
    <w:r>
      <w:rPr>
        <w:i/>
        <w:noProof/>
        <w:sz w:val="20"/>
        <w:szCs w:val="20"/>
      </w:rPr>
      <w:t>Completion Report</w:t>
    </w:r>
  </w:p>
  <w:p w14:paraId="01CDFBAD" w14:textId="77777777" w:rsidR="00CA4E85" w:rsidRPr="00F42316" w:rsidRDefault="00CA4E85" w:rsidP="001012E7">
    <w:pPr>
      <w:pStyle w:val="Header"/>
      <w:rPr>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3FAC8" w14:textId="77777777" w:rsidR="00CA4E85" w:rsidRPr="00FD0ECD" w:rsidRDefault="00CA4E85" w:rsidP="00FD0ECD">
    <w:pPr>
      <w:pStyle w:val="Header"/>
      <w:rPr>
        <w:sz w:val="22"/>
        <w:szCs w:val="22"/>
      </w:rPr>
    </w:pPr>
    <w:r w:rsidRPr="008A1F79">
      <w:rPr>
        <w:noProof/>
        <w:sz w:val="2"/>
        <w:lang w:val="en-AU"/>
      </w:rPr>
      <w:drawing>
        <wp:anchor distT="0" distB="0" distL="114300" distR="114300" simplePos="0" relativeHeight="251681792" behindDoc="0" locked="0" layoutInCell="1" allowOverlap="1" wp14:anchorId="6FA88E9D" wp14:editId="307421F3">
          <wp:simplePos x="0" y="0"/>
          <wp:positionH relativeFrom="margin">
            <wp:align>center</wp:align>
          </wp:positionH>
          <wp:positionV relativeFrom="paragraph">
            <wp:posOffset>133350</wp:posOffset>
          </wp:positionV>
          <wp:extent cx="7562850" cy="431165"/>
          <wp:effectExtent l="0" t="0" r="0" b="6985"/>
          <wp:wrapTight wrapText="bothSides">
            <wp:wrapPolygon edited="0">
              <wp:start x="0" y="0"/>
              <wp:lineTo x="0" y="20996"/>
              <wp:lineTo x="21546" y="20996"/>
              <wp:lineTo x="21546" y="0"/>
              <wp:lineTo x="0" y="0"/>
            </wp:wrapPolygon>
          </wp:wrapTight>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New Stripe - Big.bmp"/>
                  <pic:cNvPicPr/>
                </pic:nvPicPr>
                <pic:blipFill>
                  <a:blip r:embed="rId1">
                    <a:extLst>
                      <a:ext uri="{28A0092B-C50C-407E-A947-70E740481C1C}">
                        <a14:useLocalDpi xmlns:a14="http://schemas.microsoft.com/office/drawing/2010/main" val="0"/>
                      </a:ext>
                    </a:extLst>
                  </a:blip>
                  <a:stretch>
                    <a:fillRect/>
                  </a:stretch>
                </pic:blipFill>
                <pic:spPr>
                  <a:xfrm>
                    <a:off x="0" y="0"/>
                    <a:ext cx="7562850" cy="431165"/>
                  </a:xfrm>
                  <a:prstGeom prst="rect">
                    <a:avLst/>
                  </a:prstGeom>
                </pic:spPr>
              </pic:pic>
            </a:graphicData>
          </a:graphic>
          <wp14:sizeRelH relativeFrom="margin">
            <wp14:pctWidth>0</wp14:pctWidth>
          </wp14:sizeRelH>
          <wp14:sizeRelV relativeFrom="margin">
            <wp14:pctHeight>0</wp14:pctHeight>
          </wp14:sizeRelV>
        </wp:anchor>
      </w:drawing>
    </w:r>
    <w:r>
      <w:rPr>
        <w:noProof/>
        <w:lang w:val="en-AU"/>
      </w:rPr>
      <mc:AlternateContent>
        <mc:Choice Requires="wps">
          <w:drawing>
            <wp:anchor distT="0" distB="0" distL="114300" distR="114300" simplePos="0" relativeHeight="251679744" behindDoc="0" locked="0" layoutInCell="1" allowOverlap="1" wp14:anchorId="72473AD2" wp14:editId="31A8786F">
              <wp:simplePos x="0" y="0"/>
              <wp:positionH relativeFrom="column">
                <wp:posOffset>-898525</wp:posOffset>
              </wp:positionH>
              <wp:positionV relativeFrom="paragraph">
                <wp:posOffset>5111750</wp:posOffset>
              </wp:positionV>
              <wp:extent cx="7580630" cy="5373370"/>
              <wp:effectExtent l="0" t="0" r="1270" b="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0630" cy="5373370"/>
                      </a:xfrm>
                      <a:prstGeom prst="rect">
                        <a:avLst/>
                      </a:prstGeom>
                      <a:solidFill>
                        <a:srgbClr val="CBDCE1"/>
                      </a:solidFill>
                      <a:ln>
                        <a:noFill/>
                      </a:ln>
                      <a:extLst>
                        <a:ext uri="{91240B29-F687-4F45-9708-019B960494DF}">
                          <a14:hiddenLine xmlns:a14="http://schemas.microsoft.com/office/drawing/2010/main" w="9525">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A954207" id="Rectangle 44" o:spid="_x0000_s1026" style="position:absolute;margin-left:-70.75pt;margin-top:402.5pt;width:596.9pt;height:423.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yw8hQIAAP4EAAAOAAAAZHJzL2Uyb0RvYy54bWysVF1v2yAUfZ+0/4B4T20nzoetOFWTNNOk&#10;bqvW7QcQwDEaBgYkTjvtv++Cky7tXqZpfsBcuFzOufdc5tfHVqIDt05oVeHsKsWIK6qZULsKf/2y&#10;Gcwwcp4oRqRWvMKP3OHrxds3886UfKgbLRm3CIIoV3amwo33pkwSRxveEnelDVewWWvbEg+m3SXM&#10;kg6itzIZpukk6bRlxmrKnYPVdb+JFzF+XXPqP9W14x7JCgM2H0cbx20Yk8WclDtLTCPoCQb5BxQt&#10;EQoufQ61Jp6gvRV/hGoFtdrp2l9R3Sa6rgXlkQOwydJXbB4aYnjkAslx5jlN7v+FpR8P9xYJVuE8&#10;x0iRFmr0GbJG1E5yBGuQoM64EvwezL0NFJ250/SbQ0qvGnDjN9bqruGEAaws+CcvDgTDwVG07T5o&#10;BuHJ3uuYq2Nt2xAQsoCOsSSPzyXhR48oLE7Hs3QygspR2BuPpqPRNBYtIeX5uLHOv+O6RWFSYQvo&#10;Y3hyuHM+wCHl2SXC11KwjZAyGna3XUmLDgT0sVquV7c9A2B56SZVcFY6HOsj9iuAEu4IewFvrPeP&#10;Ihvm6XJYDDaT2XSQb/LxoJims0GaFctikuZFvt78DACzvGwEY1zdCcXP2svyv6vtqQt61UT1oa7C&#10;xXg4jtxfoHeXJDfxi2V6RbIVHlpRirbCszR8fXOEyt4qBrRJ6YmQ/Tx5CT9mGXJw/sesRB2E0vcS&#10;2mr2CDKwGooEBYVHAyaNtk8YddCAFXbf98RyjOR7BVIqsjwPHRuNfDwdgmEvd7aXO0RRCFVhj1E/&#10;Xfm+y/fGil0DN2UxMUrfgPxqEYURpNmjOokWmiwyOD0IoYsv7ej1+9la/AIAAP//AwBQSwMEFAAG&#10;AAgAAAAhAIK0R2riAAAADgEAAA8AAABkcnMvZG93bnJldi54bWxMj8FOwzAMhu9IvENkJG5b0kKn&#10;UppOCBVxmtAGgmvamLaQOFWTreXtyU5ws+VPv7+/3C7WsBNOfnAkIVkLYEit0wN1Et5en1Y5MB8U&#10;aWUcoYQf9LCtLi9KVWg30x5Ph9CxGEK+UBL6EMaCc9/2aJVfuxEp3j7dZFWI69RxPak5hlvDUyE2&#10;3KqB4odejfjYY/t9OFoJL/PXzj/f1abmbd3s0ve8az68lNdXy8M9sIBL+IPhrB/VoYpOjTuS9sxI&#10;WCW3SRZZCbnIYqszIrL0BlgTp02WpMCrkv+vUf0CAAD//wMAUEsBAi0AFAAGAAgAAAAhALaDOJL+&#10;AAAA4QEAABMAAAAAAAAAAAAAAAAAAAAAAFtDb250ZW50X1R5cGVzXS54bWxQSwECLQAUAAYACAAA&#10;ACEAOP0h/9YAAACUAQAACwAAAAAAAAAAAAAAAAAvAQAAX3JlbHMvLnJlbHNQSwECLQAUAAYACAAA&#10;ACEAdecsPIUCAAD+BAAADgAAAAAAAAAAAAAAAAAuAgAAZHJzL2Uyb0RvYy54bWxQSwECLQAUAAYA&#10;CAAAACEAgrRHauIAAAAOAQAADwAAAAAAAAAAAAAAAADfBAAAZHJzL2Rvd25yZXYueG1sUEsFBgAA&#10;AAAEAAQA8wAAAO4FAAAAAA==&#10;" fillcolor="#cbdce1" stroked="f" strokecolor="white"/>
          </w:pict>
        </mc:Fallback>
      </mc:AlternateContent>
    </w:r>
    <w:r>
      <w:rPr>
        <w:noProof/>
        <w:lang w:val="en-AU"/>
      </w:rPr>
      <mc:AlternateContent>
        <mc:Choice Requires="wps">
          <w:drawing>
            <wp:anchor distT="0" distB="0" distL="114300" distR="114300" simplePos="0" relativeHeight="251680768" behindDoc="0" locked="0" layoutInCell="1" allowOverlap="1" wp14:anchorId="272114C4" wp14:editId="3B265FE5">
              <wp:simplePos x="0" y="0"/>
              <wp:positionH relativeFrom="column">
                <wp:posOffset>-898525</wp:posOffset>
              </wp:positionH>
              <wp:positionV relativeFrom="paragraph">
                <wp:posOffset>4618355</wp:posOffset>
              </wp:positionV>
              <wp:extent cx="7668260" cy="493395"/>
              <wp:effectExtent l="0" t="0" r="8890" b="1905"/>
              <wp:wrapNone/>
              <wp:docPr id="4607" name="Rectangle 4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68260" cy="493395"/>
                      </a:xfrm>
                      <a:prstGeom prst="rect">
                        <a:avLst/>
                      </a:prstGeom>
                      <a:solidFill>
                        <a:srgbClr val="0E606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FEE07B0" id="Rectangle 4607" o:spid="_x0000_s1026" style="position:absolute;margin-left:-70.75pt;margin-top:363.65pt;width:603.8pt;height:38.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HTPaAIAANAEAAAOAAAAZHJzL2Uyb0RvYy54bWysVE1PGzEQvVfqf7B8L7sJIcCKDYqgVJUi&#10;QIWK88Tr/VBtj2s72dBfz9i7gZT2VPVizXjezsfzm7243GnFttL5Dk3JJ0c5Z9IIrDrTlPz7482n&#10;M858AFOBQiNL/iw9v1x8/HDR20JOsUVVSccoifFFb0vehmCLLPOilRr8EVppKFij0xDIdU1WOegp&#10;u1bZNM/nWY+usg6F9J5ur4cgX6T8dS1FuKtrLwNTJafeQjpdOtfxzBYXUDQObNuJsQ34hy40dIaK&#10;vqa6hgBs47o/UulOOPRYhyOBOsO67oRMM9A0k/zdNA8tWJlmIXK8faXJ/7+04nZ771hXlXw2z085&#10;M6Dplb4Rb2AaJVm6JZJ66wvCPth7F8f0doXih6dA9lskOn7E7GqnI5aGZLvE+PMr43IXmKDL0/n8&#10;bDqnhxEUm50fH5+fxCfJoNh/bZ0PXyRqFo2SO+osEQ3blQ8DdA9JjaHqqptOqeS4Zn2lHNtCfP3P&#10;85wqDZ/4Q5gyrC/59GSWx0aAVFgrCGRqS7x403AGqiF5i+BSbYOxAmWCIta+Bt8ONVLasYQyMS6T&#10;BsdW39iJ1hqrZ+Le4SBKb8VNR9lW4MM9OFIhdUObFe7oqBVSizhanLXofv3tPuJJHBTlrCdVU/s/&#10;N+AkZ+qrIdmcT2azuAbJmZ2cTslxh5H1YcRs9BUSdRPaYSuSGfFB7c3aoX6iBVzGqhQCI6j2QNTo&#10;XIVh22iFhVwuE4ykbyGszIMVMfmex8fdEzg7PnQgidzifgOgePfeAzZ+aXC5CVh3SQxvvI7KpLVJ&#10;chpXPO7loZ9Qbz+ixQsAAAD//wMAUEsDBBQABgAIAAAAIQDmlBqw3gAAAA0BAAAPAAAAZHJzL2Rv&#10;d25yZXYueG1sTI9BTsMwEEX3SNzBGiR2re1C0jbEqVAlDkCpxHYaD3HU2A6204bb465gOfpP/7+p&#10;d7Md2IVC7L1TIJcCGLnW6951Co4fb4sNsJjQaRy8IwU/FGHX3N/VWGl/de90OaSO5RIXK1RgUhor&#10;zmNryGJc+pFczr58sJjyGTquA15zuR34SoiSW+xdXjA40t5Qez5MVgEdpS5wH9Iniol3Z7NF871V&#10;6vFhfn0BlmhOfzDc9LM6NNnp5CenIxsULOSzLDKrYL1aPwG7IaIsJbCTgo0oBPCm5v+/aH4BAAD/&#10;/wMAUEsBAi0AFAAGAAgAAAAhALaDOJL+AAAA4QEAABMAAAAAAAAAAAAAAAAAAAAAAFtDb250ZW50&#10;X1R5cGVzXS54bWxQSwECLQAUAAYACAAAACEAOP0h/9YAAACUAQAACwAAAAAAAAAAAAAAAAAvAQAA&#10;X3JlbHMvLnJlbHNQSwECLQAUAAYACAAAACEAaFB0z2gCAADQBAAADgAAAAAAAAAAAAAAAAAuAgAA&#10;ZHJzL2Uyb0RvYy54bWxQSwECLQAUAAYACAAAACEA5pQasN4AAAANAQAADwAAAAAAAAAAAAAAAADC&#10;BAAAZHJzL2Rvd25yZXYueG1sUEsFBgAAAAAEAAQA8wAAAM0FAAAAAA==&#10;" fillcolor="#0e6060" stroked="f" strokeweight="2pt">
              <v:path arrowok="t"/>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4316C6" w14:textId="77777777" w:rsidR="00D4303F" w:rsidRDefault="00D4303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4C9D99" w14:textId="6B69DE36" w:rsidR="00CA4E85" w:rsidRDefault="00CA4E85" w:rsidP="001D36CD">
    <w:pPr>
      <w:pStyle w:val="Header"/>
      <w:tabs>
        <w:tab w:val="clear" w:pos="4513"/>
        <w:tab w:val="clear" w:pos="9026"/>
        <w:tab w:val="left" w:pos="1275"/>
      </w:tabs>
      <w:rPr>
        <w:i/>
        <w:noProof/>
        <w:sz w:val="20"/>
        <w:szCs w:val="20"/>
        <w:lang w:eastAsia="en-US"/>
      </w:rPr>
    </w:pPr>
    <w:r>
      <w:rPr>
        <w:noProof/>
        <w:lang w:val="en-AU"/>
      </w:rPr>
      <mc:AlternateContent>
        <mc:Choice Requires="wpg">
          <w:drawing>
            <wp:anchor distT="0" distB="0" distL="114300" distR="114300" simplePos="0" relativeHeight="251782144" behindDoc="1" locked="0" layoutInCell="1" allowOverlap="1" wp14:anchorId="456D96FD" wp14:editId="5AA0642A">
              <wp:simplePos x="0" y="0"/>
              <wp:positionH relativeFrom="page">
                <wp:align>left</wp:align>
              </wp:positionH>
              <wp:positionV relativeFrom="paragraph">
                <wp:posOffset>5058410</wp:posOffset>
              </wp:positionV>
              <wp:extent cx="8353425" cy="5364480"/>
              <wp:effectExtent l="0" t="0" r="9525" b="7620"/>
              <wp:wrapNone/>
              <wp:docPr id="507" name="Group 507"/>
              <wp:cNvGraphicFramePr/>
              <a:graphic xmlns:a="http://schemas.openxmlformats.org/drawingml/2006/main">
                <a:graphicData uri="http://schemas.microsoft.com/office/word/2010/wordprocessingGroup">
                  <wpg:wgp>
                    <wpg:cNvGrpSpPr/>
                    <wpg:grpSpPr>
                      <a:xfrm>
                        <a:off x="0" y="0"/>
                        <a:ext cx="8353425" cy="5364480"/>
                        <a:chOff x="0" y="531494"/>
                        <a:chExt cx="8353425" cy="5364480"/>
                      </a:xfrm>
                    </wpg:grpSpPr>
                    <pic:pic xmlns:pic="http://schemas.openxmlformats.org/drawingml/2006/picture">
                      <pic:nvPicPr>
                        <pic:cNvPr id="509" name="Picture 509" descr="Pacific2.bmp"/>
                        <pic:cNvPicPr>
                          <a:picLocks noChangeAspect="1"/>
                        </pic:cNvPicPr>
                      </pic:nvPicPr>
                      <pic:blipFill rotWithShape="1">
                        <a:blip r:embed="rId1">
                          <a:extLst>
                            <a:ext uri="{28A0092B-C50C-407E-A947-70E740481C1C}">
                              <a14:useLocalDpi xmlns:a14="http://schemas.microsoft.com/office/drawing/2010/main" val="0"/>
                            </a:ext>
                          </a:extLst>
                        </a:blip>
                        <a:srcRect l="1" t="9013" r="-168"/>
                        <a:stretch/>
                      </pic:blipFill>
                      <pic:spPr bwMode="auto">
                        <a:xfrm>
                          <a:off x="0" y="531494"/>
                          <a:ext cx="8353425" cy="5364480"/>
                        </a:xfrm>
                        <a:prstGeom prst="rect">
                          <a:avLst/>
                        </a:prstGeom>
                        <a:noFill/>
                      </pic:spPr>
                    </pic:pic>
                    <pic:pic xmlns:pic="http://schemas.openxmlformats.org/drawingml/2006/picture">
                      <pic:nvPicPr>
                        <pic:cNvPr id="4737" name="Picture 4737" descr="Pacific2.bmp"/>
                        <pic:cNvPicPr>
                          <a:picLocks noChangeAspect="1"/>
                        </pic:cNvPicPr>
                      </pic:nvPicPr>
                      <pic:blipFill rotWithShape="1">
                        <a:blip r:embed="rId2" cstate="print">
                          <a:extLst>
                            <a:ext uri="{28A0092B-C50C-407E-A947-70E740481C1C}">
                              <a14:useLocalDpi xmlns:a14="http://schemas.microsoft.com/office/drawing/2010/main" val="0"/>
                            </a:ext>
                          </a:extLst>
                        </a:blip>
                        <a:srcRect/>
                        <a:stretch/>
                      </pic:blipFill>
                      <pic:spPr bwMode="auto">
                        <a:xfrm>
                          <a:off x="3638550" y="2695575"/>
                          <a:ext cx="247650" cy="2381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679CD8D" id="Group 507" o:spid="_x0000_s1026" style="position:absolute;margin-left:0;margin-top:398.3pt;width:657.75pt;height:422.4pt;z-index:-251534336;mso-position-horizontal:left;mso-position-horizontal-relative:page;mso-width-relative:margin;mso-height-relative:margin" coordorigin=",5314" coordsize="83534,53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uuWZYwMAADMKAAAOAAAAZHJzL2Uyb0RvYy54bWzcVl2P2ygUfV9p/wPy&#10;u8ffsWNNpsok6Wilbidqu+ozwThGtQEBSWZU9b/vBex0vqTZtk/dhzgY8OXcwzkXLt/cDT06UqWZ&#10;4IsguYgDRDkRDeP7RfDPp7dhFSBtMG9wLzhdBPdUB2+u/vzj8iRrmopO9A1VCIJwXZ/kIuiMkXUU&#10;adLRAesLISmHwVaoARt4VfuoUfgE0Yc+SuN4Fp2EaqQShGoNvWs/GFy5+G1LibltW00N6hcBYDPu&#10;qdxzZ5/R1SWu9wrLjpERBv4JFANmHBY9h1pjg9FBsWehBkaU0KI1F0QMkWhbRqjLAbJJ4ifZ3Chx&#10;kC6XfX3ayzNNQO0Tnn46LHl/3CrEmkVQxGWAOB5gk9y6yHYAPSe5r2HWjZIf5VaNHXv/ZjO+a9Vg&#10;/yEXdOeIvT8TS+8MItBZZUWWp0WACIwV2SzPq5F60sH+fP+uyJJ8nvtdId3mlc+jafXIgjxjkozU&#10;8BvpgtYzul6XFXxlDooGY5DhP8UYsPpykCHsrMSG7VjPzL1TKeyhBcWPW0a2yr88ZH4+MQ/jdlng&#10;HroaqglIdYsJA5mkF7tBWmZsJPuxD4Vtqu8E+aIRF6sO8z1dagm6Bzfa2dHj6e71EY5dz+Rb1vdI&#10;CfOZme5jhyVoIHFytoMjBYDkieheYNELei3IYaDceIcq2gMbguuOSR0gVdNhR0Fw6q/GLwIqeaeN&#10;1ZDVi3PN17RaxvE8vQ5XRbwK87jchMt5XoZlvCnzOK+SVbL6ZiEmeX3QFAjA/VqyESv0PkP7okXG&#10;YuLN50yMjtiVCkudAzT9O4jQZSmxWLUiH4BmW1gSV1jmcZJBeosgTGaVl7A2ihrSTdswUe33UIOd&#10;0O70t2iAbnwwwjH+op0e2uI1T51NAcpQ2txQMSDbAMIBrlsDHyEZn+A0xWbEhdXBBNbCG+UDEvKQ&#10;ofHbuCovs3NB24628n3/f1+lUGnh1DUgLKkY97v+W9sMVAmW+2U7ZbOsKgq4CMA5lM7mRVEW3qmT&#10;q9K8nNlxe1ClWZXAoeWNMvlyMsyPegrXPX9ssqnnpX2xZySUv1m4XK7LMM/XVXh9Da3VajPPs2SW&#10;F5tz+dMdbsTpdqcJnBzNr1dAny+gelz57DnytCa4cxduJm7meIuyV5+H79B+eNe7+h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Ls3zinhAAAACgEAAA8AAABkcnMv&#10;ZG93bnJldi54bWxMj0FLw0AQhe+C/2EZwZvdrG2ixmxKKeqpFGwF8TZNpklodjZkt0n6792e9PaG&#10;N7z3vWw5mVYM1LvGsgY1i0AQF7ZsuNLwtX9/eAbhPHKJrWXScCEHy/z2JsO0tCN/0rDzlQgh7FLU&#10;UHvfpVK6oiaDbmY74uAdbW/Qh7OvZNnjGMJNKx+jKJEGGw4NNXa0rqk47c5Gw8eI42qu3obN6bi+&#10;/Ozj7fdGkdb3d9PqFYSnyf89wxU/oEMemA72zKUTrYYwxGt4ekkSEFd7ruIYxCGoZKEWIPNM/p+Q&#10;/wIAAP//AwBQSwMECgAAAAAAAAAhAFHlCojmOQAA5jkAABQAAABkcnMvbWVkaWEvaW1hZ2UxLnBu&#10;Z4lQTkcNChoKAAAADUlIRFIAAAM6AAACQQgCAAAAAUFXVQAAAAFzUkdCAK7OHOkAAAAEZ0FNQQAA&#10;sY8L/GEFAAAAIGNIUk0AAHomAACAhAAA+gAAAIDoAAB1MAAA6mAAADqYAAAXcJy6UTwAAAAJcEhZ&#10;cwAAD5gAAA+YAV/ctUwAADlPSURBVHhe7d1LtvM4dibQqAnUPDwrzya7HoYn4Va2vKoRE6hOjcR1&#10;YynXTaUe5CFePAC2199xJAkcbIDiJ1DS/V//+9///Q//R4AAAQIECBAgkFbgJ675R4AAAQIECBAg&#10;kFbgj7SVKYwAAQIECBAgQOCvB6EUCBAgQIAAAQIEMguIa54FEyBAgAABAgRSC4hrqacnc9JXGwEC&#10;BAgQIDBGQFwT1wgQIECAAAECqQXEtdTTMyaz64UAAQIECBDILCCuiWsECBAgQIAAgdQC4lrq6cmc&#10;9NVGgAABAgQIjBEQ18Q1AgQIECBAgEBqAXEt9fSMyex6IUCAAAECBDILiGviGgECBAgQIEAgtYC4&#10;lnp6Mid9tREgQIAAAQJjBMQ1cY0AAQIECBAgkFpAXEs9PWMyu14IECBAgACBzALimrhGgAABAgQI&#10;EEgtIK6lnp7MSV9tBAgQIECAwBgBcU1cI0CAAAECBAikFhDXUk/PmMyuFwIECBAgQCCzgLgmrhEg&#10;QIAAAQIEUguIa6mnJ3PSVxsBAgQIECAwRkBcE9cIECBAgAABAqkFxLXU0zMms+uFAAECBAgQyCwg&#10;rolrBAgQIECAAIHUAuJa6unJnPTVRoAAAQIECIwRENfENQIECBAgQIBAagFxLfX0jMnseiFAgAAB&#10;AgQyC4hr4hoBAgQIECBAILWAuJZ6ejInfbURIECAAAECYwTENXGNAAECBAgQIJBaQFxLPT1jMrte&#10;CBAgQIAAgcwC4pq4RoAAAQIECBBILSCupZ6ezElfbQQIECBAgMAYAXFNXCNAgAABAgQIpBYQ11JP&#10;z5jMrhcCBAgQIEAgs4C4Jq4RIECAAAECBFILiGuppydz0lcbAQIECBAgMEZAXBPXCBAgQIAAAQKp&#10;BcS11NMzJrPrhQABAgQIEMgsIK6JawQIECBAgACB1ALiWurpyZz01UaAAAECBAiMERDXxDUCBAgQ&#10;IECAQGoBcS319IzJ7HohQIAAAQIEMguIa+IaAQIECBAgQCC1gLiWenoyJ321ESBAgAABAmMExDVx&#10;jQABAgQIECCQWkBcSz09YzK7XggQIECAAIHMAuKauEaAAAECBAgQSC3wx//5v//PPwIECBAgQIAA&#10;gbQC4pq0SoAAAQIECBBILSCupZ6etDFfYQQIECBAgMAwAXFNXCNAgAABAgQIpBYQ11JPz7DYriMC&#10;BAgQIEAgrYC4Jq4RIECAAAECBFILiGuppydtzFcYAQIECBAgMExAXBPXCBAgQIAAAQKpBcS11NMz&#10;LLbriAABAgQIEEgrIK6JawQIECBAgACB1ALiWurpSRvzFUaAAAECBAgMExDXxDUCBAgQIECAQGoB&#10;cS319AyL7ToiQIAAAQIE0gqIa+IaAQIECBAgQCC1gLiWenrSxnyFESBAgAABAsMExDVxjQABAgQI&#10;ECCQWkBcSz09w2K7jggQIECAAIG0AuKauEaAAAECBAgQSC0grqWenrQxX2EECBAgQIDAMAFxTVwj&#10;QIAAAQIECKQWENdST8+w2K4jAgQIECBAIK2AuCauESBAgAABAgRSC4hrqacnbcxXGAECBAgQIDBM&#10;QFwT1wgQIECAAAECqQXEtdTTMyy264gAAQIECBBIKyCuiWsECBAgQIAAgdQC4lrq6Ukb8xVGgAAB&#10;AgQIDBMojGv/+d9//sd//f3930/dP//T+79h49ERAQIECBAgQGAxgZK49khj71nt5z9+i2uPUxaz&#10;MxwCBAgQIECAwACBZnHt46ba8X8cMDxdECBAgAABAgRmF7gzrtlvm331qJ8AAQIECBAYINAgrhXs&#10;qz2fMmCQuiBAgAABAgQIzCtQEtd+Rvv47FplUPOBtnnXjcoJECBAgACBYQLlce3j1z/LAtyw0eqI&#10;AAECBAgQIDCdQElcO/ipjrK4ZpttunWjYAIECBAgQGCYQJu49ltuTVzzNdJhs64jAgQIECBAYCKB&#10;o7gWzF7Pow2eUnbYRKxKJUCAAAECVwX+53/+5+opjt9EoGVcKwth8bM2mRLDJECAAAECBAg8C5w8&#10;DD3NUsO21vxIm4VLgAABAgQI7ClQu7smru25boyaAAECBAgQGCZQtbs2MqvZXRu2JnREgAABAgQI&#10;pBI4/2bot+ehslqqiVQMAQIECBAgsKrAeVyLjPz0I27xAx7dffwN3kgljiFAgAABAgQILCYwOq59&#10;jGK/4WwxXMMhQIAAAQIECNQLtIlrxyHs5Q+6H+y01Y9HCwQIECBAgACBxQSGxrWHnbi22BoyHAIE&#10;CBAgQKCrQJu4Fvxo2kFW6zpIjRMgQIAAAQIE5hVoENcuZbVviW1eQZUTIECAAAECBLoKfIhrL/Hr&#10;uPtgVnv5MoEvfnadVI0TIECAAAECKwm8xrWrQaosrr3vsa1kaiwECBAgQIAAgYYC/xLXrma15zqO&#10;v0Dw/lMdl/bwGg5YUwQIECBAgACBuQSO4lqrkbz8kMdvs9/+e6t+tUOAAAECBAgQWECge1w72EUT&#10;1xZYQIZwl8Cff/u35393laFfAgQIEBgg8M+4VvMk9GOhHx+Pvhzp7xkMmGNdLCbwEtSEtsXm13AI&#10;ECDwLtArrh38YfjniCauWZQELgkcZLXH/3SpNQcTIECAwBQC/4hrkZ2wS+OJfGP0p0Fx7ZKqgzcX&#10;OM1qEtvmK8TwCRBYVeCPfn8S6jSxPUwfh83o+37vnHEUap5FIJjVbLDNMqHqJECAQFzga1yLN3F8&#10;5KU4OFF08/mhVitEO0GBeFyT2IKkDiNAgMAsAp/jWqvq3+PXwbdBZ/kltshdsxWgdgj8CkQW3u8x&#10;3AgQIEBgJYEPca3h8I5/Hfelo+afn2s4kOemgnfNTr1rNjIXSyoFF56Pry05+wZFgMDmAq9xrS3H&#10;xw2zb18vOPgyaduqalqL3zJrenFuROB4LiItzHVMfO15GDrXzKqWAAECpwL/EtdOj756wMffcvsY&#10;1y59xO1qGQ2Pd8tsiFnTVGQiatpPeG5kyB6GJpw4JREgQKBe4PVPvNe3+NJCJIdFjmleWFmDbpll&#10;bm3Pis9C237vbW3PUd9rrncCBAgkEbg5rh3/2EcSo+cy4rdMD6T6TV98FvrVcEvLwYHfUptOCRAg&#10;QKCfwD1x7T/+6+8//4I/zNZv8AUtB++XPu5dYBs/ZdtZiAw8zuhIAgQIEJhF4J64dhrU0v4AW+R+&#10;6fNDvVf/zrOw2xcseq8l7RMgQGAKgfZxLRjFgodlQ4wHhWyVr1RPfBZWfST9LrDS/BoLAQIECLwI&#10;ZI9rCf8+VTArWGr9BIJT4JF0vynQMgECBAiMFJggrmVLbJGsMHIKN+wrMgWy2oYLw5AJECCwqoC4&#10;9tefmb/6z+eHroq1PV5ca+upNQIECBBILjBHXMu2wfaYVJ8funFxRxLbjeXpmgABAgQINBQYEdce&#10;5Qa/WzDFn6JqOAGaKhawx1lM50QCBAgQmEtgXFyrTGxzsap2jMC3xDamd70QIECAAIExAt3j2ssw&#10;ivfYxnDoZV6BVX+zY94ZUTkBAgQItBJoH9eOK4vHtVYj1A4BAgQIECBAYGqBdHFtak3FEyBAgAAB&#10;AgSaC4yOaz8DONhgaz48DRIgQIAAAQIEZhdIFNdmp1Q/AQIECBAgQKCHwB93/aTZ8x5bj4FpkwAB&#10;AgQIECCwhsBfce3jvzWGZxQECBAgQIAAgdkFvsa1R4abfXjqJ0CAAAECBAjMLmB37fIfDJ19ytVP&#10;gAABAgQIzCXwOa7NNQbVEiBAgAABAgQWFhDX7K4RIECAAAECBFILfIhrC4dTQyNAgAABAgQITCfw&#10;GtemG4CCCRAgQIAAAQJrC4hrqTc/1158RkeAAAECBAhEBP4lrkVOcAwBAgQIECBAgMBIAXHN7hoB&#10;AgQIECBAILXAbX+EamQm1RcBAgQIECBAYF6BG/7E+7xYKidAgAABAgQIjBcQ11Jvfo5fEHokQIAA&#10;AQIEsgl4GCquESBAgAABAgRSC4hrqacnW7pXDwECBAgQIDBe4B/fDB3fsR4JECBAgAABAgQiAuKa&#10;3TUCBAgQIECAQGqBf/7uWiTcOYYAAQIECBAgQGCwwPRx7T//+8/BZLojQIAAAQIECIwUmDuu/WS1&#10;x7+RZPoiQIAAAQIECIwUmPiPUP1mNXFt5IrRF4EDgT//9m8v/3ARIECAQL3AfHHtN5w9xzWJrX4p&#10;aIFAjcB7UHv+LzUtO5cAAQIEpoxrj3Amrlm+BJIIHGe1x/+apFRlECBAYEaBiePaS2KbUV/NBBYQ&#10;iGQ1iW2BiTYEAgRuFPiXuDb+kWLB5898veDG5aJrAu8C4ppVQYAAgd4Cr3FtZGIreJr5Hu+kt95L&#10;RPsEjgXENSuEAAECvQU+xLXjxPaSsd5/RyMSwk4beR/2x1MKNud6g2qfwG4C4tpuM268BAiMF/gc&#10;1779mNlpZvp2wMvArsa1SL/j7fRIgMCPgLhmGRAgQKC3wFFce9lmi2SmmmMOhhpptreU9gkQ+Cgg&#10;rlkYBAgQ6C1wf1wrGGHkeWtBs04hMEzgY8QZ1nvbjsS1tp5aI0CAwLtA9LNrkf2tsmMKZkVcK0Bz&#10;Sh6BxX5RVlzLs7RUQoDAqgJ/xbXTsb3nsJdTyoJapOv32k6LOR2OAwjcKBAJNzeWV9b1koMqo3AW&#10;AQIEegj8EWk0/gXMS7kt0nUkFxa04xQCtwhEYs2MfwAgMq5bwHVKgACBNQQax7XeKFe/Utq7Hu0T&#10;uCQQiTWT/gGAg6FdInIwAQIECLwLnMe1VB8UKy4mvkFolRDoJBDPajNusD3QXsbYSVKzBAgQ2E1g&#10;prhW/Km14hN3Ww3G21Vgh7jWFVDjBAgQ2FZgmrgW/AHe94m8+vz09/ht14SBdxIQ1zrBapYAAQLL&#10;C4hrfz3BKc6Cy68PA2woIK41xNQUAQIEthK4HNfiv77R9uNiz5texS1/3DmLfJt1qzVhsP0E4omt&#10;Xw1aJkCAAIHpBE7iWnzb6Tj01Ls0iWu/ZUQiWuQpanFwrAfRwowC4tqMs6ZmAgQI3C5wFNdOM82j&#10;+tPDHge0HWrBJ8yCdR4c9j4EX2JoO63LtxaMa8s7GCABAgQIXBL4Gtfqw03xj25EBpA2rjUPphEN&#10;x0wkcJrYJhqLUgkQIEBgjMCsca1Apz6ARnbXxLWCqdntFL8ou9uMGy8BAgQqBeaLa8WPVnvEtR/9&#10;l4+vvZd36elq5XQ6fS6B59w2V+WqJUCAAIGRAnfGtZoHmkGjl/D0/nz2UoY77vTj1w4i7QfH4jAC&#10;BAgQIEBgT4F74tq3j7UdfNHy0ifh4gdH4lQkVn7ssVXjyZdm8X5n8nEpjwABAgQIJBEYFNeeR/vt&#10;25THGesgyb1QXvq2Zn2iutTC6cFJlkW8jHgyjrfpSAIECBAgQOBZoH1c+2n99BYeeW5YM0+nBRzH&#10;x2+h6mNJLwf/x3/9/effaSw7PqBm7IPP/TiQwTXojgABAgQIrC3wOa4Vp41KrPgWWqSjyEPMRzvx&#10;8b73+3xuk6wWLzuC0PuYS9G2dzHaJ0CAAAECSwq8xrV4cNlhW6Xfc9Wg87ddwDxrUVzLMxcqIUCA&#10;AIFVBf4lrgUzRJ4Heccfci/Yq4sIfFsKkXMbHpNnRUpseeZCJQQIECCwpMA/49qMSeJbILu0K/b7&#10;PDT4VPTjOmioF28q24rcYcM1m7l6CBAgQGAHgX/EtXhECB7Z0O6nx/qEdFpPcFxNion3lWcj8xTw&#10;94CDmuONOJIAAQIECBD4FSiJazW7UBH6yP2+IPEcd32pwZemLp3b9uCI513HeEh6l7x+CRAgQGAx&#10;gZKHoQ+CSOwowIrsJ0W6vvpgrqzNOEVZ+5Gz3msoYO93SsGD6X7FaJkAAQIECMwoUPJVg0sZ5SpK&#10;WVxrEh8j2WiuY67idzr+Ba1TL5olQIAAAQKrCnSPa98+7HUKerA9dnz7jwS+b73Plcbi1Z5qdz3A&#10;BltXXo0TIECAwPICJT+T+4wSTAxljge3+ef/6aDxq0HhPQj+/pfgBl4Q5JbDymah/qyrs1DfoxYI&#10;ECBAgMBKAl//CNVBOhkW195reO86MhnBbHfc3aOjW2JW204jYp2Oec6+nbrQLAECBAgQWE9gUFwr&#10;fiT6HJIG6J8Gu7bJ6a7WBkj+dvEY48v/W7keRtavLwIECBAgcLtAyZ94fyk6mDluH2qwgJd48X5W&#10;cLyZDwtS1B/2Hn9tsNWraoEAAQIEdhNoENd+yCLRZA3ZyEinOGbMdBxQjClALwQIECBAYAGBNnEt&#10;ktgWwIoMc4qsdrqD2GqyjjVa9aIdAgQIECCwtkCzuPZgWns3ZaIoFiy19+IW13oLa58AAQIEdhBo&#10;HNcOEtsOmpNuvzWfmiRhsfm4NEiAAAECBG4RENf+2hRs+y8YVlIddlXg4BsD8XEFOx326DZYj8MI&#10;ECBAgMBggctx7bS+j3fr07OmOOBqbogHlwxHXpqCl4Kfz23+QNyXSS9NjYMJECBAYD2BEXFtFrXT&#10;WPD+sxTxoWUIZMWfJHuRKR5LnOv9yKtZuaYv5xIgQIAAgVQCl38mN1L9ae6JNDL+mNM0dnrAac3F&#10;QWfAid+Kb9j1qc/xARJbJaDTCRAgQGBSgWtxbdJBBss+TWOnB5x21DD6NG9qlrj2M/BTZwcQIECA&#10;AIGVBI7i2u84J90tK5inS5+gL2j/55TmMatVgwPiWmXS2mcdli0tZxEgQIDAqgKhuPYIGasSPI/r&#10;WyD4GInKQFqlqx7tfBxR247K0B5nvVdS05pzCRAgQIDALALRuDbLeJrU+ZJNv+WV4r7aBqCGrQ3Y&#10;YCtG+7YxWdOgcwkQIECAwBQC4tr5j6413Fr7tkvUMHLVNCWuTXHRKpIAAQIEdhMQ13aMa3/+7d/e&#10;/x0/765JgfVf0TiIub9XrO+N7vbiZbwECBDYR0BcK4lr9eujVfq52s7HoPb7H08/oXi1u7afNjve&#10;5mwVCusnVwsECBAgQKCtwL5x7dLdvfl3EutzT0ELx1nt8b/2Tmw1y/f0qXTbdFhTqnMJECBAgEBD&#10;AXHtz9OA0pD75cldQeSqOSUS1x6JrezB6Psjyx50B22Ka4PBdUeAAAECYwTEtRviWk3kKj43mNV+&#10;41o8tI1ZqcFevm2a3hLKgzU7jAABAgQIHAvsGNfu2oMpTlpNTozHtXhiS3h1HcS15k+0Ew5/0pI+&#10;Ls5Jx6JsAgQI9BDIGNcufaosjnIQeuKN1BzZJHUVN1Ic16bbl/q4L/jiVjOPzm0rcLAy23akNQIE&#10;CMwr0D2uHWevjxsene6s34LOyMkrDlv1J9bEtVkS20Gd34Y/cvb19S5wuiyhESBAgMCPwB9dnxB9&#10;e+z4MXz8zkenuPZo/64nod9GV5/Djlv4HfLpffH5gNuVCi7Og5V8PPaCvpxSLxBfkPV9aYEAAQKz&#10;C/wzrhU/gizIZDfGtZfENnL+nvd+eqe09weC8bvjy2fXugb6Vv4H+TIy8FZlaCcuEJmXxzHxNm8/&#10;crqCbxdTAAECQYHPce39Dn01Xnzcx/rNKzNu3gRBPx4WicJXhSPHPxcTvztmeGpcoP2x7PioC3p0&#10;So3ASlPjUXvNSnAuAQIRgV5x7fiW//Fx52n+iIwn4TGXnu2eIsQPeKcI3iAPukjI+1LSS/HBIT9v&#10;4bxvTOYf9YwVFkxNwmGejiJhzUoiQGBGgRFx7Xmn7WH0ckcMRpAZfd93GU9HEdQ4PexjR6d3l+Nm&#10;T4u//YBWcU1o6z2Vp0vx94DelRS3HxxCcftOJECAwK/AUVx7ZzqNCGVPOYPNzjttkYehv6MLahTn&#10;qoN7TKTr/LPwPIrgDfX3I0eXtkLzU2SuMD41aUcRHELa+hVGgMBEAl/j2rcxRO7ondLJRKwHSfd0&#10;FFeFyyLyy50m3ulp/UkOeIwoeEP9FtfssfWbzfjU9KuhsuUFhlAp4HQCBIYJ/PW7a7+36kivp/f1&#10;RyORNt93Mi7lvEi1eY4puPGfUn884NKQB3RxqZ62B1+Ka79d16u2HcWqrc2edeL1z/Xl1lXXm3ER&#10;mF3g6Gdyv4WnguTxnuHK9oRm5y6uP5irytoPNv4ewfPH6/g99Xl0FmfZQrp6VmR2rrY57PhI8fk/&#10;fjeMS0cECFQKvMa14k9EndbRr+XTrh1wKnA1sc2yBRW/p4prp4ukxwHHE9Sjx1ZtxpeW3bVW5toh&#10;sLPAtbhWv6/2LRbsPAd5xl4f2vKM5beSyG31fZsw/8ZhQuqykib90bLIurK7VrYknEWAwLvA54eh&#10;xzsNBaHtNAeYmwwCp9N0ekCGUbzXcHpnFc5yTlzyqk7XlbiWfAaVR2AigdCfeK988jXpPX6iWWxY&#10;6ulkTfpQ+2AL52VEDTE1tbZAMK6tjWB0BAiMEbg/ro0Zp14uCRSHtku9jD/4+f763LvdtfFzsUaP&#10;kcS2xkiNggCBewUK49qlon1e7RJXqoMLcluq+muK8f3QGr1Nzj2Na5s4GCYBAr0FSuLa1ZpsXVwV&#10;S3t8JL2lLf5qYd5mXBXb9vhJvy2x7XwZOIEZBUJx7Wdgz18+iIyz8uNukS4cc6/AJmnGHtu9y0zv&#10;BAgQIPAjEI1rV7EyxLVLHyEv+LrrVZNWx1+Nzq36PWhn4Q3UDCt5wAzqggABAgQyC/SKa48x3xss&#10;Lt1o7y310hJZOBtdchh2sA22YdQ6IkCAAIGPAn3j2r3oBx+0ei9sogx0adfw3ilYpnfmy0ylgRAg&#10;QGBGgU3j2s/d93m25roZz1XtjFfF8WPfxUZkOAQIECCQX0Bc+5eHtlM8EhXX8l9XKiRAgAABAg0F&#10;No1rxw9Dc4a2Tb6J2XBxa4oAAQIECKwhsGNc+zhzx78olmGyL30UL0PBaiBAgAABAgSaCKwc136A&#10;gt/pi/z66+3fRRDXmqx4jRAgQIAAgekEFo9rx/NxNaWVHd9qTeTf/2s1Uu0QIECAAAECzwJ7xbWy&#10;vFV5VqsFJ661ktQOAQIECBCYS2CXuFYZuYpPb7gaTmto2JemCBAgQIAAgTwCW8S106DT6YC20xwp&#10;sm2PWiNAgAABAgQyCKwf1yIpp8cxzWc3UmTzTjVIgEATgT//9m8v/5o0qxECBDYRWDyuRSJOp2Oa&#10;L6Bgnc371SABAjUC70Ht97/UNOtcAgS2Elg5rgXzTafDmi+jYJ3N+9UgAQLFAgdZTWgrVnUigQ0F&#10;xLU/gzHo0mE9VlKwgB5da5MAgQKBSFb7OaagZacQILCbwLJxLRhu2h7WdfXES+1ahsbHCNz+s8xj&#10;hrl2L8G4JrGtvQyMjkATgTXjWjzZtD2yyZR8ayReatcyND5A4GWuB/Soi+YC8awmrjXH1yCB9QTm&#10;i2s/d7LTaYgnm7ZH/hYWKfJ0FC8HXCr1auOOTyUgrqWajrJixLUyN2cRIPBRYJq4Fn82dCnWtD34&#10;QfzbZts1d6nUtl1rbbCAuDYYvEd34loPVW0S2FYge1z7llEOJuxSrGl78HNWa7vBdrXObRf0GgOP&#10;vzlZY7xLjkJcW3JaDYrAXQLp4lowl3zzCp7e6TBx7a51vF6/nfZo14NKOyJxLe3UKIzAjAK54lo8&#10;RYlrp1YzLkc1E1hJIJ7YVhq1sRAg0EMgUVw7zR/BJ0SX2ml48GN6gkVencuyOq/24ngCBBoKBONa&#10;wx41RYDAqgIp4lpBFjmej4IGK095rufRVNsVU1lej5LaDlBrBJYUOE1sS47aoAgQaC4wa1xrEl8a&#10;NtJ8Yl4abFhq8yjZe+ybtO/boKtOtL8ZuurMGheBkQL3x7W2QeTG1rpOW/Nxda1W41cF3uf30cLL&#10;nf5qs47PI/Ae2vLUphICBPIL3BzXmqeQexvsN9/Nx9WvVC0XCLzPry2ZAkanECBAYFUBca3xn3jv&#10;tFCaxzWPRDvNVFmzL/PrA09ljM4iQIDAqgJ3xrUeESRDmz3WSo9x9ahTm8UCv1N8mtUeBxR35EQC&#10;BAgQmE5AXGu8u9bpO5ji2nSX1tWCH1MczGri2lVexxMgQGBqAXGtS1xr/qhRXJv6MgsWfymuSWxB&#10;VYcRIEBgAQFxrVdca7vNJq4tcLFFhhDfXRPXIp6OIUCAwBoCt8W1HvkjZ5tNFkqPoTUpTCNtBZaP&#10;a23fxrTF1xoBAgTSCtwT13qEj+RtVq6AHqOrLMnpPQTWjmvPy7iHnjYJECCwqsANca1H8piozeKV&#10;1HyMxZU4sZ/AenHt27rtZ6hlAgQIrCcwOq41zxyTNliwkpqPtKAGp/QWiMe13pW0av9g3bbqQjsE&#10;CBBYXqBXXHt5jf51bJ45pm7w0vLqMdJLBTh4jEAwsY0ppr4Xca3eUAsECBBoH9eOn330yByztxlc&#10;hZ2GGezdYcMEInFtWDGVHR0v2srGnU6AAIF9BBrHtcirc6fYMXuzp2uu3wBPu3bAYIHjxDa4mJru&#10;Ii8INe07lwABApsIDI1r/QLHMi1/W3ZdB7jJWp9umO+hbYoh/K7V52o/LuAphqNIAgQIZBBoHNd+&#10;htQ1WGi8k0CGtaiGSQUea/K3+Ocl+nFEH/PcpGNXNgECBMYIiGt9/6pBp3TVvNkxq00vSwp44rnk&#10;tBoUAQKpBBrHteYxQoNjBFItSsXMJXC6ROcajmoJECCQUKBlXDt91XZAZoGEq1NJUwicruopRqFI&#10;AgQIZBZoFtdOX7IdkFwg8zJVW3IBz0OTT5DyCBCYXaBNXEseRJQXEZh9Kav/RoGDBXZjVbomQIDA&#10;MgLimq8a/ENgmTVtILcI+KmOW9h1SoDAJgIN4lpk58Yx+QU2WfFrDPPltzOSDMovdCSZCGUQILCe&#10;gLhmd83u2v+b68I+/WGzuYajWgIECBA4FRDXxLV/CpwuFwdkEBDXMsyCGggQIDBSoDau5X/Gp8JL&#10;AiMXn77KBDxzLHNzFgECBOYVqIprl3KAg2cRmHc1b1K5uLbwRL//odjHf1l4yIZGgEBE4HJcmyVz&#10;qLNSILJ6HHOXwH/8199zftvgLpA1+v2W1SS2NebXKAjUCETjWuW93+mTCtSsLef2EHhZSD260OYt&#10;AsdZTWK7ZVJ0SiCPwElcmzRkKLu5QJ4lu3kl4tqSCyCS1SS2JafeoAgEBT7HteY3ew2uIRBcVQ7r&#10;JyCu9bO9sWVx7UZ8XROYQuA1rq2RKoyin8AUy1qRBOYSENfmmi/VEhgv8I+41u/uruX1BMYv0xl7&#10;9P3NGWftrprjcc23RO+aI/0SuFfgj/XChBENELh31U7R+/MsTFGwIm8UENduxNc1gSkExDV/1aBQ&#10;YIr1fVeR74n5rkr0O4VAPK5NMRxFEiDQXEBcKwwrA3awknfRfC2u1ODHuYsM0K+pRZTWO0ZcW29O&#10;jYhAWwFxTVwrF2i7FhdrrSyx+cTbYssgOBxxLQjlMALbCohr5WEl+e7XgPK2vWwiA6+Maz+nR3px&#10;zDICkcS2zGANhACBqwLimrhWJXB1we1z/EFcPkDws2r7rJD3kZ4mtp1xjJ3A5gLiWlVYGbCDlbyL&#10;za+f4+EXJDbfUdh8RfkT75svAMMn8E1AXBPXagVcXfHdstPNM3HNcnoI+JNTVgIBAs8C4lptWEm+&#10;+zWgPFdU8R7btw+onaY65gQIECCwlYC4Jq41ENjqmikb7GlufmnWr+yWOTuLAAECSwqIaw3Cyumd&#10;eIcDlrw82g7qdBk8dyeu1eO/fw6svk0tECBA4BYBcU1cayZwywqeq9OyxDbXGDNUe/wVywwVqqFM&#10;4OPMljXlLAJzCYhrzcLK6Z14kwPmugDGV3u8DMbXs16Ppz+H4a+kzzjpIviMs6bmhgLimrjWXqDh&#10;Al2yKYmt37RGspq41s+/U8uRae3UtWYJJBEQ19qHlU120WSOmmu44CfZarrb59zIfd1vZEy3HoLT&#10;Ot24FEwgLiCuiWtdBOJLcOcjy/5Q1c5ip2MP3tdtsJ1K5jnAnOaZC5XcKCCudQkrNtj8ycsbr+pt&#10;u47f18W1iRaJaZ1ospTaT0BcE9d6CfRbtVom8FHAfX3JhWFal5xWg7oqIK71Cis22K6uRccTqBRw&#10;X68EzHm6ac05L6oaLCCuiWu9BAYvZd0R+BGI39pxzSIQn1PPuGeZU3UWCIhrvcKK3bWC5egUApUC&#10;8Vt7ZUdOHyZgTodR6yizgLgmrvUSyLzu1baqQPDWvurwlxxXcE5trS05+wb1KyCu9Qordtd8OdQL&#10;zS0Ckbv7LYXptFggMqfiWjGvE6cQENfEtY4CU1wDilxP4ODuvt5gNxnRaWLbxMEwtxUQ1zqGFRts&#10;215XBp5B4P0Gn6EqNRQLSOHFdE5cQEBcE9f6CixwkRgCAQJ5BJ5DW56qVEKgt4C41jes2GDzCbbe&#10;17D2CRAgQGB5AXFNXOsusPxVZIAECBAgQKCrgLjWPazYYLPB1vUa1jgBAgQILC8grolrgwSWv5YM&#10;kAABAgQIdBIQ1waFFXts9tg6XcOaJUCAAIHlBcQ1cW2owPJXlAESIECAAIHmAuLa0LBij+0h0Hwd&#10;a5AAAQIECCwsIK6Ja/cILHxRGRoBAgQIEGgrIK7dE1Zss9lja3sla40AAQIEFhYQ18S1OwUWvrQM&#10;jQABAgQItBIQ1+4MK/bYWq1j7RAgQIAAgYUFxDVx7U6BhS8tQyNAgAABAq0ExLU7w4rdtVbrWDsE&#10;CBAgQGBhAXFNXLtZYOGry9AIECBAgEATAXHt5rBig63JOtYIAQIECBBYWEBcE9duFlj46jI0AgQI&#10;ECDQREBcuzms2F3zA2xNrmSNECBAgMDCAuKauHa/wMIXmKERIECAAIF6AXHt/rBig80GW/2VrAUC&#10;BAgQWFhAXBPXUggsfI0ZGgECBAgQqBQQ11KEFRtsNtgqr2SnEyBAgMDCAuKauJZFYOHLzNAIECBA&#10;gECNgLiWJazYYLPBVnMlO5cAAQIEFhYQ18S1RAILX2mGRoAAAQIEigXEtURhxQZb8Tp2IgECBAgQ&#10;WFhAXBPXEgksfKUZGgECBAgQKBYQ1xKFlc1314oXsRMJECBAgMDaAuKauJZFYO0rzegIECBAgECx&#10;gLiWJaxsvrXma6HF17ATCRAgQGB5AXFNXMsisPzFZoAECBAgQKBMQFzLElbsrpWtYGcRIECAAIHl&#10;BcQ1cS2FwPJXmgESIECAAIFiAXEtRVixtVa8gp1IgAABAgSWFxDXxLUUAstfaQZIgAABAgSKBcS1&#10;FGHF7lrxCnYiAQIECBBYXkBcE9dSCCx/pRkgAQIECBAoFhDXUoSVzXfXipevEwkQIECAwA4C4pq4&#10;dr/ADleaMRIgQIAAgWIBce3+sGJrrXj5OpEAAQIECOwgIK6JazcL7HCZGSMBAgQIEKgRENduDiub&#10;b635U6E1V69zCRAgQGATAXFNXLtTYJPLzDAJECBAgECNgLh2Z1ixtVazdp1LgAABAgQ2ERDXxLU7&#10;BTa5zAyTAAECBAjUCIhrd4YVu2s1a9e5BAgQIEBgEwFxTVy7U2CTy8wwCRAgQIBAjYC4dmdY2Xx3&#10;rWbhOpcAAQIECOwjIK6Ja7cJ7HOZGSkBAgQIEKgRENduCyubb635xbWa69a5BAgQILCVgLgmrt0m&#10;sNWVZrAECBAgQKBYYLu49ixlf+tGgeIl60QCBAgQILCbwFJxrWzybowsO3ddNlnOIkCAAAECGwos&#10;EtfqZ27n5DR+7PXzpQUCBAgQILCPwPRxreFUjU8te/bYcMo0RYAAAQIEdhCYO671mKE9I9TIUfeY&#10;NW0SIECAAIGFBSaOa11nZWR82aqvrrOmcQIECBAgsKRA3rj24P4YZYbNxFZBasxgh82djggQIECA&#10;wDICieJaTtMxIWaTXnJOsaoIECBAgEBygSxxLTPTJlmq9zAzT7HaCBAgQIBAZoEUcS0z0MEz2d75&#10;ZrH288+yCgkQIECAQE6B++NaTpeXqhZLTuOHM8UsK5IAAQIECOQUuDmu5UR5r2p8vlmsx1kmWp0E&#10;CBAgQCChgLj21/dPT/8tFp4GD+eU1wEECBAgQIDAgcCdcW2uiRkccZbpbq5ZVi0BAgQIEEgoIK6d&#10;b639TtsyEWrYQBKueCURIECAAIHpBG6La9NJlYW2srOGxaneHc07yyonQIAAAQJ5BMS1C7trBdnr&#10;eaZ7Z6Ns7edZ5SohQIAAAQJTC9wT16YmexQfyUY7Z7UfnwVm2RAIECBAgEAGgVBceyk0klQOjskw&#10;7PoaLg2wUmzS0+uRtdBJ4LGiOjWuWQIECBBoLnAe1wq6fIkXBS3kP+VjhPpW9qR5q6bs/DO4c4W/&#10;M7szgrETIEBgIoGTuDbRSAaX+h5lZLVnk8HTobtLAmbqEpeDCRAgcLvA17h2e2X5C4hsItZsUE19&#10;bv7p27xCiW3zBWD4BAjMJfA5rs01hruqPY1rH3fgpg5h8eLvmhT9BgVOV2+wHYcRIECAwACBD3Ft&#10;QK/LdHGwRfHtaWk88Ux95DJTvPBAJLaFJ9fQCBBYTOBf4tpiYxswnG8f2T74ZNvUISxY/AB5XVQK&#10;fJvKymadToAAAQI9BP7o0ag23/ctfn86IZh45j3M7E8hcLzAphiCIgkQILCPgLhW8lcNTtfH+67b&#10;vPHrauWnOA64XSAyp7cXqQACBAgQ+BUQ17rEtfcVFrlBrnGMqyu/QGSl5R+FCgkQILCPgLgmrv31&#10;A/et/u1z5Uw90sh0Tz1AxRMgQGAxAXFNXGuW1X5CwGKXx8LDOU1sC4/d0AgQIDCdgLgmrolrg9ZA&#10;tlcHiS3bjKiHAAEC3wTEtUG36tNb4xoHuNLmEvD90LnmS7UECGwrIK4Nims/K2yNQHYwim2votkH&#10;bk5nn0H1EyCwvIC4Ni6uvS+mxQLc8lfLwgP0q7kLT66hESCwgIC4dmdc+11Aa+S2Ba6HnYfwcRHu&#10;DGLsBAgQyCMgrqWIaws8Ks2zplVSLHDwx9OK23QiAQIECNQLiGviWptvhtavRS3cLnAQ197/UMft&#10;1SqAAAEC+wiIa1ni2uwbbPtcMwuP9GNce/8DuAsLGBoBAgRyCohr4lqD3bWci1tVBQKnH6MsaNMp&#10;BAgQIFApIK6Ja+JaojVQeT03Od2PsTVh1AgBAgQaCohriW7VpxsbOQ9ouBw1lUHAz7BlmAU1ECBA&#10;4FlAXBPXanfXXFGLCdhdW2xCDYcAgQUExDVxTVxLtAYyvKZUxjXfIc0wiWogQGAxAXEt0a0657PO&#10;ypv3YhfMDsM5XYcHCM/n7mBljAQIEBgjIK4lims/U356p8x2wJhlqpeRApE19q0ev/oxcqb0RYDA&#10;PgLiWq64Nldi2+c62Wqkkbj2c8yziT85utUKMVgCBMYLiGvp4tosiW38YtXjGIFgXIscNqZgvRAg&#10;QGB5AXEtY1xLktiWX/0G+FEgksPix0AmQIAAgXoBcS1pXHtMbfym2PzI+rWlhUkF2q6lSRGUTYAA&#10;gVQC4lrquNYqsf2uufidONUyVcxIgfgiiRw5snJ9ESBAYFUBcS17XKtPbC9r1y121Yu51bgiKyR+&#10;TKuqtEOAAIGdBcS1CeLa8wKN3yYfR74v7kgLO18Sxh5ZIcFjYBIgQIBAEwFxbbK4dvWxZkFca7Kw&#10;NDKvQDCK+f3keadY5QQITCcgrs0a14K57eOKdKOd7kIdWXB9XBtZrb4IECCwg4C4Nn1cO3hUeryC&#10;P96Vd1j0xnggIKtZHgQIEEgoIK4tFdeKV9i3D7oVN+jEiQTqI5r1M9F0K5UAgRkFxDVxjcDWAk2y&#10;2oyvfWomQIDARALi2ta36olWqlI7CYhrnWA1S4AAgYYC4pq4RmBrAXGt4euppggQINBJQFzb+lbd&#10;aVVpdjqBytA23XgVTIAAgbkExDVxjQCBfwqU5ba5XvVUS4AAgekExDW3agIEXgWuhrbpXvgUTIAA&#10;gbkExDW3agIEPgjEE9tcL3mqJUCAwIwC4ppbNQECnwWCiW3GFz41EyBAYC4Bcc2tmgCBrwKniW2u&#10;1zvVEiBAYFIBcc2tmgCBwrg26auesgkQIDCdgLjmVh19EDbd4lZwvcDx7lp9+1ogQIAAgYiAuLZ4&#10;XPu93UZWw+8x327SlxpxcE6BS3/f8yCu5RydqggQILCkgLi2S1yLJzB36CUv9cegnic3MkyLIaLk&#10;GAIECPQWENd2j2svey0efvW+5G5s/2VyTyuR1U6JHECAAIExAuKauPbn6bf/yp6ojlnBegkKvM/y&#10;8YmyWhDWYQQIEBggIK6Ja+La4mvg5RnoS/j+mMVtsg548dUFAQIE4gLi2uK36vjOWeTI+MJyZB6B&#10;g48tfns8amstz/SphAABAj8C4pq4Zndt5TUQSeEfv38Q/26KV1ICBAgQ6C0grq18q/72FOzqLdxn&#10;13pfhz3ar5zlj6f3qFObBAgQIHAqIK6Ja3bXFlwDxVnt58TnV42rXyY9fcVxAAECBAgUCIhrC96q&#10;X9ZBzZ376s90FSxBp7QVqJ/utvVojQABAgTqBcQ1cS26u1a/2rTQW6A+q73srvUuWPsECBAgEBEQ&#10;18Q1cW2RNSCrRV7yHEOAAIEZBcS1RW7Vx4uv/kY+4+Lereb6Wba1ttuaMV4CBGYRENfEtdDu2iwL&#10;ets6m2Q1cW3b9WPgBAgkFxDXtohrP6uw5naefBErr2ZyfZvE+iFAgEB+AXFtl7hWk9jyr+PNK6yP&#10;a5sDGj4BAgSSC4hrG8W14sSWfBFvXp6stvkCMHwCBHYQENf2imuPNX3pBr/DZTDvGC9NpT9UMO9E&#10;q5wAgc0FxLUd49qlxLb5FZJ5+PVZzXcLMs+v2ggQIPArIK6JayffDHW15BRoktXEtZyTqyoCBAi8&#10;CIhrm8a1+AabayahgKyWcFKURIAAgX4C4tq+cS2Y2PotPi0XC4hrxXROJECAwIwC4pq4dvQwdMY1&#10;vXzNrbKaJ6HLLxUDJEBgGQFxTVwT12ZaAw2zmri2zOu4gRAgsLyAuDbTrbrHcjy4/ffoTpuVAg3j&#10;WmUlTidAgACBYQLi2u5x7Wep+TmuYddbfUet4lp9JVogQIAAgWEC4pq4RmAmgSZxbdjri44IECBA&#10;oImAuDbTrbrJlGtkXgFZbd65UzkBAgRqBMQ1cY3AHAI1Wa3mNcK5BAgQIHC7gLg2x6369oWigHsF&#10;ZLV7/fVOgACBewXENXGNQHYBWe3eV0m9EyBA4HYBcS37rfr2JaKAewVqsppfVrt37vROgACBVgLi&#10;mrhGIK9AZVYT11q9UGqHAAEC9wqIa3lv1feuDL3fK1Af1GS1e2dQ7wQIEGgoIK6JawRyCTQJao9G&#10;Gr5SaIoAAQIEbhQQ13Ldqm9cCrrOINAwq4lrGSZUDQQIEGgiIK6JawRSCLQNanbXmrw+aoQAAQJJ&#10;BMS1FLfqJKtBGbcI9Ahq4totU6lTAgQIdBIQ18Q1AncK9MtqHoZ2etHULAECBMYLiGt33qrHz7ce&#10;swmIa9lmRD0ECBBIKCCuiWsE7hToF9cSvtwoiQABAgTKBMS1O2/VZXPmrMUEeiS2xYgMhwABApsL&#10;iGviGoGbBcS1zV+FDZ8AAQKnAuLazbfq0xlywPICzePa8mIGSIAAgd0ExDVxjcD9Ag0T224vYcZL&#10;gACBHQTEtftv1TusM2M8FhDXrBACBAgQOBAQ18Q1AikEmiQ2L3YECBAgsKSAuJbiVr3k2jKoSwLi&#10;2iUuBxMgQGArAXFNXCOQS6A4t231ymWwBAgQ2EpAXMt1q95q8RlsXOA0w8WbciQBAgQITCcgrolr&#10;BFILPP+x9oPQNt1Lj4IJECBAIC4grqW+Vccn0pFLCvzms+fRvYe2JcduUAQIECDwKyCuiWsEkgo8&#10;xzKvWQQIECCws4C4lvRWvfOiNHb7Z9YAAQIECDwLiGviGoFcAh8/oOZliwABAgR2FhDXct2qd16L&#10;xv4QENesBAIECBB4ERDXxDUC6QReEpuXLQIECBDYXEBcS3er3nxFGv6vwMevhfIhQIAAgQ0FxDVx&#10;jQABAgQIECCQWkBcSz09G76BMGQCBAgQIEDAZ9fkMwIECBAgQIDATAJ212aaLe82CBAgQIAAgQ0F&#10;xDVxjQABAgQIECCQWkBcSz09G76BMGQCBAgQIEDAZ9fkMwIECBAgQIDATAJ212aaLe82CBAgQIAA&#10;gQ0FxDVxjQABAgQIECCQWkBcSz09G76BMGQCBAgQIEDAZ9fkMwIECBAgQIDATAJ212aaLe82CBAg&#10;QIAAgQ0FxDVxjQABAgQIECCQWkBcSz09G76BMGQCBAgQIEDAZ9fkMwIECBAgQIDATAJ212aaLe82&#10;CBAgQIAAgQ0FxDVxjQABAgQIECCQWkBcSz09G76BMGQCBAgQIEDAZ9fkMwIECBAgQIDATAJ212aa&#10;Le82CBAgQIAAgQ0FxDVxjQABAgQIECCQWkBcSz09G76BMGQCBAgQIEDAZ9fkMwIECBAgQIDATAJ2&#10;12aaLe82CBAgQIAAgQ0FxDVxjQABAgQIECCQWkBcSz09G76BMGQCBAgQIEDAZ9fkMwIECBAgQIDA&#10;TAJ212aaLe82CBAgQIAAgQ0FxDVxjQABAgQIECCQWkBcSz09G76BMGQCBAgQIEDAZ9fkMwIECBAg&#10;QIDATAJ212aaLe82CBAgQIAAgQ0FxDVxjQABAgQIECCQWkBcSz09G76BMGQCBAgQIEDAZ9fkMwIE&#10;CBAgQIDATAJ212aaLe82CBAgQIAAgQ0FxDVxjQABAgQIECCQWkBcSz09G76BMGQCBAgQIEDAZ9fk&#10;MwIECBAgQIDATAJ212aaLe82CBAgQIAAgQ0FxDVxjQABAgQIECCQWkBcSz09G76BMGQCBAgQIEDA&#10;Z9fkMwIECBAgQIDATAJ212aaLe82CBAgQIAAgQ0FxDVxjQABAgQIECCQWkBcSz09G76BMGQCBAgQ&#10;IEDAZ9fkMwIECBAgQIDATAJ212aaLe82CBAgQIAAgQ0FxDVxjQABAgQIECCQWkBcSz09G76BMGQC&#10;BAgQIEDAZ9fkMwIECBAgQIDATAJ212aaLe82CBAgQIAAgQ0FxDVxjQABAgQIECCQWkBcSz09G76B&#10;MGQCBAgQIEDAZ9fkMwIECBAgQIDATAJ212aaLe82CBAgQIAAgQ0FxDVxjQABAgQIECCQWkBcSz09&#10;G76BMGQCBAgQIEDAZ9fkMwIECBAgQIDATAJ212aaLe82CBAgQIAAgQ0FxDVxjQABAgQIECCQWkBc&#10;Sz09G76BMGQCBAgQIEDAZ9fkMwIECBAgQIDATAJ212aaLe82CBAgQIAAgQ0FxDVxjQABAgQIECCQ&#10;WkBcSz09G76BMGQCBAgQIEDAZ9fkMwIECBAgQIDATAJ212aaLe82CBAgQIAAgQ0FxDVxjQABAgQI&#10;ECCQWkBcSz09G76BMGQCBAgQIEDAZ9fkMwIECBAgQIDATAJ212aaLe82CBAgQIAAgQ0FxDVxjQAB&#10;AgQIECCQWkBcSz09G76BMGQCBAgQIEDAZ9fkMwIECBAgQIDATAJ212aaLe82CBAgQIAAgQ0FxDVx&#10;jQABAgQIECCQWkBcSz09G76BMGQCBAgQIEDAZ9fkMwIECBAgQIDATAJ212aaLe82CBAgQIAAgQ0F&#10;xDVxjQABAgQIECCQWkBcSz09G76BMGQCBAgQIEDAZ9fkMwIECBAgQIDATAJ212aaLe82CBAgQIAA&#10;gQ0FxDVxjQABAgQIECCQWkBcSz09G76BMGQCBAgQIEDAZ9fkMwIECBAgQIDATAJ212aaLe82CBAg&#10;QIAAgQ0FxDVxjQABAgQIECCQWkBcSz09G76BMGQCBAgQIEDgReD/Axw5yIZdPY+xAAAAAElFTkSu&#10;QmCCUEsDBAoAAAAAAAAAIQCxVz8T6wAAAOsAAAAUAAAAZHJzL21lZGlhL2ltYWdlMi5wbmeJUE5H&#10;DQoaCgAAAA1JSERSAAAAGQAAABgIAwAAAU9slmIAAAABc1JHQgCuzhzpAAAABGdBTUEAALGPC/xh&#10;BQAAAAlQTFRFy9zhz4cpAAAAc9aa8gAAAAN0Uk5T//8A18oNQQAAAAlwSFlzAAAh1QAAIdUBBJy0&#10;nQAAAFxJREFUKFO1jEEOwDAIw+D/n95IDVrUHSZN9YXELQQkU+S0JPZ0blvax049zIvKVG/+8zO2&#10;pUJbmUa2ouw7qxF/oaP7KbRALXCAFKgGW2AabIEBJCALzIN3e5CIC/UNALYhs/5FAAAAAElFTkSu&#10;QmCCUEsBAi0AFAAGAAgAAAAhALGCZ7YKAQAAEwIAABMAAAAAAAAAAAAAAAAAAAAAAFtDb250ZW50&#10;X1R5cGVzXS54bWxQSwECLQAUAAYACAAAACEAOP0h/9YAAACUAQAACwAAAAAAAAAAAAAAAAA7AQAA&#10;X3JlbHMvLnJlbHNQSwECLQAUAAYACAAAACEA+rrlmWMDAAAzCgAADgAAAAAAAAAAAAAAAAA6AgAA&#10;ZHJzL2Uyb0RvYy54bWxQSwECLQAUAAYACAAAACEALmzwAMUAAAClAQAAGQAAAAAAAAAAAAAAAADJ&#10;BQAAZHJzL19yZWxzL2Uyb0RvYy54bWwucmVsc1BLAQItABQABgAIAAAAIQC7N84p4QAAAAoBAAAP&#10;AAAAAAAAAAAAAAAAAMUGAABkcnMvZG93bnJldi54bWxQSwECLQAKAAAAAAAAACEAUeUKiOY5AADm&#10;OQAAFAAAAAAAAAAAAAAAAADTBwAAZHJzL21lZGlhL2ltYWdlMS5wbmdQSwECLQAKAAAAAAAAACEA&#10;sVc/E+sAAADrAAAAFAAAAAAAAAAAAAAAAADrQQAAZHJzL21lZGlhL2ltYWdlMi5wbmdQSwUGAAAA&#10;AAcABwC+AQAACE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9" o:spid="_x0000_s1027" type="#_x0000_t75" alt="Pacific2.bmp" style="position:absolute;top:5314;width:83534;height:53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7HBwwAAANwAAAAPAAAAZHJzL2Rvd25yZXYueG1sRI9LiwIx&#10;EITvgv8htOBNM7r4Go0iC+KCe/EBXttJOxmcdIZJ1PHfb4QFj0VVfUUtVo0txYNqXzhWMOgnIIgz&#10;pwvOFZyOm94UhA/IGkvHpOBFHlbLdmuBqXZP3tPjEHIRIexTVGBCqFIpfWbIou+7ijh6V1dbDFHW&#10;udQ1PiPclnKYJGNpseC4YLCib0PZ7XC3Cq4T93vc3s+b6kbbr5HRFzvLd0p1O816DiJQEz7h//aP&#10;VjBKZvA+E4+AXP4BAAD//wMAUEsBAi0AFAAGAAgAAAAhANvh9svuAAAAhQEAABMAAAAAAAAAAAAA&#10;AAAAAAAAAFtDb250ZW50X1R5cGVzXS54bWxQSwECLQAUAAYACAAAACEAWvQsW78AAAAVAQAACwAA&#10;AAAAAAAAAAAAAAAfAQAAX3JlbHMvLnJlbHNQSwECLQAUAAYACAAAACEACcexwcMAAADcAAAADwAA&#10;AAAAAAAAAAAAAAAHAgAAZHJzL2Rvd25yZXYueG1sUEsFBgAAAAADAAMAtwAAAPcCAAAAAA==&#10;">
                <v:imagedata r:id="rId3" o:title="Pacific2" croptop="5907f" cropleft="1f" cropright="-110f"/>
                <v:path arrowok="t"/>
              </v:shape>
              <v:shape id="Picture 4737" o:spid="_x0000_s1028" type="#_x0000_t75" alt="Pacific2.bmp" style="position:absolute;left:36385;top:26955;width:2477;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xjwwAAAN0AAAAPAAAAZHJzL2Rvd25yZXYueG1sRI/disIw&#10;FITvF/YdwhG8W1N/2JZqlLIgeKerfYBDc2yKzUlpsrX79kYQvBxm5htmsxttKwbqfeNYwXyWgCCu&#10;nG64VlBe9l8ZCB+QNbaOScE/edhtPz82mGt3518azqEWEcI+RwUmhC6X0leGLPqZ64ijd3W9xRBl&#10;X0vd4z3CbSsXSfItLTYcFwx29GOoup3/rILUYJnhKiSnRg+L421Z7LOxUGo6GYs1iEBjeIdf7YNW&#10;sEqXKTzfxCcgtw8AAAD//wMAUEsBAi0AFAAGAAgAAAAhANvh9svuAAAAhQEAABMAAAAAAAAAAAAA&#10;AAAAAAAAAFtDb250ZW50X1R5cGVzXS54bWxQSwECLQAUAAYACAAAACEAWvQsW78AAAAVAQAACwAA&#10;AAAAAAAAAAAAAAAfAQAAX3JlbHMvLnJlbHNQSwECLQAUAAYACAAAACEA18+MY8MAAADdAAAADwAA&#10;AAAAAAAAAAAAAAAHAgAAZHJzL2Rvd25yZXYueG1sUEsFBgAAAAADAAMAtwAAAPcCAAAAAA==&#10;">
                <v:imagedata r:id="rId4" o:title="Pacific2"/>
                <v:path arrowok="t"/>
              </v:shape>
              <w10:wrap anchorx="page"/>
            </v:group>
          </w:pict>
        </mc:Fallback>
      </mc:AlternateContent>
    </w:r>
    <w:r>
      <w:rPr>
        <w:noProof/>
        <w:lang w:val="en-AU"/>
      </w:rPr>
      <mc:AlternateContent>
        <mc:Choice Requires="wps">
          <w:drawing>
            <wp:anchor distT="0" distB="0" distL="114300" distR="114300" simplePos="0" relativeHeight="251780096" behindDoc="0" locked="0" layoutInCell="1" allowOverlap="1" wp14:anchorId="3C9DE857" wp14:editId="49953302">
              <wp:simplePos x="0" y="0"/>
              <wp:positionH relativeFrom="page">
                <wp:posOffset>0</wp:posOffset>
              </wp:positionH>
              <wp:positionV relativeFrom="paragraph">
                <wp:posOffset>4639310</wp:posOffset>
              </wp:positionV>
              <wp:extent cx="7668260" cy="493395"/>
              <wp:effectExtent l="0" t="0" r="8890" b="1905"/>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68260" cy="493395"/>
                      </a:xfrm>
                      <a:prstGeom prst="rect">
                        <a:avLst/>
                      </a:prstGeom>
                      <a:solidFill>
                        <a:srgbClr val="0E606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0221353" id="Rectangle 39" o:spid="_x0000_s1026" style="position:absolute;margin-left:0;margin-top:365.3pt;width:603.8pt;height:38.85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QcgZgIAAMwEAAAOAAAAZHJzL2Uyb0RvYy54bWysVN9P2zAQfp+0/8Hy+0hbSqERKapgTJMq&#10;qAYTz1fHTqI5Ps92m7K/nrOTQsf2NO3FuvN9uR+fv8vl1b7VbCedb9AUfHwy4kwagWVjqoJ/f7z9&#10;dMGZD2BK0GhkwZ+l51eLjx8uO5vLCdaoS+kYJTE+72zB6xBsnmVe1LIFf4JWGgoqdC0Ecl2VlQ46&#10;yt7qbDIazbIOXWkdCuk93d70Qb5I+ZWSItwr5WVguuDUW0inS+cmntniEvLKga0bMbQB/9BFC42h&#10;oq+pbiAA27rmj1RtIxx6VOFEYJuhUo2QaQaaZjx6N81DDVamWYgcb19p8v8vrbjbrR1ryoKfzjkz&#10;0NIbfSPWwFRaMrojgjrrc8I92LWLI3q7QvHDUyD7LRIdP2D2yrURSwOyfWL7+ZVtuQ9M0OX5bHYx&#10;mdGjCIpN56en87NYLYP88LV1PnyR2LJoFNxRX4lk2K186KEHSGoMdVPeNlonx1Wba+3YDuLLf56N&#10;qFL/iT+GacO6gk/OpqPYCJAClYZAZmuJE28qzkBXJG0RXKptMFagTJDH2jfg675GSjuU0CbGZdLf&#10;0OobO9HaYPlMvDvsBemtuG0o2wp8WIMjBVI3tFXhng6lkVrEweKsRvfrb/cRT8KgKGcdKZra/7kF&#10;JznTXw1JZj6eTuMKJGd6dj4hxx1HNscRs22vkagb0/5akcyID/pgKoftEy3fMlalEBhBtXuiBuc6&#10;9JtG6yvkcplgJHsLYWUerIjJDzw+7p/A2eGhA0nkDg/qh/zde/fY+KXB5TagapIY3ngdlEkrk+Q0&#10;rHfcyWM/od5+QosXAAAA//8DAFBLAwQUAAYACAAAACEAnvSV0dsAAAAJAQAADwAAAGRycy9kb3du&#10;cmV2LnhtbEyPwW7CMBBE75X6D9ZW6q3YgAohjYMqpH4AFKnXJd7GEfE6tR1I/x5zam+zmtXMm2o7&#10;uV5cKMTOs4b5TIEgbrzpuNVw/Px4KUDEhGyw90wafinCtn58qLA0/sp7uhxSK3IIxxI12JSGUsrY&#10;WHIYZ34gzt63Dw5TPkMrTcBrDne9XCi1kg47zg0WB9pZas6H0Wmg49y84i6kL1SjbM92g/Zno/Xz&#10;0/T+BiLRlP6e4Y6f0aHOTCc/somi15CHJA3rpVqBuNsLtc7qpKFQxRJkXcn/C+obAAAA//8DAFBL&#10;AQItABQABgAIAAAAIQC2gziS/gAAAOEBAAATAAAAAAAAAAAAAAAAAAAAAABbQ29udGVudF9UeXBl&#10;c10ueG1sUEsBAi0AFAAGAAgAAAAhADj9If/WAAAAlAEAAAsAAAAAAAAAAAAAAAAALwEAAF9yZWxz&#10;Ly5yZWxzUEsBAi0AFAAGAAgAAAAhAEnZByBmAgAAzAQAAA4AAAAAAAAAAAAAAAAALgIAAGRycy9l&#10;Mm9Eb2MueG1sUEsBAi0AFAAGAAgAAAAhAJ70ldHbAAAACQEAAA8AAAAAAAAAAAAAAAAAwAQAAGRy&#10;cy9kb3ducmV2LnhtbFBLBQYAAAAABAAEAPMAAADIBQAAAAA=&#10;" fillcolor="#0e6060" stroked="f" strokeweight="2pt">
              <v:path arrowok="t"/>
              <w10:wrap anchorx="page"/>
            </v:rect>
          </w:pict>
        </mc:Fallback>
      </mc:AlternateContent>
    </w:r>
    <w:r w:rsidRPr="008A1F79">
      <w:rPr>
        <w:noProof/>
        <w:sz w:val="2"/>
        <w:lang w:val="en-AU"/>
      </w:rPr>
      <w:drawing>
        <wp:anchor distT="0" distB="0" distL="114300" distR="114300" simplePos="0" relativeHeight="251778048" behindDoc="0" locked="0" layoutInCell="1" allowOverlap="1" wp14:anchorId="2701C922" wp14:editId="1EA19DC2">
          <wp:simplePos x="0" y="0"/>
          <wp:positionH relativeFrom="margin">
            <wp:posOffset>-874024</wp:posOffset>
          </wp:positionH>
          <wp:positionV relativeFrom="paragraph">
            <wp:posOffset>111760</wp:posOffset>
          </wp:positionV>
          <wp:extent cx="7562850" cy="431165"/>
          <wp:effectExtent l="0" t="0" r="0" b="6985"/>
          <wp:wrapTight wrapText="bothSides">
            <wp:wrapPolygon edited="0">
              <wp:start x="0" y="0"/>
              <wp:lineTo x="0" y="20996"/>
              <wp:lineTo x="21546" y="20996"/>
              <wp:lineTo x="21546" y="0"/>
              <wp:lineTo x="0" y="0"/>
            </wp:wrapPolygon>
          </wp:wrapTight>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New Stripe - Big.bmp"/>
                  <pic:cNvPicPr/>
                </pic:nvPicPr>
                <pic:blipFill>
                  <a:blip r:embed="rId5">
                    <a:extLst>
                      <a:ext uri="{28A0092B-C50C-407E-A947-70E740481C1C}">
                        <a14:useLocalDpi xmlns:a14="http://schemas.microsoft.com/office/drawing/2010/main" val="0"/>
                      </a:ext>
                    </a:extLst>
                  </a:blip>
                  <a:stretch>
                    <a:fillRect/>
                  </a:stretch>
                </pic:blipFill>
                <pic:spPr>
                  <a:xfrm>
                    <a:off x="0" y="0"/>
                    <a:ext cx="7562850" cy="431165"/>
                  </a:xfrm>
                  <a:prstGeom prst="rect">
                    <a:avLst/>
                  </a:prstGeom>
                </pic:spPr>
              </pic:pic>
            </a:graphicData>
          </a:graphic>
          <wp14:sizeRelH relativeFrom="margin">
            <wp14:pctWidth>0</wp14:pctWidth>
          </wp14:sizeRelH>
          <wp14:sizeRelV relativeFrom="margin">
            <wp14:pctHeight>0</wp14:pctHeight>
          </wp14:sizeRelV>
        </wp:anchor>
      </w:drawing>
    </w:r>
    <w:r>
      <w:rPr>
        <w:i/>
        <w:noProof/>
        <w:sz w:val="20"/>
        <w:szCs w:val="20"/>
        <w:lang w:eastAsia="en-US"/>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6EF0AC" w14:textId="77777777" w:rsidR="00CA4E85" w:rsidRDefault="00CA4E85" w:rsidP="001D36CD">
    <w:pPr>
      <w:pStyle w:val="Header"/>
      <w:tabs>
        <w:tab w:val="clear" w:pos="4513"/>
        <w:tab w:val="clear" w:pos="9026"/>
        <w:tab w:val="left" w:pos="1275"/>
      </w:tabs>
      <w:rPr>
        <w:b/>
        <w:i/>
        <w:noProof/>
        <w:sz w:val="20"/>
        <w:szCs w:val="20"/>
        <w:lang w:eastAsia="en-US"/>
      </w:rPr>
    </w:pPr>
    <w:r w:rsidRPr="00F34798">
      <w:rPr>
        <w:b/>
        <w:noProof/>
        <w:sz w:val="18"/>
        <w:szCs w:val="18"/>
        <w:lang w:val="en-AU"/>
      </w:rPr>
      <w:drawing>
        <wp:anchor distT="0" distB="0" distL="114300" distR="114300" simplePos="0" relativeHeight="251772928" behindDoc="0" locked="0" layoutInCell="1" allowOverlap="1" wp14:anchorId="45B679A8" wp14:editId="0465FEB9">
          <wp:simplePos x="0" y="0"/>
          <wp:positionH relativeFrom="column">
            <wp:posOffset>4686300</wp:posOffset>
          </wp:positionH>
          <wp:positionV relativeFrom="paragraph">
            <wp:posOffset>-128270</wp:posOffset>
          </wp:positionV>
          <wp:extent cx="1749425" cy="503555"/>
          <wp:effectExtent l="0" t="0" r="3175" b="0"/>
          <wp:wrapTight wrapText="bothSides">
            <wp:wrapPolygon edited="0">
              <wp:start x="0" y="0"/>
              <wp:lineTo x="0" y="20429"/>
              <wp:lineTo x="21404" y="20429"/>
              <wp:lineTo x="21404"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2E13B93F" w14:textId="77777777" w:rsidR="00CA4E85" w:rsidRDefault="00CA4E85" w:rsidP="001D36CD">
    <w:pPr>
      <w:pStyle w:val="Header"/>
      <w:tabs>
        <w:tab w:val="clear" w:pos="4513"/>
        <w:tab w:val="clear" w:pos="9026"/>
        <w:tab w:val="left" w:pos="1275"/>
      </w:tabs>
      <w:rPr>
        <w:i/>
        <w:noProof/>
        <w:sz w:val="20"/>
        <w:szCs w:val="20"/>
        <w:lang w:eastAsia="en-US"/>
      </w:rPr>
    </w:pPr>
    <w:r>
      <w:rPr>
        <w:noProof/>
        <w:lang w:val="en-AU"/>
      </w:rPr>
      <w:drawing>
        <wp:anchor distT="0" distB="0" distL="114300" distR="114300" simplePos="0" relativeHeight="251771904" behindDoc="0" locked="0" layoutInCell="1" allowOverlap="1" wp14:anchorId="57E9A6C5" wp14:editId="39AFA9CF">
          <wp:simplePos x="0" y="0"/>
          <wp:positionH relativeFrom="column">
            <wp:posOffset>-953770</wp:posOffset>
          </wp:positionH>
          <wp:positionV relativeFrom="paragraph">
            <wp:posOffset>180975</wp:posOffset>
          </wp:positionV>
          <wp:extent cx="5688000" cy="45719"/>
          <wp:effectExtent l="0" t="0" r="0" b="0"/>
          <wp:wrapNone/>
          <wp:docPr id="40" name="Picture 40"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flipV="1">
                    <a:off x="0" y="0"/>
                    <a:ext cx="5688000" cy="45719"/>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b/>
        <w:i/>
        <w:noProof/>
        <w:sz w:val="20"/>
        <w:szCs w:val="20"/>
        <w:lang w:eastAsia="en-US"/>
      </w:rPr>
      <w:t xml:space="preserve"> </w:t>
    </w:r>
    <w:r>
      <w:rPr>
        <w:i/>
        <w:noProof/>
        <w:sz w:val="20"/>
        <w:szCs w:val="20"/>
        <w:lang w:eastAsia="en-US"/>
      </w:rPr>
      <w:t xml:space="preserve">Completion Report </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AE81FF" w14:textId="77777777" w:rsidR="00CA4E85" w:rsidRDefault="00CA4E85" w:rsidP="001D36CD">
    <w:pPr>
      <w:pStyle w:val="Header"/>
      <w:tabs>
        <w:tab w:val="clear" w:pos="4513"/>
        <w:tab w:val="clear" w:pos="9026"/>
        <w:tab w:val="left" w:pos="1275"/>
      </w:tabs>
      <w:rPr>
        <w:b/>
        <w:i/>
        <w:noProof/>
        <w:sz w:val="20"/>
        <w:szCs w:val="20"/>
        <w:lang w:eastAsia="en-US"/>
      </w:rPr>
    </w:pPr>
    <w:r w:rsidRPr="00F34798">
      <w:rPr>
        <w:b/>
        <w:noProof/>
        <w:sz w:val="18"/>
        <w:szCs w:val="18"/>
        <w:lang w:val="en-AU"/>
      </w:rPr>
      <w:drawing>
        <wp:anchor distT="0" distB="0" distL="114300" distR="114300" simplePos="0" relativeHeight="251790336" behindDoc="0" locked="0" layoutInCell="1" allowOverlap="1" wp14:anchorId="166668DA" wp14:editId="71D12C23">
          <wp:simplePos x="0" y="0"/>
          <wp:positionH relativeFrom="column">
            <wp:posOffset>4686300</wp:posOffset>
          </wp:positionH>
          <wp:positionV relativeFrom="paragraph">
            <wp:posOffset>-128270</wp:posOffset>
          </wp:positionV>
          <wp:extent cx="1749425" cy="503555"/>
          <wp:effectExtent l="0" t="0" r="3175" b="0"/>
          <wp:wrapTight wrapText="bothSides">
            <wp:wrapPolygon edited="0">
              <wp:start x="0" y="0"/>
              <wp:lineTo x="0" y="20429"/>
              <wp:lineTo x="21404" y="20429"/>
              <wp:lineTo x="21404"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33BDE0D0" w14:textId="77777777" w:rsidR="00CA4E85" w:rsidRDefault="00CA4E85" w:rsidP="001D36CD">
    <w:pPr>
      <w:pStyle w:val="Header"/>
      <w:tabs>
        <w:tab w:val="clear" w:pos="4513"/>
        <w:tab w:val="clear" w:pos="9026"/>
        <w:tab w:val="left" w:pos="1275"/>
      </w:tabs>
      <w:rPr>
        <w:i/>
        <w:noProof/>
        <w:sz w:val="20"/>
        <w:szCs w:val="20"/>
        <w:lang w:eastAsia="en-US"/>
      </w:rPr>
    </w:pPr>
    <w:r>
      <w:rPr>
        <w:noProof/>
        <w:lang w:val="en-AU"/>
      </w:rPr>
      <w:drawing>
        <wp:anchor distT="0" distB="0" distL="114300" distR="114300" simplePos="0" relativeHeight="251789312" behindDoc="0" locked="0" layoutInCell="1" allowOverlap="1" wp14:anchorId="00973CB8" wp14:editId="45011804">
          <wp:simplePos x="0" y="0"/>
          <wp:positionH relativeFrom="column">
            <wp:posOffset>-953770</wp:posOffset>
          </wp:positionH>
          <wp:positionV relativeFrom="paragraph">
            <wp:posOffset>180975</wp:posOffset>
          </wp:positionV>
          <wp:extent cx="5688000" cy="45719"/>
          <wp:effectExtent l="0" t="0" r="0" b="0"/>
          <wp:wrapNone/>
          <wp:docPr id="49" name="Picture 49"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flipV="1">
                    <a:off x="0" y="0"/>
                    <a:ext cx="5688000" cy="45719"/>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b/>
        <w:i/>
        <w:noProof/>
        <w:sz w:val="20"/>
        <w:szCs w:val="20"/>
        <w:lang w:eastAsia="en-US"/>
      </w:rPr>
      <w:t xml:space="preserve"> </w:t>
    </w:r>
    <w:r>
      <w:rPr>
        <w:i/>
        <w:noProof/>
        <w:sz w:val="20"/>
        <w:szCs w:val="20"/>
        <w:lang w:eastAsia="en-US"/>
      </w:rPr>
      <w:t xml:space="preserve">Completion Report </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84F3A3" w14:textId="77777777" w:rsidR="00CA4E85" w:rsidRDefault="00CA4E85" w:rsidP="00C43B27">
    <w:pPr>
      <w:pStyle w:val="Header"/>
      <w:tabs>
        <w:tab w:val="clear" w:pos="4513"/>
        <w:tab w:val="clear" w:pos="9026"/>
        <w:tab w:val="left" w:pos="1275"/>
      </w:tabs>
      <w:rPr>
        <w:b/>
        <w:i/>
        <w:noProof/>
        <w:sz w:val="20"/>
        <w:szCs w:val="20"/>
        <w:lang w:eastAsia="en-US"/>
      </w:rPr>
    </w:pPr>
    <w:r w:rsidRPr="00F34798">
      <w:rPr>
        <w:b/>
        <w:noProof/>
        <w:sz w:val="18"/>
        <w:szCs w:val="18"/>
        <w:lang w:val="en-AU"/>
      </w:rPr>
      <w:drawing>
        <wp:anchor distT="0" distB="0" distL="114300" distR="114300" simplePos="0" relativeHeight="251769856" behindDoc="0" locked="0" layoutInCell="1" allowOverlap="1" wp14:anchorId="1E0463D4" wp14:editId="297688D2">
          <wp:simplePos x="0" y="0"/>
          <wp:positionH relativeFrom="column">
            <wp:posOffset>4686300</wp:posOffset>
          </wp:positionH>
          <wp:positionV relativeFrom="paragraph">
            <wp:posOffset>40640</wp:posOffset>
          </wp:positionV>
          <wp:extent cx="1749425" cy="503555"/>
          <wp:effectExtent l="0" t="0" r="3175" b="0"/>
          <wp:wrapTight wrapText="bothSides">
            <wp:wrapPolygon edited="0">
              <wp:start x="0" y="0"/>
              <wp:lineTo x="0" y="20429"/>
              <wp:lineTo x="21404" y="20429"/>
              <wp:lineTo x="21404"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6D8388F5" w14:textId="77777777" w:rsidR="00CA4E85" w:rsidRDefault="00CA4E85" w:rsidP="00C43B27">
    <w:pPr>
      <w:pStyle w:val="Header"/>
      <w:tabs>
        <w:tab w:val="clear" w:pos="4513"/>
        <w:tab w:val="clear" w:pos="9026"/>
        <w:tab w:val="left" w:pos="1275"/>
      </w:tabs>
      <w:rPr>
        <w:b/>
        <w:i/>
        <w:noProof/>
        <w:sz w:val="20"/>
        <w:szCs w:val="20"/>
        <w:lang w:eastAsia="en-US"/>
      </w:rPr>
    </w:pPr>
  </w:p>
  <w:p w14:paraId="6A2A098D" w14:textId="77777777" w:rsidR="00CA4E85" w:rsidRDefault="00CA4E85" w:rsidP="00C43B27">
    <w:pPr>
      <w:pStyle w:val="Header"/>
      <w:tabs>
        <w:tab w:val="clear" w:pos="4513"/>
        <w:tab w:val="clear" w:pos="9026"/>
        <w:tab w:val="left" w:pos="1275"/>
      </w:tabs>
      <w:rPr>
        <w:i/>
        <w:noProof/>
        <w:sz w:val="20"/>
        <w:szCs w:val="20"/>
        <w:lang w:eastAsia="en-US"/>
      </w:rPr>
    </w:pPr>
    <w:r>
      <w:rPr>
        <w:noProof/>
        <w:lang w:val="en-AU"/>
      </w:rPr>
      <w:drawing>
        <wp:anchor distT="0" distB="0" distL="114300" distR="114300" simplePos="0" relativeHeight="251768832" behindDoc="0" locked="0" layoutInCell="1" allowOverlap="1" wp14:anchorId="436B9ABC" wp14:editId="121BEBDA">
          <wp:simplePos x="0" y="0"/>
          <wp:positionH relativeFrom="column">
            <wp:posOffset>-953770</wp:posOffset>
          </wp:positionH>
          <wp:positionV relativeFrom="paragraph">
            <wp:posOffset>180975</wp:posOffset>
          </wp:positionV>
          <wp:extent cx="5688000" cy="45719"/>
          <wp:effectExtent l="0" t="0" r="0" b="0"/>
          <wp:wrapNone/>
          <wp:docPr id="54" name="Picture 54"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flipV="1">
                    <a:off x="0" y="0"/>
                    <a:ext cx="5688000" cy="45719"/>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b/>
        <w:i/>
        <w:noProof/>
        <w:sz w:val="20"/>
        <w:szCs w:val="20"/>
        <w:lang w:eastAsia="en-US"/>
      </w:rPr>
      <w:t xml:space="preserve"> </w:t>
    </w:r>
    <w:r w:rsidRPr="00AA3D5E">
      <w:rPr>
        <w:i/>
        <w:noProof/>
        <w:sz w:val="20"/>
        <w:szCs w:val="20"/>
        <w:lang w:eastAsia="en-US"/>
      </w:rPr>
      <w:t>Completion Report</w:t>
    </w:r>
    <w:r>
      <w:rPr>
        <w:i/>
        <w:noProof/>
        <w:sz w:val="20"/>
        <w:szCs w:val="20"/>
        <w:lang w:eastAsia="en-US"/>
      </w:rPr>
      <w:t xml:space="preserve"> </w:t>
    </w:r>
  </w:p>
  <w:p w14:paraId="69BD4B73" w14:textId="77777777" w:rsidR="00CA4E85" w:rsidRPr="00456A71" w:rsidRDefault="00CA4E85" w:rsidP="00C43B2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340D2" w14:textId="77777777" w:rsidR="00CA4E85" w:rsidRDefault="00CA4E85" w:rsidP="00C43B27">
    <w:pPr>
      <w:pStyle w:val="Header"/>
      <w:tabs>
        <w:tab w:val="clear" w:pos="4513"/>
        <w:tab w:val="clear" w:pos="9026"/>
        <w:tab w:val="left" w:pos="1275"/>
      </w:tabs>
      <w:rPr>
        <w:b/>
        <w:i/>
        <w:noProof/>
        <w:sz w:val="20"/>
        <w:szCs w:val="20"/>
        <w:lang w:eastAsia="en-US"/>
      </w:rPr>
    </w:pPr>
    <w:r w:rsidRPr="00F34798">
      <w:rPr>
        <w:b/>
        <w:noProof/>
        <w:sz w:val="18"/>
        <w:szCs w:val="18"/>
        <w:lang w:val="en-AU"/>
      </w:rPr>
      <w:drawing>
        <wp:anchor distT="0" distB="0" distL="114300" distR="114300" simplePos="0" relativeHeight="251766784" behindDoc="0" locked="0" layoutInCell="1" allowOverlap="1" wp14:anchorId="1544D7C2" wp14:editId="0D15F6D6">
          <wp:simplePos x="0" y="0"/>
          <wp:positionH relativeFrom="column">
            <wp:posOffset>4686300</wp:posOffset>
          </wp:positionH>
          <wp:positionV relativeFrom="paragraph">
            <wp:posOffset>40640</wp:posOffset>
          </wp:positionV>
          <wp:extent cx="1749425" cy="503555"/>
          <wp:effectExtent l="0" t="0" r="3175" b="0"/>
          <wp:wrapTight wrapText="bothSides">
            <wp:wrapPolygon edited="0">
              <wp:start x="0" y="0"/>
              <wp:lineTo x="0" y="20429"/>
              <wp:lineTo x="21404" y="20429"/>
              <wp:lineTo x="21404"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61DA8FBB" w14:textId="77777777" w:rsidR="00CA4E85" w:rsidRDefault="00CA4E85" w:rsidP="00C43B27">
    <w:pPr>
      <w:pStyle w:val="Header"/>
      <w:tabs>
        <w:tab w:val="clear" w:pos="4513"/>
        <w:tab w:val="clear" w:pos="9026"/>
        <w:tab w:val="left" w:pos="1275"/>
      </w:tabs>
      <w:rPr>
        <w:b/>
        <w:i/>
        <w:noProof/>
        <w:sz w:val="20"/>
        <w:szCs w:val="20"/>
        <w:lang w:eastAsia="en-US"/>
      </w:rPr>
    </w:pPr>
  </w:p>
  <w:p w14:paraId="18C8D1CD" w14:textId="77777777" w:rsidR="00CA4E85" w:rsidRDefault="00CA4E85" w:rsidP="00C43B27">
    <w:pPr>
      <w:pStyle w:val="Header"/>
      <w:tabs>
        <w:tab w:val="clear" w:pos="4513"/>
        <w:tab w:val="clear" w:pos="9026"/>
        <w:tab w:val="left" w:pos="1275"/>
      </w:tabs>
      <w:rPr>
        <w:i/>
        <w:noProof/>
        <w:sz w:val="20"/>
        <w:szCs w:val="20"/>
        <w:lang w:eastAsia="en-US"/>
      </w:rPr>
    </w:pPr>
    <w:r>
      <w:rPr>
        <w:noProof/>
        <w:lang w:val="en-AU"/>
      </w:rPr>
      <w:drawing>
        <wp:anchor distT="0" distB="0" distL="114300" distR="114300" simplePos="0" relativeHeight="251765760" behindDoc="0" locked="0" layoutInCell="1" allowOverlap="1" wp14:anchorId="1EAB1C8D" wp14:editId="25731887">
          <wp:simplePos x="0" y="0"/>
          <wp:positionH relativeFrom="column">
            <wp:posOffset>-953770</wp:posOffset>
          </wp:positionH>
          <wp:positionV relativeFrom="paragraph">
            <wp:posOffset>180975</wp:posOffset>
          </wp:positionV>
          <wp:extent cx="5688000" cy="45719"/>
          <wp:effectExtent l="0" t="0" r="0" b="0"/>
          <wp:wrapNone/>
          <wp:docPr id="57" name="Picture 57"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flipV="1">
                    <a:off x="0" y="0"/>
                    <a:ext cx="5688000" cy="45719"/>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b/>
        <w:i/>
        <w:noProof/>
        <w:sz w:val="20"/>
        <w:szCs w:val="20"/>
        <w:lang w:eastAsia="en-US"/>
      </w:rPr>
      <w:t xml:space="preserve"> </w:t>
    </w:r>
    <w:r w:rsidRPr="00AA3D5E">
      <w:rPr>
        <w:i/>
        <w:noProof/>
        <w:sz w:val="20"/>
        <w:szCs w:val="20"/>
        <w:lang w:eastAsia="en-US"/>
      </w:rPr>
      <w:t>Completion Report</w:t>
    </w:r>
    <w:r>
      <w:rPr>
        <w:i/>
        <w:noProof/>
        <w:sz w:val="20"/>
        <w:szCs w:val="20"/>
        <w:lang w:eastAsia="en-US"/>
      </w:rPr>
      <w:t xml:space="preserve"> </w:t>
    </w:r>
  </w:p>
  <w:p w14:paraId="6B256948" w14:textId="77777777" w:rsidR="00CA4E85" w:rsidRPr="00456A71" w:rsidRDefault="00CA4E85" w:rsidP="00C43B2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B6A2D" w14:textId="77777777" w:rsidR="00CA4E85" w:rsidRDefault="00CA4E85" w:rsidP="00C43B27">
    <w:pPr>
      <w:pStyle w:val="Header"/>
      <w:tabs>
        <w:tab w:val="clear" w:pos="4513"/>
        <w:tab w:val="clear" w:pos="9026"/>
        <w:tab w:val="left" w:pos="1275"/>
      </w:tabs>
      <w:rPr>
        <w:b/>
        <w:i/>
        <w:noProof/>
        <w:sz w:val="20"/>
        <w:szCs w:val="20"/>
        <w:lang w:eastAsia="en-US"/>
      </w:rPr>
    </w:pPr>
    <w:r w:rsidRPr="00F34798">
      <w:rPr>
        <w:b/>
        <w:noProof/>
        <w:sz w:val="18"/>
        <w:szCs w:val="18"/>
        <w:lang w:val="en-AU"/>
      </w:rPr>
      <w:drawing>
        <wp:anchor distT="0" distB="0" distL="114300" distR="114300" simplePos="0" relativeHeight="251811840" behindDoc="0" locked="0" layoutInCell="1" allowOverlap="1" wp14:anchorId="5495C693" wp14:editId="0549786E">
          <wp:simplePos x="0" y="0"/>
          <wp:positionH relativeFrom="column">
            <wp:posOffset>7435850</wp:posOffset>
          </wp:positionH>
          <wp:positionV relativeFrom="paragraph">
            <wp:posOffset>34290</wp:posOffset>
          </wp:positionV>
          <wp:extent cx="1749425" cy="503555"/>
          <wp:effectExtent l="0" t="0" r="3175" b="0"/>
          <wp:wrapTight wrapText="bothSides">
            <wp:wrapPolygon edited="0">
              <wp:start x="0" y="0"/>
              <wp:lineTo x="0" y="20429"/>
              <wp:lineTo x="21404" y="20429"/>
              <wp:lineTo x="21404"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p>
  <w:p w14:paraId="25550582" w14:textId="77777777" w:rsidR="00CA4E85" w:rsidRDefault="00CA4E85" w:rsidP="00C43B27">
    <w:pPr>
      <w:pStyle w:val="Header"/>
      <w:tabs>
        <w:tab w:val="clear" w:pos="4513"/>
        <w:tab w:val="clear" w:pos="9026"/>
        <w:tab w:val="left" w:pos="1275"/>
      </w:tabs>
      <w:rPr>
        <w:b/>
        <w:i/>
        <w:noProof/>
        <w:sz w:val="20"/>
        <w:szCs w:val="20"/>
        <w:lang w:eastAsia="en-US"/>
      </w:rPr>
    </w:pPr>
  </w:p>
  <w:p w14:paraId="175E6AD8" w14:textId="77777777" w:rsidR="00CA4E85" w:rsidRDefault="00CA4E85" w:rsidP="00015DDE">
    <w:pPr>
      <w:pStyle w:val="Header"/>
    </w:pPr>
    <w:r>
      <w:rPr>
        <w:noProof/>
        <w:lang w:val="en-AU"/>
      </w:rPr>
      <w:drawing>
        <wp:anchor distT="0" distB="0" distL="114300" distR="114300" simplePos="0" relativeHeight="251813888" behindDoc="0" locked="0" layoutInCell="1" allowOverlap="1" wp14:anchorId="52DA8A26" wp14:editId="24F2B13E">
          <wp:simplePos x="0" y="0"/>
          <wp:positionH relativeFrom="column">
            <wp:posOffset>-862965</wp:posOffset>
          </wp:positionH>
          <wp:positionV relativeFrom="paragraph">
            <wp:posOffset>172085</wp:posOffset>
          </wp:positionV>
          <wp:extent cx="8391525" cy="45719"/>
          <wp:effectExtent l="0" t="0" r="0" b="0"/>
          <wp:wrapNone/>
          <wp:docPr id="4713" name="Picture 4713"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a:off x="0" y="0"/>
                    <a:ext cx="20510238" cy="111745"/>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lang w:eastAsia="en-US"/>
      </w:rPr>
      <w:t>PJSI</w:t>
    </w:r>
    <w:r w:rsidRPr="00646094">
      <w:rPr>
        <w:b/>
        <w:i/>
        <w:noProof/>
        <w:sz w:val="20"/>
        <w:szCs w:val="20"/>
        <w:lang w:eastAsia="en-US"/>
      </w:rPr>
      <w:t>:</w:t>
    </w:r>
    <w:r>
      <w:rPr>
        <w:noProof/>
        <w:sz w:val="20"/>
        <w:szCs w:val="20"/>
        <w:lang w:eastAsia="en-US"/>
      </w:rPr>
      <w:t xml:space="preserve"> Completion Report</w:t>
    </w:r>
  </w:p>
  <w:p w14:paraId="0FE162BE" w14:textId="5FF4A6D6" w:rsidR="00CA4E85" w:rsidRPr="00456A71" w:rsidRDefault="00CA4E85" w:rsidP="00C43B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82B59"/>
    <w:multiLevelType w:val="hybridMultilevel"/>
    <w:tmpl w:val="F21A7218"/>
    <w:lvl w:ilvl="0" w:tplc="707E1EB4">
      <w:start w:val="1"/>
      <w:numFmt w:val="bullet"/>
      <w:pStyle w:val="ListBullet"/>
      <w:lvlText w:val=""/>
      <w:lvlJc w:val="left"/>
      <w:pPr>
        <w:tabs>
          <w:tab w:val="num" w:pos="357"/>
        </w:tabs>
        <w:ind w:left="357" w:hanging="357"/>
      </w:pPr>
      <w:rPr>
        <w:rFonts w:ascii="Symbol" w:hAnsi="Symbol" w:hint="default"/>
        <w:i/>
        <w:sz w:val="21"/>
      </w:rPr>
    </w:lvl>
    <w:lvl w:ilvl="1" w:tplc="08090003">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F97155"/>
    <w:multiLevelType w:val="hybridMultilevel"/>
    <w:tmpl w:val="4D4CE7BA"/>
    <w:lvl w:ilvl="0" w:tplc="F95AB586">
      <w:start w:val="9"/>
      <w:numFmt w:val="bullet"/>
      <w:lvlText w:val="-"/>
      <w:lvlJc w:val="left"/>
      <w:pPr>
        <w:ind w:left="720" w:hanging="360"/>
      </w:pPr>
      <w:rPr>
        <w:rFonts w:ascii="Calibri" w:eastAsia="Times New Roman" w:hAnsi="Calibri"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1395B01"/>
    <w:multiLevelType w:val="multilevel"/>
    <w:tmpl w:val="01DE06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AC05A1"/>
    <w:multiLevelType w:val="hybridMultilevel"/>
    <w:tmpl w:val="25FCB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B8C6EA3"/>
    <w:multiLevelType w:val="hybridMultilevel"/>
    <w:tmpl w:val="05C0E980"/>
    <w:lvl w:ilvl="0" w:tplc="17C2CD4A">
      <w:start w:val="1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C0E5FCF"/>
    <w:multiLevelType w:val="hybridMultilevel"/>
    <w:tmpl w:val="917A78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60A4943"/>
    <w:multiLevelType w:val="hybridMultilevel"/>
    <w:tmpl w:val="8DC40E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A6D206D"/>
    <w:multiLevelType w:val="hybridMultilevel"/>
    <w:tmpl w:val="48AA05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DC332BE"/>
    <w:multiLevelType w:val="hybridMultilevel"/>
    <w:tmpl w:val="B3984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E546B8F"/>
    <w:multiLevelType w:val="hybridMultilevel"/>
    <w:tmpl w:val="245E8DB0"/>
    <w:lvl w:ilvl="0" w:tplc="17C2CD4A">
      <w:start w:val="1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18B3B20"/>
    <w:multiLevelType w:val="hybridMultilevel"/>
    <w:tmpl w:val="C860C33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3597E26"/>
    <w:multiLevelType w:val="hybridMultilevel"/>
    <w:tmpl w:val="8EFE2A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3903422"/>
    <w:multiLevelType w:val="hybridMultilevel"/>
    <w:tmpl w:val="5F0CAEEC"/>
    <w:lvl w:ilvl="0" w:tplc="17C2CD4A">
      <w:start w:val="1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3D879B5"/>
    <w:multiLevelType w:val="hybridMultilevel"/>
    <w:tmpl w:val="E26244DA"/>
    <w:lvl w:ilvl="0" w:tplc="17C2CD4A">
      <w:start w:val="1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4B92876"/>
    <w:multiLevelType w:val="hybridMultilevel"/>
    <w:tmpl w:val="5CE0727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A62659C"/>
    <w:multiLevelType w:val="hybridMultilevel"/>
    <w:tmpl w:val="32CC3484"/>
    <w:lvl w:ilvl="0" w:tplc="16DEB930">
      <w:start w:val="1"/>
      <w:numFmt w:val="decimal"/>
      <w:lvlText w:val="%1."/>
      <w:lvlJc w:val="left"/>
      <w:pPr>
        <w:ind w:left="720" w:hanging="36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B0E2751"/>
    <w:multiLevelType w:val="hybridMultilevel"/>
    <w:tmpl w:val="EA0A3A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16B4C2B"/>
    <w:multiLevelType w:val="hybridMultilevel"/>
    <w:tmpl w:val="B5844094"/>
    <w:lvl w:ilvl="0" w:tplc="17C2CD4A">
      <w:start w:val="11"/>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0DE6EC1"/>
    <w:multiLevelType w:val="hybridMultilevel"/>
    <w:tmpl w:val="8FF89E42"/>
    <w:lvl w:ilvl="0" w:tplc="0C090001">
      <w:start w:val="1"/>
      <w:numFmt w:val="bullet"/>
      <w:lvlText w:val=""/>
      <w:lvlJc w:val="left"/>
      <w:pPr>
        <w:ind w:left="773" w:hanging="360"/>
      </w:pPr>
      <w:rPr>
        <w:rFonts w:ascii="Symbol" w:hAnsi="Symbol" w:hint="default"/>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19" w15:restartNumberingAfterBreak="0">
    <w:nsid w:val="630C7DAE"/>
    <w:multiLevelType w:val="multilevel"/>
    <w:tmpl w:val="630C7DAE"/>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num w:numId="1">
    <w:abstractNumId w:val="0"/>
  </w:num>
  <w:num w:numId="2">
    <w:abstractNumId w:val="18"/>
  </w:num>
  <w:num w:numId="3">
    <w:abstractNumId w:val="3"/>
  </w:num>
  <w:num w:numId="4">
    <w:abstractNumId w:val="16"/>
  </w:num>
  <w:num w:numId="5">
    <w:abstractNumId w:val="5"/>
  </w:num>
  <w:num w:numId="6">
    <w:abstractNumId w:val="8"/>
  </w:num>
  <w:num w:numId="7">
    <w:abstractNumId w:val="14"/>
  </w:num>
  <w:num w:numId="8">
    <w:abstractNumId w:val="19"/>
  </w:num>
  <w:num w:numId="9">
    <w:abstractNumId w:val="1"/>
  </w:num>
  <w:num w:numId="10">
    <w:abstractNumId w:val="11"/>
  </w:num>
  <w:num w:numId="11">
    <w:abstractNumId w:val="7"/>
  </w:num>
  <w:num w:numId="12">
    <w:abstractNumId w:val="6"/>
  </w:num>
  <w:num w:numId="13">
    <w:abstractNumId w:val="10"/>
  </w:num>
  <w:num w:numId="14">
    <w:abstractNumId w:val="15"/>
  </w:num>
  <w:num w:numId="15">
    <w:abstractNumId w:val="9"/>
  </w:num>
  <w:num w:numId="16">
    <w:abstractNumId w:val="13"/>
  </w:num>
  <w:num w:numId="17">
    <w:abstractNumId w:val="4"/>
  </w:num>
  <w:num w:numId="18">
    <w:abstractNumId w:val="12"/>
  </w:num>
  <w:num w:numId="19">
    <w:abstractNumId w:val="17"/>
  </w:num>
  <w:num w:numId="20">
    <w:abstractNumId w:val="2"/>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6D3CD441-07A9-4B83-97D1-574145539DB8}"/>
    <w:docVar w:name="dgnword-eventsink" w:val="1900721233072"/>
  </w:docVars>
  <w:rsids>
    <w:rsidRoot w:val="00181670"/>
    <w:rsid w:val="000000DF"/>
    <w:rsid w:val="000001BE"/>
    <w:rsid w:val="00000452"/>
    <w:rsid w:val="00000DA0"/>
    <w:rsid w:val="00000DCA"/>
    <w:rsid w:val="000012DA"/>
    <w:rsid w:val="00001D5E"/>
    <w:rsid w:val="00002440"/>
    <w:rsid w:val="000025F2"/>
    <w:rsid w:val="000026E5"/>
    <w:rsid w:val="0000292A"/>
    <w:rsid w:val="00002A87"/>
    <w:rsid w:val="00002BBA"/>
    <w:rsid w:val="0000314E"/>
    <w:rsid w:val="00003501"/>
    <w:rsid w:val="000037E2"/>
    <w:rsid w:val="0000399B"/>
    <w:rsid w:val="00003BC4"/>
    <w:rsid w:val="000043A9"/>
    <w:rsid w:val="00004414"/>
    <w:rsid w:val="0000478A"/>
    <w:rsid w:val="0000480C"/>
    <w:rsid w:val="000049DA"/>
    <w:rsid w:val="00004D4A"/>
    <w:rsid w:val="00004E51"/>
    <w:rsid w:val="00005734"/>
    <w:rsid w:val="00005C58"/>
    <w:rsid w:val="000060A7"/>
    <w:rsid w:val="000063F5"/>
    <w:rsid w:val="00006481"/>
    <w:rsid w:val="00006778"/>
    <w:rsid w:val="00006B03"/>
    <w:rsid w:val="00007182"/>
    <w:rsid w:val="000074AE"/>
    <w:rsid w:val="000075C0"/>
    <w:rsid w:val="00007612"/>
    <w:rsid w:val="000078FD"/>
    <w:rsid w:val="000102E8"/>
    <w:rsid w:val="00010552"/>
    <w:rsid w:val="000107EE"/>
    <w:rsid w:val="00010DC3"/>
    <w:rsid w:val="00011592"/>
    <w:rsid w:val="00011818"/>
    <w:rsid w:val="00011B91"/>
    <w:rsid w:val="00011CA2"/>
    <w:rsid w:val="0001236B"/>
    <w:rsid w:val="0001251D"/>
    <w:rsid w:val="00012580"/>
    <w:rsid w:val="000125B0"/>
    <w:rsid w:val="0001270D"/>
    <w:rsid w:val="00013B5C"/>
    <w:rsid w:val="0001417D"/>
    <w:rsid w:val="00014501"/>
    <w:rsid w:val="00014A0C"/>
    <w:rsid w:val="00014F23"/>
    <w:rsid w:val="00015077"/>
    <w:rsid w:val="00015234"/>
    <w:rsid w:val="00015293"/>
    <w:rsid w:val="00015643"/>
    <w:rsid w:val="00015869"/>
    <w:rsid w:val="00015C30"/>
    <w:rsid w:val="00015C7B"/>
    <w:rsid w:val="00015DDE"/>
    <w:rsid w:val="00016395"/>
    <w:rsid w:val="0001666F"/>
    <w:rsid w:val="000167CA"/>
    <w:rsid w:val="000171AD"/>
    <w:rsid w:val="000174F9"/>
    <w:rsid w:val="000178FD"/>
    <w:rsid w:val="0001794F"/>
    <w:rsid w:val="00017A2C"/>
    <w:rsid w:val="00020369"/>
    <w:rsid w:val="00021B3B"/>
    <w:rsid w:val="00021B5B"/>
    <w:rsid w:val="000222ED"/>
    <w:rsid w:val="000227BD"/>
    <w:rsid w:val="00022ED7"/>
    <w:rsid w:val="0002315A"/>
    <w:rsid w:val="0002325D"/>
    <w:rsid w:val="00023342"/>
    <w:rsid w:val="00023493"/>
    <w:rsid w:val="00023698"/>
    <w:rsid w:val="00023AB2"/>
    <w:rsid w:val="00023FB1"/>
    <w:rsid w:val="0002403A"/>
    <w:rsid w:val="00024140"/>
    <w:rsid w:val="0002440D"/>
    <w:rsid w:val="0002459E"/>
    <w:rsid w:val="00024B3E"/>
    <w:rsid w:val="000251D9"/>
    <w:rsid w:val="000254CB"/>
    <w:rsid w:val="00025565"/>
    <w:rsid w:val="0002586C"/>
    <w:rsid w:val="000258EC"/>
    <w:rsid w:val="000263B0"/>
    <w:rsid w:val="000265CD"/>
    <w:rsid w:val="00026C6C"/>
    <w:rsid w:val="00027285"/>
    <w:rsid w:val="00027EE9"/>
    <w:rsid w:val="00030472"/>
    <w:rsid w:val="000304A3"/>
    <w:rsid w:val="0003098A"/>
    <w:rsid w:val="00030A30"/>
    <w:rsid w:val="00030F82"/>
    <w:rsid w:val="00031F61"/>
    <w:rsid w:val="00032340"/>
    <w:rsid w:val="00032430"/>
    <w:rsid w:val="000328AC"/>
    <w:rsid w:val="00033128"/>
    <w:rsid w:val="00033A08"/>
    <w:rsid w:val="00033BDA"/>
    <w:rsid w:val="00033C3A"/>
    <w:rsid w:val="000340B0"/>
    <w:rsid w:val="00034AFE"/>
    <w:rsid w:val="000350C0"/>
    <w:rsid w:val="000351C5"/>
    <w:rsid w:val="00036330"/>
    <w:rsid w:val="0003634F"/>
    <w:rsid w:val="0003646D"/>
    <w:rsid w:val="000366BF"/>
    <w:rsid w:val="00037651"/>
    <w:rsid w:val="00037C13"/>
    <w:rsid w:val="0004033C"/>
    <w:rsid w:val="000404D3"/>
    <w:rsid w:val="0004088B"/>
    <w:rsid w:val="0004089B"/>
    <w:rsid w:val="00040B6F"/>
    <w:rsid w:val="00040E7C"/>
    <w:rsid w:val="0004123C"/>
    <w:rsid w:val="00041C11"/>
    <w:rsid w:val="00041C15"/>
    <w:rsid w:val="00041CBC"/>
    <w:rsid w:val="0004210E"/>
    <w:rsid w:val="000426D9"/>
    <w:rsid w:val="00042897"/>
    <w:rsid w:val="00042D88"/>
    <w:rsid w:val="00044224"/>
    <w:rsid w:val="00044382"/>
    <w:rsid w:val="00044487"/>
    <w:rsid w:val="000444A2"/>
    <w:rsid w:val="00045122"/>
    <w:rsid w:val="0004529E"/>
    <w:rsid w:val="00045343"/>
    <w:rsid w:val="000458CD"/>
    <w:rsid w:val="00045E48"/>
    <w:rsid w:val="00046744"/>
    <w:rsid w:val="00046863"/>
    <w:rsid w:val="00046EBC"/>
    <w:rsid w:val="000475FD"/>
    <w:rsid w:val="0004797A"/>
    <w:rsid w:val="00050A0A"/>
    <w:rsid w:val="00050F8A"/>
    <w:rsid w:val="000514ED"/>
    <w:rsid w:val="00051524"/>
    <w:rsid w:val="00051B92"/>
    <w:rsid w:val="000520E3"/>
    <w:rsid w:val="0005296A"/>
    <w:rsid w:val="00052B2A"/>
    <w:rsid w:val="00052EFE"/>
    <w:rsid w:val="000534BC"/>
    <w:rsid w:val="00053664"/>
    <w:rsid w:val="00053A6D"/>
    <w:rsid w:val="00053D6C"/>
    <w:rsid w:val="000545EA"/>
    <w:rsid w:val="00054703"/>
    <w:rsid w:val="00054773"/>
    <w:rsid w:val="000548A4"/>
    <w:rsid w:val="000550A5"/>
    <w:rsid w:val="000555A0"/>
    <w:rsid w:val="00056969"/>
    <w:rsid w:val="00056B1F"/>
    <w:rsid w:val="00056E99"/>
    <w:rsid w:val="000571BA"/>
    <w:rsid w:val="0005753C"/>
    <w:rsid w:val="000576D1"/>
    <w:rsid w:val="00060725"/>
    <w:rsid w:val="0006074B"/>
    <w:rsid w:val="00060C3D"/>
    <w:rsid w:val="00061279"/>
    <w:rsid w:val="000613FA"/>
    <w:rsid w:val="00061425"/>
    <w:rsid w:val="00061C30"/>
    <w:rsid w:val="00061DDE"/>
    <w:rsid w:val="00061F38"/>
    <w:rsid w:val="00062977"/>
    <w:rsid w:val="00062A4E"/>
    <w:rsid w:val="00062B1D"/>
    <w:rsid w:val="000639F4"/>
    <w:rsid w:val="00063C87"/>
    <w:rsid w:val="00063CEA"/>
    <w:rsid w:val="00063F54"/>
    <w:rsid w:val="00063FE6"/>
    <w:rsid w:val="00064336"/>
    <w:rsid w:val="000645DF"/>
    <w:rsid w:val="000647E7"/>
    <w:rsid w:val="00064A81"/>
    <w:rsid w:val="00066376"/>
    <w:rsid w:val="0006699C"/>
    <w:rsid w:val="00066F7F"/>
    <w:rsid w:val="00066FC6"/>
    <w:rsid w:val="0006784C"/>
    <w:rsid w:val="00070240"/>
    <w:rsid w:val="00070804"/>
    <w:rsid w:val="00070CD4"/>
    <w:rsid w:val="00071536"/>
    <w:rsid w:val="00071D65"/>
    <w:rsid w:val="00073CB0"/>
    <w:rsid w:val="000742B8"/>
    <w:rsid w:val="000747D4"/>
    <w:rsid w:val="000750F1"/>
    <w:rsid w:val="00075751"/>
    <w:rsid w:val="0007590D"/>
    <w:rsid w:val="00075A12"/>
    <w:rsid w:val="00075E9B"/>
    <w:rsid w:val="00075F5E"/>
    <w:rsid w:val="00075FF6"/>
    <w:rsid w:val="0007646C"/>
    <w:rsid w:val="0007649E"/>
    <w:rsid w:val="00076A46"/>
    <w:rsid w:val="00076D46"/>
    <w:rsid w:val="0007760F"/>
    <w:rsid w:val="0007773D"/>
    <w:rsid w:val="00077BD4"/>
    <w:rsid w:val="000802D0"/>
    <w:rsid w:val="000802E3"/>
    <w:rsid w:val="0008042D"/>
    <w:rsid w:val="00080D9B"/>
    <w:rsid w:val="0008138E"/>
    <w:rsid w:val="0008179D"/>
    <w:rsid w:val="0008181B"/>
    <w:rsid w:val="00081BA3"/>
    <w:rsid w:val="000829B3"/>
    <w:rsid w:val="00082DC8"/>
    <w:rsid w:val="00082DEF"/>
    <w:rsid w:val="00082E21"/>
    <w:rsid w:val="0008304B"/>
    <w:rsid w:val="0008317E"/>
    <w:rsid w:val="000833E1"/>
    <w:rsid w:val="00083614"/>
    <w:rsid w:val="00083703"/>
    <w:rsid w:val="00083988"/>
    <w:rsid w:val="00084805"/>
    <w:rsid w:val="000851E2"/>
    <w:rsid w:val="0008572C"/>
    <w:rsid w:val="00085BED"/>
    <w:rsid w:val="00085E58"/>
    <w:rsid w:val="0008650D"/>
    <w:rsid w:val="00086977"/>
    <w:rsid w:val="000877A5"/>
    <w:rsid w:val="00087E56"/>
    <w:rsid w:val="000902BC"/>
    <w:rsid w:val="00091340"/>
    <w:rsid w:val="00091B73"/>
    <w:rsid w:val="00091C7C"/>
    <w:rsid w:val="00091E12"/>
    <w:rsid w:val="00091E8A"/>
    <w:rsid w:val="00092062"/>
    <w:rsid w:val="00092466"/>
    <w:rsid w:val="0009308F"/>
    <w:rsid w:val="000930D9"/>
    <w:rsid w:val="0009329A"/>
    <w:rsid w:val="000937D3"/>
    <w:rsid w:val="0009442C"/>
    <w:rsid w:val="0009442E"/>
    <w:rsid w:val="000945B0"/>
    <w:rsid w:val="000945F7"/>
    <w:rsid w:val="0009482D"/>
    <w:rsid w:val="00094ECD"/>
    <w:rsid w:val="00094F77"/>
    <w:rsid w:val="00095405"/>
    <w:rsid w:val="0009557E"/>
    <w:rsid w:val="00095C66"/>
    <w:rsid w:val="0009650E"/>
    <w:rsid w:val="00096C38"/>
    <w:rsid w:val="00096DFC"/>
    <w:rsid w:val="00096F64"/>
    <w:rsid w:val="000979BB"/>
    <w:rsid w:val="00097CC1"/>
    <w:rsid w:val="00097F8A"/>
    <w:rsid w:val="000A02B9"/>
    <w:rsid w:val="000A032D"/>
    <w:rsid w:val="000A0C5E"/>
    <w:rsid w:val="000A164C"/>
    <w:rsid w:val="000A193E"/>
    <w:rsid w:val="000A1FDB"/>
    <w:rsid w:val="000A2166"/>
    <w:rsid w:val="000A23A2"/>
    <w:rsid w:val="000A3528"/>
    <w:rsid w:val="000A3E71"/>
    <w:rsid w:val="000A40D0"/>
    <w:rsid w:val="000A47BE"/>
    <w:rsid w:val="000A4B15"/>
    <w:rsid w:val="000A504A"/>
    <w:rsid w:val="000A540E"/>
    <w:rsid w:val="000A57EB"/>
    <w:rsid w:val="000A5A47"/>
    <w:rsid w:val="000A5FAC"/>
    <w:rsid w:val="000A64DA"/>
    <w:rsid w:val="000A6B48"/>
    <w:rsid w:val="000A6C39"/>
    <w:rsid w:val="000A75FF"/>
    <w:rsid w:val="000A7CEA"/>
    <w:rsid w:val="000A7F60"/>
    <w:rsid w:val="000B0084"/>
    <w:rsid w:val="000B03CF"/>
    <w:rsid w:val="000B0D94"/>
    <w:rsid w:val="000B0EF7"/>
    <w:rsid w:val="000B1406"/>
    <w:rsid w:val="000B18DF"/>
    <w:rsid w:val="000B1C4D"/>
    <w:rsid w:val="000B2519"/>
    <w:rsid w:val="000B30A7"/>
    <w:rsid w:val="000B31BC"/>
    <w:rsid w:val="000B3EBC"/>
    <w:rsid w:val="000B4840"/>
    <w:rsid w:val="000B4B27"/>
    <w:rsid w:val="000B5851"/>
    <w:rsid w:val="000B5A4A"/>
    <w:rsid w:val="000B5BD2"/>
    <w:rsid w:val="000B669D"/>
    <w:rsid w:val="000B6A29"/>
    <w:rsid w:val="000B708F"/>
    <w:rsid w:val="000B7221"/>
    <w:rsid w:val="000B7B56"/>
    <w:rsid w:val="000B7EC9"/>
    <w:rsid w:val="000C001D"/>
    <w:rsid w:val="000C0130"/>
    <w:rsid w:val="000C05A7"/>
    <w:rsid w:val="000C085C"/>
    <w:rsid w:val="000C0CDE"/>
    <w:rsid w:val="000C176E"/>
    <w:rsid w:val="000C1CA5"/>
    <w:rsid w:val="000C1D29"/>
    <w:rsid w:val="000C1D7E"/>
    <w:rsid w:val="000C2049"/>
    <w:rsid w:val="000C2370"/>
    <w:rsid w:val="000C29C8"/>
    <w:rsid w:val="000C2D72"/>
    <w:rsid w:val="000C2E87"/>
    <w:rsid w:val="000C2EDD"/>
    <w:rsid w:val="000C37D8"/>
    <w:rsid w:val="000C37F7"/>
    <w:rsid w:val="000C4DC0"/>
    <w:rsid w:val="000C520B"/>
    <w:rsid w:val="000C54EE"/>
    <w:rsid w:val="000C56C6"/>
    <w:rsid w:val="000C5730"/>
    <w:rsid w:val="000C58B6"/>
    <w:rsid w:val="000C6390"/>
    <w:rsid w:val="000C6508"/>
    <w:rsid w:val="000C700D"/>
    <w:rsid w:val="000D112A"/>
    <w:rsid w:val="000D13D4"/>
    <w:rsid w:val="000D18DC"/>
    <w:rsid w:val="000D1B3E"/>
    <w:rsid w:val="000D2A6C"/>
    <w:rsid w:val="000D2C6B"/>
    <w:rsid w:val="000D2ECE"/>
    <w:rsid w:val="000D3181"/>
    <w:rsid w:val="000D3474"/>
    <w:rsid w:val="000D43EF"/>
    <w:rsid w:val="000D51E8"/>
    <w:rsid w:val="000D53DD"/>
    <w:rsid w:val="000D5A5D"/>
    <w:rsid w:val="000D5BC2"/>
    <w:rsid w:val="000D5CB0"/>
    <w:rsid w:val="000D6341"/>
    <w:rsid w:val="000D6BC9"/>
    <w:rsid w:val="000D6E02"/>
    <w:rsid w:val="000D72AF"/>
    <w:rsid w:val="000D74C1"/>
    <w:rsid w:val="000D76ED"/>
    <w:rsid w:val="000D7AE0"/>
    <w:rsid w:val="000D7BF5"/>
    <w:rsid w:val="000E000E"/>
    <w:rsid w:val="000E04BD"/>
    <w:rsid w:val="000E0B72"/>
    <w:rsid w:val="000E0FD9"/>
    <w:rsid w:val="000E102D"/>
    <w:rsid w:val="000E12F6"/>
    <w:rsid w:val="000E1E19"/>
    <w:rsid w:val="000E215B"/>
    <w:rsid w:val="000E2B05"/>
    <w:rsid w:val="000E348E"/>
    <w:rsid w:val="000E3723"/>
    <w:rsid w:val="000E37BC"/>
    <w:rsid w:val="000E37C1"/>
    <w:rsid w:val="000E3A99"/>
    <w:rsid w:val="000E45DF"/>
    <w:rsid w:val="000E486C"/>
    <w:rsid w:val="000E4A02"/>
    <w:rsid w:val="000E4AF7"/>
    <w:rsid w:val="000E4C77"/>
    <w:rsid w:val="000E4C84"/>
    <w:rsid w:val="000E4CD4"/>
    <w:rsid w:val="000E4CFB"/>
    <w:rsid w:val="000E5580"/>
    <w:rsid w:val="000E5622"/>
    <w:rsid w:val="000E5C30"/>
    <w:rsid w:val="000E5EDD"/>
    <w:rsid w:val="000E618D"/>
    <w:rsid w:val="000E66C5"/>
    <w:rsid w:val="000E690C"/>
    <w:rsid w:val="000E69F7"/>
    <w:rsid w:val="000E7284"/>
    <w:rsid w:val="000E7310"/>
    <w:rsid w:val="000E775B"/>
    <w:rsid w:val="000F0077"/>
    <w:rsid w:val="000F0302"/>
    <w:rsid w:val="000F09A8"/>
    <w:rsid w:val="000F13E0"/>
    <w:rsid w:val="000F1DA3"/>
    <w:rsid w:val="000F1EA4"/>
    <w:rsid w:val="000F205D"/>
    <w:rsid w:val="000F24AB"/>
    <w:rsid w:val="000F2CBF"/>
    <w:rsid w:val="000F2E7D"/>
    <w:rsid w:val="000F2F10"/>
    <w:rsid w:val="000F34D7"/>
    <w:rsid w:val="000F37FD"/>
    <w:rsid w:val="000F4028"/>
    <w:rsid w:val="000F4391"/>
    <w:rsid w:val="000F45A2"/>
    <w:rsid w:val="000F45B2"/>
    <w:rsid w:val="000F4F6C"/>
    <w:rsid w:val="000F4FFF"/>
    <w:rsid w:val="000F516A"/>
    <w:rsid w:val="000F5491"/>
    <w:rsid w:val="000F5C7E"/>
    <w:rsid w:val="000F64EC"/>
    <w:rsid w:val="000F6756"/>
    <w:rsid w:val="000F6827"/>
    <w:rsid w:val="000F69EF"/>
    <w:rsid w:val="000F709B"/>
    <w:rsid w:val="000F7A78"/>
    <w:rsid w:val="000F7B1E"/>
    <w:rsid w:val="000F7ED2"/>
    <w:rsid w:val="00100961"/>
    <w:rsid w:val="001009AF"/>
    <w:rsid w:val="00100C80"/>
    <w:rsid w:val="00100CB1"/>
    <w:rsid w:val="001012E7"/>
    <w:rsid w:val="001018F7"/>
    <w:rsid w:val="00101FC3"/>
    <w:rsid w:val="00102358"/>
    <w:rsid w:val="00102B59"/>
    <w:rsid w:val="00102CB2"/>
    <w:rsid w:val="00102D1E"/>
    <w:rsid w:val="00103AC4"/>
    <w:rsid w:val="00103AD2"/>
    <w:rsid w:val="00103FE3"/>
    <w:rsid w:val="0010477A"/>
    <w:rsid w:val="00104867"/>
    <w:rsid w:val="001051F8"/>
    <w:rsid w:val="001052D1"/>
    <w:rsid w:val="00105560"/>
    <w:rsid w:val="00105774"/>
    <w:rsid w:val="001058F0"/>
    <w:rsid w:val="00105DEA"/>
    <w:rsid w:val="00105F7E"/>
    <w:rsid w:val="00105FF5"/>
    <w:rsid w:val="00106241"/>
    <w:rsid w:val="001063A4"/>
    <w:rsid w:val="00106DE0"/>
    <w:rsid w:val="0010742D"/>
    <w:rsid w:val="001074E1"/>
    <w:rsid w:val="0010765E"/>
    <w:rsid w:val="00107DA8"/>
    <w:rsid w:val="00107E01"/>
    <w:rsid w:val="001107F4"/>
    <w:rsid w:val="0011094D"/>
    <w:rsid w:val="0011098A"/>
    <w:rsid w:val="00110D19"/>
    <w:rsid w:val="00110D25"/>
    <w:rsid w:val="00111222"/>
    <w:rsid w:val="001120BC"/>
    <w:rsid w:val="0011211F"/>
    <w:rsid w:val="0011270F"/>
    <w:rsid w:val="00112989"/>
    <w:rsid w:val="00114F20"/>
    <w:rsid w:val="00115182"/>
    <w:rsid w:val="001151A5"/>
    <w:rsid w:val="00115346"/>
    <w:rsid w:val="00115A7A"/>
    <w:rsid w:val="00115DCB"/>
    <w:rsid w:val="0011621F"/>
    <w:rsid w:val="0011634A"/>
    <w:rsid w:val="0011665D"/>
    <w:rsid w:val="00116C9B"/>
    <w:rsid w:val="001173DA"/>
    <w:rsid w:val="00117480"/>
    <w:rsid w:val="0011765A"/>
    <w:rsid w:val="001201CB"/>
    <w:rsid w:val="001210D5"/>
    <w:rsid w:val="001211ED"/>
    <w:rsid w:val="001212F9"/>
    <w:rsid w:val="001213B4"/>
    <w:rsid w:val="00121498"/>
    <w:rsid w:val="00121D30"/>
    <w:rsid w:val="00122368"/>
    <w:rsid w:val="0012261A"/>
    <w:rsid w:val="00122C47"/>
    <w:rsid w:val="00122EA3"/>
    <w:rsid w:val="001231F1"/>
    <w:rsid w:val="00123940"/>
    <w:rsid w:val="00123E3C"/>
    <w:rsid w:val="001241BC"/>
    <w:rsid w:val="001243CD"/>
    <w:rsid w:val="0012452E"/>
    <w:rsid w:val="00125011"/>
    <w:rsid w:val="00125709"/>
    <w:rsid w:val="00126000"/>
    <w:rsid w:val="00126180"/>
    <w:rsid w:val="001261A3"/>
    <w:rsid w:val="0012659A"/>
    <w:rsid w:val="00126959"/>
    <w:rsid w:val="00126CE5"/>
    <w:rsid w:val="001271E9"/>
    <w:rsid w:val="00127659"/>
    <w:rsid w:val="00127C38"/>
    <w:rsid w:val="00127CEC"/>
    <w:rsid w:val="0013055C"/>
    <w:rsid w:val="00130756"/>
    <w:rsid w:val="00130B2B"/>
    <w:rsid w:val="00130CB6"/>
    <w:rsid w:val="00131151"/>
    <w:rsid w:val="001315DC"/>
    <w:rsid w:val="0013234C"/>
    <w:rsid w:val="0013238B"/>
    <w:rsid w:val="00132670"/>
    <w:rsid w:val="00132AD4"/>
    <w:rsid w:val="00133089"/>
    <w:rsid w:val="00133A6A"/>
    <w:rsid w:val="00133C60"/>
    <w:rsid w:val="00133CAB"/>
    <w:rsid w:val="00133F5E"/>
    <w:rsid w:val="00134270"/>
    <w:rsid w:val="00134441"/>
    <w:rsid w:val="00134725"/>
    <w:rsid w:val="00134F32"/>
    <w:rsid w:val="00135845"/>
    <w:rsid w:val="00135D06"/>
    <w:rsid w:val="0013616C"/>
    <w:rsid w:val="001361D3"/>
    <w:rsid w:val="00136394"/>
    <w:rsid w:val="0013639C"/>
    <w:rsid w:val="00136674"/>
    <w:rsid w:val="001368AB"/>
    <w:rsid w:val="00137086"/>
    <w:rsid w:val="00137361"/>
    <w:rsid w:val="001377F0"/>
    <w:rsid w:val="001379B5"/>
    <w:rsid w:val="00140104"/>
    <w:rsid w:val="001405CE"/>
    <w:rsid w:val="0014169C"/>
    <w:rsid w:val="00142173"/>
    <w:rsid w:val="0014264D"/>
    <w:rsid w:val="00142815"/>
    <w:rsid w:val="00143943"/>
    <w:rsid w:val="00143AC2"/>
    <w:rsid w:val="00143C5F"/>
    <w:rsid w:val="00143CEC"/>
    <w:rsid w:val="001447CC"/>
    <w:rsid w:val="001453C4"/>
    <w:rsid w:val="001453C5"/>
    <w:rsid w:val="0014584C"/>
    <w:rsid w:val="001468C3"/>
    <w:rsid w:val="00146FDF"/>
    <w:rsid w:val="00147070"/>
    <w:rsid w:val="001473A7"/>
    <w:rsid w:val="00147759"/>
    <w:rsid w:val="001479F1"/>
    <w:rsid w:val="00147ADE"/>
    <w:rsid w:val="00150788"/>
    <w:rsid w:val="00150899"/>
    <w:rsid w:val="00150FA4"/>
    <w:rsid w:val="00151172"/>
    <w:rsid w:val="00151E6B"/>
    <w:rsid w:val="00151F96"/>
    <w:rsid w:val="001529A7"/>
    <w:rsid w:val="00152F05"/>
    <w:rsid w:val="001534C4"/>
    <w:rsid w:val="00153C36"/>
    <w:rsid w:val="00153E8C"/>
    <w:rsid w:val="0015459A"/>
    <w:rsid w:val="00154899"/>
    <w:rsid w:val="00154DFA"/>
    <w:rsid w:val="0015591E"/>
    <w:rsid w:val="00155D98"/>
    <w:rsid w:val="00155DE6"/>
    <w:rsid w:val="001560C9"/>
    <w:rsid w:val="00156118"/>
    <w:rsid w:val="00156486"/>
    <w:rsid w:val="001568EB"/>
    <w:rsid w:val="00157433"/>
    <w:rsid w:val="00157629"/>
    <w:rsid w:val="00157917"/>
    <w:rsid w:val="00157EAD"/>
    <w:rsid w:val="00157F04"/>
    <w:rsid w:val="00160366"/>
    <w:rsid w:val="00160870"/>
    <w:rsid w:val="00160AC9"/>
    <w:rsid w:val="00161204"/>
    <w:rsid w:val="001612D3"/>
    <w:rsid w:val="00161850"/>
    <w:rsid w:val="00161BED"/>
    <w:rsid w:val="00161F79"/>
    <w:rsid w:val="00162C8F"/>
    <w:rsid w:val="00162F10"/>
    <w:rsid w:val="00163A53"/>
    <w:rsid w:val="00164162"/>
    <w:rsid w:val="00164308"/>
    <w:rsid w:val="00164AF4"/>
    <w:rsid w:val="00164DAE"/>
    <w:rsid w:val="00164FE8"/>
    <w:rsid w:val="00165BB1"/>
    <w:rsid w:val="0016644D"/>
    <w:rsid w:val="001671DE"/>
    <w:rsid w:val="00167C3F"/>
    <w:rsid w:val="00167F6D"/>
    <w:rsid w:val="00170AC1"/>
    <w:rsid w:val="00170D72"/>
    <w:rsid w:val="00171226"/>
    <w:rsid w:val="001712C0"/>
    <w:rsid w:val="0017150E"/>
    <w:rsid w:val="00171686"/>
    <w:rsid w:val="00171738"/>
    <w:rsid w:val="0017288C"/>
    <w:rsid w:val="001728DF"/>
    <w:rsid w:val="00172E6C"/>
    <w:rsid w:val="00174BD1"/>
    <w:rsid w:val="00174DE4"/>
    <w:rsid w:val="00174EA9"/>
    <w:rsid w:val="00175524"/>
    <w:rsid w:val="00175A0D"/>
    <w:rsid w:val="00175E0E"/>
    <w:rsid w:val="00176D39"/>
    <w:rsid w:val="00177141"/>
    <w:rsid w:val="0017781F"/>
    <w:rsid w:val="00177911"/>
    <w:rsid w:val="00177B1F"/>
    <w:rsid w:val="0018018A"/>
    <w:rsid w:val="001812A8"/>
    <w:rsid w:val="00181670"/>
    <w:rsid w:val="001819A2"/>
    <w:rsid w:val="0018284C"/>
    <w:rsid w:val="00182C03"/>
    <w:rsid w:val="00182CE2"/>
    <w:rsid w:val="00183545"/>
    <w:rsid w:val="00183CA3"/>
    <w:rsid w:val="00183FE9"/>
    <w:rsid w:val="00184E36"/>
    <w:rsid w:val="00184E3B"/>
    <w:rsid w:val="00184F92"/>
    <w:rsid w:val="001850E6"/>
    <w:rsid w:val="001851C1"/>
    <w:rsid w:val="001853E2"/>
    <w:rsid w:val="00185539"/>
    <w:rsid w:val="001856A0"/>
    <w:rsid w:val="00185A76"/>
    <w:rsid w:val="001860C4"/>
    <w:rsid w:val="00186782"/>
    <w:rsid w:val="00186B56"/>
    <w:rsid w:val="00186B66"/>
    <w:rsid w:val="00187C0C"/>
    <w:rsid w:val="0019025B"/>
    <w:rsid w:val="00190437"/>
    <w:rsid w:val="001909D6"/>
    <w:rsid w:val="00190DAB"/>
    <w:rsid w:val="001913C3"/>
    <w:rsid w:val="00191477"/>
    <w:rsid w:val="0019156B"/>
    <w:rsid w:val="00191CD0"/>
    <w:rsid w:val="00191CD6"/>
    <w:rsid w:val="00191D9A"/>
    <w:rsid w:val="0019273B"/>
    <w:rsid w:val="00192D4A"/>
    <w:rsid w:val="00193204"/>
    <w:rsid w:val="00193447"/>
    <w:rsid w:val="00193A53"/>
    <w:rsid w:val="00193CF2"/>
    <w:rsid w:val="00193DB5"/>
    <w:rsid w:val="00193FAE"/>
    <w:rsid w:val="00194269"/>
    <w:rsid w:val="001944C9"/>
    <w:rsid w:val="00194628"/>
    <w:rsid w:val="001949E0"/>
    <w:rsid w:val="00194B29"/>
    <w:rsid w:val="00194C74"/>
    <w:rsid w:val="00194DB5"/>
    <w:rsid w:val="00195B38"/>
    <w:rsid w:val="00196093"/>
    <w:rsid w:val="00196238"/>
    <w:rsid w:val="0019626A"/>
    <w:rsid w:val="00196AC8"/>
    <w:rsid w:val="00196AD5"/>
    <w:rsid w:val="001974B3"/>
    <w:rsid w:val="001974E3"/>
    <w:rsid w:val="00197B7C"/>
    <w:rsid w:val="00197F21"/>
    <w:rsid w:val="001A01A5"/>
    <w:rsid w:val="001A0282"/>
    <w:rsid w:val="001A0407"/>
    <w:rsid w:val="001A09D1"/>
    <w:rsid w:val="001A0B5F"/>
    <w:rsid w:val="001A0BC7"/>
    <w:rsid w:val="001A15CE"/>
    <w:rsid w:val="001A15F2"/>
    <w:rsid w:val="001A1C60"/>
    <w:rsid w:val="001A1C6C"/>
    <w:rsid w:val="001A1ECB"/>
    <w:rsid w:val="001A2001"/>
    <w:rsid w:val="001A2A42"/>
    <w:rsid w:val="001A2F50"/>
    <w:rsid w:val="001A3327"/>
    <w:rsid w:val="001A3F4A"/>
    <w:rsid w:val="001A40D8"/>
    <w:rsid w:val="001A46A4"/>
    <w:rsid w:val="001A4CFF"/>
    <w:rsid w:val="001A56FD"/>
    <w:rsid w:val="001A5AA8"/>
    <w:rsid w:val="001A5D2B"/>
    <w:rsid w:val="001A676F"/>
    <w:rsid w:val="001A6A70"/>
    <w:rsid w:val="001A6DE4"/>
    <w:rsid w:val="001A6F33"/>
    <w:rsid w:val="001A7433"/>
    <w:rsid w:val="001A7617"/>
    <w:rsid w:val="001A7CBD"/>
    <w:rsid w:val="001B00A3"/>
    <w:rsid w:val="001B202A"/>
    <w:rsid w:val="001B23C8"/>
    <w:rsid w:val="001B249C"/>
    <w:rsid w:val="001B26AD"/>
    <w:rsid w:val="001B3DA4"/>
    <w:rsid w:val="001B3E80"/>
    <w:rsid w:val="001B3FBF"/>
    <w:rsid w:val="001B4004"/>
    <w:rsid w:val="001B4453"/>
    <w:rsid w:val="001B4C64"/>
    <w:rsid w:val="001B4F2C"/>
    <w:rsid w:val="001B5405"/>
    <w:rsid w:val="001B5442"/>
    <w:rsid w:val="001B5786"/>
    <w:rsid w:val="001B590C"/>
    <w:rsid w:val="001B59E6"/>
    <w:rsid w:val="001B5D4C"/>
    <w:rsid w:val="001B6CB3"/>
    <w:rsid w:val="001B6D49"/>
    <w:rsid w:val="001B6E28"/>
    <w:rsid w:val="001B6EB7"/>
    <w:rsid w:val="001B7C80"/>
    <w:rsid w:val="001B7DE1"/>
    <w:rsid w:val="001C0114"/>
    <w:rsid w:val="001C0EE0"/>
    <w:rsid w:val="001C0EEC"/>
    <w:rsid w:val="001C122B"/>
    <w:rsid w:val="001C138D"/>
    <w:rsid w:val="001C1532"/>
    <w:rsid w:val="001C161C"/>
    <w:rsid w:val="001C1E32"/>
    <w:rsid w:val="001C2120"/>
    <w:rsid w:val="001C2374"/>
    <w:rsid w:val="001C33C1"/>
    <w:rsid w:val="001C38B0"/>
    <w:rsid w:val="001C3BE9"/>
    <w:rsid w:val="001C3BF8"/>
    <w:rsid w:val="001C3D52"/>
    <w:rsid w:val="001C3FBE"/>
    <w:rsid w:val="001C43F9"/>
    <w:rsid w:val="001C4F4A"/>
    <w:rsid w:val="001C50DE"/>
    <w:rsid w:val="001C5103"/>
    <w:rsid w:val="001C5118"/>
    <w:rsid w:val="001C580F"/>
    <w:rsid w:val="001C58B9"/>
    <w:rsid w:val="001C60C2"/>
    <w:rsid w:val="001C681D"/>
    <w:rsid w:val="001C6ABA"/>
    <w:rsid w:val="001C6E79"/>
    <w:rsid w:val="001C6FF6"/>
    <w:rsid w:val="001D038F"/>
    <w:rsid w:val="001D0B5A"/>
    <w:rsid w:val="001D193F"/>
    <w:rsid w:val="001D1ED9"/>
    <w:rsid w:val="001D240D"/>
    <w:rsid w:val="001D24DF"/>
    <w:rsid w:val="001D26C9"/>
    <w:rsid w:val="001D2703"/>
    <w:rsid w:val="001D3051"/>
    <w:rsid w:val="001D36CD"/>
    <w:rsid w:val="001D3A7E"/>
    <w:rsid w:val="001D49E6"/>
    <w:rsid w:val="001D4E16"/>
    <w:rsid w:val="001D51DB"/>
    <w:rsid w:val="001D53CD"/>
    <w:rsid w:val="001D554B"/>
    <w:rsid w:val="001D59CE"/>
    <w:rsid w:val="001D5CA8"/>
    <w:rsid w:val="001D5CCD"/>
    <w:rsid w:val="001D5DF9"/>
    <w:rsid w:val="001D63D0"/>
    <w:rsid w:val="001D63DE"/>
    <w:rsid w:val="001D743C"/>
    <w:rsid w:val="001D749B"/>
    <w:rsid w:val="001D7C26"/>
    <w:rsid w:val="001D7D25"/>
    <w:rsid w:val="001E03C4"/>
    <w:rsid w:val="001E0459"/>
    <w:rsid w:val="001E07AA"/>
    <w:rsid w:val="001E1585"/>
    <w:rsid w:val="001E17A2"/>
    <w:rsid w:val="001E197B"/>
    <w:rsid w:val="001E1D2A"/>
    <w:rsid w:val="001E1D49"/>
    <w:rsid w:val="001E2036"/>
    <w:rsid w:val="001E2188"/>
    <w:rsid w:val="001E21C8"/>
    <w:rsid w:val="001E2326"/>
    <w:rsid w:val="001E27AA"/>
    <w:rsid w:val="001E2AE8"/>
    <w:rsid w:val="001E2CE0"/>
    <w:rsid w:val="001E2DCB"/>
    <w:rsid w:val="001E353F"/>
    <w:rsid w:val="001E35EE"/>
    <w:rsid w:val="001E3C6D"/>
    <w:rsid w:val="001E3F54"/>
    <w:rsid w:val="001E45A0"/>
    <w:rsid w:val="001E56E0"/>
    <w:rsid w:val="001E64FA"/>
    <w:rsid w:val="001E6F6D"/>
    <w:rsid w:val="001E72CD"/>
    <w:rsid w:val="001E76F3"/>
    <w:rsid w:val="001E77E0"/>
    <w:rsid w:val="001E7B1C"/>
    <w:rsid w:val="001F0971"/>
    <w:rsid w:val="001F0D06"/>
    <w:rsid w:val="001F1017"/>
    <w:rsid w:val="001F1823"/>
    <w:rsid w:val="001F1C1E"/>
    <w:rsid w:val="001F1ED2"/>
    <w:rsid w:val="001F20E6"/>
    <w:rsid w:val="001F2723"/>
    <w:rsid w:val="001F2CE5"/>
    <w:rsid w:val="001F2F3C"/>
    <w:rsid w:val="001F3F89"/>
    <w:rsid w:val="001F3FFB"/>
    <w:rsid w:val="001F4263"/>
    <w:rsid w:val="001F4318"/>
    <w:rsid w:val="001F434C"/>
    <w:rsid w:val="001F4619"/>
    <w:rsid w:val="001F4676"/>
    <w:rsid w:val="001F582D"/>
    <w:rsid w:val="001F583B"/>
    <w:rsid w:val="001F598B"/>
    <w:rsid w:val="001F615D"/>
    <w:rsid w:val="001F6889"/>
    <w:rsid w:val="001F705F"/>
    <w:rsid w:val="001F7255"/>
    <w:rsid w:val="001F7374"/>
    <w:rsid w:val="001F7ACF"/>
    <w:rsid w:val="00200336"/>
    <w:rsid w:val="00200683"/>
    <w:rsid w:val="00200B19"/>
    <w:rsid w:val="00200DA0"/>
    <w:rsid w:val="00201198"/>
    <w:rsid w:val="0020147E"/>
    <w:rsid w:val="00201A69"/>
    <w:rsid w:val="00202077"/>
    <w:rsid w:val="00202956"/>
    <w:rsid w:val="002029A4"/>
    <w:rsid w:val="00202A03"/>
    <w:rsid w:val="00202EDC"/>
    <w:rsid w:val="0020309D"/>
    <w:rsid w:val="0020443A"/>
    <w:rsid w:val="00204AF2"/>
    <w:rsid w:val="00204B8F"/>
    <w:rsid w:val="00204E66"/>
    <w:rsid w:val="00206093"/>
    <w:rsid w:val="002060A9"/>
    <w:rsid w:val="002061F6"/>
    <w:rsid w:val="0020693B"/>
    <w:rsid w:val="0020724E"/>
    <w:rsid w:val="0020728D"/>
    <w:rsid w:val="00207392"/>
    <w:rsid w:val="002100ED"/>
    <w:rsid w:val="00210120"/>
    <w:rsid w:val="002105C5"/>
    <w:rsid w:val="00210AE7"/>
    <w:rsid w:val="00210F68"/>
    <w:rsid w:val="0021101D"/>
    <w:rsid w:val="002117B6"/>
    <w:rsid w:val="00212760"/>
    <w:rsid w:val="00212E91"/>
    <w:rsid w:val="00213722"/>
    <w:rsid w:val="002137ED"/>
    <w:rsid w:val="00214EB2"/>
    <w:rsid w:val="002150D5"/>
    <w:rsid w:val="002152E0"/>
    <w:rsid w:val="0021532F"/>
    <w:rsid w:val="00216197"/>
    <w:rsid w:val="0021663E"/>
    <w:rsid w:val="00217200"/>
    <w:rsid w:val="0021729A"/>
    <w:rsid w:val="00217450"/>
    <w:rsid w:val="00217A09"/>
    <w:rsid w:val="002202E7"/>
    <w:rsid w:val="00220733"/>
    <w:rsid w:val="00220A98"/>
    <w:rsid w:val="00220D82"/>
    <w:rsid w:val="00221973"/>
    <w:rsid w:val="002225BA"/>
    <w:rsid w:val="0022284F"/>
    <w:rsid w:val="0022296C"/>
    <w:rsid w:val="00222C94"/>
    <w:rsid w:val="00222E0E"/>
    <w:rsid w:val="00222FFF"/>
    <w:rsid w:val="0022304C"/>
    <w:rsid w:val="00224567"/>
    <w:rsid w:val="002245EB"/>
    <w:rsid w:val="00225546"/>
    <w:rsid w:val="002255D4"/>
    <w:rsid w:val="00225936"/>
    <w:rsid w:val="00225B56"/>
    <w:rsid w:val="00225FC7"/>
    <w:rsid w:val="00226200"/>
    <w:rsid w:val="00226402"/>
    <w:rsid w:val="00226857"/>
    <w:rsid w:val="00226AAA"/>
    <w:rsid w:val="00226BE1"/>
    <w:rsid w:val="00227C7D"/>
    <w:rsid w:val="00227F65"/>
    <w:rsid w:val="00230144"/>
    <w:rsid w:val="00230270"/>
    <w:rsid w:val="00230707"/>
    <w:rsid w:val="00230D8E"/>
    <w:rsid w:val="00230F3A"/>
    <w:rsid w:val="002319D0"/>
    <w:rsid w:val="00231ACA"/>
    <w:rsid w:val="00231F8D"/>
    <w:rsid w:val="00232747"/>
    <w:rsid w:val="002329F3"/>
    <w:rsid w:val="00232AD6"/>
    <w:rsid w:val="00232D02"/>
    <w:rsid w:val="00232FA8"/>
    <w:rsid w:val="00233249"/>
    <w:rsid w:val="002336AC"/>
    <w:rsid w:val="00233CEE"/>
    <w:rsid w:val="00234783"/>
    <w:rsid w:val="002349E0"/>
    <w:rsid w:val="00235448"/>
    <w:rsid w:val="00235DA3"/>
    <w:rsid w:val="00235F4A"/>
    <w:rsid w:val="00236223"/>
    <w:rsid w:val="00236300"/>
    <w:rsid w:val="00236464"/>
    <w:rsid w:val="00236A22"/>
    <w:rsid w:val="00236AE8"/>
    <w:rsid w:val="0023733D"/>
    <w:rsid w:val="00237860"/>
    <w:rsid w:val="0023786E"/>
    <w:rsid w:val="002401D1"/>
    <w:rsid w:val="00240954"/>
    <w:rsid w:val="00240EA6"/>
    <w:rsid w:val="002415D7"/>
    <w:rsid w:val="00241841"/>
    <w:rsid w:val="00241AB8"/>
    <w:rsid w:val="00241F64"/>
    <w:rsid w:val="00242568"/>
    <w:rsid w:val="00242569"/>
    <w:rsid w:val="00242E43"/>
    <w:rsid w:val="00242FF0"/>
    <w:rsid w:val="00243740"/>
    <w:rsid w:val="00243797"/>
    <w:rsid w:val="0024393D"/>
    <w:rsid w:val="002439BE"/>
    <w:rsid w:val="00243C5B"/>
    <w:rsid w:val="00243D1E"/>
    <w:rsid w:val="00243E67"/>
    <w:rsid w:val="00243ED3"/>
    <w:rsid w:val="0024409F"/>
    <w:rsid w:val="002440CC"/>
    <w:rsid w:val="00245E5F"/>
    <w:rsid w:val="00246232"/>
    <w:rsid w:val="00246845"/>
    <w:rsid w:val="00247689"/>
    <w:rsid w:val="00247B80"/>
    <w:rsid w:val="00247E58"/>
    <w:rsid w:val="00250110"/>
    <w:rsid w:val="0025022E"/>
    <w:rsid w:val="00250964"/>
    <w:rsid w:val="00250C92"/>
    <w:rsid w:val="00250CCD"/>
    <w:rsid w:val="00250CD8"/>
    <w:rsid w:val="0025171C"/>
    <w:rsid w:val="00251AC8"/>
    <w:rsid w:val="002529C6"/>
    <w:rsid w:val="00252A82"/>
    <w:rsid w:val="00252CA7"/>
    <w:rsid w:val="00252E83"/>
    <w:rsid w:val="0025389B"/>
    <w:rsid w:val="00253A81"/>
    <w:rsid w:val="00253E7D"/>
    <w:rsid w:val="00254794"/>
    <w:rsid w:val="00254E26"/>
    <w:rsid w:val="0025509B"/>
    <w:rsid w:val="002551F9"/>
    <w:rsid w:val="002556BC"/>
    <w:rsid w:val="002559F7"/>
    <w:rsid w:val="00255A0F"/>
    <w:rsid w:val="00255A17"/>
    <w:rsid w:val="00255CA4"/>
    <w:rsid w:val="00255F60"/>
    <w:rsid w:val="0025619C"/>
    <w:rsid w:val="002561F1"/>
    <w:rsid w:val="0025698D"/>
    <w:rsid w:val="002569EB"/>
    <w:rsid w:val="00256D68"/>
    <w:rsid w:val="00256DA8"/>
    <w:rsid w:val="00257D7B"/>
    <w:rsid w:val="00260189"/>
    <w:rsid w:val="00260B93"/>
    <w:rsid w:val="00260C2A"/>
    <w:rsid w:val="0026108E"/>
    <w:rsid w:val="00261422"/>
    <w:rsid w:val="0026190F"/>
    <w:rsid w:val="00261A32"/>
    <w:rsid w:val="00261FA7"/>
    <w:rsid w:val="00262C13"/>
    <w:rsid w:val="00263BED"/>
    <w:rsid w:val="00263E5D"/>
    <w:rsid w:val="0026446D"/>
    <w:rsid w:val="002645F7"/>
    <w:rsid w:val="00264A8A"/>
    <w:rsid w:val="0026513D"/>
    <w:rsid w:val="00265240"/>
    <w:rsid w:val="00265549"/>
    <w:rsid w:val="0026576C"/>
    <w:rsid w:val="00265EE2"/>
    <w:rsid w:val="002660C8"/>
    <w:rsid w:val="002660CD"/>
    <w:rsid w:val="002665C2"/>
    <w:rsid w:val="002666FE"/>
    <w:rsid w:val="002668AF"/>
    <w:rsid w:val="00266BA4"/>
    <w:rsid w:val="00266F00"/>
    <w:rsid w:val="0026747C"/>
    <w:rsid w:val="00267A9A"/>
    <w:rsid w:val="00267E5F"/>
    <w:rsid w:val="00270C57"/>
    <w:rsid w:val="0027114A"/>
    <w:rsid w:val="00271180"/>
    <w:rsid w:val="00271853"/>
    <w:rsid w:val="00271FA0"/>
    <w:rsid w:val="00272454"/>
    <w:rsid w:val="00273245"/>
    <w:rsid w:val="002735B5"/>
    <w:rsid w:val="0027389C"/>
    <w:rsid w:val="002743A2"/>
    <w:rsid w:val="00274630"/>
    <w:rsid w:val="00274B77"/>
    <w:rsid w:val="00274F3B"/>
    <w:rsid w:val="00274FFB"/>
    <w:rsid w:val="0027596A"/>
    <w:rsid w:val="00275AD5"/>
    <w:rsid w:val="00275F4D"/>
    <w:rsid w:val="0027606F"/>
    <w:rsid w:val="00276745"/>
    <w:rsid w:val="002776B8"/>
    <w:rsid w:val="00277919"/>
    <w:rsid w:val="00277CB6"/>
    <w:rsid w:val="00277E8C"/>
    <w:rsid w:val="00280527"/>
    <w:rsid w:val="00280A57"/>
    <w:rsid w:val="00280AA7"/>
    <w:rsid w:val="00280DB1"/>
    <w:rsid w:val="00281078"/>
    <w:rsid w:val="00281D97"/>
    <w:rsid w:val="002821B6"/>
    <w:rsid w:val="002822AE"/>
    <w:rsid w:val="002823A5"/>
    <w:rsid w:val="00282670"/>
    <w:rsid w:val="00282A3F"/>
    <w:rsid w:val="00282BFF"/>
    <w:rsid w:val="00282E6F"/>
    <w:rsid w:val="002831F2"/>
    <w:rsid w:val="00283AF0"/>
    <w:rsid w:val="00284374"/>
    <w:rsid w:val="00284954"/>
    <w:rsid w:val="00284E3E"/>
    <w:rsid w:val="00284ECE"/>
    <w:rsid w:val="00284FC4"/>
    <w:rsid w:val="002852B5"/>
    <w:rsid w:val="00285BDF"/>
    <w:rsid w:val="00285E15"/>
    <w:rsid w:val="002867A8"/>
    <w:rsid w:val="00286A7B"/>
    <w:rsid w:val="002872AD"/>
    <w:rsid w:val="0028745F"/>
    <w:rsid w:val="00287AE6"/>
    <w:rsid w:val="002902AD"/>
    <w:rsid w:val="00290730"/>
    <w:rsid w:val="0029084E"/>
    <w:rsid w:val="00290BED"/>
    <w:rsid w:val="0029136A"/>
    <w:rsid w:val="00292C38"/>
    <w:rsid w:val="00292CD8"/>
    <w:rsid w:val="002932F6"/>
    <w:rsid w:val="002934B2"/>
    <w:rsid w:val="002937C2"/>
    <w:rsid w:val="00293872"/>
    <w:rsid w:val="00293C74"/>
    <w:rsid w:val="00294016"/>
    <w:rsid w:val="002945B4"/>
    <w:rsid w:val="002945C2"/>
    <w:rsid w:val="0029461A"/>
    <w:rsid w:val="00294A24"/>
    <w:rsid w:val="00294F32"/>
    <w:rsid w:val="002950E4"/>
    <w:rsid w:val="002956EF"/>
    <w:rsid w:val="00295B5B"/>
    <w:rsid w:val="00295BB4"/>
    <w:rsid w:val="00295CB1"/>
    <w:rsid w:val="00296277"/>
    <w:rsid w:val="00296814"/>
    <w:rsid w:val="00297153"/>
    <w:rsid w:val="002979F8"/>
    <w:rsid w:val="00297C2A"/>
    <w:rsid w:val="00297D29"/>
    <w:rsid w:val="002A0606"/>
    <w:rsid w:val="002A0971"/>
    <w:rsid w:val="002A0D58"/>
    <w:rsid w:val="002A0DEF"/>
    <w:rsid w:val="002A0F99"/>
    <w:rsid w:val="002A0FE2"/>
    <w:rsid w:val="002A1AAC"/>
    <w:rsid w:val="002A1C2D"/>
    <w:rsid w:val="002A257C"/>
    <w:rsid w:val="002A3332"/>
    <w:rsid w:val="002A3418"/>
    <w:rsid w:val="002A3427"/>
    <w:rsid w:val="002A38D7"/>
    <w:rsid w:val="002A440F"/>
    <w:rsid w:val="002A55EC"/>
    <w:rsid w:val="002A56D3"/>
    <w:rsid w:val="002A58C1"/>
    <w:rsid w:val="002A5FAB"/>
    <w:rsid w:val="002A66A7"/>
    <w:rsid w:val="002A7323"/>
    <w:rsid w:val="002A7577"/>
    <w:rsid w:val="002A75BE"/>
    <w:rsid w:val="002A76F2"/>
    <w:rsid w:val="002A7905"/>
    <w:rsid w:val="002B0BAC"/>
    <w:rsid w:val="002B0D0C"/>
    <w:rsid w:val="002B0D82"/>
    <w:rsid w:val="002B1052"/>
    <w:rsid w:val="002B14C5"/>
    <w:rsid w:val="002B1925"/>
    <w:rsid w:val="002B1FF5"/>
    <w:rsid w:val="002B208B"/>
    <w:rsid w:val="002B219C"/>
    <w:rsid w:val="002B2593"/>
    <w:rsid w:val="002B261A"/>
    <w:rsid w:val="002B2A8D"/>
    <w:rsid w:val="002B2AD7"/>
    <w:rsid w:val="002B2CA8"/>
    <w:rsid w:val="002B3201"/>
    <w:rsid w:val="002B4927"/>
    <w:rsid w:val="002B4E0E"/>
    <w:rsid w:val="002B5A70"/>
    <w:rsid w:val="002B5CD4"/>
    <w:rsid w:val="002B5D72"/>
    <w:rsid w:val="002B5DCD"/>
    <w:rsid w:val="002B6A8C"/>
    <w:rsid w:val="002B7C02"/>
    <w:rsid w:val="002C00DF"/>
    <w:rsid w:val="002C13CD"/>
    <w:rsid w:val="002C16D4"/>
    <w:rsid w:val="002C18DA"/>
    <w:rsid w:val="002C1996"/>
    <w:rsid w:val="002C1B03"/>
    <w:rsid w:val="002C1BD7"/>
    <w:rsid w:val="002C1C0B"/>
    <w:rsid w:val="002C1C53"/>
    <w:rsid w:val="002C1FD9"/>
    <w:rsid w:val="002C3020"/>
    <w:rsid w:val="002C3DBF"/>
    <w:rsid w:val="002C405A"/>
    <w:rsid w:val="002C4134"/>
    <w:rsid w:val="002C4272"/>
    <w:rsid w:val="002C573C"/>
    <w:rsid w:val="002C5BD8"/>
    <w:rsid w:val="002C5DB1"/>
    <w:rsid w:val="002C649A"/>
    <w:rsid w:val="002C6578"/>
    <w:rsid w:val="002C66D9"/>
    <w:rsid w:val="002C6E8C"/>
    <w:rsid w:val="002C73F5"/>
    <w:rsid w:val="002C770A"/>
    <w:rsid w:val="002C7D0E"/>
    <w:rsid w:val="002D13F2"/>
    <w:rsid w:val="002D1694"/>
    <w:rsid w:val="002D1725"/>
    <w:rsid w:val="002D1A06"/>
    <w:rsid w:val="002D21BB"/>
    <w:rsid w:val="002D2409"/>
    <w:rsid w:val="002D2712"/>
    <w:rsid w:val="002D288C"/>
    <w:rsid w:val="002D2E8F"/>
    <w:rsid w:val="002D3549"/>
    <w:rsid w:val="002D35CF"/>
    <w:rsid w:val="002D3E2F"/>
    <w:rsid w:val="002D435A"/>
    <w:rsid w:val="002D4975"/>
    <w:rsid w:val="002D4B1F"/>
    <w:rsid w:val="002D4CAE"/>
    <w:rsid w:val="002D4DC1"/>
    <w:rsid w:val="002D56DC"/>
    <w:rsid w:val="002D5DC7"/>
    <w:rsid w:val="002D5F44"/>
    <w:rsid w:val="002D6712"/>
    <w:rsid w:val="002D6A3D"/>
    <w:rsid w:val="002D7A26"/>
    <w:rsid w:val="002D7C0C"/>
    <w:rsid w:val="002E046E"/>
    <w:rsid w:val="002E0625"/>
    <w:rsid w:val="002E0AFF"/>
    <w:rsid w:val="002E0E6E"/>
    <w:rsid w:val="002E10AA"/>
    <w:rsid w:val="002E19C3"/>
    <w:rsid w:val="002E1D4F"/>
    <w:rsid w:val="002E1EDD"/>
    <w:rsid w:val="002E1F5B"/>
    <w:rsid w:val="002E1FB0"/>
    <w:rsid w:val="002E1FF8"/>
    <w:rsid w:val="002E218C"/>
    <w:rsid w:val="002E23E2"/>
    <w:rsid w:val="002E259A"/>
    <w:rsid w:val="002E266A"/>
    <w:rsid w:val="002E29F3"/>
    <w:rsid w:val="002E2C97"/>
    <w:rsid w:val="002E2DF4"/>
    <w:rsid w:val="002E2F65"/>
    <w:rsid w:val="002E353D"/>
    <w:rsid w:val="002E3D9E"/>
    <w:rsid w:val="002E3E21"/>
    <w:rsid w:val="002E40BD"/>
    <w:rsid w:val="002E4695"/>
    <w:rsid w:val="002E47A1"/>
    <w:rsid w:val="002E4A85"/>
    <w:rsid w:val="002E52E6"/>
    <w:rsid w:val="002E53A8"/>
    <w:rsid w:val="002E5496"/>
    <w:rsid w:val="002E5B90"/>
    <w:rsid w:val="002E61A4"/>
    <w:rsid w:val="002E7000"/>
    <w:rsid w:val="002E7096"/>
    <w:rsid w:val="002E7267"/>
    <w:rsid w:val="002E78A8"/>
    <w:rsid w:val="002E7E1B"/>
    <w:rsid w:val="002E7E58"/>
    <w:rsid w:val="002F0258"/>
    <w:rsid w:val="002F063D"/>
    <w:rsid w:val="002F0AD7"/>
    <w:rsid w:val="002F0DE1"/>
    <w:rsid w:val="002F12DD"/>
    <w:rsid w:val="002F1C90"/>
    <w:rsid w:val="002F1E83"/>
    <w:rsid w:val="002F210D"/>
    <w:rsid w:val="002F215B"/>
    <w:rsid w:val="002F216C"/>
    <w:rsid w:val="002F28B0"/>
    <w:rsid w:val="002F2BDE"/>
    <w:rsid w:val="002F3C88"/>
    <w:rsid w:val="002F3E6A"/>
    <w:rsid w:val="002F4014"/>
    <w:rsid w:val="002F4420"/>
    <w:rsid w:val="002F4C00"/>
    <w:rsid w:val="002F4C82"/>
    <w:rsid w:val="002F50D0"/>
    <w:rsid w:val="002F5C12"/>
    <w:rsid w:val="002F62E7"/>
    <w:rsid w:val="002F63C7"/>
    <w:rsid w:val="002F641F"/>
    <w:rsid w:val="002F67FF"/>
    <w:rsid w:val="002F7FB0"/>
    <w:rsid w:val="00300220"/>
    <w:rsid w:val="00300A3E"/>
    <w:rsid w:val="00300AD8"/>
    <w:rsid w:val="00300BE4"/>
    <w:rsid w:val="00300BF4"/>
    <w:rsid w:val="00300E2B"/>
    <w:rsid w:val="0030118B"/>
    <w:rsid w:val="0030185B"/>
    <w:rsid w:val="003018D1"/>
    <w:rsid w:val="00301B23"/>
    <w:rsid w:val="00301C15"/>
    <w:rsid w:val="00301D32"/>
    <w:rsid w:val="003020E2"/>
    <w:rsid w:val="00302923"/>
    <w:rsid w:val="00302B08"/>
    <w:rsid w:val="00302C53"/>
    <w:rsid w:val="0030334E"/>
    <w:rsid w:val="00303FB7"/>
    <w:rsid w:val="00304120"/>
    <w:rsid w:val="00304827"/>
    <w:rsid w:val="003048C6"/>
    <w:rsid w:val="00304944"/>
    <w:rsid w:val="00304A9C"/>
    <w:rsid w:val="00305574"/>
    <w:rsid w:val="00305980"/>
    <w:rsid w:val="00305AEB"/>
    <w:rsid w:val="00305C5F"/>
    <w:rsid w:val="00306171"/>
    <w:rsid w:val="00306C93"/>
    <w:rsid w:val="00306E9C"/>
    <w:rsid w:val="003075A1"/>
    <w:rsid w:val="003106B3"/>
    <w:rsid w:val="00310E01"/>
    <w:rsid w:val="00311823"/>
    <w:rsid w:val="00312499"/>
    <w:rsid w:val="00312AD9"/>
    <w:rsid w:val="00312B00"/>
    <w:rsid w:val="00312FA8"/>
    <w:rsid w:val="003131F8"/>
    <w:rsid w:val="00313917"/>
    <w:rsid w:val="00313AD3"/>
    <w:rsid w:val="00313B9C"/>
    <w:rsid w:val="00313C47"/>
    <w:rsid w:val="00313E89"/>
    <w:rsid w:val="003149B0"/>
    <w:rsid w:val="00314ADC"/>
    <w:rsid w:val="00314E64"/>
    <w:rsid w:val="00314FC7"/>
    <w:rsid w:val="0031527B"/>
    <w:rsid w:val="003152DE"/>
    <w:rsid w:val="00315987"/>
    <w:rsid w:val="00315FFB"/>
    <w:rsid w:val="0031625F"/>
    <w:rsid w:val="0031631C"/>
    <w:rsid w:val="003168B6"/>
    <w:rsid w:val="00316D43"/>
    <w:rsid w:val="00316F1A"/>
    <w:rsid w:val="003170DC"/>
    <w:rsid w:val="00317489"/>
    <w:rsid w:val="003177DC"/>
    <w:rsid w:val="00317E8C"/>
    <w:rsid w:val="00317FF2"/>
    <w:rsid w:val="003200FA"/>
    <w:rsid w:val="00320194"/>
    <w:rsid w:val="0032026F"/>
    <w:rsid w:val="0032061F"/>
    <w:rsid w:val="00321225"/>
    <w:rsid w:val="0032178B"/>
    <w:rsid w:val="003217C8"/>
    <w:rsid w:val="0032197B"/>
    <w:rsid w:val="00321B18"/>
    <w:rsid w:val="00322C50"/>
    <w:rsid w:val="00322EC5"/>
    <w:rsid w:val="003232DE"/>
    <w:rsid w:val="00323CAC"/>
    <w:rsid w:val="00324BDD"/>
    <w:rsid w:val="003251EF"/>
    <w:rsid w:val="0032546D"/>
    <w:rsid w:val="00325B21"/>
    <w:rsid w:val="00325BD9"/>
    <w:rsid w:val="00325C9B"/>
    <w:rsid w:val="00326627"/>
    <w:rsid w:val="00326EF5"/>
    <w:rsid w:val="00327790"/>
    <w:rsid w:val="003279E2"/>
    <w:rsid w:val="00330BD8"/>
    <w:rsid w:val="00331203"/>
    <w:rsid w:val="003312BE"/>
    <w:rsid w:val="00331B48"/>
    <w:rsid w:val="00331E63"/>
    <w:rsid w:val="0033241C"/>
    <w:rsid w:val="00332EA4"/>
    <w:rsid w:val="00333298"/>
    <w:rsid w:val="003332D0"/>
    <w:rsid w:val="00333476"/>
    <w:rsid w:val="003334A4"/>
    <w:rsid w:val="00333FAF"/>
    <w:rsid w:val="00333FB8"/>
    <w:rsid w:val="003343FC"/>
    <w:rsid w:val="00334A3B"/>
    <w:rsid w:val="0033577B"/>
    <w:rsid w:val="00336F45"/>
    <w:rsid w:val="0033751E"/>
    <w:rsid w:val="003376C0"/>
    <w:rsid w:val="00340106"/>
    <w:rsid w:val="0034059B"/>
    <w:rsid w:val="003405B1"/>
    <w:rsid w:val="003405F2"/>
    <w:rsid w:val="00341249"/>
    <w:rsid w:val="00341339"/>
    <w:rsid w:val="003425F8"/>
    <w:rsid w:val="003443A1"/>
    <w:rsid w:val="003443BC"/>
    <w:rsid w:val="00345066"/>
    <w:rsid w:val="003453FD"/>
    <w:rsid w:val="003456B5"/>
    <w:rsid w:val="00346130"/>
    <w:rsid w:val="0034616F"/>
    <w:rsid w:val="00346216"/>
    <w:rsid w:val="00346324"/>
    <w:rsid w:val="00346532"/>
    <w:rsid w:val="00346E7F"/>
    <w:rsid w:val="00347A65"/>
    <w:rsid w:val="00347A7B"/>
    <w:rsid w:val="00347B79"/>
    <w:rsid w:val="003500D6"/>
    <w:rsid w:val="003507EE"/>
    <w:rsid w:val="00350D6C"/>
    <w:rsid w:val="00351200"/>
    <w:rsid w:val="003515C3"/>
    <w:rsid w:val="00351B41"/>
    <w:rsid w:val="0035288A"/>
    <w:rsid w:val="00352A54"/>
    <w:rsid w:val="00352F6B"/>
    <w:rsid w:val="003530A1"/>
    <w:rsid w:val="00353797"/>
    <w:rsid w:val="0035393B"/>
    <w:rsid w:val="003539F7"/>
    <w:rsid w:val="00353A2A"/>
    <w:rsid w:val="00353FB0"/>
    <w:rsid w:val="00354A51"/>
    <w:rsid w:val="00354B16"/>
    <w:rsid w:val="00355D3A"/>
    <w:rsid w:val="00356237"/>
    <w:rsid w:val="003563DF"/>
    <w:rsid w:val="00356704"/>
    <w:rsid w:val="00356C57"/>
    <w:rsid w:val="00356D3F"/>
    <w:rsid w:val="00356EB4"/>
    <w:rsid w:val="00356F94"/>
    <w:rsid w:val="00357304"/>
    <w:rsid w:val="00357482"/>
    <w:rsid w:val="00357B13"/>
    <w:rsid w:val="00357FEE"/>
    <w:rsid w:val="00360185"/>
    <w:rsid w:val="003607AE"/>
    <w:rsid w:val="00360CE7"/>
    <w:rsid w:val="00360D64"/>
    <w:rsid w:val="00361612"/>
    <w:rsid w:val="00361819"/>
    <w:rsid w:val="00361A3A"/>
    <w:rsid w:val="00361B37"/>
    <w:rsid w:val="003623A3"/>
    <w:rsid w:val="00362753"/>
    <w:rsid w:val="00362F04"/>
    <w:rsid w:val="00362F59"/>
    <w:rsid w:val="003639C4"/>
    <w:rsid w:val="00363A81"/>
    <w:rsid w:val="0036461F"/>
    <w:rsid w:val="00364F97"/>
    <w:rsid w:val="0036504A"/>
    <w:rsid w:val="00365B48"/>
    <w:rsid w:val="00365E82"/>
    <w:rsid w:val="0036663A"/>
    <w:rsid w:val="00366DA3"/>
    <w:rsid w:val="00366F19"/>
    <w:rsid w:val="003673E3"/>
    <w:rsid w:val="00367653"/>
    <w:rsid w:val="003678D3"/>
    <w:rsid w:val="0037001D"/>
    <w:rsid w:val="0037027D"/>
    <w:rsid w:val="0037036D"/>
    <w:rsid w:val="00370A50"/>
    <w:rsid w:val="00370DAA"/>
    <w:rsid w:val="00370F4F"/>
    <w:rsid w:val="003716E1"/>
    <w:rsid w:val="00371CF7"/>
    <w:rsid w:val="00372314"/>
    <w:rsid w:val="003725FD"/>
    <w:rsid w:val="00373ACA"/>
    <w:rsid w:val="00373AE1"/>
    <w:rsid w:val="00373F75"/>
    <w:rsid w:val="00374146"/>
    <w:rsid w:val="00374258"/>
    <w:rsid w:val="00374282"/>
    <w:rsid w:val="00374655"/>
    <w:rsid w:val="00374724"/>
    <w:rsid w:val="00374D94"/>
    <w:rsid w:val="00375244"/>
    <w:rsid w:val="003758F9"/>
    <w:rsid w:val="00376021"/>
    <w:rsid w:val="0037624B"/>
    <w:rsid w:val="00376347"/>
    <w:rsid w:val="00376776"/>
    <w:rsid w:val="00376AB9"/>
    <w:rsid w:val="00376D0E"/>
    <w:rsid w:val="00376DC7"/>
    <w:rsid w:val="00376E50"/>
    <w:rsid w:val="003772D4"/>
    <w:rsid w:val="00377535"/>
    <w:rsid w:val="00380503"/>
    <w:rsid w:val="003812B4"/>
    <w:rsid w:val="00381775"/>
    <w:rsid w:val="003818B6"/>
    <w:rsid w:val="00382253"/>
    <w:rsid w:val="003823F1"/>
    <w:rsid w:val="0038270E"/>
    <w:rsid w:val="00382A84"/>
    <w:rsid w:val="00382ED2"/>
    <w:rsid w:val="003838BA"/>
    <w:rsid w:val="00383956"/>
    <w:rsid w:val="00383C22"/>
    <w:rsid w:val="0038451F"/>
    <w:rsid w:val="0038456C"/>
    <w:rsid w:val="0038570A"/>
    <w:rsid w:val="0038590F"/>
    <w:rsid w:val="00385E97"/>
    <w:rsid w:val="00385FB6"/>
    <w:rsid w:val="00386214"/>
    <w:rsid w:val="003862BD"/>
    <w:rsid w:val="0038768C"/>
    <w:rsid w:val="00387A67"/>
    <w:rsid w:val="003907E9"/>
    <w:rsid w:val="00390B09"/>
    <w:rsid w:val="00390DC6"/>
    <w:rsid w:val="003917F9"/>
    <w:rsid w:val="0039194F"/>
    <w:rsid w:val="00391F09"/>
    <w:rsid w:val="003925A4"/>
    <w:rsid w:val="00392800"/>
    <w:rsid w:val="00392E50"/>
    <w:rsid w:val="00393A49"/>
    <w:rsid w:val="00394052"/>
    <w:rsid w:val="00394913"/>
    <w:rsid w:val="00394BDC"/>
    <w:rsid w:val="0039536D"/>
    <w:rsid w:val="00395470"/>
    <w:rsid w:val="0039591D"/>
    <w:rsid w:val="00395B98"/>
    <w:rsid w:val="00395FA6"/>
    <w:rsid w:val="0039642B"/>
    <w:rsid w:val="003966E8"/>
    <w:rsid w:val="00396AFB"/>
    <w:rsid w:val="00396CE8"/>
    <w:rsid w:val="00396EA8"/>
    <w:rsid w:val="0039765A"/>
    <w:rsid w:val="0039781C"/>
    <w:rsid w:val="003A086E"/>
    <w:rsid w:val="003A0A18"/>
    <w:rsid w:val="003A0C47"/>
    <w:rsid w:val="003A127F"/>
    <w:rsid w:val="003A199B"/>
    <w:rsid w:val="003A2681"/>
    <w:rsid w:val="003A2C38"/>
    <w:rsid w:val="003A3276"/>
    <w:rsid w:val="003A32C3"/>
    <w:rsid w:val="003A3693"/>
    <w:rsid w:val="003A37C9"/>
    <w:rsid w:val="003A4342"/>
    <w:rsid w:val="003A44CE"/>
    <w:rsid w:val="003A543C"/>
    <w:rsid w:val="003A57DC"/>
    <w:rsid w:val="003A6452"/>
    <w:rsid w:val="003A6832"/>
    <w:rsid w:val="003A6C72"/>
    <w:rsid w:val="003B0403"/>
    <w:rsid w:val="003B055D"/>
    <w:rsid w:val="003B0833"/>
    <w:rsid w:val="003B0A2B"/>
    <w:rsid w:val="003B0C20"/>
    <w:rsid w:val="003B11A5"/>
    <w:rsid w:val="003B1AC4"/>
    <w:rsid w:val="003B1BBB"/>
    <w:rsid w:val="003B1F69"/>
    <w:rsid w:val="003B21A3"/>
    <w:rsid w:val="003B2228"/>
    <w:rsid w:val="003B24D6"/>
    <w:rsid w:val="003B27D7"/>
    <w:rsid w:val="003B28BB"/>
    <w:rsid w:val="003B2985"/>
    <w:rsid w:val="003B2B83"/>
    <w:rsid w:val="003B2E96"/>
    <w:rsid w:val="003B311A"/>
    <w:rsid w:val="003B3525"/>
    <w:rsid w:val="003B3C49"/>
    <w:rsid w:val="003B3D3E"/>
    <w:rsid w:val="003B436E"/>
    <w:rsid w:val="003B43A0"/>
    <w:rsid w:val="003B47DA"/>
    <w:rsid w:val="003B4E4A"/>
    <w:rsid w:val="003B5000"/>
    <w:rsid w:val="003B52B9"/>
    <w:rsid w:val="003B6A17"/>
    <w:rsid w:val="003B6B75"/>
    <w:rsid w:val="003B6BC3"/>
    <w:rsid w:val="003B72A1"/>
    <w:rsid w:val="003B75D4"/>
    <w:rsid w:val="003B78A3"/>
    <w:rsid w:val="003C00E1"/>
    <w:rsid w:val="003C035F"/>
    <w:rsid w:val="003C0571"/>
    <w:rsid w:val="003C189C"/>
    <w:rsid w:val="003C1D09"/>
    <w:rsid w:val="003C2638"/>
    <w:rsid w:val="003C32D6"/>
    <w:rsid w:val="003C3924"/>
    <w:rsid w:val="003C3B08"/>
    <w:rsid w:val="003C45D3"/>
    <w:rsid w:val="003C46DF"/>
    <w:rsid w:val="003C48D0"/>
    <w:rsid w:val="003C49CA"/>
    <w:rsid w:val="003C4BF8"/>
    <w:rsid w:val="003C57BD"/>
    <w:rsid w:val="003C5B67"/>
    <w:rsid w:val="003C6A6E"/>
    <w:rsid w:val="003C727A"/>
    <w:rsid w:val="003C7650"/>
    <w:rsid w:val="003C7747"/>
    <w:rsid w:val="003C7B80"/>
    <w:rsid w:val="003C7D9A"/>
    <w:rsid w:val="003C7F24"/>
    <w:rsid w:val="003D0663"/>
    <w:rsid w:val="003D06DB"/>
    <w:rsid w:val="003D0816"/>
    <w:rsid w:val="003D0B6B"/>
    <w:rsid w:val="003D0BFC"/>
    <w:rsid w:val="003D1A18"/>
    <w:rsid w:val="003D1B04"/>
    <w:rsid w:val="003D1CA5"/>
    <w:rsid w:val="003D206B"/>
    <w:rsid w:val="003D237D"/>
    <w:rsid w:val="003D27B5"/>
    <w:rsid w:val="003D29A1"/>
    <w:rsid w:val="003D29D2"/>
    <w:rsid w:val="003D2FBF"/>
    <w:rsid w:val="003D338E"/>
    <w:rsid w:val="003D3B3B"/>
    <w:rsid w:val="003D42F1"/>
    <w:rsid w:val="003D45D8"/>
    <w:rsid w:val="003D48BD"/>
    <w:rsid w:val="003D4996"/>
    <w:rsid w:val="003D4B50"/>
    <w:rsid w:val="003D4DC0"/>
    <w:rsid w:val="003D590A"/>
    <w:rsid w:val="003D66CE"/>
    <w:rsid w:val="003D6861"/>
    <w:rsid w:val="003D6ADA"/>
    <w:rsid w:val="003D6AEF"/>
    <w:rsid w:val="003D6CCA"/>
    <w:rsid w:val="003D6E56"/>
    <w:rsid w:val="003D714D"/>
    <w:rsid w:val="003D738E"/>
    <w:rsid w:val="003D7D4A"/>
    <w:rsid w:val="003E06E1"/>
    <w:rsid w:val="003E06F0"/>
    <w:rsid w:val="003E09E9"/>
    <w:rsid w:val="003E0D0E"/>
    <w:rsid w:val="003E17B8"/>
    <w:rsid w:val="003E1B28"/>
    <w:rsid w:val="003E20A7"/>
    <w:rsid w:val="003E2960"/>
    <w:rsid w:val="003E29FA"/>
    <w:rsid w:val="003E2ABC"/>
    <w:rsid w:val="003E2D6B"/>
    <w:rsid w:val="003E2E42"/>
    <w:rsid w:val="003E30E8"/>
    <w:rsid w:val="003E35D9"/>
    <w:rsid w:val="003E3C6D"/>
    <w:rsid w:val="003E3F2D"/>
    <w:rsid w:val="003E4267"/>
    <w:rsid w:val="003E4A22"/>
    <w:rsid w:val="003E4FF4"/>
    <w:rsid w:val="003E5248"/>
    <w:rsid w:val="003E5311"/>
    <w:rsid w:val="003E5789"/>
    <w:rsid w:val="003E5C61"/>
    <w:rsid w:val="003E6300"/>
    <w:rsid w:val="003E657F"/>
    <w:rsid w:val="003E65DB"/>
    <w:rsid w:val="003E7389"/>
    <w:rsid w:val="003F03F7"/>
    <w:rsid w:val="003F0512"/>
    <w:rsid w:val="003F072D"/>
    <w:rsid w:val="003F12FB"/>
    <w:rsid w:val="003F13AB"/>
    <w:rsid w:val="003F1426"/>
    <w:rsid w:val="003F14DF"/>
    <w:rsid w:val="003F1632"/>
    <w:rsid w:val="003F1636"/>
    <w:rsid w:val="003F176A"/>
    <w:rsid w:val="003F2339"/>
    <w:rsid w:val="003F2E4D"/>
    <w:rsid w:val="003F333F"/>
    <w:rsid w:val="003F3C58"/>
    <w:rsid w:val="003F3FB2"/>
    <w:rsid w:val="003F41BE"/>
    <w:rsid w:val="003F4F72"/>
    <w:rsid w:val="003F4F92"/>
    <w:rsid w:val="003F5059"/>
    <w:rsid w:val="003F53B0"/>
    <w:rsid w:val="003F552C"/>
    <w:rsid w:val="003F5788"/>
    <w:rsid w:val="003F5AC9"/>
    <w:rsid w:val="003F60D1"/>
    <w:rsid w:val="003F68E1"/>
    <w:rsid w:val="003F7234"/>
    <w:rsid w:val="003F7523"/>
    <w:rsid w:val="003F7A9E"/>
    <w:rsid w:val="003F7CD0"/>
    <w:rsid w:val="003F7F95"/>
    <w:rsid w:val="00400115"/>
    <w:rsid w:val="004001C2"/>
    <w:rsid w:val="004002F2"/>
    <w:rsid w:val="004005CC"/>
    <w:rsid w:val="00400648"/>
    <w:rsid w:val="004009DA"/>
    <w:rsid w:val="004009E2"/>
    <w:rsid w:val="00401869"/>
    <w:rsid w:val="00401B5C"/>
    <w:rsid w:val="00401E8B"/>
    <w:rsid w:val="00401F95"/>
    <w:rsid w:val="00402A02"/>
    <w:rsid w:val="00402C25"/>
    <w:rsid w:val="00403070"/>
    <w:rsid w:val="00403361"/>
    <w:rsid w:val="00403548"/>
    <w:rsid w:val="00403BBC"/>
    <w:rsid w:val="0040459B"/>
    <w:rsid w:val="0040487B"/>
    <w:rsid w:val="00404DAB"/>
    <w:rsid w:val="00405668"/>
    <w:rsid w:val="00405734"/>
    <w:rsid w:val="004058A0"/>
    <w:rsid w:val="00405EEB"/>
    <w:rsid w:val="00405F73"/>
    <w:rsid w:val="00406379"/>
    <w:rsid w:val="00406554"/>
    <w:rsid w:val="00406DDA"/>
    <w:rsid w:val="00407319"/>
    <w:rsid w:val="0040748B"/>
    <w:rsid w:val="00407E5A"/>
    <w:rsid w:val="00407ED1"/>
    <w:rsid w:val="004100F9"/>
    <w:rsid w:val="0041046A"/>
    <w:rsid w:val="00410C80"/>
    <w:rsid w:val="00410CF6"/>
    <w:rsid w:val="00411EF8"/>
    <w:rsid w:val="00412516"/>
    <w:rsid w:val="00412819"/>
    <w:rsid w:val="00412AA0"/>
    <w:rsid w:val="00413237"/>
    <w:rsid w:val="0041328B"/>
    <w:rsid w:val="00413756"/>
    <w:rsid w:val="00413988"/>
    <w:rsid w:val="00413AE1"/>
    <w:rsid w:val="00413FC8"/>
    <w:rsid w:val="004142F0"/>
    <w:rsid w:val="00414770"/>
    <w:rsid w:val="00414DE9"/>
    <w:rsid w:val="00414FC7"/>
    <w:rsid w:val="00415AEA"/>
    <w:rsid w:val="00415C1E"/>
    <w:rsid w:val="00416718"/>
    <w:rsid w:val="00416DD2"/>
    <w:rsid w:val="004176B7"/>
    <w:rsid w:val="004177C6"/>
    <w:rsid w:val="00417B27"/>
    <w:rsid w:val="00417D53"/>
    <w:rsid w:val="004201FD"/>
    <w:rsid w:val="004202CA"/>
    <w:rsid w:val="00420494"/>
    <w:rsid w:val="00420524"/>
    <w:rsid w:val="004205D9"/>
    <w:rsid w:val="004208A9"/>
    <w:rsid w:val="00421684"/>
    <w:rsid w:val="004217A3"/>
    <w:rsid w:val="00422117"/>
    <w:rsid w:val="0042296C"/>
    <w:rsid w:val="00422B7D"/>
    <w:rsid w:val="004232BA"/>
    <w:rsid w:val="00423932"/>
    <w:rsid w:val="00423B8F"/>
    <w:rsid w:val="00423FE4"/>
    <w:rsid w:val="00424085"/>
    <w:rsid w:val="00424B6E"/>
    <w:rsid w:val="00424FD1"/>
    <w:rsid w:val="00425439"/>
    <w:rsid w:val="0042563B"/>
    <w:rsid w:val="0042578E"/>
    <w:rsid w:val="00425FFB"/>
    <w:rsid w:val="004263F3"/>
    <w:rsid w:val="00426803"/>
    <w:rsid w:val="0042693F"/>
    <w:rsid w:val="00426F60"/>
    <w:rsid w:val="00427013"/>
    <w:rsid w:val="00427018"/>
    <w:rsid w:val="00427164"/>
    <w:rsid w:val="00427556"/>
    <w:rsid w:val="0042795E"/>
    <w:rsid w:val="00430BCF"/>
    <w:rsid w:val="00430D19"/>
    <w:rsid w:val="00431033"/>
    <w:rsid w:val="004314D9"/>
    <w:rsid w:val="0043193F"/>
    <w:rsid w:val="00431A7E"/>
    <w:rsid w:val="0043201F"/>
    <w:rsid w:val="004324D9"/>
    <w:rsid w:val="00432574"/>
    <w:rsid w:val="00432847"/>
    <w:rsid w:val="004332F2"/>
    <w:rsid w:val="0043333D"/>
    <w:rsid w:val="004335A8"/>
    <w:rsid w:val="00433A60"/>
    <w:rsid w:val="00433E3A"/>
    <w:rsid w:val="0043413D"/>
    <w:rsid w:val="0043428A"/>
    <w:rsid w:val="004345D3"/>
    <w:rsid w:val="004345F0"/>
    <w:rsid w:val="00434BF1"/>
    <w:rsid w:val="00435017"/>
    <w:rsid w:val="0043511E"/>
    <w:rsid w:val="004353E5"/>
    <w:rsid w:val="00435519"/>
    <w:rsid w:val="0043553D"/>
    <w:rsid w:val="004355B0"/>
    <w:rsid w:val="00436226"/>
    <w:rsid w:val="00436354"/>
    <w:rsid w:val="0043673E"/>
    <w:rsid w:val="004367B9"/>
    <w:rsid w:val="004375F6"/>
    <w:rsid w:val="004378B2"/>
    <w:rsid w:val="00437B8A"/>
    <w:rsid w:val="00437CFA"/>
    <w:rsid w:val="00437ECF"/>
    <w:rsid w:val="00440557"/>
    <w:rsid w:val="00441148"/>
    <w:rsid w:val="004412A6"/>
    <w:rsid w:val="00441419"/>
    <w:rsid w:val="00441CED"/>
    <w:rsid w:val="004428DA"/>
    <w:rsid w:val="00442E78"/>
    <w:rsid w:val="00442EDB"/>
    <w:rsid w:val="00443210"/>
    <w:rsid w:val="004438A5"/>
    <w:rsid w:val="00444069"/>
    <w:rsid w:val="00444CCB"/>
    <w:rsid w:val="00444DE2"/>
    <w:rsid w:val="00445791"/>
    <w:rsid w:val="004457E3"/>
    <w:rsid w:val="004459EA"/>
    <w:rsid w:val="00445E63"/>
    <w:rsid w:val="00445E8B"/>
    <w:rsid w:val="004462C7"/>
    <w:rsid w:val="004462D6"/>
    <w:rsid w:val="004465EC"/>
    <w:rsid w:val="004467D2"/>
    <w:rsid w:val="00446939"/>
    <w:rsid w:val="00446FBC"/>
    <w:rsid w:val="00450416"/>
    <w:rsid w:val="004511B6"/>
    <w:rsid w:val="0045157F"/>
    <w:rsid w:val="00451799"/>
    <w:rsid w:val="004519B9"/>
    <w:rsid w:val="00451C08"/>
    <w:rsid w:val="0045236D"/>
    <w:rsid w:val="00455100"/>
    <w:rsid w:val="00455633"/>
    <w:rsid w:val="004560CB"/>
    <w:rsid w:val="0045633D"/>
    <w:rsid w:val="00456710"/>
    <w:rsid w:val="00457037"/>
    <w:rsid w:val="00457064"/>
    <w:rsid w:val="004573E4"/>
    <w:rsid w:val="00457B6A"/>
    <w:rsid w:val="0046012E"/>
    <w:rsid w:val="00460762"/>
    <w:rsid w:val="004608D7"/>
    <w:rsid w:val="00460C1B"/>
    <w:rsid w:val="00462004"/>
    <w:rsid w:val="004622EF"/>
    <w:rsid w:val="00462596"/>
    <w:rsid w:val="004626D3"/>
    <w:rsid w:val="00462A98"/>
    <w:rsid w:val="00462E90"/>
    <w:rsid w:val="004632DE"/>
    <w:rsid w:val="00463362"/>
    <w:rsid w:val="00463908"/>
    <w:rsid w:val="0046392D"/>
    <w:rsid w:val="00463ED5"/>
    <w:rsid w:val="0046417E"/>
    <w:rsid w:val="0046444C"/>
    <w:rsid w:val="00464800"/>
    <w:rsid w:val="0046480A"/>
    <w:rsid w:val="00464F8F"/>
    <w:rsid w:val="00465173"/>
    <w:rsid w:val="004653FF"/>
    <w:rsid w:val="004658BF"/>
    <w:rsid w:val="00465E90"/>
    <w:rsid w:val="00465F6F"/>
    <w:rsid w:val="004663AB"/>
    <w:rsid w:val="0046663E"/>
    <w:rsid w:val="004669B2"/>
    <w:rsid w:val="004674A8"/>
    <w:rsid w:val="004678D9"/>
    <w:rsid w:val="0047042B"/>
    <w:rsid w:val="00471068"/>
    <w:rsid w:val="0047116E"/>
    <w:rsid w:val="00471341"/>
    <w:rsid w:val="0047160B"/>
    <w:rsid w:val="00471738"/>
    <w:rsid w:val="0047180B"/>
    <w:rsid w:val="004722FA"/>
    <w:rsid w:val="004725A1"/>
    <w:rsid w:val="0047263D"/>
    <w:rsid w:val="00472CE7"/>
    <w:rsid w:val="00473C0C"/>
    <w:rsid w:val="004745D3"/>
    <w:rsid w:val="004747C8"/>
    <w:rsid w:val="004749F9"/>
    <w:rsid w:val="00475475"/>
    <w:rsid w:val="004757C9"/>
    <w:rsid w:val="0047601F"/>
    <w:rsid w:val="00476573"/>
    <w:rsid w:val="00476E23"/>
    <w:rsid w:val="00476F8C"/>
    <w:rsid w:val="0047706B"/>
    <w:rsid w:val="0047741E"/>
    <w:rsid w:val="004800E2"/>
    <w:rsid w:val="004807FD"/>
    <w:rsid w:val="004816DB"/>
    <w:rsid w:val="00481918"/>
    <w:rsid w:val="00481C3A"/>
    <w:rsid w:val="00481D8C"/>
    <w:rsid w:val="00481F0E"/>
    <w:rsid w:val="004821B7"/>
    <w:rsid w:val="004828F5"/>
    <w:rsid w:val="00483177"/>
    <w:rsid w:val="00483260"/>
    <w:rsid w:val="00483634"/>
    <w:rsid w:val="004838DD"/>
    <w:rsid w:val="00483D41"/>
    <w:rsid w:val="00484237"/>
    <w:rsid w:val="004845C9"/>
    <w:rsid w:val="00484730"/>
    <w:rsid w:val="004849B3"/>
    <w:rsid w:val="00484E7E"/>
    <w:rsid w:val="004852AE"/>
    <w:rsid w:val="00485360"/>
    <w:rsid w:val="00485782"/>
    <w:rsid w:val="00486829"/>
    <w:rsid w:val="004873A1"/>
    <w:rsid w:val="00490AF1"/>
    <w:rsid w:val="00490F6A"/>
    <w:rsid w:val="00491B0D"/>
    <w:rsid w:val="00492753"/>
    <w:rsid w:val="00492B89"/>
    <w:rsid w:val="00492B90"/>
    <w:rsid w:val="00492D56"/>
    <w:rsid w:val="00493824"/>
    <w:rsid w:val="004938ED"/>
    <w:rsid w:val="00493E06"/>
    <w:rsid w:val="0049451E"/>
    <w:rsid w:val="00494DFF"/>
    <w:rsid w:val="00494E7A"/>
    <w:rsid w:val="0049530D"/>
    <w:rsid w:val="00495D30"/>
    <w:rsid w:val="00495E1F"/>
    <w:rsid w:val="00496153"/>
    <w:rsid w:val="00496174"/>
    <w:rsid w:val="004962C3"/>
    <w:rsid w:val="00496532"/>
    <w:rsid w:val="00496734"/>
    <w:rsid w:val="00496891"/>
    <w:rsid w:val="004970F5"/>
    <w:rsid w:val="004972F9"/>
    <w:rsid w:val="00497358"/>
    <w:rsid w:val="00497811"/>
    <w:rsid w:val="00497CB1"/>
    <w:rsid w:val="00497D57"/>
    <w:rsid w:val="004A001E"/>
    <w:rsid w:val="004A0A11"/>
    <w:rsid w:val="004A140C"/>
    <w:rsid w:val="004A2080"/>
    <w:rsid w:val="004A2601"/>
    <w:rsid w:val="004A2B22"/>
    <w:rsid w:val="004A2F68"/>
    <w:rsid w:val="004A3262"/>
    <w:rsid w:val="004A380A"/>
    <w:rsid w:val="004A3A17"/>
    <w:rsid w:val="004A3C49"/>
    <w:rsid w:val="004A4000"/>
    <w:rsid w:val="004A44D8"/>
    <w:rsid w:val="004A489F"/>
    <w:rsid w:val="004A4C3E"/>
    <w:rsid w:val="004A5C14"/>
    <w:rsid w:val="004A62F3"/>
    <w:rsid w:val="004A697E"/>
    <w:rsid w:val="004A6AF1"/>
    <w:rsid w:val="004A7741"/>
    <w:rsid w:val="004A7C80"/>
    <w:rsid w:val="004A7D5A"/>
    <w:rsid w:val="004B026B"/>
    <w:rsid w:val="004B0479"/>
    <w:rsid w:val="004B0A80"/>
    <w:rsid w:val="004B14C3"/>
    <w:rsid w:val="004B1567"/>
    <w:rsid w:val="004B1D77"/>
    <w:rsid w:val="004B2542"/>
    <w:rsid w:val="004B2C6A"/>
    <w:rsid w:val="004B2DFE"/>
    <w:rsid w:val="004B3006"/>
    <w:rsid w:val="004B3536"/>
    <w:rsid w:val="004B35A1"/>
    <w:rsid w:val="004B3723"/>
    <w:rsid w:val="004B3B26"/>
    <w:rsid w:val="004B3E7B"/>
    <w:rsid w:val="004B3F43"/>
    <w:rsid w:val="004B49A2"/>
    <w:rsid w:val="004B4F9D"/>
    <w:rsid w:val="004B5656"/>
    <w:rsid w:val="004B57A9"/>
    <w:rsid w:val="004B5861"/>
    <w:rsid w:val="004B58FA"/>
    <w:rsid w:val="004B60AD"/>
    <w:rsid w:val="004B628A"/>
    <w:rsid w:val="004B67F0"/>
    <w:rsid w:val="004B6E20"/>
    <w:rsid w:val="004B7435"/>
    <w:rsid w:val="004B7707"/>
    <w:rsid w:val="004B782F"/>
    <w:rsid w:val="004B7D26"/>
    <w:rsid w:val="004C020C"/>
    <w:rsid w:val="004C044C"/>
    <w:rsid w:val="004C0692"/>
    <w:rsid w:val="004C105D"/>
    <w:rsid w:val="004C13FE"/>
    <w:rsid w:val="004C1C06"/>
    <w:rsid w:val="004C20BD"/>
    <w:rsid w:val="004C214E"/>
    <w:rsid w:val="004C296E"/>
    <w:rsid w:val="004C2B83"/>
    <w:rsid w:val="004C339C"/>
    <w:rsid w:val="004C358B"/>
    <w:rsid w:val="004C3904"/>
    <w:rsid w:val="004C3CBD"/>
    <w:rsid w:val="004C3F5E"/>
    <w:rsid w:val="004C4378"/>
    <w:rsid w:val="004C43F7"/>
    <w:rsid w:val="004C44DD"/>
    <w:rsid w:val="004C45B4"/>
    <w:rsid w:val="004C4ACB"/>
    <w:rsid w:val="004C4FE0"/>
    <w:rsid w:val="004C527A"/>
    <w:rsid w:val="004C5434"/>
    <w:rsid w:val="004C56B5"/>
    <w:rsid w:val="004C5843"/>
    <w:rsid w:val="004C5DC8"/>
    <w:rsid w:val="004C5EE4"/>
    <w:rsid w:val="004C60EA"/>
    <w:rsid w:val="004C63D8"/>
    <w:rsid w:val="004C6443"/>
    <w:rsid w:val="004C6DD0"/>
    <w:rsid w:val="004C7147"/>
    <w:rsid w:val="004C71CE"/>
    <w:rsid w:val="004C759E"/>
    <w:rsid w:val="004D044D"/>
    <w:rsid w:val="004D09DD"/>
    <w:rsid w:val="004D0D30"/>
    <w:rsid w:val="004D1A02"/>
    <w:rsid w:val="004D1A61"/>
    <w:rsid w:val="004D2446"/>
    <w:rsid w:val="004D2AEB"/>
    <w:rsid w:val="004D2D78"/>
    <w:rsid w:val="004D2D9C"/>
    <w:rsid w:val="004D2EDD"/>
    <w:rsid w:val="004D37B8"/>
    <w:rsid w:val="004D3A02"/>
    <w:rsid w:val="004D3B58"/>
    <w:rsid w:val="004D3F00"/>
    <w:rsid w:val="004D4896"/>
    <w:rsid w:val="004D549D"/>
    <w:rsid w:val="004D5E70"/>
    <w:rsid w:val="004D6B7A"/>
    <w:rsid w:val="004D6CE6"/>
    <w:rsid w:val="004E010E"/>
    <w:rsid w:val="004E065A"/>
    <w:rsid w:val="004E07EC"/>
    <w:rsid w:val="004E0DFA"/>
    <w:rsid w:val="004E1EE8"/>
    <w:rsid w:val="004E1F11"/>
    <w:rsid w:val="004E2A4F"/>
    <w:rsid w:val="004E2E2D"/>
    <w:rsid w:val="004E3200"/>
    <w:rsid w:val="004E3980"/>
    <w:rsid w:val="004E3AB6"/>
    <w:rsid w:val="004E3BD3"/>
    <w:rsid w:val="004E4D65"/>
    <w:rsid w:val="004E56E6"/>
    <w:rsid w:val="004E598E"/>
    <w:rsid w:val="004E6545"/>
    <w:rsid w:val="004E7066"/>
    <w:rsid w:val="004E74AF"/>
    <w:rsid w:val="004E75EC"/>
    <w:rsid w:val="004E7899"/>
    <w:rsid w:val="004E7D32"/>
    <w:rsid w:val="004E7E68"/>
    <w:rsid w:val="004F036F"/>
    <w:rsid w:val="004F03B2"/>
    <w:rsid w:val="004F07BB"/>
    <w:rsid w:val="004F0874"/>
    <w:rsid w:val="004F129F"/>
    <w:rsid w:val="004F15D3"/>
    <w:rsid w:val="004F15F4"/>
    <w:rsid w:val="004F21BC"/>
    <w:rsid w:val="004F22DC"/>
    <w:rsid w:val="004F23B0"/>
    <w:rsid w:val="004F2779"/>
    <w:rsid w:val="004F2868"/>
    <w:rsid w:val="004F2EDD"/>
    <w:rsid w:val="004F3640"/>
    <w:rsid w:val="004F3AAF"/>
    <w:rsid w:val="004F42BD"/>
    <w:rsid w:val="004F42CD"/>
    <w:rsid w:val="004F43FB"/>
    <w:rsid w:val="004F4568"/>
    <w:rsid w:val="004F4C4A"/>
    <w:rsid w:val="004F4FFC"/>
    <w:rsid w:val="004F5371"/>
    <w:rsid w:val="004F5479"/>
    <w:rsid w:val="004F5870"/>
    <w:rsid w:val="004F5CDC"/>
    <w:rsid w:val="004F6A9A"/>
    <w:rsid w:val="004F6AF0"/>
    <w:rsid w:val="004F71AA"/>
    <w:rsid w:val="004F7632"/>
    <w:rsid w:val="004F792F"/>
    <w:rsid w:val="004F79F6"/>
    <w:rsid w:val="004F7A55"/>
    <w:rsid w:val="004F7ADA"/>
    <w:rsid w:val="004F7D3A"/>
    <w:rsid w:val="00500F16"/>
    <w:rsid w:val="00501391"/>
    <w:rsid w:val="00501508"/>
    <w:rsid w:val="00501995"/>
    <w:rsid w:val="00501B4B"/>
    <w:rsid w:val="00502F15"/>
    <w:rsid w:val="005034B2"/>
    <w:rsid w:val="00503624"/>
    <w:rsid w:val="00503B94"/>
    <w:rsid w:val="00503E09"/>
    <w:rsid w:val="005040F2"/>
    <w:rsid w:val="00504578"/>
    <w:rsid w:val="00504905"/>
    <w:rsid w:val="00504B54"/>
    <w:rsid w:val="005056D8"/>
    <w:rsid w:val="00506281"/>
    <w:rsid w:val="00506688"/>
    <w:rsid w:val="00506713"/>
    <w:rsid w:val="00506872"/>
    <w:rsid w:val="00506A82"/>
    <w:rsid w:val="00507290"/>
    <w:rsid w:val="00507552"/>
    <w:rsid w:val="0050771E"/>
    <w:rsid w:val="00507F82"/>
    <w:rsid w:val="0051052F"/>
    <w:rsid w:val="00510D1B"/>
    <w:rsid w:val="00511545"/>
    <w:rsid w:val="00511E16"/>
    <w:rsid w:val="0051229F"/>
    <w:rsid w:val="0051360F"/>
    <w:rsid w:val="00513A40"/>
    <w:rsid w:val="00514364"/>
    <w:rsid w:val="005146E7"/>
    <w:rsid w:val="00514B3F"/>
    <w:rsid w:val="00514B94"/>
    <w:rsid w:val="00514BBC"/>
    <w:rsid w:val="00515615"/>
    <w:rsid w:val="00515725"/>
    <w:rsid w:val="00515922"/>
    <w:rsid w:val="00515ACB"/>
    <w:rsid w:val="00515F6E"/>
    <w:rsid w:val="00516327"/>
    <w:rsid w:val="00516B58"/>
    <w:rsid w:val="00516E09"/>
    <w:rsid w:val="00517766"/>
    <w:rsid w:val="005200DA"/>
    <w:rsid w:val="005202D7"/>
    <w:rsid w:val="005204C7"/>
    <w:rsid w:val="00520526"/>
    <w:rsid w:val="00520830"/>
    <w:rsid w:val="005209ED"/>
    <w:rsid w:val="00521853"/>
    <w:rsid w:val="0052190B"/>
    <w:rsid w:val="00522549"/>
    <w:rsid w:val="00522699"/>
    <w:rsid w:val="00522AC9"/>
    <w:rsid w:val="00523081"/>
    <w:rsid w:val="0052345B"/>
    <w:rsid w:val="00523A00"/>
    <w:rsid w:val="00523A72"/>
    <w:rsid w:val="00523D0A"/>
    <w:rsid w:val="00523E20"/>
    <w:rsid w:val="00524296"/>
    <w:rsid w:val="005243B0"/>
    <w:rsid w:val="0052469B"/>
    <w:rsid w:val="00525141"/>
    <w:rsid w:val="00525A1D"/>
    <w:rsid w:val="00525A4A"/>
    <w:rsid w:val="00525FA8"/>
    <w:rsid w:val="00526135"/>
    <w:rsid w:val="00526188"/>
    <w:rsid w:val="00526406"/>
    <w:rsid w:val="00526AFC"/>
    <w:rsid w:val="00526BCF"/>
    <w:rsid w:val="00527044"/>
    <w:rsid w:val="00527556"/>
    <w:rsid w:val="00527732"/>
    <w:rsid w:val="00527A0E"/>
    <w:rsid w:val="0053087E"/>
    <w:rsid w:val="00530B2E"/>
    <w:rsid w:val="00530D51"/>
    <w:rsid w:val="00530E55"/>
    <w:rsid w:val="005312AC"/>
    <w:rsid w:val="005320FF"/>
    <w:rsid w:val="005321D4"/>
    <w:rsid w:val="00532232"/>
    <w:rsid w:val="00532C8D"/>
    <w:rsid w:val="00532D0F"/>
    <w:rsid w:val="0053305D"/>
    <w:rsid w:val="0053307B"/>
    <w:rsid w:val="00533E22"/>
    <w:rsid w:val="00533E5A"/>
    <w:rsid w:val="005340E2"/>
    <w:rsid w:val="00534355"/>
    <w:rsid w:val="005346FA"/>
    <w:rsid w:val="00535419"/>
    <w:rsid w:val="0053644D"/>
    <w:rsid w:val="0053649A"/>
    <w:rsid w:val="00536592"/>
    <w:rsid w:val="00536752"/>
    <w:rsid w:val="00536960"/>
    <w:rsid w:val="005375F1"/>
    <w:rsid w:val="005400EE"/>
    <w:rsid w:val="0054012E"/>
    <w:rsid w:val="00540507"/>
    <w:rsid w:val="00540DCE"/>
    <w:rsid w:val="00541446"/>
    <w:rsid w:val="00541895"/>
    <w:rsid w:val="005428DD"/>
    <w:rsid w:val="00542A1E"/>
    <w:rsid w:val="00543025"/>
    <w:rsid w:val="005435AF"/>
    <w:rsid w:val="005444C2"/>
    <w:rsid w:val="00544727"/>
    <w:rsid w:val="00545695"/>
    <w:rsid w:val="00545A62"/>
    <w:rsid w:val="00545BD3"/>
    <w:rsid w:val="005463E2"/>
    <w:rsid w:val="005466A3"/>
    <w:rsid w:val="00546886"/>
    <w:rsid w:val="00546AAF"/>
    <w:rsid w:val="00546C78"/>
    <w:rsid w:val="005470BA"/>
    <w:rsid w:val="00547A3E"/>
    <w:rsid w:val="00547AA2"/>
    <w:rsid w:val="005501A3"/>
    <w:rsid w:val="00550A05"/>
    <w:rsid w:val="00551A33"/>
    <w:rsid w:val="00551A9B"/>
    <w:rsid w:val="00551FF6"/>
    <w:rsid w:val="0055247D"/>
    <w:rsid w:val="00552E65"/>
    <w:rsid w:val="00553304"/>
    <w:rsid w:val="00553589"/>
    <w:rsid w:val="00554271"/>
    <w:rsid w:val="00554740"/>
    <w:rsid w:val="00554978"/>
    <w:rsid w:val="00554FEE"/>
    <w:rsid w:val="005550CB"/>
    <w:rsid w:val="00555235"/>
    <w:rsid w:val="00555D52"/>
    <w:rsid w:val="005561A4"/>
    <w:rsid w:val="00556911"/>
    <w:rsid w:val="00556C2C"/>
    <w:rsid w:val="00557D3A"/>
    <w:rsid w:val="00560005"/>
    <w:rsid w:val="00560223"/>
    <w:rsid w:val="0056053F"/>
    <w:rsid w:val="005609EE"/>
    <w:rsid w:val="00560EC1"/>
    <w:rsid w:val="005611A5"/>
    <w:rsid w:val="005612BD"/>
    <w:rsid w:val="00561BA3"/>
    <w:rsid w:val="00561D09"/>
    <w:rsid w:val="0056218B"/>
    <w:rsid w:val="005621EB"/>
    <w:rsid w:val="005623A5"/>
    <w:rsid w:val="00563D33"/>
    <w:rsid w:val="00563D72"/>
    <w:rsid w:val="00563D73"/>
    <w:rsid w:val="005649EF"/>
    <w:rsid w:val="00564E7F"/>
    <w:rsid w:val="005652B4"/>
    <w:rsid w:val="00565645"/>
    <w:rsid w:val="0056575F"/>
    <w:rsid w:val="00565C50"/>
    <w:rsid w:val="00566691"/>
    <w:rsid w:val="005667C6"/>
    <w:rsid w:val="00566AD9"/>
    <w:rsid w:val="00566FC9"/>
    <w:rsid w:val="00567BFE"/>
    <w:rsid w:val="0057008D"/>
    <w:rsid w:val="0057021D"/>
    <w:rsid w:val="00570232"/>
    <w:rsid w:val="0057070B"/>
    <w:rsid w:val="00570C3E"/>
    <w:rsid w:val="0057102F"/>
    <w:rsid w:val="00571F13"/>
    <w:rsid w:val="0057266A"/>
    <w:rsid w:val="00572B52"/>
    <w:rsid w:val="00572C0D"/>
    <w:rsid w:val="00573678"/>
    <w:rsid w:val="00574173"/>
    <w:rsid w:val="0057436F"/>
    <w:rsid w:val="00574AFB"/>
    <w:rsid w:val="005754D4"/>
    <w:rsid w:val="00575AFA"/>
    <w:rsid w:val="00576165"/>
    <w:rsid w:val="0057658B"/>
    <w:rsid w:val="00576EA0"/>
    <w:rsid w:val="005772EE"/>
    <w:rsid w:val="00577EAF"/>
    <w:rsid w:val="00580425"/>
    <w:rsid w:val="005814D6"/>
    <w:rsid w:val="00581A71"/>
    <w:rsid w:val="00581F5E"/>
    <w:rsid w:val="005821BC"/>
    <w:rsid w:val="00582642"/>
    <w:rsid w:val="005827A0"/>
    <w:rsid w:val="00582B22"/>
    <w:rsid w:val="00583825"/>
    <w:rsid w:val="005838D2"/>
    <w:rsid w:val="00583B6D"/>
    <w:rsid w:val="00583EFF"/>
    <w:rsid w:val="0058439B"/>
    <w:rsid w:val="00584B6A"/>
    <w:rsid w:val="00585343"/>
    <w:rsid w:val="00585A57"/>
    <w:rsid w:val="00585BC3"/>
    <w:rsid w:val="00586474"/>
    <w:rsid w:val="00586CFF"/>
    <w:rsid w:val="00586FE6"/>
    <w:rsid w:val="0059017B"/>
    <w:rsid w:val="00590987"/>
    <w:rsid w:val="00590995"/>
    <w:rsid w:val="00590A08"/>
    <w:rsid w:val="00590DC9"/>
    <w:rsid w:val="00591054"/>
    <w:rsid w:val="005913E4"/>
    <w:rsid w:val="00591A21"/>
    <w:rsid w:val="00591B05"/>
    <w:rsid w:val="00591D4E"/>
    <w:rsid w:val="00591F48"/>
    <w:rsid w:val="00592025"/>
    <w:rsid w:val="00592572"/>
    <w:rsid w:val="00592864"/>
    <w:rsid w:val="00592C93"/>
    <w:rsid w:val="005932DC"/>
    <w:rsid w:val="005936DC"/>
    <w:rsid w:val="00593F00"/>
    <w:rsid w:val="00594225"/>
    <w:rsid w:val="00594253"/>
    <w:rsid w:val="00594764"/>
    <w:rsid w:val="00594B14"/>
    <w:rsid w:val="00594DE0"/>
    <w:rsid w:val="00594E82"/>
    <w:rsid w:val="00596486"/>
    <w:rsid w:val="0059658A"/>
    <w:rsid w:val="005966DA"/>
    <w:rsid w:val="00596715"/>
    <w:rsid w:val="005967AB"/>
    <w:rsid w:val="00596F99"/>
    <w:rsid w:val="005970ED"/>
    <w:rsid w:val="00597494"/>
    <w:rsid w:val="00597A07"/>
    <w:rsid w:val="00597CF9"/>
    <w:rsid w:val="00597EAF"/>
    <w:rsid w:val="005A0166"/>
    <w:rsid w:val="005A0235"/>
    <w:rsid w:val="005A04CF"/>
    <w:rsid w:val="005A0D86"/>
    <w:rsid w:val="005A0ECE"/>
    <w:rsid w:val="005A1637"/>
    <w:rsid w:val="005A1930"/>
    <w:rsid w:val="005A1F16"/>
    <w:rsid w:val="005A201E"/>
    <w:rsid w:val="005A29DC"/>
    <w:rsid w:val="005A2C6A"/>
    <w:rsid w:val="005A2F80"/>
    <w:rsid w:val="005A310D"/>
    <w:rsid w:val="005A3D88"/>
    <w:rsid w:val="005A3DB0"/>
    <w:rsid w:val="005A4111"/>
    <w:rsid w:val="005A47D6"/>
    <w:rsid w:val="005A4E18"/>
    <w:rsid w:val="005A510C"/>
    <w:rsid w:val="005A57B8"/>
    <w:rsid w:val="005A5973"/>
    <w:rsid w:val="005A5A9A"/>
    <w:rsid w:val="005A5EEC"/>
    <w:rsid w:val="005A604D"/>
    <w:rsid w:val="005A6164"/>
    <w:rsid w:val="005A6354"/>
    <w:rsid w:val="005A6402"/>
    <w:rsid w:val="005A647D"/>
    <w:rsid w:val="005A67D2"/>
    <w:rsid w:val="005A6B94"/>
    <w:rsid w:val="005A6ECE"/>
    <w:rsid w:val="005A7491"/>
    <w:rsid w:val="005A7A91"/>
    <w:rsid w:val="005A7E4E"/>
    <w:rsid w:val="005A7F11"/>
    <w:rsid w:val="005B0198"/>
    <w:rsid w:val="005B0A4C"/>
    <w:rsid w:val="005B1067"/>
    <w:rsid w:val="005B137B"/>
    <w:rsid w:val="005B1579"/>
    <w:rsid w:val="005B1CD0"/>
    <w:rsid w:val="005B2203"/>
    <w:rsid w:val="005B327A"/>
    <w:rsid w:val="005B3435"/>
    <w:rsid w:val="005B3A43"/>
    <w:rsid w:val="005B3E4C"/>
    <w:rsid w:val="005B3E98"/>
    <w:rsid w:val="005B4314"/>
    <w:rsid w:val="005B4A76"/>
    <w:rsid w:val="005B5334"/>
    <w:rsid w:val="005B5A9A"/>
    <w:rsid w:val="005B5DE4"/>
    <w:rsid w:val="005B78F3"/>
    <w:rsid w:val="005B7C29"/>
    <w:rsid w:val="005B7D7F"/>
    <w:rsid w:val="005B7E55"/>
    <w:rsid w:val="005B7F47"/>
    <w:rsid w:val="005C0ABD"/>
    <w:rsid w:val="005C0E9F"/>
    <w:rsid w:val="005C0F22"/>
    <w:rsid w:val="005C16D4"/>
    <w:rsid w:val="005C1D80"/>
    <w:rsid w:val="005C253A"/>
    <w:rsid w:val="005C33D6"/>
    <w:rsid w:val="005C34FD"/>
    <w:rsid w:val="005C357A"/>
    <w:rsid w:val="005C3665"/>
    <w:rsid w:val="005C3ADF"/>
    <w:rsid w:val="005C3B23"/>
    <w:rsid w:val="005C4025"/>
    <w:rsid w:val="005C4104"/>
    <w:rsid w:val="005C415A"/>
    <w:rsid w:val="005C42E1"/>
    <w:rsid w:val="005C4549"/>
    <w:rsid w:val="005C4B1F"/>
    <w:rsid w:val="005C4E9E"/>
    <w:rsid w:val="005C4EC8"/>
    <w:rsid w:val="005C5A7C"/>
    <w:rsid w:val="005C5CAC"/>
    <w:rsid w:val="005C5CF3"/>
    <w:rsid w:val="005C5DE8"/>
    <w:rsid w:val="005C6813"/>
    <w:rsid w:val="005C790A"/>
    <w:rsid w:val="005C7C61"/>
    <w:rsid w:val="005D051E"/>
    <w:rsid w:val="005D07BF"/>
    <w:rsid w:val="005D08B8"/>
    <w:rsid w:val="005D0E28"/>
    <w:rsid w:val="005D1251"/>
    <w:rsid w:val="005D1A45"/>
    <w:rsid w:val="005D1A5D"/>
    <w:rsid w:val="005D1FEF"/>
    <w:rsid w:val="005D2739"/>
    <w:rsid w:val="005D28E1"/>
    <w:rsid w:val="005D29A7"/>
    <w:rsid w:val="005D32F2"/>
    <w:rsid w:val="005D3E74"/>
    <w:rsid w:val="005D3F56"/>
    <w:rsid w:val="005D441F"/>
    <w:rsid w:val="005D48CA"/>
    <w:rsid w:val="005D547E"/>
    <w:rsid w:val="005D56F3"/>
    <w:rsid w:val="005D59A9"/>
    <w:rsid w:val="005D5A63"/>
    <w:rsid w:val="005D5F7B"/>
    <w:rsid w:val="005D6405"/>
    <w:rsid w:val="005D7277"/>
    <w:rsid w:val="005D72BB"/>
    <w:rsid w:val="005D7806"/>
    <w:rsid w:val="005D7D38"/>
    <w:rsid w:val="005E0494"/>
    <w:rsid w:val="005E0DD2"/>
    <w:rsid w:val="005E1059"/>
    <w:rsid w:val="005E10F3"/>
    <w:rsid w:val="005E11A8"/>
    <w:rsid w:val="005E1F92"/>
    <w:rsid w:val="005E2608"/>
    <w:rsid w:val="005E274A"/>
    <w:rsid w:val="005E2B31"/>
    <w:rsid w:val="005E2C78"/>
    <w:rsid w:val="005E2E82"/>
    <w:rsid w:val="005E350B"/>
    <w:rsid w:val="005E378D"/>
    <w:rsid w:val="005E39E8"/>
    <w:rsid w:val="005E3E18"/>
    <w:rsid w:val="005E41CA"/>
    <w:rsid w:val="005E46A7"/>
    <w:rsid w:val="005E4EC0"/>
    <w:rsid w:val="005E5070"/>
    <w:rsid w:val="005E50F9"/>
    <w:rsid w:val="005E54ED"/>
    <w:rsid w:val="005E58D1"/>
    <w:rsid w:val="005E5C59"/>
    <w:rsid w:val="005E5E73"/>
    <w:rsid w:val="005E670B"/>
    <w:rsid w:val="005E6916"/>
    <w:rsid w:val="005E696C"/>
    <w:rsid w:val="005E69AB"/>
    <w:rsid w:val="005E6CFA"/>
    <w:rsid w:val="005E7264"/>
    <w:rsid w:val="005E726F"/>
    <w:rsid w:val="005E77DC"/>
    <w:rsid w:val="005E7A3D"/>
    <w:rsid w:val="005E7B2A"/>
    <w:rsid w:val="005F0391"/>
    <w:rsid w:val="005F0592"/>
    <w:rsid w:val="005F0ABE"/>
    <w:rsid w:val="005F0BA7"/>
    <w:rsid w:val="005F0EC7"/>
    <w:rsid w:val="005F15E3"/>
    <w:rsid w:val="005F1732"/>
    <w:rsid w:val="005F2475"/>
    <w:rsid w:val="005F3048"/>
    <w:rsid w:val="005F3513"/>
    <w:rsid w:val="005F3825"/>
    <w:rsid w:val="005F46DE"/>
    <w:rsid w:val="005F47CA"/>
    <w:rsid w:val="005F4A96"/>
    <w:rsid w:val="005F50D2"/>
    <w:rsid w:val="005F5216"/>
    <w:rsid w:val="005F5284"/>
    <w:rsid w:val="005F59DF"/>
    <w:rsid w:val="005F5AB7"/>
    <w:rsid w:val="005F5B33"/>
    <w:rsid w:val="005F6600"/>
    <w:rsid w:val="005F6CFA"/>
    <w:rsid w:val="005F6E68"/>
    <w:rsid w:val="005F711A"/>
    <w:rsid w:val="005F72EF"/>
    <w:rsid w:val="005F73B8"/>
    <w:rsid w:val="005F7455"/>
    <w:rsid w:val="005F7DD6"/>
    <w:rsid w:val="00600615"/>
    <w:rsid w:val="006006FC"/>
    <w:rsid w:val="006007F7"/>
    <w:rsid w:val="0060111E"/>
    <w:rsid w:val="0060178F"/>
    <w:rsid w:val="00601EE1"/>
    <w:rsid w:val="006020E8"/>
    <w:rsid w:val="0060221C"/>
    <w:rsid w:val="00602448"/>
    <w:rsid w:val="00603041"/>
    <w:rsid w:val="0060315E"/>
    <w:rsid w:val="00603835"/>
    <w:rsid w:val="00604793"/>
    <w:rsid w:val="00604D78"/>
    <w:rsid w:val="00605D30"/>
    <w:rsid w:val="00606182"/>
    <w:rsid w:val="006064AC"/>
    <w:rsid w:val="006067FE"/>
    <w:rsid w:val="00607A21"/>
    <w:rsid w:val="00607B6C"/>
    <w:rsid w:val="006109F7"/>
    <w:rsid w:val="00610E08"/>
    <w:rsid w:val="00611B3E"/>
    <w:rsid w:val="00611CA9"/>
    <w:rsid w:val="00611F96"/>
    <w:rsid w:val="006123CD"/>
    <w:rsid w:val="00612CD9"/>
    <w:rsid w:val="00612DBA"/>
    <w:rsid w:val="00613169"/>
    <w:rsid w:val="00613825"/>
    <w:rsid w:val="0061395A"/>
    <w:rsid w:val="00613CA5"/>
    <w:rsid w:val="00614E87"/>
    <w:rsid w:val="006154B5"/>
    <w:rsid w:val="00615893"/>
    <w:rsid w:val="00616F41"/>
    <w:rsid w:val="006176BB"/>
    <w:rsid w:val="00617EFA"/>
    <w:rsid w:val="006204B6"/>
    <w:rsid w:val="00620616"/>
    <w:rsid w:val="00620E99"/>
    <w:rsid w:val="00620EE7"/>
    <w:rsid w:val="006214F0"/>
    <w:rsid w:val="00621876"/>
    <w:rsid w:val="00621D70"/>
    <w:rsid w:val="00623274"/>
    <w:rsid w:val="006234C6"/>
    <w:rsid w:val="006236EB"/>
    <w:rsid w:val="00623B74"/>
    <w:rsid w:val="00623D0F"/>
    <w:rsid w:val="00625CC8"/>
    <w:rsid w:val="00625FD6"/>
    <w:rsid w:val="00626AF0"/>
    <w:rsid w:val="00627203"/>
    <w:rsid w:val="006275BA"/>
    <w:rsid w:val="006277BB"/>
    <w:rsid w:val="00627A50"/>
    <w:rsid w:val="00627F0D"/>
    <w:rsid w:val="0063038C"/>
    <w:rsid w:val="00630EA0"/>
    <w:rsid w:val="00631741"/>
    <w:rsid w:val="00632586"/>
    <w:rsid w:val="0063330D"/>
    <w:rsid w:val="00633669"/>
    <w:rsid w:val="00633D6C"/>
    <w:rsid w:val="006341F3"/>
    <w:rsid w:val="0063459D"/>
    <w:rsid w:val="00634663"/>
    <w:rsid w:val="00634D33"/>
    <w:rsid w:val="00634D7B"/>
    <w:rsid w:val="00634FD1"/>
    <w:rsid w:val="0063503E"/>
    <w:rsid w:val="006359EC"/>
    <w:rsid w:val="00635DEE"/>
    <w:rsid w:val="0063647F"/>
    <w:rsid w:val="0063671F"/>
    <w:rsid w:val="00637252"/>
    <w:rsid w:val="0063739B"/>
    <w:rsid w:val="006374C8"/>
    <w:rsid w:val="00637DDC"/>
    <w:rsid w:val="006401E1"/>
    <w:rsid w:val="00640BCA"/>
    <w:rsid w:val="006412A1"/>
    <w:rsid w:val="00641BF3"/>
    <w:rsid w:val="00641C52"/>
    <w:rsid w:val="00642046"/>
    <w:rsid w:val="0064286B"/>
    <w:rsid w:val="00642B5F"/>
    <w:rsid w:val="00642BB4"/>
    <w:rsid w:val="00643316"/>
    <w:rsid w:val="006437AE"/>
    <w:rsid w:val="0064397E"/>
    <w:rsid w:val="00643D77"/>
    <w:rsid w:val="006444C3"/>
    <w:rsid w:val="0064467B"/>
    <w:rsid w:val="00645A2C"/>
    <w:rsid w:val="00646094"/>
    <w:rsid w:val="00646258"/>
    <w:rsid w:val="006463FB"/>
    <w:rsid w:val="00646EF8"/>
    <w:rsid w:val="00647ACC"/>
    <w:rsid w:val="0065003F"/>
    <w:rsid w:val="00650213"/>
    <w:rsid w:val="00650321"/>
    <w:rsid w:val="006506DD"/>
    <w:rsid w:val="006509F2"/>
    <w:rsid w:val="00651031"/>
    <w:rsid w:val="006511C1"/>
    <w:rsid w:val="00651F21"/>
    <w:rsid w:val="00652449"/>
    <w:rsid w:val="00652E6B"/>
    <w:rsid w:val="00652E82"/>
    <w:rsid w:val="00652F60"/>
    <w:rsid w:val="00653011"/>
    <w:rsid w:val="00653440"/>
    <w:rsid w:val="00653652"/>
    <w:rsid w:val="0065380C"/>
    <w:rsid w:val="00653C24"/>
    <w:rsid w:val="00654B88"/>
    <w:rsid w:val="00655AF4"/>
    <w:rsid w:val="00655FF2"/>
    <w:rsid w:val="0065619D"/>
    <w:rsid w:val="006564F4"/>
    <w:rsid w:val="00656877"/>
    <w:rsid w:val="00656C9A"/>
    <w:rsid w:val="00656D30"/>
    <w:rsid w:val="00656E70"/>
    <w:rsid w:val="0065790A"/>
    <w:rsid w:val="00657C13"/>
    <w:rsid w:val="00657DBE"/>
    <w:rsid w:val="00660200"/>
    <w:rsid w:val="00660A4B"/>
    <w:rsid w:val="00660C9B"/>
    <w:rsid w:val="00661550"/>
    <w:rsid w:val="00661ADF"/>
    <w:rsid w:val="00661D15"/>
    <w:rsid w:val="00661FD6"/>
    <w:rsid w:val="00662013"/>
    <w:rsid w:val="00662193"/>
    <w:rsid w:val="006625C4"/>
    <w:rsid w:val="00662A2D"/>
    <w:rsid w:val="00662F3C"/>
    <w:rsid w:val="00663279"/>
    <w:rsid w:val="00663AA4"/>
    <w:rsid w:val="00663BC7"/>
    <w:rsid w:val="006642AF"/>
    <w:rsid w:val="00664983"/>
    <w:rsid w:val="00665044"/>
    <w:rsid w:val="006652C8"/>
    <w:rsid w:val="00665877"/>
    <w:rsid w:val="006659B0"/>
    <w:rsid w:val="00666B31"/>
    <w:rsid w:val="00666E7F"/>
    <w:rsid w:val="00667518"/>
    <w:rsid w:val="00667890"/>
    <w:rsid w:val="00670254"/>
    <w:rsid w:val="006706A8"/>
    <w:rsid w:val="006708B7"/>
    <w:rsid w:val="00670E6F"/>
    <w:rsid w:val="00670EBD"/>
    <w:rsid w:val="00671148"/>
    <w:rsid w:val="00671A4D"/>
    <w:rsid w:val="00672258"/>
    <w:rsid w:val="006731E7"/>
    <w:rsid w:val="00673263"/>
    <w:rsid w:val="0067328D"/>
    <w:rsid w:val="00673443"/>
    <w:rsid w:val="006735A5"/>
    <w:rsid w:val="006739E9"/>
    <w:rsid w:val="00674124"/>
    <w:rsid w:val="0067435F"/>
    <w:rsid w:val="006756FB"/>
    <w:rsid w:val="00676A78"/>
    <w:rsid w:val="00680348"/>
    <w:rsid w:val="0068097B"/>
    <w:rsid w:val="00680BDE"/>
    <w:rsid w:val="00680D1E"/>
    <w:rsid w:val="00680EDD"/>
    <w:rsid w:val="0068100A"/>
    <w:rsid w:val="0068148E"/>
    <w:rsid w:val="006815E5"/>
    <w:rsid w:val="006817A3"/>
    <w:rsid w:val="00681D28"/>
    <w:rsid w:val="006827F5"/>
    <w:rsid w:val="0068289B"/>
    <w:rsid w:val="00682E86"/>
    <w:rsid w:val="006832E1"/>
    <w:rsid w:val="0068355D"/>
    <w:rsid w:val="00683BB6"/>
    <w:rsid w:val="006842DD"/>
    <w:rsid w:val="006843AD"/>
    <w:rsid w:val="00684490"/>
    <w:rsid w:val="0068491A"/>
    <w:rsid w:val="00684CFF"/>
    <w:rsid w:val="00685234"/>
    <w:rsid w:val="006853BB"/>
    <w:rsid w:val="00685B5F"/>
    <w:rsid w:val="00685B77"/>
    <w:rsid w:val="00685D31"/>
    <w:rsid w:val="006865B1"/>
    <w:rsid w:val="00686603"/>
    <w:rsid w:val="00686986"/>
    <w:rsid w:val="00686A47"/>
    <w:rsid w:val="00686B00"/>
    <w:rsid w:val="00686B0A"/>
    <w:rsid w:val="0068742D"/>
    <w:rsid w:val="0068768B"/>
    <w:rsid w:val="00687960"/>
    <w:rsid w:val="00687F07"/>
    <w:rsid w:val="006907DE"/>
    <w:rsid w:val="00690CA4"/>
    <w:rsid w:val="00690F46"/>
    <w:rsid w:val="006911DE"/>
    <w:rsid w:val="006918CE"/>
    <w:rsid w:val="00691AA5"/>
    <w:rsid w:val="00691C88"/>
    <w:rsid w:val="00691D62"/>
    <w:rsid w:val="006925A6"/>
    <w:rsid w:val="006927B7"/>
    <w:rsid w:val="00692C87"/>
    <w:rsid w:val="00692D12"/>
    <w:rsid w:val="006934FC"/>
    <w:rsid w:val="00693659"/>
    <w:rsid w:val="0069366C"/>
    <w:rsid w:val="006937F2"/>
    <w:rsid w:val="006939F7"/>
    <w:rsid w:val="00693B9E"/>
    <w:rsid w:val="00694783"/>
    <w:rsid w:val="0069568A"/>
    <w:rsid w:val="006960FE"/>
    <w:rsid w:val="0069619E"/>
    <w:rsid w:val="0069641D"/>
    <w:rsid w:val="00696827"/>
    <w:rsid w:val="00696D62"/>
    <w:rsid w:val="00696D9B"/>
    <w:rsid w:val="00697092"/>
    <w:rsid w:val="00697286"/>
    <w:rsid w:val="00697803"/>
    <w:rsid w:val="00697945"/>
    <w:rsid w:val="00697CE9"/>
    <w:rsid w:val="006A00F6"/>
    <w:rsid w:val="006A0ED3"/>
    <w:rsid w:val="006A1B21"/>
    <w:rsid w:val="006A2212"/>
    <w:rsid w:val="006A27F3"/>
    <w:rsid w:val="006A2806"/>
    <w:rsid w:val="006A284B"/>
    <w:rsid w:val="006A2B27"/>
    <w:rsid w:val="006A2C05"/>
    <w:rsid w:val="006A2FC2"/>
    <w:rsid w:val="006A3B83"/>
    <w:rsid w:val="006A3FA0"/>
    <w:rsid w:val="006A4525"/>
    <w:rsid w:val="006A4B60"/>
    <w:rsid w:val="006A515F"/>
    <w:rsid w:val="006A5189"/>
    <w:rsid w:val="006A51C4"/>
    <w:rsid w:val="006A5257"/>
    <w:rsid w:val="006A52BA"/>
    <w:rsid w:val="006A5531"/>
    <w:rsid w:val="006A57D5"/>
    <w:rsid w:val="006A63C9"/>
    <w:rsid w:val="006A688D"/>
    <w:rsid w:val="006A74E4"/>
    <w:rsid w:val="006A7A08"/>
    <w:rsid w:val="006B01D5"/>
    <w:rsid w:val="006B0E0D"/>
    <w:rsid w:val="006B0FBE"/>
    <w:rsid w:val="006B1825"/>
    <w:rsid w:val="006B1927"/>
    <w:rsid w:val="006B23C9"/>
    <w:rsid w:val="006B2FB0"/>
    <w:rsid w:val="006B31E4"/>
    <w:rsid w:val="006B32F6"/>
    <w:rsid w:val="006B34AB"/>
    <w:rsid w:val="006B34C5"/>
    <w:rsid w:val="006B3852"/>
    <w:rsid w:val="006B426B"/>
    <w:rsid w:val="006B4D32"/>
    <w:rsid w:val="006B51E9"/>
    <w:rsid w:val="006B55B5"/>
    <w:rsid w:val="006B56F7"/>
    <w:rsid w:val="006B58C8"/>
    <w:rsid w:val="006B68B0"/>
    <w:rsid w:val="006B6AAB"/>
    <w:rsid w:val="006B6EB1"/>
    <w:rsid w:val="006B734D"/>
    <w:rsid w:val="006B770C"/>
    <w:rsid w:val="006B7E7E"/>
    <w:rsid w:val="006C08A4"/>
    <w:rsid w:val="006C1110"/>
    <w:rsid w:val="006C12F0"/>
    <w:rsid w:val="006C1B67"/>
    <w:rsid w:val="006C1DAB"/>
    <w:rsid w:val="006C22BC"/>
    <w:rsid w:val="006C2954"/>
    <w:rsid w:val="006C2C95"/>
    <w:rsid w:val="006C2CCE"/>
    <w:rsid w:val="006C2D38"/>
    <w:rsid w:val="006C318B"/>
    <w:rsid w:val="006C3253"/>
    <w:rsid w:val="006C3354"/>
    <w:rsid w:val="006C3AA5"/>
    <w:rsid w:val="006C3B10"/>
    <w:rsid w:val="006C41F5"/>
    <w:rsid w:val="006C4293"/>
    <w:rsid w:val="006C48FE"/>
    <w:rsid w:val="006C4937"/>
    <w:rsid w:val="006C4FA5"/>
    <w:rsid w:val="006C5713"/>
    <w:rsid w:val="006C6646"/>
    <w:rsid w:val="006C6718"/>
    <w:rsid w:val="006C702A"/>
    <w:rsid w:val="006C70D6"/>
    <w:rsid w:val="006C7251"/>
    <w:rsid w:val="006D0352"/>
    <w:rsid w:val="006D18EB"/>
    <w:rsid w:val="006D1CA1"/>
    <w:rsid w:val="006D1D9E"/>
    <w:rsid w:val="006D2133"/>
    <w:rsid w:val="006D26E7"/>
    <w:rsid w:val="006D2850"/>
    <w:rsid w:val="006D2E97"/>
    <w:rsid w:val="006D3018"/>
    <w:rsid w:val="006D34D1"/>
    <w:rsid w:val="006D3BFF"/>
    <w:rsid w:val="006D4E73"/>
    <w:rsid w:val="006D51D8"/>
    <w:rsid w:val="006D595B"/>
    <w:rsid w:val="006D5B2D"/>
    <w:rsid w:val="006D6BF2"/>
    <w:rsid w:val="006D6DAA"/>
    <w:rsid w:val="006D6DFF"/>
    <w:rsid w:val="006D726A"/>
    <w:rsid w:val="006D73C9"/>
    <w:rsid w:val="006D7A2E"/>
    <w:rsid w:val="006E02A0"/>
    <w:rsid w:val="006E045B"/>
    <w:rsid w:val="006E05CD"/>
    <w:rsid w:val="006E0651"/>
    <w:rsid w:val="006E0A95"/>
    <w:rsid w:val="006E0BD5"/>
    <w:rsid w:val="006E12FB"/>
    <w:rsid w:val="006E156E"/>
    <w:rsid w:val="006E17F2"/>
    <w:rsid w:val="006E1CBC"/>
    <w:rsid w:val="006E1E34"/>
    <w:rsid w:val="006E20E7"/>
    <w:rsid w:val="006E2BB5"/>
    <w:rsid w:val="006E2C41"/>
    <w:rsid w:val="006E2D1A"/>
    <w:rsid w:val="006E3A20"/>
    <w:rsid w:val="006E3B34"/>
    <w:rsid w:val="006E44A3"/>
    <w:rsid w:val="006E46EE"/>
    <w:rsid w:val="006E47DC"/>
    <w:rsid w:val="006E4DDC"/>
    <w:rsid w:val="006E4DF8"/>
    <w:rsid w:val="006E4ED4"/>
    <w:rsid w:val="006E52AA"/>
    <w:rsid w:val="006E556D"/>
    <w:rsid w:val="006E5F0D"/>
    <w:rsid w:val="006E5F29"/>
    <w:rsid w:val="006E6226"/>
    <w:rsid w:val="006E6534"/>
    <w:rsid w:val="006E6740"/>
    <w:rsid w:val="006E72D2"/>
    <w:rsid w:val="006E7425"/>
    <w:rsid w:val="006E7EB5"/>
    <w:rsid w:val="006F0667"/>
    <w:rsid w:val="006F06C8"/>
    <w:rsid w:val="006F071D"/>
    <w:rsid w:val="006F08AB"/>
    <w:rsid w:val="006F0DE8"/>
    <w:rsid w:val="006F135E"/>
    <w:rsid w:val="006F1505"/>
    <w:rsid w:val="006F1535"/>
    <w:rsid w:val="006F1B98"/>
    <w:rsid w:val="006F1F0D"/>
    <w:rsid w:val="006F2935"/>
    <w:rsid w:val="006F300C"/>
    <w:rsid w:val="006F30C3"/>
    <w:rsid w:val="006F40E5"/>
    <w:rsid w:val="006F42DB"/>
    <w:rsid w:val="006F4812"/>
    <w:rsid w:val="006F4B02"/>
    <w:rsid w:val="006F4F71"/>
    <w:rsid w:val="006F573D"/>
    <w:rsid w:val="006F5E34"/>
    <w:rsid w:val="006F612D"/>
    <w:rsid w:val="006F64A5"/>
    <w:rsid w:val="006F6829"/>
    <w:rsid w:val="006F71C1"/>
    <w:rsid w:val="006F76BD"/>
    <w:rsid w:val="006F7706"/>
    <w:rsid w:val="006F7937"/>
    <w:rsid w:val="0070053A"/>
    <w:rsid w:val="007012E3"/>
    <w:rsid w:val="0070137F"/>
    <w:rsid w:val="00701E0F"/>
    <w:rsid w:val="00701EF4"/>
    <w:rsid w:val="0070237C"/>
    <w:rsid w:val="00702953"/>
    <w:rsid w:val="007029E7"/>
    <w:rsid w:val="00703741"/>
    <w:rsid w:val="00703B21"/>
    <w:rsid w:val="0070441A"/>
    <w:rsid w:val="00704996"/>
    <w:rsid w:val="00704E35"/>
    <w:rsid w:val="007052B1"/>
    <w:rsid w:val="0070547F"/>
    <w:rsid w:val="00705844"/>
    <w:rsid w:val="00705CD7"/>
    <w:rsid w:val="00705FB4"/>
    <w:rsid w:val="0070768E"/>
    <w:rsid w:val="00707F86"/>
    <w:rsid w:val="007105BE"/>
    <w:rsid w:val="00710A0C"/>
    <w:rsid w:val="00710BF0"/>
    <w:rsid w:val="00710D0A"/>
    <w:rsid w:val="00711DE9"/>
    <w:rsid w:val="00711F2E"/>
    <w:rsid w:val="00712547"/>
    <w:rsid w:val="007127E9"/>
    <w:rsid w:val="00712D36"/>
    <w:rsid w:val="007131EC"/>
    <w:rsid w:val="00713226"/>
    <w:rsid w:val="007137D2"/>
    <w:rsid w:val="007138EB"/>
    <w:rsid w:val="0071429F"/>
    <w:rsid w:val="00714F3E"/>
    <w:rsid w:val="007156DB"/>
    <w:rsid w:val="007159A7"/>
    <w:rsid w:val="0071618D"/>
    <w:rsid w:val="007165E7"/>
    <w:rsid w:val="00716762"/>
    <w:rsid w:val="00716793"/>
    <w:rsid w:val="00716865"/>
    <w:rsid w:val="00716B4B"/>
    <w:rsid w:val="00716B4F"/>
    <w:rsid w:val="00716B5F"/>
    <w:rsid w:val="00716C3B"/>
    <w:rsid w:val="00716D59"/>
    <w:rsid w:val="00716E87"/>
    <w:rsid w:val="00717055"/>
    <w:rsid w:val="00717258"/>
    <w:rsid w:val="00717380"/>
    <w:rsid w:val="007205BD"/>
    <w:rsid w:val="00720C6A"/>
    <w:rsid w:val="00720DBD"/>
    <w:rsid w:val="00721059"/>
    <w:rsid w:val="0072163B"/>
    <w:rsid w:val="007216EB"/>
    <w:rsid w:val="00721F37"/>
    <w:rsid w:val="00722180"/>
    <w:rsid w:val="00722281"/>
    <w:rsid w:val="007223C0"/>
    <w:rsid w:val="00722A02"/>
    <w:rsid w:val="00722E56"/>
    <w:rsid w:val="007232FF"/>
    <w:rsid w:val="0072364C"/>
    <w:rsid w:val="00723978"/>
    <w:rsid w:val="00723BF6"/>
    <w:rsid w:val="00723DD9"/>
    <w:rsid w:val="007241C0"/>
    <w:rsid w:val="0072421C"/>
    <w:rsid w:val="0072438A"/>
    <w:rsid w:val="007243D9"/>
    <w:rsid w:val="00724507"/>
    <w:rsid w:val="00724672"/>
    <w:rsid w:val="00724A20"/>
    <w:rsid w:val="00724AA7"/>
    <w:rsid w:val="0072577C"/>
    <w:rsid w:val="00725CD0"/>
    <w:rsid w:val="0072651D"/>
    <w:rsid w:val="00726DAE"/>
    <w:rsid w:val="00726EFE"/>
    <w:rsid w:val="00727612"/>
    <w:rsid w:val="00727AE4"/>
    <w:rsid w:val="007305B2"/>
    <w:rsid w:val="00730642"/>
    <w:rsid w:val="0073077F"/>
    <w:rsid w:val="00731631"/>
    <w:rsid w:val="00731800"/>
    <w:rsid w:val="00731880"/>
    <w:rsid w:val="00731BAF"/>
    <w:rsid w:val="0073239B"/>
    <w:rsid w:val="00732939"/>
    <w:rsid w:val="00732FD7"/>
    <w:rsid w:val="00733405"/>
    <w:rsid w:val="00733580"/>
    <w:rsid w:val="007335FA"/>
    <w:rsid w:val="0073389D"/>
    <w:rsid w:val="0073396A"/>
    <w:rsid w:val="00733B12"/>
    <w:rsid w:val="00734F83"/>
    <w:rsid w:val="00735CD0"/>
    <w:rsid w:val="007365C1"/>
    <w:rsid w:val="00736BB8"/>
    <w:rsid w:val="00736E49"/>
    <w:rsid w:val="007370D6"/>
    <w:rsid w:val="007375AE"/>
    <w:rsid w:val="007375E0"/>
    <w:rsid w:val="00737BAA"/>
    <w:rsid w:val="00740959"/>
    <w:rsid w:val="00740C2F"/>
    <w:rsid w:val="00740F4B"/>
    <w:rsid w:val="00741253"/>
    <w:rsid w:val="00741602"/>
    <w:rsid w:val="007417D8"/>
    <w:rsid w:val="00741E38"/>
    <w:rsid w:val="0074250B"/>
    <w:rsid w:val="00742A1F"/>
    <w:rsid w:val="00742B81"/>
    <w:rsid w:val="00742BE2"/>
    <w:rsid w:val="007444AE"/>
    <w:rsid w:val="007444AF"/>
    <w:rsid w:val="00744627"/>
    <w:rsid w:val="00744BA8"/>
    <w:rsid w:val="00744C6D"/>
    <w:rsid w:val="00744EDB"/>
    <w:rsid w:val="00745B5B"/>
    <w:rsid w:val="00745DAB"/>
    <w:rsid w:val="0074679D"/>
    <w:rsid w:val="00746E00"/>
    <w:rsid w:val="007471C8"/>
    <w:rsid w:val="00747402"/>
    <w:rsid w:val="00747601"/>
    <w:rsid w:val="00747ED1"/>
    <w:rsid w:val="00747F62"/>
    <w:rsid w:val="00751269"/>
    <w:rsid w:val="00751644"/>
    <w:rsid w:val="00751B69"/>
    <w:rsid w:val="0075208E"/>
    <w:rsid w:val="007527E5"/>
    <w:rsid w:val="00753583"/>
    <w:rsid w:val="00753ACD"/>
    <w:rsid w:val="007549FC"/>
    <w:rsid w:val="00754BB3"/>
    <w:rsid w:val="00754C9C"/>
    <w:rsid w:val="0075508D"/>
    <w:rsid w:val="007559B9"/>
    <w:rsid w:val="007569C6"/>
    <w:rsid w:val="00756D3F"/>
    <w:rsid w:val="00756E9B"/>
    <w:rsid w:val="00756F8B"/>
    <w:rsid w:val="007575B0"/>
    <w:rsid w:val="0075761C"/>
    <w:rsid w:val="007577B4"/>
    <w:rsid w:val="00757AA0"/>
    <w:rsid w:val="00757AB5"/>
    <w:rsid w:val="007605EC"/>
    <w:rsid w:val="00760618"/>
    <w:rsid w:val="00761773"/>
    <w:rsid w:val="00761C13"/>
    <w:rsid w:val="007626E7"/>
    <w:rsid w:val="00762ACB"/>
    <w:rsid w:val="00763B59"/>
    <w:rsid w:val="007641B0"/>
    <w:rsid w:val="007641D5"/>
    <w:rsid w:val="007649B6"/>
    <w:rsid w:val="007649F6"/>
    <w:rsid w:val="00764B48"/>
    <w:rsid w:val="00764D11"/>
    <w:rsid w:val="007650A0"/>
    <w:rsid w:val="00765600"/>
    <w:rsid w:val="007660E4"/>
    <w:rsid w:val="00766888"/>
    <w:rsid w:val="00766F45"/>
    <w:rsid w:val="00767057"/>
    <w:rsid w:val="00767145"/>
    <w:rsid w:val="007675D0"/>
    <w:rsid w:val="00767711"/>
    <w:rsid w:val="007679C2"/>
    <w:rsid w:val="00767AEE"/>
    <w:rsid w:val="00767C06"/>
    <w:rsid w:val="00767D1F"/>
    <w:rsid w:val="00767E1C"/>
    <w:rsid w:val="007700DC"/>
    <w:rsid w:val="007702E7"/>
    <w:rsid w:val="00770409"/>
    <w:rsid w:val="007707D4"/>
    <w:rsid w:val="00771148"/>
    <w:rsid w:val="007713A3"/>
    <w:rsid w:val="00771684"/>
    <w:rsid w:val="00771D94"/>
    <w:rsid w:val="00771DF8"/>
    <w:rsid w:val="007723BB"/>
    <w:rsid w:val="007724A0"/>
    <w:rsid w:val="00772770"/>
    <w:rsid w:val="0077283B"/>
    <w:rsid w:val="00772CBF"/>
    <w:rsid w:val="00772CE3"/>
    <w:rsid w:val="00773031"/>
    <w:rsid w:val="007730AC"/>
    <w:rsid w:val="007736EE"/>
    <w:rsid w:val="00773A2C"/>
    <w:rsid w:val="00773BC3"/>
    <w:rsid w:val="00773D7F"/>
    <w:rsid w:val="00774490"/>
    <w:rsid w:val="00774CBF"/>
    <w:rsid w:val="0077549E"/>
    <w:rsid w:val="007760DF"/>
    <w:rsid w:val="00776167"/>
    <w:rsid w:val="007764CF"/>
    <w:rsid w:val="0077693D"/>
    <w:rsid w:val="00777007"/>
    <w:rsid w:val="007776BD"/>
    <w:rsid w:val="00777978"/>
    <w:rsid w:val="00777AE7"/>
    <w:rsid w:val="00777E41"/>
    <w:rsid w:val="0078008F"/>
    <w:rsid w:val="00780B07"/>
    <w:rsid w:val="00780D22"/>
    <w:rsid w:val="007811C9"/>
    <w:rsid w:val="00781959"/>
    <w:rsid w:val="00781964"/>
    <w:rsid w:val="007826E1"/>
    <w:rsid w:val="007826EF"/>
    <w:rsid w:val="007836B4"/>
    <w:rsid w:val="00783B16"/>
    <w:rsid w:val="00783CD6"/>
    <w:rsid w:val="00784118"/>
    <w:rsid w:val="007841ED"/>
    <w:rsid w:val="00784364"/>
    <w:rsid w:val="007843F9"/>
    <w:rsid w:val="00784A6C"/>
    <w:rsid w:val="007850D9"/>
    <w:rsid w:val="0078517B"/>
    <w:rsid w:val="007852AC"/>
    <w:rsid w:val="0078552C"/>
    <w:rsid w:val="00785B05"/>
    <w:rsid w:val="00785C59"/>
    <w:rsid w:val="00785D9C"/>
    <w:rsid w:val="0078678F"/>
    <w:rsid w:val="007869E1"/>
    <w:rsid w:val="0078727B"/>
    <w:rsid w:val="0078747C"/>
    <w:rsid w:val="00790307"/>
    <w:rsid w:val="0079045F"/>
    <w:rsid w:val="00790599"/>
    <w:rsid w:val="00790DCD"/>
    <w:rsid w:val="007911EB"/>
    <w:rsid w:val="0079138B"/>
    <w:rsid w:val="00791594"/>
    <w:rsid w:val="00791AFA"/>
    <w:rsid w:val="0079212A"/>
    <w:rsid w:val="00792140"/>
    <w:rsid w:val="00792E04"/>
    <w:rsid w:val="00792ED7"/>
    <w:rsid w:val="00793206"/>
    <w:rsid w:val="0079352E"/>
    <w:rsid w:val="007937CE"/>
    <w:rsid w:val="00793B95"/>
    <w:rsid w:val="00793EF2"/>
    <w:rsid w:val="00794105"/>
    <w:rsid w:val="007943E9"/>
    <w:rsid w:val="0079446B"/>
    <w:rsid w:val="00794524"/>
    <w:rsid w:val="0079474B"/>
    <w:rsid w:val="0079475B"/>
    <w:rsid w:val="00794AD9"/>
    <w:rsid w:val="00795035"/>
    <w:rsid w:val="007951E0"/>
    <w:rsid w:val="00795975"/>
    <w:rsid w:val="00795D96"/>
    <w:rsid w:val="00795F20"/>
    <w:rsid w:val="0079648C"/>
    <w:rsid w:val="00796540"/>
    <w:rsid w:val="007970C1"/>
    <w:rsid w:val="0079715B"/>
    <w:rsid w:val="0079717F"/>
    <w:rsid w:val="0079726A"/>
    <w:rsid w:val="0079757C"/>
    <w:rsid w:val="007A02E5"/>
    <w:rsid w:val="007A0344"/>
    <w:rsid w:val="007A054F"/>
    <w:rsid w:val="007A0CF2"/>
    <w:rsid w:val="007A0F47"/>
    <w:rsid w:val="007A1A96"/>
    <w:rsid w:val="007A2A57"/>
    <w:rsid w:val="007A32BF"/>
    <w:rsid w:val="007A3492"/>
    <w:rsid w:val="007A3B8F"/>
    <w:rsid w:val="007A437C"/>
    <w:rsid w:val="007A4513"/>
    <w:rsid w:val="007A4E0E"/>
    <w:rsid w:val="007A5191"/>
    <w:rsid w:val="007A5739"/>
    <w:rsid w:val="007A5A6D"/>
    <w:rsid w:val="007A5DA0"/>
    <w:rsid w:val="007A5E4E"/>
    <w:rsid w:val="007A6843"/>
    <w:rsid w:val="007A6A45"/>
    <w:rsid w:val="007A6CFA"/>
    <w:rsid w:val="007A74DB"/>
    <w:rsid w:val="007A76B5"/>
    <w:rsid w:val="007A7774"/>
    <w:rsid w:val="007A7830"/>
    <w:rsid w:val="007A7886"/>
    <w:rsid w:val="007B01A6"/>
    <w:rsid w:val="007B0D08"/>
    <w:rsid w:val="007B0E6C"/>
    <w:rsid w:val="007B11DE"/>
    <w:rsid w:val="007B19B4"/>
    <w:rsid w:val="007B1A26"/>
    <w:rsid w:val="007B2539"/>
    <w:rsid w:val="007B267C"/>
    <w:rsid w:val="007B3E25"/>
    <w:rsid w:val="007B3FE5"/>
    <w:rsid w:val="007B4A5C"/>
    <w:rsid w:val="007B4BF5"/>
    <w:rsid w:val="007B4CEE"/>
    <w:rsid w:val="007B4D0D"/>
    <w:rsid w:val="007B5602"/>
    <w:rsid w:val="007B5F9D"/>
    <w:rsid w:val="007B5FD0"/>
    <w:rsid w:val="007B65F6"/>
    <w:rsid w:val="007B6D82"/>
    <w:rsid w:val="007B7093"/>
    <w:rsid w:val="007B738A"/>
    <w:rsid w:val="007B7563"/>
    <w:rsid w:val="007B79F6"/>
    <w:rsid w:val="007B7AB6"/>
    <w:rsid w:val="007B7B44"/>
    <w:rsid w:val="007B7BBB"/>
    <w:rsid w:val="007B7E35"/>
    <w:rsid w:val="007C0627"/>
    <w:rsid w:val="007C1619"/>
    <w:rsid w:val="007C18CD"/>
    <w:rsid w:val="007C1EAB"/>
    <w:rsid w:val="007C2513"/>
    <w:rsid w:val="007C2BC5"/>
    <w:rsid w:val="007C2EDE"/>
    <w:rsid w:val="007C349E"/>
    <w:rsid w:val="007C3660"/>
    <w:rsid w:val="007C3860"/>
    <w:rsid w:val="007C3A6A"/>
    <w:rsid w:val="007C3B13"/>
    <w:rsid w:val="007C42FD"/>
    <w:rsid w:val="007C4830"/>
    <w:rsid w:val="007C48B7"/>
    <w:rsid w:val="007C4A1D"/>
    <w:rsid w:val="007C4A64"/>
    <w:rsid w:val="007C4B33"/>
    <w:rsid w:val="007C59A2"/>
    <w:rsid w:val="007C5C3D"/>
    <w:rsid w:val="007C5DFE"/>
    <w:rsid w:val="007C6DC0"/>
    <w:rsid w:val="007C6DCE"/>
    <w:rsid w:val="007C7BE0"/>
    <w:rsid w:val="007C7C04"/>
    <w:rsid w:val="007C7E49"/>
    <w:rsid w:val="007D0B9F"/>
    <w:rsid w:val="007D1155"/>
    <w:rsid w:val="007D1C02"/>
    <w:rsid w:val="007D215F"/>
    <w:rsid w:val="007D24A8"/>
    <w:rsid w:val="007D28E7"/>
    <w:rsid w:val="007D2A3B"/>
    <w:rsid w:val="007D2E26"/>
    <w:rsid w:val="007D2ECD"/>
    <w:rsid w:val="007D3B8B"/>
    <w:rsid w:val="007D3D43"/>
    <w:rsid w:val="007D469A"/>
    <w:rsid w:val="007D4A30"/>
    <w:rsid w:val="007D5098"/>
    <w:rsid w:val="007D50E3"/>
    <w:rsid w:val="007D5736"/>
    <w:rsid w:val="007D5CD8"/>
    <w:rsid w:val="007D6277"/>
    <w:rsid w:val="007D79A4"/>
    <w:rsid w:val="007E024F"/>
    <w:rsid w:val="007E05F1"/>
    <w:rsid w:val="007E0B60"/>
    <w:rsid w:val="007E0D8E"/>
    <w:rsid w:val="007E151B"/>
    <w:rsid w:val="007E1819"/>
    <w:rsid w:val="007E1C95"/>
    <w:rsid w:val="007E1DD3"/>
    <w:rsid w:val="007E1F4A"/>
    <w:rsid w:val="007E2493"/>
    <w:rsid w:val="007E24D3"/>
    <w:rsid w:val="007E25E1"/>
    <w:rsid w:val="007E2F35"/>
    <w:rsid w:val="007E2F97"/>
    <w:rsid w:val="007E46FA"/>
    <w:rsid w:val="007E497F"/>
    <w:rsid w:val="007E4B47"/>
    <w:rsid w:val="007E4EF2"/>
    <w:rsid w:val="007E5DC9"/>
    <w:rsid w:val="007E6487"/>
    <w:rsid w:val="007E6D29"/>
    <w:rsid w:val="007E7019"/>
    <w:rsid w:val="007E77F9"/>
    <w:rsid w:val="007E7E05"/>
    <w:rsid w:val="007F00E7"/>
    <w:rsid w:val="007F0153"/>
    <w:rsid w:val="007F0466"/>
    <w:rsid w:val="007F0D36"/>
    <w:rsid w:val="007F133F"/>
    <w:rsid w:val="007F1752"/>
    <w:rsid w:val="007F181E"/>
    <w:rsid w:val="007F1C85"/>
    <w:rsid w:val="007F2008"/>
    <w:rsid w:val="007F2A33"/>
    <w:rsid w:val="007F3310"/>
    <w:rsid w:val="007F3724"/>
    <w:rsid w:val="007F38DF"/>
    <w:rsid w:val="007F3960"/>
    <w:rsid w:val="007F3E6F"/>
    <w:rsid w:val="007F3F67"/>
    <w:rsid w:val="007F4BFD"/>
    <w:rsid w:val="007F5491"/>
    <w:rsid w:val="007F5CA3"/>
    <w:rsid w:val="007F5CEE"/>
    <w:rsid w:val="007F6733"/>
    <w:rsid w:val="007F6E9A"/>
    <w:rsid w:val="007F6FD3"/>
    <w:rsid w:val="007F7322"/>
    <w:rsid w:val="007F74C1"/>
    <w:rsid w:val="007F7565"/>
    <w:rsid w:val="007F7722"/>
    <w:rsid w:val="007F7D59"/>
    <w:rsid w:val="007F7EF8"/>
    <w:rsid w:val="008001DB"/>
    <w:rsid w:val="008004EB"/>
    <w:rsid w:val="0080054B"/>
    <w:rsid w:val="008008C5"/>
    <w:rsid w:val="00800F2D"/>
    <w:rsid w:val="00800F63"/>
    <w:rsid w:val="00801A0E"/>
    <w:rsid w:val="00801D10"/>
    <w:rsid w:val="00802040"/>
    <w:rsid w:val="00802D73"/>
    <w:rsid w:val="0080304A"/>
    <w:rsid w:val="008030B9"/>
    <w:rsid w:val="008032B2"/>
    <w:rsid w:val="00803B6B"/>
    <w:rsid w:val="00803C8C"/>
    <w:rsid w:val="00804D98"/>
    <w:rsid w:val="008054FD"/>
    <w:rsid w:val="0080582C"/>
    <w:rsid w:val="00805EFB"/>
    <w:rsid w:val="00805F23"/>
    <w:rsid w:val="008060B1"/>
    <w:rsid w:val="00806282"/>
    <w:rsid w:val="00806903"/>
    <w:rsid w:val="00807147"/>
    <w:rsid w:val="00807B02"/>
    <w:rsid w:val="00807B8F"/>
    <w:rsid w:val="00807E87"/>
    <w:rsid w:val="00810275"/>
    <w:rsid w:val="008106DD"/>
    <w:rsid w:val="00810A48"/>
    <w:rsid w:val="00811211"/>
    <w:rsid w:val="0081157A"/>
    <w:rsid w:val="00811748"/>
    <w:rsid w:val="00811E42"/>
    <w:rsid w:val="00812535"/>
    <w:rsid w:val="00812D5B"/>
    <w:rsid w:val="00812F55"/>
    <w:rsid w:val="00813415"/>
    <w:rsid w:val="0081357D"/>
    <w:rsid w:val="008136A6"/>
    <w:rsid w:val="008150D3"/>
    <w:rsid w:val="00815514"/>
    <w:rsid w:val="00815639"/>
    <w:rsid w:val="00815A6D"/>
    <w:rsid w:val="00815DED"/>
    <w:rsid w:val="00816A8D"/>
    <w:rsid w:val="00816C31"/>
    <w:rsid w:val="0081739E"/>
    <w:rsid w:val="008173ED"/>
    <w:rsid w:val="00817426"/>
    <w:rsid w:val="00817653"/>
    <w:rsid w:val="00817668"/>
    <w:rsid w:val="0081783E"/>
    <w:rsid w:val="00817EE0"/>
    <w:rsid w:val="00821156"/>
    <w:rsid w:val="008218E8"/>
    <w:rsid w:val="00821E7E"/>
    <w:rsid w:val="00821ED9"/>
    <w:rsid w:val="00821FB3"/>
    <w:rsid w:val="0082217F"/>
    <w:rsid w:val="008228F6"/>
    <w:rsid w:val="00822A22"/>
    <w:rsid w:val="0082348E"/>
    <w:rsid w:val="00823559"/>
    <w:rsid w:val="0082369D"/>
    <w:rsid w:val="00824B7C"/>
    <w:rsid w:val="008250C8"/>
    <w:rsid w:val="008255DE"/>
    <w:rsid w:val="00825803"/>
    <w:rsid w:val="00825FB9"/>
    <w:rsid w:val="00825FC1"/>
    <w:rsid w:val="008266D0"/>
    <w:rsid w:val="008266E5"/>
    <w:rsid w:val="0082681A"/>
    <w:rsid w:val="008268F5"/>
    <w:rsid w:val="00826979"/>
    <w:rsid w:val="00826A94"/>
    <w:rsid w:val="00826DAB"/>
    <w:rsid w:val="00826DD5"/>
    <w:rsid w:val="008277B2"/>
    <w:rsid w:val="00830184"/>
    <w:rsid w:val="00830187"/>
    <w:rsid w:val="0083040F"/>
    <w:rsid w:val="008317D1"/>
    <w:rsid w:val="008323FB"/>
    <w:rsid w:val="008324EA"/>
    <w:rsid w:val="00833663"/>
    <w:rsid w:val="00833D03"/>
    <w:rsid w:val="00834692"/>
    <w:rsid w:val="008359C0"/>
    <w:rsid w:val="00835D3C"/>
    <w:rsid w:val="00836059"/>
    <w:rsid w:val="00836763"/>
    <w:rsid w:val="008369E2"/>
    <w:rsid w:val="00836BDD"/>
    <w:rsid w:val="00836F25"/>
    <w:rsid w:val="008374C9"/>
    <w:rsid w:val="00837506"/>
    <w:rsid w:val="008379FC"/>
    <w:rsid w:val="00837D0B"/>
    <w:rsid w:val="00840468"/>
    <w:rsid w:val="00840535"/>
    <w:rsid w:val="00840A7A"/>
    <w:rsid w:val="00841146"/>
    <w:rsid w:val="008413F2"/>
    <w:rsid w:val="008416ED"/>
    <w:rsid w:val="0084178F"/>
    <w:rsid w:val="00841CEC"/>
    <w:rsid w:val="00842019"/>
    <w:rsid w:val="008424BB"/>
    <w:rsid w:val="00842F80"/>
    <w:rsid w:val="00843C23"/>
    <w:rsid w:val="00843C6A"/>
    <w:rsid w:val="0084434E"/>
    <w:rsid w:val="00844754"/>
    <w:rsid w:val="00844A11"/>
    <w:rsid w:val="00845438"/>
    <w:rsid w:val="008456B7"/>
    <w:rsid w:val="008459AC"/>
    <w:rsid w:val="008459FE"/>
    <w:rsid w:val="00845ED2"/>
    <w:rsid w:val="008466CF"/>
    <w:rsid w:val="008469BF"/>
    <w:rsid w:val="00846FB2"/>
    <w:rsid w:val="008476A7"/>
    <w:rsid w:val="008479CE"/>
    <w:rsid w:val="008501BD"/>
    <w:rsid w:val="00850A82"/>
    <w:rsid w:val="00850C0D"/>
    <w:rsid w:val="00850EB4"/>
    <w:rsid w:val="00850F14"/>
    <w:rsid w:val="008514FA"/>
    <w:rsid w:val="00851F7B"/>
    <w:rsid w:val="008522F8"/>
    <w:rsid w:val="0085291D"/>
    <w:rsid w:val="0085296A"/>
    <w:rsid w:val="00852AC7"/>
    <w:rsid w:val="00853308"/>
    <w:rsid w:val="00853A62"/>
    <w:rsid w:val="00853AE7"/>
    <w:rsid w:val="00853E20"/>
    <w:rsid w:val="0085429D"/>
    <w:rsid w:val="00854764"/>
    <w:rsid w:val="0085537A"/>
    <w:rsid w:val="00856324"/>
    <w:rsid w:val="008567E4"/>
    <w:rsid w:val="00856984"/>
    <w:rsid w:val="00856F55"/>
    <w:rsid w:val="008571B6"/>
    <w:rsid w:val="00857979"/>
    <w:rsid w:val="008579CA"/>
    <w:rsid w:val="00857BE5"/>
    <w:rsid w:val="00857DF8"/>
    <w:rsid w:val="00860465"/>
    <w:rsid w:val="008609B3"/>
    <w:rsid w:val="00861067"/>
    <w:rsid w:val="0086126B"/>
    <w:rsid w:val="008612CC"/>
    <w:rsid w:val="00861386"/>
    <w:rsid w:val="00861822"/>
    <w:rsid w:val="0086242C"/>
    <w:rsid w:val="008624AC"/>
    <w:rsid w:val="008627B5"/>
    <w:rsid w:val="008628C8"/>
    <w:rsid w:val="008629C5"/>
    <w:rsid w:val="00862A62"/>
    <w:rsid w:val="00862C3E"/>
    <w:rsid w:val="008630C4"/>
    <w:rsid w:val="008637C0"/>
    <w:rsid w:val="0086481B"/>
    <w:rsid w:val="00864AB4"/>
    <w:rsid w:val="00864B45"/>
    <w:rsid w:val="00864CFC"/>
    <w:rsid w:val="00864E46"/>
    <w:rsid w:val="00865674"/>
    <w:rsid w:val="00865892"/>
    <w:rsid w:val="008660EE"/>
    <w:rsid w:val="008665FA"/>
    <w:rsid w:val="00866FDD"/>
    <w:rsid w:val="008670D4"/>
    <w:rsid w:val="008678FA"/>
    <w:rsid w:val="00871198"/>
    <w:rsid w:val="00871B16"/>
    <w:rsid w:val="00871C17"/>
    <w:rsid w:val="00871E69"/>
    <w:rsid w:val="0087233D"/>
    <w:rsid w:val="008729AF"/>
    <w:rsid w:val="00873640"/>
    <w:rsid w:val="00873763"/>
    <w:rsid w:val="00873C9E"/>
    <w:rsid w:val="00873CC9"/>
    <w:rsid w:val="00874BC2"/>
    <w:rsid w:val="00875254"/>
    <w:rsid w:val="0087556A"/>
    <w:rsid w:val="00876158"/>
    <w:rsid w:val="008764C3"/>
    <w:rsid w:val="00876E38"/>
    <w:rsid w:val="008771EB"/>
    <w:rsid w:val="00877682"/>
    <w:rsid w:val="00877896"/>
    <w:rsid w:val="00877A5C"/>
    <w:rsid w:val="00877D30"/>
    <w:rsid w:val="00880223"/>
    <w:rsid w:val="00880937"/>
    <w:rsid w:val="00880D42"/>
    <w:rsid w:val="00881126"/>
    <w:rsid w:val="00881206"/>
    <w:rsid w:val="00881235"/>
    <w:rsid w:val="0088166C"/>
    <w:rsid w:val="008816E7"/>
    <w:rsid w:val="0088178F"/>
    <w:rsid w:val="008818F9"/>
    <w:rsid w:val="00881D02"/>
    <w:rsid w:val="00881DD5"/>
    <w:rsid w:val="008823B4"/>
    <w:rsid w:val="008824A4"/>
    <w:rsid w:val="00882D9C"/>
    <w:rsid w:val="00882DC2"/>
    <w:rsid w:val="00882FB1"/>
    <w:rsid w:val="00883543"/>
    <w:rsid w:val="00883AB6"/>
    <w:rsid w:val="00883C56"/>
    <w:rsid w:val="00883D5C"/>
    <w:rsid w:val="00884E2D"/>
    <w:rsid w:val="008855FE"/>
    <w:rsid w:val="008856E2"/>
    <w:rsid w:val="00885990"/>
    <w:rsid w:val="00885ACC"/>
    <w:rsid w:val="008869FF"/>
    <w:rsid w:val="00886E01"/>
    <w:rsid w:val="00887A39"/>
    <w:rsid w:val="0089000F"/>
    <w:rsid w:val="00890135"/>
    <w:rsid w:val="008903C0"/>
    <w:rsid w:val="008905C9"/>
    <w:rsid w:val="0089062E"/>
    <w:rsid w:val="00890647"/>
    <w:rsid w:val="00890808"/>
    <w:rsid w:val="00890AC3"/>
    <w:rsid w:val="00890B98"/>
    <w:rsid w:val="00890D66"/>
    <w:rsid w:val="0089133A"/>
    <w:rsid w:val="00891F26"/>
    <w:rsid w:val="0089202D"/>
    <w:rsid w:val="00892FC8"/>
    <w:rsid w:val="0089362B"/>
    <w:rsid w:val="00893970"/>
    <w:rsid w:val="00893EA2"/>
    <w:rsid w:val="00894710"/>
    <w:rsid w:val="008948F6"/>
    <w:rsid w:val="00894AFD"/>
    <w:rsid w:val="00895330"/>
    <w:rsid w:val="00895712"/>
    <w:rsid w:val="00895807"/>
    <w:rsid w:val="00895CD8"/>
    <w:rsid w:val="00896CB6"/>
    <w:rsid w:val="00897006"/>
    <w:rsid w:val="0089726E"/>
    <w:rsid w:val="00897685"/>
    <w:rsid w:val="00897D1D"/>
    <w:rsid w:val="00897E70"/>
    <w:rsid w:val="008A021E"/>
    <w:rsid w:val="008A07D5"/>
    <w:rsid w:val="008A07F0"/>
    <w:rsid w:val="008A0AF2"/>
    <w:rsid w:val="008A0DC4"/>
    <w:rsid w:val="008A1008"/>
    <w:rsid w:val="008A2084"/>
    <w:rsid w:val="008A2237"/>
    <w:rsid w:val="008A2315"/>
    <w:rsid w:val="008A2628"/>
    <w:rsid w:val="008A2DFE"/>
    <w:rsid w:val="008A2F90"/>
    <w:rsid w:val="008A3119"/>
    <w:rsid w:val="008A3453"/>
    <w:rsid w:val="008A34F7"/>
    <w:rsid w:val="008A36F0"/>
    <w:rsid w:val="008A37B2"/>
    <w:rsid w:val="008A3A39"/>
    <w:rsid w:val="008A4348"/>
    <w:rsid w:val="008A4419"/>
    <w:rsid w:val="008A48AA"/>
    <w:rsid w:val="008A4A7B"/>
    <w:rsid w:val="008A4E53"/>
    <w:rsid w:val="008A5280"/>
    <w:rsid w:val="008A56B6"/>
    <w:rsid w:val="008A660E"/>
    <w:rsid w:val="008A67BF"/>
    <w:rsid w:val="008A6B2D"/>
    <w:rsid w:val="008A769A"/>
    <w:rsid w:val="008A7991"/>
    <w:rsid w:val="008B01C9"/>
    <w:rsid w:val="008B06CC"/>
    <w:rsid w:val="008B0791"/>
    <w:rsid w:val="008B10CE"/>
    <w:rsid w:val="008B1347"/>
    <w:rsid w:val="008B185E"/>
    <w:rsid w:val="008B1A02"/>
    <w:rsid w:val="008B1DDE"/>
    <w:rsid w:val="008B217E"/>
    <w:rsid w:val="008B24BF"/>
    <w:rsid w:val="008B252A"/>
    <w:rsid w:val="008B28E8"/>
    <w:rsid w:val="008B2EA3"/>
    <w:rsid w:val="008B3B37"/>
    <w:rsid w:val="008B3FB5"/>
    <w:rsid w:val="008B43E3"/>
    <w:rsid w:val="008B499F"/>
    <w:rsid w:val="008B4D60"/>
    <w:rsid w:val="008B4FB3"/>
    <w:rsid w:val="008B51BD"/>
    <w:rsid w:val="008B5384"/>
    <w:rsid w:val="008B54AE"/>
    <w:rsid w:val="008B55C7"/>
    <w:rsid w:val="008B6107"/>
    <w:rsid w:val="008B67F6"/>
    <w:rsid w:val="008B6942"/>
    <w:rsid w:val="008B6A8A"/>
    <w:rsid w:val="008B6D59"/>
    <w:rsid w:val="008B6EAF"/>
    <w:rsid w:val="008B6F5D"/>
    <w:rsid w:val="008B70B3"/>
    <w:rsid w:val="008B70F6"/>
    <w:rsid w:val="008B77A6"/>
    <w:rsid w:val="008B7D14"/>
    <w:rsid w:val="008B7FC6"/>
    <w:rsid w:val="008C044E"/>
    <w:rsid w:val="008C04B6"/>
    <w:rsid w:val="008C15D6"/>
    <w:rsid w:val="008C1DAF"/>
    <w:rsid w:val="008C2889"/>
    <w:rsid w:val="008C294A"/>
    <w:rsid w:val="008C365B"/>
    <w:rsid w:val="008C38D8"/>
    <w:rsid w:val="008C3D58"/>
    <w:rsid w:val="008C4F55"/>
    <w:rsid w:val="008C4FE8"/>
    <w:rsid w:val="008C53A9"/>
    <w:rsid w:val="008C59CC"/>
    <w:rsid w:val="008C6012"/>
    <w:rsid w:val="008C6038"/>
    <w:rsid w:val="008C68E6"/>
    <w:rsid w:val="008C6933"/>
    <w:rsid w:val="008C722B"/>
    <w:rsid w:val="008C7613"/>
    <w:rsid w:val="008C77A8"/>
    <w:rsid w:val="008C7D81"/>
    <w:rsid w:val="008D0249"/>
    <w:rsid w:val="008D0A26"/>
    <w:rsid w:val="008D0CEC"/>
    <w:rsid w:val="008D0D9D"/>
    <w:rsid w:val="008D0E1F"/>
    <w:rsid w:val="008D1053"/>
    <w:rsid w:val="008D12EE"/>
    <w:rsid w:val="008D1450"/>
    <w:rsid w:val="008D159A"/>
    <w:rsid w:val="008D185B"/>
    <w:rsid w:val="008D19AB"/>
    <w:rsid w:val="008D1A5C"/>
    <w:rsid w:val="008D1D63"/>
    <w:rsid w:val="008D1D9E"/>
    <w:rsid w:val="008D22A5"/>
    <w:rsid w:val="008D2319"/>
    <w:rsid w:val="008D2812"/>
    <w:rsid w:val="008D282D"/>
    <w:rsid w:val="008D2DBD"/>
    <w:rsid w:val="008D2F1D"/>
    <w:rsid w:val="008D371E"/>
    <w:rsid w:val="008D38B8"/>
    <w:rsid w:val="008D3E6F"/>
    <w:rsid w:val="008D4313"/>
    <w:rsid w:val="008D4D72"/>
    <w:rsid w:val="008D5972"/>
    <w:rsid w:val="008D6576"/>
    <w:rsid w:val="008D680A"/>
    <w:rsid w:val="008D70F7"/>
    <w:rsid w:val="008D7319"/>
    <w:rsid w:val="008D7435"/>
    <w:rsid w:val="008D7B62"/>
    <w:rsid w:val="008D7D84"/>
    <w:rsid w:val="008E0371"/>
    <w:rsid w:val="008E0C5B"/>
    <w:rsid w:val="008E0D26"/>
    <w:rsid w:val="008E139B"/>
    <w:rsid w:val="008E1BE1"/>
    <w:rsid w:val="008E1C54"/>
    <w:rsid w:val="008E1F62"/>
    <w:rsid w:val="008E1F9A"/>
    <w:rsid w:val="008E2158"/>
    <w:rsid w:val="008E2312"/>
    <w:rsid w:val="008E2A7D"/>
    <w:rsid w:val="008E2B66"/>
    <w:rsid w:val="008E2D78"/>
    <w:rsid w:val="008E2DC6"/>
    <w:rsid w:val="008E3194"/>
    <w:rsid w:val="008E31E0"/>
    <w:rsid w:val="008E320F"/>
    <w:rsid w:val="008E3283"/>
    <w:rsid w:val="008E3627"/>
    <w:rsid w:val="008E3712"/>
    <w:rsid w:val="008E37DD"/>
    <w:rsid w:val="008E3992"/>
    <w:rsid w:val="008E3C17"/>
    <w:rsid w:val="008E40BD"/>
    <w:rsid w:val="008E424F"/>
    <w:rsid w:val="008E4E9B"/>
    <w:rsid w:val="008E6075"/>
    <w:rsid w:val="008E619E"/>
    <w:rsid w:val="008E6409"/>
    <w:rsid w:val="008E658F"/>
    <w:rsid w:val="008E6927"/>
    <w:rsid w:val="008E6D2F"/>
    <w:rsid w:val="008E6F89"/>
    <w:rsid w:val="008E6FB6"/>
    <w:rsid w:val="008E7356"/>
    <w:rsid w:val="008E76C7"/>
    <w:rsid w:val="008E7F05"/>
    <w:rsid w:val="008F00BF"/>
    <w:rsid w:val="008F06E5"/>
    <w:rsid w:val="008F0DF2"/>
    <w:rsid w:val="008F111E"/>
    <w:rsid w:val="008F2517"/>
    <w:rsid w:val="008F2541"/>
    <w:rsid w:val="008F25E4"/>
    <w:rsid w:val="008F2625"/>
    <w:rsid w:val="008F2CB8"/>
    <w:rsid w:val="008F3F4F"/>
    <w:rsid w:val="008F4D13"/>
    <w:rsid w:val="008F50FA"/>
    <w:rsid w:val="008F51E3"/>
    <w:rsid w:val="008F52DB"/>
    <w:rsid w:val="008F5320"/>
    <w:rsid w:val="008F5D39"/>
    <w:rsid w:val="008F6CD5"/>
    <w:rsid w:val="008F70E9"/>
    <w:rsid w:val="008F742D"/>
    <w:rsid w:val="0090035A"/>
    <w:rsid w:val="00900A53"/>
    <w:rsid w:val="00900D43"/>
    <w:rsid w:val="00901253"/>
    <w:rsid w:val="00901E1F"/>
    <w:rsid w:val="00901E3B"/>
    <w:rsid w:val="009021AB"/>
    <w:rsid w:val="009024BB"/>
    <w:rsid w:val="0090272D"/>
    <w:rsid w:val="00902B1D"/>
    <w:rsid w:val="00903AB8"/>
    <w:rsid w:val="009040E9"/>
    <w:rsid w:val="009043F5"/>
    <w:rsid w:val="00904A0D"/>
    <w:rsid w:val="00904B34"/>
    <w:rsid w:val="009050AA"/>
    <w:rsid w:val="00905194"/>
    <w:rsid w:val="00905302"/>
    <w:rsid w:val="00905446"/>
    <w:rsid w:val="0090549B"/>
    <w:rsid w:val="00905540"/>
    <w:rsid w:val="00905716"/>
    <w:rsid w:val="00905774"/>
    <w:rsid w:val="0090579C"/>
    <w:rsid w:val="009059DF"/>
    <w:rsid w:val="00906481"/>
    <w:rsid w:val="00906DF3"/>
    <w:rsid w:val="00907093"/>
    <w:rsid w:val="009076D7"/>
    <w:rsid w:val="00907C96"/>
    <w:rsid w:val="009103A0"/>
    <w:rsid w:val="009104BE"/>
    <w:rsid w:val="009109BA"/>
    <w:rsid w:val="009114B7"/>
    <w:rsid w:val="009115C2"/>
    <w:rsid w:val="00911795"/>
    <w:rsid w:val="009119AD"/>
    <w:rsid w:val="00911AB6"/>
    <w:rsid w:val="00911B14"/>
    <w:rsid w:val="009121E6"/>
    <w:rsid w:val="00912A5C"/>
    <w:rsid w:val="00912B20"/>
    <w:rsid w:val="009135B6"/>
    <w:rsid w:val="00913DB4"/>
    <w:rsid w:val="00913DFB"/>
    <w:rsid w:val="00914135"/>
    <w:rsid w:val="00914F47"/>
    <w:rsid w:val="00915342"/>
    <w:rsid w:val="00915FB6"/>
    <w:rsid w:val="0091724C"/>
    <w:rsid w:val="0091789A"/>
    <w:rsid w:val="00917BCB"/>
    <w:rsid w:val="009214EE"/>
    <w:rsid w:val="009216CC"/>
    <w:rsid w:val="00921725"/>
    <w:rsid w:val="00921950"/>
    <w:rsid w:val="00921B87"/>
    <w:rsid w:val="00921E99"/>
    <w:rsid w:val="00922298"/>
    <w:rsid w:val="00922398"/>
    <w:rsid w:val="0092255B"/>
    <w:rsid w:val="009227E5"/>
    <w:rsid w:val="009230A3"/>
    <w:rsid w:val="009230ED"/>
    <w:rsid w:val="0092311F"/>
    <w:rsid w:val="009234B4"/>
    <w:rsid w:val="00923D0D"/>
    <w:rsid w:val="00924F54"/>
    <w:rsid w:val="009255EB"/>
    <w:rsid w:val="0092578B"/>
    <w:rsid w:val="0092579D"/>
    <w:rsid w:val="00925AD2"/>
    <w:rsid w:val="0092604D"/>
    <w:rsid w:val="009263D4"/>
    <w:rsid w:val="009263E9"/>
    <w:rsid w:val="00926622"/>
    <w:rsid w:val="00926A21"/>
    <w:rsid w:val="00927C26"/>
    <w:rsid w:val="00930023"/>
    <w:rsid w:val="0093027C"/>
    <w:rsid w:val="00930AC7"/>
    <w:rsid w:val="00930B05"/>
    <w:rsid w:val="00930E3F"/>
    <w:rsid w:val="00931733"/>
    <w:rsid w:val="00931995"/>
    <w:rsid w:val="009323DA"/>
    <w:rsid w:val="009325C4"/>
    <w:rsid w:val="00932780"/>
    <w:rsid w:val="00932E2A"/>
    <w:rsid w:val="00932F04"/>
    <w:rsid w:val="00932F96"/>
    <w:rsid w:val="00933168"/>
    <w:rsid w:val="00933A2B"/>
    <w:rsid w:val="009349DA"/>
    <w:rsid w:val="00935597"/>
    <w:rsid w:val="009355C0"/>
    <w:rsid w:val="009359A5"/>
    <w:rsid w:val="00935B06"/>
    <w:rsid w:val="00935C0D"/>
    <w:rsid w:val="00935D87"/>
    <w:rsid w:val="0093615E"/>
    <w:rsid w:val="00936547"/>
    <w:rsid w:val="00936679"/>
    <w:rsid w:val="00936DA9"/>
    <w:rsid w:val="0093706F"/>
    <w:rsid w:val="00937457"/>
    <w:rsid w:val="009374A2"/>
    <w:rsid w:val="00937691"/>
    <w:rsid w:val="00937C4C"/>
    <w:rsid w:val="00937CA1"/>
    <w:rsid w:val="00940393"/>
    <w:rsid w:val="00940581"/>
    <w:rsid w:val="00940685"/>
    <w:rsid w:val="00940868"/>
    <w:rsid w:val="00940BF6"/>
    <w:rsid w:val="00940BF7"/>
    <w:rsid w:val="00940CFB"/>
    <w:rsid w:val="00940EA8"/>
    <w:rsid w:val="009414D7"/>
    <w:rsid w:val="00941CF1"/>
    <w:rsid w:val="00941EE3"/>
    <w:rsid w:val="00942248"/>
    <w:rsid w:val="00942A5B"/>
    <w:rsid w:val="0094305E"/>
    <w:rsid w:val="00943430"/>
    <w:rsid w:val="00943618"/>
    <w:rsid w:val="009446F1"/>
    <w:rsid w:val="00944A7E"/>
    <w:rsid w:val="00944F01"/>
    <w:rsid w:val="009451BA"/>
    <w:rsid w:val="009455DD"/>
    <w:rsid w:val="0094589A"/>
    <w:rsid w:val="00945BF5"/>
    <w:rsid w:val="009460B0"/>
    <w:rsid w:val="009463ED"/>
    <w:rsid w:val="00946741"/>
    <w:rsid w:val="00946898"/>
    <w:rsid w:val="009468FA"/>
    <w:rsid w:val="00946AB5"/>
    <w:rsid w:val="009478BA"/>
    <w:rsid w:val="0094799F"/>
    <w:rsid w:val="00947EA2"/>
    <w:rsid w:val="00950FFE"/>
    <w:rsid w:val="009512DB"/>
    <w:rsid w:val="00952851"/>
    <w:rsid w:val="00952F06"/>
    <w:rsid w:val="00953167"/>
    <w:rsid w:val="00953A81"/>
    <w:rsid w:val="00953DE7"/>
    <w:rsid w:val="00953E71"/>
    <w:rsid w:val="0095415E"/>
    <w:rsid w:val="00954792"/>
    <w:rsid w:val="00954991"/>
    <w:rsid w:val="009549B2"/>
    <w:rsid w:val="009549C3"/>
    <w:rsid w:val="00954FC3"/>
    <w:rsid w:val="00955E2D"/>
    <w:rsid w:val="009562AD"/>
    <w:rsid w:val="00956612"/>
    <w:rsid w:val="0095667A"/>
    <w:rsid w:val="00956951"/>
    <w:rsid w:val="00957073"/>
    <w:rsid w:val="009576A7"/>
    <w:rsid w:val="009576ED"/>
    <w:rsid w:val="00957CED"/>
    <w:rsid w:val="00960E59"/>
    <w:rsid w:val="009614AF"/>
    <w:rsid w:val="00961691"/>
    <w:rsid w:val="00961848"/>
    <w:rsid w:val="009618E5"/>
    <w:rsid w:val="00961DA3"/>
    <w:rsid w:val="00962044"/>
    <w:rsid w:val="00962641"/>
    <w:rsid w:val="009626AA"/>
    <w:rsid w:val="00962ECF"/>
    <w:rsid w:val="0096315D"/>
    <w:rsid w:val="009636CA"/>
    <w:rsid w:val="00963E28"/>
    <w:rsid w:val="00964268"/>
    <w:rsid w:val="00964486"/>
    <w:rsid w:val="009648DC"/>
    <w:rsid w:val="00964931"/>
    <w:rsid w:val="00964DFC"/>
    <w:rsid w:val="00965250"/>
    <w:rsid w:val="00965543"/>
    <w:rsid w:val="0096558A"/>
    <w:rsid w:val="009656E4"/>
    <w:rsid w:val="00965766"/>
    <w:rsid w:val="0096598A"/>
    <w:rsid w:val="00965EA4"/>
    <w:rsid w:val="00965EE7"/>
    <w:rsid w:val="009661B4"/>
    <w:rsid w:val="009665DE"/>
    <w:rsid w:val="00966B07"/>
    <w:rsid w:val="00967134"/>
    <w:rsid w:val="00967426"/>
    <w:rsid w:val="009677A3"/>
    <w:rsid w:val="00967AA7"/>
    <w:rsid w:val="009700F2"/>
    <w:rsid w:val="009703A1"/>
    <w:rsid w:val="0097061A"/>
    <w:rsid w:val="00970B05"/>
    <w:rsid w:val="00971305"/>
    <w:rsid w:val="00971964"/>
    <w:rsid w:val="00971987"/>
    <w:rsid w:val="009719B6"/>
    <w:rsid w:val="00971BDF"/>
    <w:rsid w:val="00971C0F"/>
    <w:rsid w:val="009735FC"/>
    <w:rsid w:val="0097446C"/>
    <w:rsid w:val="00974BC8"/>
    <w:rsid w:val="00974BF1"/>
    <w:rsid w:val="00974C49"/>
    <w:rsid w:val="00974F85"/>
    <w:rsid w:val="0097527B"/>
    <w:rsid w:val="00975291"/>
    <w:rsid w:val="00975306"/>
    <w:rsid w:val="00975371"/>
    <w:rsid w:val="00975566"/>
    <w:rsid w:val="00975FB4"/>
    <w:rsid w:val="00976503"/>
    <w:rsid w:val="0097659A"/>
    <w:rsid w:val="00976800"/>
    <w:rsid w:val="0097695B"/>
    <w:rsid w:val="00976B39"/>
    <w:rsid w:val="00976B6C"/>
    <w:rsid w:val="00976FCC"/>
    <w:rsid w:val="00977408"/>
    <w:rsid w:val="00977475"/>
    <w:rsid w:val="0097757A"/>
    <w:rsid w:val="00977A28"/>
    <w:rsid w:val="00977AE8"/>
    <w:rsid w:val="00977CAF"/>
    <w:rsid w:val="009809F3"/>
    <w:rsid w:val="00980A10"/>
    <w:rsid w:val="00980BC7"/>
    <w:rsid w:val="00981E47"/>
    <w:rsid w:val="00982319"/>
    <w:rsid w:val="00982F70"/>
    <w:rsid w:val="009834DC"/>
    <w:rsid w:val="00983573"/>
    <w:rsid w:val="00983BB4"/>
    <w:rsid w:val="00983DEB"/>
    <w:rsid w:val="009842EF"/>
    <w:rsid w:val="00984323"/>
    <w:rsid w:val="009843EC"/>
    <w:rsid w:val="0098455B"/>
    <w:rsid w:val="00984756"/>
    <w:rsid w:val="0098498B"/>
    <w:rsid w:val="00984B8D"/>
    <w:rsid w:val="00985247"/>
    <w:rsid w:val="0098535E"/>
    <w:rsid w:val="0098546B"/>
    <w:rsid w:val="00985951"/>
    <w:rsid w:val="00985B3E"/>
    <w:rsid w:val="00985F1E"/>
    <w:rsid w:val="00986199"/>
    <w:rsid w:val="0098622D"/>
    <w:rsid w:val="009872FC"/>
    <w:rsid w:val="0098734A"/>
    <w:rsid w:val="0098761D"/>
    <w:rsid w:val="00987628"/>
    <w:rsid w:val="009876B9"/>
    <w:rsid w:val="009878FA"/>
    <w:rsid w:val="00987937"/>
    <w:rsid w:val="00987C61"/>
    <w:rsid w:val="00987D2F"/>
    <w:rsid w:val="00987E2E"/>
    <w:rsid w:val="00990041"/>
    <w:rsid w:val="00990B35"/>
    <w:rsid w:val="00990D97"/>
    <w:rsid w:val="00991039"/>
    <w:rsid w:val="00991759"/>
    <w:rsid w:val="0099179D"/>
    <w:rsid w:val="00991E0C"/>
    <w:rsid w:val="00992275"/>
    <w:rsid w:val="00993011"/>
    <w:rsid w:val="009932AC"/>
    <w:rsid w:val="009936E7"/>
    <w:rsid w:val="009938BD"/>
    <w:rsid w:val="00993A88"/>
    <w:rsid w:val="00993E6F"/>
    <w:rsid w:val="00994552"/>
    <w:rsid w:val="00994631"/>
    <w:rsid w:val="00994A25"/>
    <w:rsid w:val="00994AA2"/>
    <w:rsid w:val="00994C74"/>
    <w:rsid w:val="00994DA1"/>
    <w:rsid w:val="0099548A"/>
    <w:rsid w:val="00995516"/>
    <w:rsid w:val="00995634"/>
    <w:rsid w:val="0099668E"/>
    <w:rsid w:val="00996B48"/>
    <w:rsid w:val="00996D01"/>
    <w:rsid w:val="00996EEA"/>
    <w:rsid w:val="009A0017"/>
    <w:rsid w:val="009A081D"/>
    <w:rsid w:val="009A0B9A"/>
    <w:rsid w:val="009A0FA0"/>
    <w:rsid w:val="009A26EF"/>
    <w:rsid w:val="009A3279"/>
    <w:rsid w:val="009A32ED"/>
    <w:rsid w:val="009A422E"/>
    <w:rsid w:val="009A4654"/>
    <w:rsid w:val="009A4927"/>
    <w:rsid w:val="009A49A2"/>
    <w:rsid w:val="009A4F95"/>
    <w:rsid w:val="009A53CD"/>
    <w:rsid w:val="009A5E6B"/>
    <w:rsid w:val="009A5E71"/>
    <w:rsid w:val="009A6223"/>
    <w:rsid w:val="009A63BC"/>
    <w:rsid w:val="009A69D5"/>
    <w:rsid w:val="009A6F4B"/>
    <w:rsid w:val="009A7134"/>
    <w:rsid w:val="009A7817"/>
    <w:rsid w:val="009B0722"/>
    <w:rsid w:val="009B0A48"/>
    <w:rsid w:val="009B0E9A"/>
    <w:rsid w:val="009B11BC"/>
    <w:rsid w:val="009B1616"/>
    <w:rsid w:val="009B17C0"/>
    <w:rsid w:val="009B17FB"/>
    <w:rsid w:val="009B1B28"/>
    <w:rsid w:val="009B1EB3"/>
    <w:rsid w:val="009B23E0"/>
    <w:rsid w:val="009B24D5"/>
    <w:rsid w:val="009B2ACE"/>
    <w:rsid w:val="009B2C44"/>
    <w:rsid w:val="009B2D2B"/>
    <w:rsid w:val="009B3239"/>
    <w:rsid w:val="009B350C"/>
    <w:rsid w:val="009B3610"/>
    <w:rsid w:val="009B367E"/>
    <w:rsid w:val="009B3793"/>
    <w:rsid w:val="009B47C7"/>
    <w:rsid w:val="009B47FE"/>
    <w:rsid w:val="009B4C43"/>
    <w:rsid w:val="009B5BEF"/>
    <w:rsid w:val="009B5D99"/>
    <w:rsid w:val="009B67CF"/>
    <w:rsid w:val="009B6B2E"/>
    <w:rsid w:val="009B6E2B"/>
    <w:rsid w:val="009B6F19"/>
    <w:rsid w:val="009B70B5"/>
    <w:rsid w:val="009B71C8"/>
    <w:rsid w:val="009B72B0"/>
    <w:rsid w:val="009B72CE"/>
    <w:rsid w:val="009B752C"/>
    <w:rsid w:val="009B7CD4"/>
    <w:rsid w:val="009B7CE8"/>
    <w:rsid w:val="009B7DE5"/>
    <w:rsid w:val="009C1870"/>
    <w:rsid w:val="009C1FE1"/>
    <w:rsid w:val="009C2855"/>
    <w:rsid w:val="009C2A51"/>
    <w:rsid w:val="009C2EE7"/>
    <w:rsid w:val="009C2EFC"/>
    <w:rsid w:val="009C3106"/>
    <w:rsid w:val="009C3107"/>
    <w:rsid w:val="009C3126"/>
    <w:rsid w:val="009C314A"/>
    <w:rsid w:val="009C3C4B"/>
    <w:rsid w:val="009C47FD"/>
    <w:rsid w:val="009C498B"/>
    <w:rsid w:val="009C504A"/>
    <w:rsid w:val="009C506C"/>
    <w:rsid w:val="009C52AA"/>
    <w:rsid w:val="009C58B1"/>
    <w:rsid w:val="009C5D90"/>
    <w:rsid w:val="009C61C5"/>
    <w:rsid w:val="009C6B60"/>
    <w:rsid w:val="009C70BC"/>
    <w:rsid w:val="009C78C4"/>
    <w:rsid w:val="009D0108"/>
    <w:rsid w:val="009D09D3"/>
    <w:rsid w:val="009D0D10"/>
    <w:rsid w:val="009D0F2C"/>
    <w:rsid w:val="009D135D"/>
    <w:rsid w:val="009D2166"/>
    <w:rsid w:val="009D237E"/>
    <w:rsid w:val="009D25F2"/>
    <w:rsid w:val="009D2EC8"/>
    <w:rsid w:val="009D33D7"/>
    <w:rsid w:val="009D36C3"/>
    <w:rsid w:val="009D3C4B"/>
    <w:rsid w:val="009D4083"/>
    <w:rsid w:val="009D40D9"/>
    <w:rsid w:val="009D40F5"/>
    <w:rsid w:val="009D41ED"/>
    <w:rsid w:val="009D533E"/>
    <w:rsid w:val="009D5556"/>
    <w:rsid w:val="009D63E0"/>
    <w:rsid w:val="009D6F09"/>
    <w:rsid w:val="009D73E2"/>
    <w:rsid w:val="009D745E"/>
    <w:rsid w:val="009D7A72"/>
    <w:rsid w:val="009E01D3"/>
    <w:rsid w:val="009E0281"/>
    <w:rsid w:val="009E04F7"/>
    <w:rsid w:val="009E09ED"/>
    <w:rsid w:val="009E0FFB"/>
    <w:rsid w:val="009E1440"/>
    <w:rsid w:val="009E1E96"/>
    <w:rsid w:val="009E20D5"/>
    <w:rsid w:val="009E2982"/>
    <w:rsid w:val="009E2ECD"/>
    <w:rsid w:val="009E32D9"/>
    <w:rsid w:val="009E33E3"/>
    <w:rsid w:val="009E3D6F"/>
    <w:rsid w:val="009E459E"/>
    <w:rsid w:val="009E4DA5"/>
    <w:rsid w:val="009E4DAA"/>
    <w:rsid w:val="009E5451"/>
    <w:rsid w:val="009E5486"/>
    <w:rsid w:val="009E5891"/>
    <w:rsid w:val="009E613E"/>
    <w:rsid w:val="009E6264"/>
    <w:rsid w:val="009E65AD"/>
    <w:rsid w:val="009E681D"/>
    <w:rsid w:val="009E7450"/>
    <w:rsid w:val="009F01E7"/>
    <w:rsid w:val="009F05F9"/>
    <w:rsid w:val="009F066B"/>
    <w:rsid w:val="009F1624"/>
    <w:rsid w:val="009F1F3F"/>
    <w:rsid w:val="009F23E9"/>
    <w:rsid w:val="009F27D9"/>
    <w:rsid w:val="009F2CFD"/>
    <w:rsid w:val="009F2ED0"/>
    <w:rsid w:val="009F2F36"/>
    <w:rsid w:val="009F3150"/>
    <w:rsid w:val="009F3FB4"/>
    <w:rsid w:val="009F41C5"/>
    <w:rsid w:val="009F54DE"/>
    <w:rsid w:val="009F57E6"/>
    <w:rsid w:val="009F581F"/>
    <w:rsid w:val="009F5B20"/>
    <w:rsid w:val="009F6238"/>
    <w:rsid w:val="009F668C"/>
    <w:rsid w:val="009F679A"/>
    <w:rsid w:val="009F6B0D"/>
    <w:rsid w:val="009F6B83"/>
    <w:rsid w:val="009F6E66"/>
    <w:rsid w:val="009F6FEF"/>
    <w:rsid w:val="009F7959"/>
    <w:rsid w:val="009F7DFD"/>
    <w:rsid w:val="009F7EEA"/>
    <w:rsid w:val="00A0012D"/>
    <w:rsid w:val="00A0082A"/>
    <w:rsid w:val="00A0086B"/>
    <w:rsid w:val="00A01738"/>
    <w:rsid w:val="00A0186C"/>
    <w:rsid w:val="00A01D53"/>
    <w:rsid w:val="00A03FB5"/>
    <w:rsid w:val="00A04AF6"/>
    <w:rsid w:val="00A04C5A"/>
    <w:rsid w:val="00A04F78"/>
    <w:rsid w:val="00A054B2"/>
    <w:rsid w:val="00A059E8"/>
    <w:rsid w:val="00A06BE6"/>
    <w:rsid w:val="00A07269"/>
    <w:rsid w:val="00A07904"/>
    <w:rsid w:val="00A07C74"/>
    <w:rsid w:val="00A07DEE"/>
    <w:rsid w:val="00A106B1"/>
    <w:rsid w:val="00A10843"/>
    <w:rsid w:val="00A11702"/>
    <w:rsid w:val="00A11E7D"/>
    <w:rsid w:val="00A12006"/>
    <w:rsid w:val="00A12124"/>
    <w:rsid w:val="00A12205"/>
    <w:rsid w:val="00A1270E"/>
    <w:rsid w:val="00A1291E"/>
    <w:rsid w:val="00A12AE2"/>
    <w:rsid w:val="00A12C01"/>
    <w:rsid w:val="00A136B8"/>
    <w:rsid w:val="00A13AB5"/>
    <w:rsid w:val="00A13C3C"/>
    <w:rsid w:val="00A14187"/>
    <w:rsid w:val="00A144B9"/>
    <w:rsid w:val="00A14676"/>
    <w:rsid w:val="00A1520D"/>
    <w:rsid w:val="00A1527E"/>
    <w:rsid w:val="00A153FF"/>
    <w:rsid w:val="00A154D8"/>
    <w:rsid w:val="00A157CF"/>
    <w:rsid w:val="00A16998"/>
    <w:rsid w:val="00A169E9"/>
    <w:rsid w:val="00A16B88"/>
    <w:rsid w:val="00A17016"/>
    <w:rsid w:val="00A175EB"/>
    <w:rsid w:val="00A17DCB"/>
    <w:rsid w:val="00A200AF"/>
    <w:rsid w:val="00A2061B"/>
    <w:rsid w:val="00A21ACE"/>
    <w:rsid w:val="00A2252D"/>
    <w:rsid w:val="00A229BF"/>
    <w:rsid w:val="00A22B80"/>
    <w:rsid w:val="00A23482"/>
    <w:rsid w:val="00A244FB"/>
    <w:rsid w:val="00A244FC"/>
    <w:rsid w:val="00A2457D"/>
    <w:rsid w:val="00A24D5E"/>
    <w:rsid w:val="00A26001"/>
    <w:rsid w:val="00A2617E"/>
    <w:rsid w:val="00A26594"/>
    <w:rsid w:val="00A26B75"/>
    <w:rsid w:val="00A27391"/>
    <w:rsid w:val="00A27703"/>
    <w:rsid w:val="00A279D7"/>
    <w:rsid w:val="00A279F0"/>
    <w:rsid w:val="00A304D2"/>
    <w:rsid w:val="00A30B15"/>
    <w:rsid w:val="00A30E3C"/>
    <w:rsid w:val="00A31316"/>
    <w:rsid w:val="00A3142B"/>
    <w:rsid w:val="00A31457"/>
    <w:rsid w:val="00A31A06"/>
    <w:rsid w:val="00A31C6C"/>
    <w:rsid w:val="00A31ED6"/>
    <w:rsid w:val="00A32634"/>
    <w:rsid w:val="00A32B5E"/>
    <w:rsid w:val="00A33ACA"/>
    <w:rsid w:val="00A34393"/>
    <w:rsid w:val="00A34575"/>
    <w:rsid w:val="00A3476D"/>
    <w:rsid w:val="00A35112"/>
    <w:rsid w:val="00A3512E"/>
    <w:rsid w:val="00A35362"/>
    <w:rsid w:val="00A357D4"/>
    <w:rsid w:val="00A35BC3"/>
    <w:rsid w:val="00A36A3C"/>
    <w:rsid w:val="00A36F57"/>
    <w:rsid w:val="00A37E1F"/>
    <w:rsid w:val="00A40352"/>
    <w:rsid w:val="00A406D2"/>
    <w:rsid w:val="00A40A0D"/>
    <w:rsid w:val="00A40A66"/>
    <w:rsid w:val="00A40F83"/>
    <w:rsid w:val="00A41010"/>
    <w:rsid w:val="00A41585"/>
    <w:rsid w:val="00A417B9"/>
    <w:rsid w:val="00A41941"/>
    <w:rsid w:val="00A41A08"/>
    <w:rsid w:val="00A41A62"/>
    <w:rsid w:val="00A41A72"/>
    <w:rsid w:val="00A41AD8"/>
    <w:rsid w:val="00A42A13"/>
    <w:rsid w:val="00A43F1F"/>
    <w:rsid w:val="00A4444A"/>
    <w:rsid w:val="00A448DC"/>
    <w:rsid w:val="00A449DF"/>
    <w:rsid w:val="00A452E1"/>
    <w:rsid w:val="00A4549C"/>
    <w:rsid w:val="00A459A4"/>
    <w:rsid w:val="00A45D75"/>
    <w:rsid w:val="00A4609B"/>
    <w:rsid w:val="00A462D1"/>
    <w:rsid w:val="00A463FA"/>
    <w:rsid w:val="00A46924"/>
    <w:rsid w:val="00A46AC9"/>
    <w:rsid w:val="00A46EB1"/>
    <w:rsid w:val="00A46EEB"/>
    <w:rsid w:val="00A46EED"/>
    <w:rsid w:val="00A47622"/>
    <w:rsid w:val="00A4767A"/>
    <w:rsid w:val="00A478C9"/>
    <w:rsid w:val="00A479DF"/>
    <w:rsid w:val="00A47FE8"/>
    <w:rsid w:val="00A5001F"/>
    <w:rsid w:val="00A50341"/>
    <w:rsid w:val="00A505C6"/>
    <w:rsid w:val="00A50695"/>
    <w:rsid w:val="00A50CCE"/>
    <w:rsid w:val="00A50EE8"/>
    <w:rsid w:val="00A5100D"/>
    <w:rsid w:val="00A513A1"/>
    <w:rsid w:val="00A51890"/>
    <w:rsid w:val="00A51A4E"/>
    <w:rsid w:val="00A51C1B"/>
    <w:rsid w:val="00A521F9"/>
    <w:rsid w:val="00A5229B"/>
    <w:rsid w:val="00A5253D"/>
    <w:rsid w:val="00A5259F"/>
    <w:rsid w:val="00A5279D"/>
    <w:rsid w:val="00A533A1"/>
    <w:rsid w:val="00A539FE"/>
    <w:rsid w:val="00A54469"/>
    <w:rsid w:val="00A54C0A"/>
    <w:rsid w:val="00A54C81"/>
    <w:rsid w:val="00A55217"/>
    <w:rsid w:val="00A55569"/>
    <w:rsid w:val="00A565CC"/>
    <w:rsid w:val="00A567B5"/>
    <w:rsid w:val="00A56C94"/>
    <w:rsid w:val="00A56CC9"/>
    <w:rsid w:val="00A56E95"/>
    <w:rsid w:val="00A57149"/>
    <w:rsid w:val="00A571B8"/>
    <w:rsid w:val="00A5758B"/>
    <w:rsid w:val="00A5781C"/>
    <w:rsid w:val="00A60276"/>
    <w:rsid w:val="00A612A5"/>
    <w:rsid w:val="00A61BFD"/>
    <w:rsid w:val="00A625FC"/>
    <w:rsid w:val="00A628A7"/>
    <w:rsid w:val="00A62969"/>
    <w:rsid w:val="00A62B3E"/>
    <w:rsid w:val="00A63216"/>
    <w:rsid w:val="00A6389D"/>
    <w:rsid w:val="00A63B7D"/>
    <w:rsid w:val="00A63D70"/>
    <w:rsid w:val="00A63E00"/>
    <w:rsid w:val="00A64286"/>
    <w:rsid w:val="00A64559"/>
    <w:rsid w:val="00A648C3"/>
    <w:rsid w:val="00A64EF3"/>
    <w:rsid w:val="00A6584B"/>
    <w:rsid w:val="00A6622B"/>
    <w:rsid w:val="00A666A3"/>
    <w:rsid w:val="00A6683F"/>
    <w:rsid w:val="00A66B80"/>
    <w:rsid w:val="00A66D3C"/>
    <w:rsid w:val="00A66D9D"/>
    <w:rsid w:val="00A677F9"/>
    <w:rsid w:val="00A67C63"/>
    <w:rsid w:val="00A70AE7"/>
    <w:rsid w:val="00A7100A"/>
    <w:rsid w:val="00A711C6"/>
    <w:rsid w:val="00A71209"/>
    <w:rsid w:val="00A71ABC"/>
    <w:rsid w:val="00A71D31"/>
    <w:rsid w:val="00A71F88"/>
    <w:rsid w:val="00A720DE"/>
    <w:rsid w:val="00A720FF"/>
    <w:rsid w:val="00A72826"/>
    <w:rsid w:val="00A72CA6"/>
    <w:rsid w:val="00A72D8F"/>
    <w:rsid w:val="00A72F1C"/>
    <w:rsid w:val="00A73774"/>
    <w:rsid w:val="00A73BF0"/>
    <w:rsid w:val="00A7416B"/>
    <w:rsid w:val="00A74249"/>
    <w:rsid w:val="00A74578"/>
    <w:rsid w:val="00A74FAD"/>
    <w:rsid w:val="00A75903"/>
    <w:rsid w:val="00A764FF"/>
    <w:rsid w:val="00A766DC"/>
    <w:rsid w:val="00A76854"/>
    <w:rsid w:val="00A802BB"/>
    <w:rsid w:val="00A80CBD"/>
    <w:rsid w:val="00A812A6"/>
    <w:rsid w:val="00A81395"/>
    <w:rsid w:val="00A8272B"/>
    <w:rsid w:val="00A827B8"/>
    <w:rsid w:val="00A82BDC"/>
    <w:rsid w:val="00A83096"/>
    <w:rsid w:val="00A83110"/>
    <w:rsid w:val="00A83339"/>
    <w:rsid w:val="00A83498"/>
    <w:rsid w:val="00A8381D"/>
    <w:rsid w:val="00A8395E"/>
    <w:rsid w:val="00A83E49"/>
    <w:rsid w:val="00A84536"/>
    <w:rsid w:val="00A84806"/>
    <w:rsid w:val="00A84981"/>
    <w:rsid w:val="00A84BD1"/>
    <w:rsid w:val="00A84CBB"/>
    <w:rsid w:val="00A85D12"/>
    <w:rsid w:val="00A8633A"/>
    <w:rsid w:val="00A86FC8"/>
    <w:rsid w:val="00A8777B"/>
    <w:rsid w:val="00A87B98"/>
    <w:rsid w:val="00A87F76"/>
    <w:rsid w:val="00A9019A"/>
    <w:rsid w:val="00A903C9"/>
    <w:rsid w:val="00A90498"/>
    <w:rsid w:val="00A90618"/>
    <w:rsid w:val="00A908AA"/>
    <w:rsid w:val="00A90AF7"/>
    <w:rsid w:val="00A90CB7"/>
    <w:rsid w:val="00A90F29"/>
    <w:rsid w:val="00A91606"/>
    <w:rsid w:val="00A92298"/>
    <w:rsid w:val="00A92385"/>
    <w:rsid w:val="00A93049"/>
    <w:rsid w:val="00A935F6"/>
    <w:rsid w:val="00A939E2"/>
    <w:rsid w:val="00A93ED0"/>
    <w:rsid w:val="00A93F31"/>
    <w:rsid w:val="00A94313"/>
    <w:rsid w:val="00A944BA"/>
    <w:rsid w:val="00A949CB"/>
    <w:rsid w:val="00A94CA0"/>
    <w:rsid w:val="00A94D05"/>
    <w:rsid w:val="00A9503F"/>
    <w:rsid w:val="00A95288"/>
    <w:rsid w:val="00A9547E"/>
    <w:rsid w:val="00A957D1"/>
    <w:rsid w:val="00A9580F"/>
    <w:rsid w:val="00A9593A"/>
    <w:rsid w:val="00A95B10"/>
    <w:rsid w:val="00A95F9A"/>
    <w:rsid w:val="00A96162"/>
    <w:rsid w:val="00A96645"/>
    <w:rsid w:val="00A96A83"/>
    <w:rsid w:val="00A96B9C"/>
    <w:rsid w:val="00A96FA9"/>
    <w:rsid w:val="00A9702B"/>
    <w:rsid w:val="00A97190"/>
    <w:rsid w:val="00A972F8"/>
    <w:rsid w:val="00A97A9C"/>
    <w:rsid w:val="00A97AF0"/>
    <w:rsid w:val="00A97DD5"/>
    <w:rsid w:val="00A97F99"/>
    <w:rsid w:val="00AA03C5"/>
    <w:rsid w:val="00AA0E37"/>
    <w:rsid w:val="00AA11C1"/>
    <w:rsid w:val="00AA1227"/>
    <w:rsid w:val="00AA16F9"/>
    <w:rsid w:val="00AA180C"/>
    <w:rsid w:val="00AA1D71"/>
    <w:rsid w:val="00AA2457"/>
    <w:rsid w:val="00AA245F"/>
    <w:rsid w:val="00AA291A"/>
    <w:rsid w:val="00AA2C1A"/>
    <w:rsid w:val="00AA2D94"/>
    <w:rsid w:val="00AA2F8E"/>
    <w:rsid w:val="00AA323F"/>
    <w:rsid w:val="00AA3C5D"/>
    <w:rsid w:val="00AA3D5E"/>
    <w:rsid w:val="00AA3D9D"/>
    <w:rsid w:val="00AA48CC"/>
    <w:rsid w:val="00AA5222"/>
    <w:rsid w:val="00AA57BC"/>
    <w:rsid w:val="00AA57EB"/>
    <w:rsid w:val="00AA585C"/>
    <w:rsid w:val="00AA661A"/>
    <w:rsid w:val="00AA6B3C"/>
    <w:rsid w:val="00AA6F97"/>
    <w:rsid w:val="00AA71C0"/>
    <w:rsid w:val="00AA76BF"/>
    <w:rsid w:val="00AA788E"/>
    <w:rsid w:val="00AB037E"/>
    <w:rsid w:val="00AB06B6"/>
    <w:rsid w:val="00AB12FB"/>
    <w:rsid w:val="00AB13E7"/>
    <w:rsid w:val="00AB1889"/>
    <w:rsid w:val="00AB1CDF"/>
    <w:rsid w:val="00AB1FB1"/>
    <w:rsid w:val="00AB226D"/>
    <w:rsid w:val="00AB27BF"/>
    <w:rsid w:val="00AB28C4"/>
    <w:rsid w:val="00AB2C2D"/>
    <w:rsid w:val="00AB35A8"/>
    <w:rsid w:val="00AB3C84"/>
    <w:rsid w:val="00AB441C"/>
    <w:rsid w:val="00AB4959"/>
    <w:rsid w:val="00AB4A00"/>
    <w:rsid w:val="00AB4B2E"/>
    <w:rsid w:val="00AB5011"/>
    <w:rsid w:val="00AB5314"/>
    <w:rsid w:val="00AB5AEF"/>
    <w:rsid w:val="00AB7229"/>
    <w:rsid w:val="00AB7B7B"/>
    <w:rsid w:val="00AC07F6"/>
    <w:rsid w:val="00AC0AB2"/>
    <w:rsid w:val="00AC109B"/>
    <w:rsid w:val="00AC115F"/>
    <w:rsid w:val="00AC14FF"/>
    <w:rsid w:val="00AC1AE6"/>
    <w:rsid w:val="00AC1D5A"/>
    <w:rsid w:val="00AC221D"/>
    <w:rsid w:val="00AC279A"/>
    <w:rsid w:val="00AC28AD"/>
    <w:rsid w:val="00AC2CC7"/>
    <w:rsid w:val="00AC32EE"/>
    <w:rsid w:val="00AC348F"/>
    <w:rsid w:val="00AC34ED"/>
    <w:rsid w:val="00AC37A4"/>
    <w:rsid w:val="00AC3A5C"/>
    <w:rsid w:val="00AC4248"/>
    <w:rsid w:val="00AC45AC"/>
    <w:rsid w:val="00AC4925"/>
    <w:rsid w:val="00AC4A03"/>
    <w:rsid w:val="00AC552E"/>
    <w:rsid w:val="00AC582D"/>
    <w:rsid w:val="00AC5E93"/>
    <w:rsid w:val="00AC6192"/>
    <w:rsid w:val="00AC62BE"/>
    <w:rsid w:val="00AC696B"/>
    <w:rsid w:val="00AC6ED3"/>
    <w:rsid w:val="00AC7418"/>
    <w:rsid w:val="00AC7A66"/>
    <w:rsid w:val="00AC7B93"/>
    <w:rsid w:val="00AC7CDA"/>
    <w:rsid w:val="00AC7D37"/>
    <w:rsid w:val="00AD03EF"/>
    <w:rsid w:val="00AD04D4"/>
    <w:rsid w:val="00AD06D7"/>
    <w:rsid w:val="00AD0EDF"/>
    <w:rsid w:val="00AD132C"/>
    <w:rsid w:val="00AD1907"/>
    <w:rsid w:val="00AD2628"/>
    <w:rsid w:val="00AD27AE"/>
    <w:rsid w:val="00AD2B43"/>
    <w:rsid w:val="00AD2C99"/>
    <w:rsid w:val="00AD2E8F"/>
    <w:rsid w:val="00AD3452"/>
    <w:rsid w:val="00AD3570"/>
    <w:rsid w:val="00AD39BD"/>
    <w:rsid w:val="00AD3E67"/>
    <w:rsid w:val="00AD41B0"/>
    <w:rsid w:val="00AD43C4"/>
    <w:rsid w:val="00AD4721"/>
    <w:rsid w:val="00AD4753"/>
    <w:rsid w:val="00AD495F"/>
    <w:rsid w:val="00AD4A5B"/>
    <w:rsid w:val="00AD51F9"/>
    <w:rsid w:val="00AD5497"/>
    <w:rsid w:val="00AD54D9"/>
    <w:rsid w:val="00AD56F7"/>
    <w:rsid w:val="00AD5DDA"/>
    <w:rsid w:val="00AD75D5"/>
    <w:rsid w:val="00AD77C1"/>
    <w:rsid w:val="00AD7857"/>
    <w:rsid w:val="00AD78B7"/>
    <w:rsid w:val="00AD7CF3"/>
    <w:rsid w:val="00AD7E90"/>
    <w:rsid w:val="00AE030D"/>
    <w:rsid w:val="00AE046F"/>
    <w:rsid w:val="00AE049F"/>
    <w:rsid w:val="00AE151B"/>
    <w:rsid w:val="00AE16F8"/>
    <w:rsid w:val="00AE1939"/>
    <w:rsid w:val="00AE1D54"/>
    <w:rsid w:val="00AE2040"/>
    <w:rsid w:val="00AE26BB"/>
    <w:rsid w:val="00AE2B6C"/>
    <w:rsid w:val="00AE3879"/>
    <w:rsid w:val="00AE3CCF"/>
    <w:rsid w:val="00AE3D9D"/>
    <w:rsid w:val="00AE45D8"/>
    <w:rsid w:val="00AE5114"/>
    <w:rsid w:val="00AE5119"/>
    <w:rsid w:val="00AE597F"/>
    <w:rsid w:val="00AE5C80"/>
    <w:rsid w:val="00AE69DE"/>
    <w:rsid w:val="00AE6AC1"/>
    <w:rsid w:val="00AE7516"/>
    <w:rsid w:val="00AE7710"/>
    <w:rsid w:val="00AF0812"/>
    <w:rsid w:val="00AF0BCA"/>
    <w:rsid w:val="00AF11BF"/>
    <w:rsid w:val="00AF1340"/>
    <w:rsid w:val="00AF1468"/>
    <w:rsid w:val="00AF179A"/>
    <w:rsid w:val="00AF17BA"/>
    <w:rsid w:val="00AF184F"/>
    <w:rsid w:val="00AF200D"/>
    <w:rsid w:val="00AF2100"/>
    <w:rsid w:val="00AF2549"/>
    <w:rsid w:val="00AF264B"/>
    <w:rsid w:val="00AF2659"/>
    <w:rsid w:val="00AF2882"/>
    <w:rsid w:val="00AF2CD4"/>
    <w:rsid w:val="00AF2EB9"/>
    <w:rsid w:val="00AF3198"/>
    <w:rsid w:val="00AF353D"/>
    <w:rsid w:val="00AF3D38"/>
    <w:rsid w:val="00AF41E4"/>
    <w:rsid w:val="00AF579F"/>
    <w:rsid w:val="00AF5DBB"/>
    <w:rsid w:val="00AF5F52"/>
    <w:rsid w:val="00AF60A5"/>
    <w:rsid w:val="00AF67E8"/>
    <w:rsid w:val="00AF7608"/>
    <w:rsid w:val="00AF7815"/>
    <w:rsid w:val="00AF7C87"/>
    <w:rsid w:val="00AF7DC7"/>
    <w:rsid w:val="00B00014"/>
    <w:rsid w:val="00B0052D"/>
    <w:rsid w:val="00B00887"/>
    <w:rsid w:val="00B00C73"/>
    <w:rsid w:val="00B01053"/>
    <w:rsid w:val="00B01268"/>
    <w:rsid w:val="00B012F9"/>
    <w:rsid w:val="00B013DD"/>
    <w:rsid w:val="00B01498"/>
    <w:rsid w:val="00B015C9"/>
    <w:rsid w:val="00B018CF"/>
    <w:rsid w:val="00B01B16"/>
    <w:rsid w:val="00B01B55"/>
    <w:rsid w:val="00B026AA"/>
    <w:rsid w:val="00B027B6"/>
    <w:rsid w:val="00B028C3"/>
    <w:rsid w:val="00B03395"/>
    <w:rsid w:val="00B03A8F"/>
    <w:rsid w:val="00B03C35"/>
    <w:rsid w:val="00B03D1D"/>
    <w:rsid w:val="00B03DA5"/>
    <w:rsid w:val="00B04313"/>
    <w:rsid w:val="00B04AF4"/>
    <w:rsid w:val="00B04FAA"/>
    <w:rsid w:val="00B0518D"/>
    <w:rsid w:val="00B0645E"/>
    <w:rsid w:val="00B06663"/>
    <w:rsid w:val="00B066A2"/>
    <w:rsid w:val="00B0691E"/>
    <w:rsid w:val="00B06F23"/>
    <w:rsid w:val="00B073B1"/>
    <w:rsid w:val="00B075D0"/>
    <w:rsid w:val="00B0777A"/>
    <w:rsid w:val="00B07CB2"/>
    <w:rsid w:val="00B101CE"/>
    <w:rsid w:val="00B107F4"/>
    <w:rsid w:val="00B10C91"/>
    <w:rsid w:val="00B10D5B"/>
    <w:rsid w:val="00B111FD"/>
    <w:rsid w:val="00B114D8"/>
    <w:rsid w:val="00B11842"/>
    <w:rsid w:val="00B11B80"/>
    <w:rsid w:val="00B12D5C"/>
    <w:rsid w:val="00B13298"/>
    <w:rsid w:val="00B1335D"/>
    <w:rsid w:val="00B13E7D"/>
    <w:rsid w:val="00B13F11"/>
    <w:rsid w:val="00B141B3"/>
    <w:rsid w:val="00B14854"/>
    <w:rsid w:val="00B1564F"/>
    <w:rsid w:val="00B156D2"/>
    <w:rsid w:val="00B16063"/>
    <w:rsid w:val="00B16AAD"/>
    <w:rsid w:val="00B173F9"/>
    <w:rsid w:val="00B176AA"/>
    <w:rsid w:val="00B17791"/>
    <w:rsid w:val="00B17EC6"/>
    <w:rsid w:val="00B2093F"/>
    <w:rsid w:val="00B20B2E"/>
    <w:rsid w:val="00B21166"/>
    <w:rsid w:val="00B2130A"/>
    <w:rsid w:val="00B2138B"/>
    <w:rsid w:val="00B2184A"/>
    <w:rsid w:val="00B22BED"/>
    <w:rsid w:val="00B22D0E"/>
    <w:rsid w:val="00B2305A"/>
    <w:rsid w:val="00B2312D"/>
    <w:rsid w:val="00B23308"/>
    <w:rsid w:val="00B2382C"/>
    <w:rsid w:val="00B23BF3"/>
    <w:rsid w:val="00B245E8"/>
    <w:rsid w:val="00B24C65"/>
    <w:rsid w:val="00B24D04"/>
    <w:rsid w:val="00B25095"/>
    <w:rsid w:val="00B2513B"/>
    <w:rsid w:val="00B2537E"/>
    <w:rsid w:val="00B25591"/>
    <w:rsid w:val="00B25C04"/>
    <w:rsid w:val="00B25CD5"/>
    <w:rsid w:val="00B25F4D"/>
    <w:rsid w:val="00B26028"/>
    <w:rsid w:val="00B26ECC"/>
    <w:rsid w:val="00B27126"/>
    <w:rsid w:val="00B276AC"/>
    <w:rsid w:val="00B277BA"/>
    <w:rsid w:val="00B277F8"/>
    <w:rsid w:val="00B27AC5"/>
    <w:rsid w:val="00B27C31"/>
    <w:rsid w:val="00B30252"/>
    <w:rsid w:val="00B3045A"/>
    <w:rsid w:val="00B30C46"/>
    <w:rsid w:val="00B31380"/>
    <w:rsid w:val="00B316E4"/>
    <w:rsid w:val="00B31A06"/>
    <w:rsid w:val="00B31A67"/>
    <w:rsid w:val="00B32101"/>
    <w:rsid w:val="00B3321C"/>
    <w:rsid w:val="00B33315"/>
    <w:rsid w:val="00B335FC"/>
    <w:rsid w:val="00B3374D"/>
    <w:rsid w:val="00B339A6"/>
    <w:rsid w:val="00B33E47"/>
    <w:rsid w:val="00B33FB0"/>
    <w:rsid w:val="00B34728"/>
    <w:rsid w:val="00B3481D"/>
    <w:rsid w:val="00B34922"/>
    <w:rsid w:val="00B34C80"/>
    <w:rsid w:val="00B350AB"/>
    <w:rsid w:val="00B351F8"/>
    <w:rsid w:val="00B35601"/>
    <w:rsid w:val="00B36417"/>
    <w:rsid w:val="00B3650F"/>
    <w:rsid w:val="00B366E1"/>
    <w:rsid w:val="00B372A6"/>
    <w:rsid w:val="00B37F3D"/>
    <w:rsid w:val="00B4017D"/>
    <w:rsid w:val="00B40781"/>
    <w:rsid w:val="00B407E5"/>
    <w:rsid w:val="00B40AAF"/>
    <w:rsid w:val="00B40C01"/>
    <w:rsid w:val="00B41D39"/>
    <w:rsid w:val="00B42A69"/>
    <w:rsid w:val="00B4305C"/>
    <w:rsid w:val="00B437AF"/>
    <w:rsid w:val="00B437ED"/>
    <w:rsid w:val="00B4667C"/>
    <w:rsid w:val="00B46A70"/>
    <w:rsid w:val="00B47318"/>
    <w:rsid w:val="00B47A37"/>
    <w:rsid w:val="00B47A5A"/>
    <w:rsid w:val="00B5035C"/>
    <w:rsid w:val="00B5093C"/>
    <w:rsid w:val="00B50ACB"/>
    <w:rsid w:val="00B50AE2"/>
    <w:rsid w:val="00B50B3E"/>
    <w:rsid w:val="00B50DD5"/>
    <w:rsid w:val="00B5148E"/>
    <w:rsid w:val="00B516CF"/>
    <w:rsid w:val="00B51CBC"/>
    <w:rsid w:val="00B52263"/>
    <w:rsid w:val="00B52E7B"/>
    <w:rsid w:val="00B53391"/>
    <w:rsid w:val="00B53C48"/>
    <w:rsid w:val="00B53CDA"/>
    <w:rsid w:val="00B54EAC"/>
    <w:rsid w:val="00B555C5"/>
    <w:rsid w:val="00B55C9A"/>
    <w:rsid w:val="00B55F63"/>
    <w:rsid w:val="00B55FDB"/>
    <w:rsid w:val="00B5649B"/>
    <w:rsid w:val="00B56E95"/>
    <w:rsid w:val="00B601C0"/>
    <w:rsid w:val="00B60ACF"/>
    <w:rsid w:val="00B60C98"/>
    <w:rsid w:val="00B60F7C"/>
    <w:rsid w:val="00B61720"/>
    <w:rsid w:val="00B6185A"/>
    <w:rsid w:val="00B6186C"/>
    <w:rsid w:val="00B61CAE"/>
    <w:rsid w:val="00B62621"/>
    <w:rsid w:val="00B629B6"/>
    <w:rsid w:val="00B63B89"/>
    <w:rsid w:val="00B63F43"/>
    <w:rsid w:val="00B6498A"/>
    <w:rsid w:val="00B65B2E"/>
    <w:rsid w:val="00B66151"/>
    <w:rsid w:val="00B663F7"/>
    <w:rsid w:val="00B66BFE"/>
    <w:rsid w:val="00B66F14"/>
    <w:rsid w:val="00B67262"/>
    <w:rsid w:val="00B67372"/>
    <w:rsid w:val="00B6765A"/>
    <w:rsid w:val="00B67913"/>
    <w:rsid w:val="00B67F11"/>
    <w:rsid w:val="00B7011E"/>
    <w:rsid w:val="00B702C8"/>
    <w:rsid w:val="00B71424"/>
    <w:rsid w:val="00B719F6"/>
    <w:rsid w:val="00B722CD"/>
    <w:rsid w:val="00B72BA5"/>
    <w:rsid w:val="00B73390"/>
    <w:rsid w:val="00B73404"/>
    <w:rsid w:val="00B7366D"/>
    <w:rsid w:val="00B73905"/>
    <w:rsid w:val="00B73E57"/>
    <w:rsid w:val="00B745F2"/>
    <w:rsid w:val="00B74BCE"/>
    <w:rsid w:val="00B74F3E"/>
    <w:rsid w:val="00B75656"/>
    <w:rsid w:val="00B7583B"/>
    <w:rsid w:val="00B7622B"/>
    <w:rsid w:val="00B76381"/>
    <w:rsid w:val="00B76B17"/>
    <w:rsid w:val="00B77B42"/>
    <w:rsid w:val="00B77FBB"/>
    <w:rsid w:val="00B800C2"/>
    <w:rsid w:val="00B81036"/>
    <w:rsid w:val="00B81090"/>
    <w:rsid w:val="00B812F0"/>
    <w:rsid w:val="00B8143A"/>
    <w:rsid w:val="00B814A3"/>
    <w:rsid w:val="00B8199F"/>
    <w:rsid w:val="00B81DE9"/>
    <w:rsid w:val="00B81E9B"/>
    <w:rsid w:val="00B81F2A"/>
    <w:rsid w:val="00B822AD"/>
    <w:rsid w:val="00B8265D"/>
    <w:rsid w:val="00B83670"/>
    <w:rsid w:val="00B838BF"/>
    <w:rsid w:val="00B83B21"/>
    <w:rsid w:val="00B83DCD"/>
    <w:rsid w:val="00B84158"/>
    <w:rsid w:val="00B84A7A"/>
    <w:rsid w:val="00B84AF5"/>
    <w:rsid w:val="00B84B2B"/>
    <w:rsid w:val="00B84FD8"/>
    <w:rsid w:val="00B852EC"/>
    <w:rsid w:val="00B8552D"/>
    <w:rsid w:val="00B855E7"/>
    <w:rsid w:val="00B85E55"/>
    <w:rsid w:val="00B86465"/>
    <w:rsid w:val="00B870CC"/>
    <w:rsid w:val="00B871B5"/>
    <w:rsid w:val="00B87416"/>
    <w:rsid w:val="00B876E0"/>
    <w:rsid w:val="00B87BF5"/>
    <w:rsid w:val="00B87F02"/>
    <w:rsid w:val="00B87FB1"/>
    <w:rsid w:val="00B90289"/>
    <w:rsid w:val="00B90832"/>
    <w:rsid w:val="00B90F69"/>
    <w:rsid w:val="00B92282"/>
    <w:rsid w:val="00B92607"/>
    <w:rsid w:val="00B93357"/>
    <w:rsid w:val="00B935D3"/>
    <w:rsid w:val="00B9387F"/>
    <w:rsid w:val="00B93AEC"/>
    <w:rsid w:val="00B940AC"/>
    <w:rsid w:val="00B94263"/>
    <w:rsid w:val="00B94382"/>
    <w:rsid w:val="00B9447A"/>
    <w:rsid w:val="00B946DD"/>
    <w:rsid w:val="00B9470A"/>
    <w:rsid w:val="00B9478A"/>
    <w:rsid w:val="00B94FCA"/>
    <w:rsid w:val="00B952AD"/>
    <w:rsid w:val="00B952E3"/>
    <w:rsid w:val="00B955DB"/>
    <w:rsid w:val="00B95A81"/>
    <w:rsid w:val="00B95DFA"/>
    <w:rsid w:val="00B95ED3"/>
    <w:rsid w:val="00B95FA2"/>
    <w:rsid w:val="00B96341"/>
    <w:rsid w:val="00B96EC1"/>
    <w:rsid w:val="00B96F80"/>
    <w:rsid w:val="00B9708D"/>
    <w:rsid w:val="00B97421"/>
    <w:rsid w:val="00BA076C"/>
    <w:rsid w:val="00BA08F5"/>
    <w:rsid w:val="00BA0968"/>
    <w:rsid w:val="00BA15F2"/>
    <w:rsid w:val="00BA17D9"/>
    <w:rsid w:val="00BA1A45"/>
    <w:rsid w:val="00BA1B27"/>
    <w:rsid w:val="00BA1BAA"/>
    <w:rsid w:val="00BA1DFB"/>
    <w:rsid w:val="00BA2388"/>
    <w:rsid w:val="00BA28E2"/>
    <w:rsid w:val="00BA2BBD"/>
    <w:rsid w:val="00BA2C14"/>
    <w:rsid w:val="00BA2CAE"/>
    <w:rsid w:val="00BA3768"/>
    <w:rsid w:val="00BA38D8"/>
    <w:rsid w:val="00BA3D34"/>
    <w:rsid w:val="00BA3DBC"/>
    <w:rsid w:val="00BA3E98"/>
    <w:rsid w:val="00BA449D"/>
    <w:rsid w:val="00BA485A"/>
    <w:rsid w:val="00BA4D63"/>
    <w:rsid w:val="00BA5751"/>
    <w:rsid w:val="00BA59C2"/>
    <w:rsid w:val="00BA5A59"/>
    <w:rsid w:val="00BA6B9D"/>
    <w:rsid w:val="00BA6C0E"/>
    <w:rsid w:val="00BA6E56"/>
    <w:rsid w:val="00BA7229"/>
    <w:rsid w:val="00BA769E"/>
    <w:rsid w:val="00BA7C52"/>
    <w:rsid w:val="00BB07B2"/>
    <w:rsid w:val="00BB08B7"/>
    <w:rsid w:val="00BB1086"/>
    <w:rsid w:val="00BB119B"/>
    <w:rsid w:val="00BB1883"/>
    <w:rsid w:val="00BB1FF4"/>
    <w:rsid w:val="00BB253D"/>
    <w:rsid w:val="00BB269B"/>
    <w:rsid w:val="00BB27AD"/>
    <w:rsid w:val="00BB2D72"/>
    <w:rsid w:val="00BB33B3"/>
    <w:rsid w:val="00BB3450"/>
    <w:rsid w:val="00BB36E5"/>
    <w:rsid w:val="00BB3E9F"/>
    <w:rsid w:val="00BB3ED1"/>
    <w:rsid w:val="00BB4695"/>
    <w:rsid w:val="00BB4E79"/>
    <w:rsid w:val="00BB51F2"/>
    <w:rsid w:val="00BB5633"/>
    <w:rsid w:val="00BB60CD"/>
    <w:rsid w:val="00BB62CB"/>
    <w:rsid w:val="00BB6543"/>
    <w:rsid w:val="00BB6722"/>
    <w:rsid w:val="00BB6758"/>
    <w:rsid w:val="00BB7351"/>
    <w:rsid w:val="00BB756B"/>
    <w:rsid w:val="00BC0CFF"/>
    <w:rsid w:val="00BC0DAC"/>
    <w:rsid w:val="00BC0DE7"/>
    <w:rsid w:val="00BC0EFB"/>
    <w:rsid w:val="00BC0FB6"/>
    <w:rsid w:val="00BC151A"/>
    <w:rsid w:val="00BC1A90"/>
    <w:rsid w:val="00BC1C37"/>
    <w:rsid w:val="00BC1CD1"/>
    <w:rsid w:val="00BC1EED"/>
    <w:rsid w:val="00BC2417"/>
    <w:rsid w:val="00BC294C"/>
    <w:rsid w:val="00BC2B45"/>
    <w:rsid w:val="00BC2FB7"/>
    <w:rsid w:val="00BC365B"/>
    <w:rsid w:val="00BC37F0"/>
    <w:rsid w:val="00BC3EA6"/>
    <w:rsid w:val="00BC3FC1"/>
    <w:rsid w:val="00BC4908"/>
    <w:rsid w:val="00BC4A7E"/>
    <w:rsid w:val="00BC5105"/>
    <w:rsid w:val="00BC578F"/>
    <w:rsid w:val="00BC5947"/>
    <w:rsid w:val="00BC60AD"/>
    <w:rsid w:val="00BC6204"/>
    <w:rsid w:val="00BC6C82"/>
    <w:rsid w:val="00BC70E2"/>
    <w:rsid w:val="00BC7255"/>
    <w:rsid w:val="00BC7280"/>
    <w:rsid w:val="00BC75EC"/>
    <w:rsid w:val="00BC76C4"/>
    <w:rsid w:val="00BC7BC9"/>
    <w:rsid w:val="00BC7FDC"/>
    <w:rsid w:val="00BD02F0"/>
    <w:rsid w:val="00BD071C"/>
    <w:rsid w:val="00BD0935"/>
    <w:rsid w:val="00BD0BA7"/>
    <w:rsid w:val="00BD0FB8"/>
    <w:rsid w:val="00BD1964"/>
    <w:rsid w:val="00BD1FDB"/>
    <w:rsid w:val="00BD2208"/>
    <w:rsid w:val="00BD2278"/>
    <w:rsid w:val="00BD2688"/>
    <w:rsid w:val="00BD3193"/>
    <w:rsid w:val="00BD34FF"/>
    <w:rsid w:val="00BD36D4"/>
    <w:rsid w:val="00BD38F2"/>
    <w:rsid w:val="00BD3FF1"/>
    <w:rsid w:val="00BD463E"/>
    <w:rsid w:val="00BD469F"/>
    <w:rsid w:val="00BD4A29"/>
    <w:rsid w:val="00BD4A40"/>
    <w:rsid w:val="00BD4B55"/>
    <w:rsid w:val="00BD4DF1"/>
    <w:rsid w:val="00BD5239"/>
    <w:rsid w:val="00BD56B4"/>
    <w:rsid w:val="00BD5C67"/>
    <w:rsid w:val="00BD5D04"/>
    <w:rsid w:val="00BD651B"/>
    <w:rsid w:val="00BD69D8"/>
    <w:rsid w:val="00BD6A66"/>
    <w:rsid w:val="00BD6C68"/>
    <w:rsid w:val="00BD711C"/>
    <w:rsid w:val="00BD79F5"/>
    <w:rsid w:val="00BD7C02"/>
    <w:rsid w:val="00BD7E08"/>
    <w:rsid w:val="00BE0235"/>
    <w:rsid w:val="00BE03CF"/>
    <w:rsid w:val="00BE06D1"/>
    <w:rsid w:val="00BE084C"/>
    <w:rsid w:val="00BE0AB7"/>
    <w:rsid w:val="00BE129D"/>
    <w:rsid w:val="00BE12FE"/>
    <w:rsid w:val="00BE18C5"/>
    <w:rsid w:val="00BE1907"/>
    <w:rsid w:val="00BE1A41"/>
    <w:rsid w:val="00BE2315"/>
    <w:rsid w:val="00BE28C2"/>
    <w:rsid w:val="00BE3029"/>
    <w:rsid w:val="00BE352D"/>
    <w:rsid w:val="00BE3B22"/>
    <w:rsid w:val="00BE406E"/>
    <w:rsid w:val="00BE42FE"/>
    <w:rsid w:val="00BE4A33"/>
    <w:rsid w:val="00BE4B2C"/>
    <w:rsid w:val="00BE4CCE"/>
    <w:rsid w:val="00BE4DB0"/>
    <w:rsid w:val="00BE4E8B"/>
    <w:rsid w:val="00BE5D6F"/>
    <w:rsid w:val="00BE5FAC"/>
    <w:rsid w:val="00BE60CB"/>
    <w:rsid w:val="00BE636C"/>
    <w:rsid w:val="00BE63A1"/>
    <w:rsid w:val="00BE6DF7"/>
    <w:rsid w:val="00BE7469"/>
    <w:rsid w:val="00BE7E15"/>
    <w:rsid w:val="00BF04CD"/>
    <w:rsid w:val="00BF05C7"/>
    <w:rsid w:val="00BF0639"/>
    <w:rsid w:val="00BF0814"/>
    <w:rsid w:val="00BF0926"/>
    <w:rsid w:val="00BF1675"/>
    <w:rsid w:val="00BF1925"/>
    <w:rsid w:val="00BF1B63"/>
    <w:rsid w:val="00BF1FC5"/>
    <w:rsid w:val="00BF213B"/>
    <w:rsid w:val="00BF2549"/>
    <w:rsid w:val="00BF292F"/>
    <w:rsid w:val="00BF2CD2"/>
    <w:rsid w:val="00BF2EB7"/>
    <w:rsid w:val="00BF3212"/>
    <w:rsid w:val="00BF3303"/>
    <w:rsid w:val="00BF3C94"/>
    <w:rsid w:val="00BF4257"/>
    <w:rsid w:val="00BF4613"/>
    <w:rsid w:val="00BF4BF1"/>
    <w:rsid w:val="00BF4F81"/>
    <w:rsid w:val="00BF578F"/>
    <w:rsid w:val="00BF5BCF"/>
    <w:rsid w:val="00BF5C3A"/>
    <w:rsid w:val="00BF67EA"/>
    <w:rsid w:val="00BF717D"/>
    <w:rsid w:val="00BF73A9"/>
    <w:rsid w:val="00BF745E"/>
    <w:rsid w:val="00BF7972"/>
    <w:rsid w:val="00BF7C01"/>
    <w:rsid w:val="00C00069"/>
    <w:rsid w:val="00C00516"/>
    <w:rsid w:val="00C00F5A"/>
    <w:rsid w:val="00C0250B"/>
    <w:rsid w:val="00C028BE"/>
    <w:rsid w:val="00C02945"/>
    <w:rsid w:val="00C02A31"/>
    <w:rsid w:val="00C02E07"/>
    <w:rsid w:val="00C03391"/>
    <w:rsid w:val="00C03B47"/>
    <w:rsid w:val="00C03B8C"/>
    <w:rsid w:val="00C03DCA"/>
    <w:rsid w:val="00C04BA4"/>
    <w:rsid w:val="00C05CFA"/>
    <w:rsid w:val="00C060D1"/>
    <w:rsid w:val="00C069A2"/>
    <w:rsid w:val="00C06BE3"/>
    <w:rsid w:val="00C071E3"/>
    <w:rsid w:val="00C0739F"/>
    <w:rsid w:val="00C07D00"/>
    <w:rsid w:val="00C07F11"/>
    <w:rsid w:val="00C103D6"/>
    <w:rsid w:val="00C1053C"/>
    <w:rsid w:val="00C10B0D"/>
    <w:rsid w:val="00C115C7"/>
    <w:rsid w:val="00C116AC"/>
    <w:rsid w:val="00C11B87"/>
    <w:rsid w:val="00C120F9"/>
    <w:rsid w:val="00C12617"/>
    <w:rsid w:val="00C1272E"/>
    <w:rsid w:val="00C12A0E"/>
    <w:rsid w:val="00C130C0"/>
    <w:rsid w:val="00C13136"/>
    <w:rsid w:val="00C13FE9"/>
    <w:rsid w:val="00C140E5"/>
    <w:rsid w:val="00C14300"/>
    <w:rsid w:val="00C14753"/>
    <w:rsid w:val="00C1494D"/>
    <w:rsid w:val="00C14B52"/>
    <w:rsid w:val="00C14BAD"/>
    <w:rsid w:val="00C1536E"/>
    <w:rsid w:val="00C15E1E"/>
    <w:rsid w:val="00C16005"/>
    <w:rsid w:val="00C160AD"/>
    <w:rsid w:val="00C160F0"/>
    <w:rsid w:val="00C16A0A"/>
    <w:rsid w:val="00C16A8C"/>
    <w:rsid w:val="00C1705F"/>
    <w:rsid w:val="00C171A7"/>
    <w:rsid w:val="00C172CE"/>
    <w:rsid w:val="00C17431"/>
    <w:rsid w:val="00C1745E"/>
    <w:rsid w:val="00C174C1"/>
    <w:rsid w:val="00C200A2"/>
    <w:rsid w:val="00C20DD1"/>
    <w:rsid w:val="00C212D1"/>
    <w:rsid w:val="00C21898"/>
    <w:rsid w:val="00C2234E"/>
    <w:rsid w:val="00C225A7"/>
    <w:rsid w:val="00C2370B"/>
    <w:rsid w:val="00C23946"/>
    <w:rsid w:val="00C24190"/>
    <w:rsid w:val="00C2425E"/>
    <w:rsid w:val="00C243B4"/>
    <w:rsid w:val="00C24706"/>
    <w:rsid w:val="00C249D7"/>
    <w:rsid w:val="00C24D35"/>
    <w:rsid w:val="00C259DD"/>
    <w:rsid w:val="00C25A0E"/>
    <w:rsid w:val="00C25DE6"/>
    <w:rsid w:val="00C25F8E"/>
    <w:rsid w:val="00C2629E"/>
    <w:rsid w:val="00C267D3"/>
    <w:rsid w:val="00C26EDD"/>
    <w:rsid w:val="00C26FD6"/>
    <w:rsid w:val="00C2707F"/>
    <w:rsid w:val="00C300CA"/>
    <w:rsid w:val="00C30560"/>
    <w:rsid w:val="00C308A8"/>
    <w:rsid w:val="00C3214F"/>
    <w:rsid w:val="00C322AA"/>
    <w:rsid w:val="00C329C9"/>
    <w:rsid w:val="00C32D4E"/>
    <w:rsid w:val="00C33036"/>
    <w:rsid w:val="00C331B4"/>
    <w:rsid w:val="00C33429"/>
    <w:rsid w:val="00C33F11"/>
    <w:rsid w:val="00C341E4"/>
    <w:rsid w:val="00C34ED0"/>
    <w:rsid w:val="00C35B6D"/>
    <w:rsid w:val="00C35CB9"/>
    <w:rsid w:val="00C35EDF"/>
    <w:rsid w:val="00C363F2"/>
    <w:rsid w:val="00C3731B"/>
    <w:rsid w:val="00C379F2"/>
    <w:rsid w:val="00C4094C"/>
    <w:rsid w:val="00C412F1"/>
    <w:rsid w:val="00C4174D"/>
    <w:rsid w:val="00C417EB"/>
    <w:rsid w:val="00C42039"/>
    <w:rsid w:val="00C423C8"/>
    <w:rsid w:val="00C42853"/>
    <w:rsid w:val="00C42BEB"/>
    <w:rsid w:val="00C42F93"/>
    <w:rsid w:val="00C433A8"/>
    <w:rsid w:val="00C43892"/>
    <w:rsid w:val="00C43B27"/>
    <w:rsid w:val="00C44354"/>
    <w:rsid w:val="00C4461E"/>
    <w:rsid w:val="00C44C12"/>
    <w:rsid w:val="00C4577C"/>
    <w:rsid w:val="00C46565"/>
    <w:rsid w:val="00C465E3"/>
    <w:rsid w:val="00C46EE9"/>
    <w:rsid w:val="00C47072"/>
    <w:rsid w:val="00C47940"/>
    <w:rsid w:val="00C50072"/>
    <w:rsid w:val="00C50C4F"/>
    <w:rsid w:val="00C511E7"/>
    <w:rsid w:val="00C514F4"/>
    <w:rsid w:val="00C5172A"/>
    <w:rsid w:val="00C519E5"/>
    <w:rsid w:val="00C52212"/>
    <w:rsid w:val="00C52477"/>
    <w:rsid w:val="00C527F8"/>
    <w:rsid w:val="00C5287C"/>
    <w:rsid w:val="00C52D8C"/>
    <w:rsid w:val="00C531BE"/>
    <w:rsid w:val="00C533B9"/>
    <w:rsid w:val="00C535AF"/>
    <w:rsid w:val="00C53834"/>
    <w:rsid w:val="00C542ED"/>
    <w:rsid w:val="00C543C8"/>
    <w:rsid w:val="00C5461F"/>
    <w:rsid w:val="00C548A0"/>
    <w:rsid w:val="00C54CB7"/>
    <w:rsid w:val="00C5527D"/>
    <w:rsid w:val="00C55D61"/>
    <w:rsid w:val="00C5600D"/>
    <w:rsid w:val="00C5614D"/>
    <w:rsid w:val="00C56165"/>
    <w:rsid w:val="00C564A3"/>
    <w:rsid w:val="00C56671"/>
    <w:rsid w:val="00C5670C"/>
    <w:rsid w:val="00C57441"/>
    <w:rsid w:val="00C577F7"/>
    <w:rsid w:val="00C57A35"/>
    <w:rsid w:val="00C6073C"/>
    <w:rsid w:val="00C61C62"/>
    <w:rsid w:val="00C632F7"/>
    <w:rsid w:val="00C63915"/>
    <w:rsid w:val="00C63B42"/>
    <w:rsid w:val="00C64961"/>
    <w:rsid w:val="00C64D6F"/>
    <w:rsid w:val="00C64EA6"/>
    <w:rsid w:val="00C64EB1"/>
    <w:rsid w:val="00C655EC"/>
    <w:rsid w:val="00C65B02"/>
    <w:rsid w:val="00C66D53"/>
    <w:rsid w:val="00C6735D"/>
    <w:rsid w:val="00C67488"/>
    <w:rsid w:val="00C67695"/>
    <w:rsid w:val="00C67E70"/>
    <w:rsid w:val="00C70124"/>
    <w:rsid w:val="00C70716"/>
    <w:rsid w:val="00C7121F"/>
    <w:rsid w:val="00C7142B"/>
    <w:rsid w:val="00C71DF8"/>
    <w:rsid w:val="00C725A1"/>
    <w:rsid w:val="00C726A3"/>
    <w:rsid w:val="00C727CB"/>
    <w:rsid w:val="00C7289F"/>
    <w:rsid w:val="00C736E7"/>
    <w:rsid w:val="00C73BF7"/>
    <w:rsid w:val="00C73CBE"/>
    <w:rsid w:val="00C740EB"/>
    <w:rsid w:val="00C74204"/>
    <w:rsid w:val="00C7454B"/>
    <w:rsid w:val="00C748F7"/>
    <w:rsid w:val="00C750BD"/>
    <w:rsid w:val="00C753B9"/>
    <w:rsid w:val="00C75627"/>
    <w:rsid w:val="00C757B2"/>
    <w:rsid w:val="00C75948"/>
    <w:rsid w:val="00C75B1F"/>
    <w:rsid w:val="00C75E34"/>
    <w:rsid w:val="00C75EC9"/>
    <w:rsid w:val="00C7658D"/>
    <w:rsid w:val="00C76984"/>
    <w:rsid w:val="00C76EC2"/>
    <w:rsid w:val="00C777C8"/>
    <w:rsid w:val="00C77888"/>
    <w:rsid w:val="00C80306"/>
    <w:rsid w:val="00C80673"/>
    <w:rsid w:val="00C81075"/>
    <w:rsid w:val="00C81321"/>
    <w:rsid w:val="00C81354"/>
    <w:rsid w:val="00C81E91"/>
    <w:rsid w:val="00C81FBE"/>
    <w:rsid w:val="00C8247B"/>
    <w:rsid w:val="00C824FA"/>
    <w:rsid w:val="00C82915"/>
    <w:rsid w:val="00C8294E"/>
    <w:rsid w:val="00C839F1"/>
    <w:rsid w:val="00C83ECE"/>
    <w:rsid w:val="00C8454B"/>
    <w:rsid w:val="00C8458A"/>
    <w:rsid w:val="00C845FC"/>
    <w:rsid w:val="00C84707"/>
    <w:rsid w:val="00C84FFC"/>
    <w:rsid w:val="00C85059"/>
    <w:rsid w:val="00C852D6"/>
    <w:rsid w:val="00C854FC"/>
    <w:rsid w:val="00C85978"/>
    <w:rsid w:val="00C85DCD"/>
    <w:rsid w:val="00C860FB"/>
    <w:rsid w:val="00C8623C"/>
    <w:rsid w:val="00C86314"/>
    <w:rsid w:val="00C866E1"/>
    <w:rsid w:val="00C86B30"/>
    <w:rsid w:val="00C86B36"/>
    <w:rsid w:val="00C86DEE"/>
    <w:rsid w:val="00C878DB"/>
    <w:rsid w:val="00C87FDA"/>
    <w:rsid w:val="00C91186"/>
    <w:rsid w:val="00C91809"/>
    <w:rsid w:val="00C9183D"/>
    <w:rsid w:val="00C91C0F"/>
    <w:rsid w:val="00C91F11"/>
    <w:rsid w:val="00C91FA5"/>
    <w:rsid w:val="00C922D5"/>
    <w:rsid w:val="00C92B8A"/>
    <w:rsid w:val="00C92F03"/>
    <w:rsid w:val="00C93818"/>
    <w:rsid w:val="00C93894"/>
    <w:rsid w:val="00C93BD0"/>
    <w:rsid w:val="00C93EDC"/>
    <w:rsid w:val="00C93EF3"/>
    <w:rsid w:val="00C940C5"/>
    <w:rsid w:val="00C94279"/>
    <w:rsid w:val="00C942E0"/>
    <w:rsid w:val="00C94A52"/>
    <w:rsid w:val="00C94BEC"/>
    <w:rsid w:val="00C94FD3"/>
    <w:rsid w:val="00C9587E"/>
    <w:rsid w:val="00C969A9"/>
    <w:rsid w:val="00C9748F"/>
    <w:rsid w:val="00C9781D"/>
    <w:rsid w:val="00C97B2E"/>
    <w:rsid w:val="00C97B89"/>
    <w:rsid w:val="00C97DBB"/>
    <w:rsid w:val="00C97FEB"/>
    <w:rsid w:val="00CA01B7"/>
    <w:rsid w:val="00CA0551"/>
    <w:rsid w:val="00CA0572"/>
    <w:rsid w:val="00CA08B2"/>
    <w:rsid w:val="00CA0DCB"/>
    <w:rsid w:val="00CA1876"/>
    <w:rsid w:val="00CA2118"/>
    <w:rsid w:val="00CA24A4"/>
    <w:rsid w:val="00CA2F6C"/>
    <w:rsid w:val="00CA2F85"/>
    <w:rsid w:val="00CA3567"/>
    <w:rsid w:val="00CA38A6"/>
    <w:rsid w:val="00CA4117"/>
    <w:rsid w:val="00CA4118"/>
    <w:rsid w:val="00CA470E"/>
    <w:rsid w:val="00CA4E85"/>
    <w:rsid w:val="00CA669D"/>
    <w:rsid w:val="00CA67A6"/>
    <w:rsid w:val="00CA6D45"/>
    <w:rsid w:val="00CA6ED1"/>
    <w:rsid w:val="00CA70DD"/>
    <w:rsid w:val="00CA718B"/>
    <w:rsid w:val="00CA73A6"/>
    <w:rsid w:val="00CA7588"/>
    <w:rsid w:val="00CA7727"/>
    <w:rsid w:val="00CB0389"/>
    <w:rsid w:val="00CB0485"/>
    <w:rsid w:val="00CB06C1"/>
    <w:rsid w:val="00CB0700"/>
    <w:rsid w:val="00CB0A15"/>
    <w:rsid w:val="00CB0FEA"/>
    <w:rsid w:val="00CB149F"/>
    <w:rsid w:val="00CB1A8A"/>
    <w:rsid w:val="00CB1C9C"/>
    <w:rsid w:val="00CB1DD3"/>
    <w:rsid w:val="00CB26C7"/>
    <w:rsid w:val="00CB2A09"/>
    <w:rsid w:val="00CB2A1E"/>
    <w:rsid w:val="00CB2A64"/>
    <w:rsid w:val="00CB2F55"/>
    <w:rsid w:val="00CB35C0"/>
    <w:rsid w:val="00CB373F"/>
    <w:rsid w:val="00CB38C1"/>
    <w:rsid w:val="00CB3FB6"/>
    <w:rsid w:val="00CB4060"/>
    <w:rsid w:val="00CB40DB"/>
    <w:rsid w:val="00CB4348"/>
    <w:rsid w:val="00CB46C0"/>
    <w:rsid w:val="00CB4A5A"/>
    <w:rsid w:val="00CB4A7C"/>
    <w:rsid w:val="00CB4C8E"/>
    <w:rsid w:val="00CB5076"/>
    <w:rsid w:val="00CB53B3"/>
    <w:rsid w:val="00CB572A"/>
    <w:rsid w:val="00CB5A86"/>
    <w:rsid w:val="00CB5D3B"/>
    <w:rsid w:val="00CB5D7C"/>
    <w:rsid w:val="00CB60A2"/>
    <w:rsid w:val="00CB61A1"/>
    <w:rsid w:val="00CB6389"/>
    <w:rsid w:val="00CB6945"/>
    <w:rsid w:val="00CB6C50"/>
    <w:rsid w:val="00CB71F5"/>
    <w:rsid w:val="00CB7F92"/>
    <w:rsid w:val="00CC07C8"/>
    <w:rsid w:val="00CC0FC3"/>
    <w:rsid w:val="00CC12BC"/>
    <w:rsid w:val="00CC1436"/>
    <w:rsid w:val="00CC1FCB"/>
    <w:rsid w:val="00CC2428"/>
    <w:rsid w:val="00CC2481"/>
    <w:rsid w:val="00CC2AE8"/>
    <w:rsid w:val="00CC2CC8"/>
    <w:rsid w:val="00CC2F72"/>
    <w:rsid w:val="00CC34E0"/>
    <w:rsid w:val="00CC3E68"/>
    <w:rsid w:val="00CC4D1A"/>
    <w:rsid w:val="00CC5283"/>
    <w:rsid w:val="00CC61D9"/>
    <w:rsid w:val="00CC6464"/>
    <w:rsid w:val="00CC646D"/>
    <w:rsid w:val="00CC6CA2"/>
    <w:rsid w:val="00CC7D1B"/>
    <w:rsid w:val="00CC7D3B"/>
    <w:rsid w:val="00CC7D5C"/>
    <w:rsid w:val="00CD02E0"/>
    <w:rsid w:val="00CD0D94"/>
    <w:rsid w:val="00CD0E5D"/>
    <w:rsid w:val="00CD142C"/>
    <w:rsid w:val="00CD21E2"/>
    <w:rsid w:val="00CD2774"/>
    <w:rsid w:val="00CD2D3A"/>
    <w:rsid w:val="00CD3FF3"/>
    <w:rsid w:val="00CD5062"/>
    <w:rsid w:val="00CD52E4"/>
    <w:rsid w:val="00CD56E3"/>
    <w:rsid w:val="00CD5819"/>
    <w:rsid w:val="00CD5940"/>
    <w:rsid w:val="00CD5E5B"/>
    <w:rsid w:val="00CD6146"/>
    <w:rsid w:val="00CD634D"/>
    <w:rsid w:val="00CD7151"/>
    <w:rsid w:val="00CE07CD"/>
    <w:rsid w:val="00CE0B32"/>
    <w:rsid w:val="00CE0DEB"/>
    <w:rsid w:val="00CE0FB1"/>
    <w:rsid w:val="00CE1106"/>
    <w:rsid w:val="00CE1518"/>
    <w:rsid w:val="00CE1617"/>
    <w:rsid w:val="00CE1FB1"/>
    <w:rsid w:val="00CE390E"/>
    <w:rsid w:val="00CE3B10"/>
    <w:rsid w:val="00CE3C17"/>
    <w:rsid w:val="00CE3D9F"/>
    <w:rsid w:val="00CE408B"/>
    <w:rsid w:val="00CE42B6"/>
    <w:rsid w:val="00CE4535"/>
    <w:rsid w:val="00CE546F"/>
    <w:rsid w:val="00CE54F5"/>
    <w:rsid w:val="00CE593B"/>
    <w:rsid w:val="00CE5CA7"/>
    <w:rsid w:val="00CE5E92"/>
    <w:rsid w:val="00CE6782"/>
    <w:rsid w:val="00CE685E"/>
    <w:rsid w:val="00CE69E5"/>
    <w:rsid w:val="00CE6C88"/>
    <w:rsid w:val="00CE70DB"/>
    <w:rsid w:val="00CE70DE"/>
    <w:rsid w:val="00CF00E5"/>
    <w:rsid w:val="00CF0221"/>
    <w:rsid w:val="00CF02F5"/>
    <w:rsid w:val="00CF06F1"/>
    <w:rsid w:val="00CF0ABD"/>
    <w:rsid w:val="00CF0E1E"/>
    <w:rsid w:val="00CF1CE3"/>
    <w:rsid w:val="00CF1D8D"/>
    <w:rsid w:val="00CF2686"/>
    <w:rsid w:val="00CF2C81"/>
    <w:rsid w:val="00CF325F"/>
    <w:rsid w:val="00CF3D38"/>
    <w:rsid w:val="00CF3D54"/>
    <w:rsid w:val="00CF4288"/>
    <w:rsid w:val="00CF45C3"/>
    <w:rsid w:val="00CF5E11"/>
    <w:rsid w:val="00CF5EAA"/>
    <w:rsid w:val="00CF609D"/>
    <w:rsid w:val="00CF7A86"/>
    <w:rsid w:val="00CF7DB5"/>
    <w:rsid w:val="00CF7F59"/>
    <w:rsid w:val="00D0095D"/>
    <w:rsid w:val="00D00C52"/>
    <w:rsid w:val="00D01057"/>
    <w:rsid w:val="00D01193"/>
    <w:rsid w:val="00D012B4"/>
    <w:rsid w:val="00D01728"/>
    <w:rsid w:val="00D01E37"/>
    <w:rsid w:val="00D02235"/>
    <w:rsid w:val="00D026FA"/>
    <w:rsid w:val="00D02703"/>
    <w:rsid w:val="00D02A5A"/>
    <w:rsid w:val="00D03FA6"/>
    <w:rsid w:val="00D042B6"/>
    <w:rsid w:val="00D04ACC"/>
    <w:rsid w:val="00D04C01"/>
    <w:rsid w:val="00D05012"/>
    <w:rsid w:val="00D0503C"/>
    <w:rsid w:val="00D053B1"/>
    <w:rsid w:val="00D05F03"/>
    <w:rsid w:val="00D06A55"/>
    <w:rsid w:val="00D06B59"/>
    <w:rsid w:val="00D06D8A"/>
    <w:rsid w:val="00D073C3"/>
    <w:rsid w:val="00D100DD"/>
    <w:rsid w:val="00D101C0"/>
    <w:rsid w:val="00D105E0"/>
    <w:rsid w:val="00D113D7"/>
    <w:rsid w:val="00D11551"/>
    <w:rsid w:val="00D11A44"/>
    <w:rsid w:val="00D1202D"/>
    <w:rsid w:val="00D126CE"/>
    <w:rsid w:val="00D12975"/>
    <w:rsid w:val="00D12CFE"/>
    <w:rsid w:val="00D12EA1"/>
    <w:rsid w:val="00D12FC2"/>
    <w:rsid w:val="00D13A52"/>
    <w:rsid w:val="00D1475F"/>
    <w:rsid w:val="00D14A83"/>
    <w:rsid w:val="00D1562E"/>
    <w:rsid w:val="00D158FD"/>
    <w:rsid w:val="00D15AE0"/>
    <w:rsid w:val="00D15C77"/>
    <w:rsid w:val="00D16468"/>
    <w:rsid w:val="00D16F54"/>
    <w:rsid w:val="00D17008"/>
    <w:rsid w:val="00D177D8"/>
    <w:rsid w:val="00D17DBD"/>
    <w:rsid w:val="00D20014"/>
    <w:rsid w:val="00D203B6"/>
    <w:rsid w:val="00D2041B"/>
    <w:rsid w:val="00D20591"/>
    <w:rsid w:val="00D20720"/>
    <w:rsid w:val="00D2076E"/>
    <w:rsid w:val="00D20FA6"/>
    <w:rsid w:val="00D21133"/>
    <w:rsid w:val="00D21EF1"/>
    <w:rsid w:val="00D21F09"/>
    <w:rsid w:val="00D222CF"/>
    <w:rsid w:val="00D223E8"/>
    <w:rsid w:val="00D227E4"/>
    <w:rsid w:val="00D22ECE"/>
    <w:rsid w:val="00D22F85"/>
    <w:rsid w:val="00D22FDE"/>
    <w:rsid w:val="00D23374"/>
    <w:rsid w:val="00D23575"/>
    <w:rsid w:val="00D235D1"/>
    <w:rsid w:val="00D23C63"/>
    <w:rsid w:val="00D2474A"/>
    <w:rsid w:val="00D24E4F"/>
    <w:rsid w:val="00D24E85"/>
    <w:rsid w:val="00D24F57"/>
    <w:rsid w:val="00D25181"/>
    <w:rsid w:val="00D2520B"/>
    <w:rsid w:val="00D25304"/>
    <w:rsid w:val="00D25859"/>
    <w:rsid w:val="00D25E88"/>
    <w:rsid w:val="00D25EC0"/>
    <w:rsid w:val="00D26330"/>
    <w:rsid w:val="00D269C2"/>
    <w:rsid w:val="00D26A00"/>
    <w:rsid w:val="00D26CB6"/>
    <w:rsid w:val="00D271BC"/>
    <w:rsid w:val="00D277E2"/>
    <w:rsid w:val="00D279C4"/>
    <w:rsid w:val="00D3045C"/>
    <w:rsid w:val="00D30526"/>
    <w:rsid w:val="00D30C41"/>
    <w:rsid w:val="00D30DF2"/>
    <w:rsid w:val="00D30E01"/>
    <w:rsid w:val="00D31848"/>
    <w:rsid w:val="00D31A26"/>
    <w:rsid w:val="00D31A81"/>
    <w:rsid w:val="00D32A6C"/>
    <w:rsid w:val="00D32E68"/>
    <w:rsid w:val="00D33084"/>
    <w:rsid w:val="00D331D4"/>
    <w:rsid w:val="00D33239"/>
    <w:rsid w:val="00D33490"/>
    <w:rsid w:val="00D335AE"/>
    <w:rsid w:val="00D33F8E"/>
    <w:rsid w:val="00D34E1B"/>
    <w:rsid w:val="00D34E2C"/>
    <w:rsid w:val="00D350D0"/>
    <w:rsid w:val="00D3521B"/>
    <w:rsid w:val="00D35B6B"/>
    <w:rsid w:val="00D35F26"/>
    <w:rsid w:val="00D363B7"/>
    <w:rsid w:val="00D36A81"/>
    <w:rsid w:val="00D36DEB"/>
    <w:rsid w:val="00D3767C"/>
    <w:rsid w:val="00D37A1F"/>
    <w:rsid w:val="00D40061"/>
    <w:rsid w:val="00D402D9"/>
    <w:rsid w:val="00D408B7"/>
    <w:rsid w:val="00D4093A"/>
    <w:rsid w:val="00D40B05"/>
    <w:rsid w:val="00D40DB1"/>
    <w:rsid w:val="00D40E62"/>
    <w:rsid w:val="00D4126B"/>
    <w:rsid w:val="00D41797"/>
    <w:rsid w:val="00D41A51"/>
    <w:rsid w:val="00D41C4E"/>
    <w:rsid w:val="00D41D4B"/>
    <w:rsid w:val="00D4211A"/>
    <w:rsid w:val="00D42690"/>
    <w:rsid w:val="00D42811"/>
    <w:rsid w:val="00D42999"/>
    <w:rsid w:val="00D42F5B"/>
    <w:rsid w:val="00D4302E"/>
    <w:rsid w:val="00D4303F"/>
    <w:rsid w:val="00D4328C"/>
    <w:rsid w:val="00D4477E"/>
    <w:rsid w:val="00D45581"/>
    <w:rsid w:val="00D45674"/>
    <w:rsid w:val="00D45835"/>
    <w:rsid w:val="00D45C20"/>
    <w:rsid w:val="00D4604D"/>
    <w:rsid w:val="00D463B9"/>
    <w:rsid w:val="00D46A6E"/>
    <w:rsid w:val="00D46BFB"/>
    <w:rsid w:val="00D46CA6"/>
    <w:rsid w:val="00D4706E"/>
    <w:rsid w:val="00D47457"/>
    <w:rsid w:val="00D4761C"/>
    <w:rsid w:val="00D476FF"/>
    <w:rsid w:val="00D47A41"/>
    <w:rsid w:val="00D47C64"/>
    <w:rsid w:val="00D47EA0"/>
    <w:rsid w:val="00D500DD"/>
    <w:rsid w:val="00D50501"/>
    <w:rsid w:val="00D52082"/>
    <w:rsid w:val="00D5230C"/>
    <w:rsid w:val="00D52405"/>
    <w:rsid w:val="00D52760"/>
    <w:rsid w:val="00D52F45"/>
    <w:rsid w:val="00D52FBC"/>
    <w:rsid w:val="00D5384F"/>
    <w:rsid w:val="00D53BD0"/>
    <w:rsid w:val="00D53E51"/>
    <w:rsid w:val="00D54211"/>
    <w:rsid w:val="00D5441E"/>
    <w:rsid w:val="00D54738"/>
    <w:rsid w:val="00D54D99"/>
    <w:rsid w:val="00D54DD2"/>
    <w:rsid w:val="00D54F13"/>
    <w:rsid w:val="00D55C83"/>
    <w:rsid w:val="00D55D31"/>
    <w:rsid w:val="00D56238"/>
    <w:rsid w:val="00D562BE"/>
    <w:rsid w:val="00D5640E"/>
    <w:rsid w:val="00D56C81"/>
    <w:rsid w:val="00D56E25"/>
    <w:rsid w:val="00D60718"/>
    <w:rsid w:val="00D607A0"/>
    <w:rsid w:val="00D60F0A"/>
    <w:rsid w:val="00D615F2"/>
    <w:rsid w:val="00D61947"/>
    <w:rsid w:val="00D6194C"/>
    <w:rsid w:val="00D622E8"/>
    <w:rsid w:val="00D63418"/>
    <w:rsid w:val="00D6342F"/>
    <w:rsid w:val="00D63C8B"/>
    <w:rsid w:val="00D63D80"/>
    <w:rsid w:val="00D63E5E"/>
    <w:rsid w:val="00D63FC7"/>
    <w:rsid w:val="00D6406A"/>
    <w:rsid w:val="00D6429C"/>
    <w:rsid w:val="00D6457A"/>
    <w:rsid w:val="00D64A4C"/>
    <w:rsid w:val="00D64EF9"/>
    <w:rsid w:val="00D6570D"/>
    <w:rsid w:val="00D65F8B"/>
    <w:rsid w:val="00D66315"/>
    <w:rsid w:val="00D66618"/>
    <w:rsid w:val="00D66799"/>
    <w:rsid w:val="00D668ED"/>
    <w:rsid w:val="00D66ECF"/>
    <w:rsid w:val="00D66F54"/>
    <w:rsid w:val="00D67421"/>
    <w:rsid w:val="00D70B07"/>
    <w:rsid w:val="00D70EA9"/>
    <w:rsid w:val="00D71494"/>
    <w:rsid w:val="00D71C6B"/>
    <w:rsid w:val="00D729D8"/>
    <w:rsid w:val="00D72DDE"/>
    <w:rsid w:val="00D72E4D"/>
    <w:rsid w:val="00D72FAD"/>
    <w:rsid w:val="00D7347D"/>
    <w:rsid w:val="00D7389B"/>
    <w:rsid w:val="00D73F64"/>
    <w:rsid w:val="00D73F75"/>
    <w:rsid w:val="00D746E3"/>
    <w:rsid w:val="00D74E71"/>
    <w:rsid w:val="00D76098"/>
    <w:rsid w:val="00D7613F"/>
    <w:rsid w:val="00D76191"/>
    <w:rsid w:val="00D765E6"/>
    <w:rsid w:val="00D76A84"/>
    <w:rsid w:val="00D7718D"/>
    <w:rsid w:val="00D77626"/>
    <w:rsid w:val="00D77B60"/>
    <w:rsid w:val="00D77CDC"/>
    <w:rsid w:val="00D77E41"/>
    <w:rsid w:val="00D8045A"/>
    <w:rsid w:val="00D804BA"/>
    <w:rsid w:val="00D80DC4"/>
    <w:rsid w:val="00D81283"/>
    <w:rsid w:val="00D81C8D"/>
    <w:rsid w:val="00D81EE7"/>
    <w:rsid w:val="00D81FCA"/>
    <w:rsid w:val="00D82591"/>
    <w:rsid w:val="00D82C96"/>
    <w:rsid w:val="00D82D5D"/>
    <w:rsid w:val="00D83932"/>
    <w:rsid w:val="00D8418A"/>
    <w:rsid w:val="00D8422A"/>
    <w:rsid w:val="00D848F7"/>
    <w:rsid w:val="00D852FF"/>
    <w:rsid w:val="00D85495"/>
    <w:rsid w:val="00D8612B"/>
    <w:rsid w:val="00D86246"/>
    <w:rsid w:val="00D862BB"/>
    <w:rsid w:val="00D862E6"/>
    <w:rsid w:val="00D869CE"/>
    <w:rsid w:val="00D9035E"/>
    <w:rsid w:val="00D90810"/>
    <w:rsid w:val="00D90FFD"/>
    <w:rsid w:val="00D91761"/>
    <w:rsid w:val="00D91ED5"/>
    <w:rsid w:val="00D92F99"/>
    <w:rsid w:val="00D93099"/>
    <w:rsid w:val="00D931A5"/>
    <w:rsid w:val="00D931F7"/>
    <w:rsid w:val="00D9324B"/>
    <w:rsid w:val="00D93713"/>
    <w:rsid w:val="00D93E82"/>
    <w:rsid w:val="00D94773"/>
    <w:rsid w:val="00D94CC6"/>
    <w:rsid w:val="00D94FF7"/>
    <w:rsid w:val="00D95227"/>
    <w:rsid w:val="00D95EFD"/>
    <w:rsid w:val="00D974BD"/>
    <w:rsid w:val="00D9797F"/>
    <w:rsid w:val="00D97CD0"/>
    <w:rsid w:val="00D97F4D"/>
    <w:rsid w:val="00DA11F9"/>
    <w:rsid w:val="00DA1789"/>
    <w:rsid w:val="00DA1FAA"/>
    <w:rsid w:val="00DA23B5"/>
    <w:rsid w:val="00DA244B"/>
    <w:rsid w:val="00DA2633"/>
    <w:rsid w:val="00DA2D92"/>
    <w:rsid w:val="00DA3533"/>
    <w:rsid w:val="00DA3C3B"/>
    <w:rsid w:val="00DA4FD1"/>
    <w:rsid w:val="00DA5153"/>
    <w:rsid w:val="00DA62B2"/>
    <w:rsid w:val="00DA6655"/>
    <w:rsid w:val="00DA66B9"/>
    <w:rsid w:val="00DA702B"/>
    <w:rsid w:val="00DA7307"/>
    <w:rsid w:val="00DA7CFE"/>
    <w:rsid w:val="00DA7FA6"/>
    <w:rsid w:val="00DB02B5"/>
    <w:rsid w:val="00DB0490"/>
    <w:rsid w:val="00DB13FA"/>
    <w:rsid w:val="00DB1AC2"/>
    <w:rsid w:val="00DB1CF2"/>
    <w:rsid w:val="00DB207C"/>
    <w:rsid w:val="00DB28F1"/>
    <w:rsid w:val="00DB2F23"/>
    <w:rsid w:val="00DB2FB0"/>
    <w:rsid w:val="00DB31E8"/>
    <w:rsid w:val="00DB33A3"/>
    <w:rsid w:val="00DB3980"/>
    <w:rsid w:val="00DB4FDD"/>
    <w:rsid w:val="00DB617F"/>
    <w:rsid w:val="00DB66C3"/>
    <w:rsid w:val="00DB6F5A"/>
    <w:rsid w:val="00DB6FA5"/>
    <w:rsid w:val="00DB7104"/>
    <w:rsid w:val="00DB7340"/>
    <w:rsid w:val="00DB744E"/>
    <w:rsid w:val="00DB7926"/>
    <w:rsid w:val="00DB7B3F"/>
    <w:rsid w:val="00DC0311"/>
    <w:rsid w:val="00DC0ED5"/>
    <w:rsid w:val="00DC10EE"/>
    <w:rsid w:val="00DC10FE"/>
    <w:rsid w:val="00DC12E1"/>
    <w:rsid w:val="00DC1444"/>
    <w:rsid w:val="00DC14D3"/>
    <w:rsid w:val="00DC19AE"/>
    <w:rsid w:val="00DC1C57"/>
    <w:rsid w:val="00DC1CEE"/>
    <w:rsid w:val="00DC215B"/>
    <w:rsid w:val="00DC32FB"/>
    <w:rsid w:val="00DC3322"/>
    <w:rsid w:val="00DC3525"/>
    <w:rsid w:val="00DC39D4"/>
    <w:rsid w:val="00DC440D"/>
    <w:rsid w:val="00DC4C0B"/>
    <w:rsid w:val="00DC559F"/>
    <w:rsid w:val="00DC55F5"/>
    <w:rsid w:val="00DC6091"/>
    <w:rsid w:val="00DC66B2"/>
    <w:rsid w:val="00DC6731"/>
    <w:rsid w:val="00DC67AB"/>
    <w:rsid w:val="00DC6D66"/>
    <w:rsid w:val="00DC7319"/>
    <w:rsid w:val="00DC79DF"/>
    <w:rsid w:val="00DC7C9E"/>
    <w:rsid w:val="00DC7F73"/>
    <w:rsid w:val="00DD0025"/>
    <w:rsid w:val="00DD0600"/>
    <w:rsid w:val="00DD12DD"/>
    <w:rsid w:val="00DD12F1"/>
    <w:rsid w:val="00DD17AE"/>
    <w:rsid w:val="00DD19E9"/>
    <w:rsid w:val="00DD1CDD"/>
    <w:rsid w:val="00DD2187"/>
    <w:rsid w:val="00DD2233"/>
    <w:rsid w:val="00DD265C"/>
    <w:rsid w:val="00DD2740"/>
    <w:rsid w:val="00DD2C03"/>
    <w:rsid w:val="00DD2CFB"/>
    <w:rsid w:val="00DD2F4D"/>
    <w:rsid w:val="00DD3511"/>
    <w:rsid w:val="00DD3A11"/>
    <w:rsid w:val="00DD3F9D"/>
    <w:rsid w:val="00DD424F"/>
    <w:rsid w:val="00DD427F"/>
    <w:rsid w:val="00DD4359"/>
    <w:rsid w:val="00DD5AC4"/>
    <w:rsid w:val="00DD5B01"/>
    <w:rsid w:val="00DD5C8D"/>
    <w:rsid w:val="00DD5D0A"/>
    <w:rsid w:val="00DD708E"/>
    <w:rsid w:val="00DD71E4"/>
    <w:rsid w:val="00DD7359"/>
    <w:rsid w:val="00DD78F5"/>
    <w:rsid w:val="00DD7D32"/>
    <w:rsid w:val="00DD7DB5"/>
    <w:rsid w:val="00DE0BE5"/>
    <w:rsid w:val="00DE0D92"/>
    <w:rsid w:val="00DE0EAC"/>
    <w:rsid w:val="00DE2099"/>
    <w:rsid w:val="00DE2201"/>
    <w:rsid w:val="00DE234F"/>
    <w:rsid w:val="00DE3415"/>
    <w:rsid w:val="00DE3720"/>
    <w:rsid w:val="00DE3E3E"/>
    <w:rsid w:val="00DE3F59"/>
    <w:rsid w:val="00DE44A5"/>
    <w:rsid w:val="00DE4634"/>
    <w:rsid w:val="00DE4730"/>
    <w:rsid w:val="00DE4E94"/>
    <w:rsid w:val="00DE527C"/>
    <w:rsid w:val="00DE58DD"/>
    <w:rsid w:val="00DE5E47"/>
    <w:rsid w:val="00DE5E93"/>
    <w:rsid w:val="00DE6851"/>
    <w:rsid w:val="00DE6E5B"/>
    <w:rsid w:val="00DE7199"/>
    <w:rsid w:val="00DE767C"/>
    <w:rsid w:val="00DE7C24"/>
    <w:rsid w:val="00DF0E98"/>
    <w:rsid w:val="00DF0F68"/>
    <w:rsid w:val="00DF113A"/>
    <w:rsid w:val="00DF12C7"/>
    <w:rsid w:val="00DF1335"/>
    <w:rsid w:val="00DF1706"/>
    <w:rsid w:val="00DF1B14"/>
    <w:rsid w:val="00DF1D82"/>
    <w:rsid w:val="00DF1E91"/>
    <w:rsid w:val="00DF20DE"/>
    <w:rsid w:val="00DF2B11"/>
    <w:rsid w:val="00DF3290"/>
    <w:rsid w:val="00DF36D8"/>
    <w:rsid w:val="00DF3943"/>
    <w:rsid w:val="00DF3F40"/>
    <w:rsid w:val="00DF4834"/>
    <w:rsid w:val="00DF552A"/>
    <w:rsid w:val="00DF57A6"/>
    <w:rsid w:val="00DF5A0F"/>
    <w:rsid w:val="00DF5B3E"/>
    <w:rsid w:val="00DF5BEB"/>
    <w:rsid w:val="00DF5D1D"/>
    <w:rsid w:val="00DF5EAE"/>
    <w:rsid w:val="00DF5FB6"/>
    <w:rsid w:val="00DF71E3"/>
    <w:rsid w:val="00DF71FF"/>
    <w:rsid w:val="00DF7242"/>
    <w:rsid w:val="00DF725E"/>
    <w:rsid w:val="00E0009F"/>
    <w:rsid w:val="00E0017E"/>
    <w:rsid w:val="00E00DAF"/>
    <w:rsid w:val="00E01100"/>
    <w:rsid w:val="00E01213"/>
    <w:rsid w:val="00E01392"/>
    <w:rsid w:val="00E01854"/>
    <w:rsid w:val="00E029C8"/>
    <w:rsid w:val="00E02EA6"/>
    <w:rsid w:val="00E032A6"/>
    <w:rsid w:val="00E033EB"/>
    <w:rsid w:val="00E048C3"/>
    <w:rsid w:val="00E04A2C"/>
    <w:rsid w:val="00E04AE8"/>
    <w:rsid w:val="00E04BB1"/>
    <w:rsid w:val="00E05498"/>
    <w:rsid w:val="00E054BF"/>
    <w:rsid w:val="00E055FE"/>
    <w:rsid w:val="00E05CAA"/>
    <w:rsid w:val="00E05E2E"/>
    <w:rsid w:val="00E05EE7"/>
    <w:rsid w:val="00E06EB1"/>
    <w:rsid w:val="00E06FA6"/>
    <w:rsid w:val="00E07629"/>
    <w:rsid w:val="00E07CA3"/>
    <w:rsid w:val="00E101F3"/>
    <w:rsid w:val="00E107E7"/>
    <w:rsid w:val="00E10DD8"/>
    <w:rsid w:val="00E113DE"/>
    <w:rsid w:val="00E120FE"/>
    <w:rsid w:val="00E12AA7"/>
    <w:rsid w:val="00E13352"/>
    <w:rsid w:val="00E137F3"/>
    <w:rsid w:val="00E14683"/>
    <w:rsid w:val="00E1489E"/>
    <w:rsid w:val="00E14D17"/>
    <w:rsid w:val="00E15252"/>
    <w:rsid w:val="00E1541F"/>
    <w:rsid w:val="00E15585"/>
    <w:rsid w:val="00E157E0"/>
    <w:rsid w:val="00E162A8"/>
    <w:rsid w:val="00E168BD"/>
    <w:rsid w:val="00E16B84"/>
    <w:rsid w:val="00E16E29"/>
    <w:rsid w:val="00E17517"/>
    <w:rsid w:val="00E17816"/>
    <w:rsid w:val="00E178ED"/>
    <w:rsid w:val="00E17902"/>
    <w:rsid w:val="00E17C90"/>
    <w:rsid w:val="00E20190"/>
    <w:rsid w:val="00E203AA"/>
    <w:rsid w:val="00E2083C"/>
    <w:rsid w:val="00E20975"/>
    <w:rsid w:val="00E20CA0"/>
    <w:rsid w:val="00E20F43"/>
    <w:rsid w:val="00E21051"/>
    <w:rsid w:val="00E21928"/>
    <w:rsid w:val="00E21C12"/>
    <w:rsid w:val="00E21CEB"/>
    <w:rsid w:val="00E22179"/>
    <w:rsid w:val="00E22387"/>
    <w:rsid w:val="00E2263B"/>
    <w:rsid w:val="00E22A9E"/>
    <w:rsid w:val="00E22FD5"/>
    <w:rsid w:val="00E23727"/>
    <w:rsid w:val="00E23783"/>
    <w:rsid w:val="00E24057"/>
    <w:rsid w:val="00E241B4"/>
    <w:rsid w:val="00E24993"/>
    <w:rsid w:val="00E25C8B"/>
    <w:rsid w:val="00E26395"/>
    <w:rsid w:val="00E26F14"/>
    <w:rsid w:val="00E27804"/>
    <w:rsid w:val="00E27B54"/>
    <w:rsid w:val="00E27BA4"/>
    <w:rsid w:val="00E302E2"/>
    <w:rsid w:val="00E305A7"/>
    <w:rsid w:val="00E307C2"/>
    <w:rsid w:val="00E308E0"/>
    <w:rsid w:val="00E3095C"/>
    <w:rsid w:val="00E3099A"/>
    <w:rsid w:val="00E309E6"/>
    <w:rsid w:val="00E30A75"/>
    <w:rsid w:val="00E30AD5"/>
    <w:rsid w:val="00E313F9"/>
    <w:rsid w:val="00E31647"/>
    <w:rsid w:val="00E31AB6"/>
    <w:rsid w:val="00E31B33"/>
    <w:rsid w:val="00E3275F"/>
    <w:rsid w:val="00E32CB0"/>
    <w:rsid w:val="00E32E1B"/>
    <w:rsid w:val="00E334A0"/>
    <w:rsid w:val="00E334C8"/>
    <w:rsid w:val="00E3387E"/>
    <w:rsid w:val="00E33A21"/>
    <w:rsid w:val="00E33BFC"/>
    <w:rsid w:val="00E33C4C"/>
    <w:rsid w:val="00E3402B"/>
    <w:rsid w:val="00E34097"/>
    <w:rsid w:val="00E340DF"/>
    <w:rsid w:val="00E34618"/>
    <w:rsid w:val="00E34A9C"/>
    <w:rsid w:val="00E34ABF"/>
    <w:rsid w:val="00E354B6"/>
    <w:rsid w:val="00E35662"/>
    <w:rsid w:val="00E358FF"/>
    <w:rsid w:val="00E35988"/>
    <w:rsid w:val="00E35ED8"/>
    <w:rsid w:val="00E36517"/>
    <w:rsid w:val="00E36766"/>
    <w:rsid w:val="00E36928"/>
    <w:rsid w:val="00E36C5D"/>
    <w:rsid w:val="00E37FB7"/>
    <w:rsid w:val="00E4043B"/>
    <w:rsid w:val="00E40EC4"/>
    <w:rsid w:val="00E410F4"/>
    <w:rsid w:val="00E4158D"/>
    <w:rsid w:val="00E41790"/>
    <w:rsid w:val="00E417C5"/>
    <w:rsid w:val="00E41BD9"/>
    <w:rsid w:val="00E41F4C"/>
    <w:rsid w:val="00E42335"/>
    <w:rsid w:val="00E4271E"/>
    <w:rsid w:val="00E4294E"/>
    <w:rsid w:val="00E42A00"/>
    <w:rsid w:val="00E42C9B"/>
    <w:rsid w:val="00E42E91"/>
    <w:rsid w:val="00E42FBA"/>
    <w:rsid w:val="00E43259"/>
    <w:rsid w:val="00E432C3"/>
    <w:rsid w:val="00E436C8"/>
    <w:rsid w:val="00E43918"/>
    <w:rsid w:val="00E43B4F"/>
    <w:rsid w:val="00E446CA"/>
    <w:rsid w:val="00E447FA"/>
    <w:rsid w:val="00E44E52"/>
    <w:rsid w:val="00E452EA"/>
    <w:rsid w:val="00E45481"/>
    <w:rsid w:val="00E4563C"/>
    <w:rsid w:val="00E461A9"/>
    <w:rsid w:val="00E47089"/>
    <w:rsid w:val="00E4730F"/>
    <w:rsid w:val="00E47D1D"/>
    <w:rsid w:val="00E47DA6"/>
    <w:rsid w:val="00E5001D"/>
    <w:rsid w:val="00E50EDB"/>
    <w:rsid w:val="00E5147B"/>
    <w:rsid w:val="00E51592"/>
    <w:rsid w:val="00E51681"/>
    <w:rsid w:val="00E51C2E"/>
    <w:rsid w:val="00E51DF0"/>
    <w:rsid w:val="00E52022"/>
    <w:rsid w:val="00E5219B"/>
    <w:rsid w:val="00E529AC"/>
    <w:rsid w:val="00E52CD7"/>
    <w:rsid w:val="00E533B5"/>
    <w:rsid w:val="00E53778"/>
    <w:rsid w:val="00E54532"/>
    <w:rsid w:val="00E5483F"/>
    <w:rsid w:val="00E55418"/>
    <w:rsid w:val="00E55DD7"/>
    <w:rsid w:val="00E5603C"/>
    <w:rsid w:val="00E56645"/>
    <w:rsid w:val="00E5687D"/>
    <w:rsid w:val="00E573D9"/>
    <w:rsid w:val="00E57640"/>
    <w:rsid w:val="00E57673"/>
    <w:rsid w:val="00E5793C"/>
    <w:rsid w:val="00E57E9E"/>
    <w:rsid w:val="00E60057"/>
    <w:rsid w:val="00E60738"/>
    <w:rsid w:val="00E608C1"/>
    <w:rsid w:val="00E61280"/>
    <w:rsid w:val="00E613C8"/>
    <w:rsid w:val="00E618E4"/>
    <w:rsid w:val="00E619E5"/>
    <w:rsid w:val="00E61A2A"/>
    <w:rsid w:val="00E61D17"/>
    <w:rsid w:val="00E61F4B"/>
    <w:rsid w:val="00E6201D"/>
    <w:rsid w:val="00E6213A"/>
    <w:rsid w:val="00E62A37"/>
    <w:rsid w:val="00E62F42"/>
    <w:rsid w:val="00E648A4"/>
    <w:rsid w:val="00E6522F"/>
    <w:rsid w:val="00E65545"/>
    <w:rsid w:val="00E65579"/>
    <w:rsid w:val="00E65B6A"/>
    <w:rsid w:val="00E661D2"/>
    <w:rsid w:val="00E66C32"/>
    <w:rsid w:val="00E6792B"/>
    <w:rsid w:val="00E70C59"/>
    <w:rsid w:val="00E7160B"/>
    <w:rsid w:val="00E7193E"/>
    <w:rsid w:val="00E71A83"/>
    <w:rsid w:val="00E72092"/>
    <w:rsid w:val="00E72C4B"/>
    <w:rsid w:val="00E72F80"/>
    <w:rsid w:val="00E73324"/>
    <w:rsid w:val="00E73587"/>
    <w:rsid w:val="00E738AC"/>
    <w:rsid w:val="00E73A2F"/>
    <w:rsid w:val="00E73F91"/>
    <w:rsid w:val="00E74020"/>
    <w:rsid w:val="00E7437E"/>
    <w:rsid w:val="00E74777"/>
    <w:rsid w:val="00E74CF8"/>
    <w:rsid w:val="00E74E9D"/>
    <w:rsid w:val="00E75276"/>
    <w:rsid w:val="00E75329"/>
    <w:rsid w:val="00E7580E"/>
    <w:rsid w:val="00E763D0"/>
    <w:rsid w:val="00E77C98"/>
    <w:rsid w:val="00E77E01"/>
    <w:rsid w:val="00E80016"/>
    <w:rsid w:val="00E8046E"/>
    <w:rsid w:val="00E814A8"/>
    <w:rsid w:val="00E81932"/>
    <w:rsid w:val="00E81B26"/>
    <w:rsid w:val="00E81E6D"/>
    <w:rsid w:val="00E81EFE"/>
    <w:rsid w:val="00E822D3"/>
    <w:rsid w:val="00E8339A"/>
    <w:rsid w:val="00E83709"/>
    <w:rsid w:val="00E837AC"/>
    <w:rsid w:val="00E8399A"/>
    <w:rsid w:val="00E84A5A"/>
    <w:rsid w:val="00E84B5C"/>
    <w:rsid w:val="00E85067"/>
    <w:rsid w:val="00E85522"/>
    <w:rsid w:val="00E85653"/>
    <w:rsid w:val="00E858C1"/>
    <w:rsid w:val="00E8608D"/>
    <w:rsid w:val="00E87012"/>
    <w:rsid w:val="00E8756F"/>
    <w:rsid w:val="00E87FE7"/>
    <w:rsid w:val="00E909C0"/>
    <w:rsid w:val="00E91280"/>
    <w:rsid w:val="00E915BC"/>
    <w:rsid w:val="00E9166A"/>
    <w:rsid w:val="00E91C21"/>
    <w:rsid w:val="00E92696"/>
    <w:rsid w:val="00E9313A"/>
    <w:rsid w:val="00E93962"/>
    <w:rsid w:val="00E93B84"/>
    <w:rsid w:val="00E940FF"/>
    <w:rsid w:val="00E94833"/>
    <w:rsid w:val="00E94900"/>
    <w:rsid w:val="00E9506F"/>
    <w:rsid w:val="00E95102"/>
    <w:rsid w:val="00E957D8"/>
    <w:rsid w:val="00E9676D"/>
    <w:rsid w:val="00E968A3"/>
    <w:rsid w:val="00E9724A"/>
    <w:rsid w:val="00E97552"/>
    <w:rsid w:val="00E97925"/>
    <w:rsid w:val="00E9794B"/>
    <w:rsid w:val="00EA0849"/>
    <w:rsid w:val="00EA09B7"/>
    <w:rsid w:val="00EA100A"/>
    <w:rsid w:val="00EA141C"/>
    <w:rsid w:val="00EA18ED"/>
    <w:rsid w:val="00EA1A57"/>
    <w:rsid w:val="00EA2D1F"/>
    <w:rsid w:val="00EA2EDA"/>
    <w:rsid w:val="00EA3499"/>
    <w:rsid w:val="00EA3949"/>
    <w:rsid w:val="00EA3B82"/>
    <w:rsid w:val="00EA3CCE"/>
    <w:rsid w:val="00EA3F0D"/>
    <w:rsid w:val="00EA4D36"/>
    <w:rsid w:val="00EA5FF9"/>
    <w:rsid w:val="00EA60B7"/>
    <w:rsid w:val="00EA60F6"/>
    <w:rsid w:val="00EA6ABC"/>
    <w:rsid w:val="00EA708C"/>
    <w:rsid w:val="00EA71E8"/>
    <w:rsid w:val="00EA7733"/>
    <w:rsid w:val="00EB0E48"/>
    <w:rsid w:val="00EB0F9C"/>
    <w:rsid w:val="00EB1122"/>
    <w:rsid w:val="00EB113E"/>
    <w:rsid w:val="00EB1330"/>
    <w:rsid w:val="00EB1562"/>
    <w:rsid w:val="00EB189B"/>
    <w:rsid w:val="00EB1C16"/>
    <w:rsid w:val="00EB22C7"/>
    <w:rsid w:val="00EB2546"/>
    <w:rsid w:val="00EB25E7"/>
    <w:rsid w:val="00EB2729"/>
    <w:rsid w:val="00EB2AAE"/>
    <w:rsid w:val="00EB3002"/>
    <w:rsid w:val="00EB33E6"/>
    <w:rsid w:val="00EB375B"/>
    <w:rsid w:val="00EB38F0"/>
    <w:rsid w:val="00EB3CEB"/>
    <w:rsid w:val="00EB56CB"/>
    <w:rsid w:val="00EB5973"/>
    <w:rsid w:val="00EB59BC"/>
    <w:rsid w:val="00EB6052"/>
    <w:rsid w:val="00EB64B6"/>
    <w:rsid w:val="00EB67FD"/>
    <w:rsid w:val="00EB7525"/>
    <w:rsid w:val="00EB7EAB"/>
    <w:rsid w:val="00EB7FCB"/>
    <w:rsid w:val="00EC0399"/>
    <w:rsid w:val="00EC0777"/>
    <w:rsid w:val="00EC1C69"/>
    <w:rsid w:val="00EC1D17"/>
    <w:rsid w:val="00EC231D"/>
    <w:rsid w:val="00EC23A2"/>
    <w:rsid w:val="00EC2ABD"/>
    <w:rsid w:val="00EC3523"/>
    <w:rsid w:val="00EC3669"/>
    <w:rsid w:val="00EC3C4B"/>
    <w:rsid w:val="00EC41BC"/>
    <w:rsid w:val="00EC42BA"/>
    <w:rsid w:val="00EC4481"/>
    <w:rsid w:val="00EC510F"/>
    <w:rsid w:val="00EC52D8"/>
    <w:rsid w:val="00EC55DC"/>
    <w:rsid w:val="00EC5B81"/>
    <w:rsid w:val="00EC5F51"/>
    <w:rsid w:val="00EC640C"/>
    <w:rsid w:val="00EC64DE"/>
    <w:rsid w:val="00EC67FB"/>
    <w:rsid w:val="00EC6963"/>
    <w:rsid w:val="00EC73DF"/>
    <w:rsid w:val="00EC73FF"/>
    <w:rsid w:val="00EC75CC"/>
    <w:rsid w:val="00EC7653"/>
    <w:rsid w:val="00EC7A75"/>
    <w:rsid w:val="00EC7B4B"/>
    <w:rsid w:val="00ED0062"/>
    <w:rsid w:val="00ED043B"/>
    <w:rsid w:val="00ED06BF"/>
    <w:rsid w:val="00ED0794"/>
    <w:rsid w:val="00ED087C"/>
    <w:rsid w:val="00ED0935"/>
    <w:rsid w:val="00ED0D28"/>
    <w:rsid w:val="00ED0D48"/>
    <w:rsid w:val="00ED0D57"/>
    <w:rsid w:val="00ED1453"/>
    <w:rsid w:val="00ED17EE"/>
    <w:rsid w:val="00ED18B3"/>
    <w:rsid w:val="00ED1CC7"/>
    <w:rsid w:val="00ED1EAC"/>
    <w:rsid w:val="00ED204A"/>
    <w:rsid w:val="00ED3409"/>
    <w:rsid w:val="00ED353A"/>
    <w:rsid w:val="00ED4080"/>
    <w:rsid w:val="00ED4239"/>
    <w:rsid w:val="00ED44AC"/>
    <w:rsid w:val="00ED4504"/>
    <w:rsid w:val="00ED45DC"/>
    <w:rsid w:val="00ED498C"/>
    <w:rsid w:val="00ED49CB"/>
    <w:rsid w:val="00ED4DA4"/>
    <w:rsid w:val="00ED5AAA"/>
    <w:rsid w:val="00ED5BB4"/>
    <w:rsid w:val="00ED5EA7"/>
    <w:rsid w:val="00ED5ED9"/>
    <w:rsid w:val="00ED6571"/>
    <w:rsid w:val="00ED6CE8"/>
    <w:rsid w:val="00ED72A6"/>
    <w:rsid w:val="00ED7CC7"/>
    <w:rsid w:val="00ED7DD8"/>
    <w:rsid w:val="00ED7E7F"/>
    <w:rsid w:val="00EE21CD"/>
    <w:rsid w:val="00EE2A87"/>
    <w:rsid w:val="00EE2E27"/>
    <w:rsid w:val="00EE3460"/>
    <w:rsid w:val="00EE36CE"/>
    <w:rsid w:val="00EE3A57"/>
    <w:rsid w:val="00EE3E24"/>
    <w:rsid w:val="00EE4389"/>
    <w:rsid w:val="00EE4432"/>
    <w:rsid w:val="00EE4636"/>
    <w:rsid w:val="00EE546F"/>
    <w:rsid w:val="00EE58BF"/>
    <w:rsid w:val="00EE5A46"/>
    <w:rsid w:val="00EE5E6C"/>
    <w:rsid w:val="00EE64E2"/>
    <w:rsid w:val="00EE6C11"/>
    <w:rsid w:val="00EE6D85"/>
    <w:rsid w:val="00EE6E84"/>
    <w:rsid w:val="00EE7B04"/>
    <w:rsid w:val="00EE7C13"/>
    <w:rsid w:val="00EF01D3"/>
    <w:rsid w:val="00EF0975"/>
    <w:rsid w:val="00EF156C"/>
    <w:rsid w:val="00EF158E"/>
    <w:rsid w:val="00EF1852"/>
    <w:rsid w:val="00EF1885"/>
    <w:rsid w:val="00EF1D2D"/>
    <w:rsid w:val="00EF24ED"/>
    <w:rsid w:val="00EF2915"/>
    <w:rsid w:val="00EF4023"/>
    <w:rsid w:val="00EF4058"/>
    <w:rsid w:val="00EF428B"/>
    <w:rsid w:val="00EF43CF"/>
    <w:rsid w:val="00EF4406"/>
    <w:rsid w:val="00EF45C1"/>
    <w:rsid w:val="00EF465A"/>
    <w:rsid w:val="00EF5043"/>
    <w:rsid w:val="00EF5714"/>
    <w:rsid w:val="00EF5CAF"/>
    <w:rsid w:val="00EF5FDF"/>
    <w:rsid w:val="00EF7194"/>
    <w:rsid w:val="00EF7410"/>
    <w:rsid w:val="00EF7532"/>
    <w:rsid w:val="00EF76AC"/>
    <w:rsid w:val="00F000CC"/>
    <w:rsid w:val="00F0097C"/>
    <w:rsid w:val="00F00BA1"/>
    <w:rsid w:val="00F00DD4"/>
    <w:rsid w:val="00F01E2C"/>
    <w:rsid w:val="00F023CB"/>
    <w:rsid w:val="00F02D65"/>
    <w:rsid w:val="00F02FD9"/>
    <w:rsid w:val="00F02FE7"/>
    <w:rsid w:val="00F034A2"/>
    <w:rsid w:val="00F037D2"/>
    <w:rsid w:val="00F03919"/>
    <w:rsid w:val="00F03A04"/>
    <w:rsid w:val="00F03E5B"/>
    <w:rsid w:val="00F03FAC"/>
    <w:rsid w:val="00F04496"/>
    <w:rsid w:val="00F047C5"/>
    <w:rsid w:val="00F05203"/>
    <w:rsid w:val="00F054C0"/>
    <w:rsid w:val="00F0604D"/>
    <w:rsid w:val="00F061AB"/>
    <w:rsid w:val="00F06262"/>
    <w:rsid w:val="00F0650D"/>
    <w:rsid w:val="00F07272"/>
    <w:rsid w:val="00F0729E"/>
    <w:rsid w:val="00F074D9"/>
    <w:rsid w:val="00F10242"/>
    <w:rsid w:val="00F10751"/>
    <w:rsid w:val="00F11BB1"/>
    <w:rsid w:val="00F12A16"/>
    <w:rsid w:val="00F12A38"/>
    <w:rsid w:val="00F12B68"/>
    <w:rsid w:val="00F13020"/>
    <w:rsid w:val="00F131FE"/>
    <w:rsid w:val="00F13BBC"/>
    <w:rsid w:val="00F1413A"/>
    <w:rsid w:val="00F142B0"/>
    <w:rsid w:val="00F14357"/>
    <w:rsid w:val="00F14524"/>
    <w:rsid w:val="00F1476A"/>
    <w:rsid w:val="00F14EF5"/>
    <w:rsid w:val="00F15687"/>
    <w:rsid w:val="00F15CB8"/>
    <w:rsid w:val="00F16A04"/>
    <w:rsid w:val="00F16B85"/>
    <w:rsid w:val="00F17DA2"/>
    <w:rsid w:val="00F20F8C"/>
    <w:rsid w:val="00F21046"/>
    <w:rsid w:val="00F21FE7"/>
    <w:rsid w:val="00F221F8"/>
    <w:rsid w:val="00F22887"/>
    <w:rsid w:val="00F22A2F"/>
    <w:rsid w:val="00F22ABC"/>
    <w:rsid w:val="00F2383A"/>
    <w:rsid w:val="00F2398F"/>
    <w:rsid w:val="00F23B95"/>
    <w:rsid w:val="00F23C53"/>
    <w:rsid w:val="00F23FCD"/>
    <w:rsid w:val="00F23FF6"/>
    <w:rsid w:val="00F24344"/>
    <w:rsid w:val="00F24950"/>
    <w:rsid w:val="00F249A6"/>
    <w:rsid w:val="00F24F4A"/>
    <w:rsid w:val="00F25114"/>
    <w:rsid w:val="00F25989"/>
    <w:rsid w:val="00F26417"/>
    <w:rsid w:val="00F27450"/>
    <w:rsid w:val="00F277A9"/>
    <w:rsid w:val="00F27D54"/>
    <w:rsid w:val="00F300B4"/>
    <w:rsid w:val="00F3080C"/>
    <w:rsid w:val="00F319DC"/>
    <w:rsid w:val="00F31E8B"/>
    <w:rsid w:val="00F32514"/>
    <w:rsid w:val="00F3267E"/>
    <w:rsid w:val="00F333F0"/>
    <w:rsid w:val="00F3340C"/>
    <w:rsid w:val="00F33B2B"/>
    <w:rsid w:val="00F34464"/>
    <w:rsid w:val="00F34A39"/>
    <w:rsid w:val="00F3544C"/>
    <w:rsid w:val="00F35E29"/>
    <w:rsid w:val="00F360D7"/>
    <w:rsid w:val="00F3649B"/>
    <w:rsid w:val="00F3671A"/>
    <w:rsid w:val="00F36A62"/>
    <w:rsid w:val="00F36AFC"/>
    <w:rsid w:val="00F36E42"/>
    <w:rsid w:val="00F37129"/>
    <w:rsid w:val="00F37170"/>
    <w:rsid w:val="00F371A7"/>
    <w:rsid w:val="00F37BD0"/>
    <w:rsid w:val="00F402E2"/>
    <w:rsid w:val="00F4055F"/>
    <w:rsid w:val="00F406B1"/>
    <w:rsid w:val="00F417F3"/>
    <w:rsid w:val="00F41BBE"/>
    <w:rsid w:val="00F430FC"/>
    <w:rsid w:val="00F4371D"/>
    <w:rsid w:val="00F448C5"/>
    <w:rsid w:val="00F44F56"/>
    <w:rsid w:val="00F461AE"/>
    <w:rsid w:val="00F46516"/>
    <w:rsid w:val="00F46956"/>
    <w:rsid w:val="00F471AC"/>
    <w:rsid w:val="00F47C18"/>
    <w:rsid w:val="00F47DD5"/>
    <w:rsid w:val="00F47F87"/>
    <w:rsid w:val="00F501B5"/>
    <w:rsid w:val="00F50A0F"/>
    <w:rsid w:val="00F511A0"/>
    <w:rsid w:val="00F51326"/>
    <w:rsid w:val="00F51B03"/>
    <w:rsid w:val="00F521EB"/>
    <w:rsid w:val="00F526B3"/>
    <w:rsid w:val="00F529D7"/>
    <w:rsid w:val="00F52D9E"/>
    <w:rsid w:val="00F5300D"/>
    <w:rsid w:val="00F53204"/>
    <w:rsid w:val="00F539D3"/>
    <w:rsid w:val="00F53D3E"/>
    <w:rsid w:val="00F540DA"/>
    <w:rsid w:val="00F543C7"/>
    <w:rsid w:val="00F5462A"/>
    <w:rsid w:val="00F54A4F"/>
    <w:rsid w:val="00F54E0F"/>
    <w:rsid w:val="00F55B3F"/>
    <w:rsid w:val="00F55FC4"/>
    <w:rsid w:val="00F560AD"/>
    <w:rsid w:val="00F576FA"/>
    <w:rsid w:val="00F57E1C"/>
    <w:rsid w:val="00F60231"/>
    <w:rsid w:val="00F604A4"/>
    <w:rsid w:val="00F604DD"/>
    <w:rsid w:val="00F60ACC"/>
    <w:rsid w:val="00F614DE"/>
    <w:rsid w:val="00F6238C"/>
    <w:rsid w:val="00F62563"/>
    <w:rsid w:val="00F6323B"/>
    <w:rsid w:val="00F63246"/>
    <w:rsid w:val="00F633C3"/>
    <w:rsid w:val="00F6349C"/>
    <w:rsid w:val="00F63599"/>
    <w:rsid w:val="00F63C13"/>
    <w:rsid w:val="00F63D2D"/>
    <w:rsid w:val="00F64020"/>
    <w:rsid w:val="00F64492"/>
    <w:rsid w:val="00F64674"/>
    <w:rsid w:val="00F64AF1"/>
    <w:rsid w:val="00F64EBE"/>
    <w:rsid w:val="00F6502B"/>
    <w:rsid w:val="00F656E2"/>
    <w:rsid w:val="00F65801"/>
    <w:rsid w:val="00F65B0A"/>
    <w:rsid w:val="00F65B85"/>
    <w:rsid w:val="00F6656C"/>
    <w:rsid w:val="00F66836"/>
    <w:rsid w:val="00F67E59"/>
    <w:rsid w:val="00F70523"/>
    <w:rsid w:val="00F70823"/>
    <w:rsid w:val="00F70879"/>
    <w:rsid w:val="00F70F70"/>
    <w:rsid w:val="00F71507"/>
    <w:rsid w:val="00F72517"/>
    <w:rsid w:val="00F72752"/>
    <w:rsid w:val="00F73000"/>
    <w:rsid w:val="00F73075"/>
    <w:rsid w:val="00F7328F"/>
    <w:rsid w:val="00F73690"/>
    <w:rsid w:val="00F737C3"/>
    <w:rsid w:val="00F741AE"/>
    <w:rsid w:val="00F74CF9"/>
    <w:rsid w:val="00F7500B"/>
    <w:rsid w:val="00F75194"/>
    <w:rsid w:val="00F75357"/>
    <w:rsid w:val="00F7659A"/>
    <w:rsid w:val="00F76FE5"/>
    <w:rsid w:val="00F76FEC"/>
    <w:rsid w:val="00F7722A"/>
    <w:rsid w:val="00F777AF"/>
    <w:rsid w:val="00F779FD"/>
    <w:rsid w:val="00F80310"/>
    <w:rsid w:val="00F80402"/>
    <w:rsid w:val="00F80B60"/>
    <w:rsid w:val="00F813DB"/>
    <w:rsid w:val="00F81985"/>
    <w:rsid w:val="00F8261E"/>
    <w:rsid w:val="00F82758"/>
    <w:rsid w:val="00F82DD7"/>
    <w:rsid w:val="00F832C3"/>
    <w:rsid w:val="00F838BC"/>
    <w:rsid w:val="00F8397C"/>
    <w:rsid w:val="00F83A9C"/>
    <w:rsid w:val="00F84203"/>
    <w:rsid w:val="00F84450"/>
    <w:rsid w:val="00F845C2"/>
    <w:rsid w:val="00F84877"/>
    <w:rsid w:val="00F84DDF"/>
    <w:rsid w:val="00F850CD"/>
    <w:rsid w:val="00F852AA"/>
    <w:rsid w:val="00F8554E"/>
    <w:rsid w:val="00F863BD"/>
    <w:rsid w:val="00F874CE"/>
    <w:rsid w:val="00F8763B"/>
    <w:rsid w:val="00F878CE"/>
    <w:rsid w:val="00F900E4"/>
    <w:rsid w:val="00F90B92"/>
    <w:rsid w:val="00F916E8"/>
    <w:rsid w:val="00F918C4"/>
    <w:rsid w:val="00F919EC"/>
    <w:rsid w:val="00F91E68"/>
    <w:rsid w:val="00F920DF"/>
    <w:rsid w:val="00F92105"/>
    <w:rsid w:val="00F921B0"/>
    <w:rsid w:val="00F924C7"/>
    <w:rsid w:val="00F9295C"/>
    <w:rsid w:val="00F92C07"/>
    <w:rsid w:val="00F92EBE"/>
    <w:rsid w:val="00F93216"/>
    <w:rsid w:val="00F940AC"/>
    <w:rsid w:val="00F942A7"/>
    <w:rsid w:val="00F94B45"/>
    <w:rsid w:val="00F94EE2"/>
    <w:rsid w:val="00F94FC4"/>
    <w:rsid w:val="00F951E4"/>
    <w:rsid w:val="00F955FD"/>
    <w:rsid w:val="00F95AD9"/>
    <w:rsid w:val="00F95B0C"/>
    <w:rsid w:val="00F96074"/>
    <w:rsid w:val="00F96366"/>
    <w:rsid w:val="00F9691D"/>
    <w:rsid w:val="00F96BB9"/>
    <w:rsid w:val="00F976EC"/>
    <w:rsid w:val="00FA012E"/>
    <w:rsid w:val="00FA0D17"/>
    <w:rsid w:val="00FA1835"/>
    <w:rsid w:val="00FA1EE3"/>
    <w:rsid w:val="00FA2613"/>
    <w:rsid w:val="00FA2773"/>
    <w:rsid w:val="00FA27FB"/>
    <w:rsid w:val="00FA2C73"/>
    <w:rsid w:val="00FA3AFF"/>
    <w:rsid w:val="00FA4564"/>
    <w:rsid w:val="00FA46EA"/>
    <w:rsid w:val="00FA4BCB"/>
    <w:rsid w:val="00FA5697"/>
    <w:rsid w:val="00FA5910"/>
    <w:rsid w:val="00FA5E55"/>
    <w:rsid w:val="00FA6119"/>
    <w:rsid w:val="00FA620D"/>
    <w:rsid w:val="00FA670A"/>
    <w:rsid w:val="00FA6753"/>
    <w:rsid w:val="00FA7035"/>
    <w:rsid w:val="00FA732E"/>
    <w:rsid w:val="00FA73C5"/>
    <w:rsid w:val="00FA7421"/>
    <w:rsid w:val="00FA7AFA"/>
    <w:rsid w:val="00FA7E1A"/>
    <w:rsid w:val="00FB01CC"/>
    <w:rsid w:val="00FB0C9A"/>
    <w:rsid w:val="00FB116B"/>
    <w:rsid w:val="00FB121D"/>
    <w:rsid w:val="00FB176A"/>
    <w:rsid w:val="00FB1BD6"/>
    <w:rsid w:val="00FB1C08"/>
    <w:rsid w:val="00FB20CF"/>
    <w:rsid w:val="00FB260F"/>
    <w:rsid w:val="00FB2A8F"/>
    <w:rsid w:val="00FB2E51"/>
    <w:rsid w:val="00FB320B"/>
    <w:rsid w:val="00FB3576"/>
    <w:rsid w:val="00FB3644"/>
    <w:rsid w:val="00FB38B1"/>
    <w:rsid w:val="00FB393C"/>
    <w:rsid w:val="00FB3E9B"/>
    <w:rsid w:val="00FB4212"/>
    <w:rsid w:val="00FB44F6"/>
    <w:rsid w:val="00FB45ED"/>
    <w:rsid w:val="00FB4B5B"/>
    <w:rsid w:val="00FB51BF"/>
    <w:rsid w:val="00FB5B0F"/>
    <w:rsid w:val="00FB5E26"/>
    <w:rsid w:val="00FB6851"/>
    <w:rsid w:val="00FB6911"/>
    <w:rsid w:val="00FB6AFC"/>
    <w:rsid w:val="00FB72DB"/>
    <w:rsid w:val="00FB75A7"/>
    <w:rsid w:val="00FB76B0"/>
    <w:rsid w:val="00FB77D6"/>
    <w:rsid w:val="00FB7FED"/>
    <w:rsid w:val="00FC031B"/>
    <w:rsid w:val="00FC0E9D"/>
    <w:rsid w:val="00FC12F8"/>
    <w:rsid w:val="00FC1368"/>
    <w:rsid w:val="00FC187D"/>
    <w:rsid w:val="00FC1CB0"/>
    <w:rsid w:val="00FC234D"/>
    <w:rsid w:val="00FC26C9"/>
    <w:rsid w:val="00FC2862"/>
    <w:rsid w:val="00FC2C7A"/>
    <w:rsid w:val="00FC2DCD"/>
    <w:rsid w:val="00FC3015"/>
    <w:rsid w:val="00FC322C"/>
    <w:rsid w:val="00FC3F82"/>
    <w:rsid w:val="00FC4075"/>
    <w:rsid w:val="00FC40E3"/>
    <w:rsid w:val="00FC453B"/>
    <w:rsid w:val="00FC459D"/>
    <w:rsid w:val="00FC4E97"/>
    <w:rsid w:val="00FC55D4"/>
    <w:rsid w:val="00FC5BD6"/>
    <w:rsid w:val="00FC632F"/>
    <w:rsid w:val="00FC7557"/>
    <w:rsid w:val="00FC7AF8"/>
    <w:rsid w:val="00FD04CF"/>
    <w:rsid w:val="00FD0ABE"/>
    <w:rsid w:val="00FD0C09"/>
    <w:rsid w:val="00FD0ECD"/>
    <w:rsid w:val="00FD1038"/>
    <w:rsid w:val="00FD122F"/>
    <w:rsid w:val="00FD1803"/>
    <w:rsid w:val="00FD1B5A"/>
    <w:rsid w:val="00FD20A3"/>
    <w:rsid w:val="00FD22A7"/>
    <w:rsid w:val="00FD25BE"/>
    <w:rsid w:val="00FD2751"/>
    <w:rsid w:val="00FD27FC"/>
    <w:rsid w:val="00FD350F"/>
    <w:rsid w:val="00FD36BF"/>
    <w:rsid w:val="00FD36DD"/>
    <w:rsid w:val="00FD3886"/>
    <w:rsid w:val="00FD3947"/>
    <w:rsid w:val="00FD3A3A"/>
    <w:rsid w:val="00FD3DFC"/>
    <w:rsid w:val="00FD426B"/>
    <w:rsid w:val="00FD43C9"/>
    <w:rsid w:val="00FD4881"/>
    <w:rsid w:val="00FD4FC9"/>
    <w:rsid w:val="00FD5669"/>
    <w:rsid w:val="00FD577B"/>
    <w:rsid w:val="00FD5CC4"/>
    <w:rsid w:val="00FD5D1E"/>
    <w:rsid w:val="00FD68BF"/>
    <w:rsid w:val="00FD6BE3"/>
    <w:rsid w:val="00FD709A"/>
    <w:rsid w:val="00FD7303"/>
    <w:rsid w:val="00FD75CB"/>
    <w:rsid w:val="00FD7A33"/>
    <w:rsid w:val="00FE01B1"/>
    <w:rsid w:val="00FE05CD"/>
    <w:rsid w:val="00FE099D"/>
    <w:rsid w:val="00FE0A8F"/>
    <w:rsid w:val="00FE0BF4"/>
    <w:rsid w:val="00FE0F6B"/>
    <w:rsid w:val="00FE113A"/>
    <w:rsid w:val="00FE11F8"/>
    <w:rsid w:val="00FE1C64"/>
    <w:rsid w:val="00FE21DD"/>
    <w:rsid w:val="00FE2368"/>
    <w:rsid w:val="00FE2A02"/>
    <w:rsid w:val="00FE2E92"/>
    <w:rsid w:val="00FE2FFF"/>
    <w:rsid w:val="00FE3024"/>
    <w:rsid w:val="00FE349E"/>
    <w:rsid w:val="00FE384A"/>
    <w:rsid w:val="00FE3E37"/>
    <w:rsid w:val="00FE3FBE"/>
    <w:rsid w:val="00FE428E"/>
    <w:rsid w:val="00FE429F"/>
    <w:rsid w:val="00FE436D"/>
    <w:rsid w:val="00FE4485"/>
    <w:rsid w:val="00FE4621"/>
    <w:rsid w:val="00FE4667"/>
    <w:rsid w:val="00FE54AE"/>
    <w:rsid w:val="00FE628B"/>
    <w:rsid w:val="00FE6626"/>
    <w:rsid w:val="00FE6D8E"/>
    <w:rsid w:val="00FE71A3"/>
    <w:rsid w:val="00FE7331"/>
    <w:rsid w:val="00FE792C"/>
    <w:rsid w:val="00FE7A98"/>
    <w:rsid w:val="00FF0177"/>
    <w:rsid w:val="00FF0746"/>
    <w:rsid w:val="00FF08DE"/>
    <w:rsid w:val="00FF0C5B"/>
    <w:rsid w:val="00FF107A"/>
    <w:rsid w:val="00FF114F"/>
    <w:rsid w:val="00FF1F96"/>
    <w:rsid w:val="00FF2BDF"/>
    <w:rsid w:val="00FF33DB"/>
    <w:rsid w:val="00FF37BF"/>
    <w:rsid w:val="00FF3E24"/>
    <w:rsid w:val="00FF4778"/>
    <w:rsid w:val="00FF4AD6"/>
    <w:rsid w:val="00FF4D7F"/>
    <w:rsid w:val="00FF5850"/>
    <w:rsid w:val="00FF5953"/>
    <w:rsid w:val="00FF5CB0"/>
    <w:rsid w:val="00FF5EF4"/>
    <w:rsid w:val="00FF6CAD"/>
    <w:rsid w:val="00FF7032"/>
    <w:rsid w:val="00FF73AD"/>
    <w:rsid w:val="00FF73CE"/>
    <w:rsid w:val="00FF752F"/>
    <w:rsid w:val="00FF7C05"/>
  </w:rsids>
  <m:mathPr>
    <m:mathFont m:val="Cambria Math"/>
    <m:brkBin m:val="before"/>
    <m:brkBinSub m:val="--"/>
    <m:smallFrac m:val="0"/>
    <m:dispDef/>
    <m:lMargin m:val="0"/>
    <m:rMargin m:val="0"/>
    <m:defJc m:val="centerGroup"/>
    <m:wrapIndent m:val="1440"/>
    <m:intLim m:val="subSup"/>
    <m:naryLim m:val="undOvr"/>
  </m:mathPr>
  <w:themeFontLang w:val="en-AU"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DF22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ja-JP"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61"/>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4" w:uiPriority="44"/>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5EC0"/>
    <w:rPr>
      <w:rFonts w:eastAsia="Times New Roman" w:cs="Times New Roman"/>
      <w:sz w:val="23"/>
      <w:szCs w:val="24"/>
      <w:lang w:val="en-GB" w:eastAsia="en-AU"/>
    </w:rPr>
  </w:style>
  <w:style w:type="paragraph" w:styleId="Heading1">
    <w:name w:val="heading 1"/>
    <w:basedOn w:val="Normal"/>
    <w:next w:val="Normal"/>
    <w:link w:val="Heading1Char"/>
    <w:uiPriority w:val="99"/>
    <w:qFormat/>
    <w:rsid w:val="009021AB"/>
    <w:pPr>
      <w:keepNext/>
      <w:spacing w:before="240"/>
      <w:ind w:left="709" w:hanging="709"/>
      <w:outlineLvl w:val="0"/>
    </w:pPr>
    <w:rPr>
      <w:rFonts w:eastAsiaTheme="minorEastAsia"/>
      <w:b/>
      <w:color w:val="00323E" w:themeColor="accent1" w:themeShade="80"/>
      <w:kern w:val="32"/>
      <w:sz w:val="27"/>
      <w:szCs w:val="22"/>
      <w:lang w:val="en-US" w:eastAsia="en-US"/>
    </w:rPr>
  </w:style>
  <w:style w:type="paragraph" w:styleId="Heading2">
    <w:name w:val="heading 2"/>
    <w:basedOn w:val="Normal"/>
    <w:next w:val="Normal"/>
    <w:link w:val="Heading2Char"/>
    <w:uiPriority w:val="9"/>
    <w:unhideWhenUsed/>
    <w:qFormat/>
    <w:rsid w:val="000C05A7"/>
    <w:pPr>
      <w:keepNext/>
      <w:keepLines/>
      <w:spacing w:before="200"/>
      <w:outlineLvl w:val="1"/>
    </w:pPr>
    <w:rPr>
      <w:rFonts w:asciiTheme="majorHAnsi" w:eastAsiaTheme="majorEastAsia" w:hAnsiTheme="majorHAnsi" w:cstheme="majorBidi"/>
      <w:b/>
      <w:bCs/>
      <w:color w:val="00667C" w:themeColor="accent1"/>
      <w:sz w:val="26"/>
      <w:szCs w:val="26"/>
    </w:rPr>
  </w:style>
  <w:style w:type="paragraph" w:styleId="Heading3">
    <w:name w:val="heading 3"/>
    <w:basedOn w:val="Normal"/>
    <w:next w:val="Normal"/>
    <w:link w:val="Heading3Char"/>
    <w:uiPriority w:val="9"/>
    <w:unhideWhenUsed/>
    <w:qFormat/>
    <w:rsid w:val="00B13F11"/>
    <w:pPr>
      <w:keepNext/>
      <w:keepLines/>
      <w:spacing w:before="40"/>
      <w:outlineLvl w:val="2"/>
    </w:pPr>
    <w:rPr>
      <w:rFonts w:asciiTheme="majorHAnsi" w:eastAsiaTheme="majorEastAsia" w:hAnsiTheme="majorHAnsi" w:cstheme="majorBidi"/>
      <w:color w:val="00323D" w:themeColor="accent1" w:themeShade="7F"/>
      <w:sz w:val="24"/>
    </w:rPr>
  </w:style>
  <w:style w:type="paragraph" w:styleId="Heading4">
    <w:name w:val="heading 4"/>
    <w:basedOn w:val="Normal"/>
    <w:next w:val="Normal"/>
    <w:link w:val="Heading4Char"/>
    <w:uiPriority w:val="9"/>
    <w:semiHidden/>
    <w:unhideWhenUsed/>
    <w:qFormat/>
    <w:rsid w:val="006E12FB"/>
    <w:pPr>
      <w:keepNext/>
      <w:keepLines/>
      <w:spacing w:before="40"/>
      <w:outlineLvl w:val="3"/>
    </w:pPr>
    <w:rPr>
      <w:rFonts w:asciiTheme="majorHAnsi" w:eastAsiaTheme="majorEastAsia" w:hAnsiTheme="majorHAnsi" w:cstheme="majorBidi"/>
      <w:i/>
      <w:iCs/>
      <w:color w:val="004B5C"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9021AB"/>
    <w:rPr>
      <w:rFonts w:cs="Times New Roman"/>
      <w:b/>
      <w:color w:val="00323E" w:themeColor="accent1" w:themeShade="80"/>
      <w:kern w:val="32"/>
      <w:sz w:val="27"/>
      <w:lang w:val="en-US" w:eastAsia="en-US"/>
    </w:rPr>
  </w:style>
  <w:style w:type="character" w:customStyle="1" w:styleId="Heading2Char">
    <w:name w:val="Heading 2 Char"/>
    <w:basedOn w:val="DefaultParagraphFont"/>
    <w:link w:val="Heading2"/>
    <w:uiPriority w:val="9"/>
    <w:rsid w:val="000C05A7"/>
    <w:rPr>
      <w:rFonts w:asciiTheme="majorHAnsi" w:eastAsiaTheme="majorEastAsia" w:hAnsiTheme="majorHAnsi" w:cstheme="majorBidi"/>
      <w:b/>
      <w:bCs/>
      <w:color w:val="00667C" w:themeColor="accent1"/>
      <w:sz w:val="26"/>
      <w:szCs w:val="26"/>
      <w:lang w:eastAsia="en-AU"/>
    </w:rPr>
  </w:style>
  <w:style w:type="character" w:customStyle="1" w:styleId="Heading3Char">
    <w:name w:val="Heading 3 Char"/>
    <w:basedOn w:val="DefaultParagraphFont"/>
    <w:link w:val="Heading3"/>
    <w:uiPriority w:val="9"/>
    <w:rsid w:val="00B13F11"/>
    <w:rPr>
      <w:rFonts w:asciiTheme="majorHAnsi" w:eastAsiaTheme="majorEastAsia" w:hAnsiTheme="majorHAnsi" w:cstheme="majorBidi"/>
      <w:color w:val="00323D" w:themeColor="accent1" w:themeShade="7F"/>
      <w:sz w:val="24"/>
      <w:szCs w:val="24"/>
      <w:lang w:eastAsia="en-AU"/>
    </w:rPr>
  </w:style>
  <w:style w:type="character" w:customStyle="1" w:styleId="Heading4Char">
    <w:name w:val="Heading 4 Char"/>
    <w:basedOn w:val="DefaultParagraphFont"/>
    <w:link w:val="Heading4"/>
    <w:uiPriority w:val="9"/>
    <w:rsid w:val="006E12FB"/>
    <w:rPr>
      <w:rFonts w:asciiTheme="majorHAnsi" w:eastAsiaTheme="majorEastAsia" w:hAnsiTheme="majorHAnsi" w:cstheme="majorBidi"/>
      <w:i/>
      <w:iCs/>
      <w:color w:val="004B5C" w:themeColor="accent1" w:themeShade="BF"/>
      <w:sz w:val="23"/>
      <w:szCs w:val="24"/>
      <w:lang w:eastAsia="en-AU"/>
    </w:rPr>
  </w:style>
  <w:style w:type="paragraph" w:styleId="Header">
    <w:name w:val="header"/>
    <w:basedOn w:val="Normal"/>
    <w:link w:val="HeaderChar"/>
    <w:uiPriority w:val="99"/>
    <w:unhideWhenUsed/>
    <w:rsid w:val="00181670"/>
    <w:pPr>
      <w:tabs>
        <w:tab w:val="center" w:pos="4513"/>
        <w:tab w:val="right" w:pos="9026"/>
      </w:tabs>
    </w:pPr>
  </w:style>
  <w:style w:type="character" w:customStyle="1" w:styleId="HeaderChar">
    <w:name w:val="Header Char"/>
    <w:basedOn w:val="DefaultParagraphFont"/>
    <w:link w:val="Header"/>
    <w:uiPriority w:val="99"/>
    <w:rsid w:val="00181670"/>
    <w:rPr>
      <w:rFonts w:ascii="Arial Narrow" w:eastAsia="Times New Roman" w:hAnsi="Arial Narrow" w:cs="Times New Roman"/>
      <w:sz w:val="24"/>
      <w:szCs w:val="24"/>
      <w:lang w:eastAsia="en-AU"/>
    </w:rPr>
  </w:style>
  <w:style w:type="character" w:styleId="CommentReference">
    <w:name w:val="annotation reference"/>
    <w:basedOn w:val="DefaultParagraphFont"/>
    <w:uiPriority w:val="99"/>
    <w:unhideWhenUsed/>
    <w:rsid w:val="00181670"/>
    <w:rPr>
      <w:sz w:val="16"/>
      <w:szCs w:val="16"/>
    </w:rPr>
  </w:style>
  <w:style w:type="paragraph" w:styleId="CommentText">
    <w:name w:val="annotation text"/>
    <w:basedOn w:val="Normal"/>
    <w:link w:val="CommentTextChar"/>
    <w:uiPriority w:val="99"/>
    <w:unhideWhenUsed/>
    <w:rsid w:val="00181670"/>
    <w:rPr>
      <w:rFonts w:ascii="Arial" w:hAnsi="Arial" w:cs="Arial"/>
      <w:sz w:val="20"/>
      <w:szCs w:val="20"/>
    </w:rPr>
  </w:style>
  <w:style w:type="character" w:customStyle="1" w:styleId="CommentTextChar">
    <w:name w:val="Comment Text Char"/>
    <w:basedOn w:val="DefaultParagraphFont"/>
    <w:link w:val="CommentText"/>
    <w:uiPriority w:val="99"/>
    <w:rsid w:val="00181670"/>
    <w:rPr>
      <w:rFonts w:ascii="Arial" w:eastAsia="Times New Roman" w:hAnsi="Arial" w:cs="Arial"/>
      <w:sz w:val="20"/>
      <w:szCs w:val="20"/>
      <w:lang w:eastAsia="en-AU"/>
    </w:rPr>
  </w:style>
  <w:style w:type="table" w:styleId="MediumList2-Accent1">
    <w:name w:val="Medium List 2 Accent 1"/>
    <w:basedOn w:val="TableNormal"/>
    <w:uiPriority w:val="66"/>
    <w:rsid w:val="00181670"/>
    <w:rPr>
      <w:rFonts w:asciiTheme="majorHAnsi" w:eastAsiaTheme="majorEastAsia" w:hAnsiTheme="majorHAnsi" w:cstheme="majorBidi"/>
      <w:color w:val="000000" w:themeColor="text1"/>
      <w:lang w:eastAsia="en-AU"/>
    </w:rPr>
    <w:tblPr>
      <w:tblStyleRowBandSize w:val="1"/>
      <w:tblStyleColBandSize w:val="1"/>
      <w:tblBorders>
        <w:top w:val="single" w:sz="8" w:space="0" w:color="00667C" w:themeColor="accent1"/>
        <w:left w:val="single" w:sz="8" w:space="0" w:color="00667C" w:themeColor="accent1"/>
        <w:bottom w:val="single" w:sz="8" w:space="0" w:color="00667C" w:themeColor="accent1"/>
        <w:right w:val="single" w:sz="8" w:space="0" w:color="00667C" w:themeColor="accent1"/>
      </w:tblBorders>
    </w:tblPr>
    <w:tblStylePr w:type="firstRow">
      <w:rPr>
        <w:sz w:val="24"/>
        <w:szCs w:val="24"/>
      </w:rPr>
      <w:tblPr/>
      <w:tcPr>
        <w:tcBorders>
          <w:top w:val="nil"/>
          <w:left w:val="nil"/>
          <w:bottom w:val="single" w:sz="24" w:space="0" w:color="00667C" w:themeColor="accent1"/>
          <w:right w:val="nil"/>
          <w:insideH w:val="nil"/>
          <w:insideV w:val="nil"/>
        </w:tcBorders>
        <w:shd w:val="clear" w:color="auto" w:fill="FFFFFF" w:themeFill="background1"/>
      </w:tcPr>
    </w:tblStylePr>
    <w:tblStylePr w:type="lastRow">
      <w:tblPr/>
      <w:tcPr>
        <w:tcBorders>
          <w:top w:val="single" w:sz="8" w:space="0" w:color="00667C"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667C" w:themeColor="accent1"/>
          <w:insideH w:val="nil"/>
          <w:insideV w:val="nil"/>
        </w:tcBorders>
        <w:shd w:val="clear" w:color="auto" w:fill="FFFFFF" w:themeFill="background1"/>
      </w:tcPr>
    </w:tblStylePr>
    <w:tblStylePr w:type="lastCol">
      <w:tblPr/>
      <w:tcPr>
        <w:tcBorders>
          <w:top w:val="nil"/>
          <w:left w:val="single" w:sz="8" w:space="0" w:color="00667C"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EDFF" w:themeFill="accent1" w:themeFillTint="3F"/>
      </w:tcPr>
    </w:tblStylePr>
    <w:tblStylePr w:type="band1Horz">
      <w:tblPr/>
      <w:tcPr>
        <w:tcBorders>
          <w:top w:val="nil"/>
          <w:bottom w:val="nil"/>
          <w:insideH w:val="nil"/>
          <w:insideV w:val="nil"/>
        </w:tcBorders>
        <w:shd w:val="clear" w:color="auto" w:fill="9FED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le-normal-text">
    <w:name w:val="Table-normal-text"/>
    <w:basedOn w:val="Normal"/>
    <w:rsid w:val="00181670"/>
    <w:pPr>
      <w:spacing w:line="288" w:lineRule="auto"/>
    </w:pPr>
    <w:rPr>
      <w:rFonts w:ascii="Arial" w:hAnsi="Arial"/>
      <w:sz w:val="18"/>
      <w:lang w:eastAsia="en-US"/>
    </w:rPr>
  </w:style>
  <w:style w:type="paragraph" w:styleId="FootnoteText">
    <w:name w:val="footnote text"/>
    <w:aliases w:val="Footnote Text Char1 Char,Footnote Text Char Char Char,Footnote Text Char Char,Footnote Text Char1 Char Char Char Char,Footnote Text Char Char1,single space,Footnote Text Char Char Char1,Footnote Text1,FOOTNOTES,fn,ft,Footnote Text Char1"/>
    <w:basedOn w:val="Normal"/>
    <w:link w:val="FootnoteTextChar"/>
    <w:uiPriority w:val="99"/>
    <w:unhideWhenUsed/>
    <w:rsid w:val="00181670"/>
    <w:rPr>
      <w:sz w:val="20"/>
      <w:szCs w:val="20"/>
    </w:rPr>
  </w:style>
  <w:style w:type="character" w:customStyle="1" w:styleId="FootnoteTextChar">
    <w:name w:val="Footnote Text Char"/>
    <w:aliases w:val="Footnote Text Char1 Char Char,Footnote Text Char Char Char Char,Footnote Text Char Char Char2,Footnote Text Char1 Char Char Char Char Char,Footnote Text Char Char1 Char,single space Char,Footnote Text Char Char Char1 Char,fn Char"/>
    <w:basedOn w:val="DefaultParagraphFont"/>
    <w:link w:val="FootnoteText"/>
    <w:uiPriority w:val="99"/>
    <w:rsid w:val="00181670"/>
    <w:rPr>
      <w:rFonts w:ascii="Arial Narrow" w:eastAsia="Times New Roman" w:hAnsi="Arial Narrow" w:cs="Times New Roman"/>
      <w:sz w:val="20"/>
      <w:szCs w:val="20"/>
      <w:lang w:eastAsia="en-AU"/>
    </w:rPr>
  </w:style>
  <w:style w:type="character" w:styleId="FootnoteReference">
    <w:name w:val="footnote reference"/>
    <w:aliases w:val="BVI fnr,ftref,Footnote text,Footnotes refss,Ref,de nota al pie,footnote ref,16 Point,Superscript 6 Point, BVI fnr"/>
    <w:basedOn w:val="DefaultParagraphFont"/>
    <w:uiPriority w:val="99"/>
    <w:unhideWhenUsed/>
    <w:rsid w:val="00181670"/>
    <w:rPr>
      <w:vertAlign w:val="superscript"/>
    </w:rPr>
  </w:style>
  <w:style w:type="paragraph" w:styleId="BalloonText">
    <w:name w:val="Balloon Text"/>
    <w:basedOn w:val="Normal"/>
    <w:link w:val="BalloonTextChar"/>
    <w:uiPriority w:val="99"/>
    <w:semiHidden/>
    <w:unhideWhenUsed/>
    <w:rsid w:val="0018167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1670"/>
    <w:rPr>
      <w:rFonts w:ascii="Segoe UI" w:eastAsia="Times New Roman" w:hAnsi="Segoe UI" w:cs="Segoe UI"/>
      <w:sz w:val="18"/>
      <w:szCs w:val="18"/>
      <w:lang w:eastAsia="en-AU"/>
    </w:rPr>
  </w:style>
  <w:style w:type="paragraph" w:styleId="Footer">
    <w:name w:val="footer"/>
    <w:basedOn w:val="Normal"/>
    <w:link w:val="FooterChar"/>
    <w:uiPriority w:val="99"/>
    <w:unhideWhenUsed/>
    <w:rsid w:val="00181670"/>
    <w:pPr>
      <w:tabs>
        <w:tab w:val="center" w:pos="4513"/>
        <w:tab w:val="right" w:pos="9026"/>
      </w:tabs>
    </w:pPr>
  </w:style>
  <w:style w:type="character" w:customStyle="1" w:styleId="FooterChar">
    <w:name w:val="Footer Char"/>
    <w:basedOn w:val="DefaultParagraphFont"/>
    <w:link w:val="Footer"/>
    <w:uiPriority w:val="99"/>
    <w:rsid w:val="00181670"/>
    <w:rPr>
      <w:rFonts w:ascii="Arial Narrow" w:eastAsia="Times New Roman" w:hAnsi="Arial Narrow" w:cs="Times New Roman"/>
      <w:sz w:val="24"/>
      <w:szCs w:val="24"/>
      <w:lang w:eastAsia="en-AU"/>
    </w:rPr>
  </w:style>
  <w:style w:type="paragraph" w:styleId="CommentSubject">
    <w:name w:val="annotation subject"/>
    <w:basedOn w:val="CommentText"/>
    <w:next w:val="CommentText"/>
    <w:link w:val="CommentSubjectChar"/>
    <w:uiPriority w:val="99"/>
    <w:semiHidden/>
    <w:unhideWhenUsed/>
    <w:rsid w:val="00CC6CA2"/>
    <w:rPr>
      <w:rFonts w:ascii="Arial Narrow" w:hAnsi="Arial Narrow" w:cs="Times New Roman"/>
      <w:b/>
      <w:bCs/>
    </w:rPr>
  </w:style>
  <w:style w:type="character" w:customStyle="1" w:styleId="CommentSubjectChar">
    <w:name w:val="Comment Subject Char"/>
    <w:basedOn w:val="CommentTextChar"/>
    <w:link w:val="CommentSubject"/>
    <w:uiPriority w:val="99"/>
    <w:semiHidden/>
    <w:rsid w:val="00CC6CA2"/>
    <w:rPr>
      <w:rFonts w:ascii="Arial Narrow" w:eastAsia="Times New Roman" w:hAnsi="Arial Narrow" w:cs="Times New Roman"/>
      <w:b/>
      <w:bCs/>
      <w:sz w:val="20"/>
      <w:szCs w:val="20"/>
      <w:lang w:eastAsia="en-AU"/>
    </w:rPr>
  </w:style>
  <w:style w:type="paragraph" w:styleId="TOC1">
    <w:name w:val="toc 1"/>
    <w:basedOn w:val="Normal"/>
    <w:next w:val="Normal"/>
    <w:autoRedefine/>
    <w:uiPriority w:val="39"/>
    <w:rsid w:val="008B2EA3"/>
    <w:pPr>
      <w:tabs>
        <w:tab w:val="left" w:pos="660"/>
        <w:tab w:val="right" w:leader="dot" w:pos="9117"/>
      </w:tabs>
    </w:pPr>
    <w:rPr>
      <w:rFonts w:ascii="Arial Narrow" w:hAnsi="Arial Narrow"/>
      <w:sz w:val="24"/>
    </w:rPr>
  </w:style>
  <w:style w:type="character" w:customStyle="1" w:styleId="NormalWebChar">
    <w:name w:val="Normal (Web) Char"/>
    <w:link w:val="NormalWeb"/>
    <w:uiPriority w:val="99"/>
    <w:locked/>
    <w:rsid w:val="00256DA8"/>
    <w:rPr>
      <w:sz w:val="24"/>
      <w:szCs w:val="24"/>
      <w:lang w:val="en-GB" w:eastAsia="en-GB"/>
    </w:rPr>
  </w:style>
  <w:style w:type="paragraph" w:styleId="NormalWeb">
    <w:name w:val="Normal (Web)"/>
    <w:basedOn w:val="Normal"/>
    <w:link w:val="NormalWebChar"/>
    <w:uiPriority w:val="99"/>
    <w:unhideWhenUsed/>
    <w:rsid w:val="00256DA8"/>
    <w:pPr>
      <w:spacing w:before="100" w:beforeAutospacing="1" w:after="100" w:afterAutospacing="1"/>
    </w:pPr>
    <w:rPr>
      <w:rFonts w:eastAsiaTheme="minorEastAsia" w:cstheme="minorBidi"/>
      <w:sz w:val="24"/>
      <w:lang w:eastAsia="en-GB"/>
    </w:rPr>
  </w:style>
  <w:style w:type="paragraph" w:styleId="ListParagraph">
    <w:name w:val="List Paragraph"/>
    <w:aliases w:val="Rec para,Dot pt,F5 List Paragraph,No Spacing1,List Paragraph Char Char Char,Indicator Text,Numbered Para 1,Colorful List - Accent 11,Bullet 1,MAIN CONTENT,List Paragraph12,List Paragraph2,Normal numbered,OBC Bullet,L,List Paragraph1"/>
    <w:basedOn w:val="Normal"/>
    <w:link w:val="ListParagraphChar"/>
    <w:uiPriority w:val="34"/>
    <w:qFormat/>
    <w:rsid w:val="00256DA8"/>
    <w:pPr>
      <w:ind w:left="720"/>
      <w:contextualSpacing/>
    </w:pPr>
    <w:rPr>
      <w:rFonts w:ascii="Calibri" w:hAnsi="Calibri"/>
      <w:sz w:val="22"/>
      <w:szCs w:val="20"/>
    </w:rPr>
  </w:style>
  <w:style w:type="character" w:customStyle="1" w:styleId="ListParagraphChar">
    <w:name w:val="List Paragraph Char"/>
    <w:aliases w:val="Rec para Char,Dot pt Char,F5 List Paragraph Char,No Spacing1 Char,List Paragraph Char Char Char Char,Indicator Text Char,Numbered Para 1 Char,Colorful List - Accent 11 Char,Bullet 1 Char,MAIN CONTENT Char,List Paragraph12 Char,L Char"/>
    <w:link w:val="ListParagraph"/>
    <w:locked/>
    <w:rsid w:val="00970B05"/>
    <w:rPr>
      <w:rFonts w:ascii="Calibri" w:eastAsia="Times New Roman" w:hAnsi="Calibri" w:cs="Times New Roman"/>
      <w:szCs w:val="20"/>
      <w:lang w:eastAsia="en-AU"/>
    </w:rPr>
  </w:style>
  <w:style w:type="table" w:styleId="TableGrid">
    <w:name w:val="Table Grid"/>
    <w:basedOn w:val="TableNormal"/>
    <w:uiPriority w:val="39"/>
    <w:rsid w:val="000F4391"/>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D5819"/>
    <w:rPr>
      <w:color w:val="0000FF" w:themeColor="hyperlink"/>
      <w:u w:val="single"/>
    </w:rPr>
  </w:style>
  <w:style w:type="paragraph" w:styleId="BodyText">
    <w:name w:val="Body Text"/>
    <w:basedOn w:val="Normal"/>
    <w:link w:val="BodyTextChar"/>
    <w:uiPriority w:val="99"/>
    <w:unhideWhenUsed/>
    <w:rsid w:val="00815DED"/>
    <w:pPr>
      <w:spacing w:after="120"/>
    </w:pPr>
  </w:style>
  <w:style w:type="character" w:customStyle="1" w:styleId="BodyTextChar">
    <w:name w:val="Body Text Char"/>
    <w:basedOn w:val="DefaultParagraphFont"/>
    <w:link w:val="BodyText"/>
    <w:uiPriority w:val="99"/>
    <w:rsid w:val="00815DED"/>
    <w:rPr>
      <w:rFonts w:eastAsia="Times New Roman" w:cs="Times New Roman"/>
      <w:sz w:val="23"/>
      <w:szCs w:val="24"/>
      <w:lang w:val="en-GB" w:eastAsia="en-AU"/>
    </w:rPr>
  </w:style>
  <w:style w:type="paragraph" w:styleId="BodyText2">
    <w:name w:val="Body Text 2"/>
    <w:basedOn w:val="Normal"/>
    <w:link w:val="BodyText2Char"/>
    <w:uiPriority w:val="99"/>
    <w:semiHidden/>
    <w:unhideWhenUsed/>
    <w:rsid w:val="00D76A84"/>
    <w:pPr>
      <w:spacing w:after="120" w:line="480" w:lineRule="auto"/>
    </w:pPr>
  </w:style>
  <w:style w:type="character" w:customStyle="1" w:styleId="BodyText2Char">
    <w:name w:val="Body Text 2 Char"/>
    <w:basedOn w:val="DefaultParagraphFont"/>
    <w:link w:val="BodyText2"/>
    <w:uiPriority w:val="99"/>
    <w:semiHidden/>
    <w:rsid w:val="00D76A84"/>
    <w:rPr>
      <w:rFonts w:eastAsia="Times New Roman" w:cs="Times New Roman"/>
      <w:sz w:val="23"/>
      <w:szCs w:val="24"/>
      <w:lang w:eastAsia="en-AU"/>
    </w:rPr>
  </w:style>
  <w:style w:type="character" w:customStyle="1" w:styleId="FootnoteTextChar3">
    <w:name w:val="Footnote Text Char3"/>
    <w:aliases w:val="Footnote Text Char1 Char Char2,Footnote Text Char Char Char Char2,Footnote Text Char1 Char3,Footnote Text Char1 Char Char Char Char Char2,Footnote Text Char Char1 Char2,single space Char1,Footnote Text Char Char Char1 Char1"/>
    <w:rsid w:val="00D76A84"/>
    <w:rPr>
      <w:rFonts w:ascii="Arial Narrow" w:hAnsi="Arial Narrow"/>
      <w:sz w:val="18"/>
      <w:szCs w:val="18"/>
    </w:rPr>
  </w:style>
  <w:style w:type="paragraph" w:styleId="TOCHeading">
    <w:name w:val="TOC Heading"/>
    <w:basedOn w:val="Heading1"/>
    <w:next w:val="Normal"/>
    <w:uiPriority w:val="39"/>
    <w:unhideWhenUsed/>
    <w:qFormat/>
    <w:rsid w:val="00301B23"/>
    <w:pPr>
      <w:keepLines/>
      <w:spacing w:before="480" w:line="276" w:lineRule="auto"/>
      <w:ind w:left="0" w:firstLine="0"/>
      <w:outlineLvl w:val="9"/>
    </w:pPr>
    <w:rPr>
      <w:rFonts w:asciiTheme="majorHAnsi" w:eastAsiaTheme="majorEastAsia" w:hAnsiTheme="majorHAnsi" w:cstheme="majorBidi"/>
      <w:bCs/>
      <w:color w:val="004B5C" w:themeColor="accent1" w:themeShade="BF"/>
      <w:kern w:val="0"/>
      <w:sz w:val="28"/>
      <w:szCs w:val="28"/>
      <w:lang w:eastAsia="ja-JP"/>
    </w:rPr>
  </w:style>
  <w:style w:type="paragraph" w:styleId="TOC2">
    <w:name w:val="toc 2"/>
    <w:basedOn w:val="Normal"/>
    <w:next w:val="Normal"/>
    <w:autoRedefine/>
    <w:uiPriority w:val="39"/>
    <w:unhideWhenUsed/>
    <w:rsid w:val="00D97F4D"/>
    <w:pPr>
      <w:tabs>
        <w:tab w:val="left" w:pos="709"/>
        <w:tab w:val="right" w:leader="dot" w:pos="9117"/>
      </w:tabs>
      <w:spacing w:after="100"/>
    </w:pPr>
    <w:rPr>
      <w:rFonts w:ascii="Calibri" w:hAnsi="Calibri" w:cstheme="minorHAnsi"/>
      <w:b/>
      <w:bCs/>
      <w:noProof/>
      <w:color w:val="004B5C" w:themeColor="accent1" w:themeShade="BF"/>
      <w:sz w:val="28"/>
      <w:szCs w:val="23"/>
      <w:lang w:val="en-AU"/>
    </w:rPr>
  </w:style>
  <w:style w:type="paragraph" w:styleId="Revision">
    <w:name w:val="Revision"/>
    <w:hidden/>
    <w:uiPriority w:val="99"/>
    <w:semiHidden/>
    <w:rsid w:val="005A4E18"/>
    <w:rPr>
      <w:rFonts w:eastAsia="Times New Roman" w:cs="Times New Roman"/>
      <w:sz w:val="23"/>
      <w:szCs w:val="24"/>
      <w:lang w:eastAsia="en-AU"/>
    </w:rPr>
  </w:style>
  <w:style w:type="paragraph" w:customStyle="1" w:styleId="m8355881287905317645msolistparagraph">
    <w:name w:val="m_8355881287905317645msolistparagraph"/>
    <w:basedOn w:val="Normal"/>
    <w:rsid w:val="003048C6"/>
    <w:pPr>
      <w:spacing w:before="100" w:beforeAutospacing="1" w:after="100" w:afterAutospacing="1"/>
    </w:pPr>
    <w:rPr>
      <w:rFonts w:ascii="Times New Roman" w:eastAsiaTheme="minorHAnsi" w:hAnsi="Times New Roman"/>
      <w:sz w:val="24"/>
    </w:rPr>
  </w:style>
  <w:style w:type="table" w:styleId="LightShading-Accent1">
    <w:name w:val="Light Shading Accent 1"/>
    <w:basedOn w:val="TableNormal"/>
    <w:uiPriority w:val="60"/>
    <w:rsid w:val="005146E7"/>
    <w:rPr>
      <w:color w:val="004B5C" w:themeColor="accent1" w:themeShade="BF"/>
      <w:sz w:val="24"/>
      <w:szCs w:val="24"/>
      <w:lang w:val="en-GB" w:eastAsia="en-US"/>
    </w:rPr>
    <w:tblPr>
      <w:tblStyleRowBandSize w:val="1"/>
      <w:tblStyleColBandSize w:val="1"/>
      <w:tblBorders>
        <w:top w:val="single" w:sz="8" w:space="0" w:color="00667C" w:themeColor="accent1"/>
        <w:bottom w:val="single" w:sz="8" w:space="0" w:color="00667C" w:themeColor="accent1"/>
      </w:tblBorders>
    </w:tblPr>
    <w:tblStylePr w:type="firstRow">
      <w:pPr>
        <w:spacing w:before="0" w:after="0" w:line="240" w:lineRule="auto"/>
      </w:pPr>
      <w:rPr>
        <w:b/>
        <w:bCs/>
      </w:rPr>
      <w:tblPr/>
      <w:tcPr>
        <w:tcBorders>
          <w:top w:val="single" w:sz="8" w:space="0" w:color="00667C" w:themeColor="accent1"/>
          <w:left w:val="nil"/>
          <w:bottom w:val="single" w:sz="8" w:space="0" w:color="00667C" w:themeColor="accent1"/>
          <w:right w:val="nil"/>
          <w:insideH w:val="nil"/>
          <w:insideV w:val="nil"/>
        </w:tcBorders>
      </w:tcPr>
    </w:tblStylePr>
    <w:tblStylePr w:type="lastRow">
      <w:pPr>
        <w:spacing w:before="0" w:after="0" w:line="240" w:lineRule="auto"/>
      </w:pPr>
      <w:rPr>
        <w:b/>
        <w:bCs/>
      </w:rPr>
      <w:tblPr/>
      <w:tcPr>
        <w:tcBorders>
          <w:top w:val="single" w:sz="8" w:space="0" w:color="00667C" w:themeColor="accent1"/>
          <w:left w:val="nil"/>
          <w:bottom w:val="single" w:sz="8" w:space="0" w:color="00667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EDFF" w:themeFill="accent1" w:themeFillTint="3F"/>
      </w:tcPr>
    </w:tblStylePr>
    <w:tblStylePr w:type="band1Horz">
      <w:tblPr/>
      <w:tcPr>
        <w:tcBorders>
          <w:left w:val="nil"/>
          <w:right w:val="nil"/>
          <w:insideH w:val="nil"/>
          <w:insideV w:val="nil"/>
        </w:tcBorders>
        <w:shd w:val="clear" w:color="auto" w:fill="9FEDFF" w:themeFill="accent1" w:themeFillTint="3F"/>
      </w:tcPr>
    </w:tblStylePr>
  </w:style>
  <w:style w:type="character" w:customStyle="1" w:styleId="EndnoteTextChar">
    <w:name w:val="Endnote Text Char"/>
    <w:basedOn w:val="DefaultParagraphFont"/>
    <w:link w:val="EndnoteText"/>
    <w:uiPriority w:val="99"/>
    <w:semiHidden/>
    <w:rsid w:val="009D6F09"/>
    <w:rPr>
      <w:rFonts w:eastAsiaTheme="minorHAnsi"/>
      <w:sz w:val="20"/>
      <w:szCs w:val="20"/>
      <w:lang w:eastAsia="en-US"/>
    </w:rPr>
  </w:style>
  <w:style w:type="paragraph" w:styleId="EndnoteText">
    <w:name w:val="endnote text"/>
    <w:basedOn w:val="Normal"/>
    <w:link w:val="EndnoteTextChar"/>
    <w:uiPriority w:val="99"/>
    <w:semiHidden/>
    <w:unhideWhenUsed/>
    <w:rsid w:val="009D6F09"/>
    <w:rPr>
      <w:rFonts w:eastAsiaTheme="minorHAnsi" w:cstheme="minorBidi"/>
      <w:sz w:val="20"/>
      <w:szCs w:val="20"/>
      <w:lang w:eastAsia="en-US"/>
    </w:rPr>
  </w:style>
  <w:style w:type="character" w:customStyle="1" w:styleId="EndnoteTextChar1">
    <w:name w:val="Endnote Text Char1"/>
    <w:basedOn w:val="DefaultParagraphFont"/>
    <w:uiPriority w:val="99"/>
    <w:semiHidden/>
    <w:rsid w:val="009D6F09"/>
    <w:rPr>
      <w:rFonts w:eastAsia="Times New Roman" w:cs="Times New Roman"/>
      <w:sz w:val="20"/>
      <w:szCs w:val="20"/>
      <w:lang w:eastAsia="en-AU"/>
    </w:rPr>
  </w:style>
  <w:style w:type="character" w:styleId="EndnoteReference">
    <w:name w:val="endnote reference"/>
    <w:basedOn w:val="DefaultParagraphFont"/>
    <w:uiPriority w:val="99"/>
    <w:semiHidden/>
    <w:unhideWhenUsed/>
    <w:rsid w:val="009D6F09"/>
    <w:rPr>
      <w:vertAlign w:val="superscript"/>
    </w:rPr>
  </w:style>
  <w:style w:type="character" w:styleId="Emphasis">
    <w:name w:val="Emphasis"/>
    <w:basedOn w:val="DefaultParagraphFont"/>
    <w:uiPriority w:val="20"/>
    <w:qFormat/>
    <w:rsid w:val="00DD5AC4"/>
    <w:rPr>
      <w:i/>
      <w:iCs/>
    </w:rPr>
  </w:style>
  <w:style w:type="paragraph" w:customStyle="1" w:styleId="TableHeading">
    <w:name w:val="Table Heading"/>
    <w:basedOn w:val="BodyText"/>
    <w:rsid w:val="003131F8"/>
    <w:pPr>
      <w:spacing w:after="0" w:line="276" w:lineRule="auto"/>
    </w:pPr>
    <w:rPr>
      <w:rFonts w:ascii="Verdana" w:hAnsi="Verdana"/>
      <w:b/>
      <w:sz w:val="18"/>
      <w:lang w:val="en-NZ" w:eastAsia="en-US" w:bidi="ar-DZ"/>
    </w:rPr>
  </w:style>
  <w:style w:type="paragraph" w:styleId="ListBullet">
    <w:name w:val="List Bullet"/>
    <w:basedOn w:val="BodyText"/>
    <w:link w:val="ListBulletChar"/>
    <w:uiPriority w:val="99"/>
    <w:rsid w:val="00810A48"/>
    <w:pPr>
      <w:numPr>
        <w:numId w:val="1"/>
      </w:numPr>
      <w:spacing w:after="0" w:line="288" w:lineRule="auto"/>
    </w:pPr>
    <w:rPr>
      <w:rFonts w:ascii="Verdana" w:hAnsi="Verdana"/>
      <w:sz w:val="20"/>
      <w:lang w:val="en-NZ" w:eastAsia="en-US" w:bidi="ar-DZ"/>
    </w:rPr>
  </w:style>
  <w:style w:type="character" w:customStyle="1" w:styleId="ListBulletChar">
    <w:name w:val="List Bullet Char"/>
    <w:link w:val="ListBullet"/>
    <w:uiPriority w:val="99"/>
    <w:rsid w:val="00810A48"/>
    <w:rPr>
      <w:rFonts w:ascii="Verdana" w:eastAsia="Times New Roman" w:hAnsi="Verdana" w:cs="Times New Roman"/>
      <w:sz w:val="20"/>
      <w:szCs w:val="24"/>
      <w:lang w:val="en-NZ" w:eastAsia="en-US" w:bidi="ar-DZ"/>
    </w:rPr>
  </w:style>
  <w:style w:type="paragraph" w:customStyle="1" w:styleId="Default">
    <w:name w:val="Default"/>
    <w:rsid w:val="00376021"/>
    <w:pPr>
      <w:autoSpaceDE w:val="0"/>
      <w:autoSpaceDN w:val="0"/>
      <w:adjustRightInd w:val="0"/>
    </w:pPr>
    <w:rPr>
      <w:rFonts w:ascii="Calibri" w:hAnsi="Calibri" w:cs="Calibri"/>
      <w:color w:val="000000"/>
      <w:sz w:val="24"/>
      <w:szCs w:val="24"/>
    </w:rPr>
  </w:style>
  <w:style w:type="paragraph" w:styleId="NoSpacing">
    <w:name w:val="No Spacing"/>
    <w:link w:val="NoSpacingChar"/>
    <w:uiPriority w:val="1"/>
    <w:qFormat/>
    <w:rsid w:val="00E814A8"/>
    <w:rPr>
      <w:rFonts w:eastAsia="Times New Roman" w:cs="Times New Roman"/>
      <w:sz w:val="23"/>
      <w:szCs w:val="24"/>
      <w:lang w:val="en-GB" w:eastAsia="en-AU"/>
    </w:rPr>
  </w:style>
  <w:style w:type="paragraph" w:customStyle="1" w:styleId="TableParagraph">
    <w:name w:val="Table Paragraph"/>
    <w:basedOn w:val="Normal"/>
    <w:uiPriority w:val="1"/>
    <w:qFormat/>
    <w:rsid w:val="00946741"/>
    <w:pPr>
      <w:autoSpaceDE w:val="0"/>
      <w:autoSpaceDN w:val="0"/>
      <w:adjustRightInd w:val="0"/>
      <w:spacing w:before="107"/>
      <w:ind w:left="211"/>
    </w:pPr>
    <w:rPr>
      <w:rFonts w:ascii="Arial" w:eastAsiaTheme="minorEastAsia" w:hAnsi="Arial" w:cs="Arial"/>
      <w:sz w:val="24"/>
      <w:lang w:eastAsia="ja-JP"/>
    </w:rPr>
  </w:style>
  <w:style w:type="character" w:styleId="HTMLCite">
    <w:name w:val="HTML Cite"/>
    <w:basedOn w:val="DefaultParagraphFont"/>
    <w:uiPriority w:val="99"/>
    <w:semiHidden/>
    <w:unhideWhenUsed/>
    <w:rsid w:val="006E12FB"/>
    <w:rPr>
      <w:i/>
      <w:iCs/>
    </w:rPr>
  </w:style>
  <w:style w:type="paragraph" w:styleId="TOC3">
    <w:name w:val="toc 3"/>
    <w:basedOn w:val="Normal"/>
    <w:next w:val="Normal"/>
    <w:autoRedefine/>
    <w:uiPriority w:val="39"/>
    <w:unhideWhenUsed/>
    <w:rsid w:val="00C969A9"/>
    <w:pPr>
      <w:spacing w:after="100"/>
      <w:ind w:left="460"/>
    </w:pPr>
  </w:style>
  <w:style w:type="table" w:styleId="ListTable1Light-Accent3">
    <w:name w:val="List Table 1 Light Accent 3"/>
    <w:basedOn w:val="TableNormal"/>
    <w:uiPriority w:val="46"/>
    <w:rsid w:val="007F2A33"/>
    <w:tblPr>
      <w:tblStyleRowBandSize w:val="1"/>
      <w:tblStyleColBandSize w:val="1"/>
    </w:tblPr>
    <w:tblStylePr w:type="firstRow">
      <w:rPr>
        <w:b/>
        <w:bCs/>
      </w:rPr>
      <w:tblPr/>
      <w:tcPr>
        <w:tcBorders>
          <w:bottom w:val="single" w:sz="4" w:space="0" w:color="E76075" w:themeColor="accent3" w:themeTint="99"/>
        </w:tcBorders>
      </w:tcPr>
    </w:tblStylePr>
    <w:tblStylePr w:type="lastRow">
      <w:rPr>
        <w:b/>
        <w:bCs/>
      </w:rPr>
      <w:tblPr/>
      <w:tcPr>
        <w:tcBorders>
          <w:top w:val="single" w:sz="4" w:space="0" w:color="E76075" w:themeColor="accent3" w:themeTint="99"/>
        </w:tcBorders>
      </w:tcPr>
    </w:tblStylePr>
    <w:tblStylePr w:type="firstCol">
      <w:rPr>
        <w:b/>
        <w:bCs/>
      </w:rPr>
    </w:tblStylePr>
    <w:tblStylePr w:type="lastCol">
      <w:rPr>
        <w:b/>
        <w:bCs/>
      </w:rPr>
    </w:tblStylePr>
    <w:tblStylePr w:type="band1Vert">
      <w:tblPr/>
      <w:tcPr>
        <w:shd w:val="clear" w:color="auto" w:fill="F7CAD1" w:themeFill="accent3" w:themeFillTint="33"/>
      </w:tcPr>
    </w:tblStylePr>
    <w:tblStylePr w:type="band1Horz">
      <w:tblPr/>
      <w:tcPr>
        <w:shd w:val="clear" w:color="auto" w:fill="F7CAD1" w:themeFill="accent3" w:themeFillTint="33"/>
      </w:tcPr>
    </w:tblStylePr>
  </w:style>
  <w:style w:type="character" w:styleId="IntenseEmphasis">
    <w:name w:val="Intense Emphasis"/>
    <w:qFormat/>
    <w:rsid w:val="00F3267E"/>
    <w:rPr>
      <w:b/>
      <w:bCs/>
      <w:i/>
      <w:iCs/>
      <w:color w:val="4F81BD"/>
    </w:rPr>
  </w:style>
  <w:style w:type="table" w:styleId="GridTable1Light-Accent5">
    <w:name w:val="Grid Table 1 Light Accent 5"/>
    <w:basedOn w:val="TableNormal"/>
    <w:uiPriority w:val="46"/>
    <w:rsid w:val="00D21F09"/>
    <w:tblPr>
      <w:tblStyleRowBandSize w:val="1"/>
      <w:tblStyleColBandSize w:val="1"/>
      <w:tblBorders>
        <w:top w:val="single" w:sz="4" w:space="0" w:color="CCDEE1" w:themeColor="accent5" w:themeTint="66"/>
        <w:left w:val="single" w:sz="4" w:space="0" w:color="CCDEE1" w:themeColor="accent5" w:themeTint="66"/>
        <w:bottom w:val="single" w:sz="4" w:space="0" w:color="CCDEE1" w:themeColor="accent5" w:themeTint="66"/>
        <w:right w:val="single" w:sz="4" w:space="0" w:color="CCDEE1" w:themeColor="accent5" w:themeTint="66"/>
        <w:insideH w:val="single" w:sz="4" w:space="0" w:color="CCDEE1" w:themeColor="accent5" w:themeTint="66"/>
        <w:insideV w:val="single" w:sz="4" w:space="0" w:color="CCDEE1" w:themeColor="accent5" w:themeTint="66"/>
      </w:tblBorders>
    </w:tblPr>
    <w:tblStylePr w:type="firstRow">
      <w:rPr>
        <w:b/>
        <w:bCs/>
      </w:rPr>
      <w:tblPr/>
      <w:tcPr>
        <w:tcBorders>
          <w:bottom w:val="single" w:sz="12" w:space="0" w:color="B3CDD2" w:themeColor="accent5" w:themeTint="99"/>
        </w:tcBorders>
      </w:tcPr>
    </w:tblStylePr>
    <w:tblStylePr w:type="lastRow">
      <w:rPr>
        <w:b/>
        <w:bCs/>
      </w:rPr>
      <w:tblPr/>
      <w:tcPr>
        <w:tcBorders>
          <w:top w:val="double" w:sz="2" w:space="0" w:color="B3CDD2" w:themeColor="accent5"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D21F09"/>
    <w:tblPr>
      <w:tblStyleRowBandSize w:val="1"/>
      <w:tblStyleColBandSize w:val="1"/>
      <w:tblBorders>
        <w:top w:val="single" w:sz="2" w:space="0" w:color="17D5FF" w:themeColor="accent1" w:themeTint="99"/>
        <w:bottom w:val="single" w:sz="2" w:space="0" w:color="17D5FF" w:themeColor="accent1" w:themeTint="99"/>
        <w:insideH w:val="single" w:sz="2" w:space="0" w:color="17D5FF" w:themeColor="accent1" w:themeTint="99"/>
        <w:insideV w:val="single" w:sz="2" w:space="0" w:color="17D5FF" w:themeColor="accent1" w:themeTint="99"/>
      </w:tblBorders>
    </w:tblPr>
    <w:tblStylePr w:type="firstRow">
      <w:rPr>
        <w:b/>
        <w:bCs/>
      </w:rPr>
      <w:tblPr/>
      <w:tcPr>
        <w:tcBorders>
          <w:top w:val="nil"/>
          <w:bottom w:val="single" w:sz="12" w:space="0" w:color="17D5FF" w:themeColor="accent1" w:themeTint="99"/>
          <w:insideH w:val="nil"/>
          <w:insideV w:val="nil"/>
        </w:tcBorders>
        <w:shd w:val="clear" w:color="auto" w:fill="FFFFFF" w:themeFill="background1"/>
      </w:tcPr>
    </w:tblStylePr>
    <w:tblStylePr w:type="lastRow">
      <w:rPr>
        <w:b/>
        <w:bCs/>
      </w:rPr>
      <w:tblPr/>
      <w:tcPr>
        <w:tcBorders>
          <w:top w:val="double" w:sz="2" w:space="0" w:color="17D5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1F1FF" w:themeFill="accent1" w:themeFillTint="33"/>
      </w:tcPr>
    </w:tblStylePr>
    <w:tblStylePr w:type="band1Horz">
      <w:tblPr/>
      <w:tcPr>
        <w:shd w:val="clear" w:color="auto" w:fill="B1F1FF" w:themeFill="accent1" w:themeFillTint="33"/>
      </w:tcPr>
    </w:tblStylePr>
  </w:style>
  <w:style w:type="paragraph" w:customStyle="1" w:styleId="HBHeading1">
    <w:name w:val="HBHeading1"/>
    <w:basedOn w:val="Heading2"/>
    <w:link w:val="HBHeading1Char"/>
    <w:qFormat/>
    <w:rsid w:val="00FB1BD6"/>
    <w:pPr>
      <w:spacing w:before="360" w:after="240"/>
    </w:pPr>
    <w:rPr>
      <w:rFonts w:ascii="Calibri" w:hAnsi="Calibri"/>
      <w:color w:val="0659FF" w:themeColor="text2" w:themeTint="99"/>
      <w:sz w:val="28"/>
      <w:szCs w:val="28"/>
    </w:rPr>
  </w:style>
  <w:style w:type="paragraph" w:customStyle="1" w:styleId="HBHeading2">
    <w:name w:val="HBHeading2"/>
    <w:basedOn w:val="Heading2"/>
    <w:link w:val="HBHeading2Char"/>
    <w:qFormat/>
    <w:rsid w:val="00FB1BD6"/>
    <w:pPr>
      <w:spacing w:before="320" w:after="320"/>
    </w:pPr>
    <w:rPr>
      <w:lang w:eastAsia="en-US"/>
    </w:rPr>
  </w:style>
  <w:style w:type="character" w:customStyle="1" w:styleId="HBHeading1Char">
    <w:name w:val="HBHeading1 Char"/>
    <w:basedOn w:val="Heading2Char"/>
    <w:link w:val="HBHeading1"/>
    <w:rsid w:val="00FB1BD6"/>
    <w:rPr>
      <w:rFonts w:ascii="Calibri" w:eastAsiaTheme="majorEastAsia" w:hAnsi="Calibri" w:cstheme="majorBidi"/>
      <w:b/>
      <w:bCs/>
      <w:color w:val="0659FF" w:themeColor="text2" w:themeTint="99"/>
      <w:sz w:val="28"/>
      <w:szCs w:val="28"/>
      <w:lang w:eastAsia="en-AU"/>
    </w:rPr>
  </w:style>
  <w:style w:type="character" w:customStyle="1" w:styleId="HBHeading2Char">
    <w:name w:val="HBHeading2 Char"/>
    <w:basedOn w:val="Heading2Char"/>
    <w:link w:val="HBHeading2"/>
    <w:rsid w:val="00FB1BD6"/>
    <w:rPr>
      <w:rFonts w:asciiTheme="majorHAnsi" w:eastAsiaTheme="majorEastAsia" w:hAnsiTheme="majorHAnsi" w:cstheme="majorBidi"/>
      <w:b/>
      <w:bCs/>
      <w:color w:val="00667C" w:themeColor="accent1"/>
      <w:sz w:val="26"/>
      <w:szCs w:val="26"/>
      <w:lang w:eastAsia="en-US"/>
    </w:rPr>
  </w:style>
  <w:style w:type="paragraph" w:customStyle="1" w:styleId="Pa18">
    <w:name w:val="Pa18"/>
    <w:basedOn w:val="Default"/>
    <w:next w:val="Default"/>
    <w:uiPriority w:val="99"/>
    <w:rsid w:val="000D13D4"/>
    <w:pPr>
      <w:spacing w:line="211" w:lineRule="atLeast"/>
    </w:pPr>
    <w:rPr>
      <w:rFonts w:ascii="Optima" w:hAnsi="Optima" w:cstheme="minorBidi"/>
      <w:color w:val="auto"/>
    </w:rPr>
  </w:style>
  <w:style w:type="paragraph" w:customStyle="1" w:styleId="Pa55">
    <w:name w:val="Pa55"/>
    <w:basedOn w:val="Default"/>
    <w:next w:val="Default"/>
    <w:uiPriority w:val="99"/>
    <w:rsid w:val="000D13D4"/>
    <w:pPr>
      <w:spacing w:line="211" w:lineRule="atLeast"/>
    </w:pPr>
    <w:rPr>
      <w:rFonts w:ascii="Optima" w:hAnsi="Optima" w:cstheme="minorBidi"/>
      <w:color w:val="auto"/>
    </w:rPr>
  </w:style>
  <w:style w:type="paragraph" w:customStyle="1" w:styleId="Pa20">
    <w:name w:val="Pa20"/>
    <w:basedOn w:val="Default"/>
    <w:next w:val="Default"/>
    <w:uiPriority w:val="99"/>
    <w:rsid w:val="000D13D4"/>
    <w:pPr>
      <w:spacing w:line="211" w:lineRule="atLeast"/>
    </w:pPr>
    <w:rPr>
      <w:rFonts w:ascii="Optima" w:hAnsi="Optima" w:cstheme="minorBidi"/>
      <w:color w:val="auto"/>
    </w:rPr>
  </w:style>
  <w:style w:type="character" w:customStyle="1" w:styleId="NoSpacingChar">
    <w:name w:val="No Spacing Char"/>
    <w:basedOn w:val="DefaultParagraphFont"/>
    <w:link w:val="NoSpacing"/>
    <w:uiPriority w:val="1"/>
    <w:rsid w:val="00CB53B3"/>
    <w:rPr>
      <w:rFonts w:eastAsia="Times New Roman" w:cs="Times New Roman"/>
      <w:sz w:val="23"/>
      <w:szCs w:val="24"/>
      <w:lang w:val="en-GB" w:eastAsia="en-AU"/>
    </w:rPr>
  </w:style>
  <w:style w:type="table" w:styleId="ListTable2-Accent2">
    <w:name w:val="List Table 2 Accent 2"/>
    <w:basedOn w:val="TableNormal"/>
    <w:uiPriority w:val="47"/>
    <w:rsid w:val="00272454"/>
    <w:rPr>
      <w:rFonts w:eastAsiaTheme="minorHAnsi"/>
      <w:lang w:eastAsia="en-US"/>
    </w:rPr>
    <w:tblPr>
      <w:tblStyleRowBandSize w:val="1"/>
      <w:tblStyleColBandSize w:val="1"/>
      <w:tblBorders>
        <w:top w:val="single" w:sz="4" w:space="0" w:color="FFCE5D" w:themeColor="accent2" w:themeTint="99"/>
        <w:bottom w:val="single" w:sz="4" w:space="0" w:color="FFCE5D" w:themeColor="accent2" w:themeTint="99"/>
        <w:insideH w:val="single" w:sz="4" w:space="0" w:color="FFCE5D"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EC9" w:themeFill="accent2" w:themeFillTint="33"/>
      </w:tcPr>
    </w:tblStylePr>
    <w:tblStylePr w:type="band1Horz">
      <w:tblPr/>
      <w:tcPr>
        <w:shd w:val="clear" w:color="auto" w:fill="FFEEC9" w:themeFill="accent2" w:themeFillTint="33"/>
      </w:tcPr>
    </w:tblStylePr>
  </w:style>
  <w:style w:type="character" w:styleId="FollowedHyperlink">
    <w:name w:val="FollowedHyperlink"/>
    <w:basedOn w:val="DefaultParagraphFont"/>
    <w:uiPriority w:val="99"/>
    <w:semiHidden/>
    <w:unhideWhenUsed/>
    <w:rsid w:val="00830187"/>
    <w:rPr>
      <w:color w:val="954F72"/>
      <w:u w:val="single"/>
    </w:rPr>
  </w:style>
  <w:style w:type="paragraph" w:customStyle="1" w:styleId="msonormal0">
    <w:name w:val="msonormal"/>
    <w:basedOn w:val="Normal"/>
    <w:rsid w:val="00830187"/>
    <w:pPr>
      <w:spacing w:before="100" w:beforeAutospacing="1" w:after="100" w:afterAutospacing="1"/>
    </w:pPr>
    <w:rPr>
      <w:rFonts w:ascii="Times New Roman" w:hAnsi="Times New Roman"/>
      <w:sz w:val="24"/>
    </w:rPr>
  </w:style>
  <w:style w:type="paragraph" w:customStyle="1" w:styleId="font0">
    <w:name w:val="font0"/>
    <w:basedOn w:val="Normal"/>
    <w:rsid w:val="00830187"/>
    <w:pPr>
      <w:spacing w:before="100" w:beforeAutospacing="1" w:after="100" w:afterAutospacing="1"/>
    </w:pPr>
    <w:rPr>
      <w:rFonts w:ascii="Calibri" w:hAnsi="Calibri" w:cs="Calibri"/>
      <w:color w:val="000000"/>
      <w:sz w:val="22"/>
      <w:szCs w:val="22"/>
    </w:rPr>
  </w:style>
  <w:style w:type="paragraph" w:customStyle="1" w:styleId="font5">
    <w:name w:val="font5"/>
    <w:basedOn w:val="Normal"/>
    <w:rsid w:val="00830187"/>
    <w:pPr>
      <w:spacing w:before="100" w:beforeAutospacing="1" w:after="100" w:afterAutospacing="1"/>
    </w:pPr>
    <w:rPr>
      <w:rFonts w:ascii="Calibri" w:hAnsi="Calibri" w:cs="Calibri"/>
      <w:b/>
      <w:bCs/>
      <w:color w:val="000000"/>
      <w:sz w:val="22"/>
      <w:szCs w:val="22"/>
    </w:rPr>
  </w:style>
  <w:style w:type="paragraph" w:customStyle="1" w:styleId="font6">
    <w:name w:val="font6"/>
    <w:basedOn w:val="Normal"/>
    <w:rsid w:val="00830187"/>
    <w:pPr>
      <w:spacing w:before="100" w:beforeAutospacing="1" w:after="100" w:afterAutospacing="1"/>
    </w:pPr>
    <w:rPr>
      <w:rFonts w:ascii="Calibri" w:hAnsi="Calibri" w:cs="Calibri"/>
      <w:sz w:val="22"/>
      <w:szCs w:val="22"/>
    </w:rPr>
  </w:style>
  <w:style w:type="paragraph" w:customStyle="1" w:styleId="font7">
    <w:name w:val="font7"/>
    <w:basedOn w:val="Normal"/>
    <w:rsid w:val="00830187"/>
    <w:pPr>
      <w:spacing w:before="100" w:beforeAutospacing="1" w:after="100" w:afterAutospacing="1"/>
    </w:pPr>
    <w:rPr>
      <w:rFonts w:ascii="Calibri" w:hAnsi="Calibri" w:cs="Calibri"/>
      <w:color w:val="000000"/>
      <w:sz w:val="22"/>
      <w:szCs w:val="22"/>
    </w:rPr>
  </w:style>
  <w:style w:type="paragraph" w:customStyle="1" w:styleId="font8">
    <w:name w:val="font8"/>
    <w:basedOn w:val="Normal"/>
    <w:rsid w:val="00830187"/>
    <w:pPr>
      <w:spacing w:before="100" w:beforeAutospacing="1" w:after="100" w:afterAutospacing="1"/>
    </w:pPr>
    <w:rPr>
      <w:rFonts w:ascii="Times New Roman" w:hAnsi="Times New Roman"/>
      <w:color w:val="000000"/>
      <w:sz w:val="14"/>
      <w:szCs w:val="14"/>
    </w:rPr>
  </w:style>
  <w:style w:type="paragraph" w:customStyle="1" w:styleId="font9">
    <w:name w:val="font9"/>
    <w:basedOn w:val="Normal"/>
    <w:rsid w:val="00830187"/>
    <w:pPr>
      <w:spacing w:before="100" w:beforeAutospacing="1" w:after="100" w:afterAutospacing="1"/>
    </w:pPr>
    <w:rPr>
      <w:rFonts w:ascii="Calibri" w:hAnsi="Calibri" w:cs="Calibri"/>
      <w:i/>
      <w:iCs/>
      <w:sz w:val="22"/>
      <w:szCs w:val="22"/>
    </w:rPr>
  </w:style>
  <w:style w:type="paragraph" w:customStyle="1" w:styleId="font10">
    <w:name w:val="font10"/>
    <w:basedOn w:val="Normal"/>
    <w:rsid w:val="00830187"/>
    <w:pPr>
      <w:spacing w:before="100" w:beforeAutospacing="1" w:after="100" w:afterAutospacing="1"/>
    </w:pPr>
    <w:rPr>
      <w:rFonts w:ascii="Times New Roman" w:hAnsi="Times New Roman"/>
      <w:sz w:val="14"/>
      <w:szCs w:val="14"/>
    </w:rPr>
  </w:style>
  <w:style w:type="paragraph" w:customStyle="1" w:styleId="font11">
    <w:name w:val="font11"/>
    <w:basedOn w:val="Normal"/>
    <w:rsid w:val="00830187"/>
    <w:pPr>
      <w:spacing w:before="100" w:beforeAutospacing="1" w:after="100" w:afterAutospacing="1"/>
    </w:pPr>
    <w:rPr>
      <w:rFonts w:ascii="Calibri" w:hAnsi="Calibri" w:cs="Calibri"/>
      <w:color w:val="000000"/>
      <w:szCs w:val="23"/>
    </w:rPr>
  </w:style>
  <w:style w:type="paragraph" w:customStyle="1" w:styleId="font12">
    <w:name w:val="font12"/>
    <w:basedOn w:val="Normal"/>
    <w:rsid w:val="00830187"/>
    <w:pPr>
      <w:spacing w:before="100" w:beforeAutospacing="1" w:after="100" w:afterAutospacing="1"/>
    </w:pPr>
    <w:rPr>
      <w:rFonts w:ascii="Calibri" w:hAnsi="Calibri" w:cs="Calibri"/>
      <w:b/>
      <w:bCs/>
      <w:color w:val="000000"/>
      <w:szCs w:val="23"/>
    </w:rPr>
  </w:style>
  <w:style w:type="paragraph" w:customStyle="1" w:styleId="xl65">
    <w:name w:val="xl65"/>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66">
    <w:name w:val="xl66"/>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67">
    <w:name w:val="xl67"/>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68">
    <w:name w:val="xl68"/>
    <w:basedOn w:val="Normal"/>
    <w:rsid w:val="00830187"/>
    <w:pPr>
      <w:spacing w:before="100" w:beforeAutospacing="1" w:after="100" w:afterAutospacing="1"/>
      <w:jc w:val="center"/>
    </w:pPr>
    <w:rPr>
      <w:rFonts w:ascii="Times New Roman" w:hAnsi="Times New Roman"/>
      <w:color w:val="FF0000"/>
      <w:sz w:val="24"/>
    </w:rPr>
  </w:style>
  <w:style w:type="paragraph" w:customStyle="1" w:styleId="xl69">
    <w:name w:val="xl69"/>
    <w:basedOn w:val="Normal"/>
    <w:rsid w:val="00830187"/>
    <w:pPr>
      <w:spacing w:before="100" w:beforeAutospacing="1" w:after="100" w:afterAutospacing="1"/>
      <w:jc w:val="center"/>
    </w:pPr>
    <w:rPr>
      <w:rFonts w:ascii="Times New Roman" w:hAnsi="Times New Roman"/>
      <w:color w:val="FF0000"/>
      <w:sz w:val="24"/>
    </w:rPr>
  </w:style>
  <w:style w:type="paragraph" w:customStyle="1" w:styleId="xl70">
    <w:name w:val="xl70"/>
    <w:basedOn w:val="Normal"/>
    <w:rsid w:val="00830187"/>
    <w:pPr>
      <w:spacing w:before="100" w:beforeAutospacing="1" w:after="100" w:afterAutospacing="1"/>
      <w:jc w:val="center"/>
    </w:pPr>
    <w:rPr>
      <w:rFonts w:ascii="Times New Roman" w:hAnsi="Times New Roman"/>
      <w:color w:val="FF0000"/>
      <w:sz w:val="24"/>
    </w:rPr>
  </w:style>
  <w:style w:type="paragraph" w:customStyle="1" w:styleId="xl71">
    <w:name w:val="xl71"/>
    <w:basedOn w:val="Normal"/>
    <w:rsid w:val="00830187"/>
    <w:pPr>
      <w:spacing w:before="100" w:beforeAutospacing="1" w:after="100" w:afterAutospacing="1"/>
    </w:pPr>
    <w:rPr>
      <w:rFonts w:ascii="Times New Roman" w:hAnsi="Times New Roman"/>
      <w:color w:val="FF0000"/>
      <w:sz w:val="24"/>
    </w:rPr>
  </w:style>
  <w:style w:type="paragraph" w:customStyle="1" w:styleId="xl72">
    <w:name w:val="xl72"/>
    <w:basedOn w:val="Normal"/>
    <w:rsid w:val="00830187"/>
    <w:pPr>
      <w:spacing w:before="100" w:beforeAutospacing="1" w:after="100" w:afterAutospacing="1"/>
      <w:jc w:val="center"/>
    </w:pPr>
    <w:rPr>
      <w:rFonts w:ascii="Times New Roman" w:hAnsi="Times New Roman"/>
      <w:color w:val="FF0000"/>
      <w:sz w:val="24"/>
    </w:rPr>
  </w:style>
  <w:style w:type="paragraph" w:customStyle="1" w:styleId="xl73">
    <w:name w:val="xl73"/>
    <w:basedOn w:val="Normal"/>
    <w:rsid w:val="00830187"/>
    <w:pPr>
      <w:spacing w:before="100" w:beforeAutospacing="1" w:after="100" w:afterAutospacing="1"/>
    </w:pPr>
    <w:rPr>
      <w:rFonts w:ascii="Times New Roman" w:hAnsi="Times New Roman"/>
      <w:color w:val="FF0000"/>
      <w:sz w:val="24"/>
    </w:rPr>
  </w:style>
  <w:style w:type="paragraph" w:customStyle="1" w:styleId="xl74">
    <w:name w:val="xl74"/>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75">
    <w:name w:val="xl75"/>
    <w:basedOn w:val="Normal"/>
    <w:rsid w:val="00830187"/>
    <w:pPr>
      <w:spacing w:before="100" w:beforeAutospacing="1" w:after="100" w:afterAutospacing="1"/>
    </w:pPr>
    <w:rPr>
      <w:rFonts w:ascii="Times New Roman" w:hAnsi="Times New Roman"/>
      <w:sz w:val="24"/>
    </w:rPr>
  </w:style>
  <w:style w:type="paragraph" w:customStyle="1" w:styleId="xl76">
    <w:name w:val="xl76"/>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sz w:val="24"/>
    </w:rPr>
  </w:style>
  <w:style w:type="paragraph" w:customStyle="1" w:styleId="xl77">
    <w:name w:val="xl77"/>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78">
    <w:name w:val="xl78"/>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79">
    <w:name w:val="xl79"/>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olor w:val="00B050"/>
      <w:sz w:val="24"/>
    </w:rPr>
  </w:style>
  <w:style w:type="paragraph" w:customStyle="1" w:styleId="xl80">
    <w:name w:val="xl80"/>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81">
    <w:name w:val="xl81"/>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82">
    <w:name w:val="xl82"/>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83">
    <w:name w:val="xl83"/>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84">
    <w:name w:val="xl84"/>
    <w:basedOn w:val="Normal"/>
    <w:rsid w:val="00830187"/>
    <w:pPr>
      <w:spacing w:before="100" w:beforeAutospacing="1" w:after="100" w:afterAutospacing="1"/>
      <w:jc w:val="center"/>
    </w:pPr>
    <w:rPr>
      <w:rFonts w:ascii="Times New Roman" w:hAnsi="Times New Roman"/>
      <w:sz w:val="24"/>
    </w:rPr>
  </w:style>
  <w:style w:type="paragraph" w:customStyle="1" w:styleId="xl85">
    <w:name w:val="xl85"/>
    <w:basedOn w:val="Normal"/>
    <w:rsid w:val="00830187"/>
    <w:pPr>
      <w:spacing w:before="100" w:beforeAutospacing="1" w:after="100" w:afterAutospacing="1"/>
      <w:jc w:val="center"/>
    </w:pPr>
    <w:rPr>
      <w:rFonts w:ascii="Times New Roman" w:hAnsi="Times New Roman"/>
      <w:sz w:val="24"/>
    </w:rPr>
  </w:style>
  <w:style w:type="paragraph" w:customStyle="1" w:styleId="xl86">
    <w:name w:val="xl86"/>
    <w:basedOn w:val="Normal"/>
    <w:rsid w:val="00830187"/>
    <w:pPr>
      <w:spacing w:before="100" w:beforeAutospacing="1" w:after="100" w:afterAutospacing="1"/>
    </w:pPr>
    <w:rPr>
      <w:rFonts w:ascii="Times New Roman" w:hAnsi="Times New Roman"/>
      <w:sz w:val="24"/>
    </w:rPr>
  </w:style>
  <w:style w:type="paragraph" w:customStyle="1" w:styleId="xl87">
    <w:name w:val="xl87"/>
    <w:basedOn w:val="Normal"/>
    <w:rsid w:val="00830187"/>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b/>
      <w:bCs/>
      <w:sz w:val="24"/>
    </w:rPr>
  </w:style>
  <w:style w:type="paragraph" w:customStyle="1" w:styleId="xl88">
    <w:name w:val="xl88"/>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89">
    <w:name w:val="xl89"/>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90">
    <w:name w:val="xl90"/>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91">
    <w:name w:val="xl91"/>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92">
    <w:name w:val="xl92"/>
    <w:basedOn w:val="Normal"/>
    <w:rsid w:val="00830187"/>
    <w:pPr>
      <w:spacing w:before="100" w:beforeAutospacing="1" w:after="100" w:afterAutospacing="1"/>
      <w:jc w:val="center"/>
    </w:pPr>
    <w:rPr>
      <w:rFonts w:ascii="Times New Roman" w:hAnsi="Times New Roman"/>
      <w:sz w:val="24"/>
    </w:rPr>
  </w:style>
  <w:style w:type="paragraph" w:customStyle="1" w:styleId="xl93">
    <w:name w:val="xl93"/>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sz w:val="24"/>
    </w:rPr>
  </w:style>
  <w:style w:type="paragraph" w:customStyle="1" w:styleId="xl94">
    <w:name w:val="xl94"/>
    <w:basedOn w:val="Normal"/>
    <w:rsid w:val="00830187"/>
    <w:pPr>
      <w:spacing w:before="100" w:beforeAutospacing="1" w:after="100" w:afterAutospacing="1"/>
    </w:pPr>
    <w:rPr>
      <w:rFonts w:ascii="Times New Roman" w:hAnsi="Times New Roman"/>
      <w:sz w:val="24"/>
    </w:rPr>
  </w:style>
  <w:style w:type="paragraph" w:customStyle="1" w:styleId="xl95">
    <w:name w:val="xl95"/>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96">
    <w:name w:val="xl96"/>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97">
    <w:name w:val="xl97"/>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98">
    <w:name w:val="xl98"/>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FF0000"/>
      <w:sz w:val="24"/>
    </w:rPr>
  </w:style>
  <w:style w:type="paragraph" w:customStyle="1" w:styleId="xl99">
    <w:name w:val="xl99"/>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color w:val="FF0000"/>
      <w:sz w:val="24"/>
    </w:rPr>
  </w:style>
  <w:style w:type="paragraph" w:customStyle="1" w:styleId="xl100">
    <w:name w:val="xl100"/>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sz w:val="24"/>
    </w:rPr>
  </w:style>
  <w:style w:type="paragraph" w:customStyle="1" w:styleId="xl101">
    <w:name w:val="xl101"/>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sz w:val="24"/>
    </w:rPr>
  </w:style>
  <w:style w:type="paragraph" w:customStyle="1" w:styleId="xl102">
    <w:name w:val="xl102"/>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03">
    <w:name w:val="xl103"/>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104">
    <w:name w:val="xl104"/>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05">
    <w:name w:val="xl105"/>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06">
    <w:name w:val="xl106"/>
    <w:basedOn w:val="Normal"/>
    <w:rsid w:val="00830187"/>
    <w:pPr>
      <w:pBdr>
        <w:bottom w:val="single" w:sz="4" w:space="0" w:color="auto"/>
      </w:pBdr>
      <w:spacing w:before="100" w:beforeAutospacing="1" w:after="100" w:afterAutospacing="1"/>
      <w:jc w:val="center"/>
    </w:pPr>
    <w:rPr>
      <w:rFonts w:ascii="Times New Roman" w:hAnsi="Times New Roman"/>
      <w:sz w:val="24"/>
    </w:rPr>
  </w:style>
  <w:style w:type="paragraph" w:customStyle="1" w:styleId="xl107">
    <w:name w:val="xl107"/>
    <w:basedOn w:val="Normal"/>
    <w:rsid w:val="00830187"/>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08">
    <w:name w:val="xl108"/>
    <w:basedOn w:val="Normal"/>
    <w:rsid w:val="00830187"/>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09">
    <w:name w:val="xl109"/>
    <w:basedOn w:val="Normal"/>
    <w:rsid w:val="00830187"/>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10">
    <w:name w:val="xl110"/>
    <w:basedOn w:val="Normal"/>
    <w:rsid w:val="00830187"/>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11">
    <w:name w:val="xl111"/>
    <w:basedOn w:val="Normal"/>
    <w:rsid w:val="00830187"/>
    <w:pPr>
      <w:pBdr>
        <w:top w:val="single" w:sz="4" w:space="0" w:color="auto"/>
        <w:left w:val="single" w:sz="4" w:space="0" w:color="auto"/>
      </w:pBdr>
      <w:spacing w:before="100" w:beforeAutospacing="1" w:after="100" w:afterAutospacing="1"/>
      <w:jc w:val="center"/>
    </w:pPr>
    <w:rPr>
      <w:rFonts w:ascii="Times New Roman" w:hAnsi="Times New Roman"/>
      <w:sz w:val="24"/>
    </w:rPr>
  </w:style>
  <w:style w:type="paragraph" w:customStyle="1" w:styleId="xl112">
    <w:name w:val="xl112"/>
    <w:basedOn w:val="Normal"/>
    <w:rsid w:val="00830187"/>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13">
    <w:name w:val="xl113"/>
    <w:basedOn w:val="Normal"/>
    <w:rsid w:val="00830187"/>
    <w:pPr>
      <w:pBdr>
        <w:top w:val="single" w:sz="4" w:space="0" w:color="auto"/>
        <w:left w:val="single" w:sz="4" w:space="0" w:color="auto"/>
      </w:pBdr>
      <w:spacing w:before="100" w:beforeAutospacing="1" w:after="100" w:afterAutospacing="1"/>
      <w:jc w:val="center"/>
    </w:pPr>
    <w:rPr>
      <w:rFonts w:ascii="Times New Roman" w:hAnsi="Times New Roman"/>
      <w:sz w:val="24"/>
    </w:rPr>
  </w:style>
  <w:style w:type="paragraph" w:customStyle="1" w:styleId="xl114">
    <w:name w:val="xl114"/>
    <w:basedOn w:val="Normal"/>
    <w:rsid w:val="00830187"/>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15">
    <w:name w:val="xl115"/>
    <w:basedOn w:val="Normal"/>
    <w:rsid w:val="00830187"/>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16">
    <w:name w:val="xl116"/>
    <w:basedOn w:val="Normal"/>
    <w:rsid w:val="00830187"/>
    <w:pPr>
      <w:pBdr>
        <w:left w:val="single" w:sz="4" w:space="0" w:color="auto"/>
        <w:bottom w:val="single" w:sz="4" w:space="0" w:color="auto"/>
      </w:pBdr>
      <w:spacing w:before="100" w:beforeAutospacing="1" w:after="100" w:afterAutospacing="1"/>
      <w:jc w:val="center"/>
    </w:pPr>
    <w:rPr>
      <w:rFonts w:ascii="Times New Roman" w:hAnsi="Times New Roman"/>
      <w:sz w:val="24"/>
    </w:rPr>
  </w:style>
  <w:style w:type="paragraph" w:customStyle="1" w:styleId="xl117">
    <w:name w:val="xl117"/>
    <w:basedOn w:val="Normal"/>
    <w:rsid w:val="00830187"/>
    <w:pPr>
      <w:pBdr>
        <w:top w:val="single" w:sz="4" w:space="0" w:color="auto"/>
        <w:left w:val="single" w:sz="4" w:space="0" w:color="auto"/>
        <w:bottom w:val="single" w:sz="4" w:space="0" w:color="auto"/>
        <w:right w:val="single" w:sz="4" w:space="0" w:color="auto"/>
      </w:pBdr>
      <w:shd w:val="clear" w:color="auto" w:fill="DDEBF7"/>
      <w:spacing w:before="100" w:beforeAutospacing="1" w:after="100" w:afterAutospacing="1"/>
      <w:jc w:val="center"/>
    </w:pPr>
    <w:rPr>
      <w:rFonts w:ascii="Times New Roman" w:hAnsi="Times New Roman"/>
      <w:color w:val="00B050"/>
      <w:sz w:val="24"/>
    </w:rPr>
  </w:style>
  <w:style w:type="paragraph" w:customStyle="1" w:styleId="xl118">
    <w:name w:val="xl118"/>
    <w:basedOn w:val="Normal"/>
    <w:rsid w:val="00830187"/>
    <w:pPr>
      <w:pBdr>
        <w:top w:val="single" w:sz="4" w:space="0" w:color="auto"/>
        <w:left w:val="single" w:sz="4" w:space="0" w:color="auto"/>
        <w:bottom w:val="single" w:sz="4" w:space="0" w:color="auto"/>
        <w:right w:val="single" w:sz="4" w:space="0" w:color="auto"/>
      </w:pBdr>
      <w:shd w:val="clear" w:color="auto" w:fill="DDEBF7"/>
      <w:spacing w:before="100" w:beforeAutospacing="1" w:after="100" w:afterAutospacing="1"/>
      <w:jc w:val="center"/>
    </w:pPr>
    <w:rPr>
      <w:rFonts w:ascii="Times New Roman" w:hAnsi="Times New Roman"/>
      <w:color w:val="00B050"/>
      <w:sz w:val="24"/>
    </w:rPr>
  </w:style>
  <w:style w:type="paragraph" w:customStyle="1" w:styleId="xl119">
    <w:name w:val="xl119"/>
    <w:basedOn w:val="Normal"/>
    <w:rsid w:val="00830187"/>
    <w:pPr>
      <w:pBdr>
        <w:top w:val="single" w:sz="4" w:space="0" w:color="auto"/>
        <w:left w:val="single" w:sz="4" w:space="0" w:color="auto"/>
        <w:bottom w:val="single" w:sz="4" w:space="0" w:color="auto"/>
        <w:right w:val="single" w:sz="4" w:space="0" w:color="auto"/>
      </w:pBdr>
      <w:shd w:val="clear" w:color="auto" w:fill="DDEBF7"/>
      <w:spacing w:before="100" w:beforeAutospacing="1" w:after="100" w:afterAutospacing="1"/>
      <w:jc w:val="center"/>
    </w:pPr>
    <w:rPr>
      <w:rFonts w:ascii="Times New Roman" w:hAnsi="Times New Roman"/>
      <w:color w:val="70AD47"/>
      <w:sz w:val="24"/>
    </w:rPr>
  </w:style>
  <w:style w:type="paragraph" w:customStyle="1" w:styleId="xl120">
    <w:name w:val="xl120"/>
    <w:basedOn w:val="Normal"/>
    <w:rsid w:val="00830187"/>
    <w:pPr>
      <w:pBdr>
        <w:top w:val="single" w:sz="4" w:space="0" w:color="auto"/>
        <w:left w:val="single" w:sz="4" w:space="0" w:color="auto"/>
        <w:bottom w:val="single" w:sz="4" w:space="0" w:color="auto"/>
        <w:right w:val="single" w:sz="4" w:space="0" w:color="auto"/>
      </w:pBdr>
      <w:shd w:val="clear" w:color="auto" w:fill="DDEBF7"/>
      <w:spacing w:before="100" w:beforeAutospacing="1" w:after="100" w:afterAutospacing="1"/>
      <w:jc w:val="center"/>
    </w:pPr>
    <w:rPr>
      <w:rFonts w:ascii="Times New Roman" w:hAnsi="Times New Roman"/>
      <w:color w:val="70AD47"/>
      <w:sz w:val="24"/>
    </w:rPr>
  </w:style>
  <w:style w:type="paragraph" w:customStyle="1" w:styleId="xl121">
    <w:name w:val="xl121"/>
    <w:basedOn w:val="Normal"/>
    <w:rsid w:val="00830187"/>
    <w:pPr>
      <w:pBdr>
        <w:top w:val="single" w:sz="4" w:space="0" w:color="auto"/>
        <w:left w:val="single" w:sz="4" w:space="0" w:color="auto"/>
        <w:bottom w:val="single" w:sz="4" w:space="0" w:color="auto"/>
        <w:right w:val="single" w:sz="4" w:space="0" w:color="auto"/>
      </w:pBdr>
      <w:shd w:val="clear" w:color="auto" w:fill="DDEBF7"/>
      <w:spacing w:before="100" w:beforeAutospacing="1" w:after="100" w:afterAutospacing="1"/>
      <w:jc w:val="center"/>
    </w:pPr>
    <w:rPr>
      <w:rFonts w:ascii="Times New Roman" w:hAnsi="Times New Roman"/>
      <w:color w:val="00B050"/>
      <w:sz w:val="24"/>
    </w:rPr>
  </w:style>
  <w:style w:type="paragraph" w:customStyle="1" w:styleId="xl122">
    <w:name w:val="xl122"/>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123">
    <w:name w:val="xl123"/>
    <w:basedOn w:val="Normal"/>
    <w:rsid w:val="00830187"/>
    <w:pPr>
      <w:pBdr>
        <w:top w:val="single" w:sz="4" w:space="0" w:color="auto"/>
        <w:left w:val="single" w:sz="4" w:space="0" w:color="auto"/>
        <w:bottom w:val="single" w:sz="4" w:space="0" w:color="auto"/>
        <w:right w:val="single" w:sz="4" w:space="0" w:color="auto"/>
      </w:pBdr>
      <w:shd w:val="clear" w:color="auto" w:fill="FFC7CE"/>
      <w:spacing w:before="100" w:beforeAutospacing="1" w:after="100" w:afterAutospacing="1"/>
      <w:jc w:val="center"/>
    </w:pPr>
    <w:rPr>
      <w:rFonts w:ascii="Times New Roman" w:hAnsi="Times New Roman"/>
      <w:color w:val="9C0006"/>
      <w:sz w:val="24"/>
    </w:rPr>
  </w:style>
  <w:style w:type="paragraph" w:customStyle="1" w:styleId="xl124">
    <w:name w:val="xl124"/>
    <w:basedOn w:val="Normal"/>
    <w:rsid w:val="00830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25">
    <w:name w:val="xl125"/>
    <w:basedOn w:val="Normal"/>
    <w:rsid w:val="00830187"/>
    <w:pPr>
      <w:pBdr>
        <w:top w:val="single" w:sz="4" w:space="0" w:color="auto"/>
        <w:left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126">
    <w:name w:val="xl126"/>
    <w:basedOn w:val="Normal"/>
    <w:rsid w:val="00830187"/>
    <w:pPr>
      <w:pBdr>
        <w:top w:val="single" w:sz="4" w:space="0" w:color="auto"/>
        <w:left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127">
    <w:name w:val="xl127"/>
    <w:basedOn w:val="Normal"/>
    <w:rsid w:val="00830187"/>
    <w:pPr>
      <w:pBdr>
        <w:bottom w:val="single" w:sz="4" w:space="0" w:color="auto"/>
      </w:pBdr>
      <w:spacing w:before="100" w:beforeAutospacing="1" w:after="100" w:afterAutospacing="1"/>
      <w:jc w:val="center"/>
    </w:pPr>
    <w:rPr>
      <w:rFonts w:ascii="Times New Roman" w:hAnsi="Times New Roman"/>
      <w:sz w:val="24"/>
    </w:rPr>
  </w:style>
  <w:style w:type="paragraph" w:customStyle="1" w:styleId="xl128">
    <w:name w:val="xl128"/>
    <w:basedOn w:val="Normal"/>
    <w:rsid w:val="00830187"/>
    <w:pPr>
      <w:pBdr>
        <w:bottom w:val="single" w:sz="4" w:space="0" w:color="auto"/>
      </w:pBdr>
      <w:spacing w:before="100" w:beforeAutospacing="1" w:after="100" w:afterAutospacing="1"/>
      <w:jc w:val="center"/>
    </w:pPr>
    <w:rPr>
      <w:rFonts w:ascii="Times New Roman" w:hAnsi="Times New Roman"/>
      <w:color w:val="FF0000"/>
      <w:sz w:val="24"/>
    </w:rPr>
  </w:style>
  <w:style w:type="paragraph" w:customStyle="1" w:styleId="xl129">
    <w:name w:val="xl129"/>
    <w:basedOn w:val="Normal"/>
    <w:rsid w:val="00830187"/>
    <w:pPr>
      <w:spacing w:before="100" w:beforeAutospacing="1" w:after="100" w:afterAutospacing="1"/>
    </w:pPr>
    <w:rPr>
      <w:rFonts w:ascii="Times New Roman" w:hAnsi="Times New Roman"/>
      <w:szCs w:val="23"/>
    </w:rPr>
  </w:style>
  <w:style w:type="paragraph" w:customStyle="1" w:styleId="xl130">
    <w:name w:val="xl130"/>
    <w:basedOn w:val="Normal"/>
    <w:rsid w:val="00830187"/>
    <w:pPr>
      <w:pBdr>
        <w:bottom w:val="single" w:sz="4" w:space="0" w:color="auto"/>
      </w:pBdr>
      <w:spacing w:before="100" w:beforeAutospacing="1" w:after="100" w:afterAutospacing="1"/>
      <w:jc w:val="center"/>
    </w:pPr>
    <w:rPr>
      <w:rFonts w:ascii="Times New Roman" w:hAnsi="Times New Roman"/>
      <w:sz w:val="24"/>
    </w:rPr>
  </w:style>
  <w:style w:type="paragraph" w:customStyle="1" w:styleId="xl131">
    <w:name w:val="xl131"/>
    <w:basedOn w:val="Normal"/>
    <w:rsid w:val="00830187"/>
    <w:pPr>
      <w:spacing w:before="100" w:beforeAutospacing="1" w:after="100" w:afterAutospacing="1"/>
    </w:pPr>
    <w:rPr>
      <w:rFonts w:ascii="Times New Roman" w:hAnsi="Times New Roman"/>
      <w:sz w:val="24"/>
    </w:rPr>
  </w:style>
  <w:style w:type="paragraph" w:customStyle="1" w:styleId="xl132">
    <w:name w:val="xl132"/>
    <w:basedOn w:val="Normal"/>
    <w:rsid w:val="00830187"/>
    <w:pPr>
      <w:pBdr>
        <w:bottom w:val="single" w:sz="4" w:space="0" w:color="auto"/>
      </w:pBdr>
      <w:spacing w:before="100" w:beforeAutospacing="1" w:after="100" w:afterAutospacing="1"/>
    </w:pPr>
    <w:rPr>
      <w:rFonts w:ascii="Times New Roman" w:hAnsi="Times New Roman"/>
      <w:sz w:val="24"/>
    </w:rPr>
  </w:style>
  <w:style w:type="paragraph" w:customStyle="1" w:styleId="xl133">
    <w:name w:val="xl133"/>
    <w:basedOn w:val="Normal"/>
    <w:rsid w:val="00830187"/>
    <w:pPr>
      <w:pBdr>
        <w:bottom w:val="single" w:sz="4" w:space="0" w:color="auto"/>
      </w:pBdr>
      <w:spacing w:before="100" w:beforeAutospacing="1" w:after="100" w:afterAutospacing="1"/>
      <w:jc w:val="center"/>
    </w:pPr>
    <w:rPr>
      <w:rFonts w:ascii="Times New Roman" w:hAnsi="Times New Roman"/>
      <w:sz w:val="24"/>
    </w:rPr>
  </w:style>
  <w:style w:type="paragraph" w:customStyle="1" w:styleId="xl134">
    <w:name w:val="xl134"/>
    <w:basedOn w:val="Normal"/>
    <w:rsid w:val="00830187"/>
    <w:pPr>
      <w:pBdr>
        <w:bottom w:val="single" w:sz="4" w:space="0" w:color="auto"/>
      </w:pBdr>
      <w:spacing w:before="100" w:beforeAutospacing="1" w:after="100" w:afterAutospacing="1"/>
    </w:pPr>
    <w:rPr>
      <w:rFonts w:ascii="Times New Roman" w:hAnsi="Times New Roman"/>
      <w:sz w:val="24"/>
    </w:rPr>
  </w:style>
  <w:style w:type="table" w:styleId="TableGridLight">
    <w:name w:val="Grid Table Light"/>
    <w:basedOn w:val="TableNormal"/>
    <w:uiPriority w:val="40"/>
    <w:rsid w:val="00830187"/>
    <w:rPr>
      <w:rFonts w:eastAsiaTheme="minorHAnsi"/>
      <w:lang w:eastAsia="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1Light-Accent1">
    <w:name w:val="List Table 1 Light Accent 1"/>
    <w:basedOn w:val="TableNormal"/>
    <w:uiPriority w:val="46"/>
    <w:rsid w:val="00D40061"/>
    <w:rPr>
      <w:rFonts w:eastAsiaTheme="minorHAnsi"/>
      <w:lang w:eastAsia="en-US"/>
    </w:rPr>
    <w:tblPr>
      <w:tblStyleRowBandSize w:val="1"/>
      <w:tblStyleColBandSize w:val="1"/>
    </w:tblPr>
    <w:tblStylePr w:type="firstRow">
      <w:rPr>
        <w:b/>
        <w:bCs/>
      </w:rPr>
      <w:tblPr/>
      <w:tcPr>
        <w:tcBorders>
          <w:bottom w:val="single" w:sz="4" w:space="0" w:color="17D5FF" w:themeColor="accent1" w:themeTint="99"/>
        </w:tcBorders>
      </w:tcPr>
    </w:tblStylePr>
    <w:tblStylePr w:type="lastRow">
      <w:rPr>
        <w:b/>
        <w:bCs/>
      </w:rPr>
      <w:tblPr/>
      <w:tcPr>
        <w:tcBorders>
          <w:top w:val="single" w:sz="4" w:space="0" w:color="17D5FF" w:themeColor="accent1" w:themeTint="99"/>
        </w:tcBorders>
      </w:tcPr>
    </w:tblStylePr>
    <w:tblStylePr w:type="firstCol">
      <w:rPr>
        <w:b/>
        <w:bCs/>
      </w:rPr>
    </w:tblStylePr>
    <w:tblStylePr w:type="lastCol">
      <w:rPr>
        <w:b/>
        <w:bCs/>
      </w:rPr>
    </w:tblStylePr>
    <w:tblStylePr w:type="band1Vert">
      <w:tblPr/>
      <w:tcPr>
        <w:shd w:val="clear" w:color="auto" w:fill="B1F1FF" w:themeFill="accent1" w:themeFillTint="33"/>
      </w:tcPr>
    </w:tblStylePr>
    <w:tblStylePr w:type="band1Horz">
      <w:tblPr/>
      <w:tcPr>
        <w:shd w:val="clear" w:color="auto" w:fill="B1F1FF" w:themeFill="accent1" w:themeFillTint="33"/>
      </w:tcPr>
    </w:tblStylePr>
  </w:style>
  <w:style w:type="table" w:styleId="ListTable1Light-Accent5">
    <w:name w:val="List Table 1 Light Accent 5"/>
    <w:basedOn w:val="TableNormal"/>
    <w:uiPriority w:val="46"/>
    <w:rsid w:val="007F7322"/>
    <w:tblPr>
      <w:tblStyleRowBandSize w:val="1"/>
      <w:tblStyleColBandSize w:val="1"/>
    </w:tblPr>
    <w:tblStylePr w:type="firstRow">
      <w:rPr>
        <w:b/>
        <w:bCs/>
      </w:rPr>
      <w:tblPr/>
      <w:tcPr>
        <w:tcBorders>
          <w:bottom w:val="single" w:sz="4" w:space="0" w:color="B3CDD2" w:themeColor="accent5" w:themeTint="99"/>
        </w:tcBorders>
      </w:tcPr>
    </w:tblStylePr>
    <w:tblStylePr w:type="lastRow">
      <w:rPr>
        <w:b/>
        <w:bCs/>
      </w:rPr>
      <w:tblPr/>
      <w:tcPr>
        <w:tcBorders>
          <w:top w:val="single" w:sz="4" w:space="0" w:color="B3CDD2" w:themeColor="accent5" w:themeTint="99"/>
        </w:tcBorders>
      </w:tcPr>
    </w:tblStylePr>
    <w:tblStylePr w:type="firstCol">
      <w:rPr>
        <w:b/>
        <w:bCs/>
      </w:rPr>
    </w:tblStylePr>
    <w:tblStylePr w:type="lastCol">
      <w:rPr>
        <w:b/>
        <w:bCs/>
      </w:rPr>
    </w:tblStylePr>
    <w:tblStylePr w:type="band1Vert">
      <w:tblPr/>
      <w:tcPr>
        <w:shd w:val="clear" w:color="auto" w:fill="E5EEF0" w:themeFill="accent5" w:themeFillTint="33"/>
      </w:tcPr>
    </w:tblStylePr>
    <w:tblStylePr w:type="band1Horz">
      <w:tblPr/>
      <w:tcPr>
        <w:shd w:val="clear" w:color="auto" w:fill="E5EEF0" w:themeFill="accent5" w:themeFillTint="33"/>
      </w:tcPr>
    </w:tblStylePr>
  </w:style>
  <w:style w:type="table" w:customStyle="1" w:styleId="TableGrid1">
    <w:name w:val="Table Grid1"/>
    <w:basedOn w:val="TableNormal"/>
    <w:next w:val="TableGrid"/>
    <w:uiPriority w:val="59"/>
    <w:rsid w:val="00EE3A57"/>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2B14C5"/>
    <w:pPr>
      <w:pBdr>
        <w:top w:val="single" w:sz="4" w:space="10" w:color="00667C" w:themeColor="accent1"/>
        <w:bottom w:val="single" w:sz="4" w:space="10" w:color="00667C" w:themeColor="accent1"/>
      </w:pBdr>
      <w:spacing w:before="360" w:after="360" w:line="259" w:lineRule="auto"/>
      <w:ind w:left="864" w:right="864"/>
      <w:jc w:val="center"/>
    </w:pPr>
    <w:rPr>
      <w:rFonts w:eastAsiaTheme="minorHAnsi" w:cstheme="minorBidi"/>
      <w:i/>
      <w:iCs/>
      <w:color w:val="00667C" w:themeColor="accent1"/>
      <w:sz w:val="22"/>
      <w:szCs w:val="22"/>
      <w:lang w:eastAsia="en-US"/>
    </w:rPr>
  </w:style>
  <w:style w:type="character" w:customStyle="1" w:styleId="IntenseQuoteChar">
    <w:name w:val="Intense Quote Char"/>
    <w:basedOn w:val="DefaultParagraphFont"/>
    <w:link w:val="IntenseQuote"/>
    <w:uiPriority w:val="30"/>
    <w:rsid w:val="002B14C5"/>
    <w:rPr>
      <w:rFonts w:eastAsiaTheme="minorHAnsi"/>
      <w:i/>
      <w:iCs/>
      <w:color w:val="00667C" w:themeColor="accent1"/>
      <w:lang w:eastAsia="en-US"/>
    </w:rPr>
  </w:style>
  <w:style w:type="character" w:customStyle="1" w:styleId="st">
    <w:name w:val="st"/>
    <w:basedOn w:val="DefaultParagraphFont"/>
    <w:rsid w:val="002C770A"/>
  </w:style>
  <w:style w:type="table" w:styleId="GridTable5Dark-Accent5">
    <w:name w:val="Grid Table 5 Dark Accent 5"/>
    <w:basedOn w:val="TableNormal"/>
    <w:uiPriority w:val="50"/>
    <w:rsid w:val="00082E21"/>
    <w:rPr>
      <w:rFonts w:eastAsiaTheme="minorHAnsi"/>
      <w:lang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EF0"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1ADB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1ADB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1ADB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1ADB5" w:themeFill="accent5"/>
      </w:tcPr>
    </w:tblStylePr>
    <w:tblStylePr w:type="band1Vert">
      <w:tblPr/>
      <w:tcPr>
        <w:shd w:val="clear" w:color="auto" w:fill="CCDEE1" w:themeFill="accent5" w:themeFillTint="66"/>
      </w:tcPr>
    </w:tblStylePr>
    <w:tblStylePr w:type="band1Horz">
      <w:tblPr/>
      <w:tcPr>
        <w:shd w:val="clear" w:color="auto" w:fill="CCDEE1" w:themeFill="accent5" w:themeFillTint="66"/>
      </w:tcPr>
    </w:tblStylePr>
  </w:style>
  <w:style w:type="table" w:styleId="GridTable5Dark-Accent1">
    <w:name w:val="Grid Table 5 Dark Accent 1"/>
    <w:basedOn w:val="TableNormal"/>
    <w:uiPriority w:val="50"/>
    <w:rsid w:val="0050771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F1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67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67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67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67C" w:themeFill="accent1"/>
      </w:tcPr>
    </w:tblStylePr>
    <w:tblStylePr w:type="band1Vert">
      <w:tblPr/>
      <w:tcPr>
        <w:shd w:val="clear" w:color="auto" w:fill="64E3FF" w:themeFill="accent1" w:themeFillTint="66"/>
      </w:tcPr>
    </w:tblStylePr>
    <w:tblStylePr w:type="band1Horz">
      <w:tblPr/>
      <w:tcPr>
        <w:shd w:val="clear" w:color="auto" w:fill="64E3FF" w:themeFill="accent1" w:themeFillTint="66"/>
      </w:tcPr>
    </w:tblStylePr>
  </w:style>
  <w:style w:type="character" w:customStyle="1" w:styleId="UnresolvedMention1">
    <w:name w:val="Unresolved Mention1"/>
    <w:basedOn w:val="DefaultParagraphFont"/>
    <w:uiPriority w:val="99"/>
    <w:semiHidden/>
    <w:unhideWhenUsed/>
    <w:rsid w:val="00E5793C"/>
    <w:rPr>
      <w:color w:val="605E5C"/>
      <w:shd w:val="clear" w:color="auto" w:fill="E1DFDD"/>
    </w:rPr>
  </w:style>
  <w:style w:type="paragraph" w:styleId="PlainText">
    <w:name w:val="Plain Text"/>
    <w:basedOn w:val="Normal"/>
    <w:link w:val="PlainTextChar"/>
    <w:uiPriority w:val="99"/>
    <w:rsid w:val="007E25E1"/>
    <w:pPr>
      <w:spacing w:before="100" w:beforeAutospacing="1" w:after="100" w:afterAutospacing="1"/>
    </w:pPr>
    <w:rPr>
      <w:rFonts w:ascii="Calibri" w:hAnsi="Calibri"/>
      <w:lang w:val="en-US" w:eastAsia="en-US"/>
    </w:rPr>
  </w:style>
  <w:style w:type="character" w:customStyle="1" w:styleId="PlainTextChar">
    <w:name w:val="Plain Text Char"/>
    <w:basedOn w:val="DefaultParagraphFont"/>
    <w:link w:val="PlainText"/>
    <w:uiPriority w:val="99"/>
    <w:rsid w:val="007E25E1"/>
    <w:rPr>
      <w:rFonts w:ascii="Calibri" w:eastAsia="Times New Roman" w:hAnsi="Calibri" w:cs="Times New Roman"/>
      <w:sz w:val="23"/>
      <w:szCs w:val="24"/>
      <w:lang w:val="en-US" w:eastAsia="en-US"/>
    </w:rPr>
  </w:style>
  <w:style w:type="character" w:styleId="PlaceholderText">
    <w:name w:val="Placeholder Text"/>
    <w:basedOn w:val="DefaultParagraphFont"/>
    <w:uiPriority w:val="99"/>
    <w:semiHidden/>
    <w:rsid w:val="00646258"/>
    <w:rPr>
      <w:color w:val="808080"/>
    </w:rPr>
  </w:style>
  <w:style w:type="table" w:styleId="PlainTable4">
    <w:name w:val="Plain Table 4"/>
    <w:basedOn w:val="TableNormal"/>
    <w:uiPriority w:val="44"/>
    <w:rsid w:val="00844A11"/>
    <w:rPr>
      <w:rFonts w:eastAsiaTheme="minorHAnsi"/>
      <w:sz w:val="24"/>
      <w:szCs w:val="24"/>
      <w:lang w:eastAsia="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QuoteA2">
    <w:name w:val="Quote)A2"/>
    <w:basedOn w:val="Normal"/>
    <w:uiPriority w:val="99"/>
    <w:rsid w:val="00121D30"/>
    <w:pPr>
      <w:widowControl w:val="0"/>
      <w:tabs>
        <w:tab w:val="left" w:pos="1134"/>
      </w:tabs>
      <w:suppressAutoHyphens/>
      <w:autoSpaceDE w:val="0"/>
      <w:autoSpaceDN w:val="0"/>
      <w:adjustRightInd w:val="0"/>
      <w:spacing w:after="170" w:line="240" w:lineRule="atLeast"/>
      <w:ind w:left="1134" w:right="567" w:hanging="397"/>
    </w:pPr>
    <w:rPr>
      <w:rFonts w:ascii="Optima-Italic" w:hAnsi="Optima-Italic" w:cs="Optima-Italic"/>
      <w:i/>
      <w:iCs/>
      <w:color w:val="000000"/>
      <w:sz w:val="20"/>
      <w:szCs w:val="20"/>
      <w:lang w:eastAsia="en-GB"/>
    </w:rPr>
  </w:style>
  <w:style w:type="paragraph" w:customStyle="1" w:styleId="TextA">
    <w:name w:val="Text)A"/>
    <w:basedOn w:val="Normal"/>
    <w:uiPriority w:val="99"/>
    <w:rsid w:val="00305980"/>
    <w:pPr>
      <w:widowControl w:val="0"/>
      <w:tabs>
        <w:tab w:val="left" w:pos="340"/>
      </w:tabs>
      <w:suppressAutoHyphens/>
      <w:autoSpaceDE w:val="0"/>
      <w:autoSpaceDN w:val="0"/>
      <w:adjustRightInd w:val="0"/>
      <w:spacing w:after="170" w:line="270" w:lineRule="atLeast"/>
      <w:jc w:val="both"/>
      <w:textAlignment w:val="center"/>
    </w:pPr>
    <w:rPr>
      <w:rFonts w:ascii="Optima-Regular" w:hAnsi="Optima-Regular" w:cs="Optima-Regular"/>
      <w:color w:val="000000"/>
      <w:sz w:val="21"/>
      <w:szCs w:val="21"/>
      <w:lang w:eastAsia="en-GB"/>
    </w:rPr>
  </w:style>
  <w:style w:type="paragraph" w:customStyle="1" w:styleId="p1">
    <w:name w:val="p1"/>
    <w:basedOn w:val="Normal"/>
    <w:rsid w:val="00246845"/>
    <w:rPr>
      <w:rFonts w:ascii="Arial" w:hAnsi="Arial" w:cs="Arial"/>
      <w:sz w:val="17"/>
      <w:szCs w:val="17"/>
      <w:lang w:val="en-AU" w:eastAsia="en-GB"/>
    </w:rPr>
  </w:style>
  <w:style w:type="table" w:styleId="GridTable1Light-Accent2">
    <w:name w:val="Grid Table 1 Light Accent 2"/>
    <w:basedOn w:val="TableNormal"/>
    <w:uiPriority w:val="46"/>
    <w:rsid w:val="00CD5E5B"/>
    <w:tblPr>
      <w:tblStyleRowBandSize w:val="1"/>
      <w:tblStyleColBandSize w:val="1"/>
      <w:tblBorders>
        <w:top w:val="single" w:sz="4" w:space="0" w:color="FFDE93" w:themeColor="accent2" w:themeTint="66"/>
        <w:left w:val="single" w:sz="4" w:space="0" w:color="FFDE93" w:themeColor="accent2" w:themeTint="66"/>
        <w:bottom w:val="single" w:sz="4" w:space="0" w:color="FFDE93" w:themeColor="accent2" w:themeTint="66"/>
        <w:right w:val="single" w:sz="4" w:space="0" w:color="FFDE93" w:themeColor="accent2" w:themeTint="66"/>
        <w:insideH w:val="single" w:sz="4" w:space="0" w:color="FFDE93" w:themeColor="accent2" w:themeTint="66"/>
        <w:insideV w:val="single" w:sz="4" w:space="0" w:color="FFDE93" w:themeColor="accent2" w:themeTint="66"/>
      </w:tblBorders>
    </w:tblPr>
    <w:tblStylePr w:type="firstRow">
      <w:rPr>
        <w:b/>
        <w:bCs/>
      </w:rPr>
      <w:tblPr/>
      <w:tcPr>
        <w:tcBorders>
          <w:bottom w:val="single" w:sz="12" w:space="0" w:color="FFCE5D" w:themeColor="accent2" w:themeTint="99"/>
        </w:tcBorders>
      </w:tcPr>
    </w:tblStylePr>
    <w:tblStylePr w:type="lastRow">
      <w:rPr>
        <w:b/>
        <w:bCs/>
      </w:rPr>
      <w:tblPr/>
      <w:tcPr>
        <w:tcBorders>
          <w:top w:val="double" w:sz="2" w:space="0" w:color="FFCE5D" w:themeColor="accent2" w:themeTint="99"/>
        </w:tcBorders>
      </w:tcPr>
    </w:tblStylePr>
    <w:tblStylePr w:type="firstCol">
      <w:rPr>
        <w:b/>
        <w:bCs/>
      </w:rPr>
    </w:tblStylePr>
    <w:tblStylePr w:type="lastCol">
      <w:rPr>
        <w:b/>
        <w:bCs/>
      </w:rPr>
    </w:tblStylePr>
  </w:style>
  <w:style w:type="table" w:customStyle="1" w:styleId="TableGrid2">
    <w:name w:val="Table Grid2"/>
    <w:basedOn w:val="TableNormal"/>
    <w:next w:val="TableGrid"/>
    <w:uiPriority w:val="39"/>
    <w:rsid w:val="008D7D84"/>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D7D84"/>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DarkList-Accent5">
    <w:name w:val="Dark List Accent 5"/>
    <w:basedOn w:val="TableNormal"/>
    <w:uiPriority w:val="61"/>
    <w:rsid w:val="00313C47"/>
    <w:rPr>
      <w:rFonts w:ascii="Times New Roman" w:eastAsia="Times New Roman" w:hAnsi="Times New Roman"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Caption">
    <w:name w:val="caption"/>
    <w:basedOn w:val="Normal"/>
    <w:next w:val="Normal"/>
    <w:uiPriority w:val="35"/>
    <w:unhideWhenUsed/>
    <w:qFormat/>
    <w:rsid w:val="007A02E5"/>
    <w:pPr>
      <w:spacing w:after="200"/>
    </w:pPr>
    <w:rPr>
      <w:i/>
      <w:iCs/>
      <w:color w:val="002060" w:themeColor="text2"/>
      <w:sz w:val="18"/>
      <w:szCs w:val="18"/>
    </w:rPr>
  </w:style>
  <w:style w:type="paragraph" w:customStyle="1" w:styleId="Pa1">
    <w:name w:val="Pa1"/>
    <w:basedOn w:val="Default"/>
    <w:next w:val="Default"/>
    <w:uiPriority w:val="99"/>
    <w:rsid w:val="00FD0ECD"/>
    <w:pPr>
      <w:spacing w:line="241" w:lineRule="atLeast"/>
    </w:pPr>
    <w:rPr>
      <w:rFonts w:cstheme="minorBidi"/>
      <w:color w:val="auto"/>
    </w:rPr>
  </w:style>
  <w:style w:type="paragraph" w:customStyle="1" w:styleId="NORMALHEADING">
    <w:name w:val="NORMAL HEADING"/>
    <w:basedOn w:val="Normal"/>
    <w:link w:val="NORMALHEADINGChar"/>
    <w:rsid w:val="001012E7"/>
    <w:pPr>
      <w:spacing w:before="100" w:beforeAutospacing="1" w:after="100" w:afterAutospacing="1"/>
      <w:jc w:val="both"/>
    </w:pPr>
    <w:rPr>
      <w:rFonts w:ascii="Arial Narrow" w:hAnsi="Arial Narrow"/>
      <w:b/>
      <w:bCs/>
      <w:sz w:val="22"/>
      <w:szCs w:val="20"/>
      <w:lang w:val="en-AU" w:eastAsia="en-US"/>
    </w:rPr>
  </w:style>
  <w:style w:type="character" w:customStyle="1" w:styleId="NORMALHEADINGChar">
    <w:name w:val="NORMAL HEADING Char"/>
    <w:link w:val="NORMALHEADING"/>
    <w:rsid w:val="001012E7"/>
    <w:rPr>
      <w:rFonts w:ascii="Arial Narrow" w:eastAsia="Times New Roman" w:hAnsi="Arial Narrow" w:cs="Times New Roman"/>
      <w:b/>
      <w:bCs/>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08385">
      <w:bodyDiv w:val="1"/>
      <w:marLeft w:val="0"/>
      <w:marRight w:val="0"/>
      <w:marTop w:val="0"/>
      <w:marBottom w:val="0"/>
      <w:divBdr>
        <w:top w:val="none" w:sz="0" w:space="0" w:color="auto"/>
        <w:left w:val="none" w:sz="0" w:space="0" w:color="auto"/>
        <w:bottom w:val="none" w:sz="0" w:space="0" w:color="auto"/>
        <w:right w:val="none" w:sz="0" w:space="0" w:color="auto"/>
      </w:divBdr>
    </w:div>
    <w:div w:id="18623453">
      <w:bodyDiv w:val="1"/>
      <w:marLeft w:val="0"/>
      <w:marRight w:val="0"/>
      <w:marTop w:val="0"/>
      <w:marBottom w:val="0"/>
      <w:divBdr>
        <w:top w:val="none" w:sz="0" w:space="0" w:color="auto"/>
        <w:left w:val="none" w:sz="0" w:space="0" w:color="auto"/>
        <w:bottom w:val="none" w:sz="0" w:space="0" w:color="auto"/>
        <w:right w:val="none" w:sz="0" w:space="0" w:color="auto"/>
      </w:divBdr>
    </w:div>
    <w:div w:id="24791104">
      <w:bodyDiv w:val="1"/>
      <w:marLeft w:val="0"/>
      <w:marRight w:val="0"/>
      <w:marTop w:val="0"/>
      <w:marBottom w:val="0"/>
      <w:divBdr>
        <w:top w:val="none" w:sz="0" w:space="0" w:color="auto"/>
        <w:left w:val="none" w:sz="0" w:space="0" w:color="auto"/>
        <w:bottom w:val="none" w:sz="0" w:space="0" w:color="auto"/>
        <w:right w:val="none" w:sz="0" w:space="0" w:color="auto"/>
      </w:divBdr>
    </w:div>
    <w:div w:id="55059151">
      <w:bodyDiv w:val="1"/>
      <w:marLeft w:val="0"/>
      <w:marRight w:val="0"/>
      <w:marTop w:val="0"/>
      <w:marBottom w:val="0"/>
      <w:divBdr>
        <w:top w:val="none" w:sz="0" w:space="0" w:color="auto"/>
        <w:left w:val="none" w:sz="0" w:space="0" w:color="auto"/>
        <w:bottom w:val="none" w:sz="0" w:space="0" w:color="auto"/>
        <w:right w:val="none" w:sz="0" w:space="0" w:color="auto"/>
      </w:divBdr>
    </w:div>
    <w:div w:id="58090245">
      <w:bodyDiv w:val="1"/>
      <w:marLeft w:val="0"/>
      <w:marRight w:val="0"/>
      <w:marTop w:val="0"/>
      <w:marBottom w:val="0"/>
      <w:divBdr>
        <w:top w:val="none" w:sz="0" w:space="0" w:color="auto"/>
        <w:left w:val="none" w:sz="0" w:space="0" w:color="auto"/>
        <w:bottom w:val="none" w:sz="0" w:space="0" w:color="auto"/>
        <w:right w:val="none" w:sz="0" w:space="0" w:color="auto"/>
      </w:divBdr>
    </w:div>
    <w:div w:id="82533236">
      <w:bodyDiv w:val="1"/>
      <w:marLeft w:val="0"/>
      <w:marRight w:val="0"/>
      <w:marTop w:val="0"/>
      <w:marBottom w:val="0"/>
      <w:divBdr>
        <w:top w:val="none" w:sz="0" w:space="0" w:color="auto"/>
        <w:left w:val="none" w:sz="0" w:space="0" w:color="auto"/>
        <w:bottom w:val="none" w:sz="0" w:space="0" w:color="auto"/>
        <w:right w:val="none" w:sz="0" w:space="0" w:color="auto"/>
      </w:divBdr>
    </w:div>
    <w:div w:id="103351323">
      <w:bodyDiv w:val="1"/>
      <w:marLeft w:val="0"/>
      <w:marRight w:val="0"/>
      <w:marTop w:val="0"/>
      <w:marBottom w:val="0"/>
      <w:divBdr>
        <w:top w:val="none" w:sz="0" w:space="0" w:color="auto"/>
        <w:left w:val="none" w:sz="0" w:space="0" w:color="auto"/>
        <w:bottom w:val="none" w:sz="0" w:space="0" w:color="auto"/>
        <w:right w:val="none" w:sz="0" w:space="0" w:color="auto"/>
      </w:divBdr>
    </w:div>
    <w:div w:id="120536483">
      <w:bodyDiv w:val="1"/>
      <w:marLeft w:val="0"/>
      <w:marRight w:val="0"/>
      <w:marTop w:val="0"/>
      <w:marBottom w:val="0"/>
      <w:divBdr>
        <w:top w:val="none" w:sz="0" w:space="0" w:color="auto"/>
        <w:left w:val="none" w:sz="0" w:space="0" w:color="auto"/>
        <w:bottom w:val="none" w:sz="0" w:space="0" w:color="auto"/>
        <w:right w:val="none" w:sz="0" w:space="0" w:color="auto"/>
      </w:divBdr>
    </w:div>
    <w:div w:id="121268113">
      <w:bodyDiv w:val="1"/>
      <w:marLeft w:val="0"/>
      <w:marRight w:val="0"/>
      <w:marTop w:val="0"/>
      <w:marBottom w:val="0"/>
      <w:divBdr>
        <w:top w:val="none" w:sz="0" w:space="0" w:color="auto"/>
        <w:left w:val="none" w:sz="0" w:space="0" w:color="auto"/>
        <w:bottom w:val="none" w:sz="0" w:space="0" w:color="auto"/>
        <w:right w:val="none" w:sz="0" w:space="0" w:color="auto"/>
      </w:divBdr>
    </w:div>
    <w:div w:id="152524946">
      <w:bodyDiv w:val="1"/>
      <w:marLeft w:val="0"/>
      <w:marRight w:val="0"/>
      <w:marTop w:val="0"/>
      <w:marBottom w:val="0"/>
      <w:divBdr>
        <w:top w:val="none" w:sz="0" w:space="0" w:color="auto"/>
        <w:left w:val="none" w:sz="0" w:space="0" w:color="auto"/>
        <w:bottom w:val="none" w:sz="0" w:space="0" w:color="auto"/>
        <w:right w:val="none" w:sz="0" w:space="0" w:color="auto"/>
      </w:divBdr>
    </w:div>
    <w:div w:id="197204877">
      <w:bodyDiv w:val="1"/>
      <w:marLeft w:val="0"/>
      <w:marRight w:val="0"/>
      <w:marTop w:val="0"/>
      <w:marBottom w:val="0"/>
      <w:divBdr>
        <w:top w:val="none" w:sz="0" w:space="0" w:color="auto"/>
        <w:left w:val="none" w:sz="0" w:space="0" w:color="auto"/>
        <w:bottom w:val="none" w:sz="0" w:space="0" w:color="auto"/>
        <w:right w:val="none" w:sz="0" w:space="0" w:color="auto"/>
      </w:divBdr>
      <w:divsChild>
        <w:div w:id="959992177">
          <w:marLeft w:val="547"/>
          <w:marRight w:val="0"/>
          <w:marTop w:val="0"/>
          <w:marBottom w:val="0"/>
          <w:divBdr>
            <w:top w:val="none" w:sz="0" w:space="0" w:color="auto"/>
            <w:left w:val="none" w:sz="0" w:space="0" w:color="auto"/>
            <w:bottom w:val="none" w:sz="0" w:space="0" w:color="auto"/>
            <w:right w:val="none" w:sz="0" w:space="0" w:color="auto"/>
          </w:divBdr>
        </w:div>
      </w:divsChild>
    </w:div>
    <w:div w:id="205487641">
      <w:bodyDiv w:val="1"/>
      <w:marLeft w:val="0"/>
      <w:marRight w:val="0"/>
      <w:marTop w:val="0"/>
      <w:marBottom w:val="0"/>
      <w:divBdr>
        <w:top w:val="none" w:sz="0" w:space="0" w:color="auto"/>
        <w:left w:val="none" w:sz="0" w:space="0" w:color="auto"/>
        <w:bottom w:val="none" w:sz="0" w:space="0" w:color="auto"/>
        <w:right w:val="none" w:sz="0" w:space="0" w:color="auto"/>
      </w:divBdr>
      <w:divsChild>
        <w:div w:id="530654418">
          <w:marLeft w:val="547"/>
          <w:marRight w:val="0"/>
          <w:marTop w:val="0"/>
          <w:marBottom w:val="0"/>
          <w:divBdr>
            <w:top w:val="none" w:sz="0" w:space="0" w:color="auto"/>
            <w:left w:val="none" w:sz="0" w:space="0" w:color="auto"/>
            <w:bottom w:val="none" w:sz="0" w:space="0" w:color="auto"/>
            <w:right w:val="none" w:sz="0" w:space="0" w:color="auto"/>
          </w:divBdr>
        </w:div>
      </w:divsChild>
    </w:div>
    <w:div w:id="211157534">
      <w:bodyDiv w:val="1"/>
      <w:marLeft w:val="0"/>
      <w:marRight w:val="0"/>
      <w:marTop w:val="0"/>
      <w:marBottom w:val="0"/>
      <w:divBdr>
        <w:top w:val="none" w:sz="0" w:space="0" w:color="auto"/>
        <w:left w:val="none" w:sz="0" w:space="0" w:color="auto"/>
        <w:bottom w:val="none" w:sz="0" w:space="0" w:color="auto"/>
        <w:right w:val="none" w:sz="0" w:space="0" w:color="auto"/>
      </w:divBdr>
    </w:div>
    <w:div w:id="235362926">
      <w:bodyDiv w:val="1"/>
      <w:marLeft w:val="0"/>
      <w:marRight w:val="0"/>
      <w:marTop w:val="0"/>
      <w:marBottom w:val="0"/>
      <w:divBdr>
        <w:top w:val="none" w:sz="0" w:space="0" w:color="auto"/>
        <w:left w:val="none" w:sz="0" w:space="0" w:color="auto"/>
        <w:bottom w:val="none" w:sz="0" w:space="0" w:color="auto"/>
        <w:right w:val="none" w:sz="0" w:space="0" w:color="auto"/>
      </w:divBdr>
    </w:div>
    <w:div w:id="238639910">
      <w:bodyDiv w:val="1"/>
      <w:marLeft w:val="0"/>
      <w:marRight w:val="0"/>
      <w:marTop w:val="0"/>
      <w:marBottom w:val="0"/>
      <w:divBdr>
        <w:top w:val="none" w:sz="0" w:space="0" w:color="auto"/>
        <w:left w:val="none" w:sz="0" w:space="0" w:color="auto"/>
        <w:bottom w:val="none" w:sz="0" w:space="0" w:color="auto"/>
        <w:right w:val="none" w:sz="0" w:space="0" w:color="auto"/>
      </w:divBdr>
    </w:div>
    <w:div w:id="250554277">
      <w:bodyDiv w:val="1"/>
      <w:marLeft w:val="0"/>
      <w:marRight w:val="0"/>
      <w:marTop w:val="0"/>
      <w:marBottom w:val="0"/>
      <w:divBdr>
        <w:top w:val="none" w:sz="0" w:space="0" w:color="auto"/>
        <w:left w:val="none" w:sz="0" w:space="0" w:color="auto"/>
        <w:bottom w:val="none" w:sz="0" w:space="0" w:color="auto"/>
        <w:right w:val="none" w:sz="0" w:space="0" w:color="auto"/>
      </w:divBdr>
    </w:div>
    <w:div w:id="290015391">
      <w:bodyDiv w:val="1"/>
      <w:marLeft w:val="0"/>
      <w:marRight w:val="0"/>
      <w:marTop w:val="0"/>
      <w:marBottom w:val="0"/>
      <w:divBdr>
        <w:top w:val="none" w:sz="0" w:space="0" w:color="auto"/>
        <w:left w:val="none" w:sz="0" w:space="0" w:color="auto"/>
        <w:bottom w:val="none" w:sz="0" w:space="0" w:color="auto"/>
        <w:right w:val="none" w:sz="0" w:space="0" w:color="auto"/>
      </w:divBdr>
    </w:div>
    <w:div w:id="305014631">
      <w:bodyDiv w:val="1"/>
      <w:marLeft w:val="0"/>
      <w:marRight w:val="0"/>
      <w:marTop w:val="0"/>
      <w:marBottom w:val="0"/>
      <w:divBdr>
        <w:top w:val="none" w:sz="0" w:space="0" w:color="auto"/>
        <w:left w:val="none" w:sz="0" w:space="0" w:color="auto"/>
        <w:bottom w:val="none" w:sz="0" w:space="0" w:color="auto"/>
        <w:right w:val="none" w:sz="0" w:space="0" w:color="auto"/>
      </w:divBdr>
    </w:div>
    <w:div w:id="324237519">
      <w:bodyDiv w:val="1"/>
      <w:marLeft w:val="0"/>
      <w:marRight w:val="0"/>
      <w:marTop w:val="0"/>
      <w:marBottom w:val="0"/>
      <w:divBdr>
        <w:top w:val="none" w:sz="0" w:space="0" w:color="auto"/>
        <w:left w:val="none" w:sz="0" w:space="0" w:color="auto"/>
        <w:bottom w:val="none" w:sz="0" w:space="0" w:color="auto"/>
        <w:right w:val="none" w:sz="0" w:space="0" w:color="auto"/>
      </w:divBdr>
    </w:div>
    <w:div w:id="371655460">
      <w:bodyDiv w:val="1"/>
      <w:marLeft w:val="0"/>
      <w:marRight w:val="0"/>
      <w:marTop w:val="0"/>
      <w:marBottom w:val="0"/>
      <w:divBdr>
        <w:top w:val="none" w:sz="0" w:space="0" w:color="auto"/>
        <w:left w:val="none" w:sz="0" w:space="0" w:color="auto"/>
        <w:bottom w:val="none" w:sz="0" w:space="0" w:color="auto"/>
        <w:right w:val="none" w:sz="0" w:space="0" w:color="auto"/>
      </w:divBdr>
    </w:div>
    <w:div w:id="376324368">
      <w:bodyDiv w:val="1"/>
      <w:marLeft w:val="0"/>
      <w:marRight w:val="0"/>
      <w:marTop w:val="0"/>
      <w:marBottom w:val="0"/>
      <w:divBdr>
        <w:top w:val="none" w:sz="0" w:space="0" w:color="auto"/>
        <w:left w:val="none" w:sz="0" w:space="0" w:color="auto"/>
        <w:bottom w:val="none" w:sz="0" w:space="0" w:color="auto"/>
        <w:right w:val="none" w:sz="0" w:space="0" w:color="auto"/>
      </w:divBdr>
    </w:div>
    <w:div w:id="417798008">
      <w:bodyDiv w:val="1"/>
      <w:marLeft w:val="0"/>
      <w:marRight w:val="0"/>
      <w:marTop w:val="0"/>
      <w:marBottom w:val="0"/>
      <w:divBdr>
        <w:top w:val="none" w:sz="0" w:space="0" w:color="auto"/>
        <w:left w:val="none" w:sz="0" w:space="0" w:color="auto"/>
        <w:bottom w:val="none" w:sz="0" w:space="0" w:color="auto"/>
        <w:right w:val="none" w:sz="0" w:space="0" w:color="auto"/>
      </w:divBdr>
    </w:div>
    <w:div w:id="432365557">
      <w:bodyDiv w:val="1"/>
      <w:marLeft w:val="0"/>
      <w:marRight w:val="0"/>
      <w:marTop w:val="0"/>
      <w:marBottom w:val="0"/>
      <w:divBdr>
        <w:top w:val="none" w:sz="0" w:space="0" w:color="auto"/>
        <w:left w:val="none" w:sz="0" w:space="0" w:color="auto"/>
        <w:bottom w:val="none" w:sz="0" w:space="0" w:color="auto"/>
        <w:right w:val="none" w:sz="0" w:space="0" w:color="auto"/>
      </w:divBdr>
    </w:div>
    <w:div w:id="433214707">
      <w:bodyDiv w:val="1"/>
      <w:marLeft w:val="0"/>
      <w:marRight w:val="0"/>
      <w:marTop w:val="0"/>
      <w:marBottom w:val="0"/>
      <w:divBdr>
        <w:top w:val="none" w:sz="0" w:space="0" w:color="auto"/>
        <w:left w:val="none" w:sz="0" w:space="0" w:color="auto"/>
        <w:bottom w:val="none" w:sz="0" w:space="0" w:color="auto"/>
        <w:right w:val="none" w:sz="0" w:space="0" w:color="auto"/>
      </w:divBdr>
    </w:div>
    <w:div w:id="466633038">
      <w:bodyDiv w:val="1"/>
      <w:marLeft w:val="0"/>
      <w:marRight w:val="0"/>
      <w:marTop w:val="0"/>
      <w:marBottom w:val="0"/>
      <w:divBdr>
        <w:top w:val="none" w:sz="0" w:space="0" w:color="auto"/>
        <w:left w:val="none" w:sz="0" w:space="0" w:color="auto"/>
        <w:bottom w:val="none" w:sz="0" w:space="0" w:color="auto"/>
        <w:right w:val="none" w:sz="0" w:space="0" w:color="auto"/>
      </w:divBdr>
    </w:div>
    <w:div w:id="474376828">
      <w:bodyDiv w:val="1"/>
      <w:marLeft w:val="0"/>
      <w:marRight w:val="0"/>
      <w:marTop w:val="0"/>
      <w:marBottom w:val="0"/>
      <w:divBdr>
        <w:top w:val="none" w:sz="0" w:space="0" w:color="auto"/>
        <w:left w:val="none" w:sz="0" w:space="0" w:color="auto"/>
        <w:bottom w:val="none" w:sz="0" w:space="0" w:color="auto"/>
        <w:right w:val="none" w:sz="0" w:space="0" w:color="auto"/>
      </w:divBdr>
      <w:divsChild>
        <w:div w:id="1632787054">
          <w:marLeft w:val="0"/>
          <w:marRight w:val="0"/>
          <w:marTop w:val="0"/>
          <w:marBottom w:val="0"/>
          <w:divBdr>
            <w:top w:val="none" w:sz="0" w:space="0" w:color="auto"/>
            <w:left w:val="none" w:sz="0" w:space="0" w:color="auto"/>
            <w:bottom w:val="none" w:sz="0" w:space="0" w:color="auto"/>
            <w:right w:val="none" w:sz="0" w:space="0" w:color="auto"/>
          </w:divBdr>
        </w:div>
        <w:div w:id="1283153366">
          <w:marLeft w:val="0"/>
          <w:marRight w:val="0"/>
          <w:marTop w:val="0"/>
          <w:marBottom w:val="0"/>
          <w:divBdr>
            <w:top w:val="none" w:sz="0" w:space="0" w:color="auto"/>
            <w:left w:val="none" w:sz="0" w:space="0" w:color="auto"/>
            <w:bottom w:val="none" w:sz="0" w:space="0" w:color="auto"/>
            <w:right w:val="none" w:sz="0" w:space="0" w:color="auto"/>
          </w:divBdr>
        </w:div>
        <w:div w:id="1281495135">
          <w:marLeft w:val="0"/>
          <w:marRight w:val="0"/>
          <w:marTop w:val="0"/>
          <w:marBottom w:val="0"/>
          <w:divBdr>
            <w:top w:val="none" w:sz="0" w:space="0" w:color="auto"/>
            <w:left w:val="none" w:sz="0" w:space="0" w:color="auto"/>
            <w:bottom w:val="none" w:sz="0" w:space="0" w:color="auto"/>
            <w:right w:val="none" w:sz="0" w:space="0" w:color="auto"/>
          </w:divBdr>
        </w:div>
      </w:divsChild>
    </w:div>
    <w:div w:id="475418811">
      <w:bodyDiv w:val="1"/>
      <w:marLeft w:val="0"/>
      <w:marRight w:val="0"/>
      <w:marTop w:val="0"/>
      <w:marBottom w:val="0"/>
      <w:divBdr>
        <w:top w:val="none" w:sz="0" w:space="0" w:color="auto"/>
        <w:left w:val="none" w:sz="0" w:space="0" w:color="auto"/>
        <w:bottom w:val="none" w:sz="0" w:space="0" w:color="auto"/>
        <w:right w:val="none" w:sz="0" w:space="0" w:color="auto"/>
      </w:divBdr>
    </w:div>
    <w:div w:id="492767656">
      <w:bodyDiv w:val="1"/>
      <w:marLeft w:val="0"/>
      <w:marRight w:val="0"/>
      <w:marTop w:val="0"/>
      <w:marBottom w:val="0"/>
      <w:divBdr>
        <w:top w:val="none" w:sz="0" w:space="0" w:color="auto"/>
        <w:left w:val="none" w:sz="0" w:space="0" w:color="auto"/>
        <w:bottom w:val="none" w:sz="0" w:space="0" w:color="auto"/>
        <w:right w:val="none" w:sz="0" w:space="0" w:color="auto"/>
      </w:divBdr>
      <w:divsChild>
        <w:div w:id="1320495751">
          <w:marLeft w:val="547"/>
          <w:marRight w:val="0"/>
          <w:marTop w:val="0"/>
          <w:marBottom w:val="0"/>
          <w:divBdr>
            <w:top w:val="none" w:sz="0" w:space="0" w:color="auto"/>
            <w:left w:val="none" w:sz="0" w:space="0" w:color="auto"/>
            <w:bottom w:val="none" w:sz="0" w:space="0" w:color="auto"/>
            <w:right w:val="none" w:sz="0" w:space="0" w:color="auto"/>
          </w:divBdr>
        </w:div>
      </w:divsChild>
    </w:div>
    <w:div w:id="496381651">
      <w:bodyDiv w:val="1"/>
      <w:marLeft w:val="0"/>
      <w:marRight w:val="0"/>
      <w:marTop w:val="0"/>
      <w:marBottom w:val="0"/>
      <w:divBdr>
        <w:top w:val="none" w:sz="0" w:space="0" w:color="auto"/>
        <w:left w:val="none" w:sz="0" w:space="0" w:color="auto"/>
        <w:bottom w:val="none" w:sz="0" w:space="0" w:color="auto"/>
        <w:right w:val="none" w:sz="0" w:space="0" w:color="auto"/>
      </w:divBdr>
      <w:divsChild>
        <w:div w:id="329480834">
          <w:marLeft w:val="547"/>
          <w:marRight w:val="0"/>
          <w:marTop w:val="0"/>
          <w:marBottom w:val="0"/>
          <w:divBdr>
            <w:top w:val="none" w:sz="0" w:space="0" w:color="auto"/>
            <w:left w:val="none" w:sz="0" w:space="0" w:color="auto"/>
            <w:bottom w:val="none" w:sz="0" w:space="0" w:color="auto"/>
            <w:right w:val="none" w:sz="0" w:space="0" w:color="auto"/>
          </w:divBdr>
        </w:div>
        <w:div w:id="420948652">
          <w:marLeft w:val="547"/>
          <w:marRight w:val="0"/>
          <w:marTop w:val="0"/>
          <w:marBottom w:val="0"/>
          <w:divBdr>
            <w:top w:val="none" w:sz="0" w:space="0" w:color="auto"/>
            <w:left w:val="none" w:sz="0" w:space="0" w:color="auto"/>
            <w:bottom w:val="none" w:sz="0" w:space="0" w:color="auto"/>
            <w:right w:val="none" w:sz="0" w:space="0" w:color="auto"/>
          </w:divBdr>
        </w:div>
      </w:divsChild>
    </w:div>
    <w:div w:id="496455626">
      <w:bodyDiv w:val="1"/>
      <w:marLeft w:val="0"/>
      <w:marRight w:val="0"/>
      <w:marTop w:val="0"/>
      <w:marBottom w:val="0"/>
      <w:divBdr>
        <w:top w:val="none" w:sz="0" w:space="0" w:color="auto"/>
        <w:left w:val="none" w:sz="0" w:space="0" w:color="auto"/>
        <w:bottom w:val="none" w:sz="0" w:space="0" w:color="auto"/>
        <w:right w:val="none" w:sz="0" w:space="0" w:color="auto"/>
      </w:divBdr>
    </w:div>
    <w:div w:id="501051477">
      <w:bodyDiv w:val="1"/>
      <w:marLeft w:val="0"/>
      <w:marRight w:val="0"/>
      <w:marTop w:val="0"/>
      <w:marBottom w:val="0"/>
      <w:divBdr>
        <w:top w:val="none" w:sz="0" w:space="0" w:color="auto"/>
        <w:left w:val="none" w:sz="0" w:space="0" w:color="auto"/>
        <w:bottom w:val="none" w:sz="0" w:space="0" w:color="auto"/>
        <w:right w:val="none" w:sz="0" w:space="0" w:color="auto"/>
      </w:divBdr>
    </w:div>
    <w:div w:id="529878574">
      <w:bodyDiv w:val="1"/>
      <w:marLeft w:val="0"/>
      <w:marRight w:val="0"/>
      <w:marTop w:val="0"/>
      <w:marBottom w:val="0"/>
      <w:divBdr>
        <w:top w:val="none" w:sz="0" w:space="0" w:color="auto"/>
        <w:left w:val="none" w:sz="0" w:space="0" w:color="auto"/>
        <w:bottom w:val="none" w:sz="0" w:space="0" w:color="auto"/>
        <w:right w:val="none" w:sz="0" w:space="0" w:color="auto"/>
      </w:divBdr>
    </w:div>
    <w:div w:id="546718815">
      <w:bodyDiv w:val="1"/>
      <w:marLeft w:val="0"/>
      <w:marRight w:val="0"/>
      <w:marTop w:val="0"/>
      <w:marBottom w:val="0"/>
      <w:divBdr>
        <w:top w:val="none" w:sz="0" w:space="0" w:color="auto"/>
        <w:left w:val="none" w:sz="0" w:space="0" w:color="auto"/>
        <w:bottom w:val="none" w:sz="0" w:space="0" w:color="auto"/>
        <w:right w:val="none" w:sz="0" w:space="0" w:color="auto"/>
      </w:divBdr>
    </w:div>
    <w:div w:id="554121582">
      <w:bodyDiv w:val="1"/>
      <w:marLeft w:val="0"/>
      <w:marRight w:val="0"/>
      <w:marTop w:val="0"/>
      <w:marBottom w:val="0"/>
      <w:divBdr>
        <w:top w:val="none" w:sz="0" w:space="0" w:color="auto"/>
        <w:left w:val="none" w:sz="0" w:space="0" w:color="auto"/>
        <w:bottom w:val="none" w:sz="0" w:space="0" w:color="auto"/>
        <w:right w:val="none" w:sz="0" w:space="0" w:color="auto"/>
      </w:divBdr>
    </w:div>
    <w:div w:id="576087921">
      <w:bodyDiv w:val="1"/>
      <w:marLeft w:val="0"/>
      <w:marRight w:val="0"/>
      <w:marTop w:val="0"/>
      <w:marBottom w:val="0"/>
      <w:divBdr>
        <w:top w:val="none" w:sz="0" w:space="0" w:color="auto"/>
        <w:left w:val="none" w:sz="0" w:space="0" w:color="auto"/>
        <w:bottom w:val="none" w:sz="0" w:space="0" w:color="auto"/>
        <w:right w:val="none" w:sz="0" w:space="0" w:color="auto"/>
      </w:divBdr>
    </w:div>
    <w:div w:id="596596216">
      <w:bodyDiv w:val="1"/>
      <w:marLeft w:val="0"/>
      <w:marRight w:val="0"/>
      <w:marTop w:val="0"/>
      <w:marBottom w:val="0"/>
      <w:divBdr>
        <w:top w:val="none" w:sz="0" w:space="0" w:color="auto"/>
        <w:left w:val="none" w:sz="0" w:space="0" w:color="auto"/>
        <w:bottom w:val="none" w:sz="0" w:space="0" w:color="auto"/>
        <w:right w:val="none" w:sz="0" w:space="0" w:color="auto"/>
      </w:divBdr>
    </w:div>
    <w:div w:id="621957904">
      <w:bodyDiv w:val="1"/>
      <w:marLeft w:val="0"/>
      <w:marRight w:val="0"/>
      <w:marTop w:val="0"/>
      <w:marBottom w:val="0"/>
      <w:divBdr>
        <w:top w:val="none" w:sz="0" w:space="0" w:color="auto"/>
        <w:left w:val="none" w:sz="0" w:space="0" w:color="auto"/>
        <w:bottom w:val="none" w:sz="0" w:space="0" w:color="auto"/>
        <w:right w:val="none" w:sz="0" w:space="0" w:color="auto"/>
      </w:divBdr>
    </w:div>
    <w:div w:id="625621455">
      <w:bodyDiv w:val="1"/>
      <w:marLeft w:val="0"/>
      <w:marRight w:val="0"/>
      <w:marTop w:val="0"/>
      <w:marBottom w:val="0"/>
      <w:divBdr>
        <w:top w:val="none" w:sz="0" w:space="0" w:color="auto"/>
        <w:left w:val="none" w:sz="0" w:space="0" w:color="auto"/>
        <w:bottom w:val="none" w:sz="0" w:space="0" w:color="auto"/>
        <w:right w:val="none" w:sz="0" w:space="0" w:color="auto"/>
      </w:divBdr>
    </w:div>
    <w:div w:id="655190084">
      <w:bodyDiv w:val="1"/>
      <w:marLeft w:val="0"/>
      <w:marRight w:val="0"/>
      <w:marTop w:val="0"/>
      <w:marBottom w:val="0"/>
      <w:divBdr>
        <w:top w:val="none" w:sz="0" w:space="0" w:color="auto"/>
        <w:left w:val="none" w:sz="0" w:space="0" w:color="auto"/>
        <w:bottom w:val="none" w:sz="0" w:space="0" w:color="auto"/>
        <w:right w:val="none" w:sz="0" w:space="0" w:color="auto"/>
      </w:divBdr>
    </w:div>
    <w:div w:id="655649641">
      <w:bodyDiv w:val="1"/>
      <w:marLeft w:val="0"/>
      <w:marRight w:val="0"/>
      <w:marTop w:val="0"/>
      <w:marBottom w:val="0"/>
      <w:divBdr>
        <w:top w:val="none" w:sz="0" w:space="0" w:color="auto"/>
        <w:left w:val="none" w:sz="0" w:space="0" w:color="auto"/>
        <w:bottom w:val="none" w:sz="0" w:space="0" w:color="auto"/>
        <w:right w:val="none" w:sz="0" w:space="0" w:color="auto"/>
      </w:divBdr>
    </w:div>
    <w:div w:id="659191211">
      <w:bodyDiv w:val="1"/>
      <w:marLeft w:val="0"/>
      <w:marRight w:val="0"/>
      <w:marTop w:val="0"/>
      <w:marBottom w:val="0"/>
      <w:divBdr>
        <w:top w:val="none" w:sz="0" w:space="0" w:color="auto"/>
        <w:left w:val="none" w:sz="0" w:space="0" w:color="auto"/>
        <w:bottom w:val="none" w:sz="0" w:space="0" w:color="auto"/>
        <w:right w:val="none" w:sz="0" w:space="0" w:color="auto"/>
      </w:divBdr>
    </w:div>
    <w:div w:id="687103636">
      <w:bodyDiv w:val="1"/>
      <w:marLeft w:val="0"/>
      <w:marRight w:val="0"/>
      <w:marTop w:val="0"/>
      <w:marBottom w:val="0"/>
      <w:divBdr>
        <w:top w:val="none" w:sz="0" w:space="0" w:color="auto"/>
        <w:left w:val="none" w:sz="0" w:space="0" w:color="auto"/>
        <w:bottom w:val="none" w:sz="0" w:space="0" w:color="auto"/>
        <w:right w:val="none" w:sz="0" w:space="0" w:color="auto"/>
      </w:divBdr>
    </w:div>
    <w:div w:id="691688316">
      <w:bodyDiv w:val="1"/>
      <w:marLeft w:val="0"/>
      <w:marRight w:val="0"/>
      <w:marTop w:val="0"/>
      <w:marBottom w:val="0"/>
      <w:divBdr>
        <w:top w:val="none" w:sz="0" w:space="0" w:color="auto"/>
        <w:left w:val="none" w:sz="0" w:space="0" w:color="auto"/>
        <w:bottom w:val="none" w:sz="0" w:space="0" w:color="auto"/>
        <w:right w:val="none" w:sz="0" w:space="0" w:color="auto"/>
      </w:divBdr>
    </w:div>
    <w:div w:id="779572530">
      <w:bodyDiv w:val="1"/>
      <w:marLeft w:val="0"/>
      <w:marRight w:val="0"/>
      <w:marTop w:val="0"/>
      <w:marBottom w:val="0"/>
      <w:divBdr>
        <w:top w:val="none" w:sz="0" w:space="0" w:color="auto"/>
        <w:left w:val="none" w:sz="0" w:space="0" w:color="auto"/>
        <w:bottom w:val="none" w:sz="0" w:space="0" w:color="auto"/>
        <w:right w:val="none" w:sz="0" w:space="0" w:color="auto"/>
      </w:divBdr>
    </w:div>
    <w:div w:id="815340525">
      <w:bodyDiv w:val="1"/>
      <w:marLeft w:val="0"/>
      <w:marRight w:val="0"/>
      <w:marTop w:val="0"/>
      <w:marBottom w:val="0"/>
      <w:divBdr>
        <w:top w:val="none" w:sz="0" w:space="0" w:color="auto"/>
        <w:left w:val="none" w:sz="0" w:space="0" w:color="auto"/>
        <w:bottom w:val="none" w:sz="0" w:space="0" w:color="auto"/>
        <w:right w:val="none" w:sz="0" w:space="0" w:color="auto"/>
      </w:divBdr>
    </w:div>
    <w:div w:id="832529317">
      <w:bodyDiv w:val="1"/>
      <w:marLeft w:val="0"/>
      <w:marRight w:val="0"/>
      <w:marTop w:val="0"/>
      <w:marBottom w:val="0"/>
      <w:divBdr>
        <w:top w:val="none" w:sz="0" w:space="0" w:color="auto"/>
        <w:left w:val="none" w:sz="0" w:space="0" w:color="auto"/>
        <w:bottom w:val="none" w:sz="0" w:space="0" w:color="auto"/>
        <w:right w:val="none" w:sz="0" w:space="0" w:color="auto"/>
      </w:divBdr>
    </w:div>
    <w:div w:id="838235427">
      <w:bodyDiv w:val="1"/>
      <w:marLeft w:val="0"/>
      <w:marRight w:val="0"/>
      <w:marTop w:val="0"/>
      <w:marBottom w:val="0"/>
      <w:divBdr>
        <w:top w:val="none" w:sz="0" w:space="0" w:color="auto"/>
        <w:left w:val="none" w:sz="0" w:space="0" w:color="auto"/>
        <w:bottom w:val="none" w:sz="0" w:space="0" w:color="auto"/>
        <w:right w:val="none" w:sz="0" w:space="0" w:color="auto"/>
      </w:divBdr>
    </w:div>
    <w:div w:id="841431363">
      <w:bodyDiv w:val="1"/>
      <w:marLeft w:val="0"/>
      <w:marRight w:val="0"/>
      <w:marTop w:val="0"/>
      <w:marBottom w:val="0"/>
      <w:divBdr>
        <w:top w:val="none" w:sz="0" w:space="0" w:color="auto"/>
        <w:left w:val="none" w:sz="0" w:space="0" w:color="auto"/>
        <w:bottom w:val="none" w:sz="0" w:space="0" w:color="auto"/>
        <w:right w:val="none" w:sz="0" w:space="0" w:color="auto"/>
      </w:divBdr>
    </w:div>
    <w:div w:id="849294718">
      <w:bodyDiv w:val="1"/>
      <w:marLeft w:val="0"/>
      <w:marRight w:val="0"/>
      <w:marTop w:val="0"/>
      <w:marBottom w:val="0"/>
      <w:divBdr>
        <w:top w:val="none" w:sz="0" w:space="0" w:color="auto"/>
        <w:left w:val="none" w:sz="0" w:space="0" w:color="auto"/>
        <w:bottom w:val="none" w:sz="0" w:space="0" w:color="auto"/>
        <w:right w:val="none" w:sz="0" w:space="0" w:color="auto"/>
      </w:divBdr>
    </w:div>
    <w:div w:id="849610708">
      <w:bodyDiv w:val="1"/>
      <w:marLeft w:val="0"/>
      <w:marRight w:val="0"/>
      <w:marTop w:val="0"/>
      <w:marBottom w:val="0"/>
      <w:divBdr>
        <w:top w:val="none" w:sz="0" w:space="0" w:color="auto"/>
        <w:left w:val="none" w:sz="0" w:space="0" w:color="auto"/>
        <w:bottom w:val="none" w:sz="0" w:space="0" w:color="auto"/>
        <w:right w:val="none" w:sz="0" w:space="0" w:color="auto"/>
      </w:divBdr>
    </w:div>
    <w:div w:id="860975404">
      <w:bodyDiv w:val="1"/>
      <w:marLeft w:val="0"/>
      <w:marRight w:val="0"/>
      <w:marTop w:val="0"/>
      <w:marBottom w:val="0"/>
      <w:divBdr>
        <w:top w:val="none" w:sz="0" w:space="0" w:color="auto"/>
        <w:left w:val="none" w:sz="0" w:space="0" w:color="auto"/>
        <w:bottom w:val="none" w:sz="0" w:space="0" w:color="auto"/>
        <w:right w:val="none" w:sz="0" w:space="0" w:color="auto"/>
      </w:divBdr>
    </w:div>
    <w:div w:id="889458378">
      <w:bodyDiv w:val="1"/>
      <w:marLeft w:val="0"/>
      <w:marRight w:val="0"/>
      <w:marTop w:val="0"/>
      <w:marBottom w:val="0"/>
      <w:divBdr>
        <w:top w:val="none" w:sz="0" w:space="0" w:color="auto"/>
        <w:left w:val="none" w:sz="0" w:space="0" w:color="auto"/>
        <w:bottom w:val="none" w:sz="0" w:space="0" w:color="auto"/>
        <w:right w:val="none" w:sz="0" w:space="0" w:color="auto"/>
      </w:divBdr>
      <w:divsChild>
        <w:div w:id="1170758580">
          <w:marLeft w:val="547"/>
          <w:marRight w:val="0"/>
          <w:marTop w:val="0"/>
          <w:marBottom w:val="0"/>
          <w:divBdr>
            <w:top w:val="none" w:sz="0" w:space="0" w:color="auto"/>
            <w:left w:val="none" w:sz="0" w:space="0" w:color="auto"/>
            <w:bottom w:val="none" w:sz="0" w:space="0" w:color="auto"/>
            <w:right w:val="none" w:sz="0" w:space="0" w:color="auto"/>
          </w:divBdr>
        </w:div>
      </w:divsChild>
    </w:div>
    <w:div w:id="899827050">
      <w:bodyDiv w:val="1"/>
      <w:marLeft w:val="0"/>
      <w:marRight w:val="0"/>
      <w:marTop w:val="0"/>
      <w:marBottom w:val="0"/>
      <w:divBdr>
        <w:top w:val="none" w:sz="0" w:space="0" w:color="auto"/>
        <w:left w:val="none" w:sz="0" w:space="0" w:color="auto"/>
        <w:bottom w:val="none" w:sz="0" w:space="0" w:color="auto"/>
        <w:right w:val="none" w:sz="0" w:space="0" w:color="auto"/>
      </w:divBdr>
      <w:divsChild>
        <w:div w:id="1419398354">
          <w:marLeft w:val="547"/>
          <w:marRight w:val="0"/>
          <w:marTop w:val="0"/>
          <w:marBottom w:val="0"/>
          <w:divBdr>
            <w:top w:val="none" w:sz="0" w:space="0" w:color="auto"/>
            <w:left w:val="none" w:sz="0" w:space="0" w:color="auto"/>
            <w:bottom w:val="none" w:sz="0" w:space="0" w:color="auto"/>
            <w:right w:val="none" w:sz="0" w:space="0" w:color="auto"/>
          </w:divBdr>
        </w:div>
      </w:divsChild>
    </w:div>
    <w:div w:id="909460725">
      <w:bodyDiv w:val="1"/>
      <w:marLeft w:val="0"/>
      <w:marRight w:val="0"/>
      <w:marTop w:val="0"/>
      <w:marBottom w:val="0"/>
      <w:divBdr>
        <w:top w:val="none" w:sz="0" w:space="0" w:color="auto"/>
        <w:left w:val="none" w:sz="0" w:space="0" w:color="auto"/>
        <w:bottom w:val="none" w:sz="0" w:space="0" w:color="auto"/>
        <w:right w:val="none" w:sz="0" w:space="0" w:color="auto"/>
      </w:divBdr>
    </w:div>
    <w:div w:id="944338175">
      <w:bodyDiv w:val="1"/>
      <w:marLeft w:val="0"/>
      <w:marRight w:val="0"/>
      <w:marTop w:val="0"/>
      <w:marBottom w:val="0"/>
      <w:divBdr>
        <w:top w:val="none" w:sz="0" w:space="0" w:color="auto"/>
        <w:left w:val="none" w:sz="0" w:space="0" w:color="auto"/>
        <w:bottom w:val="none" w:sz="0" w:space="0" w:color="auto"/>
        <w:right w:val="none" w:sz="0" w:space="0" w:color="auto"/>
      </w:divBdr>
    </w:div>
    <w:div w:id="950748895">
      <w:bodyDiv w:val="1"/>
      <w:marLeft w:val="0"/>
      <w:marRight w:val="0"/>
      <w:marTop w:val="0"/>
      <w:marBottom w:val="0"/>
      <w:divBdr>
        <w:top w:val="none" w:sz="0" w:space="0" w:color="auto"/>
        <w:left w:val="none" w:sz="0" w:space="0" w:color="auto"/>
        <w:bottom w:val="none" w:sz="0" w:space="0" w:color="auto"/>
        <w:right w:val="none" w:sz="0" w:space="0" w:color="auto"/>
      </w:divBdr>
      <w:divsChild>
        <w:div w:id="1377313846">
          <w:marLeft w:val="547"/>
          <w:marRight w:val="0"/>
          <w:marTop w:val="0"/>
          <w:marBottom w:val="0"/>
          <w:divBdr>
            <w:top w:val="none" w:sz="0" w:space="0" w:color="auto"/>
            <w:left w:val="none" w:sz="0" w:space="0" w:color="auto"/>
            <w:bottom w:val="none" w:sz="0" w:space="0" w:color="auto"/>
            <w:right w:val="none" w:sz="0" w:space="0" w:color="auto"/>
          </w:divBdr>
        </w:div>
      </w:divsChild>
    </w:div>
    <w:div w:id="969630497">
      <w:bodyDiv w:val="1"/>
      <w:marLeft w:val="0"/>
      <w:marRight w:val="0"/>
      <w:marTop w:val="0"/>
      <w:marBottom w:val="0"/>
      <w:divBdr>
        <w:top w:val="none" w:sz="0" w:space="0" w:color="auto"/>
        <w:left w:val="none" w:sz="0" w:space="0" w:color="auto"/>
        <w:bottom w:val="none" w:sz="0" w:space="0" w:color="auto"/>
        <w:right w:val="none" w:sz="0" w:space="0" w:color="auto"/>
      </w:divBdr>
    </w:div>
    <w:div w:id="983775503">
      <w:bodyDiv w:val="1"/>
      <w:marLeft w:val="0"/>
      <w:marRight w:val="0"/>
      <w:marTop w:val="0"/>
      <w:marBottom w:val="0"/>
      <w:divBdr>
        <w:top w:val="none" w:sz="0" w:space="0" w:color="auto"/>
        <w:left w:val="none" w:sz="0" w:space="0" w:color="auto"/>
        <w:bottom w:val="none" w:sz="0" w:space="0" w:color="auto"/>
        <w:right w:val="none" w:sz="0" w:space="0" w:color="auto"/>
      </w:divBdr>
    </w:div>
    <w:div w:id="986125191">
      <w:bodyDiv w:val="1"/>
      <w:marLeft w:val="0"/>
      <w:marRight w:val="0"/>
      <w:marTop w:val="0"/>
      <w:marBottom w:val="0"/>
      <w:divBdr>
        <w:top w:val="none" w:sz="0" w:space="0" w:color="auto"/>
        <w:left w:val="none" w:sz="0" w:space="0" w:color="auto"/>
        <w:bottom w:val="none" w:sz="0" w:space="0" w:color="auto"/>
        <w:right w:val="none" w:sz="0" w:space="0" w:color="auto"/>
      </w:divBdr>
    </w:div>
    <w:div w:id="990211988">
      <w:bodyDiv w:val="1"/>
      <w:marLeft w:val="0"/>
      <w:marRight w:val="0"/>
      <w:marTop w:val="0"/>
      <w:marBottom w:val="0"/>
      <w:divBdr>
        <w:top w:val="none" w:sz="0" w:space="0" w:color="auto"/>
        <w:left w:val="none" w:sz="0" w:space="0" w:color="auto"/>
        <w:bottom w:val="none" w:sz="0" w:space="0" w:color="auto"/>
        <w:right w:val="none" w:sz="0" w:space="0" w:color="auto"/>
      </w:divBdr>
    </w:div>
    <w:div w:id="991714510">
      <w:bodyDiv w:val="1"/>
      <w:marLeft w:val="0"/>
      <w:marRight w:val="0"/>
      <w:marTop w:val="0"/>
      <w:marBottom w:val="0"/>
      <w:divBdr>
        <w:top w:val="none" w:sz="0" w:space="0" w:color="auto"/>
        <w:left w:val="none" w:sz="0" w:space="0" w:color="auto"/>
        <w:bottom w:val="none" w:sz="0" w:space="0" w:color="auto"/>
        <w:right w:val="none" w:sz="0" w:space="0" w:color="auto"/>
      </w:divBdr>
    </w:div>
    <w:div w:id="991954165">
      <w:bodyDiv w:val="1"/>
      <w:marLeft w:val="0"/>
      <w:marRight w:val="0"/>
      <w:marTop w:val="0"/>
      <w:marBottom w:val="0"/>
      <w:divBdr>
        <w:top w:val="none" w:sz="0" w:space="0" w:color="auto"/>
        <w:left w:val="none" w:sz="0" w:space="0" w:color="auto"/>
        <w:bottom w:val="none" w:sz="0" w:space="0" w:color="auto"/>
        <w:right w:val="none" w:sz="0" w:space="0" w:color="auto"/>
      </w:divBdr>
    </w:div>
    <w:div w:id="1005861534">
      <w:bodyDiv w:val="1"/>
      <w:marLeft w:val="0"/>
      <w:marRight w:val="0"/>
      <w:marTop w:val="0"/>
      <w:marBottom w:val="0"/>
      <w:divBdr>
        <w:top w:val="none" w:sz="0" w:space="0" w:color="auto"/>
        <w:left w:val="none" w:sz="0" w:space="0" w:color="auto"/>
        <w:bottom w:val="none" w:sz="0" w:space="0" w:color="auto"/>
        <w:right w:val="none" w:sz="0" w:space="0" w:color="auto"/>
      </w:divBdr>
    </w:div>
    <w:div w:id="1016805235">
      <w:bodyDiv w:val="1"/>
      <w:marLeft w:val="0"/>
      <w:marRight w:val="0"/>
      <w:marTop w:val="0"/>
      <w:marBottom w:val="0"/>
      <w:divBdr>
        <w:top w:val="none" w:sz="0" w:space="0" w:color="auto"/>
        <w:left w:val="none" w:sz="0" w:space="0" w:color="auto"/>
        <w:bottom w:val="none" w:sz="0" w:space="0" w:color="auto"/>
        <w:right w:val="none" w:sz="0" w:space="0" w:color="auto"/>
      </w:divBdr>
    </w:div>
    <w:div w:id="1036807003">
      <w:bodyDiv w:val="1"/>
      <w:marLeft w:val="0"/>
      <w:marRight w:val="0"/>
      <w:marTop w:val="0"/>
      <w:marBottom w:val="0"/>
      <w:divBdr>
        <w:top w:val="none" w:sz="0" w:space="0" w:color="auto"/>
        <w:left w:val="none" w:sz="0" w:space="0" w:color="auto"/>
        <w:bottom w:val="none" w:sz="0" w:space="0" w:color="auto"/>
        <w:right w:val="none" w:sz="0" w:space="0" w:color="auto"/>
      </w:divBdr>
      <w:divsChild>
        <w:div w:id="1808549945">
          <w:marLeft w:val="547"/>
          <w:marRight w:val="0"/>
          <w:marTop w:val="0"/>
          <w:marBottom w:val="0"/>
          <w:divBdr>
            <w:top w:val="none" w:sz="0" w:space="0" w:color="auto"/>
            <w:left w:val="none" w:sz="0" w:space="0" w:color="auto"/>
            <w:bottom w:val="none" w:sz="0" w:space="0" w:color="auto"/>
            <w:right w:val="none" w:sz="0" w:space="0" w:color="auto"/>
          </w:divBdr>
        </w:div>
      </w:divsChild>
    </w:div>
    <w:div w:id="1042289683">
      <w:bodyDiv w:val="1"/>
      <w:marLeft w:val="0"/>
      <w:marRight w:val="0"/>
      <w:marTop w:val="0"/>
      <w:marBottom w:val="0"/>
      <w:divBdr>
        <w:top w:val="none" w:sz="0" w:space="0" w:color="auto"/>
        <w:left w:val="none" w:sz="0" w:space="0" w:color="auto"/>
        <w:bottom w:val="none" w:sz="0" w:space="0" w:color="auto"/>
        <w:right w:val="none" w:sz="0" w:space="0" w:color="auto"/>
      </w:divBdr>
    </w:div>
    <w:div w:id="1059134702">
      <w:bodyDiv w:val="1"/>
      <w:marLeft w:val="0"/>
      <w:marRight w:val="0"/>
      <w:marTop w:val="0"/>
      <w:marBottom w:val="0"/>
      <w:divBdr>
        <w:top w:val="none" w:sz="0" w:space="0" w:color="auto"/>
        <w:left w:val="none" w:sz="0" w:space="0" w:color="auto"/>
        <w:bottom w:val="none" w:sz="0" w:space="0" w:color="auto"/>
        <w:right w:val="none" w:sz="0" w:space="0" w:color="auto"/>
      </w:divBdr>
    </w:div>
    <w:div w:id="1060977050">
      <w:bodyDiv w:val="1"/>
      <w:marLeft w:val="0"/>
      <w:marRight w:val="0"/>
      <w:marTop w:val="0"/>
      <w:marBottom w:val="0"/>
      <w:divBdr>
        <w:top w:val="none" w:sz="0" w:space="0" w:color="auto"/>
        <w:left w:val="none" w:sz="0" w:space="0" w:color="auto"/>
        <w:bottom w:val="none" w:sz="0" w:space="0" w:color="auto"/>
        <w:right w:val="none" w:sz="0" w:space="0" w:color="auto"/>
      </w:divBdr>
    </w:div>
    <w:div w:id="1068381203">
      <w:bodyDiv w:val="1"/>
      <w:marLeft w:val="0"/>
      <w:marRight w:val="0"/>
      <w:marTop w:val="0"/>
      <w:marBottom w:val="0"/>
      <w:divBdr>
        <w:top w:val="none" w:sz="0" w:space="0" w:color="auto"/>
        <w:left w:val="none" w:sz="0" w:space="0" w:color="auto"/>
        <w:bottom w:val="none" w:sz="0" w:space="0" w:color="auto"/>
        <w:right w:val="none" w:sz="0" w:space="0" w:color="auto"/>
      </w:divBdr>
    </w:div>
    <w:div w:id="1091315393">
      <w:bodyDiv w:val="1"/>
      <w:marLeft w:val="0"/>
      <w:marRight w:val="0"/>
      <w:marTop w:val="0"/>
      <w:marBottom w:val="0"/>
      <w:divBdr>
        <w:top w:val="none" w:sz="0" w:space="0" w:color="auto"/>
        <w:left w:val="none" w:sz="0" w:space="0" w:color="auto"/>
        <w:bottom w:val="none" w:sz="0" w:space="0" w:color="auto"/>
        <w:right w:val="none" w:sz="0" w:space="0" w:color="auto"/>
      </w:divBdr>
    </w:div>
    <w:div w:id="1108547417">
      <w:bodyDiv w:val="1"/>
      <w:marLeft w:val="0"/>
      <w:marRight w:val="0"/>
      <w:marTop w:val="0"/>
      <w:marBottom w:val="0"/>
      <w:divBdr>
        <w:top w:val="none" w:sz="0" w:space="0" w:color="auto"/>
        <w:left w:val="none" w:sz="0" w:space="0" w:color="auto"/>
        <w:bottom w:val="none" w:sz="0" w:space="0" w:color="auto"/>
        <w:right w:val="none" w:sz="0" w:space="0" w:color="auto"/>
      </w:divBdr>
    </w:div>
    <w:div w:id="1118719079">
      <w:bodyDiv w:val="1"/>
      <w:marLeft w:val="0"/>
      <w:marRight w:val="0"/>
      <w:marTop w:val="0"/>
      <w:marBottom w:val="0"/>
      <w:divBdr>
        <w:top w:val="none" w:sz="0" w:space="0" w:color="auto"/>
        <w:left w:val="none" w:sz="0" w:space="0" w:color="auto"/>
        <w:bottom w:val="none" w:sz="0" w:space="0" w:color="auto"/>
        <w:right w:val="none" w:sz="0" w:space="0" w:color="auto"/>
      </w:divBdr>
    </w:div>
    <w:div w:id="1120150228">
      <w:bodyDiv w:val="1"/>
      <w:marLeft w:val="0"/>
      <w:marRight w:val="0"/>
      <w:marTop w:val="0"/>
      <w:marBottom w:val="0"/>
      <w:divBdr>
        <w:top w:val="none" w:sz="0" w:space="0" w:color="auto"/>
        <w:left w:val="none" w:sz="0" w:space="0" w:color="auto"/>
        <w:bottom w:val="none" w:sz="0" w:space="0" w:color="auto"/>
        <w:right w:val="none" w:sz="0" w:space="0" w:color="auto"/>
      </w:divBdr>
    </w:div>
    <w:div w:id="1122576795">
      <w:bodyDiv w:val="1"/>
      <w:marLeft w:val="0"/>
      <w:marRight w:val="0"/>
      <w:marTop w:val="0"/>
      <w:marBottom w:val="0"/>
      <w:divBdr>
        <w:top w:val="none" w:sz="0" w:space="0" w:color="auto"/>
        <w:left w:val="none" w:sz="0" w:space="0" w:color="auto"/>
        <w:bottom w:val="none" w:sz="0" w:space="0" w:color="auto"/>
        <w:right w:val="none" w:sz="0" w:space="0" w:color="auto"/>
      </w:divBdr>
      <w:divsChild>
        <w:div w:id="1059329537">
          <w:marLeft w:val="547"/>
          <w:marRight w:val="0"/>
          <w:marTop w:val="0"/>
          <w:marBottom w:val="0"/>
          <w:divBdr>
            <w:top w:val="none" w:sz="0" w:space="0" w:color="auto"/>
            <w:left w:val="none" w:sz="0" w:space="0" w:color="auto"/>
            <w:bottom w:val="none" w:sz="0" w:space="0" w:color="auto"/>
            <w:right w:val="none" w:sz="0" w:space="0" w:color="auto"/>
          </w:divBdr>
        </w:div>
      </w:divsChild>
    </w:div>
    <w:div w:id="1132285133">
      <w:bodyDiv w:val="1"/>
      <w:marLeft w:val="0"/>
      <w:marRight w:val="0"/>
      <w:marTop w:val="0"/>
      <w:marBottom w:val="0"/>
      <w:divBdr>
        <w:top w:val="none" w:sz="0" w:space="0" w:color="auto"/>
        <w:left w:val="none" w:sz="0" w:space="0" w:color="auto"/>
        <w:bottom w:val="none" w:sz="0" w:space="0" w:color="auto"/>
        <w:right w:val="none" w:sz="0" w:space="0" w:color="auto"/>
      </w:divBdr>
    </w:div>
    <w:div w:id="1163424543">
      <w:bodyDiv w:val="1"/>
      <w:marLeft w:val="0"/>
      <w:marRight w:val="0"/>
      <w:marTop w:val="0"/>
      <w:marBottom w:val="0"/>
      <w:divBdr>
        <w:top w:val="none" w:sz="0" w:space="0" w:color="auto"/>
        <w:left w:val="none" w:sz="0" w:space="0" w:color="auto"/>
        <w:bottom w:val="none" w:sz="0" w:space="0" w:color="auto"/>
        <w:right w:val="none" w:sz="0" w:space="0" w:color="auto"/>
      </w:divBdr>
    </w:div>
    <w:div w:id="1186014555">
      <w:bodyDiv w:val="1"/>
      <w:marLeft w:val="0"/>
      <w:marRight w:val="0"/>
      <w:marTop w:val="0"/>
      <w:marBottom w:val="0"/>
      <w:divBdr>
        <w:top w:val="none" w:sz="0" w:space="0" w:color="auto"/>
        <w:left w:val="none" w:sz="0" w:space="0" w:color="auto"/>
        <w:bottom w:val="none" w:sz="0" w:space="0" w:color="auto"/>
        <w:right w:val="none" w:sz="0" w:space="0" w:color="auto"/>
      </w:divBdr>
    </w:div>
    <w:div w:id="1189951244">
      <w:bodyDiv w:val="1"/>
      <w:marLeft w:val="0"/>
      <w:marRight w:val="0"/>
      <w:marTop w:val="0"/>
      <w:marBottom w:val="0"/>
      <w:divBdr>
        <w:top w:val="none" w:sz="0" w:space="0" w:color="auto"/>
        <w:left w:val="none" w:sz="0" w:space="0" w:color="auto"/>
        <w:bottom w:val="none" w:sz="0" w:space="0" w:color="auto"/>
        <w:right w:val="none" w:sz="0" w:space="0" w:color="auto"/>
      </w:divBdr>
    </w:div>
    <w:div w:id="1201356543">
      <w:bodyDiv w:val="1"/>
      <w:marLeft w:val="0"/>
      <w:marRight w:val="0"/>
      <w:marTop w:val="0"/>
      <w:marBottom w:val="0"/>
      <w:divBdr>
        <w:top w:val="none" w:sz="0" w:space="0" w:color="auto"/>
        <w:left w:val="none" w:sz="0" w:space="0" w:color="auto"/>
        <w:bottom w:val="none" w:sz="0" w:space="0" w:color="auto"/>
        <w:right w:val="none" w:sz="0" w:space="0" w:color="auto"/>
      </w:divBdr>
    </w:div>
    <w:div w:id="1231229114">
      <w:bodyDiv w:val="1"/>
      <w:marLeft w:val="0"/>
      <w:marRight w:val="0"/>
      <w:marTop w:val="0"/>
      <w:marBottom w:val="0"/>
      <w:divBdr>
        <w:top w:val="none" w:sz="0" w:space="0" w:color="auto"/>
        <w:left w:val="none" w:sz="0" w:space="0" w:color="auto"/>
        <w:bottom w:val="none" w:sz="0" w:space="0" w:color="auto"/>
        <w:right w:val="none" w:sz="0" w:space="0" w:color="auto"/>
      </w:divBdr>
    </w:div>
    <w:div w:id="1242988228">
      <w:bodyDiv w:val="1"/>
      <w:marLeft w:val="0"/>
      <w:marRight w:val="0"/>
      <w:marTop w:val="0"/>
      <w:marBottom w:val="0"/>
      <w:divBdr>
        <w:top w:val="none" w:sz="0" w:space="0" w:color="auto"/>
        <w:left w:val="none" w:sz="0" w:space="0" w:color="auto"/>
        <w:bottom w:val="none" w:sz="0" w:space="0" w:color="auto"/>
        <w:right w:val="none" w:sz="0" w:space="0" w:color="auto"/>
      </w:divBdr>
    </w:div>
    <w:div w:id="1255935978">
      <w:bodyDiv w:val="1"/>
      <w:marLeft w:val="0"/>
      <w:marRight w:val="0"/>
      <w:marTop w:val="0"/>
      <w:marBottom w:val="0"/>
      <w:divBdr>
        <w:top w:val="none" w:sz="0" w:space="0" w:color="auto"/>
        <w:left w:val="none" w:sz="0" w:space="0" w:color="auto"/>
        <w:bottom w:val="none" w:sz="0" w:space="0" w:color="auto"/>
        <w:right w:val="none" w:sz="0" w:space="0" w:color="auto"/>
      </w:divBdr>
      <w:divsChild>
        <w:div w:id="598489210">
          <w:marLeft w:val="547"/>
          <w:marRight w:val="0"/>
          <w:marTop w:val="0"/>
          <w:marBottom w:val="0"/>
          <w:divBdr>
            <w:top w:val="none" w:sz="0" w:space="0" w:color="auto"/>
            <w:left w:val="none" w:sz="0" w:space="0" w:color="auto"/>
            <w:bottom w:val="none" w:sz="0" w:space="0" w:color="auto"/>
            <w:right w:val="none" w:sz="0" w:space="0" w:color="auto"/>
          </w:divBdr>
        </w:div>
      </w:divsChild>
    </w:div>
    <w:div w:id="1273392124">
      <w:bodyDiv w:val="1"/>
      <w:marLeft w:val="0"/>
      <w:marRight w:val="0"/>
      <w:marTop w:val="0"/>
      <w:marBottom w:val="0"/>
      <w:divBdr>
        <w:top w:val="none" w:sz="0" w:space="0" w:color="auto"/>
        <w:left w:val="none" w:sz="0" w:space="0" w:color="auto"/>
        <w:bottom w:val="none" w:sz="0" w:space="0" w:color="auto"/>
        <w:right w:val="none" w:sz="0" w:space="0" w:color="auto"/>
      </w:divBdr>
    </w:div>
    <w:div w:id="1291671656">
      <w:bodyDiv w:val="1"/>
      <w:marLeft w:val="0"/>
      <w:marRight w:val="0"/>
      <w:marTop w:val="0"/>
      <w:marBottom w:val="0"/>
      <w:divBdr>
        <w:top w:val="none" w:sz="0" w:space="0" w:color="auto"/>
        <w:left w:val="none" w:sz="0" w:space="0" w:color="auto"/>
        <w:bottom w:val="none" w:sz="0" w:space="0" w:color="auto"/>
        <w:right w:val="none" w:sz="0" w:space="0" w:color="auto"/>
      </w:divBdr>
    </w:div>
    <w:div w:id="1302274518">
      <w:bodyDiv w:val="1"/>
      <w:marLeft w:val="0"/>
      <w:marRight w:val="0"/>
      <w:marTop w:val="0"/>
      <w:marBottom w:val="0"/>
      <w:divBdr>
        <w:top w:val="none" w:sz="0" w:space="0" w:color="auto"/>
        <w:left w:val="none" w:sz="0" w:space="0" w:color="auto"/>
        <w:bottom w:val="none" w:sz="0" w:space="0" w:color="auto"/>
        <w:right w:val="none" w:sz="0" w:space="0" w:color="auto"/>
      </w:divBdr>
    </w:div>
    <w:div w:id="1313293885">
      <w:bodyDiv w:val="1"/>
      <w:marLeft w:val="0"/>
      <w:marRight w:val="0"/>
      <w:marTop w:val="0"/>
      <w:marBottom w:val="0"/>
      <w:divBdr>
        <w:top w:val="none" w:sz="0" w:space="0" w:color="auto"/>
        <w:left w:val="none" w:sz="0" w:space="0" w:color="auto"/>
        <w:bottom w:val="none" w:sz="0" w:space="0" w:color="auto"/>
        <w:right w:val="none" w:sz="0" w:space="0" w:color="auto"/>
      </w:divBdr>
    </w:div>
    <w:div w:id="1314069570">
      <w:bodyDiv w:val="1"/>
      <w:marLeft w:val="0"/>
      <w:marRight w:val="0"/>
      <w:marTop w:val="0"/>
      <w:marBottom w:val="0"/>
      <w:divBdr>
        <w:top w:val="none" w:sz="0" w:space="0" w:color="auto"/>
        <w:left w:val="none" w:sz="0" w:space="0" w:color="auto"/>
        <w:bottom w:val="none" w:sz="0" w:space="0" w:color="auto"/>
        <w:right w:val="none" w:sz="0" w:space="0" w:color="auto"/>
      </w:divBdr>
    </w:div>
    <w:div w:id="1318999654">
      <w:bodyDiv w:val="1"/>
      <w:marLeft w:val="0"/>
      <w:marRight w:val="0"/>
      <w:marTop w:val="0"/>
      <w:marBottom w:val="0"/>
      <w:divBdr>
        <w:top w:val="none" w:sz="0" w:space="0" w:color="auto"/>
        <w:left w:val="none" w:sz="0" w:space="0" w:color="auto"/>
        <w:bottom w:val="none" w:sz="0" w:space="0" w:color="auto"/>
        <w:right w:val="none" w:sz="0" w:space="0" w:color="auto"/>
      </w:divBdr>
    </w:div>
    <w:div w:id="1323310109">
      <w:bodyDiv w:val="1"/>
      <w:marLeft w:val="0"/>
      <w:marRight w:val="0"/>
      <w:marTop w:val="0"/>
      <w:marBottom w:val="0"/>
      <w:divBdr>
        <w:top w:val="none" w:sz="0" w:space="0" w:color="auto"/>
        <w:left w:val="none" w:sz="0" w:space="0" w:color="auto"/>
        <w:bottom w:val="none" w:sz="0" w:space="0" w:color="auto"/>
        <w:right w:val="none" w:sz="0" w:space="0" w:color="auto"/>
      </w:divBdr>
    </w:div>
    <w:div w:id="1384476083">
      <w:bodyDiv w:val="1"/>
      <w:marLeft w:val="0"/>
      <w:marRight w:val="0"/>
      <w:marTop w:val="0"/>
      <w:marBottom w:val="0"/>
      <w:divBdr>
        <w:top w:val="none" w:sz="0" w:space="0" w:color="auto"/>
        <w:left w:val="none" w:sz="0" w:space="0" w:color="auto"/>
        <w:bottom w:val="none" w:sz="0" w:space="0" w:color="auto"/>
        <w:right w:val="none" w:sz="0" w:space="0" w:color="auto"/>
      </w:divBdr>
    </w:div>
    <w:div w:id="1430931000">
      <w:bodyDiv w:val="1"/>
      <w:marLeft w:val="0"/>
      <w:marRight w:val="0"/>
      <w:marTop w:val="0"/>
      <w:marBottom w:val="0"/>
      <w:divBdr>
        <w:top w:val="none" w:sz="0" w:space="0" w:color="auto"/>
        <w:left w:val="none" w:sz="0" w:space="0" w:color="auto"/>
        <w:bottom w:val="none" w:sz="0" w:space="0" w:color="auto"/>
        <w:right w:val="none" w:sz="0" w:space="0" w:color="auto"/>
      </w:divBdr>
    </w:div>
    <w:div w:id="1448937158">
      <w:bodyDiv w:val="1"/>
      <w:marLeft w:val="0"/>
      <w:marRight w:val="0"/>
      <w:marTop w:val="0"/>
      <w:marBottom w:val="0"/>
      <w:divBdr>
        <w:top w:val="none" w:sz="0" w:space="0" w:color="auto"/>
        <w:left w:val="none" w:sz="0" w:space="0" w:color="auto"/>
        <w:bottom w:val="none" w:sz="0" w:space="0" w:color="auto"/>
        <w:right w:val="none" w:sz="0" w:space="0" w:color="auto"/>
      </w:divBdr>
    </w:div>
    <w:div w:id="1469712290">
      <w:bodyDiv w:val="1"/>
      <w:marLeft w:val="0"/>
      <w:marRight w:val="0"/>
      <w:marTop w:val="0"/>
      <w:marBottom w:val="0"/>
      <w:divBdr>
        <w:top w:val="none" w:sz="0" w:space="0" w:color="auto"/>
        <w:left w:val="none" w:sz="0" w:space="0" w:color="auto"/>
        <w:bottom w:val="none" w:sz="0" w:space="0" w:color="auto"/>
        <w:right w:val="none" w:sz="0" w:space="0" w:color="auto"/>
      </w:divBdr>
    </w:div>
    <w:div w:id="1472483915">
      <w:bodyDiv w:val="1"/>
      <w:marLeft w:val="0"/>
      <w:marRight w:val="0"/>
      <w:marTop w:val="0"/>
      <w:marBottom w:val="0"/>
      <w:divBdr>
        <w:top w:val="none" w:sz="0" w:space="0" w:color="auto"/>
        <w:left w:val="none" w:sz="0" w:space="0" w:color="auto"/>
        <w:bottom w:val="none" w:sz="0" w:space="0" w:color="auto"/>
        <w:right w:val="none" w:sz="0" w:space="0" w:color="auto"/>
      </w:divBdr>
    </w:div>
    <w:div w:id="1474328020">
      <w:bodyDiv w:val="1"/>
      <w:marLeft w:val="0"/>
      <w:marRight w:val="0"/>
      <w:marTop w:val="0"/>
      <w:marBottom w:val="0"/>
      <w:divBdr>
        <w:top w:val="none" w:sz="0" w:space="0" w:color="auto"/>
        <w:left w:val="none" w:sz="0" w:space="0" w:color="auto"/>
        <w:bottom w:val="none" w:sz="0" w:space="0" w:color="auto"/>
        <w:right w:val="none" w:sz="0" w:space="0" w:color="auto"/>
      </w:divBdr>
    </w:div>
    <w:div w:id="1480612710">
      <w:bodyDiv w:val="1"/>
      <w:marLeft w:val="0"/>
      <w:marRight w:val="0"/>
      <w:marTop w:val="0"/>
      <w:marBottom w:val="0"/>
      <w:divBdr>
        <w:top w:val="none" w:sz="0" w:space="0" w:color="auto"/>
        <w:left w:val="none" w:sz="0" w:space="0" w:color="auto"/>
        <w:bottom w:val="none" w:sz="0" w:space="0" w:color="auto"/>
        <w:right w:val="none" w:sz="0" w:space="0" w:color="auto"/>
      </w:divBdr>
      <w:divsChild>
        <w:div w:id="1921480124">
          <w:marLeft w:val="547"/>
          <w:marRight w:val="0"/>
          <w:marTop w:val="0"/>
          <w:marBottom w:val="0"/>
          <w:divBdr>
            <w:top w:val="none" w:sz="0" w:space="0" w:color="auto"/>
            <w:left w:val="none" w:sz="0" w:space="0" w:color="auto"/>
            <w:bottom w:val="none" w:sz="0" w:space="0" w:color="auto"/>
            <w:right w:val="none" w:sz="0" w:space="0" w:color="auto"/>
          </w:divBdr>
        </w:div>
      </w:divsChild>
    </w:div>
    <w:div w:id="1501507888">
      <w:bodyDiv w:val="1"/>
      <w:marLeft w:val="0"/>
      <w:marRight w:val="0"/>
      <w:marTop w:val="0"/>
      <w:marBottom w:val="0"/>
      <w:divBdr>
        <w:top w:val="none" w:sz="0" w:space="0" w:color="auto"/>
        <w:left w:val="none" w:sz="0" w:space="0" w:color="auto"/>
        <w:bottom w:val="none" w:sz="0" w:space="0" w:color="auto"/>
        <w:right w:val="none" w:sz="0" w:space="0" w:color="auto"/>
      </w:divBdr>
    </w:div>
    <w:div w:id="1512258351">
      <w:bodyDiv w:val="1"/>
      <w:marLeft w:val="0"/>
      <w:marRight w:val="0"/>
      <w:marTop w:val="0"/>
      <w:marBottom w:val="0"/>
      <w:divBdr>
        <w:top w:val="none" w:sz="0" w:space="0" w:color="auto"/>
        <w:left w:val="none" w:sz="0" w:space="0" w:color="auto"/>
        <w:bottom w:val="none" w:sz="0" w:space="0" w:color="auto"/>
        <w:right w:val="none" w:sz="0" w:space="0" w:color="auto"/>
      </w:divBdr>
      <w:divsChild>
        <w:div w:id="447551264">
          <w:marLeft w:val="0"/>
          <w:marRight w:val="0"/>
          <w:marTop w:val="0"/>
          <w:marBottom w:val="0"/>
          <w:divBdr>
            <w:top w:val="none" w:sz="0" w:space="0" w:color="auto"/>
            <w:left w:val="none" w:sz="0" w:space="0" w:color="auto"/>
            <w:bottom w:val="none" w:sz="0" w:space="0" w:color="auto"/>
            <w:right w:val="none" w:sz="0" w:space="0" w:color="auto"/>
          </w:divBdr>
        </w:div>
        <w:div w:id="781922895">
          <w:marLeft w:val="0"/>
          <w:marRight w:val="0"/>
          <w:marTop w:val="0"/>
          <w:marBottom w:val="0"/>
          <w:divBdr>
            <w:top w:val="none" w:sz="0" w:space="0" w:color="auto"/>
            <w:left w:val="none" w:sz="0" w:space="0" w:color="auto"/>
            <w:bottom w:val="none" w:sz="0" w:space="0" w:color="auto"/>
            <w:right w:val="none" w:sz="0" w:space="0" w:color="auto"/>
          </w:divBdr>
          <w:divsChild>
            <w:div w:id="178548795">
              <w:marLeft w:val="0"/>
              <w:marRight w:val="0"/>
              <w:marTop w:val="0"/>
              <w:marBottom w:val="0"/>
              <w:divBdr>
                <w:top w:val="none" w:sz="0" w:space="0" w:color="auto"/>
                <w:left w:val="none" w:sz="0" w:space="0" w:color="auto"/>
                <w:bottom w:val="none" w:sz="0" w:space="0" w:color="auto"/>
                <w:right w:val="none" w:sz="0" w:space="0" w:color="auto"/>
              </w:divBdr>
            </w:div>
          </w:divsChild>
        </w:div>
        <w:div w:id="826171598">
          <w:marLeft w:val="0"/>
          <w:marRight w:val="0"/>
          <w:marTop w:val="0"/>
          <w:marBottom w:val="0"/>
          <w:divBdr>
            <w:top w:val="none" w:sz="0" w:space="0" w:color="auto"/>
            <w:left w:val="none" w:sz="0" w:space="0" w:color="auto"/>
            <w:bottom w:val="none" w:sz="0" w:space="0" w:color="auto"/>
            <w:right w:val="none" w:sz="0" w:space="0" w:color="auto"/>
          </w:divBdr>
        </w:div>
        <w:div w:id="1330983333">
          <w:marLeft w:val="0"/>
          <w:marRight w:val="0"/>
          <w:marTop w:val="0"/>
          <w:marBottom w:val="0"/>
          <w:divBdr>
            <w:top w:val="none" w:sz="0" w:space="0" w:color="auto"/>
            <w:left w:val="none" w:sz="0" w:space="0" w:color="auto"/>
            <w:bottom w:val="none" w:sz="0" w:space="0" w:color="auto"/>
            <w:right w:val="none" w:sz="0" w:space="0" w:color="auto"/>
          </w:divBdr>
        </w:div>
        <w:div w:id="1617524493">
          <w:marLeft w:val="0"/>
          <w:marRight w:val="0"/>
          <w:marTop w:val="0"/>
          <w:marBottom w:val="0"/>
          <w:divBdr>
            <w:top w:val="none" w:sz="0" w:space="0" w:color="auto"/>
            <w:left w:val="none" w:sz="0" w:space="0" w:color="auto"/>
            <w:bottom w:val="none" w:sz="0" w:space="0" w:color="auto"/>
            <w:right w:val="none" w:sz="0" w:space="0" w:color="auto"/>
          </w:divBdr>
        </w:div>
      </w:divsChild>
    </w:div>
    <w:div w:id="1516843916">
      <w:bodyDiv w:val="1"/>
      <w:marLeft w:val="0"/>
      <w:marRight w:val="0"/>
      <w:marTop w:val="0"/>
      <w:marBottom w:val="0"/>
      <w:divBdr>
        <w:top w:val="none" w:sz="0" w:space="0" w:color="auto"/>
        <w:left w:val="none" w:sz="0" w:space="0" w:color="auto"/>
        <w:bottom w:val="none" w:sz="0" w:space="0" w:color="auto"/>
        <w:right w:val="none" w:sz="0" w:space="0" w:color="auto"/>
      </w:divBdr>
    </w:div>
    <w:div w:id="1519612327">
      <w:bodyDiv w:val="1"/>
      <w:marLeft w:val="0"/>
      <w:marRight w:val="0"/>
      <w:marTop w:val="0"/>
      <w:marBottom w:val="0"/>
      <w:divBdr>
        <w:top w:val="none" w:sz="0" w:space="0" w:color="auto"/>
        <w:left w:val="none" w:sz="0" w:space="0" w:color="auto"/>
        <w:bottom w:val="none" w:sz="0" w:space="0" w:color="auto"/>
        <w:right w:val="none" w:sz="0" w:space="0" w:color="auto"/>
      </w:divBdr>
      <w:divsChild>
        <w:div w:id="918519332">
          <w:marLeft w:val="547"/>
          <w:marRight w:val="0"/>
          <w:marTop w:val="0"/>
          <w:marBottom w:val="0"/>
          <w:divBdr>
            <w:top w:val="none" w:sz="0" w:space="0" w:color="auto"/>
            <w:left w:val="none" w:sz="0" w:space="0" w:color="auto"/>
            <w:bottom w:val="none" w:sz="0" w:space="0" w:color="auto"/>
            <w:right w:val="none" w:sz="0" w:space="0" w:color="auto"/>
          </w:divBdr>
        </w:div>
      </w:divsChild>
    </w:div>
    <w:div w:id="1526138562">
      <w:bodyDiv w:val="1"/>
      <w:marLeft w:val="0"/>
      <w:marRight w:val="0"/>
      <w:marTop w:val="0"/>
      <w:marBottom w:val="0"/>
      <w:divBdr>
        <w:top w:val="none" w:sz="0" w:space="0" w:color="auto"/>
        <w:left w:val="none" w:sz="0" w:space="0" w:color="auto"/>
        <w:bottom w:val="none" w:sz="0" w:space="0" w:color="auto"/>
        <w:right w:val="none" w:sz="0" w:space="0" w:color="auto"/>
      </w:divBdr>
    </w:div>
    <w:div w:id="1537038334">
      <w:bodyDiv w:val="1"/>
      <w:marLeft w:val="0"/>
      <w:marRight w:val="0"/>
      <w:marTop w:val="0"/>
      <w:marBottom w:val="0"/>
      <w:divBdr>
        <w:top w:val="none" w:sz="0" w:space="0" w:color="auto"/>
        <w:left w:val="none" w:sz="0" w:space="0" w:color="auto"/>
        <w:bottom w:val="none" w:sz="0" w:space="0" w:color="auto"/>
        <w:right w:val="none" w:sz="0" w:space="0" w:color="auto"/>
      </w:divBdr>
    </w:div>
    <w:div w:id="1555702025">
      <w:bodyDiv w:val="1"/>
      <w:marLeft w:val="0"/>
      <w:marRight w:val="0"/>
      <w:marTop w:val="0"/>
      <w:marBottom w:val="0"/>
      <w:divBdr>
        <w:top w:val="none" w:sz="0" w:space="0" w:color="auto"/>
        <w:left w:val="none" w:sz="0" w:space="0" w:color="auto"/>
        <w:bottom w:val="none" w:sz="0" w:space="0" w:color="auto"/>
        <w:right w:val="none" w:sz="0" w:space="0" w:color="auto"/>
      </w:divBdr>
    </w:div>
    <w:div w:id="1557470779">
      <w:bodyDiv w:val="1"/>
      <w:marLeft w:val="0"/>
      <w:marRight w:val="0"/>
      <w:marTop w:val="0"/>
      <w:marBottom w:val="0"/>
      <w:divBdr>
        <w:top w:val="none" w:sz="0" w:space="0" w:color="auto"/>
        <w:left w:val="none" w:sz="0" w:space="0" w:color="auto"/>
        <w:bottom w:val="none" w:sz="0" w:space="0" w:color="auto"/>
        <w:right w:val="none" w:sz="0" w:space="0" w:color="auto"/>
      </w:divBdr>
    </w:div>
    <w:div w:id="1573199131">
      <w:bodyDiv w:val="1"/>
      <w:marLeft w:val="0"/>
      <w:marRight w:val="0"/>
      <w:marTop w:val="0"/>
      <w:marBottom w:val="0"/>
      <w:divBdr>
        <w:top w:val="none" w:sz="0" w:space="0" w:color="auto"/>
        <w:left w:val="none" w:sz="0" w:space="0" w:color="auto"/>
        <w:bottom w:val="none" w:sz="0" w:space="0" w:color="auto"/>
        <w:right w:val="none" w:sz="0" w:space="0" w:color="auto"/>
      </w:divBdr>
      <w:divsChild>
        <w:div w:id="391392969">
          <w:marLeft w:val="547"/>
          <w:marRight w:val="0"/>
          <w:marTop w:val="0"/>
          <w:marBottom w:val="0"/>
          <w:divBdr>
            <w:top w:val="none" w:sz="0" w:space="0" w:color="auto"/>
            <w:left w:val="none" w:sz="0" w:space="0" w:color="auto"/>
            <w:bottom w:val="none" w:sz="0" w:space="0" w:color="auto"/>
            <w:right w:val="none" w:sz="0" w:space="0" w:color="auto"/>
          </w:divBdr>
        </w:div>
      </w:divsChild>
    </w:div>
    <w:div w:id="1573656242">
      <w:bodyDiv w:val="1"/>
      <w:marLeft w:val="0"/>
      <w:marRight w:val="0"/>
      <w:marTop w:val="0"/>
      <w:marBottom w:val="0"/>
      <w:divBdr>
        <w:top w:val="none" w:sz="0" w:space="0" w:color="auto"/>
        <w:left w:val="none" w:sz="0" w:space="0" w:color="auto"/>
        <w:bottom w:val="none" w:sz="0" w:space="0" w:color="auto"/>
        <w:right w:val="none" w:sz="0" w:space="0" w:color="auto"/>
      </w:divBdr>
    </w:div>
    <w:div w:id="1585988034">
      <w:bodyDiv w:val="1"/>
      <w:marLeft w:val="0"/>
      <w:marRight w:val="0"/>
      <w:marTop w:val="0"/>
      <w:marBottom w:val="0"/>
      <w:divBdr>
        <w:top w:val="none" w:sz="0" w:space="0" w:color="auto"/>
        <w:left w:val="none" w:sz="0" w:space="0" w:color="auto"/>
        <w:bottom w:val="none" w:sz="0" w:space="0" w:color="auto"/>
        <w:right w:val="none" w:sz="0" w:space="0" w:color="auto"/>
      </w:divBdr>
    </w:div>
    <w:div w:id="1588612901">
      <w:bodyDiv w:val="1"/>
      <w:marLeft w:val="0"/>
      <w:marRight w:val="0"/>
      <w:marTop w:val="0"/>
      <w:marBottom w:val="0"/>
      <w:divBdr>
        <w:top w:val="none" w:sz="0" w:space="0" w:color="auto"/>
        <w:left w:val="none" w:sz="0" w:space="0" w:color="auto"/>
        <w:bottom w:val="none" w:sz="0" w:space="0" w:color="auto"/>
        <w:right w:val="none" w:sz="0" w:space="0" w:color="auto"/>
      </w:divBdr>
      <w:divsChild>
        <w:div w:id="179590926">
          <w:marLeft w:val="547"/>
          <w:marRight w:val="0"/>
          <w:marTop w:val="0"/>
          <w:marBottom w:val="0"/>
          <w:divBdr>
            <w:top w:val="none" w:sz="0" w:space="0" w:color="auto"/>
            <w:left w:val="none" w:sz="0" w:space="0" w:color="auto"/>
            <w:bottom w:val="none" w:sz="0" w:space="0" w:color="auto"/>
            <w:right w:val="none" w:sz="0" w:space="0" w:color="auto"/>
          </w:divBdr>
        </w:div>
      </w:divsChild>
    </w:div>
    <w:div w:id="1602101279">
      <w:bodyDiv w:val="1"/>
      <w:marLeft w:val="0"/>
      <w:marRight w:val="0"/>
      <w:marTop w:val="0"/>
      <w:marBottom w:val="0"/>
      <w:divBdr>
        <w:top w:val="none" w:sz="0" w:space="0" w:color="auto"/>
        <w:left w:val="none" w:sz="0" w:space="0" w:color="auto"/>
        <w:bottom w:val="none" w:sz="0" w:space="0" w:color="auto"/>
        <w:right w:val="none" w:sz="0" w:space="0" w:color="auto"/>
      </w:divBdr>
    </w:div>
    <w:div w:id="1613709475">
      <w:bodyDiv w:val="1"/>
      <w:marLeft w:val="0"/>
      <w:marRight w:val="0"/>
      <w:marTop w:val="0"/>
      <w:marBottom w:val="0"/>
      <w:divBdr>
        <w:top w:val="none" w:sz="0" w:space="0" w:color="auto"/>
        <w:left w:val="none" w:sz="0" w:space="0" w:color="auto"/>
        <w:bottom w:val="none" w:sz="0" w:space="0" w:color="auto"/>
        <w:right w:val="none" w:sz="0" w:space="0" w:color="auto"/>
      </w:divBdr>
    </w:div>
    <w:div w:id="1625425559">
      <w:bodyDiv w:val="1"/>
      <w:marLeft w:val="0"/>
      <w:marRight w:val="0"/>
      <w:marTop w:val="0"/>
      <w:marBottom w:val="0"/>
      <w:divBdr>
        <w:top w:val="none" w:sz="0" w:space="0" w:color="auto"/>
        <w:left w:val="none" w:sz="0" w:space="0" w:color="auto"/>
        <w:bottom w:val="none" w:sz="0" w:space="0" w:color="auto"/>
        <w:right w:val="none" w:sz="0" w:space="0" w:color="auto"/>
      </w:divBdr>
      <w:divsChild>
        <w:div w:id="1563909402">
          <w:marLeft w:val="547"/>
          <w:marRight w:val="0"/>
          <w:marTop w:val="0"/>
          <w:marBottom w:val="0"/>
          <w:divBdr>
            <w:top w:val="none" w:sz="0" w:space="0" w:color="auto"/>
            <w:left w:val="none" w:sz="0" w:space="0" w:color="auto"/>
            <w:bottom w:val="none" w:sz="0" w:space="0" w:color="auto"/>
            <w:right w:val="none" w:sz="0" w:space="0" w:color="auto"/>
          </w:divBdr>
        </w:div>
      </w:divsChild>
    </w:div>
    <w:div w:id="1638026853">
      <w:bodyDiv w:val="1"/>
      <w:marLeft w:val="0"/>
      <w:marRight w:val="0"/>
      <w:marTop w:val="0"/>
      <w:marBottom w:val="0"/>
      <w:divBdr>
        <w:top w:val="none" w:sz="0" w:space="0" w:color="auto"/>
        <w:left w:val="none" w:sz="0" w:space="0" w:color="auto"/>
        <w:bottom w:val="none" w:sz="0" w:space="0" w:color="auto"/>
        <w:right w:val="none" w:sz="0" w:space="0" w:color="auto"/>
      </w:divBdr>
    </w:div>
    <w:div w:id="1654672795">
      <w:bodyDiv w:val="1"/>
      <w:marLeft w:val="0"/>
      <w:marRight w:val="0"/>
      <w:marTop w:val="0"/>
      <w:marBottom w:val="0"/>
      <w:divBdr>
        <w:top w:val="none" w:sz="0" w:space="0" w:color="auto"/>
        <w:left w:val="none" w:sz="0" w:space="0" w:color="auto"/>
        <w:bottom w:val="none" w:sz="0" w:space="0" w:color="auto"/>
        <w:right w:val="none" w:sz="0" w:space="0" w:color="auto"/>
      </w:divBdr>
    </w:div>
    <w:div w:id="1670718891">
      <w:bodyDiv w:val="1"/>
      <w:marLeft w:val="0"/>
      <w:marRight w:val="0"/>
      <w:marTop w:val="0"/>
      <w:marBottom w:val="0"/>
      <w:divBdr>
        <w:top w:val="none" w:sz="0" w:space="0" w:color="auto"/>
        <w:left w:val="none" w:sz="0" w:space="0" w:color="auto"/>
        <w:bottom w:val="none" w:sz="0" w:space="0" w:color="auto"/>
        <w:right w:val="none" w:sz="0" w:space="0" w:color="auto"/>
      </w:divBdr>
    </w:div>
    <w:div w:id="1676111405">
      <w:bodyDiv w:val="1"/>
      <w:marLeft w:val="0"/>
      <w:marRight w:val="0"/>
      <w:marTop w:val="0"/>
      <w:marBottom w:val="0"/>
      <w:divBdr>
        <w:top w:val="none" w:sz="0" w:space="0" w:color="auto"/>
        <w:left w:val="none" w:sz="0" w:space="0" w:color="auto"/>
        <w:bottom w:val="none" w:sz="0" w:space="0" w:color="auto"/>
        <w:right w:val="none" w:sz="0" w:space="0" w:color="auto"/>
      </w:divBdr>
    </w:div>
    <w:div w:id="1683506650">
      <w:bodyDiv w:val="1"/>
      <w:marLeft w:val="0"/>
      <w:marRight w:val="0"/>
      <w:marTop w:val="0"/>
      <w:marBottom w:val="0"/>
      <w:divBdr>
        <w:top w:val="none" w:sz="0" w:space="0" w:color="auto"/>
        <w:left w:val="none" w:sz="0" w:space="0" w:color="auto"/>
        <w:bottom w:val="none" w:sz="0" w:space="0" w:color="auto"/>
        <w:right w:val="none" w:sz="0" w:space="0" w:color="auto"/>
      </w:divBdr>
    </w:div>
    <w:div w:id="1725368274">
      <w:bodyDiv w:val="1"/>
      <w:marLeft w:val="0"/>
      <w:marRight w:val="0"/>
      <w:marTop w:val="0"/>
      <w:marBottom w:val="0"/>
      <w:divBdr>
        <w:top w:val="none" w:sz="0" w:space="0" w:color="auto"/>
        <w:left w:val="none" w:sz="0" w:space="0" w:color="auto"/>
        <w:bottom w:val="none" w:sz="0" w:space="0" w:color="auto"/>
        <w:right w:val="none" w:sz="0" w:space="0" w:color="auto"/>
      </w:divBdr>
      <w:divsChild>
        <w:div w:id="966736566">
          <w:marLeft w:val="547"/>
          <w:marRight w:val="0"/>
          <w:marTop w:val="0"/>
          <w:marBottom w:val="0"/>
          <w:divBdr>
            <w:top w:val="none" w:sz="0" w:space="0" w:color="auto"/>
            <w:left w:val="none" w:sz="0" w:space="0" w:color="auto"/>
            <w:bottom w:val="none" w:sz="0" w:space="0" w:color="auto"/>
            <w:right w:val="none" w:sz="0" w:space="0" w:color="auto"/>
          </w:divBdr>
        </w:div>
      </w:divsChild>
    </w:div>
    <w:div w:id="1730110104">
      <w:bodyDiv w:val="1"/>
      <w:marLeft w:val="0"/>
      <w:marRight w:val="0"/>
      <w:marTop w:val="0"/>
      <w:marBottom w:val="0"/>
      <w:divBdr>
        <w:top w:val="none" w:sz="0" w:space="0" w:color="auto"/>
        <w:left w:val="none" w:sz="0" w:space="0" w:color="auto"/>
        <w:bottom w:val="none" w:sz="0" w:space="0" w:color="auto"/>
        <w:right w:val="none" w:sz="0" w:space="0" w:color="auto"/>
      </w:divBdr>
    </w:div>
    <w:div w:id="1744333840">
      <w:bodyDiv w:val="1"/>
      <w:marLeft w:val="0"/>
      <w:marRight w:val="0"/>
      <w:marTop w:val="0"/>
      <w:marBottom w:val="0"/>
      <w:divBdr>
        <w:top w:val="none" w:sz="0" w:space="0" w:color="auto"/>
        <w:left w:val="none" w:sz="0" w:space="0" w:color="auto"/>
        <w:bottom w:val="none" w:sz="0" w:space="0" w:color="auto"/>
        <w:right w:val="none" w:sz="0" w:space="0" w:color="auto"/>
      </w:divBdr>
    </w:div>
    <w:div w:id="1745761823">
      <w:bodyDiv w:val="1"/>
      <w:marLeft w:val="0"/>
      <w:marRight w:val="0"/>
      <w:marTop w:val="0"/>
      <w:marBottom w:val="0"/>
      <w:divBdr>
        <w:top w:val="none" w:sz="0" w:space="0" w:color="auto"/>
        <w:left w:val="none" w:sz="0" w:space="0" w:color="auto"/>
        <w:bottom w:val="none" w:sz="0" w:space="0" w:color="auto"/>
        <w:right w:val="none" w:sz="0" w:space="0" w:color="auto"/>
      </w:divBdr>
    </w:div>
    <w:div w:id="1745954497">
      <w:bodyDiv w:val="1"/>
      <w:marLeft w:val="0"/>
      <w:marRight w:val="0"/>
      <w:marTop w:val="0"/>
      <w:marBottom w:val="0"/>
      <w:divBdr>
        <w:top w:val="none" w:sz="0" w:space="0" w:color="auto"/>
        <w:left w:val="none" w:sz="0" w:space="0" w:color="auto"/>
        <w:bottom w:val="none" w:sz="0" w:space="0" w:color="auto"/>
        <w:right w:val="none" w:sz="0" w:space="0" w:color="auto"/>
      </w:divBdr>
      <w:divsChild>
        <w:div w:id="1593320540">
          <w:marLeft w:val="547"/>
          <w:marRight w:val="0"/>
          <w:marTop w:val="0"/>
          <w:marBottom w:val="0"/>
          <w:divBdr>
            <w:top w:val="none" w:sz="0" w:space="0" w:color="auto"/>
            <w:left w:val="none" w:sz="0" w:space="0" w:color="auto"/>
            <w:bottom w:val="none" w:sz="0" w:space="0" w:color="auto"/>
            <w:right w:val="none" w:sz="0" w:space="0" w:color="auto"/>
          </w:divBdr>
        </w:div>
      </w:divsChild>
    </w:div>
    <w:div w:id="1750424288">
      <w:bodyDiv w:val="1"/>
      <w:marLeft w:val="0"/>
      <w:marRight w:val="0"/>
      <w:marTop w:val="0"/>
      <w:marBottom w:val="0"/>
      <w:divBdr>
        <w:top w:val="none" w:sz="0" w:space="0" w:color="auto"/>
        <w:left w:val="none" w:sz="0" w:space="0" w:color="auto"/>
        <w:bottom w:val="none" w:sz="0" w:space="0" w:color="auto"/>
        <w:right w:val="none" w:sz="0" w:space="0" w:color="auto"/>
      </w:divBdr>
    </w:div>
    <w:div w:id="1769616367">
      <w:bodyDiv w:val="1"/>
      <w:marLeft w:val="0"/>
      <w:marRight w:val="0"/>
      <w:marTop w:val="0"/>
      <w:marBottom w:val="0"/>
      <w:divBdr>
        <w:top w:val="none" w:sz="0" w:space="0" w:color="auto"/>
        <w:left w:val="none" w:sz="0" w:space="0" w:color="auto"/>
        <w:bottom w:val="none" w:sz="0" w:space="0" w:color="auto"/>
        <w:right w:val="none" w:sz="0" w:space="0" w:color="auto"/>
      </w:divBdr>
    </w:div>
    <w:div w:id="1770196034">
      <w:bodyDiv w:val="1"/>
      <w:marLeft w:val="0"/>
      <w:marRight w:val="0"/>
      <w:marTop w:val="0"/>
      <w:marBottom w:val="0"/>
      <w:divBdr>
        <w:top w:val="none" w:sz="0" w:space="0" w:color="auto"/>
        <w:left w:val="none" w:sz="0" w:space="0" w:color="auto"/>
        <w:bottom w:val="none" w:sz="0" w:space="0" w:color="auto"/>
        <w:right w:val="none" w:sz="0" w:space="0" w:color="auto"/>
      </w:divBdr>
    </w:div>
    <w:div w:id="1800880523">
      <w:bodyDiv w:val="1"/>
      <w:marLeft w:val="0"/>
      <w:marRight w:val="0"/>
      <w:marTop w:val="0"/>
      <w:marBottom w:val="0"/>
      <w:divBdr>
        <w:top w:val="none" w:sz="0" w:space="0" w:color="auto"/>
        <w:left w:val="none" w:sz="0" w:space="0" w:color="auto"/>
        <w:bottom w:val="none" w:sz="0" w:space="0" w:color="auto"/>
        <w:right w:val="none" w:sz="0" w:space="0" w:color="auto"/>
      </w:divBdr>
    </w:div>
    <w:div w:id="1830511157">
      <w:bodyDiv w:val="1"/>
      <w:marLeft w:val="0"/>
      <w:marRight w:val="0"/>
      <w:marTop w:val="0"/>
      <w:marBottom w:val="0"/>
      <w:divBdr>
        <w:top w:val="none" w:sz="0" w:space="0" w:color="auto"/>
        <w:left w:val="none" w:sz="0" w:space="0" w:color="auto"/>
        <w:bottom w:val="none" w:sz="0" w:space="0" w:color="auto"/>
        <w:right w:val="none" w:sz="0" w:space="0" w:color="auto"/>
      </w:divBdr>
    </w:div>
    <w:div w:id="1854762897">
      <w:bodyDiv w:val="1"/>
      <w:marLeft w:val="0"/>
      <w:marRight w:val="0"/>
      <w:marTop w:val="0"/>
      <w:marBottom w:val="0"/>
      <w:divBdr>
        <w:top w:val="none" w:sz="0" w:space="0" w:color="auto"/>
        <w:left w:val="none" w:sz="0" w:space="0" w:color="auto"/>
        <w:bottom w:val="none" w:sz="0" w:space="0" w:color="auto"/>
        <w:right w:val="none" w:sz="0" w:space="0" w:color="auto"/>
      </w:divBdr>
      <w:divsChild>
        <w:div w:id="1328172894">
          <w:marLeft w:val="547"/>
          <w:marRight w:val="0"/>
          <w:marTop w:val="0"/>
          <w:marBottom w:val="0"/>
          <w:divBdr>
            <w:top w:val="none" w:sz="0" w:space="0" w:color="auto"/>
            <w:left w:val="none" w:sz="0" w:space="0" w:color="auto"/>
            <w:bottom w:val="none" w:sz="0" w:space="0" w:color="auto"/>
            <w:right w:val="none" w:sz="0" w:space="0" w:color="auto"/>
          </w:divBdr>
        </w:div>
      </w:divsChild>
    </w:div>
    <w:div w:id="1858077312">
      <w:bodyDiv w:val="1"/>
      <w:marLeft w:val="0"/>
      <w:marRight w:val="0"/>
      <w:marTop w:val="0"/>
      <w:marBottom w:val="0"/>
      <w:divBdr>
        <w:top w:val="none" w:sz="0" w:space="0" w:color="auto"/>
        <w:left w:val="none" w:sz="0" w:space="0" w:color="auto"/>
        <w:bottom w:val="none" w:sz="0" w:space="0" w:color="auto"/>
        <w:right w:val="none" w:sz="0" w:space="0" w:color="auto"/>
      </w:divBdr>
    </w:div>
    <w:div w:id="1861119487">
      <w:bodyDiv w:val="1"/>
      <w:marLeft w:val="0"/>
      <w:marRight w:val="0"/>
      <w:marTop w:val="0"/>
      <w:marBottom w:val="0"/>
      <w:divBdr>
        <w:top w:val="none" w:sz="0" w:space="0" w:color="auto"/>
        <w:left w:val="none" w:sz="0" w:space="0" w:color="auto"/>
        <w:bottom w:val="none" w:sz="0" w:space="0" w:color="auto"/>
        <w:right w:val="none" w:sz="0" w:space="0" w:color="auto"/>
      </w:divBdr>
    </w:div>
    <w:div w:id="1863085471">
      <w:bodyDiv w:val="1"/>
      <w:marLeft w:val="0"/>
      <w:marRight w:val="0"/>
      <w:marTop w:val="0"/>
      <w:marBottom w:val="0"/>
      <w:divBdr>
        <w:top w:val="none" w:sz="0" w:space="0" w:color="auto"/>
        <w:left w:val="none" w:sz="0" w:space="0" w:color="auto"/>
        <w:bottom w:val="none" w:sz="0" w:space="0" w:color="auto"/>
        <w:right w:val="none" w:sz="0" w:space="0" w:color="auto"/>
      </w:divBdr>
      <w:divsChild>
        <w:div w:id="1703747506">
          <w:marLeft w:val="547"/>
          <w:marRight w:val="0"/>
          <w:marTop w:val="0"/>
          <w:marBottom w:val="0"/>
          <w:divBdr>
            <w:top w:val="none" w:sz="0" w:space="0" w:color="auto"/>
            <w:left w:val="none" w:sz="0" w:space="0" w:color="auto"/>
            <w:bottom w:val="none" w:sz="0" w:space="0" w:color="auto"/>
            <w:right w:val="none" w:sz="0" w:space="0" w:color="auto"/>
          </w:divBdr>
        </w:div>
      </w:divsChild>
    </w:div>
    <w:div w:id="1866169266">
      <w:bodyDiv w:val="1"/>
      <w:marLeft w:val="0"/>
      <w:marRight w:val="0"/>
      <w:marTop w:val="0"/>
      <w:marBottom w:val="0"/>
      <w:divBdr>
        <w:top w:val="none" w:sz="0" w:space="0" w:color="auto"/>
        <w:left w:val="none" w:sz="0" w:space="0" w:color="auto"/>
        <w:bottom w:val="none" w:sz="0" w:space="0" w:color="auto"/>
        <w:right w:val="none" w:sz="0" w:space="0" w:color="auto"/>
      </w:divBdr>
    </w:div>
    <w:div w:id="1870139226">
      <w:bodyDiv w:val="1"/>
      <w:marLeft w:val="0"/>
      <w:marRight w:val="0"/>
      <w:marTop w:val="0"/>
      <w:marBottom w:val="0"/>
      <w:divBdr>
        <w:top w:val="none" w:sz="0" w:space="0" w:color="auto"/>
        <w:left w:val="none" w:sz="0" w:space="0" w:color="auto"/>
        <w:bottom w:val="none" w:sz="0" w:space="0" w:color="auto"/>
        <w:right w:val="none" w:sz="0" w:space="0" w:color="auto"/>
      </w:divBdr>
    </w:div>
    <w:div w:id="1874607998">
      <w:bodyDiv w:val="1"/>
      <w:marLeft w:val="0"/>
      <w:marRight w:val="0"/>
      <w:marTop w:val="0"/>
      <w:marBottom w:val="0"/>
      <w:divBdr>
        <w:top w:val="none" w:sz="0" w:space="0" w:color="auto"/>
        <w:left w:val="none" w:sz="0" w:space="0" w:color="auto"/>
        <w:bottom w:val="none" w:sz="0" w:space="0" w:color="auto"/>
        <w:right w:val="none" w:sz="0" w:space="0" w:color="auto"/>
      </w:divBdr>
      <w:divsChild>
        <w:div w:id="1045562147">
          <w:marLeft w:val="547"/>
          <w:marRight w:val="0"/>
          <w:marTop w:val="0"/>
          <w:marBottom w:val="0"/>
          <w:divBdr>
            <w:top w:val="none" w:sz="0" w:space="0" w:color="auto"/>
            <w:left w:val="none" w:sz="0" w:space="0" w:color="auto"/>
            <w:bottom w:val="none" w:sz="0" w:space="0" w:color="auto"/>
            <w:right w:val="none" w:sz="0" w:space="0" w:color="auto"/>
          </w:divBdr>
        </w:div>
      </w:divsChild>
    </w:div>
    <w:div w:id="1879512588">
      <w:bodyDiv w:val="1"/>
      <w:marLeft w:val="0"/>
      <w:marRight w:val="0"/>
      <w:marTop w:val="0"/>
      <w:marBottom w:val="0"/>
      <w:divBdr>
        <w:top w:val="none" w:sz="0" w:space="0" w:color="auto"/>
        <w:left w:val="none" w:sz="0" w:space="0" w:color="auto"/>
        <w:bottom w:val="none" w:sz="0" w:space="0" w:color="auto"/>
        <w:right w:val="none" w:sz="0" w:space="0" w:color="auto"/>
      </w:divBdr>
      <w:divsChild>
        <w:div w:id="142285068">
          <w:marLeft w:val="547"/>
          <w:marRight w:val="0"/>
          <w:marTop w:val="0"/>
          <w:marBottom w:val="0"/>
          <w:divBdr>
            <w:top w:val="none" w:sz="0" w:space="0" w:color="auto"/>
            <w:left w:val="none" w:sz="0" w:space="0" w:color="auto"/>
            <w:bottom w:val="none" w:sz="0" w:space="0" w:color="auto"/>
            <w:right w:val="none" w:sz="0" w:space="0" w:color="auto"/>
          </w:divBdr>
        </w:div>
        <w:div w:id="609043519">
          <w:marLeft w:val="547"/>
          <w:marRight w:val="0"/>
          <w:marTop w:val="0"/>
          <w:marBottom w:val="0"/>
          <w:divBdr>
            <w:top w:val="none" w:sz="0" w:space="0" w:color="auto"/>
            <w:left w:val="none" w:sz="0" w:space="0" w:color="auto"/>
            <w:bottom w:val="none" w:sz="0" w:space="0" w:color="auto"/>
            <w:right w:val="none" w:sz="0" w:space="0" w:color="auto"/>
          </w:divBdr>
        </w:div>
      </w:divsChild>
    </w:div>
    <w:div w:id="1883978597">
      <w:bodyDiv w:val="1"/>
      <w:marLeft w:val="0"/>
      <w:marRight w:val="0"/>
      <w:marTop w:val="0"/>
      <w:marBottom w:val="0"/>
      <w:divBdr>
        <w:top w:val="none" w:sz="0" w:space="0" w:color="auto"/>
        <w:left w:val="none" w:sz="0" w:space="0" w:color="auto"/>
        <w:bottom w:val="none" w:sz="0" w:space="0" w:color="auto"/>
        <w:right w:val="none" w:sz="0" w:space="0" w:color="auto"/>
      </w:divBdr>
    </w:div>
    <w:div w:id="1896088716">
      <w:bodyDiv w:val="1"/>
      <w:marLeft w:val="0"/>
      <w:marRight w:val="0"/>
      <w:marTop w:val="0"/>
      <w:marBottom w:val="0"/>
      <w:divBdr>
        <w:top w:val="none" w:sz="0" w:space="0" w:color="auto"/>
        <w:left w:val="none" w:sz="0" w:space="0" w:color="auto"/>
        <w:bottom w:val="none" w:sz="0" w:space="0" w:color="auto"/>
        <w:right w:val="none" w:sz="0" w:space="0" w:color="auto"/>
      </w:divBdr>
    </w:div>
    <w:div w:id="1918250617">
      <w:bodyDiv w:val="1"/>
      <w:marLeft w:val="0"/>
      <w:marRight w:val="0"/>
      <w:marTop w:val="0"/>
      <w:marBottom w:val="0"/>
      <w:divBdr>
        <w:top w:val="none" w:sz="0" w:space="0" w:color="auto"/>
        <w:left w:val="none" w:sz="0" w:space="0" w:color="auto"/>
        <w:bottom w:val="none" w:sz="0" w:space="0" w:color="auto"/>
        <w:right w:val="none" w:sz="0" w:space="0" w:color="auto"/>
      </w:divBdr>
    </w:div>
    <w:div w:id="1918317955">
      <w:bodyDiv w:val="1"/>
      <w:marLeft w:val="0"/>
      <w:marRight w:val="0"/>
      <w:marTop w:val="0"/>
      <w:marBottom w:val="0"/>
      <w:divBdr>
        <w:top w:val="none" w:sz="0" w:space="0" w:color="auto"/>
        <w:left w:val="none" w:sz="0" w:space="0" w:color="auto"/>
        <w:bottom w:val="none" w:sz="0" w:space="0" w:color="auto"/>
        <w:right w:val="none" w:sz="0" w:space="0" w:color="auto"/>
      </w:divBdr>
    </w:div>
    <w:div w:id="1938751876">
      <w:bodyDiv w:val="1"/>
      <w:marLeft w:val="0"/>
      <w:marRight w:val="0"/>
      <w:marTop w:val="0"/>
      <w:marBottom w:val="0"/>
      <w:divBdr>
        <w:top w:val="none" w:sz="0" w:space="0" w:color="auto"/>
        <w:left w:val="none" w:sz="0" w:space="0" w:color="auto"/>
        <w:bottom w:val="none" w:sz="0" w:space="0" w:color="auto"/>
        <w:right w:val="none" w:sz="0" w:space="0" w:color="auto"/>
      </w:divBdr>
    </w:div>
    <w:div w:id="1939563742">
      <w:bodyDiv w:val="1"/>
      <w:marLeft w:val="0"/>
      <w:marRight w:val="0"/>
      <w:marTop w:val="0"/>
      <w:marBottom w:val="0"/>
      <w:divBdr>
        <w:top w:val="none" w:sz="0" w:space="0" w:color="auto"/>
        <w:left w:val="none" w:sz="0" w:space="0" w:color="auto"/>
        <w:bottom w:val="none" w:sz="0" w:space="0" w:color="auto"/>
        <w:right w:val="none" w:sz="0" w:space="0" w:color="auto"/>
      </w:divBdr>
    </w:div>
    <w:div w:id="1940525324">
      <w:bodyDiv w:val="1"/>
      <w:marLeft w:val="0"/>
      <w:marRight w:val="0"/>
      <w:marTop w:val="0"/>
      <w:marBottom w:val="0"/>
      <w:divBdr>
        <w:top w:val="none" w:sz="0" w:space="0" w:color="auto"/>
        <w:left w:val="none" w:sz="0" w:space="0" w:color="auto"/>
        <w:bottom w:val="none" w:sz="0" w:space="0" w:color="auto"/>
        <w:right w:val="none" w:sz="0" w:space="0" w:color="auto"/>
      </w:divBdr>
    </w:div>
    <w:div w:id="1945533415">
      <w:bodyDiv w:val="1"/>
      <w:marLeft w:val="0"/>
      <w:marRight w:val="0"/>
      <w:marTop w:val="0"/>
      <w:marBottom w:val="0"/>
      <w:divBdr>
        <w:top w:val="none" w:sz="0" w:space="0" w:color="auto"/>
        <w:left w:val="none" w:sz="0" w:space="0" w:color="auto"/>
        <w:bottom w:val="none" w:sz="0" w:space="0" w:color="auto"/>
        <w:right w:val="none" w:sz="0" w:space="0" w:color="auto"/>
      </w:divBdr>
    </w:div>
    <w:div w:id="1968781151">
      <w:bodyDiv w:val="1"/>
      <w:marLeft w:val="0"/>
      <w:marRight w:val="0"/>
      <w:marTop w:val="0"/>
      <w:marBottom w:val="0"/>
      <w:divBdr>
        <w:top w:val="none" w:sz="0" w:space="0" w:color="auto"/>
        <w:left w:val="none" w:sz="0" w:space="0" w:color="auto"/>
        <w:bottom w:val="none" w:sz="0" w:space="0" w:color="auto"/>
        <w:right w:val="none" w:sz="0" w:space="0" w:color="auto"/>
      </w:divBdr>
    </w:div>
    <w:div w:id="1997296899">
      <w:bodyDiv w:val="1"/>
      <w:marLeft w:val="0"/>
      <w:marRight w:val="0"/>
      <w:marTop w:val="0"/>
      <w:marBottom w:val="0"/>
      <w:divBdr>
        <w:top w:val="none" w:sz="0" w:space="0" w:color="auto"/>
        <w:left w:val="none" w:sz="0" w:space="0" w:color="auto"/>
        <w:bottom w:val="none" w:sz="0" w:space="0" w:color="auto"/>
        <w:right w:val="none" w:sz="0" w:space="0" w:color="auto"/>
      </w:divBdr>
    </w:div>
    <w:div w:id="1998414593">
      <w:bodyDiv w:val="1"/>
      <w:marLeft w:val="0"/>
      <w:marRight w:val="0"/>
      <w:marTop w:val="0"/>
      <w:marBottom w:val="0"/>
      <w:divBdr>
        <w:top w:val="none" w:sz="0" w:space="0" w:color="auto"/>
        <w:left w:val="none" w:sz="0" w:space="0" w:color="auto"/>
        <w:bottom w:val="none" w:sz="0" w:space="0" w:color="auto"/>
        <w:right w:val="none" w:sz="0" w:space="0" w:color="auto"/>
      </w:divBdr>
    </w:div>
    <w:div w:id="2038002532">
      <w:bodyDiv w:val="1"/>
      <w:marLeft w:val="0"/>
      <w:marRight w:val="0"/>
      <w:marTop w:val="0"/>
      <w:marBottom w:val="0"/>
      <w:divBdr>
        <w:top w:val="none" w:sz="0" w:space="0" w:color="auto"/>
        <w:left w:val="none" w:sz="0" w:space="0" w:color="auto"/>
        <w:bottom w:val="none" w:sz="0" w:space="0" w:color="auto"/>
        <w:right w:val="none" w:sz="0" w:space="0" w:color="auto"/>
      </w:divBdr>
    </w:div>
    <w:div w:id="2042897617">
      <w:bodyDiv w:val="1"/>
      <w:marLeft w:val="0"/>
      <w:marRight w:val="0"/>
      <w:marTop w:val="0"/>
      <w:marBottom w:val="0"/>
      <w:divBdr>
        <w:top w:val="none" w:sz="0" w:space="0" w:color="auto"/>
        <w:left w:val="none" w:sz="0" w:space="0" w:color="auto"/>
        <w:bottom w:val="none" w:sz="0" w:space="0" w:color="auto"/>
        <w:right w:val="none" w:sz="0" w:space="0" w:color="auto"/>
      </w:divBdr>
    </w:div>
    <w:div w:id="2079673454">
      <w:bodyDiv w:val="1"/>
      <w:marLeft w:val="0"/>
      <w:marRight w:val="0"/>
      <w:marTop w:val="0"/>
      <w:marBottom w:val="0"/>
      <w:divBdr>
        <w:top w:val="none" w:sz="0" w:space="0" w:color="auto"/>
        <w:left w:val="none" w:sz="0" w:space="0" w:color="auto"/>
        <w:bottom w:val="none" w:sz="0" w:space="0" w:color="auto"/>
        <w:right w:val="none" w:sz="0" w:space="0" w:color="auto"/>
      </w:divBdr>
    </w:div>
    <w:div w:id="2096584508">
      <w:bodyDiv w:val="1"/>
      <w:marLeft w:val="0"/>
      <w:marRight w:val="0"/>
      <w:marTop w:val="0"/>
      <w:marBottom w:val="0"/>
      <w:divBdr>
        <w:top w:val="none" w:sz="0" w:space="0" w:color="auto"/>
        <w:left w:val="none" w:sz="0" w:space="0" w:color="auto"/>
        <w:bottom w:val="none" w:sz="0" w:space="0" w:color="auto"/>
        <w:right w:val="none" w:sz="0" w:space="0" w:color="auto"/>
      </w:divBdr>
    </w:div>
    <w:div w:id="2115129179">
      <w:bodyDiv w:val="1"/>
      <w:marLeft w:val="0"/>
      <w:marRight w:val="0"/>
      <w:marTop w:val="0"/>
      <w:marBottom w:val="0"/>
      <w:divBdr>
        <w:top w:val="none" w:sz="0" w:space="0" w:color="auto"/>
        <w:left w:val="none" w:sz="0" w:space="0" w:color="auto"/>
        <w:bottom w:val="none" w:sz="0" w:space="0" w:color="auto"/>
        <w:right w:val="none" w:sz="0" w:space="0" w:color="auto"/>
      </w:divBdr>
    </w:div>
    <w:div w:id="2117483705">
      <w:bodyDiv w:val="1"/>
      <w:marLeft w:val="0"/>
      <w:marRight w:val="0"/>
      <w:marTop w:val="0"/>
      <w:marBottom w:val="0"/>
      <w:divBdr>
        <w:top w:val="none" w:sz="0" w:space="0" w:color="auto"/>
        <w:left w:val="none" w:sz="0" w:space="0" w:color="auto"/>
        <w:bottom w:val="none" w:sz="0" w:space="0" w:color="auto"/>
        <w:right w:val="none" w:sz="0" w:space="0" w:color="auto"/>
      </w:divBdr>
    </w:div>
    <w:div w:id="2125148042">
      <w:bodyDiv w:val="1"/>
      <w:marLeft w:val="0"/>
      <w:marRight w:val="0"/>
      <w:marTop w:val="0"/>
      <w:marBottom w:val="0"/>
      <w:divBdr>
        <w:top w:val="none" w:sz="0" w:space="0" w:color="auto"/>
        <w:left w:val="none" w:sz="0" w:space="0" w:color="auto"/>
        <w:bottom w:val="none" w:sz="0" w:space="0" w:color="auto"/>
        <w:right w:val="none" w:sz="0" w:space="0" w:color="auto"/>
      </w:divBdr>
    </w:div>
    <w:div w:id="2130080721">
      <w:bodyDiv w:val="1"/>
      <w:marLeft w:val="0"/>
      <w:marRight w:val="0"/>
      <w:marTop w:val="0"/>
      <w:marBottom w:val="0"/>
      <w:divBdr>
        <w:top w:val="none" w:sz="0" w:space="0" w:color="auto"/>
        <w:left w:val="none" w:sz="0" w:space="0" w:color="auto"/>
        <w:bottom w:val="none" w:sz="0" w:space="0" w:color="auto"/>
        <w:right w:val="none" w:sz="0" w:space="0" w:color="auto"/>
      </w:divBdr>
    </w:div>
    <w:div w:id="2142535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diagramQuickStyle" Target="diagrams/quickStyle14.xml"/><Relationship Id="rId21" Type="http://schemas.openxmlformats.org/officeDocument/2006/relationships/footer" Target="footer5.xml"/><Relationship Id="rId42" Type="http://schemas.openxmlformats.org/officeDocument/2006/relationships/diagramLayout" Target="diagrams/layout4.xml"/><Relationship Id="rId63" Type="http://schemas.openxmlformats.org/officeDocument/2006/relationships/chart" Target="charts/chart3.xml"/><Relationship Id="rId84" Type="http://schemas.openxmlformats.org/officeDocument/2006/relationships/chart" Target="charts/chart7.xml"/><Relationship Id="rId138" Type="http://schemas.openxmlformats.org/officeDocument/2006/relationships/diagramData" Target="diagrams/data18.xml"/><Relationship Id="rId159" Type="http://schemas.openxmlformats.org/officeDocument/2006/relationships/diagramColors" Target="diagrams/colors21.xml"/><Relationship Id="rId170" Type="http://schemas.openxmlformats.org/officeDocument/2006/relationships/diagramColors" Target="diagrams/colors23.xml"/><Relationship Id="rId191" Type="http://schemas.openxmlformats.org/officeDocument/2006/relationships/diagramQuickStyle" Target="diagrams/quickStyle26.xml"/><Relationship Id="rId205" Type="http://schemas.openxmlformats.org/officeDocument/2006/relationships/diagramLayout" Target="diagrams/layout29.xml"/><Relationship Id="rId226" Type="http://schemas.openxmlformats.org/officeDocument/2006/relationships/diagramQuickStyle" Target="diagrams/quickStyle33.xml"/><Relationship Id="rId247" Type="http://schemas.openxmlformats.org/officeDocument/2006/relationships/header" Target="header14.xml"/><Relationship Id="rId107" Type="http://schemas.microsoft.com/office/2007/relationships/diagramDrawing" Target="diagrams/drawing12.xml"/><Relationship Id="rId11" Type="http://schemas.openxmlformats.org/officeDocument/2006/relationships/header" Target="header2.xml"/><Relationship Id="rId32" Type="http://schemas.openxmlformats.org/officeDocument/2006/relationships/diagramLayout" Target="diagrams/layout2.xml"/><Relationship Id="rId53" Type="http://schemas.openxmlformats.org/officeDocument/2006/relationships/diagramQuickStyle" Target="diagrams/quickStyle6.xml"/><Relationship Id="rId74" Type="http://schemas.openxmlformats.org/officeDocument/2006/relationships/diagramColors" Target="diagrams/colors9.xml"/><Relationship Id="rId128" Type="http://schemas.openxmlformats.org/officeDocument/2006/relationships/diagramData" Target="diagrams/data16.xml"/><Relationship Id="rId149" Type="http://schemas.openxmlformats.org/officeDocument/2006/relationships/header" Target="header6.xml"/><Relationship Id="rId5" Type="http://schemas.openxmlformats.org/officeDocument/2006/relationships/webSettings" Target="webSettings.xml"/><Relationship Id="rId95" Type="http://schemas.microsoft.com/office/2007/relationships/diagramDrawing" Target="diagrams/drawing10.xml"/><Relationship Id="rId160" Type="http://schemas.microsoft.com/office/2007/relationships/diagramDrawing" Target="diagrams/drawing21.xml"/><Relationship Id="rId181" Type="http://schemas.openxmlformats.org/officeDocument/2006/relationships/header" Target="header9.xml"/><Relationship Id="rId216" Type="http://schemas.openxmlformats.org/officeDocument/2006/relationships/diagramQuickStyle" Target="diagrams/quickStyle31.xml"/><Relationship Id="rId237" Type="http://schemas.openxmlformats.org/officeDocument/2006/relationships/diagramLayout" Target="diagrams/layout35.xml"/><Relationship Id="rId22" Type="http://schemas.openxmlformats.org/officeDocument/2006/relationships/diagramData" Target="diagrams/data1.xml"/><Relationship Id="rId43" Type="http://schemas.openxmlformats.org/officeDocument/2006/relationships/diagramQuickStyle" Target="diagrams/quickStyle4.xml"/><Relationship Id="rId64" Type="http://schemas.openxmlformats.org/officeDocument/2006/relationships/diagramData" Target="diagrams/data8.xml"/><Relationship Id="rId118" Type="http://schemas.openxmlformats.org/officeDocument/2006/relationships/diagramColors" Target="diagrams/colors14.xml"/><Relationship Id="rId139" Type="http://schemas.openxmlformats.org/officeDocument/2006/relationships/diagramLayout" Target="diagrams/layout18.xml"/><Relationship Id="rId85" Type="http://schemas.openxmlformats.org/officeDocument/2006/relationships/chart" Target="charts/chart8.xml"/><Relationship Id="rId150" Type="http://schemas.openxmlformats.org/officeDocument/2006/relationships/footer" Target="footer8.xml"/><Relationship Id="rId171" Type="http://schemas.microsoft.com/office/2007/relationships/diagramDrawing" Target="diagrams/drawing23.xml"/><Relationship Id="rId192" Type="http://schemas.openxmlformats.org/officeDocument/2006/relationships/diagramColors" Target="diagrams/colors26.xml"/><Relationship Id="rId206" Type="http://schemas.openxmlformats.org/officeDocument/2006/relationships/diagramQuickStyle" Target="diagrams/quickStyle29.xml"/><Relationship Id="rId227" Type="http://schemas.openxmlformats.org/officeDocument/2006/relationships/diagramColors" Target="diagrams/colors33.xml"/><Relationship Id="rId248" Type="http://schemas.openxmlformats.org/officeDocument/2006/relationships/footer" Target="footer12.xml"/><Relationship Id="rId12" Type="http://schemas.openxmlformats.org/officeDocument/2006/relationships/footer" Target="footer1.xml"/><Relationship Id="rId33" Type="http://schemas.openxmlformats.org/officeDocument/2006/relationships/diagramQuickStyle" Target="diagrams/quickStyle2.xml"/><Relationship Id="rId108" Type="http://schemas.openxmlformats.org/officeDocument/2006/relationships/image" Target="media/image22.png"/><Relationship Id="rId129" Type="http://schemas.openxmlformats.org/officeDocument/2006/relationships/diagramLayout" Target="diagrams/layout16.xml"/><Relationship Id="rId54" Type="http://schemas.openxmlformats.org/officeDocument/2006/relationships/diagramColors" Target="diagrams/colors6.xml"/><Relationship Id="rId70" Type="http://schemas.openxmlformats.org/officeDocument/2006/relationships/image" Target="media/image15.PNG"/><Relationship Id="rId75" Type="http://schemas.microsoft.com/office/2007/relationships/diagramDrawing" Target="diagrams/drawing9.xml"/><Relationship Id="rId91" Type="http://schemas.openxmlformats.org/officeDocument/2006/relationships/diagramData" Target="diagrams/data10.xml"/><Relationship Id="rId96" Type="http://schemas.openxmlformats.org/officeDocument/2006/relationships/diagramData" Target="diagrams/data11.xml"/><Relationship Id="rId140" Type="http://schemas.openxmlformats.org/officeDocument/2006/relationships/diagramQuickStyle" Target="diagrams/quickStyle18.xml"/><Relationship Id="rId145" Type="http://schemas.openxmlformats.org/officeDocument/2006/relationships/diagramQuickStyle" Target="diagrams/quickStyle19.xml"/><Relationship Id="rId161" Type="http://schemas.openxmlformats.org/officeDocument/2006/relationships/diagramData" Target="diagrams/data22.xml"/><Relationship Id="rId166" Type="http://schemas.openxmlformats.org/officeDocument/2006/relationships/hyperlink" Target="https://www.unodc.org/pdf/crime/corruption/judicial_group/Bangalore_principles.pdf" TargetMode="External"/><Relationship Id="rId182" Type="http://schemas.openxmlformats.org/officeDocument/2006/relationships/header" Target="header10.xml"/><Relationship Id="rId187" Type="http://schemas.openxmlformats.org/officeDocument/2006/relationships/diagramColors" Target="diagrams/colors25.xml"/><Relationship Id="rId217" Type="http://schemas.openxmlformats.org/officeDocument/2006/relationships/diagramColors" Target="diagrams/colors3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diagramColors" Target="diagrams/colors30.xml"/><Relationship Id="rId233" Type="http://schemas.microsoft.com/office/2007/relationships/diagramDrawing" Target="diagrams/drawing34.xml"/><Relationship Id="rId238" Type="http://schemas.openxmlformats.org/officeDocument/2006/relationships/diagramQuickStyle" Target="diagrams/quickStyle35.xml"/><Relationship Id="rId254" Type="http://schemas.openxmlformats.org/officeDocument/2006/relationships/footer" Target="footer15.xml"/><Relationship Id="rId23" Type="http://schemas.openxmlformats.org/officeDocument/2006/relationships/diagramLayout" Target="diagrams/layout1.xml"/><Relationship Id="rId28" Type="http://schemas.openxmlformats.org/officeDocument/2006/relationships/footer" Target="footer7.xml"/><Relationship Id="rId49" Type="http://schemas.openxmlformats.org/officeDocument/2006/relationships/diagramColors" Target="diagrams/colors5.xml"/><Relationship Id="rId114" Type="http://schemas.microsoft.com/office/2007/relationships/diagramDrawing" Target="diagrams/drawing13.xml"/><Relationship Id="rId119" Type="http://schemas.microsoft.com/office/2007/relationships/diagramDrawing" Target="diagrams/drawing14.xml"/><Relationship Id="rId44" Type="http://schemas.openxmlformats.org/officeDocument/2006/relationships/diagramColors" Target="diagrams/colors4.xml"/><Relationship Id="rId60" Type="http://schemas.openxmlformats.org/officeDocument/2006/relationships/diagramQuickStyle" Target="diagrams/quickStyle7.xml"/><Relationship Id="rId65" Type="http://schemas.openxmlformats.org/officeDocument/2006/relationships/diagramLayout" Target="diagrams/layout8.xml"/><Relationship Id="rId81" Type="http://schemas.openxmlformats.org/officeDocument/2006/relationships/image" Target="media/image18.png"/><Relationship Id="rId86" Type="http://schemas.openxmlformats.org/officeDocument/2006/relationships/chart" Target="charts/chart9.xml"/><Relationship Id="rId130" Type="http://schemas.openxmlformats.org/officeDocument/2006/relationships/diagramQuickStyle" Target="diagrams/quickStyle16.xml"/><Relationship Id="rId135" Type="http://schemas.openxmlformats.org/officeDocument/2006/relationships/diagramQuickStyle" Target="diagrams/quickStyle17.xml"/><Relationship Id="rId151" Type="http://schemas.openxmlformats.org/officeDocument/2006/relationships/diagramData" Target="diagrams/data20.xml"/><Relationship Id="rId156" Type="http://schemas.openxmlformats.org/officeDocument/2006/relationships/diagramData" Target="diagrams/data21.xml"/><Relationship Id="rId177" Type="http://schemas.microsoft.com/office/2007/relationships/diagramDrawing" Target="diagrams/drawing24.xml"/><Relationship Id="rId198" Type="http://schemas.microsoft.com/office/2007/relationships/diagramDrawing" Target="diagrams/drawing27.xml"/><Relationship Id="rId172" Type="http://schemas.openxmlformats.org/officeDocument/2006/relationships/hyperlink" Target="https://asiapacific.unwomen.org/en/search-results?story_type=e590b7fcdd8b432da18aeee9239269c9%2Ce590b7fcdd8b432da18aeee9239269c9&amp;topic=ed83b18f66fc4382a40456012eae9e48&amp;region=894409cbffa14c34842248831ffb2ff0&amp;country=88dc958993ca427da750bcd23edf9229" TargetMode="External"/><Relationship Id="rId193" Type="http://schemas.microsoft.com/office/2007/relationships/diagramDrawing" Target="diagrams/drawing26.xml"/><Relationship Id="rId202" Type="http://schemas.openxmlformats.org/officeDocument/2006/relationships/diagramColors" Target="diagrams/colors28.xml"/><Relationship Id="rId207" Type="http://schemas.openxmlformats.org/officeDocument/2006/relationships/diagramColors" Target="diagrams/colors29.xml"/><Relationship Id="rId223" Type="http://schemas.microsoft.com/office/2007/relationships/diagramDrawing" Target="diagrams/drawing32.xml"/><Relationship Id="rId228" Type="http://schemas.microsoft.com/office/2007/relationships/diagramDrawing" Target="diagrams/drawing33.xml"/><Relationship Id="rId244" Type="http://schemas.openxmlformats.org/officeDocument/2006/relationships/chart" Target="charts/chart13.xml"/><Relationship Id="rId249" Type="http://schemas.openxmlformats.org/officeDocument/2006/relationships/header" Target="header15.xml"/><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diagramColors" Target="diagrams/colors3.xml"/><Relationship Id="rId109" Type="http://schemas.openxmlformats.org/officeDocument/2006/relationships/chart" Target="charts/chart11.xml"/><Relationship Id="rId34" Type="http://schemas.openxmlformats.org/officeDocument/2006/relationships/diagramColors" Target="diagrams/colors2.xml"/><Relationship Id="rId50" Type="http://schemas.microsoft.com/office/2007/relationships/diagramDrawing" Target="diagrams/drawing5.xml"/><Relationship Id="rId55" Type="http://schemas.microsoft.com/office/2007/relationships/diagramDrawing" Target="diagrams/drawing6.xml"/><Relationship Id="rId76" Type="http://schemas.openxmlformats.org/officeDocument/2006/relationships/image" Target="media/image16.png"/><Relationship Id="rId97" Type="http://schemas.openxmlformats.org/officeDocument/2006/relationships/diagramLayout" Target="diagrams/layout11.xml"/><Relationship Id="rId104" Type="http://schemas.openxmlformats.org/officeDocument/2006/relationships/diagramLayout" Target="diagrams/layout12.xml"/><Relationship Id="rId120" Type="http://schemas.openxmlformats.org/officeDocument/2006/relationships/image" Target="media/image23.png"/><Relationship Id="rId125" Type="http://schemas.openxmlformats.org/officeDocument/2006/relationships/diagramQuickStyle" Target="diagrams/quickStyle15.xml"/><Relationship Id="rId141" Type="http://schemas.openxmlformats.org/officeDocument/2006/relationships/diagramColors" Target="diagrams/colors18.xml"/><Relationship Id="rId146" Type="http://schemas.openxmlformats.org/officeDocument/2006/relationships/diagramColors" Target="diagrams/colors19.xml"/><Relationship Id="rId167" Type="http://schemas.openxmlformats.org/officeDocument/2006/relationships/diagramData" Target="diagrams/data23.xml"/><Relationship Id="rId188" Type="http://schemas.microsoft.com/office/2007/relationships/diagramDrawing" Target="diagrams/drawing25.xml"/><Relationship Id="rId7" Type="http://schemas.openxmlformats.org/officeDocument/2006/relationships/endnotes" Target="endnotes.xml"/><Relationship Id="rId71" Type="http://schemas.openxmlformats.org/officeDocument/2006/relationships/diagramData" Target="diagrams/data9.xml"/><Relationship Id="rId92" Type="http://schemas.openxmlformats.org/officeDocument/2006/relationships/diagramLayout" Target="diagrams/layout10.xml"/><Relationship Id="rId162" Type="http://schemas.openxmlformats.org/officeDocument/2006/relationships/diagramLayout" Target="diagrams/layout22.xml"/><Relationship Id="rId183" Type="http://schemas.openxmlformats.org/officeDocument/2006/relationships/footer" Target="footer10.xml"/><Relationship Id="rId213" Type="http://schemas.microsoft.com/office/2007/relationships/diagramDrawing" Target="diagrams/drawing30.xml"/><Relationship Id="rId218" Type="http://schemas.microsoft.com/office/2007/relationships/diagramDrawing" Target="diagrams/drawing31.xml"/><Relationship Id="rId234" Type="http://schemas.openxmlformats.org/officeDocument/2006/relationships/header" Target="header11.xml"/><Relationship Id="rId239" Type="http://schemas.openxmlformats.org/officeDocument/2006/relationships/diagramColors" Target="diagrams/colors35.xml"/><Relationship Id="rId2" Type="http://schemas.openxmlformats.org/officeDocument/2006/relationships/numbering" Target="numbering.xml"/><Relationship Id="rId29" Type="http://schemas.openxmlformats.org/officeDocument/2006/relationships/chart" Target="charts/chart1.xml"/><Relationship Id="rId250" Type="http://schemas.openxmlformats.org/officeDocument/2006/relationships/footer" Target="footer13.xml"/><Relationship Id="rId255" Type="http://schemas.openxmlformats.org/officeDocument/2006/relationships/fontTable" Target="fontTable.xml"/><Relationship Id="rId24" Type="http://schemas.openxmlformats.org/officeDocument/2006/relationships/diagramQuickStyle" Target="diagrams/quickStyle1.xml"/><Relationship Id="rId40" Type="http://schemas.microsoft.com/office/2007/relationships/diagramDrawing" Target="diagrams/drawing3.xml"/><Relationship Id="rId45" Type="http://schemas.microsoft.com/office/2007/relationships/diagramDrawing" Target="diagrams/drawing4.xml"/><Relationship Id="rId66" Type="http://schemas.openxmlformats.org/officeDocument/2006/relationships/diagramQuickStyle" Target="diagrams/quickStyle8.xml"/><Relationship Id="rId87" Type="http://schemas.openxmlformats.org/officeDocument/2006/relationships/hyperlink" Target="https://worldjusticeproject.org/world-justice-challenge-2021/pacific-judicial-strengthening-initiative" TargetMode="External"/><Relationship Id="rId110" Type="http://schemas.openxmlformats.org/officeDocument/2006/relationships/diagramData" Target="diagrams/data13.xml"/><Relationship Id="rId115" Type="http://schemas.openxmlformats.org/officeDocument/2006/relationships/diagramData" Target="diagrams/data14.xml"/><Relationship Id="rId131" Type="http://schemas.openxmlformats.org/officeDocument/2006/relationships/diagramColors" Target="diagrams/colors16.xml"/><Relationship Id="rId136" Type="http://schemas.openxmlformats.org/officeDocument/2006/relationships/diagramColors" Target="diagrams/colors17.xml"/><Relationship Id="rId157" Type="http://schemas.openxmlformats.org/officeDocument/2006/relationships/diagramLayout" Target="diagrams/layout21.xml"/><Relationship Id="rId178" Type="http://schemas.openxmlformats.org/officeDocument/2006/relationships/header" Target="header7.xml"/><Relationship Id="rId61" Type="http://schemas.openxmlformats.org/officeDocument/2006/relationships/diagramColors" Target="diagrams/colors7.xml"/><Relationship Id="rId82" Type="http://schemas.openxmlformats.org/officeDocument/2006/relationships/chart" Target="charts/chart5.xml"/><Relationship Id="rId152" Type="http://schemas.openxmlformats.org/officeDocument/2006/relationships/diagramLayout" Target="diagrams/layout20.xml"/><Relationship Id="rId173" Type="http://schemas.openxmlformats.org/officeDocument/2006/relationships/diagramData" Target="diagrams/data24.xml"/><Relationship Id="rId194" Type="http://schemas.openxmlformats.org/officeDocument/2006/relationships/diagramData" Target="diagrams/data27.xml"/><Relationship Id="rId199" Type="http://schemas.openxmlformats.org/officeDocument/2006/relationships/diagramData" Target="diagrams/data28.xml"/><Relationship Id="rId203" Type="http://schemas.microsoft.com/office/2007/relationships/diagramDrawing" Target="diagrams/drawing28.xml"/><Relationship Id="rId208" Type="http://schemas.microsoft.com/office/2007/relationships/diagramDrawing" Target="diagrams/drawing29.xml"/><Relationship Id="rId229" Type="http://schemas.openxmlformats.org/officeDocument/2006/relationships/diagramData" Target="diagrams/data34.xml"/><Relationship Id="rId19" Type="http://schemas.openxmlformats.org/officeDocument/2006/relationships/footer" Target="footer4.xml"/><Relationship Id="rId224" Type="http://schemas.openxmlformats.org/officeDocument/2006/relationships/diagramData" Target="diagrams/data33.xml"/><Relationship Id="rId240" Type="http://schemas.microsoft.com/office/2007/relationships/diagramDrawing" Target="diagrams/drawing35.xml"/><Relationship Id="rId245" Type="http://schemas.openxmlformats.org/officeDocument/2006/relationships/footer" Target="footer11.xml"/><Relationship Id="rId14" Type="http://schemas.openxmlformats.org/officeDocument/2006/relationships/header" Target="header3.xml"/><Relationship Id="rId30" Type="http://schemas.openxmlformats.org/officeDocument/2006/relationships/chart" Target="charts/chart2.xml"/><Relationship Id="rId35" Type="http://schemas.microsoft.com/office/2007/relationships/diagramDrawing" Target="diagrams/drawing2.xml"/><Relationship Id="rId56" Type="http://schemas.openxmlformats.org/officeDocument/2006/relationships/image" Target="media/image11.png"/><Relationship Id="rId77" Type="http://schemas.openxmlformats.org/officeDocument/2006/relationships/chart" Target="charts/chart4.xml"/><Relationship Id="rId100" Type="http://schemas.microsoft.com/office/2007/relationships/diagramDrawing" Target="diagrams/drawing11.xml"/><Relationship Id="rId105" Type="http://schemas.openxmlformats.org/officeDocument/2006/relationships/diagramQuickStyle" Target="diagrams/quickStyle12.xml"/><Relationship Id="rId126" Type="http://schemas.openxmlformats.org/officeDocument/2006/relationships/diagramColors" Target="diagrams/colors15.xml"/><Relationship Id="rId147" Type="http://schemas.microsoft.com/office/2007/relationships/diagramDrawing" Target="diagrams/drawing19.xml"/><Relationship Id="rId168" Type="http://schemas.openxmlformats.org/officeDocument/2006/relationships/diagramLayout" Target="diagrams/layout23.xml"/><Relationship Id="rId8" Type="http://schemas.openxmlformats.org/officeDocument/2006/relationships/image" Target="media/image1.png"/><Relationship Id="rId51" Type="http://schemas.openxmlformats.org/officeDocument/2006/relationships/diagramData" Target="diagrams/data6.xml"/><Relationship Id="rId72" Type="http://schemas.openxmlformats.org/officeDocument/2006/relationships/diagramLayout" Target="diagrams/layout9.xml"/><Relationship Id="rId93" Type="http://schemas.openxmlformats.org/officeDocument/2006/relationships/diagramQuickStyle" Target="diagrams/quickStyle10.xml"/><Relationship Id="rId98" Type="http://schemas.openxmlformats.org/officeDocument/2006/relationships/diagramQuickStyle" Target="diagrams/quickStyle11.xml"/><Relationship Id="rId121" Type="http://schemas.openxmlformats.org/officeDocument/2006/relationships/image" Target="media/image24.png"/><Relationship Id="rId142" Type="http://schemas.microsoft.com/office/2007/relationships/diagramDrawing" Target="diagrams/drawing18.xml"/><Relationship Id="rId163" Type="http://schemas.openxmlformats.org/officeDocument/2006/relationships/diagramQuickStyle" Target="diagrams/quickStyle22.xml"/><Relationship Id="rId184" Type="http://schemas.openxmlformats.org/officeDocument/2006/relationships/diagramData" Target="diagrams/data25.xml"/><Relationship Id="rId189" Type="http://schemas.openxmlformats.org/officeDocument/2006/relationships/diagramData" Target="diagrams/data26.xml"/><Relationship Id="rId219" Type="http://schemas.openxmlformats.org/officeDocument/2006/relationships/diagramData" Target="diagrams/data32.xml"/><Relationship Id="rId3" Type="http://schemas.openxmlformats.org/officeDocument/2006/relationships/styles" Target="styles.xml"/><Relationship Id="rId214" Type="http://schemas.openxmlformats.org/officeDocument/2006/relationships/diagramData" Target="diagrams/data31.xml"/><Relationship Id="rId230" Type="http://schemas.openxmlformats.org/officeDocument/2006/relationships/diagramLayout" Target="diagrams/layout34.xml"/><Relationship Id="rId235" Type="http://schemas.openxmlformats.org/officeDocument/2006/relationships/header" Target="header12.xml"/><Relationship Id="rId251" Type="http://schemas.openxmlformats.org/officeDocument/2006/relationships/header" Target="header16.xml"/><Relationship Id="rId256" Type="http://schemas.openxmlformats.org/officeDocument/2006/relationships/theme" Target="theme/theme1.xml"/><Relationship Id="rId25" Type="http://schemas.openxmlformats.org/officeDocument/2006/relationships/diagramColors" Target="diagrams/colors1.xml"/><Relationship Id="rId46" Type="http://schemas.openxmlformats.org/officeDocument/2006/relationships/diagramData" Target="diagrams/data5.xml"/><Relationship Id="rId67" Type="http://schemas.openxmlformats.org/officeDocument/2006/relationships/diagramColors" Target="diagrams/colors8.xml"/><Relationship Id="rId116" Type="http://schemas.openxmlformats.org/officeDocument/2006/relationships/diagramLayout" Target="diagrams/layout14.xml"/><Relationship Id="rId137" Type="http://schemas.microsoft.com/office/2007/relationships/diagramDrawing" Target="diagrams/drawing17.xml"/><Relationship Id="rId158" Type="http://schemas.openxmlformats.org/officeDocument/2006/relationships/diagramQuickStyle" Target="diagrams/quickStyle21.xml"/><Relationship Id="rId20" Type="http://schemas.openxmlformats.org/officeDocument/2006/relationships/header" Target="header5.xml"/><Relationship Id="rId41" Type="http://schemas.openxmlformats.org/officeDocument/2006/relationships/diagramData" Target="diagrams/data4.xml"/><Relationship Id="rId62" Type="http://schemas.microsoft.com/office/2007/relationships/diagramDrawing" Target="diagrams/drawing7.xml"/><Relationship Id="rId83" Type="http://schemas.openxmlformats.org/officeDocument/2006/relationships/chart" Target="charts/chart6.xml"/><Relationship Id="rId88" Type="http://schemas.openxmlformats.org/officeDocument/2006/relationships/hyperlink" Target="https://www.youtube.com/watch?v=dBNOpRrAesg" TargetMode="External"/><Relationship Id="rId111" Type="http://schemas.openxmlformats.org/officeDocument/2006/relationships/diagramLayout" Target="diagrams/layout13.xml"/><Relationship Id="rId132" Type="http://schemas.microsoft.com/office/2007/relationships/diagramDrawing" Target="diagrams/drawing16.xml"/><Relationship Id="rId153" Type="http://schemas.openxmlformats.org/officeDocument/2006/relationships/diagramQuickStyle" Target="diagrams/quickStyle20.xml"/><Relationship Id="rId174" Type="http://schemas.openxmlformats.org/officeDocument/2006/relationships/diagramLayout" Target="diagrams/layout24.xml"/><Relationship Id="rId179" Type="http://schemas.openxmlformats.org/officeDocument/2006/relationships/footer" Target="footer9.xml"/><Relationship Id="rId195" Type="http://schemas.openxmlformats.org/officeDocument/2006/relationships/diagramLayout" Target="diagrams/layout27.xml"/><Relationship Id="rId209" Type="http://schemas.openxmlformats.org/officeDocument/2006/relationships/diagramData" Target="diagrams/data30.xml"/><Relationship Id="rId190" Type="http://schemas.openxmlformats.org/officeDocument/2006/relationships/diagramLayout" Target="diagrams/layout26.xml"/><Relationship Id="rId204" Type="http://schemas.openxmlformats.org/officeDocument/2006/relationships/diagramData" Target="diagrams/data29.xml"/><Relationship Id="rId220" Type="http://schemas.openxmlformats.org/officeDocument/2006/relationships/diagramLayout" Target="diagrams/layout32.xml"/><Relationship Id="rId225" Type="http://schemas.openxmlformats.org/officeDocument/2006/relationships/diagramLayout" Target="diagrams/layout33.xml"/><Relationship Id="rId241" Type="http://schemas.openxmlformats.org/officeDocument/2006/relationships/chart" Target="charts/chart12.xml"/><Relationship Id="rId246" Type="http://schemas.openxmlformats.org/officeDocument/2006/relationships/header" Target="header13.xml"/><Relationship Id="rId15" Type="http://schemas.openxmlformats.org/officeDocument/2006/relationships/footer" Target="footer3.xml"/><Relationship Id="rId36" Type="http://schemas.openxmlformats.org/officeDocument/2006/relationships/diagramData" Target="diagrams/data3.xml"/><Relationship Id="rId57" Type="http://schemas.openxmlformats.org/officeDocument/2006/relationships/hyperlink" Target="http://www.justice.gov.to/wp-content/uploads/2020/06/Tonga-Supreme-Court-Disability-Policy.pdf" TargetMode="External"/><Relationship Id="rId106" Type="http://schemas.openxmlformats.org/officeDocument/2006/relationships/diagramColors" Target="diagrams/colors12.xml"/><Relationship Id="rId127" Type="http://schemas.microsoft.com/office/2007/relationships/diagramDrawing" Target="diagrams/drawing15.xml"/><Relationship Id="rId262" Type="http://schemas.microsoft.com/office/2016/09/relationships/commentsIds" Target="commentsIds.xml"/><Relationship Id="rId10" Type="http://schemas.openxmlformats.org/officeDocument/2006/relationships/header" Target="header1.xml"/><Relationship Id="rId31" Type="http://schemas.openxmlformats.org/officeDocument/2006/relationships/diagramData" Target="diagrams/data2.xml"/><Relationship Id="rId52" Type="http://schemas.openxmlformats.org/officeDocument/2006/relationships/diagramLayout" Target="diagrams/layout6.xml"/><Relationship Id="rId73" Type="http://schemas.openxmlformats.org/officeDocument/2006/relationships/diagramQuickStyle" Target="diagrams/quickStyle9.xml"/><Relationship Id="rId78" Type="http://schemas.openxmlformats.org/officeDocument/2006/relationships/image" Target="media/image17.png"/><Relationship Id="rId94" Type="http://schemas.openxmlformats.org/officeDocument/2006/relationships/diagramColors" Target="diagrams/colors10.xml"/><Relationship Id="rId99" Type="http://schemas.openxmlformats.org/officeDocument/2006/relationships/diagramColors" Target="diagrams/colors11.xml"/><Relationship Id="rId101" Type="http://schemas.openxmlformats.org/officeDocument/2006/relationships/image" Target="media/image21.png"/><Relationship Id="rId122" Type="http://schemas.openxmlformats.org/officeDocument/2006/relationships/image" Target="media/image25.png"/><Relationship Id="rId143" Type="http://schemas.openxmlformats.org/officeDocument/2006/relationships/diagramData" Target="diagrams/data19.xml"/><Relationship Id="rId148" Type="http://schemas.openxmlformats.org/officeDocument/2006/relationships/image" Target="media/image26.jpeg"/><Relationship Id="rId164" Type="http://schemas.openxmlformats.org/officeDocument/2006/relationships/diagramColors" Target="diagrams/colors22.xml"/><Relationship Id="rId169" Type="http://schemas.openxmlformats.org/officeDocument/2006/relationships/diagramQuickStyle" Target="diagrams/quickStyle23.xml"/><Relationship Id="rId185" Type="http://schemas.openxmlformats.org/officeDocument/2006/relationships/diagramLayout" Target="diagrams/layout25.xml"/><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header" Target="header8.xml"/><Relationship Id="rId210" Type="http://schemas.openxmlformats.org/officeDocument/2006/relationships/diagramLayout" Target="diagrams/layout30.xml"/><Relationship Id="rId215" Type="http://schemas.openxmlformats.org/officeDocument/2006/relationships/diagramLayout" Target="diagrams/layout31.xml"/><Relationship Id="rId236" Type="http://schemas.openxmlformats.org/officeDocument/2006/relationships/diagramData" Target="diagrams/data35.xml"/><Relationship Id="rId26" Type="http://schemas.microsoft.com/office/2007/relationships/diagramDrawing" Target="diagrams/drawing1.xml"/><Relationship Id="rId231" Type="http://schemas.openxmlformats.org/officeDocument/2006/relationships/diagramQuickStyle" Target="diagrams/quickStyle34.xml"/><Relationship Id="rId252" Type="http://schemas.openxmlformats.org/officeDocument/2006/relationships/footer" Target="footer14.xml"/><Relationship Id="rId47" Type="http://schemas.openxmlformats.org/officeDocument/2006/relationships/diagramLayout" Target="diagrams/layout5.xml"/><Relationship Id="rId68" Type="http://schemas.microsoft.com/office/2007/relationships/diagramDrawing" Target="diagrams/drawing8.xml"/><Relationship Id="rId89" Type="http://schemas.openxmlformats.org/officeDocument/2006/relationships/chart" Target="charts/chart10.xml"/><Relationship Id="rId112" Type="http://schemas.openxmlformats.org/officeDocument/2006/relationships/diagramQuickStyle" Target="diagrams/quickStyle13.xml"/><Relationship Id="rId133" Type="http://schemas.openxmlformats.org/officeDocument/2006/relationships/diagramData" Target="diagrams/data17.xml"/><Relationship Id="rId154" Type="http://schemas.openxmlformats.org/officeDocument/2006/relationships/diagramColors" Target="diagrams/colors20.xml"/><Relationship Id="rId175" Type="http://schemas.openxmlformats.org/officeDocument/2006/relationships/diagramQuickStyle" Target="diagrams/quickStyle24.xml"/><Relationship Id="rId196" Type="http://schemas.openxmlformats.org/officeDocument/2006/relationships/diagramQuickStyle" Target="diagrams/quickStyle27.xml"/><Relationship Id="rId200" Type="http://schemas.openxmlformats.org/officeDocument/2006/relationships/diagramLayout" Target="diagrams/layout28.xml"/><Relationship Id="rId16" Type="http://schemas.openxmlformats.org/officeDocument/2006/relationships/image" Target="media/image5.png"/><Relationship Id="rId221" Type="http://schemas.openxmlformats.org/officeDocument/2006/relationships/diagramQuickStyle" Target="diagrams/quickStyle32.xml"/><Relationship Id="rId242" Type="http://schemas.openxmlformats.org/officeDocument/2006/relationships/image" Target="media/image28.png"/><Relationship Id="rId263" Type="http://schemas.microsoft.com/office/2018/08/relationships/commentsExtensible" Target="commentsExtensible.xml"/><Relationship Id="rId37" Type="http://schemas.openxmlformats.org/officeDocument/2006/relationships/diagramLayout" Target="diagrams/layout3.xml"/><Relationship Id="rId58" Type="http://schemas.openxmlformats.org/officeDocument/2006/relationships/diagramData" Target="diagrams/data7.xml"/><Relationship Id="rId79" Type="http://schemas.openxmlformats.org/officeDocument/2006/relationships/hyperlink" Target="https://courts.gov.vu/bi/services/downloads/file/1245-2019-annual-statistics" TargetMode="External"/><Relationship Id="rId102" Type="http://schemas.openxmlformats.org/officeDocument/2006/relationships/hyperlink" Target="https://www.fedcourt.gov.au/pjsi/resources/toolkits/enabling-rights/Conducting-Community-Consultations-Guidance.pdf" TargetMode="External"/><Relationship Id="rId123" Type="http://schemas.openxmlformats.org/officeDocument/2006/relationships/diagramData" Target="diagrams/data15.xml"/><Relationship Id="rId144" Type="http://schemas.openxmlformats.org/officeDocument/2006/relationships/diagramLayout" Target="diagrams/layout19.xml"/><Relationship Id="rId90" Type="http://schemas.openxmlformats.org/officeDocument/2006/relationships/image" Target="media/image20.jpeg"/><Relationship Id="rId165" Type="http://schemas.microsoft.com/office/2007/relationships/diagramDrawing" Target="diagrams/drawing22.xml"/><Relationship Id="rId186" Type="http://schemas.openxmlformats.org/officeDocument/2006/relationships/diagramQuickStyle" Target="diagrams/quickStyle25.xml"/><Relationship Id="rId211" Type="http://schemas.openxmlformats.org/officeDocument/2006/relationships/diagramQuickStyle" Target="diagrams/quickStyle30.xml"/><Relationship Id="rId232" Type="http://schemas.openxmlformats.org/officeDocument/2006/relationships/diagramColors" Target="diagrams/colors34.xml"/><Relationship Id="rId253" Type="http://schemas.openxmlformats.org/officeDocument/2006/relationships/header" Target="header17.xml"/><Relationship Id="rId27" Type="http://schemas.openxmlformats.org/officeDocument/2006/relationships/footer" Target="footer6.xml"/><Relationship Id="rId48" Type="http://schemas.openxmlformats.org/officeDocument/2006/relationships/diagramQuickStyle" Target="diagrams/quickStyle5.xml"/><Relationship Id="rId69" Type="http://schemas.openxmlformats.org/officeDocument/2006/relationships/image" Target="media/image14.png"/><Relationship Id="rId113" Type="http://schemas.openxmlformats.org/officeDocument/2006/relationships/diagramColors" Target="diagrams/colors13.xml"/><Relationship Id="rId134" Type="http://schemas.openxmlformats.org/officeDocument/2006/relationships/diagramLayout" Target="diagrams/layout17.xml"/><Relationship Id="rId80" Type="http://schemas.openxmlformats.org/officeDocument/2006/relationships/hyperlink" Target="https://courts.gov.vu/bi/services/downloads/file/1245-2019-annual-statistics" TargetMode="External"/><Relationship Id="rId155" Type="http://schemas.microsoft.com/office/2007/relationships/diagramDrawing" Target="diagrams/drawing20.xml"/><Relationship Id="rId176" Type="http://schemas.openxmlformats.org/officeDocument/2006/relationships/diagramColors" Target="diagrams/colors24.xml"/><Relationship Id="rId197" Type="http://schemas.openxmlformats.org/officeDocument/2006/relationships/diagramColors" Target="diagrams/colors27.xml"/><Relationship Id="rId201" Type="http://schemas.openxmlformats.org/officeDocument/2006/relationships/diagramQuickStyle" Target="diagrams/quickStyle28.xml"/><Relationship Id="rId222" Type="http://schemas.openxmlformats.org/officeDocument/2006/relationships/diagramColors" Target="diagrams/colors32.xml"/><Relationship Id="rId243" Type="http://schemas.openxmlformats.org/officeDocument/2006/relationships/image" Target="media/image29.png"/><Relationship Id="rId17" Type="http://schemas.openxmlformats.org/officeDocument/2006/relationships/image" Target="media/image6.png"/><Relationship Id="rId38" Type="http://schemas.openxmlformats.org/officeDocument/2006/relationships/diagramQuickStyle" Target="diagrams/quickStyle3.xml"/><Relationship Id="rId59" Type="http://schemas.openxmlformats.org/officeDocument/2006/relationships/diagramLayout" Target="diagrams/layout7.xml"/><Relationship Id="rId103" Type="http://schemas.openxmlformats.org/officeDocument/2006/relationships/diagramData" Target="diagrams/data12.xml"/><Relationship Id="rId124" Type="http://schemas.openxmlformats.org/officeDocument/2006/relationships/diagramLayout" Target="diagrams/layout15.xml"/></Relationships>
</file>

<file path=word/_rels/footer10.xml.rels><?xml version="1.0" encoding="UTF-8" standalone="yes"?>
<Relationships xmlns="http://schemas.openxmlformats.org/package/2006/relationships"><Relationship Id="rId1" Type="http://schemas.openxmlformats.org/officeDocument/2006/relationships/image" Target="media/image4.png"/></Relationships>
</file>

<file path=word/_rels/footer11.xml.rels><?xml version="1.0" encoding="UTF-8" standalone="yes"?>
<Relationships xmlns="http://schemas.openxmlformats.org/package/2006/relationships"><Relationship Id="rId1" Type="http://schemas.openxmlformats.org/officeDocument/2006/relationships/image" Target="media/image4.png"/></Relationships>
</file>

<file path=word/_rels/footer12.xml.rels><?xml version="1.0" encoding="UTF-8" standalone="yes"?>
<Relationships xmlns="http://schemas.openxmlformats.org/package/2006/relationships"><Relationship Id="rId1" Type="http://schemas.openxmlformats.org/officeDocument/2006/relationships/image" Target="media/image4.png"/></Relationships>
</file>

<file path=word/_rels/footer13.xml.rels><?xml version="1.0" encoding="UTF-8" standalone="yes"?>
<Relationships xmlns="http://schemas.openxmlformats.org/package/2006/relationships"><Relationship Id="rId1" Type="http://schemas.openxmlformats.org/officeDocument/2006/relationships/image" Target="media/image4.png"/></Relationships>
</file>

<file path=word/_rels/footer14.xml.rels><?xml version="1.0" encoding="UTF-8" standalone="yes"?>
<Relationships xmlns="http://schemas.openxmlformats.org/package/2006/relationships"><Relationship Id="rId1" Type="http://schemas.openxmlformats.org/officeDocument/2006/relationships/image" Target="media/image4.png"/></Relationships>
</file>

<file path=word/_rels/footer15.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 Type="http://schemas.openxmlformats.org/officeDocument/2006/relationships/image" Target="media/image4.png"/></Relationships>
</file>

<file path=word/_rels/footer6.xml.rels><?xml version="1.0" encoding="UTF-8" standalone="yes"?>
<Relationships xmlns="http://schemas.openxmlformats.org/package/2006/relationships"><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1" Type="http://schemas.openxmlformats.org/officeDocument/2006/relationships/image" Target="media/image4.png"/></Relationships>
</file>

<file path=word/_rels/footer8.xml.rels><?xml version="1.0" encoding="UTF-8" standalone="yes"?>
<Relationships xmlns="http://schemas.openxmlformats.org/package/2006/relationships"><Relationship Id="rId1" Type="http://schemas.openxmlformats.org/officeDocument/2006/relationships/image" Target="media/image4.png"/></Relationships>
</file>

<file path=word/_rels/footer9.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3" Type="http://schemas.openxmlformats.org/officeDocument/2006/relationships/hyperlink" Target="http://www.paclii.org/vu/cases/VUMC/2020/2.html" TargetMode="External"/><Relationship Id="rId2" Type="http://schemas.openxmlformats.org/officeDocument/2006/relationships/hyperlink" Target="http://www.paclii.org/vu/cases/VUMC/2020/7.html" TargetMode="External"/><Relationship Id="rId1" Type="http://schemas.openxmlformats.org/officeDocument/2006/relationships/hyperlink" Target="http://www.paclii.org/vu/cases/VUMC/2020/11.html" TargetMode="External"/><Relationship Id="rId4" Type="http://schemas.openxmlformats.org/officeDocument/2006/relationships/hyperlink" Target="https://www.unodc.org/ji/resdb/data/_220_/measures_for_the_effective_implementation_of_the_bangalore_principles_of_judicial_conduct.html?lng=en" TargetMode="External"/></Relationships>
</file>

<file path=word/_rels/header10.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1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1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1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1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1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1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1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8.png"/><Relationship Id="rId1" Type="http://schemas.openxmlformats.org/officeDocument/2006/relationships/image" Target="media/image7.png"/><Relationship Id="rId5" Type="http://schemas.openxmlformats.org/officeDocument/2006/relationships/image" Target="media/image3.png"/><Relationship Id="rId4" Type="http://schemas.openxmlformats.org/officeDocument/2006/relationships/image" Target="media/image13.png"/></Relationships>
</file>

<file path=word/_rels/header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1125%20PJSI%20Activity%20Data%20(MASTER).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1125%20PJSI%20Activity%20Data%20(MASTER).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3.xml"/></Relationships>
</file>

<file path=word/charts/_rels/chart11.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1125%20PJSI%20Activity%20Data%20(MASTER).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1125%20PJSI%20Activity%20Data%20(MASTER).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1125%20PJSI%20Activity%20Data%20(MASTER).xlsx" TargetMode="External"/><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1125%20PJSI%20Activity%20Data%20(MASTER).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0616%20PJSI%20Activity%20Data%20(MASTER).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_rels/chart5.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1125%20PJSI%20Activity%20Data%20(MASTER).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1125%20PJSI%20Activity%20Data%20(MASTER).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1125%20PJSI%20Activity%20Data%20(MASTER).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1125%20PJSI%20Activity%20Data%20(MASTER).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fedcourt.gov.au\dfsroot\shared\PRIN\Executive\PO\1.%20Current\PJSI\1.%20Contract\Milestones\Milestone%20Report%20Data\M13%20Data%20-%20Completion%20Report\210428%20PJSI%20Activity%20Data%20(MASTER).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Graphics!$B$339</c:f>
              <c:strCache>
                <c:ptCount val="1"/>
                <c:pt idx="0">
                  <c:v>Target</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Graphics!$C$337:$H$338</c:f>
              <c:multiLvlStrCache>
                <c:ptCount val="6"/>
                <c:lvl>
                  <c:pt idx="0">
                    <c:v># of PICs with capacity to lead change locally</c:v>
                  </c:pt>
                  <c:pt idx="1">
                    <c:v># of accessibility reforms that achieve their objectives</c:v>
                  </c:pt>
                  <c:pt idx="2">
                    <c:v># courses available from in-region providers</c:v>
                  </c:pt>
                  <c:pt idx="3">
                    <c:v># of GFV/human rights reforms that achieved their objectives</c:v>
                  </c:pt>
                  <c:pt idx="4">
                    <c:v># of efficiency reforms that achieved their objectives</c:v>
                  </c:pt>
                  <c:pt idx="5">
                    <c:v># of established indicators for court performance/reporting</c:v>
                  </c:pt>
                </c:lvl>
                <c:lvl>
                  <c:pt idx="0">
                    <c:v>Leadership</c:v>
                  </c:pt>
                  <c:pt idx="1">
                    <c:v>Access</c:v>
                  </c:pt>
                  <c:pt idx="2">
                    <c:v>Professionalism</c:v>
                  </c:pt>
                  <c:pt idx="3">
                    <c:v>Rights</c:v>
                  </c:pt>
                  <c:pt idx="4">
                    <c:v>Procedure</c:v>
                  </c:pt>
                </c:lvl>
              </c:multiLvlStrCache>
            </c:multiLvlStrRef>
          </c:cat>
          <c:val>
            <c:numRef>
              <c:f>Graphics!$C$339:$H$339</c:f>
              <c:numCache>
                <c:formatCode>General</c:formatCode>
                <c:ptCount val="6"/>
                <c:pt idx="0">
                  <c:v>3</c:v>
                </c:pt>
                <c:pt idx="1">
                  <c:v>3</c:v>
                </c:pt>
                <c:pt idx="2">
                  <c:v>6</c:v>
                </c:pt>
                <c:pt idx="3">
                  <c:v>6</c:v>
                </c:pt>
                <c:pt idx="4">
                  <c:v>5</c:v>
                </c:pt>
                <c:pt idx="5">
                  <c:v>12</c:v>
                </c:pt>
              </c:numCache>
            </c:numRef>
          </c:val>
          <c:extLst>
            <c:ext xmlns:c16="http://schemas.microsoft.com/office/drawing/2014/chart" uri="{C3380CC4-5D6E-409C-BE32-E72D297353CC}">
              <c16:uniqueId val="{00000000-4D06-4A9F-87BC-19FC49CB024B}"/>
            </c:ext>
          </c:extLst>
        </c:ser>
        <c:ser>
          <c:idx val="1"/>
          <c:order val="1"/>
          <c:tx>
            <c:strRef>
              <c:f>Graphics!$B$340</c:f>
              <c:strCache>
                <c:ptCount val="1"/>
                <c:pt idx="0">
                  <c:v>Result</c:v>
                </c:pt>
              </c:strCache>
            </c:strRef>
          </c:tx>
          <c:spPr>
            <a:solidFill>
              <a:srgbClr val="F0AB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Graphics!$C$337:$H$338</c:f>
              <c:multiLvlStrCache>
                <c:ptCount val="6"/>
                <c:lvl>
                  <c:pt idx="0">
                    <c:v># of PICs with capacity to lead change locally</c:v>
                  </c:pt>
                  <c:pt idx="1">
                    <c:v># of accessibility reforms that achieve their objectives</c:v>
                  </c:pt>
                  <c:pt idx="2">
                    <c:v># courses available from in-region providers</c:v>
                  </c:pt>
                  <c:pt idx="3">
                    <c:v># of GFV/human rights reforms that achieved their objectives</c:v>
                  </c:pt>
                  <c:pt idx="4">
                    <c:v># of efficiency reforms that achieved their objectives</c:v>
                  </c:pt>
                  <c:pt idx="5">
                    <c:v># of established indicators for court performance/reporting</c:v>
                  </c:pt>
                </c:lvl>
                <c:lvl>
                  <c:pt idx="0">
                    <c:v>Leadership</c:v>
                  </c:pt>
                  <c:pt idx="1">
                    <c:v>Access</c:v>
                  </c:pt>
                  <c:pt idx="2">
                    <c:v>Professionalism</c:v>
                  </c:pt>
                  <c:pt idx="3">
                    <c:v>Rights</c:v>
                  </c:pt>
                  <c:pt idx="4">
                    <c:v>Procedure</c:v>
                  </c:pt>
                </c:lvl>
              </c:multiLvlStrCache>
            </c:multiLvlStrRef>
          </c:cat>
          <c:val>
            <c:numRef>
              <c:f>Graphics!$C$340:$H$340</c:f>
              <c:numCache>
                <c:formatCode>General</c:formatCode>
                <c:ptCount val="6"/>
                <c:pt idx="0">
                  <c:v>13</c:v>
                </c:pt>
                <c:pt idx="1">
                  <c:v>6</c:v>
                </c:pt>
                <c:pt idx="2">
                  <c:v>37</c:v>
                </c:pt>
                <c:pt idx="3">
                  <c:v>20</c:v>
                </c:pt>
                <c:pt idx="4">
                  <c:v>10</c:v>
                </c:pt>
                <c:pt idx="5">
                  <c:v>18</c:v>
                </c:pt>
              </c:numCache>
            </c:numRef>
          </c:val>
          <c:extLst>
            <c:ext xmlns:c16="http://schemas.microsoft.com/office/drawing/2014/chart" uri="{C3380CC4-5D6E-409C-BE32-E72D297353CC}">
              <c16:uniqueId val="{00000001-4D06-4A9F-87BC-19FC49CB024B}"/>
            </c:ext>
          </c:extLst>
        </c:ser>
        <c:dLbls>
          <c:showLegendKey val="0"/>
          <c:showVal val="0"/>
          <c:showCatName val="0"/>
          <c:showSerName val="0"/>
          <c:showPercent val="0"/>
          <c:showBubbleSize val="0"/>
        </c:dLbls>
        <c:gapWidth val="219"/>
        <c:axId val="580162592"/>
        <c:axId val="580162920"/>
      </c:barChart>
      <c:catAx>
        <c:axId val="58016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800" b="0" i="0" u="none" strike="noStrike" kern="1200" baseline="0">
                <a:solidFill>
                  <a:sysClr val="windowText" lastClr="000000"/>
                </a:solidFill>
                <a:latin typeface="+mn-lt"/>
                <a:ea typeface="+mn-ea"/>
                <a:cs typeface="+mn-cs"/>
              </a:defRPr>
            </a:pPr>
            <a:endParaRPr lang="en-US"/>
          </a:p>
        </c:txPr>
        <c:crossAx val="580162920"/>
        <c:crosses val="autoZero"/>
        <c:auto val="1"/>
        <c:lblAlgn val="ctr"/>
        <c:lblOffset val="100"/>
        <c:noMultiLvlLbl val="0"/>
      </c:catAx>
      <c:valAx>
        <c:axId val="580162920"/>
        <c:scaling>
          <c:orientation val="minMax"/>
        </c:scaling>
        <c:delete val="1"/>
        <c:axPos val="l"/>
        <c:numFmt formatCode="General" sourceLinked="1"/>
        <c:majorTickMark val="none"/>
        <c:minorTickMark val="none"/>
        <c:tickLblPos val="nextTo"/>
        <c:crossAx val="58016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28575" cap="flat" cmpd="sng" algn="ctr">
      <a:solidFill>
        <a:schemeClr val="tx2"/>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349CCC"/>
            </a:solidFill>
          </c:spPr>
          <c:dPt>
            <c:idx val="0"/>
            <c:bubble3D val="0"/>
            <c:spPr>
              <a:solidFill>
                <a:srgbClr val="349CCC"/>
              </a:solidFill>
              <a:ln w="19050">
                <a:solidFill>
                  <a:schemeClr val="lt1"/>
                </a:solidFill>
              </a:ln>
              <a:effectLst/>
            </c:spPr>
            <c:extLst>
              <c:ext xmlns:c16="http://schemas.microsoft.com/office/drawing/2014/chart" uri="{C3380CC4-5D6E-409C-BE32-E72D297353CC}">
                <c16:uniqueId val="{00000001-A3B7-4E4A-9F83-79CC4EFC5F95}"/>
              </c:ext>
            </c:extLst>
          </c:dPt>
          <c:dPt>
            <c:idx val="1"/>
            <c:bubble3D val="0"/>
            <c:spPr>
              <a:solidFill>
                <a:srgbClr val="243454"/>
              </a:solidFill>
              <a:ln w="19050">
                <a:solidFill>
                  <a:schemeClr val="lt1"/>
                </a:solidFill>
              </a:ln>
              <a:effectLst/>
            </c:spPr>
            <c:extLst>
              <c:ext xmlns:c16="http://schemas.microsoft.com/office/drawing/2014/chart" uri="{C3380CC4-5D6E-409C-BE32-E72D297353CC}">
                <c16:uniqueId val="{00000003-A3B7-4E4A-9F83-79CC4EFC5F95}"/>
              </c:ext>
            </c:extLst>
          </c:dPt>
          <c:cat>
            <c:strRef>
              <c:f>Graphics!$B$16:$B$17</c:f>
              <c:strCache>
                <c:ptCount val="2"/>
                <c:pt idx="0">
                  <c:v>female</c:v>
                </c:pt>
                <c:pt idx="1">
                  <c:v>male</c:v>
                </c:pt>
              </c:strCache>
            </c:strRef>
          </c:cat>
          <c:val>
            <c:numRef>
              <c:f>Graphics!$C$16:$C$17</c:f>
              <c:numCache>
                <c:formatCode>General</c:formatCode>
                <c:ptCount val="2"/>
                <c:pt idx="0">
                  <c:v>1596</c:v>
                </c:pt>
                <c:pt idx="1">
                  <c:v>1865</c:v>
                </c:pt>
              </c:numCache>
            </c:numRef>
          </c:val>
          <c:extLst>
            <c:ext xmlns:c16="http://schemas.microsoft.com/office/drawing/2014/chart" uri="{C3380CC4-5D6E-409C-BE32-E72D297353CC}">
              <c16:uniqueId val="{00000004-A3B7-4E4A-9F83-79CC4EFC5F95}"/>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AU" sz="1100" b="1"/>
              <a:t>COJ &amp; DOJ Student Progression</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Graphics!$BE$296</c:f>
              <c:strCache>
                <c:ptCount val="1"/>
                <c:pt idx="0">
                  <c:v>Successfully Completed/Progressing</c:v>
                </c:pt>
              </c:strCache>
            </c:strRef>
          </c:tx>
          <c:spPr>
            <a:solidFill>
              <a:schemeClr val="accent1"/>
            </a:solidFill>
            <a:ln w="28575">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Graphics!$BD$297:$BD$307</c:f>
              <c:strCache>
                <c:ptCount val="11"/>
                <c:pt idx="0">
                  <c:v>FSM</c:v>
                </c:pt>
                <c:pt idx="1">
                  <c:v>Kiribati</c:v>
                </c:pt>
                <c:pt idx="2">
                  <c:v>Palau</c:v>
                </c:pt>
                <c:pt idx="3">
                  <c:v>RMI</c:v>
                </c:pt>
                <c:pt idx="4">
                  <c:v>Samoa</c:v>
                </c:pt>
                <c:pt idx="5">
                  <c:v>Solomon Islands</c:v>
                </c:pt>
                <c:pt idx="6">
                  <c:v>Tonga</c:v>
                </c:pt>
                <c:pt idx="7">
                  <c:v>Vanuatu</c:v>
                </c:pt>
                <c:pt idx="8">
                  <c:v>Niue</c:v>
                </c:pt>
                <c:pt idx="9">
                  <c:v>PNG</c:v>
                </c:pt>
                <c:pt idx="10">
                  <c:v>Nauru</c:v>
                </c:pt>
              </c:strCache>
            </c:strRef>
          </c:cat>
          <c:val>
            <c:numRef>
              <c:f>Graphics!$BE$297:$BE$307</c:f>
              <c:numCache>
                <c:formatCode>General</c:formatCode>
                <c:ptCount val="11"/>
                <c:pt idx="0">
                  <c:v>2</c:v>
                </c:pt>
                <c:pt idx="1">
                  <c:v>66</c:v>
                </c:pt>
                <c:pt idx="2">
                  <c:v>3</c:v>
                </c:pt>
                <c:pt idx="3">
                  <c:v>6</c:v>
                </c:pt>
                <c:pt idx="4">
                  <c:v>8</c:v>
                </c:pt>
                <c:pt idx="5">
                  <c:v>34</c:v>
                </c:pt>
                <c:pt idx="6">
                  <c:v>16</c:v>
                </c:pt>
                <c:pt idx="7">
                  <c:v>15</c:v>
                </c:pt>
                <c:pt idx="8">
                  <c:v>7</c:v>
                </c:pt>
                <c:pt idx="9">
                  <c:v>6</c:v>
                </c:pt>
                <c:pt idx="10">
                  <c:v>4</c:v>
                </c:pt>
              </c:numCache>
            </c:numRef>
          </c:val>
          <c:extLst>
            <c:ext xmlns:c16="http://schemas.microsoft.com/office/drawing/2014/chart" uri="{C3380CC4-5D6E-409C-BE32-E72D297353CC}">
              <c16:uniqueId val="{00000000-62D9-45E1-B8C5-8A50E35A433B}"/>
            </c:ext>
          </c:extLst>
        </c:ser>
        <c:ser>
          <c:idx val="1"/>
          <c:order val="1"/>
          <c:tx>
            <c:strRef>
              <c:f>Graphics!$BF$296</c:f>
              <c:strCache>
                <c:ptCount val="1"/>
                <c:pt idx="0">
                  <c:v>Incomplete</c:v>
                </c:pt>
              </c:strCache>
            </c:strRef>
          </c:tx>
          <c:spPr>
            <a:solidFill>
              <a:schemeClr val="accent5">
                <a:lumMod val="40000"/>
                <a:lumOff val="60000"/>
              </a:schemeClr>
            </a:solidFill>
            <a:ln w="28575">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1-62D9-45E1-B8C5-8A50E35A433B}"/>
                </c:ext>
              </c:extLst>
            </c:dLbl>
            <c:dLbl>
              <c:idx val="6"/>
              <c:delete val="1"/>
              <c:extLst>
                <c:ext xmlns:c15="http://schemas.microsoft.com/office/drawing/2012/chart" uri="{CE6537A1-D6FC-4f65-9D91-7224C49458BB}"/>
                <c:ext xmlns:c16="http://schemas.microsoft.com/office/drawing/2014/chart" uri="{C3380CC4-5D6E-409C-BE32-E72D297353CC}">
                  <c16:uniqueId val="{00000002-62D9-45E1-B8C5-8A50E35A433B}"/>
                </c:ext>
              </c:extLst>
            </c:dLbl>
            <c:dLbl>
              <c:idx val="9"/>
              <c:delete val="1"/>
              <c:extLst>
                <c:ext xmlns:c15="http://schemas.microsoft.com/office/drawing/2012/chart" uri="{CE6537A1-D6FC-4f65-9D91-7224C49458BB}"/>
                <c:ext xmlns:c16="http://schemas.microsoft.com/office/drawing/2014/chart" uri="{C3380CC4-5D6E-409C-BE32-E72D297353CC}">
                  <c16:uniqueId val="{00000003-62D9-45E1-B8C5-8A50E35A433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Graphics!$BD$297:$BD$307</c:f>
              <c:strCache>
                <c:ptCount val="11"/>
                <c:pt idx="0">
                  <c:v>FSM</c:v>
                </c:pt>
                <c:pt idx="1">
                  <c:v>Kiribati</c:v>
                </c:pt>
                <c:pt idx="2">
                  <c:v>Palau</c:v>
                </c:pt>
                <c:pt idx="3">
                  <c:v>RMI</c:v>
                </c:pt>
                <c:pt idx="4">
                  <c:v>Samoa</c:v>
                </c:pt>
                <c:pt idx="5">
                  <c:v>Solomon Islands</c:v>
                </c:pt>
                <c:pt idx="6">
                  <c:v>Tonga</c:v>
                </c:pt>
                <c:pt idx="7">
                  <c:v>Vanuatu</c:v>
                </c:pt>
                <c:pt idx="8">
                  <c:v>Niue</c:v>
                </c:pt>
                <c:pt idx="9">
                  <c:v>PNG</c:v>
                </c:pt>
                <c:pt idx="10">
                  <c:v>Nauru</c:v>
                </c:pt>
              </c:strCache>
            </c:strRef>
          </c:cat>
          <c:val>
            <c:numRef>
              <c:f>Graphics!$BF$297:$BF$307</c:f>
              <c:numCache>
                <c:formatCode>General</c:formatCode>
                <c:ptCount val="11"/>
                <c:pt idx="0">
                  <c:v>1</c:v>
                </c:pt>
                <c:pt idx="1">
                  <c:v>15</c:v>
                </c:pt>
                <c:pt idx="2">
                  <c:v>2</c:v>
                </c:pt>
                <c:pt idx="3">
                  <c:v>0</c:v>
                </c:pt>
                <c:pt idx="4">
                  <c:v>1</c:v>
                </c:pt>
                <c:pt idx="5">
                  <c:v>3</c:v>
                </c:pt>
                <c:pt idx="6">
                  <c:v>0</c:v>
                </c:pt>
                <c:pt idx="7">
                  <c:v>5</c:v>
                </c:pt>
                <c:pt idx="8">
                  <c:v>4</c:v>
                </c:pt>
                <c:pt idx="9">
                  <c:v>0</c:v>
                </c:pt>
                <c:pt idx="10">
                  <c:v>3</c:v>
                </c:pt>
              </c:numCache>
            </c:numRef>
          </c:val>
          <c:extLst>
            <c:ext xmlns:c16="http://schemas.microsoft.com/office/drawing/2014/chart" uri="{C3380CC4-5D6E-409C-BE32-E72D297353CC}">
              <c16:uniqueId val="{00000004-62D9-45E1-B8C5-8A50E35A433B}"/>
            </c:ext>
          </c:extLst>
        </c:ser>
        <c:dLbls>
          <c:showLegendKey val="0"/>
          <c:showVal val="0"/>
          <c:showCatName val="0"/>
          <c:showSerName val="0"/>
          <c:showPercent val="0"/>
          <c:showBubbleSize val="0"/>
        </c:dLbls>
        <c:gapWidth val="50"/>
        <c:overlap val="100"/>
        <c:axId val="558259712"/>
        <c:axId val="558265944"/>
      </c:barChart>
      <c:catAx>
        <c:axId val="558259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58265944"/>
        <c:crosses val="autoZero"/>
        <c:auto val="1"/>
        <c:lblAlgn val="ctr"/>
        <c:lblOffset val="100"/>
        <c:noMultiLvlLbl val="0"/>
      </c:catAx>
      <c:valAx>
        <c:axId val="558265944"/>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5825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ED7D31"/>
            </a:solidFill>
            <a:ln>
              <a:noFill/>
            </a:ln>
            <a:effectLst>
              <a:outerShdw blurRad="57150" dist="19050" dir="5400000" algn="ctr" rotWithShape="0">
                <a:srgbClr val="000000">
                  <a:alpha val="63000"/>
                </a:srgbClr>
              </a:outerShdw>
            </a:effectLst>
          </c:spPr>
          <c:invertIfNegative val="0"/>
          <c:cat>
            <c:strRef>
              <c:f>Graphics!$U$4:$U$7</c:f>
              <c:strCache>
                <c:ptCount val="4"/>
                <c:pt idx="0">
                  <c:v>Satisfaction</c:v>
                </c:pt>
                <c:pt idx="1">
                  <c:v>Relevance</c:v>
                </c:pt>
                <c:pt idx="2">
                  <c:v>Achievement of aims</c:v>
                </c:pt>
                <c:pt idx="3">
                  <c:v>Facilitator effectiveness</c:v>
                </c:pt>
              </c:strCache>
            </c:strRef>
          </c:cat>
          <c:val>
            <c:numRef>
              <c:f>Graphics!$V$4:$V$7</c:f>
              <c:numCache>
                <c:formatCode>0%</c:formatCode>
                <c:ptCount val="4"/>
                <c:pt idx="0">
                  <c:v>0.89455757064529762</c:v>
                </c:pt>
                <c:pt idx="1">
                  <c:v>0.90979410745233968</c:v>
                </c:pt>
                <c:pt idx="2">
                  <c:v>0.81793425975414202</c:v>
                </c:pt>
                <c:pt idx="3">
                  <c:v>0.89950655307994754</c:v>
                </c:pt>
              </c:numCache>
            </c:numRef>
          </c:val>
          <c:extLst>
            <c:ext xmlns:c16="http://schemas.microsoft.com/office/drawing/2014/chart" uri="{C3380CC4-5D6E-409C-BE32-E72D297353CC}">
              <c16:uniqueId val="{00000000-7D29-4D6A-971D-BFE792B23A73}"/>
            </c:ext>
          </c:extLst>
        </c:ser>
        <c:dLbls>
          <c:showLegendKey val="0"/>
          <c:showVal val="0"/>
          <c:showCatName val="0"/>
          <c:showSerName val="0"/>
          <c:showPercent val="0"/>
          <c:showBubbleSize val="0"/>
        </c:dLbls>
        <c:gapWidth val="100"/>
        <c:overlap val="-24"/>
        <c:axId val="707823104"/>
        <c:axId val="707837864"/>
      </c:barChart>
      <c:catAx>
        <c:axId val="7078231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07837864"/>
        <c:crosses val="autoZero"/>
        <c:auto val="1"/>
        <c:lblAlgn val="ctr"/>
        <c:lblOffset val="100"/>
        <c:noMultiLvlLbl val="0"/>
      </c:catAx>
      <c:valAx>
        <c:axId val="707837864"/>
        <c:scaling>
          <c:orientation val="minMax"/>
          <c:max val="0.94000000000000006"/>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07823104"/>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2"/>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Activity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Graphics!$AJ$16</c:f>
              <c:strCache>
                <c:ptCount val="1"/>
                <c:pt idx="0">
                  <c:v>Regional</c:v>
                </c:pt>
              </c:strCache>
            </c:strRef>
          </c:tx>
          <c:spPr>
            <a:ln w="28575" cap="rnd">
              <a:solidFill>
                <a:schemeClr val="accent1"/>
              </a:solidFill>
              <a:round/>
            </a:ln>
            <a:effectLst/>
          </c:spPr>
          <c:marker>
            <c:symbol val="none"/>
          </c:marker>
          <c:cat>
            <c:strRef>
              <c:f>Graphics!$AI$17:$AI$19</c:f>
              <c:strCache>
                <c:ptCount val="3"/>
                <c:pt idx="0">
                  <c:v>Phase 1</c:v>
                </c:pt>
                <c:pt idx="1">
                  <c:v>Phase 2</c:v>
                </c:pt>
                <c:pt idx="2">
                  <c:v>COVID</c:v>
                </c:pt>
              </c:strCache>
            </c:strRef>
          </c:cat>
          <c:val>
            <c:numRef>
              <c:f>Graphics!$AJ$17:$AJ$19</c:f>
              <c:numCache>
                <c:formatCode>0%</c:formatCode>
                <c:ptCount val="3"/>
                <c:pt idx="0">
                  <c:v>0.25263157894736843</c:v>
                </c:pt>
                <c:pt idx="1">
                  <c:v>0.21951219512195122</c:v>
                </c:pt>
                <c:pt idx="2">
                  <c:v>0</c:v>
                </c:pt>
              </c:numCache>
            </c:numRef>
          </c:val>
          <c:smooth val="0"/>
          <c:extLst>
            <c:ext xmlns:c16="http://schemas.microsoft.com/office/drawing/2014/chart" uri="{C3380CC4-5D6E-409C-BE32-E72D297353CC}">
              <c16:uniqueId val="{00000000-D901-4F2C-BA0A-D38DA4ECAF5A}"/>
            </c:ext>
          </c:extLst>
        </c:ser>
        <c:ser>
          <c:idx val="1"/>
          <c:order val="1"/>
          <c:tx>
            <c:strRef>
              <c:f>Graphics!$AK$16</c:f>
              <c:strCache>
                <c:ptCount val="1"/>
                <c:pt idx="0">
                  <c:v>Local</c:v>
                </c:pt>
              </c:strCache>
            </c:strRef>
          </c:tx>
          <c:spPr>
            <a:ln w="28575" cap="rnd">
              <a:solidFill>
                <a:schemeClr val="accent4"/>
              </a:solidFill>
              <a:round/>
            </a:ln>
            <a:effectLst/>
          </c:spPr>
          <c:marker>
            <c:symbol val="none"/>
          </c:marker>
          <c:cat>
            <c:strRef>
              <c:f>Graphics!$AI$17:$AI$19</c:f>
              <c:strCache>
                <c:ptCount val="3"/>
                <c:pt idx="0">
                  <c:v>Phase 1</c:v>
                </c:pt>
                <c:pt idx="1">
                  <c:v>Phase 2</c:v>
                </c:pt>
                <c:pt idx="2">
                  <c:v>COVID</c:v>
                </c:pt>
              </c:strCache>
            </c:strRef>
          </c:cat>
          <c:val>
            <c:numRef>
              <c:f>Graphics!$AK$17:$AK$19</c:f>
              <c:numCache>
                <c:formatCode>0%</c:formatCode>
                <c:ptCount val="3"/>
                <c:pt idx="0">
                  <c:v>0.71578947368421053</c:v>
                </c:pt>
                <c:pt idx="1">
                  <c:v>0.56097560975609762</c:v>
                </c:pt>
                <c:pt idx="2">
                  <c:v>0.29702970297029702</c:v>
                </c:pt>
              </c:numCache>
            </c:numRef>
          </c:val>
          <c:smooth val="0"/>
          <c:extLst>
            <c:ext xmlns:c16="http://schemas.microsoft.com/office/drawing/2014/chart" uri="{C3380CC4-5D6E-409C-BE32-E72D297353CC}">
              <c16:uniqueId val="{00000001-D901-4F2C-BA0A-D38DA4ECAF5A}"/>
            </c:ext>
          </c:extLst>
        </c:ser>
        <c:ser>
          <c:idx val="2"/>
          <c:order val="2"/>
          <c:tx>
            <c:strRef>
              <c:f>Graphics!$AL$16</c:f>
              <c:strCache>
                <c:ptCount val="1"/>
                <c:pt idx="0">
                  <c:v>Remote</c:v>
                </c:pt>
              </c:strCache>
            </c:strRef>
          </c:tx>
          <c:spPr>
            <a:ln w="28575" cap="rnd">
              <a:solidFill>
                <a:schemeClr val="accent3"/>
              </a:solidFill>
              <a:round/>
            </a:ln>
            <a:effectLst/>
          </c:spPr>
          <c:marker>
            <c:symbol val="none"/>
          </c:marker>
          <c:cat>
            <c:strRef>
              <c:f>Graphics!$AI$17:$AI$19</c:f>
              <c:strCache>
                <c:ptCount val="3"/>
                <c:pt idx="0">
                  <c:v>Phase 1</c:v>
                </c:pt>
                <c:pt idx="1">
                  <c:v>Phase 2</c:v>
                </c:pt>
                <c:pt idx="2">
                  <c:v>COVID</c:v>
                </c:pt>
              </c:strCache>
            </c:strRef>
          </c:cat>
          <c:val>
            <c:numRef>
              <c:f>Graphics!$AL$17:$AL$19</c:f>
              <c:numCache>
                <c:formatCode>0%</c:formatCode>
                <c:ptCount val="3"/>
                <c:pt idx="0">
                  <c:v>3.1578947368421054E-2</c:v>
                </c:pt>
                <c:pt idx="1">
                  <c:v>0.21951219512195122</c:v>
                </c:pt>
                <c:pt idx="2">
                  <c:v>0.70297029702970293</c:v>
                </c:pt>
              </c:numCache>
            </c:numRef>
          </c:val>
          <c:smooth val="0"/>
          <c:extLst>
            <c:ext xmlns:c16="http://schemas.microsoft.com/office/drawing/2014/chart" uri="{C3380CC4-5D6E-409C-BE32-E72D297353CC}">
              <c16:uniqueId val="{00000002-D901-4F2C-BA0A-D38DA4ECAF5A}"/>
            </c:ext>
          </c:extLst>
        </c:ser>
        <c:dLbls>
          <c:showLegendKey val="0"/>
          <c:showVal val="0"/>
          <c:showCatName val="0"/>
          <c:showSerName val="0"/>
          <c:showPercent val="0"/>
          <c:showBubbleSize val="0"/>
        </c:dLbls>
        <c:smooth val="0"/>
        <c:axId val="676653040"/>
        <c:axId val="676654680"/>
      </c:lineChart>
      <c:catAx>
        <c:axId val="67665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654680"/>
        <c:crosses val="autoZero"/>
        <c:auto val="1"/>
        <c:lblAlgn val="ctr"/>
        <c:lblOffset val="100"/>
        <c:noMultiLvlLbl val="0"/>
      </c:catAx>
      <c:valAx>
        <c:axId val="676654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653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8575" cap="flat" cmpd="sng" algn="ctr">
      <a:solidFill>
        <a:schemeClr val="tx2"/>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Sheet1!$B$1</c:f>
              <c:strCache>
                <c:ptCount val="1"/>
                <c:pt idx="0">
                  <c:v>Target</c:v>
                </c:pt>
              </c:strCache>
            </c:strRef>
          </c:tx>
          <c:spPr>
            <a:solidFill>
              <a:schemeClr val="accent5"/>
            </a:solidFill>
            <a:ln>
              <a:noFill/>
            </a:ln>
            <a:effectLst/>
          </c:spPr>
          <c:invertIfNegative val="0"/>
          <c:cat>
            <c:strRef>
              <c:f>Sheet1!$A$2:$A$6</c:f>
              <c:strCache>
                <c:ptCount val="5"/>
                <c:pt idx="0">
                  <c:v>Leadership</c:v>
                </c:pt>
                <c:pt idx="1">
                  <c:v>Access</c:v>
                </c:pt>
                <c:pt idx="2">
                  <c:v>Professionalism</c:v>
                </c:pt>
                <c:pt idx="3">
                  <c:v>Rights</c:v>
                </c:pt>
                <c:pt idx="4">
                  <c:v>Procedure</c:v>
                </c:pt>
              </c:strCache>
            </c:strRef>
          </c:cat>
          <c:val>
            <c:numRef>
              <c:f>Sheet1!$B$2:$B$6</c:f>
              <c:numCache>
                <c:formatCode>0%</c:formatCode>
                <c:ptCount val="5"/>
                <c:pt idx="0">
                  <c:v>1</c:v>
                </c:pt>
                <c:pt idx="1">
                  <c:v>1</c:v>
                </c:pt>
                <c:pt idx="2">
                  <c:v>1</c:v>
                </c:pt>
                <c:pt idx="3">
                  <c:v>1</c:v>
                </c:pt>
                <c:pt idx="4">
                  <c:v>1</c:v>
                </c:pt>
              </c:numCache>
            </c:numRef>
          </c:val>
          <c:extLst>
            <c:ext xmlns:c16="http://schemas.microsoft.com/office/drawing/2014/chart" uri="{C3380CC4-5D6E-409C-BE32-E72D297353CC}">
              <c16:uniqueId val="{00000000-1880-4F57-B56B-C27E52BC5954}"/>
            </c:ext>
          </c:extLst>
        </c:ser>
        <c:ser>
          <c:idx val="1"/>
          <c:order val="1"/>
          <c:tx>
            <c:strRef>
              <c:f>Sheet1!$C$1</c:f>
              <c:strCache>
                <c:ptCount val="1"/>
                <c:pt idx="0">
                  <c:v>Achieved</c:v>
                </c:pt>
              </c:strCache>
            </c:strRef>
          </c:tx>
          <c:spPr>
            <a:solidFill>
              <a:schemeClr val="accent1"/>
            </a:solidFill>
            <a:ln>
              <a:noFill/>
            </a:ln>
            <a:effectLst/>
          </c:spPr>
          <c:invertIfNegative val="0"/>
          <c:dLbls>
            <c:dLbl>
              <c:idx val="0"/>
              <c:layout>
                <c:manualLayout>
                  <c:x val="0.10971660480765895"/>
                  <c:y val="7.1194871132911675E-2"/>
                </c:manualLayout>
              </c:layout>
              <c:tx>
                <c:rich>
                  <a:bodyPr/>
                  <a:lstStyle/>
                  <a:p>
                    <a:r>
                      <a:rPr lang="en-US"/>
                      <a:t>400%</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880-4F57-B56B-C27E52BC5954}"/>
                </c:ext>
              </c:extLst>
            </c:dLbl>
            <c:dLbl>
              <c:idx val="1"/>
              <c:layout>
                <c:manualLayout>
                  <c:x val="2.6096870049834079E-2"/>
                  <c:y val="5.6624643231071525E-2"/>
                </c:manualLayout>
              </c:layout>
              <c:tx>
                <c:rich>
                  <a:bodyPr/>
                  <a:lstStyle/>
                  <a:p>
                    <a:r>
                      <a:rPr lang="en-US"/>
                      <a:t>200%</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880-4F57-B56B-C27E52BC5954}"/>
                </c:ext>
              </c:extLst>
            </c:dLbl>
            <c:dLbl>
              <c:idx val="2"/>
              <c:layout>
                <c:manualLayout>
                  <c:x val="0.23103957820250443"/>
                  <c:y val="6.5752764510993503E-2"/>
                </c:manualLayout>
              </c:layout>
              <c:tx>
                <c:rich>
                  <a:bodyPr/>
                  <a:lstStyle/>
                  <a:p>
                    <a:r>
                      <a:rPr lang="en-US"/>
                      <a:t>616%</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880-4F57-B56B-C27E52BC5954}"/>
                </c:ext>
              </c:extLst>
            </c:dLbl>
            <c:dLbl>
              <c:idx val="3"/>
              <c:layout>
                <c:manualLayout>
                  <c:x val="8.3627828459768419E-2"/>
                  <c:y val="5.6624930080461253E-2"/>
                </c:manualLayout>
              </c:layout>
              <c:tx>
                <c:rich>
                  <a:bodyPr/>
                  <a:lstStyle/>
                  <a:p>
                    <a:r>
                      <a:rPr lang="en-US"/>
                      <a:t>333%</a:t>
                    </a:r>
                  </a:p>
                </c:rich>
              </c:tx>
              <c:dLblPos val="ctr"/>
              <c:showLegendKey val="0"/>
              <c:showVal val="1"/>
              <c:showCatName val="0"/>
              <c:showSerName val="0"/>
              <c:showPercent val="0"/>
              <c:showBubbleSize val="0"/>
              <c:extLst>
                <c:ext xmlns:c15="http://schemas.microsoft.com/office/drawing/2012/chart" uri="{CE6537A1-D6FC-4f65-9D91-7224C49458BB}">
                  <c15:layout>
                    <c:manualLayout>
                      <c:w val="7.6696150866604224E-2"/>
                      <c:h val="0.10189464021915291"/>
                    </c:manualLayout>
                  </c15:layout>
                </c:ext>
                <c:ext xmlns:c16="http://schemas.microsoft.com/office/drawing/2014/chart" uri="{C3380CC4-5D6E-409C-BE32-E72D297353CC}">
                  <c16:uniqueId val="{00000005-1880-4F57-B56B-C27E52BC5954}"/>
                </c:ext>
              </c:extLst>
            </c:dLbl>
            <c:dLbl>
              <c:idx val="4"/>
              <c:layout>
                <c:manualLayout>
                  <c:x val="8.3998751257413871E-3"/>
                  <c:y val="5.8469084807022141E-2"/>
                </c:manualLayout>
              </c:layout>
              <c:tx>
                <c:rich>
                  <a:bodyPr/>
                  <a:lstStyle/>
                  <a:p>
                    <a:r>
                      <a:rPr lang="en-US"/>
                      <a:t>165%</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880-4F57-B56B-C27E52BC595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Leadership</c:v>
                </c:pt>
                <c:pt idx="1">
                  <c:v>Access</c:v>
                </c:pt>
                <c:pt idx="2">
                  <c:v>Professionalism</c:v>
                </c:pt>
                <c:pt idx="3">
                  <c:v>Rights</c:v>
                </c:pt>
                <c:pt idx="4">
                  <c:v>Procedure</c:v>
                </c:pt>
              </c:strCache>
            </c:strRef>
          </c:cat>
          <c:val>
            <c:numRef>
              <c:f>Sheet1!$C$2:$C$6</c:f>
              <c:numCache>
                <c:formatCode>0%</c:formatCode>
                <c:ptCount val="5"/>
                <c:pt idx="0">
                  <c:v>3</c:v>
                </c:pt>
                <c:pt idx="1">
                  <c:v>1</c:v>
                </c:pt>
                <c:pt idx="2">
                  <c:v>5.16</c:v>
                </c:pt>
                <c:pt idx="3">
                  <c:v>2.33</c:v>
                </c:pt>
                <c:pt idx="4">
                  <c:v>0.64705882352941169</c:v>
                </c:pt>
              </c:numCache>
            </c:numRef>
          </c:val>
          <c:extLst>
            <c:ext xmlns:c16="http://schemas.microsoft.com/office/drawing/2014/chart" uri="{C3380CC4-5D6E-409C-BE32-E72D297353CC}">
              <c16:uniqueId val="{00000001-1880-4F57-B56B-C27E52BC5954}"/>
            </c:ext>
          </c:extLst>
        </c:ser>
        <c:dLbls>
          <c:showLegendKey val="0"/>
          <c:showVal val="0"/>
          <c:showCatName val="0"/>
          <c:showSerName val="0"/>
          <c:showPercent val="0"/>
          <c:showBubbleSize val="0"/>
        </c:dLbls>
        <c:gapWidth val="150"/>
        <c:overlap val="100"/>
        <c:axId val="622770672"/>
        <c:axId val="622771000"/>
      </c:barChart>
      <c:catAx>
        <c:axId val="6227706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22771000"/>
        <c:crosses val="autoZero"/>
        <c:auto val="1"/>
        <c:lblAlgn val="ctr"/>
        <c:lblOffset val="100"/>
        <c:noMultiLvlLbl val="0"/>
      </c:catAx>
      <c:valAx>
        <c:axId val="622771000"/>
        <c:scaling>
          <c:orientation val="minMax"/>
        </c:scaling>
        <c:delete val="0"/>
        <c:axPos val="t"/>
        <c:majorGridlines>
          <c:spPr>
            <a:ln w="9525" cap="flat" cmpd="sng" algn="ctr">
              <a:noFill/>
              <a:round/>
            </a:ln>
            <a:effectLst/>
          </c:spPr>
        </c:majorGridlines>
        <c:numFmt formatCode="0%"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2277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28575" cap="flat" cmpd="sng" algn="ctr">
      <a:solidFill>
        <a:schemeClr val="tx2"/>
      </a:solidFill>
      <a:round/>
    </a:ln>
    <a:effectLst/>
  </c:spPr>
  <c:txPr>
    <a:bodyPr/>
    <a:lstStyle/>
    <a:p>
      <a:pPr>
        <a:defRPr>
          <a:solidFill>
            <a:sysClr val="windowText" lastClr="000000"/>
          </a:solidFill>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67082414698163"/>
          <c:y val="0.10308890401045546"/>
          <c:w val="0.36753509449687038"/>
          <c:h val="0.64018664333624964"/>
        </c:manualLayout>
      </c:layout>
      <c:pieChart>
        <c:varyColors val="1"/>
        <c:ser>
          <c:idx val="0"/>
          <c:order val="0"/>
          <c:spPr>
            <a:ln>
              <a:noFill/>
            </a:ln>
          </c:spPr>
          <c:dPt>
            <c:idx val="0"/>
            <c:bubble3D val="0"/>
            <c:spPr>
              <a:solidFill>
                <a:schemeClr val="accent1"/>
              </a:solidFill>
              <a:ln w="19050">
                <a:noFill/>
              </a:ln>
              <a:effectLst/>
            </c:spPr>
            <c:extLst>
              <c:ext xmlns:c16="http://schemas.microsoft.com/office/drawing/2014/chart" uri="{C3380CC4-5D6E-409C-BE32-E72D297353CC}">
                <c16:uniqueId val="{00000001-58DE-4AAA-B47A-5E775E42464A}"/>
              </c:ext>
            </c:extLst>
          </c:dPt>
          <c:dPt>
            <c:idx val="1"/>
            <c:bubble3D val="0"/>
            <c:spPr>
              <a:solidFill>
                <a:schemeClr val="accent2"/>
              </a:solidFill>
              <a:ln w="19050">
                <a:noFill/>
              </a:ln>
              <a:effectLst/>
            </c:spPr>
            <c:extLst>
              <c:ext xmlns:c16="http://schemas.microsoft.com/office/drawing/2014/chart" uri="{C3380CC4-5D6E-409C-BE32-E72D297353CC}">
                <c16:uniqueId val="{00000003-58DE-4AAA-B47A-5E775E42464A}"/>
              </c:ext>
            </c:extLst>
          </c:dPt>
          <c:dPt>
            <c:idx val="2"/>
            <c:bubble3D val="0"/>
            <c:spPr>
              <a:solidFill>
                <a:schemeClr val="accent3"/>
              </a:solidFill>
              <a:ln w="19050">
                <a:noFill/>
              </a:ln>
              <a:effectLst/>
            </c:spPr>
            <c:extLst>
              <c:ext xmlns:c16="http://schemas.microsoft.com/office/drawing/2014/chart" uri="{C3380CC4-5D6E-409C-BE32-E72D297353CC}">
                <c16:uniqueId val="{00000005-58DE-4AAA-B47A-5E775E42464A}"/>
              </c:ext>
            </c:extLst>
          </c:dPt>
          <c:dPt>
            <c:idx val="3"/>
            <c:bubble3D val="0"/>
            <c:spPr>
              <a:solidFill>
                <a:schemeClr val="accent4"/>
              </a:solidFill>
              <a:ln w="19050">
                <a:noFill/>
              </a:ln>
              <a:effectLst/>
            </c:spPr>
            <c:extLst>
              <c:ext xmlns:c16="http://schemas.microsoft.com/office/drawing/2014/chart" uri="{C3380CC4-5D6E-409C-BE32-E72D297353CC}">
                <c16:uniqueId val="{00000007-58DE-4AAA-B47A-5E775E42464A}"/>
              </c:ext>
            </c:extLst>
          </c:dPt>
          <c:dPt>
            <c:idx val="4"/>
            <c:bubble3D val="0"/>
            <c:spPr>
              <a:solidFill>
                <a:schemeClr val="accent5"/>
              </a:solidFill>
              <a:ln w="19050">
                <a:noFill/>
              </a:ln>
              <a:effectLst/>
            </c:spPr>
            <c:extLst>
              <c:ext xmlns:c16="http://schemas.microsoft.com/office/drawing/2014/chart" uri="{C3380CC4-5D6E-409C-BE32-E72D297353CC}">
                <c16:uniqueId val="{00000009-58DE-4AAA-B47A-5E775E42464A}"/>
              </c:ext>
            </c:extLst>
          </c:dPt>
          <c:dLbls>
            <c:dLbl>
              <c:idx val="0"/>
              <c:layout>
                <c:manualLayout>
                  <c:x val="-5.4947831080100658E-2"/>
                  <c:y val="3.2921810699588487E-2"/>
                </c:manualLayout>
              </c:layout>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ysClr val="windowText" lastClr="000000"/>
                      </a:solidFill>
                      <a:latin typeface="+mn-lt"/>
                      <a:ea typeface="+mn-ea"/>
                      <a:cs typeface="+mn-cs"/>
                    </a:defRPr>
                  </a:pPr>
                  <a:endParaRPr lang="en-US"/>
                </a:p>
              </c:txPr>
              <c:dLblPos val="bestFit"/>
              <c:showLegendKey val="1"/>
              <c:showVal val="1"/>
              <c:showCatName val="1"/>
              <c:showSerName val="0"/>
              <c:showPercent val="0"/>
              <c:showBubbleSize val="0"/>
              <c:separator> - </c:separator>
              <c:extLst>
                <c:ext xmlns:c15="http://schemas.microsoft.com/office/drawing/2012/chart" uri="{CE6537A1-D6FC-4f65-9D91-7224C49458BB}">
                  <c15:layout>
                    <c:manualLayout>
                      <c:w val="0.3242224269926568"/>
                      <c:h val="9.3113854595336082E-2"/>
                    </c:manualLayout>
                  </c15:layout>
                </c:ext>
                <c:ext xmlns:c16="http://schemas.microsoft.com/office/drawing/2014/chart" uri="{C3380CC4-5D6E-409C-BE32-E72D297353CC}">
                  <c16:uniqueId val="{00000001-58DE-4AAA-B47A-5E775E42464A}"/>
                </c:ext>
              </c:extLst>
            </c:dLbl>
            <c:dLbl>
              <c:idx val="1"/>
              <c:layout>
                <c:manualLayout>
                  <c:x val="-1.5750511891636478E-2"/>
                  <c:y val="1.6460905349794188E-2"/>
                </c:manualLayout>
              </c:layout>
              <c:dLblPos val="bestFit"/>
              <c:showLegendKey val="1"/>
              <c:showVal val="1"/>
              <c:showCatName val="1"/>
              <c:showSerName val="0"/>
              <c:showPercent val="0"/>
              <c:showBubbleSize val="0"/>
              <c:separator> - </c:separator>
              <c:extLst>
                <c:ext xmlns:c15="http://schemas.microsoft.com/office/drawing/2012/chart" uri="{CE6537A1-D6FC-4f65-9D91-7224C49458BB}"/>
                <c:ext xmlns:c16="http://schemas.microsoft.com/office/drawing/2014/chart" uri="{C3380CC4-5D6E-409C-BE32-E72D297353CC}">
                  <c16:uniqueId val="{00000003-58DE-4AAA-B47A-5E775E42464A}"/>
                </c:ext>
              </c:extLst>
            </c:dLbl>
            <c:dLbl>
              <c:idx val="2"/>
              <c:layout>
                <c:manualLayout>
                  <c:x val="-1.8962893908874498E-2"/>
                  <c:y val="0.18106995884773652"/>
                </c:manualLayout>
              </c:layout>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ysClr val="windowText" lastClr="000000"/>
                      </a:solidFill>
                      <a:latin typeface="+mn-lt"/>
                      <a:ea typeface="+mn-ea"/>
                      <a:cs typeface="+mn-cs"/>
                    </a:defRPr>
                  </a:pPr>
                  <a:endParaRPr lang="en-US"/>
                </a:p>
              </c:txPr>
              <c:dLblPos val="bestFit"/>
              <c:showLegendKey val="1"/>
              <c:showVal val="1"/>
              <c:showCatName val="1"/>
              <c:showSerName val="0"/>
              <c:showPercent val="0"/>
              <c:showBubbleSize val="0"/>
              <c:separator> - </c:separator>
              <c:extLst>
                <c:ext xmlns:c15="http://schemas.microsoft.com/office/drawing/2012/chart" uri="{CE6537A1-D6FC-4f65-9D91-7224C49458BB}">
                  <c15:layout>
                    <c:manualLayout>
                      <c:w val="0.38309126726642462"/>
                      <c:h val="0.11497963989069268"/>
                    </c:manualLayout>
                  </c15:layout>
                </c:ext>
                <c:ext xmlns:c16="http://schemas.microsoft.com/office/drawing/2014/chart" uri="{C3380CC4-5D6E-409C-BE32-E72D297353CC}">
                  <c16:uniqueId val="{00000005-58DE-4AAA-B47A-5E775E42464A}"/>
                </c:ext>
              </c:extLst>
            </c:dLbl>
            <c:dLbl>
              <c:idx val="3"/>
              <c:layout>
                <c:manualLayout>
                  <c:x val="8.1499891794709539E-2"/>
                  <c:y val="-2.4691358024691457E-2"/>
                </c:manualLayout>
              </c:layout>
              <c:tx>
                <c:rich>
                  <a:bodyPr rot="0" spcFirstLastPara="1" vertOverflow="ellipsis" vert="horz" wrap="square" lIns="38100" tIns="19050" rIns="38100" bIns="19050" anchor="ctr" anchorCtr="0">
                    <a:noAutofit/>
                  </a:bodyPr>
                  <a:lstStyle/>
                  <a:p>
                    <a:pPr algn="l">
                      <a:defRPr sz="900" b="0" i="0" u="none" strike="noStrike" kern="1200" baseline="0">
                        <a:solidFill>
                          <a:sysClr val="windowText" lastClr="000000"/>
                        </a:solidFill>
                        <a:latin typeface="+mn-lt"/>
                        <a:ea typeface="+mn-ea"/>
                        <a:cs typeface="+mn-cs"/>
                      </a:defRPr>
                    </a:pPr>
                    <a:r>
                      <a:rPr lang="en-US"/>
                      <a:t>Rights:</a:t>
                    </a:r>
                    <a:r>
                      <a:rPr lang="en-US" baseline="0"/>
                      <a:t> </a:t>
                    </a:r>
                    <a:r>
                      <a:rPr lang="en-US"/>
                      <a:t>GFV</a:t>
                    </a:r>
                    <a:r>
                      <a:rPr lang="en-US" baseline="0"/>
                      <a:t> - 9, HR - 12</a:t>
                    </a:r>
                    <a:endParaRPr lang="en-US"/>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ysClr val="windowText" lastClr="000000"/>
                      </a:solidFill>
                      <a:latin typeface="+mn-lt"/>
                      <a:ea typeface="+mn-ea"/>
                      <a:cs typeface="+mn-cs"/>
                    </a:defRPr>
                  </a:pPr>
                  <a:endParaRPr lang="en-US"/>
                </a:p>
              </c:txPr>
              <c:dLblPos val="bestFit"/>
              <c:showLegendKey val="1"/>
              <c:showVal val="1"/>
              <c:showCatName val="1"/>
              <c:showSerName val="0"/>
              <c:showPercent val="0"/>
              <c:showBubbleSize val="0"/>
              <c:separator> - </c:separator>
              <c:extLst>
                <c:ext xmlns:c15="http://schemas.microsoft.com/office/drawing/2012/chart" uri="{CE6537A1-D6FC-4f65-9D91-7224C49458BB}">
                  <c15:layout>
                    <c:manualLayout>
                      <c:w val="0.32941935179822479"/>
                      <c:h val="0.11506172839506174"/>
                    </c:manualLayout>
                  </c15:layout>
                </c:ext>
                <c:ext xmlns:c16="http://schemas.microsoft.com/office/drawing/2014/chart" uri="{C3380CC4-5D6E-409C-BE32-E72D297353CC}">
                  <c16:uniqueId val="{00000007-58DE-4AAA-B47A-5E775E42464A}"/>
                </c:ext>
              </c:extLst>
            </c:dLbl>
            <c:dLbl>
              <c:idx val="4"/>
              <c:layout>
                <c:manualLayout>
                  <c:x val="6.1596222248117505E-2"/>
                  <c:y val="0.14814793212576824"/>
                </c:manualLayout>
              </c:layout>
              <c:tx>
                <c:rich>
                  <a:bodyPr rot="0" spcFirstLastPara="1" vertOverflow="ellipsis" vert="horz" wrap="square" lIns="38100" tIns="19050" rIns="38100" bIns="19050" anchor="ctr" anchorCtr="0">
                    <a:noAutofit/>
                  </a:bodyPr>
                  <a:lstStyle/>
                  <a:p>
                    <a:pPr algn="l">
                      <a:defRPr sz="900" b="0" i="0" u="none" strike="noStrike" kern="1200" baseline="0">
                        <a:solidFill>
                          <a:sysClr val="windowText" lastClr="000000"/>
                        </a:solidFill>
                        <a:latin typeface="+mn-lt"/>
                        <a:ea typeface="+mn-ea"/>
                        <a:cs typeface="+mn-cs"/>
                      </a:defRPr>
                    </a:pPr>
                    <a:r>
                      <a:rPr lang="en-US"/>
                      <a:t>Procedure: </a:t>
                    </a:r>
                  </a:p>
                  <a:p>
                    <a:pPr algn="l">
                      <a:defRPr>
                        <a:solidFill>
                          <a:sysClr val="windowText" lastClr="000000"/>
                        </a:solidFill>
                      </a:defRPr>
                    </a:pPr>
                    <a:r>
                      <a:rPr lang="en-US"/>
                      <a:t>Efficiency</a:t>
                    </a:r>
                    <a:r>
                      <a:rPr lang="en-US" baseline="0"/>
                      <a:t> - 20, </a:t>
                    </a:r>
                  </a:p>
                  <a:p>
                    <a:pPr algn="l">
                      <a:defRPr>
                        <a:solidFill>
                          <a:sysClr val="windowText" lastClr="000000"/>
                        </a:solidFill>
                      </a:defRPr>
                    </a:pPr>
                    <a:r>
                      <a:rPr lang="en-US" baseline="0"/>
                      <a:t>Accountability - 6,</a:t>
                    </a:r>
                  </a:p>
                  <a:p>
                    <a:pPr algn="l">
                      <a:defRPr>
                        <a:solidFill>
                          <a:sysClr val="windowText" lastClr="000000"/>
                        </a:solidFill>
                      </a:defRPr>
                    </a:pPr>
                    <a:r>
                      <a:rPr lang="en-US" baseline="0"/>
                      <a:t>SDGs - 6</a:t>
                    </a:r>
                    <a:endParaRPr lang="en-US"/>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ysClr val="windowText" lastClr="000000"/>
                      </a:solidFill>
                      <a:latin typeface="+mn-lt"/>
                      <a:ea typeface="+mn-ea"/>
                      <a:cs typeface="+mn-cs"/>
                    </a:defRPr>
                  </a:pPr>
                  <a:endParaRPr lang="en-US"/>
                </a:p>
              </c:txPr>
              <c:dLblPos val="bestFit"/>
              <c:showLegendKey val="1"/>
              <c:showVal val="1"/>
              <c:showCatName val="1"/>
              <c:showSerName val="0"/>
              <c:showPercent val="0"/>
              <c:showBubbleSize val="0"/>
              <c:separator> - </c:separator>
              <c:extLst>
                <c:ext xmlns:c15="http://schemas.microsoft.com/office/drawing/2012/chart" uri="{CE6537A1-D6FC-4f65-9D91-7224C49458BB}">
                  <c15:layout>
                    <c:manualLayout>
                      <c:w val="0.29309048607071858"/>
                      <c:h val="0.32880680038451976"/>
                    </c:manualLayout>
                  </c15:layout>
                </c:ext>
                <c:ext xmlns:c16="http://schemas.microsoft.com/office/drawing/2014/chart" uri="{C3380CC4-5D6E-409C-BE32-E72D297353CC}">
                  <c16:uniqueId val="{00000009-58DE-4AAA-B47A-5E775E42464A}"/>
                </c:ext>
              </c:extLst>
            </c:dLbl>
            <c:spPr>
              <a:noFill/>
              <a:ln>
                <a:noFill/>
              </a:ln>
              <a:effectLst/>
            </c:spPr>
            <c:txPr>
              <a:bodyPr rot="0" spcFirstLastPara="1" vertOverflow="ellipsis" vert="horz" wrap="square" lIns="38100" tIns="19050" rIns="38100" bIns="19050" anchor="ctr" anchorCtr="0">
                <a:spAutoFit/>
              </a:bodyPr>
              <a:lstStyle/>
              <a:p>
                <a:pPr algn="l">
                  <a:defRPr sz="900" b="0" i="0" u="none" strike="noStrike" kern="1200" baseline="0">
                    <a:solidFill>
                      <a:sysClr val="windowText" lastClr="000000"/>
                    </a:solidFill>
                    <a:latin typeface="+mn-lt"/>
                    <a:ea typeface="+mn-ea"/>
                    <a:cs typeface="+mn-cs"/>
                  </a:defRPr>
                </a:pPr>
                <a:endParaRPr lang="en-US"/>
              </a:p>
            </c:txPr>
            <c:dLblPos val="outEnd"/>
            <c:showLegendKey val="1"/>
            <c:showVal val="1"/>
            <c:showCatName val="1"/>
            <c:showSerName val="0"/>
            <c:showPercent val="0"/>
            <c:showBubbleSize val="0"/>
            <c:separator> - </c:separator>
            <c:showLeaderLines val="0"/>
            <c:extLst>
              <c:ext xmlns:c15="http://schemas.microsoft.com/office/drawing/2012/chart" uri="{CE6537A1-D6FC-4f65-9D91-7224C49458BB}"/>
            </c:extLst>
          </c:dLbls>
          <c:cat>
            <c:strRef>
              <c:f>Graphics!$C$74:$C$78</c:f>
              <c:strCache>
                <c:ptCount val="5"/>
                <c:pt idx="0">
                  <c:v>Leadership</c:v>
                </c:pt>
                <c:pt idx="1">
                  <c:v>Access</c:v>
                </c:pt>
                <c:pt idx="2">
                  <c:v>Institutional Professionalism </c:v>
                </c:pt>
                <c:pt idx="3">
                  <c:v>Rights</c:v>
                </c:pt>
                <c:pt idx="4">
                  <c:v>Procedure</c:v>
                </c:pt>
              </c:strCache>
            </c:strRef>
          </c:cat>
          <c:val>
            <c:numRef>
              <c:f>Graphics!$D$74:$D$78</c:f>
              <c:numCache>
                <c:formatCode>General</c:formatCode>
                <c:ptCount val="5"/>
                <c:pt idx="0">
                  <c:v>10</c:v>
                </c:pt>
                <c:pt idx="1">
                  <c:v>6</c:v>
                </c:pt>
                <c:pt idx="2">
                  <c:v>23</c:v>
                </c:pt>
                <c:pt idx="3">
                  <c:v>21</c:v>
                </c:pt>
                <c:pt idx="4">
                  <c:v>32</c:v>
                </c:pt>
              </c:numCache>
            </c:numRef>
          </c:val>
          <c:extLst>
            <c:ext xmlns:c16="http://schemas.microsoft.com/office/drawing/2014/chart" uri="{C3380CC4-5D6E-409C-BE32-E72D297353CC}">
              <c16:uniqueId val="{0000000A-58DE-4AAA-B47A-5E775E42464A}"/>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AU" sz="1200" b="1"/>
              <a:t>Annual Reporting</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Graphics!$C$449</c:f>
              <c:strCache>
                <c:ptCount val="1"/>
                <c:pt idx="0">
                  <c:v>Producing Annual Reports</c:v>
                </c:pt>
              </c:strCache>
            </c:strRef>
          </c:tx>
          <c:spPr>
            <a:ln w="28575" cap="rnd">
              <a:solidFill>
                <a:schemeClr val="accent1"/>
              </a:solidFill>
              <a:round/>
            </a:ln>
            <a:effectLst/>
          </c:spPr>
          <c:marker>
            <c:symbol val="none"/>
          </c:marker>
          <c:cat>
            <c:numRef>
              <c:f>Graphics!$D$448:$F$448</c:f>
              <c:numCache>
                <c:formatCode>General</c:formatCode>
                <c:ptCount val="3"/>
                <c:pt idx="0">
                  <c:v>2011</c:v>
                </c:pt>
                <c:pt idx="1">
                  <c:v>2016</c:v>
                </c:pt>
                <c:pt idx="2">
                  <c:v>2020</c:v>
                </c:pt>
              </c:numCache>
            </c:numRef>
          </c:cat>
          <c:val>
            <c:numRef>
              <c:f>Graphics!$D$449:$F$449</c:f>
              <c:numCache>
                <c:formatCode>General</c:formatCode>
                <c:ptCount val="3"/>
                <c:pt idx="0">
                  <c:v>2</c:v>
                </c:pt>
                <c:pt idx="1">
                  <c:v>8</c:v>
                </c:pt>
                <c:pt idx="2">
                  <c:v>12</c:v>
                </c:pt>
              </c:numCache>
            </c:numRef>
          </c:val>
          <c:smooth val="0"/>
          <c:extLst>
            <c:ext xmlns:c16="http://schemas.microsoft.com/office/drawing/2014/chart" uri="{C3380CC4-5D6E-409C-BE32-E72D297353CC}">
              <c16:uniqueId val="{00000000-DE46-4D19-B35C-0DB2C48D870E}"/>
            </c:ext>
          </c:extLst>
        </c:ser>
        <c:ser>
          <c:idx val="1"/>
          <c:order val="1"/>
          <c:tx>
            <c:strRef>
              <c:f>Graphics!$C$450</c:f>
              <c:strCache>
                <c:ptCount val="1"/>
                <c:pt idx="0">
                  <c:v>Reports on 12+ CII</c:v>
                </c:pt>
              </c:strCache>
            </c:strRef>
          </c:tx>
          <c:spPr>
            <a:ln w="28575" cap="rnd">
              <a:solidFill>
                <a:schemeClr val="accent4"/>
              </a:solidFill>
              <a:round/>
            </a:ln>
            <a:effectLst/>
          </c:spPr>
          <c:marker>
            <c:symbol val="none"/>
          </c:marker>
          <c:cat>
            <c:numRef>
              <c:f>Graphics!$D$448:$F$448</c:f>
              <c:numCache>
                <c:formatCode>General</c:formatCode>
                <c:ptCount val="3"/>
                <c:pt idx="0">
                  <c:v>2011</c:v>
                </c:pt>
                <c:pt idx="1">
                  <c:v>2016</c:v>
                </c:pt>
                <c:pt idx="2">
                  <c:v>2020</c:v>
                </c:pt>
              </c:numCache>
            </c:numRef>
          </c:cat>
          <c:val>
            <c:numRef>
              <c:f>Graphics!$D$450:$F$450</c:f>
              <c:numCache>
                <c:formatCode>General</c:formatCode>
                <c:ptCount val="3"/>
                <c:pt idx="0">
                  <c:v>1</c:v>
                </c:pt>
                <c:pt idx="1">
                  <c:v>4</c:v>
                </c:pt>
                <c:pt idx="2">
                  <c:v>9</c:v>
                </c:pt>
              </c:numCache>
            </c:numRef>
          </c:val>
          <c:smooth val="0"/>
          <c:extLst>
            <c:ext xmlns:c16="http://schemas.microsoft.com/office/drawing/2014/chart" uri="{C3380CC4-5D6E-409C-BE32-E72D297353CC}">
              <c16:uniqueId val="{00000001-DE46-4D19-B35C-0DB2C48D870E}"/>
            </c:ext>
          </c:extLst>
        </c:ser>
        <c:ser>
          <c:idx val="2"/>
          <c:order val="2"/>
          <c:tx>
            <c:strRef>
              <c:f>Graphics!$C$451</c:f>
              <c:strCache>
                <c:ptCount val="1"/>
                <c:pt idx="0">
                  <c:v>Reports include GFV data</c:v>
                </c:pt>
              </c:strCache>
            </c:strRef>
          </c:tx>
          <c:spPr>
            <a:ln w="28575" cap="rnd">
              <a:solidFill>
                <a:schemeClr val="accent3"/>
              </a:solidFill>
              <a:round/>
            </a:ln>
            <a:effectLst/>
          </c:spPr>
          <c:marker>
            <c:symbol val="none"/>
          </c:marker>
          <c:cat>
            <c:numRef>
              <c:f>Graphics!$D$448:$F$448</c:f>
              <c:numCache>
                <c:formatCode>General</c:formatCode>
                <c:ptCount val="3"/>
                <c:pt idx="0">
                  <c:v>2011</c:v>
                </c:pt>
                <c:pt idx="1">
                  <c:v>2016</c:v>
                </c:pt>
                <c:pt idx="2">
                  <c:v>2020</c:v>
                </c:pt>
              </c:numCache>
            </c:numRef>
          </c:cat>
          <c:val>
            <c:numRef>
              <c:f>Graphics!$D$451:$F$451</c:f>
              <c:numCache>
                <c:formatCode>General</c:formatCode>
                <c:ptCount val="3"/>
                <c:pt idx="0">
                  <c:v>0</c:v>
                </c:pt>
                <c:pt idx="1">
                  <c:v>1</c:v>
                </c:pt>
                <c:pt idx="2">
                  <c:v>6</c:v>
                </c:pt>
              </c:numCache>
            </c:numRef>
          </c:val>
          <c:smooth val="0"/>
          <c:extLst>
            <c:ext xmlns:c16="http://schemas.microsoft.com/office/drawing/2014/chart" uri="{C3380CC4-5D6E-409C-BE32-E72D297353CC}">
              <c16:uniqueId val="{00000002-DE46-4D19-B35C-0DB2C48D870E}"/>
            </c:ext>
          </c:extLst>
        </c:ser>
        <c:ser>
          <c:idx val="3"/>
          <c:order val="3"/>
          <c:tx>
            <c:strRef>
              <c:f>Graphics!$C$452</c:f>
              <c:strCache>
                <c:ptCount val="1"/>
                <c:pt idx="0">
                  <c:v>Conducts court user surveys</c:v>
                </c:pt>
              </c:strCache>
            </c:strRef>
          </c:tx>
          <c:spPr>
            <a:ln w="28575" cap="rnd">
              <a:solidFill>
                <a:schemeClr val="accent5"/>
              </a:solidFill>
              <a:round/>
            </a:ln>
            <a:effectLst/>
          </c:spPr>
          <c:marker>
            <c:symbol val="none"/>
          </c:marker>
          <c:cat>
            <c:numRef>
              <c:f>Graphics!$D$448:$F$448</c:f>
              <c:numCache>
                <c:formatCode>General</c:formatCode>
                <c:ptCount val="3"/>
                <c:pt idx="0">
                  <c:v>2011</c:v>
                </c:pt>
                <c:pt idx="1">
                  <c:v>2016</c:v>
                </c:pt>
                <c:pt idx="2">
                  <c:v>2020</c:v>
                </c:pt>
              </c:numCache>
            </c:numRef>
          </c:cat>
          <c:val>
            <c:numRef>
              <c:f>Graphics!$D$452:$F$452</c:f>
              <c:numCache>
                <c:formatCode>General</c:formatCode>
                <c:ptCount val="3"/>
                <c:pt idx="0">
                  <c:v>2</c:v>
                </c:pt>
                <c:pt idx="1">
                  <c:v>2</c:v>
                </c:pt>
                <c:pt idx="2">
                  <c:v>7</c:v>
                </c:pt>
              </c:numCache>
            </c:numRef>
          </c:val>
          <c:smooth val="0"/>
          <c:extLst>
            <c:ext xmlns:c16="http://schemas.microsoft.com/office/drawing/2014/chart" uri="{C3380CC4-5D6E-409C-BE32-E72D297353CC}">
              <c16:uniqueId val="{00000003-DE46-4D19-B35C-0DB2C48D870E}"/>
            </c:ext>
          </c:extLst>
        </c:ser>
        <c:dLbls>
          <c:showLegendKey val="0"/>
          <c:showVal val="0"/>
          <c:showCatName val="0"/>
          <c:showSerName val="0"/>
          <c:showPercent val="0"/>
          <c:showBubbleSize val="0"/>
        </c:dLbls>
        <c:marker val="1"/>
        <c:smooth val="0"/>
        <c:axId val="684030720"/>
        <c:axId val="684023176"/>
      </c:lineChart>
      <c:scatterChart>
        <c:scatterStyle val="lineMarker"/>
        <c:varyColors val="0"/>
        <c:dLbls>
          <c:showLegendKey val="0"/>
          <c:showVal val="0"/>
          <c:showCatName val="0"/>
          <c:showSerName val="0"/>
          <c:showPercent val="0"/>
          <c:showBubbleSize val="0"/>
        </c:dLbls>
        <c:axId val="817294848"/>
        <c:axId val="817287960"/>
        <c:extLst>
          <c:ext xmlns:c15="http://schemas.microsoft.com/office/drawing/2012/chart" uri="{02D57815-91ED-43cb-92C2-25804820EDAC}">
            <c15:filteredScatterSeries>
              <c15:ser>
                <c:idx val="4"/>
                <c:order val="4"/>
                <c:spPr>
                  <a:ln w="25400" cap="rnd">
                    <a:noFill/>
                    <a:round/>
                  </a:ln>
                  <a:effectLst/>
                </c:spPr>
                <c:marker>
                  <c:symbol val="none"/>
                </c:marker>
                <c:errBars>
                  <c:errDir val="x"/>
                  <c:errBarType val="both"/>
                  <c:errValType val="percentage"/>
                  <c:noEndCap val="1"/>
                  <c:val val="5"/>
                  <c:spPr>
                    <a:noFill/>
                    <a:ln w="19050" cap="flat" cmpd="sng" algn="ctr">
                      <a:solidFill>
                        <a:schemeClr val="accent1">
                          <a:lumMod val="75000"/>
                          <a:alpha val="40000"/>
                        </a:schemeClr>
                      </a:solidFill>
                      <a:prstDash val="dash"/>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extLst>
                      <c:ext uri="{02D57815-91ED-43cb-92C2-25804820EDAC}">
                        <c15:formulaRef>
                          <c15:sqref>Graphics!$D$448:$F$448</c15:sqref>
                        </c15:formulaRef>
                      </c:ext>
                    </c:extLst>
                    <c:numCache>
                      <c:formatCode>General</c:formatCode>
                      <c:ptCount val="3"/>
                      <c:pt idx="0">
                        <c:v>2011</c:v>
                      </c:pt>
                      <c:pt idx="1">
                        <c:v>2016</c:v>
                      </c:pt>
                      <c:pt idx="2">
                        <c:v>2020</c:v>
                      </c:pt>
                    </c:numCache>
                  </c:numRef>
                </c:xVal>
                <c:yVal>
                  <c:numRef>
                    <c:extLst>
                      <c:ext uri="{02D57815-91ED-43cb-92C2-25804820EDAC}">
                        <c15:formulaRef>
                          <c15:sqref>Graphics!$B$454</c15:sqref>
                        </c15:formulaRef>
                      </c:ext>
                    </c:extLst>
                    <c:numCache>
                      <c:formatCode>General</c:formatCode>
                      <c:ptCount val="1"/>
                      <c:pt idx="0">
                        <c:v>10</c:v>
                      </c:pt>
                    </c:numCache>
                  </c:numRef>
                </c:yVal>
                <c:smooth val="0"/>
                <c:extLst>
                  <c:ext xmlns:c16="http://schemas.microsoft.com/office/drawing/2014/chart" uri="{C3380CC4-5D6E-409C-BE32-E72D297353CC}">
                    <c16:uniqueId val="{00000004-DE46-4D19-B35C-0DB2C48D870E}"/>
                  </c:ext>
                </c:extLst>
              </c15:ser>
            </c15:filteredScatterSeries>
            <c15:filteredScatterSeries>
              <c15:ser>
                <c:idx val="5"/>
                <c:order val="5"/>
                <c:spPr>
                  <a:ln w="25400" cap="rnd">
                    <a:noFill/>
                    <a:round/>
                  </a:ln>
                  <a:effectLst/>
                </c:spPr>
                <c:marker>
                  <c:symbol val="none"/>
                </c:marker>
                <c:errBars>
                  <c:errDir val="x"/>
                  <c:errBarType val="both"/>
                  <c:errValType val="percentage"/>
                  <c:noEndCap val="1"/>
                  <c:val val="5"/>
                  <c:spPr>
                    <a:noFill/>
                    <a:ln w="19050" cap="flat" cmpd="sng" algn="ctr">
                      <a:solidFill>
                        <a:schemeClr val="accent4">
                          <a:alpha val="40000"/>
                        </a:schemeClr>
                      </a:solidFill>
                      <a:prstDash val="dash"/>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extLst xmlns:c15="http://schemas.microsoft.com/office/drawing/2012/chart">
                      <c:ext xmlns:c15="http://schemas.microsoft.com/office/drawing/2012/chart" uri="{02D57815-91ED-43cb-92C2-25804820EDAC}">
                        <c15:formulaRef>
                          <c15:sqref>Graphics!$D$448:$F$448</c15:sqref>
                        </c15:formulaRef>
                      </c:ext>
                    </c:extLst>
                    <c:numCache>
                      <c:formatCode>General</c:formatCode>
                      <c:ptCount val="3"/>
                      <c:pt idx="0">
                        <c:v>2011</c:v>
                      </c:pt>
                      <c:pt idx="1">
                        <c:v>2016</c:v>
                      </c:pt>
                      <c:pt idx="2">
                        <c:v>2020</c:v>
                      </c:pt>
                    </c:numCache>
                  </c:numRef>
                </c:xVal>
                <c:yVal>
                  <c:numRef>
                    <c:extLst xmlns:c15="http://schemas.microsoft.com/office/drawing/2012/chart">
                      <c:ext xmlns:c15="http://schemas.microsoft.com/office/drawing/2012/chart" uri="{02D57815-91ED-43cb-92C2-25804820EDAC}">
                        <c15:formulaRef>
                          <c15:sqref>Graphics!$A$455</c15:sqref>
                        </c15:formulaRef>
                      </c:ext>
                    </c:extLst>
                    <c:numCache>
                      <c:formatCode>General</c:formatCode>
                      <c:ptCount val="1"/>
                      <c:pt idx="0">
                        <c:v>5</c:v>
                      </c:pt>
                    </c:numCache>
                  </c:numRef>
                </c:yVal>
                <c:smooth val="0"/>
                <c:extLst xmlns:c15="http://schemas.microsoft.com/office/drawing/2012/chart">
                  <c:ext xmlns:c16="http://schemas.microsoft.com/office/drawing/2014/chart" uri="{C3380CC4-5D6E-409C-BE32-E72D297353CC}">
                    <c16:uniqueId val="{00000005-DE46-4D19-B35C-0DB2C48D870E}"/>
                  </c:ext>
                </c:extLst>
              </c15:ser>
            </c15:filteredScatterSeries>
            <c15:filteredScatterSeries>
              <c15:ser>
                <c:idx val="6"/>
                <c:order val="6"/>
                <c:spPr>
                  <a:ln w="25400" cap="rnd">
                    <a:noFill/>
                    <a:round/>
                  </a:ln>
                  <a:effectLst/>
                </c:spPr>
                <c:marker>
                  <c:symbol val="none"/>
                </c:marker>
                <c:errBars>
                  <c:errDir val="x"/>
                  <c:errBarType val="both"/>
                  <c:errValType val="percentage"/>
                  <c:noEndCap val="1"/>
                  <c:val val="5"/>
                  <c:spPr>
                    <a:noFill/>
                    <a:ln w="19050" cap="flat" cmpd="sng" algn="ctr">
                      <a:solidFill>
                        <a:schemeClr val="accent3">
                          <a:lumMod val="75000"/>
                          <a:alpha val="40000"/>
                        </a:schemeClr>
                      </a:solidFill>
                      <a:prstDash val="dash"/>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extLst xmlns:c15="http://schemas.microsoft.com/office/drawing/2012/chart">
                      <c:ext xmlns:c15="http://schemas.microsoft.com/office/drawing/2012/chart" uri="{02D57815-91ED-43cb-92C2-25804820EDAC}">
                        <c15:formulaRef>
                          <c15:sqref>Graphics!$D$448:$F$448</c15:sqref>
                        </c15:formulaRef>
                      </c:ext>
                    </c:extLst>
                    <c:numCache>
                      <c:formatCode>General</c:formatCode>
                      <c:ptCount val="3"/>
                      <c:pt idx="0">
                        <c:v>2011</c:v>
                      </c:pt>
                      <c:pt idx="1">
                        <c:v>2016</c:v>
                      </c:pt>
                      <c:pt idx="2">
                        <c:v>2020</c:v>
                      </c:pt>
                    </c:numCache>
                  </c:numRef>
                </c:xVal>
                <c:yVal>
                  <c:numRef>
                    <c:extLst xmlns:c15="http://schemas.microsoft.com/office/drawing/2012/chart">
                      <c:ext xmlns:c15="http://schemas.microsoft.com/office/drawing/2012/chart" uri="{02D57815-91ED-43cb-92C2-25804820EDAC}">
                        <c15:formulaRef>
                          <c15:sqref>Graphics!$A$456</c15:sqref>
                        </c15:formulaRef>
                      </c:ext>
                    </c:extLst>
                    <c:numCache>
                      <c:formatCode>General</c:formatCode>
                      <c:ptCount val="1"/>
                      <c:pt idx="0">
                        <c:v>2</c:v>
                      </c:pt>
                    </c:numCache>
                  </c:numRef>
                </c:yVal>
                <c:smooth val="0"/>
                <c:extLst xmlns:c15="http://schemas.microsoft.com/office/drawing/2012/chart">
                  <c:ext xmlns:c16="http://schemas.microsoft.com/office/drawing/2014/chart" uri="{C3380CC4-5D6E-409C-BE32-E72D297353CC}">
                    <c16:uniqueId val="{00000006-DE46-4D19-B35C-0DB2C48D870E}"/>
                  </c:ext>
                </c:extLst>
              </c15:ser>
            </c15:filteredScatterSeries>
            <c15:filteredScatterSeries>
              <c15:ser>
                <c:idx val="7"/>
                <c:order val="7"/>
                <c:spPr>
                  <a:ln w="25400" cap="rnd">
                    <a:noFill/>
                    <a:round/>
                  </a:ln>
                  <a:effectLst/>
                </c:spPr>
                <c:marker>
                  <c:symbol val="none"/>
                </c:marker>
                <c:errBars>
                  <c:errDir val="x"/>
                  <c:errBarType val="both"/>
                  <c:errValType val="percentage"/>
                  <c:noEndCap val="1"/>
                  <c:val val="5"/>
                  <c:spPr>
                    <a:noFill/>
                    <a:ln w="19050" cap="flat" cmpd="sng" algn="ctr">
                      <a:solidFill>
                        <a:schemeClr val="accent5">
                          <a:lumMod val="75000"/>
                          <a:alpha val="40000"/>
                        </a:schemeClr>
                      </a:solidFill>
                      <a:prstDash val="dash"/>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extLst xmlns:c15="http://schemas.microsoft.com/office/drawing/2012/chart">
                      <c:ext xmlns:c15="http://schemas.microsoft.com/office/drawing/2012/chart" uri="{02D57815-91ED-43cb-92C2-25804820EDAC}">
                        <c15:formulaRef>
                          <c15:sqref>Graphics!$D$448:$F$448</c15:sqref>
                        </c15:formulaRef>
                      </c:ext>
                    </c:extLst>
                    <c:numCache>
                      <c:formatCode>General</c:formatCode>
                      <c:ptCount val="3"/>
                      <c:pt idx="0">
                        <c:v>2011</c:v>
                      </c:pt>
                      <c:pt idx="1">
                        <c:v>2016</c:v>
                      </c:pt>
                      <c:pt idx="2">
                        <c:v>2020</c:v>
                      </c:pt>
                    </c:numCache>
                  </c:numRef>
                </c:xVal>
                <c:yVal>
                  <c:numRef>
                    <c:extLst xmlns:c15="http://schemas.microsoft.com/office/drawing/2012/chart">
                      <c:ext xmlns:c15="http://schemas.microsoft.com/office/drawing/2012/chart" uri="{02D57815-91ED-43cb-92C2-25804820EDAC}">
                        <c15:formulaRef>
                          <c15:sqref>Graphics!$A$457</c15:sqref>
                        </c15:formulaRef>
                      </c:ext>
                    </c:extLst>
                    <c:numCache>
                      <c:formatCode>General</c:formatCode>
                      <c:ptCount val="1"/>
                      <c:pt idx="0">
                        <c:v>3</c:v>
                      </c:pt>
                    </c:numCache>
                  </c:numRef>
                </c:yVal>
                <c:smooth val="0"/>
                <c:extLst xmlns:c15="http://schemas.microsoft.com/office/drawing/2012/chart">
                  <c:ext xmlns:c16="http://schemas.microsoft.com/office/drawing/2014/chart" uri="{C3380CC4-5D6E-409C-BE32-E72D297353CC}">
                    <c16:uniqueId val="{00000007-DE46-4D19-B35C-0DB2C48D870E}"/>
                  </c:ext>
                </c:extLst>
              </c15:ser>
            </c15:filteredScatterSeries>
          </c:ext>
        </c:extLst>
      </c:scatterChart>
      <c:catAx>
        <c:axId val="68403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84023176"/>
        <c:crosses val="autoZero"/>
        <c:auto val="1"/>
        <c:lblAlgn val="ctr"/>
        <c:lblOffset val="100"/>
        <c:noMultiLvlLbl val="0"/>
      </c:catAx>
      <c:valAx>
        <c:axId val="684023176"/>
        <c:scaling>
          <c:orientation val="minMax"/>
          <c:max val="14"/>
          <c:min val="0"/>
        </c:scaling>
        <c:delete val="0"/>
        <c:axPos val="l"/>
        <c:majorGridlines>
          <c:spPr>
            <a:ln w="9525" cap="flat" cmpd="sng" algn="ctr">
              <a:solidFill>
                <a:schemeClr val="tx1">
                  <a:lumMod val="65000"/>
                  <a:lumOff val="35000"/>
                  <a:alpha val="2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AU" sz="900"/>
                  <a:t>PJSI</a:t>
                </a:r>
                <a:r>
                  <a:rPr lang="en-AU" sz="900" baseline="0"/>
                  <a:t> Partner Courts</a:t>
                </a:r>
                <a:endParaRPr lang="en-AU" sz="900"/>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84030720"/>
        <c:crosses val="autoZero"/>
        <c:crossBetween val="between"/>
        <c:majorUnit val="2"/>
        <c:minorUnit val="1"/>
      </c:valAx>
      <c:valAx>
        <c:axId val="817287960"/>
        <c:scaling>
          <c:orientation val="minMax"/>
          <c:max val="14"/>
          <c:min val="0"/>
        </c:scaling>
        <c:delete val="1"/>
        <c:axPos val="r"/>
        <c:numFmt formatCode="General" sourceLinked="1"/>
        <c:majorTickMark val="out"/>
        <c:minorTickMark val="none"/>
        <c:tickLblPos val="nextTo"/>
        <c:crossAx val="817294848"/>
        <c:crosses val="max"/>
        <c:crossBetween val="midCat"/>
        <c:majorUnit val="2"/>
        <c:minorUnit val="1"/>
      </c:valAx>
      <c:valAx>
        <c:axId val="817294848"/>
        <c:scaling>
          <c:orientation val="minMax"/>
        </c:scaling>
        <c:delete val="0"/>
        <c:axPos val="t"/>
        <c:numFmt formatCode="General"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17287960"/>
        <c:crosses val="max"/>
        <c:crossBetween val="midCat"/>
      </c:valAx>
      <c:spPr>
        <a:noFill/>
        <a:ln>
          <a:noFill/>
        </a:ln>
        <a:effectLst/>
      </c:spPr>
    </c:plotArea>
    <c:legend>
      <c:legendPos val="b"/>
      <c:layout>
        <c:manualLayout>
          <c:xMode val="edge"/>
          <c:yMode val="edge"/>
          <c:x val="0.18754017508035017"/>
          <c:y val="0.84926779800045504"/>
          <c:w val="0.71085962171924333"/>
          <c:h val="9.0082897682741497E-2"/>
        </c:manualLayout>
      </c:layout>
      <c:overlay val="0"/>
      <c:spPr>
        <a:noFill/>
        <a:ln>
          <a:noFill/>
        </a:ln>
        <a:effectLst/>
      </c:spPr>
      <c:txPr>
        <a:bodyPr rot="0" spcFirstLastPara="1" vertOverflow="ellipsis" vert="horz" wrap="square" anchor="ctr" anchorCtr="0"/>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28575" cap="flat" cmpd="sng" algn="ctr">
      <a:solidFill>
        <a:schemeClr val="accent2"/>
      </a:solidFill>
      <a:round/>
    </a:ln>
    <a:effectLst/>
  </c:spPr>
  <c:txPr>
    <a:bodyPr/>
    <a:lstStyle/>
    <a:p>
      <a:pPr>
        <a:defRPr>
          <a:solidFill>
            <a:sysClr val="windowText" lastClr="000000"/>
          </a:solidFill>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AU" sz="1100" b="1">
                <a:solidFill>
                  <a:schemeClr val="tx1"/>
                </a:solidFill>
              </a:rPr>
              <a:t>PJSI Phase 2 Covid Re-Design</a:t>
            </a:r>
          </a:p>
          <a:p>
            <a:pPr>
              <a:defRPr>
                <a:solidFill>
                  <a:schemeClr val="tx1"/>
                </a:solidFill>
              </a:defRPr>
            </a:pPr>
            <a:r>
              <a:rPr lang="en-AU" sz="1050">
                <a:solidFill>
                  <a:schemeClr val="tx1"/>
                </a:solidFill>
              </a:rPr>
              <a:t>June</a:t>
            </a:r>
            <a:r>
              <a:rPr lang="en-AU" sz="1050" baseline="0">
                <a:solidFill>
                  <a:schemeClr val="tx1"/>
                </a:solidFill>
              </a:rPr>
              <a:t> 2020 - December 2021</a:t>
            </a:r>
            <a:endParaRPr lang="en-AU" sz="1050">
              <a:solidFill>
                <a:schemeClr val="tx1"/>
              </a:solidFill>
            </a:endParaRPr>
          </a:p>
        </c:rich>
      </c:tx>
      <c:layout>
        <c:manualLayout>
          <c:xMode val="edge"/>
          <c:yMode val="edge"/>
          <c:x val="0.14772928243256647"/>
          <c:y val="1.73508628163560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1174965202706769"/>
          <c:y val="0.25942764239490307"/>
          <c:w val="0.61009181671954782"/>
          <c:h val="0.69266063401993783"/>
        </c:manualLayout>
      </c:layout>
      <c:doughnutChart>
        <c:varyColors val="1"/>
        <c:ser>
          <c:idx val="0"/>
          <c:order val="0"/>
          <c:dPt>
            <c:idx val="0"/>
            <c:bubble3D val="0"/>
            <c:spPr>
              <a:solidFill>
                <a:srgbClr val="92D050"/>
              </a:solidFill>
              <a:ln w="19050">
                <a:solidFill>
                  <a:schemeClr val="lt1"/>
                </a:solidFill>
              </a:ln>
              <a:effectLst/>
            </c:spPr>
            <c:extLst>
              <c:ext xmlns:c16="http://schemas.microsoft.com/office/drawing/2014/chart" uri="{C3380CC4-5D6E-409C-BE32-E72D297353CC}">
                <c16:uniqueId val="{00000001-D24E-431B-AC77-5B9E91B4FC0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24E-431B-AC77-5B9E91B4FC04}"/>
              </c:ext>
            </c:extLst>
          </c:dPt>
          <c:dPt>
            <c:idx val="2"/>
            <c:bubble3D val="0"/>
            <c:spPr>
              <a:solidFill>
                <a:schemeClr val="accent1"/>
              </a:solidFill>
              <a:ln w="19050">
                <a:solidFill>
                  <a:schemeClr val="lt1"/>
                </a:solidFill>
              </a:ln>
              <a:effectLst/>
            </c:spPr>
            <c:extLst>
              <c:ext xmlns:c16="http://schemas.microsoft.com/office/drawing/2014/chart" uri="{C3380CC4-5D6E-409C-BE32-E72D297353CC}">
                <c16:uniqueId val="{00000005-D24E-431B-AC77-5B9E91B4FC04}"/>
              </c:ext>
            </c:extLst>
          </c:dPt>
          <c:dLbls>
            <c:dLbl>
              <c:idx val="0"/>
              <c:layout>
                <c:manualLayout>
                  <c:x val="-0.10346488782636251"/>
                  <c:y val="-7.9324674496659683E-2"/>
                </c:manualLayout>
              </c:layout>
              <c:tx>
                <c:rich>
                  <a:bodyPr/>
                  <a:lstStyle/>
                  <a:p>
                    <a:r>
                      <a:rPr lang="en-US" sz="900" b="1" baseline="0">
                        <a:solidFill>
                          <a:sysClr val="windowText" lastClr="000000"/>
                        </a:solidFill>
                      </a:rPr>
                      <a:t>69% </a:t>
                    </a:r>
                    <a:r>
                      <a:rPr lang="en-US" sz="900" b="1" i="0" u="none" strike="noStrike" kern="1200" baseline="0">
                        <a:solidFill>
                          <a:sysClr val="windowText" lastClr="000000"/>
                        </a:solidFill>
                      </a:rPr>
                      <a:t>Remote</a:t>
                    </a:r>
                    <a:endParaRPr lang="en-US" sz="900" b="1" baseline="0">
                      <a:solidFill>
                        <a:sysClr val="windowText" lastClr="000000"/>
                      </a:solidFill>
                    </a:endParaRPr>
                  </a:p>
                </c:rich>
              </c:tx>
              <c:showLegendKey val="0"/>
              <c:showVal val="0"/>
              <c:showCatName val="1"/>
              <c:showSerName val="0"/>
              <c:showPercent val="1"/>
              <c:showBubbleSize val="0"/>
              <c:separator> </c:separator>
              <c:extLst>
                <c:ext xmlns:c15="http://schemas.microsoft.com/office/drawing/2012/chart" uri="{CE6537A1-D6FC-4f65-9D91-7224C49458BB}">
                  <c15:layout>
                    <c:manualLayout>
                      <c:w val="0.28699408168692569"/>
                      <c:h val="0.11856600189933524"/>
                    </c:manualLayout>
                  </c15:layout>
                </c:ext>
                <c:ext xmlns:c16="http://schemas.microsoft.com/office/drawing/2014/chart" uri="{C3380CC4-5D6E-409C-BE32-E72D297353CC}">
                  <c16:uniqueId val="{00000001-D24E-431B-AC77-5B9E91B4FC04}"/>
                </c:ext>
              </c:extLst>
            </c:dLbl>
            <c:dLbl>
              <c:idx val="1"/>
              <c:delete val="1"/>
              <c:extLst>
                <c:ext xmlns:c15="http://schemas.microsoft.com/office/drawing/2012/chart" uri="{CE6537A1-D6FC-4f65-9D91-7224C49458BB}"/>
                <c:ext xmlns:c16="http://schemas.microsoft.com/office/drawing/2014/chart" uri="{C3380CC4-5D6E-409C-BE32-E72D297353CC}">
                  <c16:uniqueId val="{00000003-D24E-431B-AC77-5B9E91B4FC04}"/>
                </c:ext>
              </c:extLst>
            </c:dLbl>
            <c:dLbl>
              <c:idx val="2"/>
              <c:layout>
                <c:manualLayout>
                  <c:x val="0.14700342156670049"/>
                  <c:y val="8.2833825933701602E-2"/>
                </c:manualLayout>
              </c:layout>
              <c:tx>
                <c:rich>
                  <a:bodyPr/>
                  <a:lstStyle/>
                  <a:p>
                    <a:r>
                      <a:rPr lang="en-US" b="1" baseline="0">
                        <a:solidFill>
                          <a:sysClr val="windowText" lastClr="000000"/>
                        </a:solidFill>
                      </a:rPr>
                      <a:t>31% </a:t>
                    </a:r>
                    <a:r>
                      <a:rPr lang="en-US" sz="900" b="1" i="0" u="none" strike="noStrike" kern="1200" baseline="0">
                        <a:solidFill>
                          <a:sysClr val="windowText" lastClr="000000"/>
                        </a:solidFill>
                      </a:rPr>
                      <a:t>Local </a:t>
                    </a:r>
                  </a:p>
                </c:rich>
              </c:tx>
              <c:showLegendKey val="0"/>
              <c:showVal val="0"/>
              <c:showCatName val="1"/>
              <c:showSerName val="0"/>
              <c:showPercent val="1"/>
              <c:showBubbleSize val="0"/>
              <c:separator> </c:separator>
              <c:extLst>
                <c:ext xmlns:c15="http://schemas.microsoft.com/office/drawing/2012/chart" uri="{CE6537A1-D6FC-4f65-9D91-7224C49458BB}">
                  <c15:layout>
                    <c:manualLayout>
                      <c:w val="0.34164524009129527"/>
                      <c:h val="0.14441873915558126"/>
                    </c:manualLayout>
                  </c15:layout>
                </c:ext>
                <c:ext xmlns:c16="http://schemas.microsoft.com/office/drawing/2014/chart" uri="{C3380CC4-5D6E-409C-BE32-E72D297353CC}">
                  <c16:uniqueId val="{00000005-D24E-431B-AC77-5B9E91B4FC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Graphics!$AP$13:$AP$15</c:f>
              <c:strCache>
                <c:ptCount val="3"/>
                <c:pt idx="0">
                  <c:v>Remote</c:v>
                </c:pt>
                <c:pt idx="1">
                  <c:v>Regional</c:v>
                </c:pt>
                <c:pt idx="2">
                  <c:v>Local</c:v>
                </c:pt>
              </c:strCache>
            </c:strRef>
          </c:cat>
          <c:val>
            <c:numRef>
              <c:f>Graphics!$AS$13:$AS$15</c:f>
              <c:numCache>
                <c:formatCode>General</c:formatCode>
                <c:ptCount val="3"/>
                <c:pt idx="0">
                  <c:v>71</c:v>
                </c:pt>
                <c:pt idx="1">
                  <c:v>0</c:v>
                </c:pt>
                <c:pt idx="2">
                  <c:v>30</c:v>
                </c:pt>
              </c:numCache>
            </c:numRef>
          </c:val>
          <c:extLst>
            <c:ext xmlns:c16="http://schemas.microsoft.com/office/drawing/2014/chart" uri="{C3380CC4-5D6E-409C-BE32-E72D297353CC}">
              <c16:uniqueId val="{00000006-D24E-431B-AC77-5B9E91B4FC04}"/>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AU" sz="1100" b="1">
                <a:solidFill>
                  <a:schemeClr val="tx1"/>
                </a:solidFill>
              </a:rPr>
              <a:t>PJSI Phase 2</a:t>
            </a:r>
          </a:p>
          <a:p>
            <a:pPr>
              <a:defRPr>
                <a:solidFill>
                  <a:schemeClr val="tx1"/>
                </a:solidFill>
              </a:defRPr>
            </a:pPr>
            <a:r>
              <a:rPr lang="en-AU" sz="1050">
                <a:solidFill>
                  <a:schemeClr val="tx1"/>
                </a:solidFill>
              </a:rPr>
              <a:t>June 2019 - May 2020</a:t>
            </a:r>
          </a:p>
        </c:rich>
      </c:tx>
      <c:layout>
        <c:manualLayout>
          <c:xMode val="edge"/>
          <c:yMode val="edge"/>
          <c:x val="0.20702711337795507"/>
          <c:y val="2.31347599768652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5287814839081601"/>
          <c:y val="0.25968449287968559"/>
          <c:w val="0.69490509721527105"/>
          <c:h val="0.78647022754634299"/>
        </c:manualLayout>
      </c:layout>
      <c:doughnutChart>
        <c:varyColors val="1"/>
        <c:ser>
          <c:idx val="0"/>
          <c:order val="0"/>
          <c:dPt>
            <c:idx val="0"/>
            <c:bubble3D val="0"/>
            <c:spPr>
              <a:solidFill>
                <a:srgbClr val="92D050"/>
              </a:solidFill>
              <a:ln w="19050">
                <a:solidFill>
                  <a:schemeClr val="lt1"/>
                </a:solidFill>
              </a:ln>
              <a:effectLst/>
            </c:spPr>
            <c:extLst>
              <c:ext xmlns:c16="http://schemas.microsoft.com/office/drawing/2014/chart" uri="{C3380CC4-5D6E-409C-BE32-E72D297353CC}">
                <c16:uniqueId val="{00000001-6759-4A65-B394-F6162719347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759-4A65-B394-F61627193472}"/>
              </c:ext>
            </c:extLst>
          </c:dPt>
          <c:dPt>
            <c:idx val="2"/>
            <c:bubble3D val="0"/>
            <c:spPr>
              <a:solidFill>
                <a:schemeClr val="accent1"/>
              </a:solidFill>
              <a:ln w="19050">
                <a:solidFill>
                  <a:schemeClr val="lt1"/>
                </a:solidFill>
              </a:ln>
              <a:effectLst/>
            </c:spPr>
            <c:extLst>
              <c:ext xmlns:c16="http://schemas.microsoft.com/office/drawing/2014/chart" uri="{C3380CC4-5D6E-409C-BE32-E72D297353CC}">
                <c16:uniqueId val="{00000005-6759-4A65-B394-F61627193472}"/>
              </c:ext>
            </c:extLst>
          </c:dPt>
          <c:dLbls>
            <c:dLbl>
              <c:idx val="0"/>
              <c:layout>
                <c:manualLayout>
                  <c:x val="0.12877268612520171"/>
                  <c:y val="-4.0697594986861457E-2"/>
                </c:manualLayout>
              </c:layout>
              <c:tx>
                <c:rich>
                  <a:bodyPr/>
                  <a:lstStyle/>
                  <a:p>
                    <a:r>
                      <a:rPr lang="en-US" sz="900" b="1" baseline="0"/>
                      <a:t>22% </a:t>
                    </a:r>
                    <a:r>
                      <a:rPr lang="en-US" sz="900" b="1" i="0" u="none" strike="noStrike" kern="1200" baseline="0">
                        <a:solidFill>
                          <a:sysClr val="windowText" lastClr="000000"/>
                        </a:solidFill>
                      </a:rPr>
                      <a:t>Remote</a:t>
                    </a:r>
                    <a:endParaRPr lang="en-US" sz="900" b="1" baseline="0"/>
                  </a:p>
                </c:rich>
              </c:tx>
              <c:showLegendKey val="0"/>
              <c:showVal val="0"/>
              <c:showCatName val="1"/>
              <c:showSerName val="0"/>
              <c:showPercent val="1"/>
              <c:showBubbleSize val="0"/>
              <c:separator> </c:separator>
              <c:extLst>
                <c:ext xmlns:c15="http://schemas.microsoft.com/office/drawing/2012/chart" uri="{CE6537A1-D6FC-4f65-9D91-7224C49458BB}">
                  <c15:layout>
                    <c:manualLayout>
                      <c:w val="0.3226989745952441"/>
                      <c:h val="0.2079528014463779"/>
                    </c:manualLayout>
                  </c15:layout>
                </c:ext>
                <c:ext xmlns:c16="http://schemas.microsoft.com/office/drawing/2014/chart" uri="{C3380CC4-5D6E-409C-BE32-E72D297353CC}">
                  <c16:uniqueId val="{00000001-6759-4A65-B394-F61627193472}"/>
                </c:ext>
              </c:extLst>
            </c:dLbl>
            <c:dLbl>
              <c:idx val="1"/>
              <c:layout>
                <c:manualLayout>
                  <c:x val="8.357152944826314E-2"/>
                  <c:y val="4.7055099893889785E-2"/>
                </c:manualLayout>
              </c:layout>
              <c:tx>
                <c:rich>
                  <a:bodyPr/>
                  <a:lstStyle/>
                  <a:p>
                    <a:r>
                      <a:rPr lang="en-US" sz="900" b="1" baseline="0">
                        <a:solidFill>
                          <a:sysClr val="windowText" lastClr="000000"/>
                        </a:solidFill>
                      </a:rPr>
                      <a:t>22% </a:t>
                    </a:r>
                    <a:r>
                      <a:rPr lang="en-US" sz="900" b="1" i="0" u="none" strike="noStrike" kern="1200" baseline="0">
                        <a:solidFill>
                          <a:sysClr val="windowText" lastClr="000000"/>
                        </a:solidFill>
                      </a:rPr>
                      <a:t>Regional </a:t>
                    </a:r>
                  </a:p>
                </c:rich>
              </c:tx>
              <c:showLegendKey val="0"/>
              <c:showVal val="0"/>
              <c:showCatName val="1"/>
              <c:showSerName val="0"/>
              <c:showPercent val="1"/>
              <c:showBubbleSize val="0"/>
              <c:separator> </c:separator>
              <c:extLst>
                <c:ext xmlns:c15="http://schemas.microsoft.com/office/drawing/2012/chart" uri="{CE6537A1-D6FC-4f65-9D91-7224C49458BB}">
                  <c15:layout>
                    <c:manualLayout>
                      <c:w val="0.36257469433492234"/>
                      <c:h val="0.11856610029009532"/>
                    </c:manualLayout>
                  </c15:layout>
                </c:ext>
                <c:ext xmlns:c16="http://schemas.microsoft.com/office/drawing/2014/chart" uri="{C3380CC4-5D6E-409C-BE32-E72D297353CC}">
                  <c16:uniqueId val="{00000003-6759-4A65-B394-F61627193472}"/>
                </c:ext>
              </c:extLst>
            </c:dLbl>
            <c:dLbl>
              <c:idx val="2"/>
              <c:layout>
                <c:manualLayout>
                  <c:x val="0.10221217937290326"/>
                  <c:y val="4.084879066230071E-2"/>
                </c:manualLayout>
              </c:layout>
              <c:tx>
                <c:rich>
                  <a:bodyPr/>
                  <a:lstStyle/>
                  <a:p>
                    <a:r>
                      <a:rPr lang="en-US" sz="900" b="1" baseline="0">
                        <a:solidFill>
                          <a:sysClr val="windowText" lastClr="000000"/>
                        </a:solidFill>
                      </a:rPr>
                      <a:t>56% </a:t>
                    </a:r>
                    <a:r>
                      <a:rPr lang="en-US" sz="900" b="1" i="0" u="none" strike="noStrike" kern="1200" baseline="0">
                        <a:solidFill>
                          <a:sysClr val="windowText" lastClr="000000"/>
                        </a:solidFill>
                      </a:rPr>
                      <a:t>Local</a:t>
                    </a:r>
                    <a:endParaRPr lang="en-US" sz="900" b="1" baseline="0">
                      <a:solidFill>
                        <a:sysClr val="windowText" lastClr="000000"/>
                      </a:solidFill>
                    </a:endParaRPr>
                  </a:p>
                </c:rich>
              </c:tx>
              <c:showLegendKey val="0"/>
              <c:showVal val="0"/>
              <c:showCatName val="1"/>
              <c:showSerName val="0"/>
              <c:showPercent val="1"/>
              <c:showBubbleSize val="0"/>
              <c:separator> </c:separator>
              <c:extLst>
                <c:ext xmlns:c15="http://schemas.microsoft.com/office/drawing/2012/chart" uri="{CE6537A1-D6FC-4f65-9D91-7224C49458BB}">
                  <c15:layout>
                    <c:manualLayout>
                      <c:w val="0.35321987280258005"/>
                      <c:h val="0.14441873915558126"/>
                    </c:manualLayout>
                  </c15:layout>
                </c:ext>
                <c:ext xmlns:c16="http://schemas.microsoft.com/office/drawing/2014/chart" uri="{C3380CC4-5D6E-409C-BE32-E72D297353CC}">
                  <c16:uniqueId val="{00000005-6759-4A65-B394-F6162719347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Graphics!$AP$13:$AP$15</c:f>
              <c:strCache>
                <c:ptCount val="3"/>
                <c:pt idx="0">
                  <c:v>Remote</c:v>
                </c:pt>
                <c:pt idx="1">
                  <c:v>Regional</c:v>
                </c:pt>
                <c:pt idx="2">
                  <c:v>Local</c:v>
                </c:pt>
              </c:strCache>
            </c:strRef>
          </c:cat>
          <c:val>
            <c:numRef>
              <c:f>Graphics!$AR$13:$AR$15</c:f>
              <c:numCache>
                <c:formatCode>General</c:formatCode>
                <c:ptCount val="3"/>
                <c:pt idx="0">
                  <c:v>9</c:v>
                </c:pt>
                <c:pt idx="1">
                  <c:v>9</c:v>
                </c:pt>
                <c:pt idx="2">
                  <c:v>23</c:v>
                </c:pt>
              </c:numCache>
            </c:numRef>
          </c:val>
          <c:extLst>
            <c:ext xmlns:c16="http://schemas.microsoft.com/office/drawing/2014/chart" uri="{C3380CC4-5D6E-409C-BE32-E72D297353CC}">
              <c16:uniqueId val="{00000006-6759-4A65-B394-F61627193472}"/>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AU" sz="1100" b="1">
                <a:solidFill>
                  <a:schemeClr val="tx1"/>
                </a:solidFill>
              </a:rPr>
              <a:t>PJSI Phase 2 Covid Re-Design</a:t>
            </a:r>
          </a:p>
          <a:p>
            <a:pPr>
              <a:defRPr>
                <a:solidFill>
                  <a:schemeClr val="tx1"/>
                </a:solidFill>
              </a:defRPr>
            </a:pPr>
            <a:r>
              <a:rPr lang="en-AU" sz="1050">
                <a:solidFill>
                  <a:schemeClr val="tx1"/>
                </a:solidFill>
              </a:rPr>
              <a:t>June</a:t>
            </a:r>
            <a:r>
              <a:rPr lang="en-AU" sz="1050" baseline="0">
                <a:solidFill>
                  <a:schemeClr val="tx1"/>
                </a:solidFill>
              </a:rPr>
              <a:t> 2020 - December 2021</a:t>
            </a:r>
            <a:endParaRPr lang="en-AU" sz="1050">
              <a:solidFill>
                <a:schemeClr val="tx1"/>
              </a:solidFill>
            </a:endParaRPr>
          </a:p>
        </c:rich>
      </c:tx>
      <c:layout>
        <c:manualLayout>
          <c:xMode val="edge"/>
          <c:yMode val="edge"/>
          <c:x val="0.14772928243256647"/>
          <c:y val="1.73508628163560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1174965202706769"/>
          <c:y val="0.25942764239490307"/>
          <c:w val="0.61009181671954782"/>
          <c:h val="0.69266063401993783"/>
        </c:manualLayout>
      </c:layout>
      <c:doughnutChart>
        <c:varyColors val="1"/>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AU" sz="1100" b="1">
                <a:solidFill>
                  <a:schemeClr val="tx1"/>
                </a:solidFill>
              </a:rPr>
              <a:t>PJSI Phase</a:t>
            </a:r>
            <a:r>
              <a:rPr lang="en-AU" sz="1100" b="1" baseline="0">
                <a:solidFill>
                  <a:schemeClr val="tx1"/>
                </a:solidFill>
              </a:rPr>
              <a:t> 1</a:t>
            </a:r>
          </a:p>
          <a:p>
            <a:pPr>
              <a:defRPr>
                <a:solidFill>
                  <a:schemeClr val="tx1"/>
                </a:solidFill>
              </a:defRPr>
            </a:pPr>
            <a:r>
              <a:rPr lang="en-AU" sz="1050" baseline="0">
                <a:solidFill>
                  <a:schemeClr val="tx1"/>
                </a:solidFill>
              </a:rPr>
              <a:t>June 2016 - May 2019</a:t>
            </a:r>
            <a:endParaRPr lang="en-AU" sz="1050">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5705153880169564"/>
          <c:y val="0.26847251381026765"/>
          <c:w val="0.69914421490265255"/>
          <c:h val="0.7754351960076652"/>
        </c:manualLayout>
      </c:layout>
      <c:doughnutChart>
        <c:varyColors val="1"/>
        <c:ser>
          <c:idx val="0"/>
          <c:order val="0"/>
          <c:tx>
            <c:strRef>
              <c:f>Graphics!$AQ$12</c:f>
              <c:strCache>
                <c:ptCount val="1"/>
                <c:pt idx="0">
                  <c:v>Phase 1</c:v>
                </c:pt>
              </c:strCache>
            </c:strRef>
          </c:tx>
          <c:dPt>
            <c:idx val="0"/>
            <c:bubble3D val="0"/>
            <c:spPr>
              <a:solidFill>
                <a:srgbClr val="92D050"/>
              </a:solidFill>
              <a:ln w="19050">
                <a:solidFill>
                  <a:schemeClr val="lt1"/>
                </a:solidFill>
              </a:ln>
              <a:effectLst/>
            </c:spPr>
            <c:extLst>
              <c:ext xmlns:c16="http://schemas.microsoft.com/office/drawing/2014/chart" uri="{C3380CC4-5D6E-409C-BE32-E72D297353CC}">
                <c16:uniqueId val="{00000001-639F-4331-A3C9-09419B0BC13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39F-4331-A3C9-09419B0BC13C}"/>
              </c:ext>
            </c:extLst>
          </c:dPt>
          <c:dPt>
            <c:idx val="2"/>
            <c:bubble3D val="0"/>
            <c:spPr>
              <a:solidFill>
                <a:schemeClr val="accent1"/>
              </a:solidFill>
              <a:ln w="19050">
                <a:solidFill>
                  <a:schemeClr val="lt1"/>
                </a:solidFill>
              </a:ln>
              <a:effectLst/>
            </c:spPr>
            <c:extLst>
              <c:ext xmlns:c16="http://schemas.microsoft.com/office/drawing/2014/chart" uri="{C3380CC4-5D6E-409C-BE32-E72D297353CC}">
                <c16:uniqueId val="{00000005-639F-4331-A3C9-09419B0BC13C}"/>
              </c:ext>
            </c:extLst>
          </c:dPt>
          <c:dLbls>
            <c:dLbl>
              <c:idx val="0"/>
              <c:layout>
                <c:manualLayout>
                  <c:x val="0.12578375512528733"/>
                  <c:y val="-0.10992016686173338"/>
                </c:manualLayout>
              </c:layout>
              <c:tx>
                <c:rich>
                  <a:bodyPr/>
                  <a:lstStyle/>
                  <a:p>
                    <a:r>
                      <a:rPr lang="en-US" sz="900" b="1" baseline="0">
                        <a:solidFill>
                          <a:sysClr val="windowText" lastClr="000000"/>
                        </a:solidFill>
                      </a:rPr>
                      <a:t>3% </a:t>
                    </a:r>
                    <a:r>
                      <a:rPr lang="en-US" sz="900" b="1" i="0" u="none" strike="noStrike" kern="1200" baseline="0">
                        <a:solidFill>
                          <a:sysClr val="windowText" lastClr="000000"/>
                        </a:solidFill>
                      </a:rPr>
                      <a:t>Remote</a:t>
                    </a:r>
                    <a:endParaRPr lang="en-US" sz="900" b="1" baseline="0">
                      <a:solidFill>
                        <a:sysClr val="windowText" lastClr="000000"/>
                      </a:solidFill>
                    </a:endParaRPr>
                  </a:p>
                </c:rich>
              </c:tx>
              <c:showLegendKey val="0"/>
              <c:showVal val="0"/>
              <c:showCatName val="1"/>
              <c:showSerName val="0"/>
              <c:showPercent val="1"/>
              <c:showBubbleSize val="0"/>
              <c:separator> </c:separator>
              <c:extLst>
                <c:ext xmlns:c15="http://schemas.microsoft.com/office/drawing/2012/chart" uri="{CE6537A1-D6FC-4f65-9D91-7224C49458BB}">
                  <c15:layout>
                    <c:manualLayout>
                      <c:w val="0.44031144151673784"/>
                      <c:h val="0.2079528014463779"/>
                    </c:manualLayout>
                  </c15:layout>
                </c:ext>
                <c:ext xmlns:c16="http://schemas.microsoft.com/office/drawing/2014/chart" uri="{C3380CC4-5D6E-409C-BE32-E72D297353CC}">
                  <c16:uniqueId val="{00000001-639F-4331-A3C9-09419B0BC13C}"/>
                </c:ext>
              </c:extLst>
            </c:dLbl>
            <c:dLbl>
              <c:idx val="1"/>
              <c:layout>
                <c:manualLayout>
                  <c:x val="0.1017954422853862"/>
                  <c:y val="0"/>
                </c:manualLayout>
              </c:layout>
              <c:tx>
                <c:rich>
                  <a:bodyPr/>
                  <a:lstStyle/>
                  <a:p>
                    <a:r>
                      <a:rPr lang="en-US" sz="900" baseline="0">
                        <a:solidFill>
                          <a:sysClr val="windowText" lastClr="000000"/>
                        </a:solidFill>
                      </a:rPr>
                      <a:t>25% </a:t>
                    </a:r>
                    <a:r>
                      <a:rPr lang="en-US" sz="900" b="1" i="0" u="none" strike="noStrike" kern="1200" baseline="0">
                        <a:solidFill>
                          <a:sysClr val="windowText" lastClr="000000"/>
                        </a:solidFill>
                      </a:rPr>
                      <a:t>Regional</a:t>
                    </a:r>
                    <a:endParaRPr lang="en-US" sz="900" baseline="0">
                      <a:solidFill>
                        <a:sysClr val="windowText" lastClr="000000"/>
                      </a:solidFill>
                    </a:endParaRPr>
                  </a:p>
                </c:rich>
              </c:tx>
              <c:showLegendKey val="0"/>
              <c:showVal val="0"/>
              <c:showCatName val="1"/>
              <c:showSerName val="0"/>
              <c:showPercent val="1"/>
              <c:showBubbleSize val="0"/>
              <c:separator> </c:separator>
              <c:extLst>
                <c:ext xmlns:c15="http://schemas.microsoft.com/office/drawing/2012/chart" uri="{CE6537A1-D6FC-4f65-9D91-7224C49458BB}">
                  <c15:layout>
                    <c:manualLayout>
                      <c:w val="0.34418779099245939"/>
                      <c:h val="0.2079528014463779"/>
                    </c:manualLayout>
                  </c15:layout>
                </c:ext>
                <c:ext xmlns:c16="http://schemas.microsoft.com/office/drawing/2014/chart" uri="{C3380CC4-5D6E-409C-BE32-E72D297353CC}">
                  <c16:uniqueId val="{00000003-639F-4331-A3C9-09419B0BC13C}"/>
                </c:ext>
              </c:extLst>
            </c:dLbl>
            <c:dLbl>
              <c:idx val="2"/>
              <c:layout>
                <c:manualLayout>
                  <c:x val="5.8855084308228008E-2"/>
                  <c:y val="-0.10404585054398564"/>
                </c:manualLayout>
              </c:layout>
              <c:tx>
                <c:rich>
                  <a:bodyPr/>
                  <a:lstStyle/>
                  <a:p>
                    <a:r>
                      <a:rPr lang="en-US" sz="900" b="1" baseline="0"/>
                      <a:t>72% </a:t>
                    </a:r>
                    <a:r>
                      <a:rPr lang="en-US" sz="900" b="1" i="0" u="none" strike="noStrike" kern="1200" baseline="0">
                        <a:solidFill>
                          <a:sysClr val="windowText" lastClr="000000"/>
                        </a:solidFill>
                      </a:rPr>
                      <a:t>Local</a:t>
                    </a:r>
                    <a:r>
                      <a:rPr lang="en-US" sz="900" b="1" i="0" u="none" strike="noStrike" kern="1200" baseline="0">
                        <a:solidFill>
                          <a:sysClr val="windowText" lastClr="000000">
                            <a:lumMod val="75000"/>
                            <a:lumOff val="25000"/>
                          </a:sysClr>
                        </a:solidFill>
                      </a:rPr>
                      <a:t> </a:t>
                    </a:r>
                  </a:p>
                </c:rich>
              </c:tx>
              <c:showLegendKey val="0"/>
              <c:showVal val="0"/>
              <c:showCatName val="1"/>
              <c:showSerName val="0"/>
              <c:showPercent val="1"/>
              <c:showBubbleSize val="0"/>
              <c:separator> </c:separator>
              <c:extLst>
                <c:ext xmlns:c15="http://schemas.microsoft.com/office/drawing/2012/chart" uri="{CE6537A1-D6FC-4f65-9D91-7224C49458BB}">
                  <c15:layout>
                    <c:manualLayout>
                      <c:w val="0.40026485957117747"/>
                      <c:h val="0.14441873915558126"/>
                    </c:manualLayout>
                  </c15:layout>
                </c:ext>
                <c:ext xmlns:c16="http://schemas.microsoft.com/office/drawing/2014/chart" uri="{C3380CC4-5D6E-409C-BE32-E72D297353CC}">
                  <c16:uniqueId val="{00000005-639F-4331-A3C9-09419B0BC13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Graphics!$AP$13:$AP$15</c:f>
              <c:strCache>
                <c:ptCount val="3"/>
                <c:pt idx="0">
                  <c:v>Remote</c:v>
                </c:pt>
                <c:pt idx="1">
                  <c:v>Regional</c:v>
                </c:pt>
                <c:pt idx="2">
                  <c:v>Local</c:v>
                </c:pt>
              </c:strCache>
            </c:strRef>
          </c:cat>
          <c:val>
            <c:numRef>
              <c:f>Graphics!$AQ$13:$AQ$15</c:f>
              <c:numCache>
                <c:formatCode>General</c:formatCode>
                <c:ptCount val="3"/>
                <c:pt idx="0">
                  <c:v>3</c:v>
                </c:pt>
                <c:pt idx="1">
                  <c:v>24</c:v>
                </c:pt>
                <c:pt idx="2">
                  <c:v>68</c:v>
                </c:pt>
              </c:numCache>
            </c:numRef>
          </c:val>
          <c:extLst>
            <c:ext xmlns:c16="http://schemas.microsoft.com/office/drawing/2014/chart" uri="{C3380CC4-5D6E-409C-BE32-E72D297353CC}">
              <c16:uniqueId val="{00000006-639F-4331-A3C9-09419B0BC13C}"/>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AU" b="1" baseline="0">
                <a:solidFill>
                  <a:sysClr val="windowText" lastClr="000000"/>
                </a:solidFill>
              </a:rPr>
              <a:t>Phase II COVID Re-Design</a:t>
            </a:r>
          </a:p>
          <a:p>
            <a:pPr>
              <a:defRPr>
                <a:solidFill>
                  <a:sysClr val="windowText" lastClr="000000"/>
                </a:solidFill>
              </a:defRPr>
            </a:pPr>
            <a:r>
              <a:rPr lang="en-AU" sz="900" baseline="0">
                <a:solidFill>
                  <a:sysClr val="windowText" lastClr="000000"/>
                </a:solidFill>
              </a:rPr>
              <a:t>June 2020 - May 2021</a:t>
            </a:r>
            <a:endParaRPr lang="en-AU" sz="90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346702307340203"/>
          <c:y val="0.29896807770823514"/>
          <c:w val="0.52614597471447333"/>
          <c:h val="0.61671003731371199"/>
        </c:manualLayout>
      </c:layout>
      <c:doughnutChart>
        <c:varyColors val="1"/>
        <c:dLbls>
          <c:showLegendKey val="0"/>
          <c:showVal val="1"/>
          <c:showCatName val="0"/>
          <c:showSerName val="0"/>
          <c:showPercent val="0"/>
          <c:showBubbleSize val="0"/>
          <c:showLeaderLines val="0"/>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35.xml.rels><?xml version="1.0" encoding="UTF-8" standalone="yes"?>
<Relationships xmlns="http://schemas.openxmlformats.org/package/2006/relationships"><Relationship Id="rId1" Type="http://schemas.openxmlformats.org/officeDocument/2006/relationships/image" Target="../media/image27.png"/></Relationships>
</file>

<file path=word/diagrams/_rels/drawing35.xml.rels><?xml version="1.0" encoding="UTF-8" standalone="yes"?>
<Relationships xmlns="http://schemas.openxmlformats.org/package/2006/relationships"><Relationship Id="rId1" Type="http://schemas.openxmlformats.org/officeDocument/2006/relationships/image" Target="../media/image27.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79065AE-FA8E-460C-8893-2F13341A52EA}" type="doc">
      <dgm:prSet loTypeId="urn:microsoft.com/office/officeart/2011/layout/HexagonRadial" loCatId="cycle" qsTypeId="urn:microsoft.com/office/officeart/2005/8/quickstyle/simple5" qsCatId="simple" csTypeId="urn:microsoft.com/office/officeart/2005/8/colors/colorful1" csCatId="colorful" phldr="1"/>
      <dgm:spPr/>
      <dgm:t>
        <a:bodyPr/>
        <a:lstStyle/>
        <a:p>
          <a:endParaRPr lang="en-US"/>
        </a:p>
      </dgm:t>
    </dgm:pt>
    <dgm:pt modelId="{5933BE8C-9E37-4514-8106-D5A79926165A}">
      <dgm:prSet phldrT="[Text]" custT="1"/>
      <dgm:spPr>
        <a:solidFill>
          <a:schemeClr val="tx2"/>
        </a:solidFill>
      </dgm:spPr>
      <dgm:t>
        <a:bodyPr/>
        <a:lstStyle/>
        <a:p>
          <a:r>
            <a:rPr lang="en-US" sz="1400" b="1"/>
            <a:t>Partner Courts' justice sytems have improved</a:t>
          </a:r>
        </a:p>
      </dgm:t>
    </dgm:pt>
    <dgm:pt modelId="{EB3665E6-C69D-41B4-A43D-924D6F33F7C0}" type="parTrans" cxnId="{C732F458-9651-412E-AF8D-C57A9038FBA7}">
      <dgm:prSet/>
      <dgm:spPr/>
      <dgm:t>
        <a:bodyPr/>
        <a:lstStyle/>
        <a:p>
          <a:endParaRPr lang="en-US"/>
        </a:p>
      </dgm:t>
    </dgm:pt>
    <dgm:pt modelId="{FED7CF8B-7975-4FF2-8098-F67063C02C09}" type="sibTrans" cxnId="{C732F458-9651-412E-AF8D-C57A9038FBA7}">
      <dgm:prSet/>
      <dgm:spPr/>
      <dgm:t>
        <a:bodyPr/>
        <a:lstStyle/>
        <a:p>
          <a:endParaRPr lang="en-US"/>
        </a:p>
      </dgm:t>
    </dgm:pt>
    <dgm:pt modelId="{1B4F0330-BCF4-42EA-936F-541B119D3A8C}">
      <dgm:prSet phldrT="[Text]" custT="1"/>
      <dgm:spPr/>
      <dgm:t>
        <a:bodyPr/>
        <a:lstStyle/>
        <a:p>
          <a:r>
            <a:rPr lang="en-AU" sz="1200" b="1"/>
            <a:t>100% of Partner Courts are transparent about &amp; accountable for their performance</a:t>
          </a:r>
        </a:p>
        <a:p>
          <a:r>
            <a:rPr lang="en-AU" sz="1200" b="1"/>
            <a:t>(baseline = 14%)</a:t>
          </a:r>
        </a:p>
      </dgm:t>
    </dgm:pt>
    <dgm:pt modelId="{540B5F70-E022-430E-B321-16ACF58F3FFF}" type="parTrans" cxnId="{2126DFA2-F1FD-48A8-B7E8-1480D88881EC}">
      <dgm:prSet/>
      <dgm:spPr/>
      <dgm:t>
        <a:bodyPr/>
        <a:lstStyle/>
        <a:p>
          <a:endParaRPr lang="en-US"/>
        </a:p>
      </dgm:t>
    </dgm:pt>
    <dgm:pt modelId="{99EDC9CD-DA63-47FA-AB78-5F168BBE69C0}" type="sibTrans" cxnId="{2126DFA2-F1FD-48A8-B7E8-1480D88881EC}">
      <dgm:prSet/>
      <dgm:spPr/>
      <dgm:t>
        <a:bodyPr/>
        <a:lstStyle/>
        <a:p>
          <a:endParaRPr lang="en-US"/>
        </a:p>
      </dgm:t>
    </dgm:pt>
    <dgm:pt modelId="{81E889C7-35DE-45A6-A71F-41597615D4C6}">
      <dgm:prSet phldrT="[Text]" custT="1"/>
      <dgm:spPr/>
      <dgm:t>
        <a:bodyPr/>
        <a:lstStyle/>
        <a:p>
          <a:r>
            <a:rPr lang="en-AU" sz="1200" b="1"/>
            <a:t>100% of Partner Courts have access to tailored in-region tertiary &amp; professional education</a:t>
          </a:r>
        </a:p>
        <a:p>
          <a:r>
            <a:rPr lang="en-AU" sz="1200" b="1"/>
            <a:t>(baseline = 0%)</a:t>
          </a:r>
          <a:endParaRPr lang="en-US" sz="1200"/>
        </a:p>
      </dgm:t>
    </dgm:pt>
    <dgm:pt modelId="{BCA1F9B8-E889-40CC-91DE-0F166A5F69D6}" type="parTrans" cxnId="{3463DA38-3B18-4CB2-BDAE-5DE4DB83E14F}">
      <dgm:prSet/>
      <dgm:spPr/>
      <dgm:t>
        <a:bodyPr/>
        <a:lstStyle/>
        <a:p>
          <a:endParaRPr lang="en-US"/>
        </a:p>
      </dgm:t>
    </dgm:pt>
    <dgm:pt modelId="{FAE83E43-8368-4E39-B6C3-B064945D02AD}" type="sibTrans" cxnId="{3463DA38-3B18-4CB2-BDAE-5DE4DB83E14F}">
      <dgm:prSet/>
      <dgm:spPr/>
      <dgm:t>
        <a:bodyPr/>
        <a:lstStyle/>
        <a:p>
          <a:endParaRPr lang="en-US"/>
        </a:p>
      </dgm:t>
    </dgm:pt>
    <dgm:pt modelId="{BFFB53CF-072B-4181-88FC-88F8F60A869A}">
      <dgm:prSet phldrT="[Text]" custT="1"/>
      <dgm:spPr/>
      <dgm:t>
        <a:bodyPr/>
        <a:lstStyle/>
        <a:p>
          <a:r>
            <a:rPr lang="en-AU" sz="1200" b="1"/>
            <a:t>100% of Partner Courts have insight into their performance against comprehensive benchmarks</a:t>
          </a:r>
        </a:p>
        <a:p>
          <a:r>
            <a:rPr lang="en-AU" sz="1200" b="1"/>
            <a:t>(baseline = 14%)</a:t>
          </a:r>
          <a:endParaRPr lang="en-US" sz="1200"/>
        </a:p>
      </dgm:t>
    </dgm:pt>
    <dgm:pt modelId="{20D93EDA-002A-43FC-8BF4-603201868AB7}" type="parTrans" cxnId="{10BF75F5-7CCA-4188-8199-AEBE29248EA5}">
      <dgm:prSet/>
      <dgm:spPr/>
      <dgm:t>
        <a:bodyPr/>
        <a:lstStyle/>
        <a:p>
          <a:endParaRPr lang="en-US"/>
        </a:p>
      </dgm:t>
    </dgm:pt>
    <dgm:pt modelId="{F2020354-305E-4E0D-AA39-CCD8F54718FD}" type="sibTrans" cxnId="{10BF75F5-7CCA-4188-8199-AEBE29248EA5}">
      <dgm:prSet/>
      <dgm:spPr/>
      <dgm:t>
        <a:bodyPr/>
        <a:lstStyle/>
        <a:p>
          <a:endParaRPr lang="en-US"/>
        </a:p>
      </dgm:t>
    </dgm:pt>
    <dgm:pt modelId="{5D547049-A390-4CEF-AE4F-69F6B4C80603}">
      <dgm:prSet phldrT="[Text]" custT="1"/>
      <dgm:spPr/>
      <dgm:t>
        <a:bodyPr/>
        <a:lstStyle/>
        <a:p>
          <a:r>
            <a:rPr lang="en-AU" sz="1200" b="1"/>
            <a:t>100% of Partner Courts PJSI worked with are responsive to the accessibility &amp; human rights needs of vulnerable groups</a:t>
          </a:r>
        </a:p>
        <a:p>
          <a:r>
            <a:rPr lang="en-AU" sz="1200" b="1"/>
            <a:t>(baseline = 0%)</a:t>
          </a:r>
          <a:endParaRPr lang="en-US" sz="1200"/>
        </a:p>
      </dgm:t>
    </dgm:pt>
    <dgm:pt modelId="{9FF20549-E48E-4E93-84D0-38ED66CBFA90}" type="parTrans" cxnId="{09D01293-34BE-4126-88F8-C69E07839074}">
      <dgm:prSet/>
      <dgm:spPr/>
      <dgm:t>
        <a:bodyPr/>
        <a:lstStyle/>
        <a:p>
          <a:endParaRPr lang="en-US"/>
        </a:p>
      </dgm:t>
    </dgm:pt>
    <dgm:pt modelId="{942DF2AB-C413-41A6-B347-E17A6F9E2033}" type="sibTrans" cxnId="{09D01293-34BE-4126-88F8-C69E07839074}">
      <dgm:prSet/>
      <dgm:spPr/>
      <dgm:t>
        <a:bodyPr/>
        <a:lstStyle/>
        <a:p>
          <a:endParaRPr lang="en-US"/>
        </a:p>
      </dgm:t>
    </dgm:pt>
    <dgm:pt modelId="{0D444A9A-4462-4A7B-80C3-39FA85888284}">
      <dgm:prSet phldrT="[Text]" custT="1"/>
      <dgm:spPr>
        <a:solidFill>
          <a:schemeClr val="accent1"/>
        </a:solidFill>
      </dgm:spPr>
      <dgm:t>
        <a:bodyPr/>
        <a:lstStyle/>
        <a:p>
          <a:r>
            <a:rPr lang="en-AU" sz="1200" b="1"/>
            <a:t>86% of Partner Courts are successfully leading change locally</a:t>
          </a:r>
        </a:p>
        <a:p>
          <a:r>
            <a:rPr lang="en-AU" sz="1200" b="1"/>
            <a:t>(baseline = 21%)</a:t>
          </a:r>
          <a:endParaRPr lang="en-US" sz="1200"/>
        </a:p>
      </dgm:t>
    </dgm:pt>
    <dgm:pt modelId="{189B92AB-DB0B-4EA7-B329-CF3EA4775013}" type="parTrans" cxnId="{B6D709F3-0EF4-45B9-8912-841B1F81CA68}">
      <dgm:prSet/>
      <dgm:spPr/>
      <dgm:t>
        <a:bodyPr/>
        <a:lstStyle/>
        <a:p>
          <a:endParaRPr lang="en-US"/>
        </a:p>
      </dgm:t>
    </dgm:pt>
    <dgm:pt modelId="{C174F44A-4523-4B7C-AAFF-8E1779D062CB}" type="sibTrans" cxnId="{B6D709F3-0EF4-45B9-8912-841B1F81CA68}">
      <dgm:prSet/>
      <dgm:spPr/>
      <dgm:t>
        <a:bodyPr/>
        <a:lstStyle/>
        <a:p>
          <a:endParaRPr lang="en-US"/>
        </a:p>
      </dgm:t>
    </dgm:pt>
    <dgm:pt modelId="{BA73A067-0A09-4499-8B8D-C756914A2B03}">
      <dgm:prSet custT="1"/>
      <dgm:spPr/>
      <dgm:t>
        <a:bodyPr/>
        <a:lstStyle/>
        <a:p>
          <a:r>
            <a:rPr lang="en-AU" sz="1200" b="1"/>
            <a:t>93% of Partner Courts use performance data to plan &amp; deliver ongoing improvements</a:t>
          </a:r>
        </a:p>
        <a:p>
          <a:r>
            <a:rPr lang="en-AU" sz="1200" b="1"/>
            <a:t>(baseline = 21%)</a:t>
          </a:r>
          <a:endParaRPr lang="en-US" sz="1200"/>
        </a:p>
      </dgm:t>
    </dgm:pt>
    <dgm:pt modelId="{59CCD354-F07C-4053-9751-9A4164C6AA29}" type="parTrans" cxnId="{A003DD07-2034-46CA-B78E-0F749797B956}">
      <dgm:prSet/>
      <dgm:spPr/>
      <dgm:t>
        <a:bodyPr/>
        <a:lstStyle/>
        <a:p>
          <a:endParaRPr lang="en-US"/>
        </a:p>
      </dgm:t>
    </dgm:pt>
    <dgm:pt modelId="{D3A48AE9-ABB5-417D-A777-82A834FF7229}" type="sibTrans" cxnId="{A003DD07-2034-46CA-B78E-0F749797B956}">
      <dgm:prSet/>
      <dgm:spPr/>
      <dgm:t>
        <a:bodyPr/>
        <a:lstStyle/>
        <a:p>
          <a:endParaRPr lang="en-US"/>
        </a:p>
      </dgm:t>
    </dgm:pt>
    <dgm:pt modelId="{702EA169-97B6-4297-AE41-09DF8E0C3E38}" type="pres">
      <dgm:prSet presAssocID="{E79065AE-FA8E-460C-8893-2F13341A52EA}" presName="Name0" presStyleCnt="0">
        <dgm:presLayoutVars>
          <dgm:chMax val="1"/>
          <dgm:chPref val="1"/>
          <dgm:dir/>
          <dgm:animOne val="branch"/>
          <dgm:animLvl val="lvl"/>
        </dgm:presLayoutVars>
      </dgm:prSet>
      <dgm:spPr/>
      <dgm:t>
        <a:bodyPr/>
        <a:lstStyle/>
        <a:p>
          <a:endParaRPr lang="en-US"/>
        </a:p>
      </dgm:t>
    </dgm:pt>
    <dgm:pt modelId="{3B967FCA-B438-4F65-A1FA-5231CBEE025D}" type="pres">
      <dgm:prSet presAssocID="{5933BE8C-9E37-4514-8106-D5A79926165A}" presName="Parent" presStyleLbl="node0" presStyleIdx="0" presStyleCnt="1">
        <dgm:presLayoutVars>
          <dgm:chMax val="6"/>
          <dgm:chPref val="6"/>
        </dgm:presLayoutVars>
      </dgm:prSet>
      <dgm:spPr/>
      <dgm:t>
        <a:bodyPr/>
        <a:lstStyle/>
        <a:p>
          <a:endParaRPr lang="en-US"/>
        </a:p>
      </dgm:t>
    </dgm:pt>
    <dgm:pt modelId="{8D0DD300-1F10-4893-BBD2-C6488CA52434}" type="pres">
      <dgm:prSet presAssocID="{1B4F0330-BCF4-42EA-936F-541B119D3A8C}" presName="Accent1" presStyleCnt="0"/>
      <dgm:spPr/>
    </dgm:pt>
    <dgm:pt modelId="{0F487D27-C225-4848-A8CD-B7D2B636EC2A}" type="pres">
      <dgm:prSet presAssocID="{1B4F0330-BCF4-42EA-936F-541B119D3A8C}" presName="Accent" presStyleLbl="bgShp" presStyleIdx="0" presStyleCnt="6"/>
      <dgm:spPr/>
    </dgm:pt>
    <dgm:pt modelId="{0E18D0AC-E83D-4999-A76A-DAB798D10B68}" type="pres">
      <dgm:prSet presAssocID="{1B4F0330-BCF4-42EA-936F-541B119D3A8C}" presName="Child1" presStyleLbl="node1" presStyleIdx="0" presStyleCnt="6">
        <dgm:presLayoutVars>
          <dgm:chMax val="0"/>
          <dgm:chPref val="0"/>
          <dgm:bulletEnabled val="1"/>
        </dgm:presLayoutVars>
      </dgm:prSet>
      <dgm:spPr/>
      <dgm:t>
        <a:bodyPr/>
        <a:lstStyle/>
        <a:p>
          <a:endParaRPr lang="en-US"/>
        </a:p>
      </dgm:t>
    </dgm:pt>
    <dgm:pt modelId="{47F5C2DD-DD0D-4C13-A782-C372E94CE0C6}" type="pres">
      <dgm:prSet presAssocID="{81E889C7-35DE-45A6-A71F-41597615D4C6}" presName="Accent2" presStyleCnt="0"/>
      <dgm:spPr/>
    </dgm:pt>
    <dgm:pt modelId="{B9D5D062-96A9-44E2-B3CD-195656640011}" type="pres">
      <dgm:prSet presAssocID="{81E889C7-35DE-45A6-A71F-41597615D4C6}" presName="Accent" presStyleLbl="bgShp" presStyleIdx="1" presStyleCnt="6"/>
      <dgm:spPr/>
    </dgm:pt>
    <dgm:pt modelId="{F78C6427-F811-4DFE-A57D-0F5BAE8DB495}" type="pres">
      <dgm:prSet presAssocID="{81E889C7-35DE-45A6-A71F-41597615D4C6}" presName="Child2" presStyleLbl="node1" presStyleIdx="1" presStyleCnt="6">
        <dgm:presLayoutVars>
          <dgm:chMax val="0"/>
          <dgm:chPref val="0"/>
          <dgm:bulletEnabled val="1"/>
        </dgm:presLayoutVars>
      </dgm:prSet>
      <dgm:spPr/>
      <dgm:t>
        <a:bodyPr/>
        <a:lstStyle/>
        <a:p>
          <a:endParaRPr lang="en-US"/>
        </a:p>
      </dgm:t>
    </dgm:pt>
    <dgm:pt modelId="{71513ADD-C306-4118-B47E-459452B50A9B}" type="pres">
      <dgm:prSet presAssocID="{BFFB53CF-072B-4181-88FC-88F8F60A869A}" presName="Accent3" presStyleCnt="0"/>
      <dgm:spPr/>
    </dgm:pt>
    <dgm:pt modelId="{8F06927D-7B6C-497B-A0ED-3F7CD3775340}" type="pres">
      <dgm:prSet presAssocID="{BFFB53CF-072B-4181-88FC-88F8F60A869A}" presName="Accent" presStyleLbl="bgShp" presStyleIdx="2" presStyleCnt="6"/>
      <dgm:spPr/>
    </dgm:pt>
    <dgm:pt modelId="{2FB4AD6F-4641-407C-8A58-43AC933F1FB8}" type="pres">
      <dgm:prSet presAssocID="{BFFB53CF-072B-4181-88FC-88F8F60A869A}" presName="Child3" presStyleLbl="node1" presStyleIdx="2" presStyleCnt="6">
        <dgm:presLayoutVars>
          <dgm:chMax val="0"/>
          <dgm:chPref val="0"/>
          <dgm:bulletEnabled val="1"/>
        </dgm:presLayoutVars>
      </dgm:prSet>
      <dgm:spPr/>
      <dgm:t>
        <a:bodyPr/>
        <a:lstStyle/>
        <a:p>
          <a:endParaRPr lang="en-US"/>
        </a:p>
      </dgm:t>
    </dgm:pt>
    <dgm:pt modelId="{E8288193-9989-4154-95C4-8B316229B4E3}" type="pres">
      <dgm:prSet presAssocID="{BA73A067-0A09-4499-8B8D-C756914A2B03}" presName="Accent4" presStyleCnt="0"/>
      <dgm:spPr/>
    </dgm:pt>
    <dgm:pt modelId="{1C10A47D-B404-414F-B6B9-85963A83FAD8}" type="pres">
      <dgm:prSet presAssocID="{BA73A067-0A09-4499-8B8D-C756914A2B03}" presName="Accent" presStyleLbl="bgShp" presStyleIdx="3" presStyleCnt="6"/>
      <dgm:spPr/>
    </dgm:pt>
    <dgm:pt modelId="{9DA8990A-786A-4084-B1D3-5D514FF7032D}" type="pres">
      <dgm:prSet presAssocID="{BA73A067-0A09-4499-8B8D-C756914A2B03}" presName="Child4" presStyleLbl="node1" presStyleIdx="3" presStyleCnt="6">
        <dgm:presLayoutVars>
          <dgm:chMax val="0"/>
          <dgm:chPref val="0"/>
          <dgm:bulletEnabled val="1"/>
        </dgm:presLayoutVars>
      </dgm:prSet>
      <dgm:spPr/>
      <dgm:t>
        <a:bodyPr/>
        <a:lstStyle/>
        <a:p>
          <a:endParaRPr lang="en-US"/>
        </a:p>
      </dgm:t>
    </dgm:pt>
    <dgm:pt modelId="{A9C01792-1963-4054-9721-AC38DED875B5}" type="pres">
      <dgm:prSet presAssocID="{5D547049-A390-4CEF-AE4F-69F6B4C80603}" presName="Accent5" presStyleCnt="0"/>
      <dgm:spPr/>
    </dgm:pt>
    <dgm:pt modelId="{AC6893B6-0CA7-4C09-89E8-1061A71E5497}" type="pres">
      <dgm:prSet presAssocID="{5D547049-A390-4CEF-AE4F-69F6B4C80603}" presName="Accent" presStyleLbl="bgShp" presStyleIdx="4" presStyleCnt="6"/>
      <dgm:spPr/>
    </dgm:pt>
    <dgm:pt modelId="{0CA3A39A-EE3E-4542-937D-9C3E6653175C}" type="pres">
      <dgm:prSet presAssocID="{5D547049-A390-4CEF-AE4F-69F6B4C80603}" presName="Child5" presStyleLbl="node1" presStyleIdx="4" presStyleCnt="6">
        <dgm:presLayoutVars>
          <dgm:chMax val="0"/>
          <dgm:chPref val="0"/>
          <dgm:bulletEnabled val="1"/>
        </dgm:presLayoutVars>
      </dgm:prSet>
      <dgm:spPr/>
      <dgm:t>
        <a:bodyPr/>
        <a:lstStyle/>
        <a:p>
          <a:endParaRPr lang="en-US"/>
        </a:p>
      </dgm:t>
    </dgm:pt>
    <dgm:pt modelId="{55900D50-40B9-4E1D-8BA4-149B302A9B46}" type="pres">
      <dgm:prSet presAssocID="{0D444A9A-4462-4A7B-80C3-39FA85888284}" presName="Accent6" presStyleCnt="0"/>
      <dgm:spPr/>
    </dgm:pt>
    <dgm:pt modelId="{C5771892-FC15-45F2-8B00-AD1110FF4A9C}" type="pres">
      <dgm:prSet presAssocID="{0D444A9A-4462-4A7B-80C3-39FA85888284}" presName="Accent" presStyleLbl="bgShp" presStyleIdx="5" presStyleCnt="6"/>
      <dgm:spPr/>
    </dgm:pt>
    <dgm:pt modelId="{1EBBAF27-DEAB-402F-BD79-87EDC490DE42}" type="pres">
      <dgm:prSet presAssocID="{0D444A9A-4462-4A7B-80C3-39FA85888284}" presName="Child6" presStyleLbl="node1" presStyleIdx="5" presStyleCnt="6">
        <dgm:presLayoutVars>
          <dgm:chMax val="0"/>
          <dgm:chPref val="0"/>
          <dgm:bulletEnabled val="1"/>
        </dgm:presLayoutVars>
      </dgm:prSet>
      <dgm:spPr/>
      <dgm:t>
        <a:bodyPr/>
        <a:lstStyle/>
        <a:p>
          <a:endParaRPr lang="en-US"/>
        </a:p>
      </dgm:t>
    </dgm:pt>
  </dgm:ptLst>
  <dgm:cxnLst>
    <dgm:cxn modelId="{10BF75F5-7CCA-4188-8199-AEBE29248EA5}" srcId="{5933BE8C-9E37-4514-8106-D5A79926165A}" destId="{BFFB53CF-072B-4181-88FC-88F8F60A869A}" srcOrd="2" destOrd="0" parTransId="{20D93EDA-002A-43FC-8BF4-603201868AB7}" sibTransId="{F2020354-305E-4E0D-AA39-CCD8F54718FD}"/>
    <dgm:cxn modelId="{8E7695EC-A98B-4D7A-8DEB-A6C650639715}" type="presOf" srcId="{81E889C7-35DE-45A6-A71F-41597615D4C6}" destId="{F78C6427-F811-4DFE-A57D-0F5BAE8DB495}" srcOrd="0" destOrd="0" presId="urn:microsoft.com/office/officeart/2011/layout/HexagonRadial"/>
    <dgm:cxn modelId="{0BC847A9-EC9A-4FF0-88A4-3A4A39967D5B}" type="presOf" srcId="{BA73A067-0A09-4499-8B8D-C756914A2B03}" destId="{9DA8990A-786A-4084-B1D3-5D514FF7032D}" srcOrd="0" destOrd="0" presId="urn:microsoft.com/office/officeart/2011/layout/HexagonRadial"/>
    <dgm:cxn modelId="{615B9473-B563-4DB9-BACF-61B961DF1BFF}" type="presOf" srcId="{1B4F0330-BCF4-42EA-936F-541B119D3A8C}" destId="{0E18D0AC-E83D-4999-A76A-DAB798D10B68}" srcOrd="0" destOrd="0" presId="urn:microsoft.com/office/officeart/2011/layout/HexagonRadial"/>
    <dgm:cxn modelId="{D2BBCCBE-1C33-4E3A-A8B4-358AE3C70F48}" type="presOf" srcId="{0D444A9A-4462-4A7B-80C3-39FA85888284}" destId="{1EBBAF27-DEAB-402F-BD79-87EDC490DE42}" srcOrd="0" destOrd="0" presId="urn:microsoft.com/office/officeart/2011/layout/HexagonRadial"/>
    <dgm:cxn modelId="{09D01293-34BE-4126-88F8-C69E07839074}" srcId="{5933BE8C-9E37-4514-8106-D5A79926165A}" destId="{5D547049-A390-4CEF-AE4F-69F6B4C80603}" srcOrd="4" destOrd="0" parTransId="{9FF20549-E48E-4E93-84D0-38ED66CBFA90}" sibTransId="{942DF2AB-C413-41A6-B347-E17A6F9E2033}"/>
    <dgm:cxn modelId="{C732F458-9651-412E-AF8D-C57A9038FBA7}" srcId="{E79065AE-FA8E-460C-8893-2F13341A52EA}" destId="{5933BE8C-9E37-4514-8106-D5A79926165A}" srcOrd="0" destOrd="0" parTransId="{EB3665E6-C69D-41B4-A43D-924D6F33F7C0}" sibTransId="{FED7CF8B-7975-4FF2-8098-F67063C02C09}"/>
    <dgm:cxn modelId="{B6D709F3-0EF4-45B9-8912-841B1F81CA68}" srcId="{5933BE8C-9E37-4514-8106-D5A79926165A}" destId="{0D444A9A-4462-4A7B-80C3-39FA85888284}" srcOrd="5" destOrd="0" parTransId="{189B92AB-DB0B-4EA7-B329-CF3EA4775013}" sibTransId="{C174F44A-4523-4B7C-AAFF-8E1779D062CB}"/>
    <dgm:cxn modelId="{A003DD07-2034-46CA-B78E-0F749797B956}" srcId="{5933BE8C-9E37-4514-8106-D5A79926165A}" destId="{BA73A067-0A09-4499-8B8D-C756914A2B03}" srcOrd="3" destOrd="0" parTransId="{59CCD354-F07C-4053-9751-9A4164C6AA29}" sibTransId="{D3A48AE9-ABB5-417D-A777-82A834FF7229}"/>
    <dgm:cxn modelId="{707FDA74-898E-4C57-8046-7F964F35440E}" type="presOf" srcId="{E79065AE-FA8E-460C-8893-2F13341A52EA}" destId="{702EA169-97B6-4297-AE41-09DF8E0C3E38}" srcOrd="0" destOrd="0" presId="urn:microsoft.com/office/officeart/2011/layout/HexagonRadial"/>
    <dgm:cxn modelId="{AFC7EBED-233E-4866-A8C9-C817A5DD7C52}" type="presOf" srcId="{BFFB53CF-072B-4181-88FC-88F8F60A869A}" destId="{2FB4AD6F-4641-407C-8A58-43AC933F1FB8}" srcOrd="0" destOrd="0" presId="urn:microsoft.com/office/officeart/2011/layout/HexagonRadial"/>
    <dgm:cxn modelId="{3463DA38-3B18-4CB2-BDAE-5DE4DB83E14F}" srcId="{5933BE8C-9E37-4514-8106-D5A79926165A}" destId="{81E889C7-35DE-45A6-A71F-41597615D4C6}" srcOrd="1" destOrd="0" parTransId="{BCA1F9B8-E889-40CC-91DE-0F166A5F69D6}" sibTransId="{FAE83E43-8368-4E39-B6C3-B064945D02AD}"/>
    <dgm:cxn modelId="{2126DFA2-F1FD-48A8-B7E8-1480D88881EC}" srcId="{5933BE8C-9E37-4514-8106-D5A79926165A}" destId="{1B4F0330-BCF4-42EA-936F-541B119D3A8C}" srcOrd="0" destOrd="0" parTransId="{540B5F70-E022-430E-B321-16ACF58F3FFF}" sibTransId="{99EDC9CD-DA63-47FA-AB78-5F168BBE69C0}"/>
    <dgm:cxn modelId="{3CD00DB8-4CF6-4693-A4BC-E7B971C39B3E}" type="presOf" srcId="{5D547049-A390-4CEF-AE4F-69F6B4C80603}" destId="{0CA3A39A-EE3E-4542-937D-9C3E6653175C}" srcOrd="0" destOrd="0" presId="urn:microsoft.com/office/officeart/2011/layout/HexagonRadial"/>
    <dgm:cxn modelId="{52C1F1BE-1434-4320-831E-38A61E01F782}" type="presOf" srcId="{5933BE8C-9E37-4514-8106-D5A79926165A}" destId="{3B967FCA-B438-4F65-A1FA-5231CBEE025D}" srcOrd="0" destOrd="0" presId="urn:microsoft.com/office/officeart/2011/layout/HexagonRadial"/>
    <dgm:cxn modelId="{F03E1FC5-AB99-4D91-B512-BA66F19CFD0B}" type="presParOf" srcId="{702EA169-97B6-4297-AE41-09DF8E0C3E38}" destId="{3B967FCA-B438-4F65-A1FA-5231CBEE025D}" srcOrd="0" destOrd="0" presId="urn:microsoft.com/office/officeart/2011/layout/HexagonRadial"/>
    <dgm:cxn modelId="{D95C1B4D-6E66-49A4-A5F3-398D4989448D}" type="presParOf" srcId="{702EA169-97B6-4297-AE41-09DF8E0C3E38}" destId="{8D0DD300-1F10-4893-BBD2-C6488CA52434}" srcOrd="1" destOrd="0" presId="urn:microsoft.com/office/officeart/2011/layout/HexagonRadial"/>
    <dgm:cxn modelId="{6C06E205-720D-4C7B-A921-89C782998530}" type="presParOf" srcId="{8D0DD300-1F10-4893-BBD2-C6488CA52434}" destId="{0F487D27-C225-4848-A8CD-B7D2B636EC2A}" srcOrd="0" destOrd="0" presId="urn:microsoft.com/office/officeart/2011/layout/HexagonRadial"/>
    <dgm:cxn modelId="{E7813F6E-3365-4A73-85B9-0260F6311162}" type="presParOf" srcId="{702EA169-97B6-4297-AE41-09DF8E0C3E38}" destId="{0E18D0AC-E83D-4999-A76A-DAB798D10B68}" srcOrd="2" destOrd="0" presId="urn:microsoft.com/office/officeart/2011/layout/HexagonRadial"/>
    <dgm:cxn modelId="{00C98E14-DE91-41D7-8AEA-86E369701204}" type="presParOf" srcId="{702EA169-97B6-4297-AE41-09DF8E0C3E38}" destId="{47F5C2DD-DD0D-4C13-A782-C372E94CE0C6}" srcOrd="3" destOrd="0" presId="urn:microsoft.com/office/officeart/2011/layout/HexagonRadial"/>
    <dgm:cxn modelId="{95FF956A-376A-4C52-A0CB-E34ECD4D2C6D}" type="presParOf" srcId="{47F5C2DD-DD0D-4C13-A782-C372E94CE0C6}" destId="{B9D5D062-96A9-44E2-B3CD-195656640011}" srcOrd="0" destOrd="0" presId="urn:microsoft.com/office/officeart/2011/layout/HexagonRadial"/>
    <dgm:cxn modelId="{A44A4D6D-2B65-4768-A820-AE75430AD52D}" type="presParOf" srcId="{702EA169-97B6-4297-AE41-09DF8E0C3E38}" destId="{F78C6427-F811-4DFE-A57D-0F5BAE8DB495}" srcOrd="4" destOrd="0" presId="urn:microsoft.com/office/officeart/2011/layout/HexagonRadial"/>
    <dgm:cxn modelId="{64E3DC90-8F6F-4CBA-9A42-4D5D7F62482C}" type="presParOf" srcId="{702EA169-97B6-4297-AE41-09DF8E0C3E38}" destId="{71513ADD-C306-4118-B47E-459452B50A9B}" srcOrd="5" destOrd="0" presId="urn:microsoft.com/office/officeart/2011/layout/HexagonRadial"/>
    <dgm:cxn modelId="{492C5114-BE84-4241-937B-95FA0EB57A84}" type="presParOf" srcId="{71513ADD-C306-4118-B47E-459452B50A9B}" destId="{8F06927D-7B6C-497B-A0ED-3F7CD3775340}" srcOrd="0" destOrd="0" presId="urn:microsoft.com/office/officeart/2011/layout/HexagonRadial"/>
    <dgm:cxn modelId="{72EA79DB-C8B6-4AC2-BAEB-4DE1F0BFD8C9}" type="presParOf" srcId="{702EA169-97B6-4297-AE41-09DF8E0C3E38}" destId="{2FB4AD6F-4641-407C-8A58-43AC933F1FB8}" srcOrd="6" destOrd="0" presId="urn:microsoft.com/office/officeart/2011/layout/HexagonRadial"/>
    <dgm:cxn modelId="{264E2524-84D0-45E0-949F-6502DAD97024}" type="presParOf" srcId="{702EA169-97B6-4297-AE41-09DF8E0C3E38}" destId="{E8288193-9989-4154-95C4-8B316229B4E3}" srcOrd="7" destOrd="0" presId="urn:microsoft.com/office/officeart/2011/layout/HexagonRadial"/>
    <dgm:cxn modelId="{762F0659-6A0C-4DE8-A66E-67D78C1F3316}" type="presParOf" srcId="{E8288193-9989-4154-95C4-8B316229B4E3}" destId="{1C10A47D-B404-414F-B6B9-85963A83FAD8}" srcOrd="0" destOrd="0" presId="urn:microsoft.com/office/officeart/2011/layout/HexagonRadial"/>
    <dgm:cxn modelId="{EAC68499-6D00-4F72-B670-F8F5758C39E7}" type="presParOf" srcId="{702EA169-97B6-4297-AE41-09DF8E0C3E38}" destId="{9DA8990A-786A-4084-B1D3-5D514FF7032D}" srcOrd="8" destOrd="0" presId="urn:microsoft.com/office/officeart/2011/layout/HexagonRadial"/>
    <dgm:cxn modelId="{C8CE8780-648A-4831-9A8C-E8885CCEAFE2}" type="presParOf" srcId="{702EA169-97B6-4297-AE41-09DF8E0C3E38}" destId="{A9C01792-1963-4054-9721-AC38DED875B5}" srcOrd="9" destOrd="0" presId="urn:microsoft.com/office/officeart/2011/layout/HexagonRadial"/>
    <dgm:cxn modelId="{A14C18D0-DD64-4CFC-BE25-1890A673EFE0}" type="presParOf" srcId="{A9C01792-1963-4054-9721-AC38DED875B5}" destId="{AC6893B6-0CA7-4C09-89E8-1061A71E5497}" srcOrd="0" destOrd="0" presId="urn:microsoft.com/office/officeart/2011/layout/HexagonRadial"/>
    <dgm:cxn modelId="{63656D45-A1A2-4196-8035-2325420BB77E}" type="presParOf" srcId="{702EA169-97B6-4297-AE41-09DF8E0C3E38}" destId="{0CA3A39A-EE3E-4542-937D-9C3E6653175C}" srcOrd="10" destOrd="0" presId="urn:microsoft.com/office/officeart/2011/layout/HexagonRadial"/>
    <dgm:cxn modelId="{8A1A1737-F59D-41DB-B1AB-75777CA95B43}" type="presParOf" srcId="{702EA169-97B6-4297-AE41-09DF8E0C3E38}" destId="{55900D50-40B9-4E1D-8BA4-149B302A9B46}" srcOrd="11" destOrd="0" presId="urn:microsoft.com/office/officeart/2011/layout/HexagonRadial"/>
    <dgm:cxn modelId="{F0FF9C3D-8DC9-4849-9239-46D2363595E4}" type="presParOf" srcId="{55900D50-40B9-4E1D-8BA4-149B302A9B46}" destId="{C5771892-FC15-45F2-8B00-AD1110FF4A9C}" srcOrd="0" destOrd="0" presId="urn:microsoft.com/office/officeart/2011/layout/HexagonRadial"/>
    <dgm:cxn modelId="{2CE533D9-8594-4BB6-8E7B-93F4330BD9E5}" type="presParOf" srcId="{702EA169-97B6-4297-AE41-09DF8E0C3E38}" destId="{1EBBAF27-DEAB-402F-BD79-87EDC490DE42}" srcOrd="12" destOrd="0" presId="urn:microsoft.com/office/officeart/2011/layout/HexagonRadial"/>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2"/>
        </a:solidFill>
      </dgm:spPr>
      <dgm:t>
        <a:bodyPr/>
        <a:lstStyle/>
        <a:p>
          <a:pPr algn="l"/>
          <a:r>
            <a:rPr lang="en-US" sz="1050" b="1">
              <a:solidFill>
                <a:schemeClr val="bg1"/>
              </a:solidFill>
            </a:rPr>
            <a:t>Leadership - 118 activities</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1"/>
        </a:solidFill>
      </dgm:spPr>
      <dgm:t>
        <a:bodyPr/>
        <a:lstStyle/>
        <a:p>
          <a:pPr algn="l"/>
          <a:r>
            <a:rPr lang="en-US" sz="1050" b="1">
              <a:solidFill>
                <a:schemeClr val="bg1"/>
              </a:solidFill>
            </a:rPr>
            <a:t>Access to Justice - 16 activities</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3"/>
        </a:solidFill>
      </dgm:spPr>
      <dgm:t>
        <a:bodyPr/>
        <a:lstStyle/>
        <a:p>
          <a:pPr algn="l"/>
          <a:r>
            <a:rPr lang="en-US" sz="1050" b="1">
              <a:solidFill>
                <a:schemeClr val="bg1"/>
              </a:solidFill>
            </a:rPr>
            <a:t>Professionalism - 37 activities</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4"/>
        </a:solidFill>
      </dgm:spPr>
      <dgm:t>
        <a:bodyPr/>
        <a:lstStyle/>
        <a:p>
          <a:pPr algn="l"/>
          <a:r>
            <a:rPr lang="en-US" sz="1050" b="1">
              <a:solidFill>
                <a:schemeClr val="bg1"/>
              </a:solidFill>
            </a:rPr>
            <a:t>Rights - 21 activities</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5"/>
        </a:solidFill>
      </dgm:spPr>
      <dgm:t>
        <a:bodyPr/>
        <a:lstStyle/>
        <a:p>
          <a:pPr algn="l"/>
          <a:r>
            <a:rPr lang="en-US" sz="1050" b="1">
              <a:solidFill>
                <a:schemeClr val="bg1"/>
              </a:solidFill>
            </a:rPr>
            <a:t>Procedure - 45</a:t>
          </a:r>
          <a:r>
            <a:rPr lang="en-US" sz="1050" b="1">
              <a:solidFill>
                <a:srgbClr val="FF0000"/>
              </a:solidFill>
            </a:rPr>
            <a:t> </a:t>
          </a:r>
          <a:r>
            <a:rPr lang="en-US" sz="1050" b="1">
              <a:solidFill>
                <a:schemeClr val="bg1"/>
              </a:solidFill>
            </a:rPr>
            <a:t>activities</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2"/>
        </a:solidFill>
      </dgm:spPr>
      <dgm:t>
        <a:bodyPr/>
        <a:lstStyle/>
        <a:p>
          <a:pPr algn="l"/>
          <a:r>
            <a:rPr lang="en-US" sz="1050" b="1">
              <a:solidFill>
                <a:schemeClr val="bg1"/>
              </a:solidFill>
            </a:rPr>
            <a:t>Leadership</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1"/>
        </a:solidFill>
      </dgm:spPr>
      <dgm:t>
        <a:bodyPr/>
        <a:lstStyle/>
        <a:p>
          <a:pPr algn="l"/>
          <a:r>
            <a:rPr lang="en-US" sz="1050" b="1">
              <a:solidFill>
                <a:schemeClr val="bg1"/>
              </a:solidFill>
            </a:rPr>
            <a:t>Access to Justice</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3"/>
        </a:solidFill>
      </dgm:spPr>
      <dgm:t>
        <a:bodyPr/>
        <a:lstStyle/>
        <a:p>
          <a:pPr algn="l"/>
          <a:r>
            <a:rPr lang="en-US" sz="1050" b="1">
              <a:solidFill>
                <a:schemeClr val="bg1"/>
              </a:solidFill>
            </a:rPr>
            <a:t>Professionalism</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4"/>
        </a:solidFill>
      </dgm:spPr>
      <dgm:t>
        <a:bodyPr/>
        <a:lstStyle/>
        <a:p>
          <a:pPr algn="l"/>
          <a:r>
            <a:rPr lang="en-US" sz="1050" b="1">
              <a:solidFill>
                <a:schemeClr val="bg1"/>
              </a:solidFill>
            </a:rPr>
            <a:t>Rights</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5"/>
        </a:solidFill>
      </dgm:spPr>
      <dgm:t>
        <a:bodyPr/>
        <a:lstStyle/>
        <a:p>
          <a:pPr algn="l"/>
          <a:r>
            <a:rPr lang="en-US" sz="1050" b="1">
              <a:solidFill>
                <a:schemeClr val="bg1"/>
              </a:solidFill>
            </a:rPr>
            <a:t>Procedure</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14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2AD7D19-F5AD-4A8A-A568-6818100DDCF9}" type="doc">
      <dgm:prSet loTypeId="urn:microsoft.com/office/officeart/2005/8/layout/matrix1" loCatId="matrix" qsTypeId="urn:microsoft.com/office/officeart/2005/8/quickstyle/simple2" qsCatId="simple" csTypeId="urn:microsoft.com/office/officeart/2005/8/colors/colorful2" csCatId="colorful" phldr="1"/>
      <dgm:spPr/>
      <dgm:t>
        <a:bodyPr/>
        <a:lstStyle/>
        <a:p>
          <a:endParaRPr lang="en-US"/>
        </a:p>
      </dgm:t>
    </dgm:pt>
    <dgm:pt modelId="{5807C01B-238A-40B5-BB7C-E6B4DC015665}">
      <dgm:prSet phldrT="[Text]" custT="1"/>
      <dgm:spPr>
        <a:solidFill>
          <a:schemeClr val="accent5"/>
        </a:solidFill>
      </dgm:spPr>
      <dgm:t>
        <a:bodyPr/>
        <a:lstStyle/>
        <a:p>
          <a:r>
            <a:rPr lang="en-US" sz="1150" b="1"/>
            <a:t>Leadership</a:t>
          </a:r>
        </a:p>
      </dgm:t>
    </dgm:pt>
    <dgm:pt modelId="{AF676B0F-10AB-4219-89D0-0F867B035182}" type="parTrans" cxnId="{D9E3913A-D174-4FD9-B8A9-5C85DC4988AC}">
      <dgm:prSet/>
      <dgm:spPr/>
      <dgm:t>
        <a:bodyPr/>
        <a:lstStyle/>
        <a:p>
          <a:endParaRPr lang="en-US"/>
        </a:p>
      </dgm:t>
    </dgm:pt>
    <dgm:pt modelId="{A7DACC99-AD06-4F38-B20F-43F148FDBF5C}" type="sibTrans" cxnId="{D9E3913A-D174-4FD9-B8A9-5C85DC4988AC}">
      <dgm:prSet/>
      <dgm:spPr/>
      <dgm:t>
        <a:bodyPr/>
        <a:lstStyle/>
        <a:p>
          <a:endParaRPr lang="en-US"/>
        </a:p>
      </dgm:t>
    </dgm:pt>
    <dgm:pt modelId="{A91E4341-574B-4C73-9CEF-5FAFF8A256C6}">
      <dgm:prSet phldrT="[Text]" custT="1"/>
      <dgm:spPr>
        <a:solidFill>
          <a:schemeClr val="accent2"/>
        </a:solidFill>
      </dgm:spPr>
      <dgm:t>
        <a:bodyPr/>
        <a:lstStyle/>
        <a:p>
          <a:r>
            <a:rPr lang="en-US" sz="1150" b="1"/>
            <a:t>Access</a:t>
          </a:r>
        </a:p>
      </dgm:t>
    </dgm:pt>
    <dgm:pt modelId="{ADCCA758-E150-4208-9BA3-F814F95011B1}" type="parTrans" cxnId="{8DA4F1D3-C2B4-4BFF-B328-1BB9A92BC953}">
      <dgm:prSet/>
      <dgm:spPr/>
      <dgm:t>
        <a:bodyPr/>
        <a:lstStyle/>
        <a:p>
          <a:endParaRPr lang="en-US"/>
        </a:p>
      </dgm:t>
    </dgm:pt>
    <dgm:pt modelId="{E9DC8C11-1EC6-4408-A28F-76BE83EF013D}" type="sibTrans" cxnId="{8DA4F1D3-C2B4-4BFF-B328-1BB9A92BC953}">
      <dgm:prSet/>
      <dgm:spPr/>
      <dgm:t>
        <a:bodyPr/>
        <a:lstStyle/>
        <a:p>
          <a:endParaRPr lang="en-US"/>
        </a:p>
      </dgm:t>
    </dgm:pt>
    <dgm:pt modelId="{CE6F1FD5-611E-4497-80F6-C3988E06AFF9}">
      <dgm:prSet phldrT="[Text]" custT="1"/>
      <dgm:spPr>
        <a:solidFill>
          <a:schemeClr val="accent1"/>
        </a:solidFill>
      </dgm:spPr>
      <dgm:t>
        <a:bodyPr/>
        <a:lstStyle/>
        <a:p>
          <a:r>
            <a:rPr lang="en-US" sz="1150" b="1"/>
            <a:t>Professionalism</a:t>
          </a:r>
        </a:p>
      </dgm:t>
    </dgm:pt>
    <dgm:pt modelId="{9153CBD0-0658-483F-A167-32A1A1A5401F}" type="parTrans" cxnId="{EFEB83B8-CD6E-45CB-AD48-C09356E14E60}">
      <dgm:prSet/>
      <dgm:spPr/>
      <dgm:t>
        <a:bodyPr/>
        <a:lstStyle/>
        <a:p>
          <a:endParaRPr lang="en-US"/>
        </a:p>
      </dgm:t>
    </dgm:pt>
    <dgm:pt modelId="{01A15E2F-0181-4066-BC90-55B62E4AEBD2}" type="sibTrans" cxnId="{EFEB83B8-CD6E-45CB-AD48-C09356E14E60}">
      <dgm:prSet/>
      <dgm:spPr/>
      <dgm:t>
        <a:bodyPr/>
        <a:lstStyle/>
        <a:p>
          <a:endParaRPr lang="en-US"/>
        </a:p>
      </dgm:t>
    </dgm:pt>
    <dgm:pt modelId="{0FC7B538-1C57-4C02-9624-24ED3BEDD539}">
      <dgm:prSet phldrT="[Text]" custT="1"/>
      <dgm:spPr>
        <a:solidFill>
          <a:schemeClr val="accent4"/>
        </a:solidFill>
      </dgm:spPr>
      <dgm:t>
        <a:bodyPr/>
        <a:lstStyle/>
        <a:p>
          <a:r>
            <a:rPr lang="en-US" sz="1150" b="1"/>
            <a:t>Rights</a:t>
          </a:r>
        </a:p>
      </dgm:t>
    </dgm:pt>
    <dgm:pt modelId="{2C87F3A1-CBE2-4DB4-B42B-7B5770C5CD08}" type="parTrans" cxnId="{8D3E6733-56AF-43D9-BD8B-C07DA3362B3F}">
      <dgm:prSet/>
      <dgm:spPr/>
      <dgm:t>
        <a:bodyPr/>
        <a:lstStyle/>
        <a:p>
          <a:endParaRPr lang="en-US"/>
        </a:p>
      </dgm:t>
    </dgm:pt>
    <dgm:pt modelId="{70E9B62C-627D-4125-BEED-E88270C7CBAE}" type="sibTrans" cxnId="{8D3E6733-56AF-43D9-BD8B-C07DA3362B3F}">
      <dgm:prSet/>
      <dgm:spPr/>
      <dgm:t>
        <a:bodyPr/>
        <a:lstStyle/>
        <a:p>
          <a:endParaRPr lang="en-US"/>
        </a:p>
      </dgm:t>
    </dgm:pt>
    <dgm:pt modelId="{AB77594F-1611-4BB0-B6D4-1007E1AFA585}">
      <dgm:prSet phldrT="[Text]" custT="1"/>
      <dgm:spPr>
        <a:solidFill>
          <a:schemeClr val="accent3"/>
        </a:solidFill>
      </dgm:spPr>
      <dgm:t>
        <a:bodyPr/>
        <a:lstStyle/>
        <a:p>
          <a:r>
            <a:rPr lang="en-US" sz="1150" b="1"/>
            <a:t>Procedure</a:t>
          </a:r>
        </a:p>
      </dgm:t>
    </dgm:pt>
    <dgm:pt modelId="{B3B992F2-6FDE-48A3-BDEC-AAFF694DFBA8}" type="parTrans" cxnId="{743E6161-CF2C-4395-BBA0-E161FA23F5B6}">
      <dgm:prSet/>
      <dgm:spPr/>
      <dgm:t>
        <a:bodyPr/>
        <a:lstStyle/>
        <a:p>
          <a:endParaRPr lang="en-US"/>
        </a:p>
      </dgm:t>
    </dgm:pt>
    <dgm:pt modelId="{0E0349FE-8D85-4822-A80C-797E90F5BBDD}" type="sibTrans" cxnId="{743E6161-CF2C-4395-BBA0-E161FA23F5B6}">
      <dgm:prSet/>
      <dgm:spPr/>
      <dgm:t>
        <a:bodyPr/>
        <a:lstStyle/>
        <a:p>
          <a:endParaRPr lang="en-US"/>
        </a:p>
      </dgm:t>
    </dgm:pt>
    <dgm:pt modelId="{7D83AC2E-E278-4D42-8851-C1D1C3391BA6}" type="pres">
      <dgm:prSet presAssocID="{E2AD7D19-F5AD-4A8A-A568-6818100DDCF9}" presName="diagram" presStyleCnt="0">
        <dgm:presLayoutVars>
          <dgm:chMax val="1"/>
          <dgm:dir/>
          <dgm:animLvl val="ctr"/>
          <dgm:resizeHandles val="exact"/>
        </dgm:presLayoutVars>
      </dgm:prSet>
      <dgm:spPr/>
      <dgm:t>
        <a:bodyPr/>
        <a:lstStyle/>
        <a:p>
          <a:endParaRPr lang="en-US"/>
        </a:p>
      </dgm:t>
    </dgm:pt>
    <dgm:pt modelId="{049872ED-687D-4090-89E8-65B06D9BEB95}" type="pres">
      <dgm:prSet presAssocID="{E2AD7D19-F5AD-4A8A-A568-6818100DDCF9}" presName="matrix" presStyleCnt="0"/>
      <dgm:spPr/>
    </dgm:pt>
    <dgm:pt modelId="{EC2AAE69-F1CB-434C-8E0A-FF2638598388}" type="pres">
      <dgm:prSet presAssocID="{E2AD7D19-F5AD-4A8A-A568-6818100DDCF9}" presName="tile1" presStyleLbl="node1" presStyleIdx="0" presStyleCnt="4"/>
      <dgm:spPr/>
      <dgm:t>
        <a:bodyPr/>
        <a:lstStyle/>
        <a:p>
          <a:endParaRPr lang="en-US"/>
        </a:p>
      </dgm:t>
    </dgm:pt>
    <dgm:pt modelId="{87389041-9F67-4C58-9E85-36A31A9645FF}" type="pres">
      <dgm:prSet presAssocID="{E2AD7D19-F5AD-4A8A-A568-6818100DDCF9}" presName="tile1text" presStyleLbl="node1" presStyleIdx="0" presStyleCnt="4">
        <dgm:presLayoutVars>
          <dgm:chMax val="0"/>
          <dgm:chPref val="0"/>
          <dgm:bulletEnabled val="1"/>
        </dgm:presLayoutVars>
      </dgm:prSet>
      <dgm:spPr/>
      <dgm:t>
        <a:bodyPr/>
        <a:lstStyle/>
        <a:p>
          <a:endParaRPr lang="en-US"/>
        </a:p>
      </dgm:t>
    </dgm:pt>
    <dgm:pt modelId="{EFEB251B-091D-453C-B176-7B92E6AD6B3A}" type="pres">
      <dgm:prSet presAssocID="{E2AD7D19-F5AD-4A8A-A568-6818100DDCF9}" presName="tile2" presStyleLbl="node1" presStyleIdx="1" presStyleCnt="4"/>
      <dgm:spPr/>
      <dgm:t>
        <a:bodyPr/>
        <a:lstStyle/>
        <a:p>
          <a:endParaRPr lang="en-US"/>
        </a:p>
      </dgm:t>
    </dgm:pt>
    <dgm:pt modelId="{AB2E0E94-7348-4636-A6B5-CC4AF8722564}" type="pres">
      <dgm:prSet presAssocID="{E2AD7D19-F5AD-4A8A-A568-6818100DDCF9}" presName="tile2text" presStyleLbl="node1" presStyleIdx="1" presStyleCnt="4">
        <dgm:presLayoutVars>
          <dgm:chMax val="0"/>
          <dgm:chPref val="0"/>
          <dgm:bulletEnabled val="1"/>
        </dgm:presLayoutVars>
      </dgm:prSet>
      <dgm:spPr/>
      <dgm:t>
        <a:bodyPr/>
        <a:lstStyle/>
        <a:p>
          <a:endParaRPr lang="en-US"/>
        </a:p>
      </dgm:t>
    </dgm:pt>
    <dgm:pt modelId="{1D6A1B5E-3498-4517-B810-6E342783F7CB}" type="pres">
      <dgm:prSet presAssocID="{E2AD7D19-F5AD-4A8A-A568-6818100DDCF9}" presName="tile3" presStyleLbl="node1" presStyleIdx="2" presStyleCnt="4"/>
      <dgm:spPr/>
      <dgm:t>
        <a:bodyPr/>
        <a:lstStyle/>
        <a:p>
          <a:endParaRPr lang="en-US"/>
        </a:p>
      </dgm:t>
    </dgm:pt>
    <dgm:pt modelId="{35CCC1E0-8712-4AB9-B327-C7AD6C2914C3}" type="pres">
      <dgm:prSet presAssocID="{E2AD7D19-F5AD-4A8A-A568-6818100DDCF9}" presName="tile3text" presStyleLbl="node1" presStyleIdx="2" presStyleCnt="4">
        <dgm:presLayoutVars>
          <dgm:chMax val="0"/>
          <dgm:chPref val="0"/>
          <dgm:bulletEnabled val="1"/>
        </dgm:presLayoutVars>
      </dgm:prSet>
      <dgm:spPr/>
      <dgm:t>
        <a:bodyPr/>
        <a:lstStyle/>
        <a:p>
          <a:endParaRPr lang="en-US"/>
        </a:p>
      </dgm:t>
    </dgm:pt>
    <dgm:pt modelId="{4F601F2C-833C-455D-9948-9891DC0EC9E8}" type="pres">
      <dgm:prSet presAssocID="{E2AD7D19-F5AD-4A8A-A568-6818100DDCF9}" presName="tile4" presStyleLbl="node1" presStyleIdx="3" presStyleCnt="4" custScaleX="100240" custScaleY="99954"/>
      <dgm:spPr/>
      <dgm:t>
        <a:bodyPr/>
        <a:lstStyle/>
        <a:p>
          <a:endParaRPr lang="en-US"/>
        </a:p>
      </dgm:t>
    </dgm:pt>
    <dgm:pt modelId="{8734DF40-AAD6-4CB7-8B09-25F5091D1B9D}" type="pres">
      <dgm:prSet presAssocID="{E2AD7D19-F5AD-4A8A-A568-6818100DDCF9}" presName="tile4text" presStyleLbl="node1" presStyleIdx="3" presStyleCnt="4">
        <dgm:presLayoutVars>
          <dgm:chMax val="0"/>
          <dgm:chPref val="0"/>
          <dgm:bulletEnabled val="1"/>
        </dgm:presLayoutVars>
      </dgm:prSet>
      <dgm:spPr/>
      <dgm:t>
        <a:bodyPr/>
        <a:lstStyle/>
        <a:p>
          <a:endParaRPr lang="en-US"/>
        </a:p>
      </dgm:t>
    </dgm:pt>
    <dgm:pt modelId="{FC9FF0CC-05B9-4A8C-866B-D4856DCC1C4E}" type="pres">
      <dgm:prSet presAssocID="{E2AD7D19-F5AD-4A8A-A568-6818100DDCF9}" presName="centerTile" presStyleLbl="fgShp" presStyleIdx="0" presStyleCnt="1" custScaleX="148968" custScaleY="144416">
        <dgm:presLayoutVars>
          <dgm:chMax val="0"/>
          <dgm:chPref val="0"/>
        </dgm:presLayoutVars>
      </dgm:prSet>
      <dgm:spPr/>
      <dgm:t>
        <a:bodyPr/>
        <a:lstStyle/>
        <a:p>
          <a:endParaRPr lang="en-US"/>
        </a:p>
      </dgm:t>
    </dgm:pt>
  </dgm:ptLst>
  <dgm:cxnLst>
    <dgm:cxn modelId="{DC3DB548-6A2A-4919-AA97-059BB579F21E}" type="presOf" srcId="{A91E4341-574B-4C73-9CEF-5FAFF8A256C6}" destId="{EC2AAE69-F1CB-434C-8E0A-FF2638598388}" srcOrd="0" destOrd="0" presId="urn:microsoft.com/office/officeart/2005/8/layout/matrix1"/>
    <dgm:cxn modelId="{8EB42C02-E88C-44C6-AC13-E5D65A710218}" type="presOf" srcId="{E2AD7D19-F5AD-4A8A-A568-6818100DDCF9}" destId="{7D83AC2E-E278-4D42-8851-C1D1C3391BA6}" srcOrd="0" destOrd="0" presId="urn:microsoft.com/office/officeart/2005/8/layout/matrix1"/>
    <dgm:cxn modelId="{D9E3913A-D174-4FD9-B8A9-5C85DC4988AC}" srcId="{E2AD7D19-F5AD-4A8A-A568-6818100DDCF9}" destId="{5807C01B-238A-40B5-BB7C-E6B4DC015665}" srcOrd="0" destOrd="0" parTransId="{AF676B0F-10AB-4219-89D0-0F867B035182}" sibTransId="{A7DACC99-AD06-4F38-B20F-43F148FDBF5C}"/>
    <dgm:cxn modelId="{DB33F3F3-69C2-4AA1-9369-D89F6F82DA84}" type="presOf" srcId="{CE6F1FD5-611E-4497-80F6-C3988E06AFF9}" destId="{AB2E0E94-7348-4636-A6B5-CC4AF8722564}" srcOrd="1" destOrd="0" presId="urn:microsoft.com/office/officeart/2005/8/layout/matrix1"/>
    <dgm:cxn modelId="{21BFFD18-8235-4793-B4A3-79D60E4792B1}" type="presOf" srcId="{AB77594F-1611-4BB0-B6D4-1007E1AFA585}" destId="{4F601F2C-833C-455D-9948-9891DC0EC9E8}" srcOrd="0" destOrd="0" presId="urn:microsoft.com/office/officeart/2005/8/layout/matrix1"/>
    <dgm:cxn modelId="{BF12B271-01D3-4B48-9161-B7D42D83BA10}" type="presOf" srcId="{5807C01B-238A-40B5-BB7C-E6B4DC015665}" destId="{FC9FF0CC-05B9-4A8C-866B-D4856DCC1C4E}" srcOrd="0" destOrd="0" presId="urn:microsoft.com/office/officeart/2005/8/layout/matrix1"/>
    <dgm:cxn modelId="{EFEB83B8-CD6E-45CB-AD48-C09356E14E60}" srcId="{5807C01B-238A-40B5-BB7C-E6B4DC015665}" destId="{CE6F1FD5-611E-4497-80F6-C3988E06AFF9}" srcOrd="1" destOrd="0" parTransId="{9153CBD0-0658-483F-A167-32A1A1A5401F}" sibTransId="{01A15E2F-0181-4066-BC90-55B62E4AEBD2}"/>
    <dgm:cxn modelId="{84679C7C-D77B-4DE4-9BAA-AB0598DAFFAC}" type="presOf" srcId="{A91E4341-574B-4C73-9CEF-5FAFF8A256C6}" destId="{87389041-9F67-4C58-9E85-36A31A9645FF}" srcOrd="1" destOrd="0" presId="urn:microsoft.com/office/officeart/2005/8/layout/matrix1"/>
    <dgm:cxn modelId="{25A34ACF-A0C9-4FE4-8D0C-56BF38F0D512}" type="presOf" srcId="{0FC7B538-1C57-4C02-9624-24ED3BEDD539}" destId="{35CCC1E0-8712-4AB9-B327-C7AD6C2914C3}" srcOrd="1" destOrd="0" presId="urn:microsoft.com/office/officeart/2005/8/layout/matrix1"/>
    <dgm:cxn modelId="{8DA4F1D3-C2B4-4BFF-B328-1BB9A92BC953}" srcId="{5807C01B-238A-40B5-BB7C-E6B4DC015665}" destId="{A91E4341-574B-4C73-9CEF-5FAFF8A256C6}" srcOrd="0" destOrd="0" parTransId="{ADCCA758-E150-4208-9BA3-F814F95011B1}" sibTransId="{E9DC8C11-1EC6-4408-A28F-76BE83EF013D}"/>
    <dgm:cxn modelId="{0CBF3C2E-DE92-4C09-815B-856BDB6F1651}" type="presOf" srcId="{AB77594F-1611-4BB0-B6D4-1007E1AFA585}" destId="{8734DF40-AAD6-4CB7-8B09-25F5091D1B9D}" srcOrd="1" destOrd="0" presId="urn:microsoft.com/office/officeart/2005/8/layout/matrix1"/>
    <dgm:cxn modelId="{095A086F-D9B0-44DF-B68A-9DFBFC215E13}" type="presOf" srcId="{CE6F1FD5-611E-4497-80F6-C3988E06AFF9}" destId="{EFEB251B-091D-453C-B176-7B92E6AD6B3A}" srcOrd="0" destOrd="0" presId="urn:microsoft.com/office/officeart/2005/8/layout/matrix1"/>
    <dgm:cxn modelId="{52D14803-4201-40F8-81A2-429EA57A396E}" type="presOf" srcId="{0FC7B538-1C57-4C02-9624-24ED3BEDD539}" destId="{1D6A1B5E-3498-4517-B810-6E342783F7CB}" srcOrd="0" destOrd="0" presId="urn:microsoft.com/office/officeart/2005/8/layout/matrix1"/>
    <dgm:cxn modelId="{743E6161-CF2C-4395-BBA0-E161FA23F5B6}" srcId="{5807C01B-238A-40B5-BB7C-E6B4DC015665}" destId="{AB77594F-1611-4BB0-B6D4-1007E1AFA585}" srcOrd="3" destOrd="0" parTransId="{B3B992F2-6FDE-48A3-BDEC-AAFF694DFBA8}" sibTransId="{0E0349FE-8D85-4822-A80C-797E90F5BBDD}"/>
    <dgm:cxn modelId="{8D3E6733-56AF-43D9-BD8B-C07DA3362B3F}" srcId="{5807C01B-238A-40B5-BB7C-E6B4DC015665}" destId="{0FC7B538-1C57-4C02-9624-24ED3BEDD539}" srcOrd="2" destOrd="0" parTransId="{2C87F3A1-CBE2-4DB4-B42B-7B5770C5CD08}" sibTransId="{70E9B62C-627D-4125-BEED-E88270C7CBAE}"/>
    <dgm:cxn modelId="{1B5B6103-E612-4C59-91E9-EFC3443E178E}" type="presParOf" srcId="{7D83AC2E-E278-4D42-8851-C1D1C3391BA6}" destId="{049872ED-687D-4090-89E8-65B06D9BEB95}" srcOrd="0" destOrd="0" presId="urn:microsoft.com/office/officeart/2005/8/layout/matrix1"/>
    <dgm:cxn modelId="{D31DD90D-DE07-4C98-9EC8-C7F5C3A2C54C}" type="presParOf" srcId="{049872ED-687D-4090-89E8-65B06D9BEB95}" destId="{EC2AAE69-F1CB-434C-8E0A-FF2638598388}" srcOrd="0" destOrd="0" presId="urn:microsoft.com/office/officeart/2005/8/layout/matrix1"/>
    <dgm:cxn modelId="{E0BA3D1B-0095-49BC-BF5D-1C34CEA4B9C0}" type="presParOf" srcId="{049872ED-687D-4090-89E8-65B06D9BEB95}" destId="{87389041-9F67-4C58-9E85-36A31A9645FF}" srcOrd="1" destOrd="0" presId="urn:microsoft.com/office/officeart/2005/8/layout/matrix1"/>
    <dgm:cxn modelId="{2BAFD8F7-8169-413F-8832-B210566806BC}" type="presParOf" srcId="{049872ED-687D-4090-89E8-65B06D9BEB95}" destId="{EFEB251B-091D-453C-B176-7B92E6AD6B3A}" srcOrd="2" destOrd="0" presId="urn:microsoft.com/office/officeart/2005/8/layout/matrix1"/>
    <dgm:cxn modelId="{36C830CC-4A0A-4331-B295-A706FA2CB994}" type="presParOf" srcId="{049872ED-687D-4090-89E8-65B06D9BEB95}" destId="{AB2E0E94-7348-4636-A6B5-CC4AF8722564}" srcOrd="3" destOrd="0" presId="urn:microsoft.com/office/officeart/2005/8/layout/matrix1"/>
    <dgm:cxn modelId="{C395686D-4F3D-4B3C-B7C2-E8C8F653208D}" type="presParOf" srcId="{049872ED-687D-4090-89E8-65B06D9BEB95}" destId="{1D6A1B5E-3498-4517-B810-6E342783F7CB}" srcOrd="4" destOrd="0" presId="urn:microsoft.com/office/officeart/2005/8/layout/matrix1"/>
    <dgm:cxn modelId="{FFB842CE-E1B9-4BF8-94DD-E4966AF03BCF}" type="presParOf" srcId="{049872ED-687D-4090-89E8-65B06D9BEB95}" destId="{35CCC1E0-8712-4AB9-B327-C7AD6C2914C3}" srcOrd="5" destOrd="0" presId="urn:microsoft.com/office/officeart/2005/8/layout/matrix1"/>
    <dgm:cxn modelId="{5D251392-2DC7-4938-ABB5-4CF0540D6215}" type="presParOf" srcId="{049872ED-687D-4090-89E8-65B06D9BEB95}" destId="{4F601F2C-833C-455D-9948-9891DC0EC9E8}" srcOrd="6" destOrd="0" presId="urn:microsoft.com/office/officeart/2005/8/layout/matrix1"/>
    <dgm:cxn modelId="{03EEC951-B26C-4691-AAB4-5C24B555B795}" type="presParOf" srcId="{049872ED-687D-4090-89E8-65B06D9BEB95}" destId="{8734DF40-AAD6-4CB7-8B09-25F5091D1B9D}" srcOrd="7" destOrd="0" presId="urn:microsoft.com/office/officeart/2005/8/layout/matrix1"/>
    <dgm:cxn modelId="{BBF0215D-64E6-41D2-8F9F-70042D7E31D6}" type="presParOf" srcId="{7D83AC2E-E278-4D42-8851-C1D1C3391BA6}" destId="{FC9FF0CC-05B9-4A8C-866B-D4856DCC1C4E}" srcOrd="1" destOrd="0" presId="urn:microsoft.com/office/officeart/2005/8/layout/matrix1"/>
  </dgm:cxnLst>
  <dgm:bg/>
  <dgm:whole/>
  <dgm:extLst>
    <a:ext uri="http://schemas.microsoft.com/office/drawing/2008/diagram">
      <dsp:dataModelExt xmlns:dsp="http://schemas.microsoft.com/office/drawing/2008/diagram" relId="rId35" minVer="http://schemas.openxmlformats.org/drawingml/2006/diagram"/>
    </a:ext>
    <a:ext uri="{C62137D5-CB1D-491B-B009-E17868A290BF}">
      <dgm14:recolorImg xmlns:dgm14="http://schemas.microsoft.com/office/drawing/2010/diagram" val="1"/>
    </a:ext>
  </dgm:extLst>
</dgm:dataModel>
</file>

<file path=word/diagrams/data20.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1" csCatId="colorful" phldr="1"/>
      <dgm:spPr/>
      <dgm:t>
        <a:bodyPr/>
        <a:lstStyle/>
        <a:p>
          <a:endParaRPr lang="en-US"/>
        </a:p>
      </dgm:t>
    </dgm:pt>
    <dgm:pt modelId="{17A3BD22-B542-4E72-9A8E-ECC494103A79}">
      <dgm:prSet phldrT="[Text]" custT="1"/>
      <dgm:spPr/>
      <dgm:t>
        <a:bodyPr/>
        <a:lstStyle/>
        <a:p>
          <a:r>
            <a:rPr lang="en-US" sz="1050" b="1">
              <a:latin typeface="+mn-lt"/>
            </a:rPr>
            <a:t>Courts lead and manage change locally</a:t>
          </a:r>
        </a:p>
      </dgm:t>
    </dgm:pt>
    <dgm:pt modelId="{5BE07069-57EC-45B8-B825-0336EE91FAA2}" type="parTrans" cxnId="{6974016A-CC95-4A5C-A0B8-24631DC459A3}">
      <dgm:prSet/>
      <dgm:spPr/>
      <dgm:t>
        <a:bodyPr/>
        <a:lstStyle/>
        <a:p>
          <a:endParaRPr lang="en-US"/>
        </a:p>
      </dgm:t>
    </dgm:pt>
    <dgm:pt modelId="{10D42C03-2F1E-4E96-A560-787949BC8597}" type="sibTrans" cxnId="{6974016A-CC95-4A5C-A0B8-24631DC459A3}">
      <dgm:prSet/>
      <dgm:spPr>
        <a:ln>
          <a:solidFill>
            <a:schemeClr val="accent4"/>
          </a:solidFill>
        </a:ln>
      </dgm:spPr>
      <dgm:t>
        <a:bodyPr/>
        <a:lstStyle/>
        <a:p>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custScaleX="100271" custScaleY="100271"/>
      <dgm:spPr>
        <a:ln>
          <a:solidFill>
            <a:schemeClr val="accent3"/>
          </a:solidFill>
        </a:ln>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155"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1" qsCatId="simple" csTypeId="urn:microsoft.com/office/officeart/2005/8/colors/colorful1" csCatId="colorful" phldr="1"/>
      <dgm:spPr/>
      <dgm:t>
        <a:bodyPr/>
        <a:lstStyle/>
        <a:p>
          <a:endParaRPr lang="en-US"/>
        </a:p>
      </dgm:t>
    </dgm:pt>
    <dgm:pt modelId="{10B9937C-93CB-46D3-8D95-85FEC89AD626}">
      <dgm:prSet phldrT="[Text]" custT="1"/>
      <dgm:spPr>
        <a:solidFill>
          <a:schemeClr val="accent1"/>
        </a:solidFill>
      </dgm:spPr>
      <dgm:t>
        <a:bodyPr/>
        <a:lstStyle/>
        <a:p>
          <a:r>
            <a:rPr lang="en-GB" sz="1050" b="1">
              <a:latin typeface="+mn-lt"/>
            </a:rPr>
            <a:t>Marginalised and vulnerable groups access justice </a:t>
          </a:r>
          <a:endParaRPr lang="en-US" sz="1050" b="1">
            <a:latin typeface="+mn-lt"/>
          </a:endParaRPr>
        </a:p>
      </dgm:t>
    </dgm:pt>
    <dgm:pt modelId="{24D17286-90F0-4A85-B560-B18352DAD1AF}" type="parTrans" cxnId="{A5894B21-8155-4E0C-84A1-8809948635E2}">
      <dgm:prSet/>
      <dgm:spPr/>
      <dgm:t>
        <a:bodyPr/>
        <a:lstStyle/>
        <a:p>
          <a:endParaRPr lang="en-US"/>
        </a:p>
      </dgm:t>
    </dgm:pt>
    <dgm:pt modelId="{F9A5371B-84AA-4756-A764-DA9C77B634B3}" type="sibTrans" cxnId="{A5894B21-8155-4E0C-84A1-8809948635E2}">
      <dgm:prSet/>
      <dgm:spPr>
        <a:ln>
          <a:solidFill>
            <a:schemeClr val="accent4"/>
          </a:solidFill>
        </a:ln>
      </dgm:spPr>
      <dgm:t>
        <a:bodyPr/>
        <a:lstStyle/>
        <a:p>
          <a:endParaRPr lang="en-US"/>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8281706A-583F-4686-96C6-A7903BB70770}" type="pres">
      <dgm:prSet presAssocID="{10B9937C-93CB-46D3-8D95-85FEC89AD626}" presName="text_1" presStyleLbl="node1" presStyleIdx="0" presStyleCnt="1" custScaleY="101079">
        <dgm:presLayoutVars>
          <dgm:bulletEnabled val="1"/>
        </dgm:presLayoutVars>
      </dgm:prSet>
      <dgm:spPr/>
      <dgm:t>
        <a:bodyPr/>
        <a:lstStyle/>
        <a:p>
          <a:endParaRPr lang="en-US"/>
        </a:p>
      </dgm:t>
    </dgm:pt>
    <dgm:pt modelId="{734AF1F7-D03B-4025-A235-2C2FDB834D80}" type="pres">
      <dgm:prSet presAssocID="{10B9937C-93CB-46D3-8D95-85FEC89AD626}" presName="accent_1" presStyleCnt="0"/>
      <dgm:spPr/>
    </dgm:pt>
    <dgm:pt modelId="{A3B23BCF-84E0-474C-96C5-07C4633FA6AF}" type="pres">
      <dgm:prSet presAssocID="{10B9937C-93CB-46D3-8D95-85FEC89AD626}" presName="accentRepeatNode" presStyleLbl="solidFgAcc1" presStyleIdx="0" presStyleCnt="1"/>
      <dgm:spPr>
        <a:ln>
          <a:solidFill>
            <a:schemeClr val="accent3"/>
          </a:solidFill>
        </a:ln>
      </dgm:spPr>
    </dgm:pt>
  </dgm:ptLst>
  <dgm:cxnLst>
    <dgm:cxn modelId="{4B0021EE-498D-4B8D-A53B-89DCB485C33A}" type="presOf" srcId="{10B9937C-93CB-46D3-8D95-85FEC89AD626}" destId="{8281706A-583F-4686-96C6-A7903BB70770}" srcOrd="0" destOrd="0" presId="urn:microsoft.com/office/officeart/2008/layout/VerticalCurvedList"/>
    <dgm:cxn modelId="{A5894B21-8155-4E0C-84A1-8809948635E2}" srcId="{F2D0D1CE-24AB-4371-96E9-88259E53BB70}" destId="{10B9937C-93CB-46D3-8D95-85FEC89AD626}" srcOrd="0" destOrd="0" parTransId="{24D17286-90F0-4A85-B560-B18352DAD1AF}" sibTransId="{F9A5371B-84AA-4756-A764-DA9C77B634B3}"/>
    <dgm:cxn modelId="{04543EF1-D40E-4176-B0F9-AAE1B6876A3A}" type="presOf" srcId="{F9A5371B-84AA-4756-A764-DA9C77B634B3}" destId="{51BD7295-9A67-456A-9D8C-AAA96416EFDB}" srcOrd="0" destOrd="0" presId="urn:microsoft.com/office/officeart/2008/layout/VerticalCurvedList"/>
    <dgm:cxn modelId="{102A6443-7AF2-4949-8CA1-49079E1FBA2D}" type="presOf" srcId="{F2D0D1CE-24AB-4371-96E9-88259E53BB70}" destId="{09150CA2-98AA-4FF2-9F65-0A747E8A25C2}" srcOrd="0" destOrd="0" presId="urn:microsoft.com/office/officeart/2008/layout/VerticalCurvedList"/>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E4E08336-CE0E-4C99-AA7F-F456912BBBF4}" type="presParOf" srcId="{F6BB7C7A-C219-4B48-BC86-D5481BD99949}" destId="{8281706A-583F-4686-96C6-A7903BB70770}" srcOrd="1" destOrd="0" presId="urn:microsoft.com/office/officeart/2008/layout/VerticalCurvedList"/>
    <dgm:cxn modelId="{59FE9309-EF07-4F44-A380-4770908F37FB}" type="presParOf" srcId="{F6BB7C7A-C219-4B48-BC86-D5481BD99949}" destId="{734AF1F7-D03B-4025-A235-2C2FDB834D80}" srcOrd="2" destOrd="0" presId="urn:microsoft.com/office/officeart/2008/layout/VerticalCurvedList"/>
    <dgm:cxn modelId="{96633000-6B0D-4043-ABCB-520A3A3CD640}" type="presParOf" srcId="{734AF1F7-D03B-4025-A235-2C2FDB834D80}" destId="{A3B23BCF-84E0-474C-96C5-07C4633FA6AF}" srcOrd="0" destOrd="0" presId="urn:microsoft.com/office/officeart/2008/layout/VerticalCurvedList"/>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A269AC57-C6EC-4D2C-96E2-1F0B0942543B}">
      <dgm:prSet phldrT="[Text]" custT="1"/>
      <dgm:spPr>
        <a:solidFill>
          <a:schemeClr val="accent3"/>
        </a:solidFill>
      </dgm:spPr>
      <dgm:t>
        <a:bodyPr/>
        <a:lstStyle/>
        <a:p>
          <a:r>
            <a:rPr lang="en-GB" sz="1050" b="1">
              <a:latin typeface="+mn-lt"/>
            </a:rPr>
            <a:t>Courts operate with professionalism</a:t>
          </a:r>
          <a:endParaRPr lang="en-US" sz="1050" b="1">
            <a:latin typeface="+mn-lt"/>
          </a:endParaRPr>
        </a:p>
      </dgm:t>
    </dgm:pt>
    <dgm:pt modelId="{1A15991C-D3C2-4384-96A3-E6678B6872E7}" type="parTrans" cxnId="{96C7084F-70A6-4D21-A825-87CFD2B7B1AF}">
      <dgm:prSet/>
      <dgm:spPr/>
      <dgm:t>
        <a:bodyPr/>
        <a:lstStyle/>
        <a:p>
          <a:endParaRPr lang="en-US"/>
        </a:p>
      </dgm:t>
    </dgm:pt>
    <dgm:pt modelId="{2D4E608D-542C-43BA-8DD1-248F90CB8676}" type="sibTrans" cxnId="{96C7084F-70A6-4D21-A825-87CFD2B7B1AF}">
      <dgm:prSet/>
      <dgm:spPr/>
      <dgm:t>
        <a:bodyPr/>
        <a:lstStyle/>
        <a:p>
          <a:endParaRPr lang="en-US"/>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0601E8E6-6962-424A-9391-7A0BE06BAF32}" type="pres">
      <dgm:prSet presAssocID="{A269AC57-C6EC-4D2C-96E2-1F0B0942543B}" presName="text_1" presStyleLbl="node1" presStyleIdx="0" presStyleCnt="1" custScaleY="101079">
        <dgm:presLayoutVars>
          <dgm:bulletEnabled val="1"/>
        </dgm:presLayoutVars>
      </dgm:prSet>
      <dgm:spPr/>
      <dgm:t>
        <a:bodyPr/>
        <a:lstStyle/>
        <a:p>
          <a:endParaRPr lang="en-US"/>
        </a:p>
      </dgm:t>
    </dgm:pt>
    <dgm:pt modelId="{3FBF229A-6436-4B96-A9B0-0CC7946AC4BE}" type="pres">
      <dgm:prSet presAssocID="{A269AC57-C6EC-4D2C-96E2-1F0B0942543B}" presName="accent_1" presStyleCnt="0"/>
      <dgm:spPr/>
    </dgm:pt>
    <dgm:pt modelId="{24EA14C5-92BF-422F-A387-255732329B91}" type="pres">
      <dgm:prSet presAssocID="{A269AC57-C6EC-4D2C-96E2-1F0B0942543B}" presName="accentRepeatNode" presStyleLbl="solidFgAcc1" presStyleIdx="0" presStyleCnt="1"/>
      <dgm:spPr>
        <a:ln>
          <a:solidFill>
            <a:schemeClr val="accent3"/>
          </a:solidFill>
        </a:ln>
      </dgm:spPr>
    </dgm:pt>
  </dgm:ptLst>
  <dgm:cxnLst>
    <dgm:cxn modelId="{A69997AC-6699-41ED-9522-8B413B9A418C}" type="presOf" srcId="{A269AC57-C6EC-4D2C-96E2-1F0B0942543B}" destId="{0601E8E6-6962-424A-9391-7A0BE06BAF32}" srcOrd="0" destOrd="0" presId="urn:microsoft.com/office/officeart/2008/layout/VerticalCurvedList"/>
    <dgm:cxn modelId="{102A6443-7AF2-4949-8CA1-49079E1FBA2D}" type="presOf" srcId="{F2D0D1CE-24AB-4371-96E9-88259E53BB70}" destId="{09150CA2-98AA-4FF2-9F65-0A747E8A25C2}" srcOrd="0" destOrd="0" presId="urn:microsoft.com/office/officeart/2008/layout/VerticalCurvedList"/>
    <dgm:cxn modelId="{96C7084F-70A6-4D21-A825-87CFD2B7B1AF}" srcId="{F2D0D1CE-24AB-4371-96E9-88259E53BB70}" destId="{A269AC57-C6EC-4D2C-96E2-1F0B0942543B}" srcOrd="0" destOrd="0" parTransId="{1A15991C-D3C2-4384-96A3-E6678B6872E7}" sibTransId="{2D4E608D-542C-43BA-8DD1-248F90CB8676}"/>
    <dgm:cxn modelId="{B9A938CE-D066-4F0D-8E97-0AA42764B052}" type="presOf" srcId="{2D4E608D-542C-43BA-8DD1-248F90CB8676}" destId="{51BD7295-9A67-456A-9D8C-AAA96416EFDB}" srcOrd="0" destOrd="0" presId="urn:microsoft.com/office/officeart/2008/layout/VerticalCurvedList"/>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913953F0-0A95-4B17-8507-A43DF66C358B}" type="presParOf" srcId="{F6BB7C7A-C219-4B48-BC86-D5481BD99949}" destId="{0601E8E6-6962-424A-9391-7A0BE06BAF32}" srcOrd="1" destOrd="0" presId="urn:microsoft.com/office/officeart/2008/layout/VerticalCurvedList"/>
    <dgm:cxn modelId="{E0A1EDFA-67E6-4078-B9C8-708B2CB3EA76}" type="presParOf" srcId="{F6BB7C7A-C219-4B48-BC86-D5481BD99949}" destId="{3FBF229A-6436-4B96-A9B0-0CC7946AC4BE}" srcOrd="2" destOrd="0" presId="urn:microsoft.com/office/officeart/2008/layout/VerticalCurvedList"/>
    <dgm:cxn modelId="{2485465A-B2D2-4453-A079-888B9489EA50}" type="presParOf" srcId="{3FBF229A-6436-4B96-A9B0-0CC7946AC4BE}" destId="{24EA14C5-92BF-422F-A387-255732329B91}" srcOrd="0" destOrd="0" presId="urn:microsoft.com/office/officeart/2008/layout/VerticalCurvedList"/>
  </dgm:cxnLst>
  <dgm:bg/>
  <dgm:whole>
    <a:ln>
      <a:noFill/>
    </a:ln>
  </dgm:whole>
  <dgm:extLst>
    <a:ext uri="http://schemas.microsoft.com/office/drawing/2008/diagram">
      <dsp:dataModelExt xmlns:dsp="http://schemas.microsoft.com/office/drawing/2008/diagram" relId="rId165"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CB8F5B1A-0B98-4B94-B570-50D50335E177}">
      <dgm:prSet custT="1"/>
      <dgm:spPr>
        <a:solidFill>
          <a:schemeClr val="accent4"/>
        </a:solidFill>
      </dgm:spPr>
      <dgm:t>
        <a:bodyPr/>
        <a:lstStyle/>
        <a:p>
          <a:r>
            <a:rPr lang="en-US" sz="1050" b="1">
              <a:latin typeface="+mn-lt"/>
            </a:rPr>
            <a:t>Courts are responsive and fair</a:t>
          </a:r>
        </a:p>
      </dgm:t>
    </dgm:pt>
    <dgm:pt modelId="{A22E4161-0F45-485D-A13F-CAE889BAE75B}" type="parTrans" cxnId="{A39EABDC-A949-427B-A846-3BFA6205F49C}">
      <dgm:prSet/>
      <dgm:spPr/>
      <dgm:t>
        <a:bodyPr/>
        <a:lstStyle/>
        <a:p>
          <a:endParaRPr lang="en-US"/>
        </a:p>
      </dgm:t>
    </dgm:pt>
    <dgm:pt modelId="{77026D37-7EBE-4241-AA99-1B1A0C41A6FD}" type="sibTrans" cxnId="{A39EABDC-A949-427B-A846-3BFA6205F49C}">
      <dgm:prSet/>
      <dgm:spPr>
        <a:ln>
          <a:solidFill>
            <a:schemeClr val="accent4"/>
          </a:solidFill>
        </a:ln>
      </dgm:spPr>
      <dgm:t>
        <a:bodyPr/>
        <a:lstStyle/>
        <a:p>
          <a:endParaRPr lang="en-US"/>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AD9CDB9A-A9B3-42E3-8A1C-22C67051B6CE}" type="pres">
      <dgm:prSet presAssocID="{CB8F5B1A-0B98-4B94-B570-50D50335E177}" presName="text_1" presStyleLbl="node1" presStyleIdx="0" presStyleCnt="1" custScaleY="101079">
        <dgm:presLayoutVars>
          <dgm:bulletEnabled val="1"/>
        </dgm:presLayoutVars>
      </dgm:prSet>
      <dgm:spPr/>
      <dgm:t>
        <a:bodyPr/>
        <a:lstStyle/>
        <a:p>
          <a:endParaRPr lang="en-US"/>
        </a:p>
      </dgm:t>
    </dgm:pt>
    <dgm:pt modelId="{3301531B-DBAE-45BA-83D2-595E5061F45F}" type="pres">
      <dgm:prSet presAssocID="{CB8F5B1A-0B98-4B94-B570-50D50335E177}" presName="accent_1" presStyleCnt="0"/>
      <dgm:spPr/>
    </dgm:pt>
    <dgm:pt modelId="{CB4F0D6D-154B-4FBC-9C35-2C90A7489AB4}" type="pres">
      <dgm:prSet presAssocID="{CB8F5B1A-0B98-4B94-B570-50D50335E177}" presName="accentRepeatNode" presStyleLbl="solidFgAcc1" presStyleIdx="0" presStyleCnt="1"/>
      <dgm:spPr>
        <a:ln>
          <a:solidFill>
            <a:schemeClr val="accent3"/>
          </a:solidFill>
        </a:ln>
      </dgm:spPr>
    </dgm:pt>
  </dgm:ptLst>
  <dgm:cxnLst>
    <dgm:cxn modelId="{102A6443-7AF2-4949-8CA1-49079E1FBA2D}" type="presOf" srcId="{F2D0D1CE-24AB-4371-96E9-88259E53BB70}" destId="{09150CA2-98AA-4FF2-9F65-0A747E8A25C2}" srcOrd="0" destOrd="0" presId="urn:microsoft.com/office/officeart/2008/layout/VerticalCurvedList"/>
    <dgm:cxn modelId="{B7D6DB7F-1C1D-47A0-BCA0-36FB367EF96F}" type="presOf" srcId="{CB8F5B1A-0B98-4B94-B570-50D50335E177}" destId="{AD9CDB9A-A9B3-42E3-8A1C-22C67051B6CE}" srcOrd="0" destOrd="0" presId="urn:microsoft.com/office/officeart/2008/layout/VerticalCurvedList"/>
    <dgm:cxn modelId="{A39EABDC-A949-427B-A846-3BFA6205F49C}" srcId="{F2D0D1CE-24AB-4371-96E9-88259E53BB70}" destId="{CB8F5B1A-0B98-4B94-B570-50D50335E177}" srcOrd="0" destOrd="0" parTransId="{A22E4161-0F45-485D-A13F-CAE889BAE75B}" sibTransId="{77026D37-7EBE-4241-AA99-1B1A0C41A6FD}"/>
    <dgm:cxn modelId="{61663D0D-9297-4F47-B223-0F52BE3F82DB}" type="presOf" srcId="{77026D37-7EBE-4241-AA99-1B1A0C41A6FD}" destId="{51BD7295-9A67-456A-9D8C-AAA96416EFDB}" srcOrd="0" destOrd="0" presId="urn:microsoft.com/office/officeart/2008/layout/VerticalCurvedList"/>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DF207B27-2E67-46E9-AE7E-D802C9CEA076}" type="presParOf" srcId="{F6BB7C7A-C219-4B48-BC86-D5481BD99949}" destId="{AD9CDB9A-A9B3-42E3-8A1C-22C67051B6CE}" srcOrd="1" destOrd="0" presId="urn:microsoft.com/office/officeart/2008/layout/VerticalCurvedList"/>
    <dgm:cxn modelId="{E048A283-7EFE-408E-BAF1-20A1AC29931B}" type="presParOf" srcId="{F6BB7C7A-C219-4B48-BC86-D5481BD99949}" destId="{3301531B-DBAE-45BA-83D2-595E5061F45F}" srcOrd="2" destOrd="0" presId="urn:microsoft.com/office/officeart/2008/layout/VerticalCurvedList"/>
    <dgm:cxn modelId="{537EC459-2004-4DC7-830E-84787DE2258B}" type="presParOf" srcId="{3301531B-DBAE-45BA-83D2-595E5061F45F}" destId="{CB4F0D6D-154B-4FBC-9C35-2C90A7489AB4}" srcOrd="0" destOrd="0" presId="urn:microsoft.com/office/officeart/2008/layout/VerticalCurvedList"/>
  </dgm:cxnLst>
  <dgm:bg/>
  <dgm:whole/>
  <dgm:extLst>
    <a:ext uri="http://schemas.microsoft.com/office/drawing/2008/diagram">
      <dsp:dataModelExt xmlns:dsp="http://schemas.microsoft.com/office/drawing/2008/diagram" relId="rId171"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D9D81254-954D-4C6D-8CBC-23344CCB889A}">
      <dgm:prSet custT="1"/>
      <dgm:spPr>
        <a:solidFill>
          <a:schemeClr val="accent5"/>
        </a:solidFill>
      </dgm:spPr>
      <dgm:t>
        <a:bodyPr/>
        <a:lstStyle/>
        <a:p>
          <a:pPr algn="l"/>
          <a:r>
            <a:rPr lang="en-US" sz="1050" b="1">
              <a:latin typeface="+mn-lt"/>
            </a:rPr>
            <a:t>Courts perform efficiently and accountably</a:t>
          </a:r>
        </a:p>
      </dgm:t>
    </dgm:pt>
    <dgm:pt modelId="{08DBEA86-B232-4E96-BE93-19928AD609D9}" type="parTrans" cxnId="{6B0154E5-59BD-476D-9A72-4D32B460437A}">
      <dgm:prSet/>
      <dgm:spPr/>
      <dgm:t>
        <a:bodyPr/>
        <a:lstStyle/>
        <a:p>
          <a:pPr algn="l"/>
          <a:endParaRPr lang="en-US"/>
        </a:p>
      </dgm:t>
    </dgm:pt>
    <dgm:pt modelId="{FC9A4DF9-9F0D-43AF-A864-C12CF341BEDB}" type="sibTrans" cxnId="{6B0154E5-59BD-476D-9A72-4D32B460437A}">
      <dgm:prSet/>
      <dgm:spPr>
        <a:ln>
          <a:solidFill>
            <a:schemeClr val="accent4"/>
          </a:solidFill>
        </a:ln>
      </dgm:spPr>
      <dgm:t>
        <a:bodyPr/>
        <a:lstStyle/>
        <a:p>
          <a:pPr algn="l"/>
          <a:endParaRPr lang="en-US"/>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custScaleX="100097" custScaleY="100097"/>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D0AADFAE-1683-4B94-BEDD-C95D5BC65F6A}" type="pres">
      <dgm:prSet presAssocID="{D9D81254-954D-4C6D-8CBC-23344CCB889A}" presName="text_1" presStyleLbl="node1" presStyleIdx="0" presStyleCnt="1" custScaleY="101079">
        <dgm:presLayoutVars>
          <dgm:bulletEnabled val="1"/>
        </dgm:presLayoutVars>
      </dgm:prSet>
      <dgm:spPr/>
      <dgm:t>
        <a:bodyPr/>
        <a:lstStyle/>
        <a:p>
          <a:endParaRPr lang="en-US"/>
        </a:p>
      </dgm:t>
    </dgm:pt>
    <dgm:pt modelId="{A49254F4-4C47-4521-A335-11C3480D5F63}" type="pres">
      <dgm:prSet presAssocID="{D9D81254-954D-4C6D-8CBC-23344CCB889A}" presName="accent_1" presStyleCnt="0"/>
      <dgm:spPr/>
    </dgm:pt>
    <dgm:pt modelId="{65B42504-BA7A-4DC7-9039-5B2FB3D6AF35}" type="pres">
      <dgm:prSet presAssocID="{D9D81254-954D-4C6D-8CBC-23344CCB889A}" presName="accentRepeatNode" presStyleLbl="solidFgAcc1" presStyleIdx="0" presStyleCnt="1" custScaleX="100271" custScaleY="100271"/>
      <dgm:spPr>
        <a:ln>
          <a:solidFill>
            <a:schemeClr val="accent3"/>
          </a:solidFill>
        </a:ln>
      </dgm:spPr>
    </dgm:pt>
  </dgm:ptLst>
  <dgm:cxnLst>
    <dgm:cxn modelId="{A5328EDC-7A83-4180-8813-35EE48930EA4}" type="presOf" srcId="{D9D81254-954D-4C6D-8CBC-23344CCB889A}" destId="{D0AADFAE-1683-4B94-BEDD-C95D5BC65F6A}" srcOrd="0" destOrd="0" presId="urn:microsoft.com/office/officeart/2008/layout/VerticalCurvedList"/>
    <dgm:cxn modelId="{61C55557-9084-40FB-92E8-B433F39977AC}" type="presOf" srcId="{FC9A4DF9-9F0D-43AF-A864-C12CF341BEDB}" destId="{51BD7295-9A67-456A-9D8C-AAA96416EFDB}" srcOrd="0" destOrd="0" presId="urn:microsoft.com/office/officeart/2008/layout/VerticalCurvedList"/>
    <dgm:cxn modelId="{6B0154E5-59BD-476D-9A72-4D32B460437A}" srcId="{F2D0D1CE-24AB-4371-96E9-88259E53BB70}" destId="{D9D81254-954D-4C6D-8CBC-23344CCB889A}" srcOrd="0" destOrd="0" parTransId="{08DBEA86-B232-4E96-BE93-19928AD609D9}" sibTransId="{FC9A4DF9-9F0D-43AF-A864-C12CF341BEDB}"/>
    <dgm:cxn modelId="{102A6443-7AF2-4949-8CA1-49079E1FBA2D}" type="presOf" srcId="{F2D0D1CE-24AB-4371-96E9-88259E53BB70}" destId="{09150CA2-98AA-4FF2-9F65-0A747E8A25C2}" srcOrd="0" destOrd="0" presId="urn:microsoft.com/office/officeart/2008/layout/VerticalCurvedList"/>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5AB5BBB2-B4BB-4624-A81F-A545F7F636E6}" type="presParOf" srcId="{F6BB7C7A-C219-4B48-BC86-D5481BD99949}" destId="{D0AADFAE-1683-4B94-BEDD-C95D5BC65F6A}" srcOrd="1" destOrd="0" presId="urn:microsoft.com/office/officeart/2008/layout/VerticalCurvedList"/>
    <dgm:cxn modelId="{04F16BDD-A6A5-4E14-BE7B-7940C40C50A4}" type="presParOf" srcId="{F6BB7C7A-C219-4B48-BC86-D5481BD99949}" destId="{A49254F4-4C47-4521-A335-11C3480D5F63}" srcOrd="2" destOrd="0" presId="urn:microsoft.com/office/officeart/2008/layout/VerticalCurvedList"/>
    <dgm:cxn modelId="{9F98ADA4-A482-4308-8EA1-CACD27952810}" type="presParOf" srcId="{A49254F4-4C47-4521-A335-11C3480D5F63}" destId="{65B42504-BA7A-4DC7-9039-5B2FB3D6AF35}" srcOrd="0" destOrd="0" presId="urn:microsoft.com/office/officeart/2008/layout/VerticalCurvedList"/>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2"/>
        </a:solidFill>
      </dgm:spPr>
      <dgm:t>
        <a:bodyPr/>
        <a:lstStyle/>
        <a:p>
          <a:pPr algn="l"/>
          <a:r>
            <a:rPr lang="en-AU" sz="1050" b="1"/>
            <a:t>Improved local capacity to assess needs, plan, own &amp; lead judicial development</a:t>
          </a:r>
          <a:endParaRPr lang="en-US" sz="1050" b="1">
            <a:solidFill>
              <a:schemeClr val="accent1">
                <a:lumMod val="50000"/>
              </a:schemeClr>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a:ln>
          <a:solidFill>
            <a:schemeClr val="accent4"/>
          </a:solidFill>
        </a:ln>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ln>
          <a:solidFill>
            <a:schemeClr val="accent3"/>
          </a:solidFill>
        </a:ln>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a:noFill/>
  </dgm:bg>
  <dgm:whole/>
  <dgm:extLst>
    <a:ext uri="http://schemas.microsoft.com/office/drawing/2008/diagram">
      <dsp:dataModelExt xmlns:dsp="http://schemas.microsoft.com/office/drawing/2008/diagram" relId="rId188"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0B9937C-93CB-46D3-8D95-85FEC89AD626}">
      <dgm:prSet phldrT="[Text]" custT="1"/>
      <dgm:spPr>
        <a:solidFill>
          <a:schemeClr val="accent1"/>
        </a:solidFill>
      </dgm:spPr>
      <dgm:t>
        <a:bodyPr/>
        <a:lstStyle/>
        <a:p>
          <a:pPr algn="l"/>
          <a:r>
            <a:rPr lang="en-AU" sz="1050" b="1"/>
            <a:t>Marginalised &amp; vulnerable groups better able to access justice in &amp; through courts</a:t>
          </a:r>
          <a:endParaRPr lang="en-US" sz="1050" b="1">
            <a:latin typeface="+mn-lt"/>
          </a:endParaRPr>
        </a:p>
      </dgm:t>
    </dgm:pt>
    <dgm:pt modelId="{24D17286-90F0-4A85-B560-B18352DAD1AF}" type="parTrans" cxnId="{A5894B21-8155-4E0C-84A1-8809948635E2}">
      <dgm:prSet/>
      <dgm:spPr/>
      <dgm:t>
        <a:bodyPr/>
        <a:lstStyle/>
        <a:p>
          <a:pPr algn="l"/>
          <a:endParaRPr lang="en-US"/>
        </a:p>
      </dgm:t>
    </dgm:pt>
    <dgm:pt modelId="{F9A5371B-84AA-4756-A764-DA9C77B634B3}" type="sibTrans" cxnId="{A5894B21-8155-4E0C-84A1-8809948635E2}">
      <dgm:prSet/>
      <dgm:spPr>
        <a:ln>
          <a:solidFill>
            <a:schemeClr val="accent4"/>
          </a:solidFill>
        </a:ln>
      </dgm:spPr>
      <dgm:t>
        <a:bodyPr/>
        <a:lstStyle/>
        <a:p>
          <a:pPr algn="l"/>
          <a:endParaRPr lang="en-US"/>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4821FF7F-EE03-40DB-9185-1CA5F606A967}" type="pres">
      <dgm:prSet presAssocID="{10B9937C-93CB-46D3-8D95-85FEC89AD626}" presName="text_1" presStyleLbl="node1" presStyleIdx="0" presStyleCnt="1" custScaleY="101079">
        <dgm:presLayoutVars>
          <dgm:bulletEnabled val="1"/>
        </dgm:presLayoutVars>
      </dgm:prSet>
      <dgm:spPr/>
      <dgm:t>
        <a:bodyPr/>
        <a:lstStyle/>
        <a:p>
          <a:endParaRPr lang="en-US"/>
        </a:p>
      </dgm:t>
    </dgm:pt>
    <dgm:pt modelId="{D0B772E8-11EA-4B8B-8FB6-2A57AAA62AE7}" type="pres">
      <dgm:prSet presAssocID="{10B9937C-93CB-46D3-8D95-85FEC89AD626}" presName="accent_1" presStyleCnt="0"/>
      <dgm:spPr/>
    </dgm:pt>
    <dgm:pt modelId="{A3B23BCF-84E0-474C-96C5-07C4633FA6AF}" type="pres">
      <dgm:prSet presAssocID="{10B9937C-93CB-46D3-8D95-85FEC89AD626}" presName="accentRepeatNode" presStyleLbl="solidFgAcc1" presStyleIdx="0" presStyleCnt="1"/>
      <dgm:spPr/>
    </dgm:pt>
  </dgm:ptLst>
  <dgm:cxnLst>
    <dgm:cxn modelId="{A5894B21-8155-4E0C-84A1-8809948635E2}" srcId="{F2D0D1CE-24AB-4371-96E9-88259E53BB70}" destId="{10B9937C-93CB-46D3-8D95-85FEC89AD626}" srcOrd="0" destOrd="0" parTransId="{24D17286-90F0-4A85-B560-B18352DAD1AF}" sibTransId="{F9A5371B-84AA-4756-A764-DA9C77B634B3}"/>
    <dgm:cxn modelId="{2935BFD2-9A49-4FF7-BDDB-F0B46632E254}" type="presOf" srcId="{F9A5371B-84AA-4756-A764-DA9C77B634B3}" destId="{51BD7295-9A67-456A-9D8C-AAA96416EFDB}" srcOrd="0" destOrd="0" presId="urn:microsoft.com/office/officeart/2008/layout/VerticalCurvedList"/>
    <dgm:cxn modelId="{439FCDB8-1919-490C-968F-A06205BC68E5}" type="presOf" srcId="{10B9937C-93CB-46D3-8D95-85FEC89AD626}" destId="{4821FF7F-EE03-40DB-9185-1CA5F606A967}" srcOrd="0" destOrd="0" presId="urn:microsoft.com/office/officeart/2008/layout/VerticalCurvedList"/>
    <dgm:cxn modelId="{102A6443-7AF2-4949-8CA1-49079E1FBA2D}" type="presOf" srcId="{F2D0D1CE-24AB-4371-96E9-88259E53BB70}" destId="{09150CA2-98AA-4FF2-9F65-0A747E8A25C2}" srcOrd="0" destOrd="0" presId="urn:microsoft.com/office/officeart/2008/layout/VerticalCurvedList"/>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6A116BAC-B8D4-4AC3-B1B7-2E3D638D904F}" type="presParOf" srcId="{F6BB7C7A-C219-4B48-BC86-D5481BD99949}" destId="{4821FF7F-EE03-40DB-9185-1CA5F606A967}" srcOrd="1" destOrd="0" presId="urn:microsoft.com/office/officeart/2008/layout/VerticalCurvedList"/>
    <dgm:cxn modelId="{5477F993-D9CA-4B18-895E-4F96AC4CBD5F}" type="presParOf" srcId="{F6BB7C7A-C219-4B48-BC86-D5481BD99949}" destId="{D0B772E8-11EA-4B8B-8FB6-2A57AAA62AE7}" srcOrd="2" destOrd="0" presId="urn:microsoft.com/office/officeart/2008/layout/VerticalCurvedList"/>
    <dgm:cxn modelId="{CF8AA398-A363-43A7-A1F8-6B45D2CECFC1}" type="presParOf" srcId="{D0B772E8-11EA-4B8B-8FB6-2A57AAA62AE7}" destId="{A3B23BCF-84E0-474C-96C5-07C4633FA6AF}" srcOrd="0" destOrd="0" presId="urn:microsoft.com/office/officeart/2008/layout/VerticalCurvedList"/>
  </dgm:cxnLst>
  <dgm:bg/>
  <dgm:whole/>
  <dgm:extLst>
    <a:ext uri="http://schemas.microsoft.com/office/drawing/2008/diagram">
      <dsp:dataModelExt xmlns:dsp="http://schemas.microsoft.com/office/drawing/2008/diagram" relId="rId193"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A269AC57-C6EC-4D2C-96E2-1F0B0942543B}">
      <dgm:prSet phldrT="[Text]" custT="1"/>
      <dgm:spPr>
        <a:solidFill>
          <a:schemeClr val="accent3"/>
        </a:solidFill>
      </dgm:spPr>
      <dgm:t>
        <a:bodyPr/>
        <a:lstStyle/>
        <a:p>
          <a:pPr algn="l"/>
          <a:r>
            <a:rPr lang="en-GB" sz="1050" b="1">
              <a:solidFill>
                <a:schemeClr val="bg1"/>
              </a:solidFill>
            </a:rPr>
            <a:t>Partner Courts </a:t>
          </a:r>
          <a:r>
            <a:rPr lang="en-AU" sz="1050" b="1">
              <a:solidFill>
                <a:schemeClr val="bg1"/>
              </a:solidFill>
            </a:rPr>
            <a:t> </a:t>
          </a:r>
          <a:r>
            <a:rPr lang="en-AU" sz="1050" b="1"/>
            <a:t>operate with a higher level of professionalism</a:t>
          </a:r>
          <a:endParaRPr lang="en-US" sz="1050" b="1">
            <a:latin typeface="+mn-lt"/>
          </a:endParaRPr>
        </a:p>
      </dgm:t>
    </dgm:pt>
    <dgm:pt modelId="{1A15991C-D3C2-4384-96A3-E6678B6872E7}" type="parTrans" cxnId="{96C7084F-70A6-4D21-A825-87CFD2B7B1AF}">
      <dgm:prSet/>
      <dgm:spPr/>
      <dgm:t>
        <a:bodyPr/>
        <a:lstStyle/>
        <a:p>
          <a:pPr algn="l"/>
          <a:endParaRPr lang="en-US"/>
        </a:p>
      </dgm:t>
    </dgm:pt>
    <dgm:pt modelId="{2D4E608D-542C-43BA-8DD1-248F90CB8676}" type="sibTrans" cxnId="{96C7084F-70A6-4D21-A825-87CFD2B7B1AF}">
      <dgm:prSet/>
      <dgm:spPr>
        <a:ln>
          <a:solidFill>
            <a:schemeClr val="accent4"/>
          </a:solidFill>
        </a:ln>
      </dgm:spPr>
      <dgm:t>
        <a:bodyPr/>
        <a:lstStyle/>
        <a:p>
          <a:pPr algn="l"/>
          <a:endParaRPr lang="en-US"/>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86A1D0EC-AEC5-4F7C-BA6D-EB8BF393DDEA}" type="pres">
      <dgm:prSet presAssocID="{A269AC57-C6EC-4D2C-96E2-1F0B0942543B}" presName="text_1" presStyleLbl="node1" presStyleIdx="0" presStyleCnt="1" custScaleX="99287" custScaleY="100940">
        <dgm:presLayoutVars>
          <dgm:bulletEnabled val="1"/>
        </dgm:presLayoutVars>
      </dgm:prSet>
      <dgm:spPr/>
      <dgm:t>
        <a:bodyPr/>
        <a:lstStyle/>
        <a:p>
          <a:endParaRPr lang="en-US"/>
        </a:p>
      </dgm:t>
    </dgm:pt>
    <dgm:pt modelId="{6A72A15A-093C-47FA-A7C7-0F61E67C5987}" type="pres">
      <dgm:prSet presAssocID="{A269AC57-C6EC-4D2C-96E2-1F0B0942543B}" presName="accent_1" presStyleCnt="0"/>
      <dgm:spPr/>
    </dgm:pt>
    <dgm:pt modelId="{24EA14C5-92BF-422F-A387-255732329B91}" type="pres">
      <dgm:prSet presAssocID="{A269AC57-C6EC-4D2C-96E2-1F0B0942543B}" presName="accentRepeatNode" presStyleLbl="solidFgAcc1" presStyleIdx="0" presStyleCnt="1"/>
      <dgm:spPr/>
    </dgm:pt>
  </dgm:ptLst>
  <dgm:cxnLst>
    <dgm:cxn modelId="{102A6443-7AF2-4949-8CA1-49079E1FBA2D}" type="presOf" srcId="{F2D0D1CE-24AB-4371-96E9-88259E53BB70}" destId="{09150CA2-98AA-4FF2-9F65-0A747E8A25C2}" srcOrd="0" destOrd="0" presId="urn:microsoft.com/office/officeart/2008/layout/VerticalCurvedList"/>
    <dgm:cxn modelId="{96C7084F-70A6-4D21-A825-87CFD2B7B1AF}" srcId="{F2D0D1CE-24AB-4371-96E9-88259E53BB70}" destId="{A269AC57-C6EC-4D2C-96E2-1F0B0942543B}" srcOrd="0" destOrd="0" parTransId="{1A15991C-D3C2-4384-96A3-E6678B6872E7}" sibTransId="{2D4E608D-542C-43BA-8DD1-248F90CB8676}"/>
    <dgm:cxn modelId="{13B5B30E-08E8-4ACF-9B15-895D4E6FB6CD}" type="presOf" srcId="{A269AC57-C6EC-4D2C-96E2-1F0B0942543B}" destId="{86A1D0EC-AEC5-4F7C-BA6D-EB8BF393DDEA}" srcOrd="0" destOrd="0" presId="urn:microsoft.com/office/officeart/2008/layout/VerticalCurvedList"/>
    <dgm:cxn modelId="{E994EFE1-CFA6-47C2-996C-A1A35E15057A}" type="presOf" srcId="{2D4E608D-542C-43BA-8DD1-248F90CB8676}" destId="{51BD7295-9A67-456A-9D8C-AAA96416EFDB}" srcOrd="0" destOrd="0" presId="urn:microsoft.com/office/officeart/2008/layout/VerticalCurvedList"/>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A778CE30-4AF4-47A4-9BF5-D789416FC0CA}" type="presParOf" srcId="{F6BB7C7A-C219-4B48-BC86-D5481BD99949}" destId="{86A1D0EC-AEC5-4F7C-BA6D-EB8BF393DDEA}" srcOrd="1" destOrd="0" presId="urn:microsoft.com/office/officeart/2008/layout/VerticalCurvedList"/>
    <dgm:cxn modelId="{ED58C2C2-2FFB-4159-83E0-95E0967C624F}" type="presParOf" srcId="{F6BB7C7A-C219-4B48-BC86-D5481BD99949}" destId="{6A72A15A-093C-47FA-A7C7-0F61E67C5987}" srcOrd="2" destOrd="0" presId="urn:microsoft.com/office/officeart/2008/layout/VerticalCurvedList"/>
    <dgm:cxn modelId="{FDA19C3D-566A-45D8-901C-A3522D9873DD}" type="presParOf" srcId="{6A72A15A-093C-47FA-A7C7-0F61E67C5987}" destId="{24EA14C5-92BF-422F-A387-255732329B91}" srcOrd="0" destOrd="0" presId="urn:microsoft.com/office/officeart/2008/layout/VerticalCurvedList"/>
  </dgm:cxnLst>
  <dgm:bg/>
  <dgm:whole/>
  <dgm:extLst>
    <a:ext uri="http://schemas.microsoft.com/office/drawing/2008/diagram">
      <dsp:dataModelExt xmlns:dsp="http://schemas.microsoft.com/office/drawing/2008/diagram" relId="rId198"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CB8F5B1A-0B98-4B94-B570-50D50335E177}">
      <dgm:prSet custT="1"/>
      <dgm:spPr>
        <a:solidFill>
          <a:schemeClr val="accent4"/>
        </a:solidFill>
      </dgm:spPr>
      <dgm:t>
        <a:bodyPr/>
        <a:lstStyle/>
        <a:p>
          <a:pPr algn="l"/>
          <a:r>
            <a:rPr lang="en-GB" sz="1050" b="1">
              <a:solidFill>
                <a:schemeClr val="bg1"/>
              </a:solidFill>
            </a:rPr>
            <a:t>Partner Courts </a:t>
          </a:r>
          <a:r>
            <a:rPr lang="en-AU" sz="1050" b="1"/>
            <a:t>exhibit more responsive &amp; just behaviour &amp; treatment that is fair &amp; reasonable </a:t>
          </a:r>
          <a:endParaRPr lang="en-US" sz="1050" b="1">
            <a:latin typeface="+mn-lt"/>
          </a:endParaRPr>
        </a:p>
      </dgm:t>
    </dgm:pt>
    <dgm:pt modelId="{A22E4161-0F45-485D-A13F-CAE889BAE75B}" type="parTrans" cxnId="{A39EABDC-A949-427B-A846-3BFA6205F49C}">
      <dgm:prSet/>
      <dgm:spPr/>
      <dgm:t>
        <a:bodyPr/>
        <a:lstStyle/>
        <a:p>
          <a:pPr algn="l"/>
          <a:endParaRPr lang="en-US"/>
        </a:p>
      </dgm:t>
    </dgm:pt>
    <dgm:pt modelId="{77026D37-7EBE-4241-AA99-1B1A0C41A6FD}" type="sibTrans" cxnId="{A39EABDC-A949-427B-A846-3BFA6205F49C}">
      <dgm:prSet/>
      <dgm:spPr>
        <a:ln>
          <a:solidFill>
            <a:schemeClr val="accent4"/>
          </a:solidFill>
        </a:ln>
      </dgm:spPr>
      <dgm:t>
        <a:bodyPr/>
        <a:lstStyle/>
        <a:p>
          <a:pPr algn="l"/>
          <a:endParaRPr lang="en-US"/>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custScaleX="100097" custScaleY="100097" custLinFactNeighborX="4861" custLinFactNeighborY="-1620"/>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79973884-F325-4EEF-BAD0-8503D5500AA5}" type="pres">
      <dgm:prSet presAssocID="{CB8F5B1A-0B98-4B94-B570-50D50335E177}" presName="text_1" presStyleLbl="node1" presStyleIdx="0" presStyleCnt="1" custScaleX="100008" custScaleY="101079">
        <dgm:presLayoutVars>
          <dgm:bulletEnabled val="1"/>
        </dgm:presLayoutVars>
      </dgm:prSet>
      <dgm:spPr/>
      <dgm:t>
        <a:bodyPr/>
        <a:lstStyle/>
        <a:p>
          <a:endParaRPr lang="en-US"/>
        </a:p>
      </dgm:t>
    </dgm:pt>
    <dgm:pt modelId="{3E1E3526-8A35-4754-9274-886ABAE1AB16}" type="pres">
      <dgm:prSet presAssocID="{CB8F5B1A-0B98-4B94-B570-50D50335E177}" presName="accent_1" presStyleCnt="0"/>
      <dgm:spPr/>
    </dgm:pt>
    <dgm:pt modelId="{CB4F0D6D-154B-4FBC-9C35-2C90A7489AB4}" type="pres">
      <dgm:prSet presAssocID="{CB8F5B1A-0B98-4B94-B570-50D50335E177}" presName="accentRepeatNode" presStyleLbl="solidFgAcc1" presStyleIdx="0" presStyleCnt="1" custScaleX="100271" custScaleY="100271"/>
      <dgm:spPr/>
    </dgm:pt>
  </dgm:ptLst>
  <dgm:cxnLst>
    <dgm:cxn modelId="{102A6443-7AF2-4949-8CA1-49079E1FBA2D}" type="presOf" srcId="{F2D0D1CE-24AB-4371-96E9-88259E53BB70}" destId="{09150CA2-98AA-4FF2-9F65-0A747E8A25C2}" srcOrd="0" destOrd="0" presId="urn:microsoft.com/office/officeart/2008/layout/VerticalCurvedList"/>
    <dgm:cxn modelId="{A39EABDC-A949-427B-A846-3BFA6205F49C}" srcId="{F2D0D1CE-24AB-4371-96E9-88259E53BB70}" destId="{CB8F5B1A-0B98-4B94-B570-50D50335E177}" srcOrd="0" destOrd="0" parTransId="{A22E4161-0F45-485D-A13F-CAE889BAE75B}" sibTransId="{77026D37-7EBE-4241-AA99-1B1A0C41A6FD}"/>
    <dgm:cxn modelId="{3C2B1AC7-97ED-4760-9678-B1554B430A0A}" type="presOf" srcId="{77026D37-7EBE-4241-AA99-1B1A0C41A6FD}" destId="{51BD7295-9A67-456A-9D8C-AAA96416EFDB}" srcOrd="0" destOrd="0" presId="urn:microsoft.com/office/officeart/2008/layout/VerticalCurvedList"/>
    <dgm:cxn modelId="{3B97FACE-E9EE-4708-9688-B528B005C906}" type="presOf" srcId="{CB8F5B1A-0B98-4B94-B570-50D50335E177}" destId="{79973884-F325-4EEF-BAD0-8503D5500AA5}" srcOrd="0" destOrd="0" presId="urn:microsoft.com/office/officeart/2008/layout/VerticalCurvedList"/>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D30B4633-D1E5-4D0A-9272-299852B0D467}" type="presParOf" srcId="{F6BB7C7A-C219-4B48-BC86-D5481BD99949}" destId="{79973884-F325-4EEF-BAD0-8503D5500AA5}" srcOrd="1" destOrd="0" presId="urn:microsoft.com/office/officeart/2008/layout/VerticalCurvedList"/>
    <dgm:cxn modelId="{221D0C31-B416-4510-9080-EB647444C068}" type="presParOf" srcId="{F6BB7C7A-C219-4B48-BC86-D5481BD99949}" destId="{3E1E3526-8A35-4754-9274-886ABAE1AB16}" srcOrd="2" destOrd="0" presId="urn:microsoft.com/office/officeart/2008/layout/VerticalCurvedList"/>
    <dgm:cxn modelId="{71F721E4-7237-4955-AC92-7AF130DB9629}" type="presParOf" srcId="{3E1E3526-8A35-4754-9274-886ABAE1AB16}" destId="{CB4F0D6D-154B-4FBC-9C35-2C90A7489AB4}" srcOrd="0" destOrd="0" presId="urn:microsoft.com/office/officeart/2008/layout/VerticalCurvedList"/>
  </dgm:cxnLst>
  <dgm:bg/>
  <dgm:whole/>
  <dgm:extLst>
    <a:ext uri="http://schemas.microsoft.com/office/drawing/2008/diagram">
      <dsp:dataModelExt xmlns:dsp="http://schemas.microsoft.com/office/drawing/2008/diagram" relId="rId203"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D9D81254-954D-4C6D-8CBC-23344CCB889A}">
      <dgm:prSet custT="1"/>
      <dgm:spPr>
        <a:solidFill>
          <a:schemeClr val="accent5"/>
        </a:solidFill>
      </dgm:spPr>
      <dgm:t>
        <a:bodyPr/>
        <a:lstStyle/>
        <a:p>
          <a:pPr algn="l"/>
          <a:r>
            <a:rPr lang="en-AU" sz="1050" b="1"/>
            <a:t>Cases are disposed of more efficiently </a:t>
          </a:r>
          <a:endParaRPr lang="en-US" sz="1050" b="1">
            <a:latin typeface="+mn-lt"/>
          </a:endParaRPr>
        </a:p>
      </dgm:t>
    </dgm:pt>
    <dgm:pt modelId="{08DBEA86-B232-4E96-BE93-19928AD609D9}" type="parTrans" cxnId="{6B0154E5-59BD-476D-9A72-4D32B460437A}">
      <dgm:prSet/>
      <dgm:spPr/>
      <dgm:t>
        <a:bodyPr/>
        <a:lstStyle/>
        <a:p>
          <a:pPr algn="l"/>
          <a:endParaRPr lang="en-US"/>
        </a:p>
      </dgm:t>
    </dgm:pt>
    <dgm:pt modelId="{FC9A4DF9-9F0D-43AF-A864-C12CF341BEDB}" type="sibTrans" cxnId="{6B0154E5-59BD-476D-9A72-4D32B460437A}">
      <dgm:prSet/>
      <dgm:spPr>
        <a:ln>
          <a:solidFill>
            <a:schemeClr val="accent4"/>
          </a:solidFill>
        </a:ln>
      </dgm:spPr>
      <dgm:t>
        <a:bodyPr/>
        <a:lstStyle/>
        <a:p>
          <a:pPr algn="l"/>
          <a:endParaRPr lang="en-US"/>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183B8AE2-876C-4967-82E5-1B80E2549D0D}" type="pres">
      <dgm:prSet presAssocID="{D9D81254-954D-4C6D-8CBC-23344CCB889A}" presName="text_1" presStyleLbl="node1" presStyleIdx="0" presStyleCnt="1" custScaleY="101079">
        <dgm:presLayoutVars>
          <dgm:bulletEnabled val="1"/>
        </dgm:presLayoutVars>
      </dgm:prSet>
      <dgm:spPr/>
      <dgm:t>
        <a:bodyPr/>
        <a:lstStyle/>
        <a:p>
          <a:endParaRPr lang="en-US"/>
        </a:p>
      </dgm:t>
    </dgm:pt>
    <dgm:pt modelId="{09F10947-48A0-4F1A-AD77-5ADF728FF5EC}" type="pres">
      <dgm:prSet presAssocID="{D9D81254-954D-4C6D-8CBC-23344CCB889A}" presName="accent_1" presStyleCnt="0"/>
      <dgm:spPr/>
    </dgm:pt>
    <dgm:pt modelId="{65B42504-BA7A-4DC7-9039-5B2FB3D6AF35}" type="pres">
      <dgm:prSet presAssocID="{D9D81254-954D-4C6D-8CBC-23344CCB889A}" presName="accentRepeatNode" presStyleLbl="solidFgAcc1" presStyleIdx="0" presStyleCnt="1"/>
      <dgm:spPr/>
    </dgm:pt>
  </dgm:ptLst>
  <dgm:cxnLst>
    <dgm:cxn modelId="{6B0154E5-59BD-476D-9A72-4D32B460437A}" srcId="{F2D0D1CE-24AB-4371-96E9-88259E53BB70}" destId="{D9D81254-954D-4C6D-8CBC-23344CCB889A}" srcOrd="0" destOrd="0" parTransId="{08DBEA86-B232-4E96-BE93-19928AD609D9}" sibTransId="{FC9A4DF9-9F0D-43AF-A864-C12CF341BEDB}"/>
    <dgm:cxn modelId="{99BF3C9A-3A55-4150-BE7F-A0BA692D6D7A}" type="presOf" srcId="{D9D81254-954D-4C6D-8CBC-23344CCB889A}" destId="{183B8AE2-876C-4967-82E5-1B80E2549D0D}" srcOrd="0" destOrd="0" presId="urn:microsoft.com/office/officeart/2008/layout/VerticalCurvedList"/>
    <dgm:cxn modelId="{533C024C-7127-4EDA-B58D-702730E24C55}" type="presOf" srcId="{FC9A4DF9-9F0D-43AF-A864-C12CF341BEDB}" destId="{51BD7295-9A67-456A-9D8C-AAA96416EFDB}" srcOrd="0" destOrd="0" presId="urn:microsoft.com/office/officeart/2008/layout/VerticalCurvedList"/>
    <dgm:cxn modelId="{102A6443-7AF2-4949-8CA1-49079E1FBA2D}" type="presOf" srcId="{F2D0D1CE-24AB-4371-96E9-88259E53BB70}" destId="{09150CA2-98AA-4FF2-9F65-0A747E8A25C2}" srcOrd="0" destOrd="0" presId="urn:microsoft.com/office/officeart/2008/layout/VerticalCurvedList"/>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E82F86C0-97D7-4272-9F96-4F0F4980B722}" type="presParOf" srcId="{F6BB7C7A-C219-4B48-BC86-D5481BD99949}" destId="{183B8AE2-876C-4967-82E5-1B80E2549D0D}" srcOrd="1" destOrd="0" presId="urn:microsoft.com/office/officeart/2008/layout/VerticalCurvedList"/>
    <dgm:cxn modelId="{77A18F21-B04B-4FB7-8E90-210AE2E4EF97}" type="presParOf" srcId="{F6BB7C7A-C219-4B48-BC86-D5481BD99949}" destId="{09F10947-48A0-4F1A-AD77-5ADF728FF5EC}" srcOrd="2" destOrd="0" presId="urn:microsoft.com/office/officeart/2008/layout/VerticalCurvedList"/>
    <dgm:cxn modelId="{C75776FC-655F-497A-94EF-75AC7B7C1AFD}" type="presParOf" srcId="{09F10947-48A0-4F1A-AD77-5ADF728FF5EC}" destId="{65B42504-BA7A-4DC7-9039-5B2FB3D6AF35}" srcOrd="0" destOrd="0" presId="urn:microsoft.com/office/officeart/2008/layout/VerticalCurvedList"/>
  </dgm:cxnLst>
  <dgm:bg/>
  <dgm:whole>
    <a:ln>
      <a:noFill/>
    </a:ln>
  </dgm:whole>
  <dgm:extLst>
    <a:ext uri="http://schemas.microsoft.com/office/drawing/2008/diagram">
      <dsp:dataModelExt xmlns:dsp="http://schemas.microsoft.com/office/drawing/2008/diagram" relId="rId20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2" csCatId="colorful" phldr="1"/>
      <dgm:spPr/>
      <dgm:t>
        <a:bodyPr/>
        <a:lstStyle/>
        <a:p>
          <a:endParaRPr lang="en-US"/>
        </a:p>
      </dgm:t>
    </dgm:pt>
    <dgm:pt modelId="{17A3BD22-B542-4E72-9A8E-ECC494103A79}">
      <dgm:prSet phldrT="[Text]" custT="1"/>
      <dgm:spPr/>
      <dgm:t>
        <a:bodyPr/>
        <a:lstStyle/>
        <a:p>
          <a:pPr algn="l"/>
          <a:r>
            <a:rPr lang="en-US" sz="1050" b="1">
              <a:latin typeface="+mn-lt"/>
            </a:rPr>
            <a:t>Courts lead and manage change locally</a:t>
          </a: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a:ln>
          <a:solidFill>
            <a:schemeClr val="tx2"/>
          </a:solidFill>
        </a:ln>
      </dgm:spPr>
      <dgm:t>
        <a:bodyPr/>
        <a:lstStyle/>
        <a:p>
          <a:pPr algn="l"/>
          <a:endParaRPr lang="en-US" sz="1050" b="1">
            <a:latin typeface="+mn-lt"/>
          </a:endParaRPr>
        </a:p>
      </dgm:t>
    </dgm:pt>
    <dgm:pt modelId="{10B9937C-93CB-46D3-8D95-85FEC89AD626}">
      <dgm:prSet phldrT="[Text]" custT="1"/>
      <dgm:spPr>
        <a:solidFill>
          <a:schemeClr val="accent1"/>
        </a:solidFill>
      </dgm:spPr>
      <dgm:t>
        <a:bodyPr/>
        <a:lstStyle/>
        <a:p>
          <a:pPr algn="l"/>
          <a:r>
            <a:rPr lang="en-GB" sz="1050" b="1">
              <a:latin typeface="+mn-lt"/>
            </a:rPr>
            <a:t>Marginalised and vulnerable groups access justice </a:t>
          </a:r>
          <a:endParaRPr lang="en-US" sz="1050" b="1">
            <a:latin typeface="+mn-lt"/>
          </a:endParaRPr>
        </a:p>
      </dgm:t>
    </dgm:pt>
    <dgm:pt modelId="{24D17286-90F0-4A85-B560-B18352DAD1AF}" type="parTrans" cxnId="{A5894B21-8155-4E0C-84A1-8809948635E2}">
      <dgm:prSet/>
      <dgm:spPr/>
      <dgm:t>
        <a:bodyPr/>
        <a:lstStyle/>
        <a:p>
          <a:pPr algn="l"/>
          <a:endParaRPr lang="en-US"/>
        </a:p>
      </dgm:t>
    </dgm:pt>
    <dgm:pt modelId="{F9A5371B-84AA-4756-A764-DA9C77B634B3}" type="sibTrans" cxnId="{A5894B21-8155-4E0C-84A1-8809948635E2}">
      <dgm:prSet/>
      <dgm:spPr/>
      <dgm:t>
        <a:bodyPr/>
        <a:lstStyle/>
        <a:p>
          <a:pPr algn="l"/>
          <a:endParaRPr lang="en-US"/>
        </a:p>
      </dgm:t>
    </dgm:pt>
    <dgm:pt modelId="{A269AC57-C6EC-4D2C-96E2-1F0B0942543B}">
      <dgm:prSet phldrT="[Text]" custT="1"/>
      <dgm:spPr>
        <a:solidFill>
          <a:schemeClr val="accent3"/>
        </a:solidFill>
      </dgm:spPr>
      <dgm:t>
        <a:bodyPr/>
        <a:lstStyle/>
        <a:p>
          <a:pPr algn="l"/>
          <a:r>
            <a:rPr lang="en-GB" sz="1050" b="1">
              <a:latin typeface="+mn-lt"/>
            </a:rPr>
            <a:t>Courts operate with professionalism</a:t>
          </a:r>
          <a:endParaRPr lang="en-US" sz="1050" b="1">
            <a:latin typeface="+mn-lt"/>
          </a:endParaRPr>
        </a:p>
      </dgm:t>
    </dgm:pt>
    <dgm:pt modelId="{1A15991C-D3C2-4384-96A3-E6678B6872E7}" type="parTrans" cxnId="{96C7084F-70A6-4D21-A825-87CFD2B7B1AF}">
      <dgm:prSet/>
      <dgm:spPr/>
      <dgm:t>
        <a:bodyPr/>
        <a:lstStyle/>
        <a:p>
          <a:pPr algn="l"/>
          <a:endParaRPr lang="en-US"/>
        </a:p>
      </dgm:t>
    </dgm:pt>
    <dgm:pt modelId="{2D4E608D-542C-43BA-8DD1-248F90CB8676}" type="sibTrans" cxnId="{96C7084F-70A6-4D21-A825-87CFD2B7B1AF}">
      <dgm:prSet/>
      <dgm:spPr/>
      <dgm:t>
        <a:bodyPr/>
        <a:lstStyle/>
        <a:p>
          <a:pPr algn="l"/>
          <a:endParaRPr lang="en-US"/>
        </a:p>
      </dgm:t>
    </dgm:pt>
    <dgm:pt modelId="{CB8F5B1A-0B98-4B94-B570-50D50335E177}">
      <dgm:prSet custT="1"/>
      <dgm:spPr>
        <a:solidFill>
          <a:schemeClr val="accent4"/>
        </a:solidFill>
      </dgm:spPr>
      <dgm:t>
        <a:bodyPr/>
        <a:lstStyle/>
        <a:p>
          <a:pPr algn="l"/>
          <a:r>
            <a:rPr lang="en-US" sz="1050" b="1">
              <a:latin typeface="+mn-lt"/>
            </a:rPr>
            <a:t>Courts are responsive and fair</a:t>
          </a:r>
        </a:p>
      </dgm:t>
    </dgm:pt>
    <dgm:pt modelId="{A22E4161-0F45-485D-A13F-CAE889BAE75B}" type="parTrans" cxnId="{A39EABDC-A949-427B-A846-3BFA6205F49C}">
      <dgm:prSet/>
      <dgm:spPr/>
      <dgm:t>
        <a:bodyPr/>
        <a:lstStyle/>
        <a:p>
          <a:pPr algn="l"/>
          <a:endParaRPr lang="en-US"/>
        </a:p>
      </dgm:t>
    </dgm:pt>
    <dgm:pt modelId="{77026D37-7EBE-4241-AA99-1B1A0C41A6FD}" type="sibTrans" cxnId="{A39EABDC-A949-427B-A846-3BFA6205F49C}">
      <dgm:prSet/>
      <dgm:spPr/>
      <dgm:t>
        <a:bodyPr/>
        <a:lstStyle/>
        <a:p>
          <a:pPr algn="l"/>
          <a:endParaRPr lang="en-US"/>
        </a:p>
      </dgm:t>
    </dgm:pt>
    <dgm:pt modelId="{D9D81254-954D-4C6D-8CBC-23344CCB889A}">
      <dgm:prSet custT="1"/>
      <dgm:spPr>
        <a:solidFill>
          <a:schemeClr val="accent5"/>
        </a:solidFill>
      </dgm:spPr>
      <dgm:t>
        <a:bodyPr/>
        <a:lstStyle/>
        <a:p>
          <a:pPr algn="l"/>
          <a:r>
            <a:rPr lang="en-US" sz="1050" b="1">
              <a:latin typeface="+mn-lt"/>
            </a:rPr>
            <a:t>Courts perform efficiently and accountably</a:t>
          </a:r>
        </a:p>
      </dgm:t>
    </dgm:pt>
    <dgm:pt modelId="{08DBEA86-B232-4E96-BE93-19928AD609D9}" type="parTrans" cxnId="{6B0154E5-59BD-476D-9A72-4D32B460437A}">
      <dgm:prSet/>
      <dgm:spPr/>
      <dgm:t>
        <a:bodyPr/>
        <a:lstStyle/>
        <a:p>
          <a:pPr algn="l"/>
          <a:endParaRPr lang="en-US"/>
        </a:p>
      </dgm:t>
    </dgm:pt>
    <dgm:pt modelId="{FC9A4DF9-9F0D-43AF-A864-C12CF341BEDB}" type="sibTrans" cxnId="{6B0154E5-59BD-476D-9A72-4D32B460437A}">
      <dgm:prSet/>
      <dgm:spPr/>
      <dgm:t>
        <a:bodyPr/>
        <a:lstStyle/>
        <a:p>
          <a:pPr algn="l"/>
          <a:endParaRPr lang="en-US"/>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5"/>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5"/>
      <dgm:spPr/>
    </dgm:pt>
    <dgm:pt modelId="{322378CA-952B-4EC3-86AA-A0AD694F3072}" type="pres">
      <dgm:prSet presAssocID="{F2D0D1CE-24AB-4371-96E9-88259E53BB70}" presName="dstNode" presStyleLbl="node1" presStyleIdx="0" presStyleCnt="5"/>
      <dgm:spPr/>
    </dgm:pt>
    <dgm:pt modelId="{BEE7D273-0179-4E54-9D7B-B153A0FEDCFA}" type="pres">
      <dgm:prSet presAssocID="{17A3BD22-B542-4E72-9A8E-ECC494103A79}" presName="text_1" presStyleLbl="node1" presStyleIdx="0" presStyleCnt="5" custScaleY="104684">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5"/>
      <dgm:spPr>
        <a:ln>
          <a:solidFill>
            <a:schemeClr val="accent2"/>
          </a:solidFill>
        </a:ln>
      </dgm:spPr>
    </dgm:pt>
    <dgm:pt modelId="{01EBFA57-CAAA-4BA4-A7E2-43D20A04DA02}" type="pres">
      <dgm:prSet presAssocID="{10B9937C-93CB-46D3-8D95-85FEC89AD626}" presName="text_2" presStyleLbl="node1" presStyleIdx="1" presStyleCnt="5" custScaleY="104684">
        <dgm:presLayoutVars>
          <dgm:bulletEnabled val="1"/>
        </dgm:presLayoutVars>
      </dgm:prSet>
      <dgm:spPr/>
      <dgm:t>
        <a:bodyPr/>
        <a:lstStyle/>
        <a:p>
          <a:endParaRPr lang="en-US"/>
        </a:p>
      </dgm:t>
    </dgm:pt>
    <dgm:pt modelId="{A73A99F7-1BE9-49F8-BFFF-19D9ED76FF27}" type="pres">
      <dgm:prSet presAssocID="{10B9937C-93CB-46D3-8D95-85FEC89AD626}" presName="accent_2" presStyleCnt="0"/>
      <dgm:spPr/>
    </dgm:pt>
    <dgm:pt modelId="{A3B23BCF-84E0-474C-96C5-07C4633FA6AF}" type="pres">
      <dgm:prSet presAssocID="{10B9937C-93CB-46D3-8D95-85FEC89AD626}" presName="accentRepeatNode" presStyleLbl="solidFgAcc1" presStyleIdx="1" presStyleCnt="5"/>
      <dgm:spPr>
        <a:ln>
          <a:solidFill>
            <a:schemeClr val="accent1"/>
          </a:solidFill>
        </a:ln>
      </dgm:spPr>
    </dgm:pt>
    <dgm:pt modelId="{1769C5D7-0580-449E-A260-03DEC7B0B164}" type="pres">
      <dgm:prSet presAssocID="{A269AC57-C6EC-4D2C-96E2-1F0B0942543B}" presName="text_3" presStyleLbl="node1" presStyleIdx="2" presStyleCnt="5" custScaleY="104684">
        <dgm:presLayoutVars>
          <dgm:bulletEnabled val="1"/>
        </dgm:presLayoutVars>
      </dgm:prSet>
      <dgm:spPr/>
      <dgm:t>
        <a:bodyPr/>
        <a:lstStyle/>
        <a:p>
          <a:endParaRPr lang="en-US"/>
        </a:p>
      </dgm:t>
    </dgm:pt>
    <dgm:pt modelId="{D1B7F591-7C0E-4489-B8E1-A016CEF40019}" type="pres">
      <dgm:prSet presAssocID="{A269AC57-C6EC-4D2C-96E2-1F0B0942543B}" presName="accent_3" presStyleCnt="0"/>
      <dgm:spPr/>
    </dgm:pt>
    <dgm:pt modelId="{24EA14C5-92BF-422F-A387-255732329B91}" type="pres">
      <dgm:prSet presAssocID="{A269AC57-C6EC-4D2C-96E2-1F0B0942543B}" presName="accentRepeatNode" presStyleLbl="solidFgAcc1" presStyleIdx="2" presStyleCnt="5"/>
      <dgm:spPr>
        <a:ln>
          <a:solidFill>
            <a:schemeClr val="accent3"/>
          </a:solidFill>
        </a:ln>
      </dgm:spPr>
    </dgm:pt>
    <dgm:pt modelId="{1280A47C-F741-44EB-9EB3-21D27EB0AECC}" type="pres">
      <dgm:prSet presAssocID="{CB8F5B1A-0B98-4B94-B570-50D50335E177}" presName="text_4" presStyleLbl="node1" presStyleIdx="3" presStyleCnt="5" custScaleY="104684">
        <dgm:presLayoutVars>
          <dgm:bulletEnabled val="1"/>
        </dgm:presLayoutVars>
      </dgm:prSet>
      <dgm:spPr/>
      <dgm:t>
        <a:bodyPr/>
        <a:lstStyle/>
        <a:p>
          <a:endParaRPr lang="en-US"/>
        </a:p>
      </dgm:t>
    </dgm:pt>
    <dgm:pt modelId="{50B6F33F-81A6-4AFC-ABB6-C019E5F5B937}" type="pres">
      <dgm:prSet presAssocID="{CB8F5B1A-0B98-4B94-B570-50D50335E177}" presName="accent_4" presStyleCnt="0"/>
      <dgm:spPr/>
    </dgm:pt>
    <dgm:pt modelId="{CB4F0D6D-154B-4FBC-9C35-2C90A7489AB4}" type="pres">
      <dgm:prSet presAssocID="{CB8F5B1A-0B98-4B94-B570-50D50335E177}" presName="accentRepeatNode" presStyleLbl="solidFgAcc1" presStyleIdx="3" presStyleCnt="5"/>
      <dgm:spPr>
        <a:ln>
          <a:solidFill>
            <a:schemeClr val="accent4"/>
          </a:solidFill>
        </a:ln>
      </dgm:spPr>
    </dgm:pt>
    <dgm:pt modelId="{C6015832-7B2D-49AC-AE83-766767547BFC}" type="pres">
      <dgm:prSet presAssocID="{D9D81254-954D-4C6D-8CBC-23344CCB889A}" presName="text_5" presStyleLbl="node1" presStyleIdx="4" presStyleCnt="5" custScaleY="104684">
        <dgm:presLayoutVars>
          <dgm:bulletEnabled val="1"/>
        </dgm:presLayoutVars>
      </dgm:prSet>
      <dgm:spPr/>
      <dgm:t>
        <a:bodyPr/>
        <a:lstStyle/>
        <a:p>
          <a:endParaRPr lang="en-US"/>
        </a:p>
      </dgm:t>
    </dgm:pt>
    <dgm:pt modelId="{628356E3-A31D-46A0-8BC2-5F06583D8BB0}" type="pres">
      <dgm:prSet presAssocID="{D9D81254-954D-4C6D-8CBC-23344CCB889A}" presName="accent_5" presStyleCnt="0"/>
      <dgm:spPr/>
    </dgm:pt>
    <dgm:pt modelId="{65B42504-BA7A-4DC7-9039-5B2FB3D6AF35}" type="pres">
      <dgm:prSet presAssocID="{D9D81254-954D-4C6D-8CBC-23344CCB889A}" presName="accentRepeatNode" presStyleLbl="solidFgAcc1" presStyleIdx="4" presStyleCnt="5"/>
      <dgm:spPr>
        <a:ln>
          <a:solidFill>
            <a:schemeClr val="accent5"/>
          </a:solidFill>
        </a:ln>
      </dgm:spPr>
    </dgm:pt>
  </dgm:ptLst>
  <dgm:cxnLst>
    <dgm:cxn modelId="{DCEBB0E3-B686-4BFB-A89F-4DB7C0DB9998}" type="presOf" srcId="{A269AC57-C6EC-4D2C-96E2-1F0B0942543B}" destId="{1769C5D7-0580-449E-A260-03DEC7B0B164}" srcOrd="0" destOrd="0" presId="urn:microsoft.com/office/officeart/2008/layout/VerticalCurvedList"/>
    <dgm:cxn modelId="{96C7084F-70A6-4D21-A825-87CFD2B7B1AF}" srcId="{F2D0D1CE-24AB-4371-96E9-88259E53BB70}" destId="{A269AC57-C6EC-4D2C-96E2-1F0B0942543B}" srcOrd="2" destOrd="0" parTransId="{1A15991C-D3C2-4384-96A3-E6678B6872E7}" sibTransId="{2D4E608D-542C-43BA-8DD1-248F90CB8676}"/>
    <dgm:cxn modelId="{DD8A469F-B934-43CD-ADE4-0FCF8E5D7AE7}" type="presOf" srcId="{D9D81254-954D-4C6D-8CBC-23344CCB889A}" destId="{C6015832-7B2D-49AC-AE83-766767547BFC}" srcOrd="0" destOrd="0" presId="urn:microsoft.com/office/officeart/2008/layout/VerticalCurvedList"/>
    <dgm:cxn modelId="{A5894B21-8155-4E0C-84A1-8809948635E2}" srcId="{F2D0D1CE-24AB-4371-96E9-88259E53BB70}" destId="{10B9937C-93CB-46D3-8D95-85FEC89AD626}" srcOrd="1" destOrd="0" parTransId="{24D17286-90F0-4A85-B560-B18352DAD1AF}" sibTransId="{F9A5371B-84AA-4756-A764-DA9C77B634B3}"/>
    <dgm:cxn modelId="{028B6314-E078-4BAD-B9EA-6679B01408F3}" type="presOf" srcId="{10B9937C-93CB-46D3-8D95-85FEC89AD626}" destId="{01EBFA57-CAAA-4BA4-A7E2-43D20A04DA02}" srcOrd="0" destOrd="0" presId="urn:microsoft.com/office/officeart/2008/layout/VerticalCurvedList"/>
    <dgm:cxn modelId="{5F836DAC-A4A3-4C96-8D29-E485C0443AB2}" type="presOf" srcId="{CB8F5B1A-0B98-4B94-B570-50D50335E177}" destId="{1280A47C-F741-44EB-9EB3-21D27EB0AECC}"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A39EABDC-A949-427B-A846-3BFA6205F49C}" srcId="{F2D0D1CE-24AB-4371-96E9-88259E53BB70}" destId="{CB8F5B1A-0B98-4B94-B570-50D50335E177}" srcOrd="3" destOrd="0" parTransId="{A22E4161-0F45-485D-A13F-CAE889BAE75B}" sibTransId="{77026D37-7EBE-4241-AA99-1B1A0C41A6FD}"/>
    <dgm:cxn modelId="{6B0154E5-59BD-476D-9A72-4D32B460437A}" srcId="{F2D0D1CE-24AB-4371-96E9-88259E53BB70}" destId="{D9D81254-954D-4C6D-8CBC-23344CCB889A}" srcOrd="4" destOrd="0" parTransId="{08DBEA86-B232-4E96-BE93-19928AD609D9}" sibTransId="{FC9A4DF9-9F0D-43AF-A864-C12CF341BEDB}"/>
    <dgm:cxn modelId="{6974016A-CC95-4A5C-A0B8-24631DC459A3}" srcId="{F2D0D1CE-24AB-4371-96E9-88259E53BB70}" destId="{17A3BD22-B542-4E72-9A8E-ECC494103A79}" srcOrd="0" destOrd="0" parTransId="{5BE07069-57EC-45B8-B825-0336EE91FAA2}" sibTransId="{10D42C03-2F1E-4E96-A560-787949BC8597}"/>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 modelId="{0BE12084-7FD5-4EBD-BF54-3BBFB3050705}" type="presParOf" srcId="{F6BB7C7A-C219-4B48-BC86-D5481BD99949}" destId="{01EBFA57-CAAA-4BA4-A7E2-43D20A04DA02}" srcOrd="3" destOrd="0" presId="urn:microsoft.com/office/officeart/2008/layout/VerticalCurvedList"/>
    <dgm:cxn modelId="{3D12DF4D-E52C-4274-8EBC-6E5526F19448}" type="presParOf" srcId="{F6BB7C7A-C219-4B48-BC86-D5481BD99949}" destId="{A73A99F7-1BE9-49F8-BFFF-19D9ED76FF27}" srcOrd="4" destOrd="0" presId="urn:microsoft.com/office/officeart/2008/layout/VerticalCurvedList"/>
    <dgm:cxn modelId="{2D77C442-967B-46D0-943E-3B390AD85C31}" type="presParOf" srcId="{A73A99F7-1BE9-49F8-BFFF-19D9ED76FF27}" destId="{A3B23BCF-84E0-474C-96C5-07C4633FA6AF}" srcOrd="0" destOrd="0" presId="urn:microsoft.com/office/officeart/2008/layout/VerticalCurvedList"/>
    <dgm:cxn modelId="{FED376D3-5E47-44D2-8F64-C87C6032BD16}" type="presParOf" srcId="{F6BB7C7A-C219-4B48-BC86-D5481BD99949}" destId="{1769C5D7-0580-449E-A260-03DEC7B0B164}" srcOrd="5" destOrd="0" presId="urn:microsoft.com/office/officeart/2008/layout/VerticalCurvedList"/>
    <dgm:cxn modelId="{7014FE76-52FE-4363-8BB3-42BAB1702039}" type="presParOf" srcId="{F6BB7C7A-C219-4B48-BC86-D5481BD99949}" destId="{D1B7F591-7C0E-4489-B8E1-A016CEF40019}" srcOrd="6" destOrd="0" presId="urn:microsoft.com/office/officeart/2008/layout/VerticalCurvedList"/>
    <dgm:cxn modelId="{CF7015D9-1A82-4976-9136-DBE182538CAB}" type="presParOf" srcId="{D1B7F591-7C0E-4489-B8E1-A016CEF40019}" destId="{24EA14C5-92BF-422F-A387-255732329B91}" srcOrd="0" destOrd="0" presId="urn:microsoft.com/office/officeart/2008/layout/VerticalCurvedList"/>
    <dgm:cxn modelId="{B2A9E709-F82A-4012-8637-F6EA96A0A83F}" type="presParOf" srcId="{F6BB7C7A-C219-4B48-BC86-D5481BD99949}" destId="{1280A47C-F741-44EB-9EB3-21D27EB0AECC}" srcOrd="7" destOrd="0" presId="urn:microsoft.com/office/officeart/2008/layout/VerticalCurvedList"/>
    <dgm:cxn modelId="{0777BB27-9321-4C6F-9E60-840542313A56}" type="presParOf" srcId="{F6BB7C7A-C219-4B48-BC86-D5481BD99949}" destId="{50B6F33F-81A6-4AFC-ABB6-C019E5F5B937}" srcOrd="8" destOrd="0" presId="urn:microsoft.com/office/officeart/2008/layout/VerticalCurvedList"/>
    <dgm:cxn modelId="{BAAFE3CC-82BE-49B5-9D38-93B70E9239CB}" type="presParOf" srcId="{50B6F33F-81A6-4AFC-ABB6-C019E5F5B937}" destId="{CB4F0D6D-154B-4FBC-9C35-2C90A7489AB4}" srcOrd="0" destOrd="0" presId="urn:microsoft.com/office/officeart/2008/layout/VerticalCurvedList"/>
    <dgm:cxn modelId="{661ED6F3-31CA-46A1-909B-B9C1AAC86055}" type="presParOf" srcId="{F6BB7C7A-C219-4B48-BC86-D5481BD99949}" destId="{C6015832-7B2D-49AC-AE83-766767547BFC}" srcOrd="9" destOrd="0" presId="urn:microsoft.com/office/officeart/2008/layout/VerticalCurvedList"/>
    <dgm:cxn modelId="{7D286192-673C-45DA-859B-F595E647F920}" type="presParOf" srcId="{F6BB7C7A-C219-4B48-BC86-D5481BD99949}" destId="{628356E3-A31D-46A0-8BC2-5F06583D8BB0}" srcOrd="10" destOrd="0" presId="urn:microsoft.com/office/officeart/2008/layout/VerticalCurvedList"/>
    <dgm:cxn modelId="{E637178F-ACAA-4308-A002-1ADA25702291}" type="presParOf" srcId="{628356E3-A31D-46A0-8BC2-5F06583D8BB0}" destId="{65B42504-BA7A-4DC7-9039-5B2FB3D6AF35}" srcOrd="0" destOrd="0" presId="urn:microsoft.com/office/officeart/2008/layout/VerticalCurvedList"/>
  </dgm:cxnLst>
  <dgm:bg/>
  <dgm:whole/>
  <dgm:extLst>
    <a:ext uri="http://schemas.microsoft.com/office/drawing/2008/diagram">
      <dsp:dataModelExt xmlns:dsp="http://schemas.microsoft.com/office/drawing/2008/diagram" relId="rId40" minVer="http://schemas.openxmlformats.org/drawingml/2006/diagram"/>
    </a:ext>
    <a:ext uri="{C62137D5-CB1D-491B-B009-E17868A290BF}">
      <dgm14:recolorImg xmlns:dgm14="http://schemas.microsoft.com/office/drawing/2010/diagram" val="1"/>
    </a:ext>
  </dgm:extLst>
</dgm:dataModel>
</file>

<file path=word/diagrams/data30.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2"/>
        </a:solidFill>
      </dgm:spPr>
      <dgm:t>
        <a:bodyPr/>
        <a:lstStyle/>
        <a:p>
          <a:pPr algn="l"/>
          <a:r>
            <a:rPr lang="en-US" sz="1050" b="1">
              <a:solidFill>
                <a:schemeClr val="bg1"/>
              </a:solidFill>
            </a:rPr>
            <a:t>Leadership</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213"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1"/>
        </a:solidFill>
      </dgm:spPr>
      <dgm:t>
        <a:bodyPr/>
        <a:lstStyle/>
        <a:p>
          <a:pPr algn="l"/>
          <a:r>
            <a:rPr lang="en-US" sz="1050" b="1">
              <a:solidFill>
                <a:schemeClr val="bg1"/>
              </a:solidFill>
            </a:rPr>
            <a:t>Access to Justice</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custLinFactNeighborY="4540">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218" minVer="http://schemas.openxmlformats.org/drawingml/2006/diagram"/>
    </a:ext>
  </dgm:extLst>
</dgm:dataModel>
</file>

<file path=word/diagrams/data32.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3"/>
        </a:solidFill>
      </dgm:spPr>
      <dgm:t>
        <a:bodyPr/>
        <a:lstStyle/>
        <a:p>
          <a:pPr algn="l"/>
          <a:r>
            <a:rPr lang="en-US" sz="1050" b="1">
              <a:solidFill>
                <a:schemeClr val="bg1"/>
              </a:solidFill>
            </a:rPr>
            <a:t>Professionalism</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223" minVer="http://schemas.openxmlformats.org/drawingml/2006/diagram"/>
    </a:ext>
  </dgm:extLst>
</dgm:dataModel>
</file>

<file path=word/diagrams/data33.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4"/>
        </a:solidFill>
      </dgm:spPr>
      <dgm:t>
        <a:bodyPr/>
        <a:lstStyle/>
        <a:p>
          <a:pPr algn="l"/>
          <a:r>
            <a:rPr lang="en-US" sz="1050" b="1">
              <a:solidFill>
                <a:schemeClr val="bg1"/>
              </a:solidFill>
            </a:rPr>
            <a:t>Rights</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228" minVer="http://schemas.openxmlformats.org/drawingml/2006/diagram"/>
    </a:ext>
  </dgm:extLst>
</dgm:dataModel>
</file>

<file path=word/diagrams/data34.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5"/>
        </a:solidFill>
      </dgm:spPr>
      <dgm:t>
        <a:bodyPr/>
        <a:lstStyle/>
        <a:p>
          <a:pPr algn="l"/>
          <a:r>
            <a:rPr lang="en-US" sz="1050" b="1">
              <a:solidFill>
                <a:schemeClr val="bg1"/>
              </a:solidFill>
            </a:rPr>
            <a:t>Procedure</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233" minVer="http://schemas.openxmlformats.org/drawingml/2006/diagram"/>
    </a:ext>
  </dgm:extLst>
</dgm:dataModel>
</file>

<file path=word/diagrams/data35.xml><?xml version="1.0" encoding="utf-8"?>
<dgm:dataModel xmlns:dgm="http://schemas.openxmlformats.org/drawingml/2006/diagram" xmlns:a="http://schemas.openxmlformats.org/drawingml/2006/main">
  <dgm:ptLst>
    <dgm:pt modelId="{BDD1C7F0-3537-4C93-9428-3C0C20D2D070}" type="doc">
      <dgm:prSet loTypeId="urn:microsoft.com/office/officeart/2011/layout/HexagonRadial" loCatId="cycle" qsTypeId="urn:microsoft.com/office/officeart/2005/8/quickstyle/3d4" qsCatId="3D" csTypeId="urn:microsoft.com/office/officeart/2005/8/colors/colorful3" csCatId="colorful" phldr="1"/>
      <dgm:spPr/>
      <dgm:t>
        <a:bodyPr/>
        <a:lstStyle/>
        <a:p>
          <a:endParaRPr lang="en-US"/>
        </a:p>
      </dgm:t>
    </dgm:pt>
    <dgm:pt modelId="{4D935D45-C39C-483F-81D1-F731D83AB418}">
      <dgm:prSet phldrT="[Text]"/>
      <dgm:spPr>
        <a:solidFill>
          <a:schemeClr val="accent2"/>
        </a:solidFill>
      </dgm:spPr>
      <dgm:t>
        <a:bodyPr/>
        <a:lstStyle/>
        <a:p>
          <a:pPr algn="ctr"/>
          <a:r>
            <a:rPr lang="en-US"/>
            <a:t>Attributes of success</a:t>
          </a:r>
        </a:p>
      </dgm:t>
    </dgm:pt>
    <dgm:pt modelId="{846698B9-50E7-4F13-98D5-48EAA6D2D17E}" type="parTrans" cxnId="{4A94AEB9-145C-42EC-A32D-081FC8156AFA}">
      <dgm:prSet/>
      <dgm:spPr/>
      <dgm:t>
        <a:bodyPr/>
        <a:lstStyle/>
        <a:p>
          <a:pPr algn="ctr"/>
          <a:endParaRPr lang="en-US"/>
        </a:p>
      </dgm:t>
    </dgm:pt>
    <dgm:pt modelId="{6F11C9D5-22E8-4B5A-869D-F268C3CC74A4}" type="sibTrans" cxnId="{4A94AEB9-145C-42EC-A32D-081FC8156AFA}">
      <dgm:prSet/>
      <dgm:spPr/>
      <dgm:t>
        <a:bodyPr/>
        <a:lstStyle/>
        <a:p>
          <a:pPr algn="ctr"/>
          <a:endParaRPr lang="en-US"/>
        </a:p>
      </dgm:t>
    </dgm:pt>
    <dgm:pt modelId="{025D3B6A-A229-4AFB-9458-91E25CC51F2B}">
      <dgm:prSet phldrT="[Text]"/>
      <dgm:spPr/>
      <dgm:t>
        <a:bodyPr/>
        <a:lstStyle/>
        <a:p>
          <a:pPr algn="ctr"/>
          <a:r>
            <a:rPr lang="en-US"/>
            <a:t>Enabling strong, committed and proactive leaders</a:t>
          </a:r>
        </a:p>
      </dgm:t>
    </dgm:pt>
    <dgm:pt modelId="{04CADE83-CE29-4439-94CE-EBB4F98B53F7}" type="parTrans" cxnId="{5974C858-9A64-4255-9EE1-8512653CBF89}">
      <dgm:prSet/>
      <dgm:spPr/>
      <dgm:t>
        <a:bodyPr/>
        <a:lstStyle/>
        <a:p>
          <a:pPr algn="ctr"/>
          <a:endParaRPr lang="en-US"/>
        </a:p>
      </dgm:t>
    </dgm:pt>
    <dgm:pt modelId="{DB75178B-D9C5-4F3B-919A-B5081140530A}" type="sibTrans" cxnId="{5974C858-9A64-4255-9EE1-8512653CBF89}">
      <dgm:prSet/>
      <dgm:spPr/>
      <dgm:t>
        <a:bodyPr/>
        <a:lstStyle/>
        <a:p>
          <a:pPr algn="ctr"/>
          <a:endParaRPr lang="en-US"/>
        </a:p>
      </dgm:t>
    </dgm:pt>
    <dgm:pt modelId="{4F9C5403-391C-49F0-9F19-499E4E4B29C1}">
      <dgm:prSet phldrT="[Text]"/>
      <dgm:spPr>
        <a:solidFill>
          <a:schemeClr val="accent5"/>
        </a:solidFill>
      </dgm:spPr>
      <dgm:t>
        <a:bodyPr/>
        <a:lstStyle/>
        <a:p>
          <a:pPr algn="ctr"/>
          <a:r>
            <a:rPr lang="en-US"/>
            <a:t>Pivoting activities to be delivered remotely</a:t>
          </a:r>
        </a:p>
      </dgm:t>
    </dgm:pt>
    <dgm:pt modelId="{7F77F815-0CA1-4963-8243-E04B888629EF}" type="parTrans" cxnId="{96F18032-032C-46A8-81C2-11F4BF771B7A}">
      <dgm:prSet/>
      <dgm:spPr/>
      <dgm:t>
        <a:bodyPr/>
        <a:lstStyle/>
        <a:p>
          <a:pPr algn="ctr"/>
          <a:endParaRPr lang="en-US"/>
        </a:p>
      </dgm:t>
    </dgm:pt>
    <dgm:pt modelId="{B254DA47-B26D-4E9A-974D-99568A5160EB}" type="sibTrans" cxnId="{96F18032-032C-46A8-81C2-11F4BF771B7A}">
      <dgm:prSet/>
      <dgm:spPr/>
      <dgm:t>
        <a:bodyPr/>
        <a:lstStyle/>
        <a:p>
          <a:pPr algn="ctr"/>
          <a:endParaRPr lang="en-US"/>
        </a:p>
      </dgm:t>
    </dgm:pt>
    <dgm:pt modelId="{DBD0764A-C1E0-41B2-BB8D-3F6944F62753}">
      <dgm:prSet phldrT="[Text]"/>
      <dgm:spPr>
        <a:solidFill>
          <a:schemeClr val="accent4"/>
        </a:solidFill>
      </dgm:spPr>
      <dgm:t>
        <a:bodyPr/>
        <a:lstStyle/>
        <a:p>
          <a:pPr algn="ctr"/>
          <a:r>
            <a:rPr lang="en-US"/>
            <a:t>Increased insight into performance </a:t>
          </a:r>
        </a:p>
      </dgm:t>
    </dgm:pt>
    <dgm:pt modelId="{970C7A2A-4775-4B52-B092-2043E099778A}" type="parTrans" cxnId="{E10D69D7-BE4E-4666-AF56-700629331C34}">
      <dgm:prSet/>
      <dgm:spPr/>
      <dgm:t>
        <a:bodyPr/>
        <a:lstStyle/>
        <a:p>
          <a:pPr algn="ctr"/>
          <a:endParaRPr lang="en-US"/>
        </a:p>
      </dgm:t>
    </dgm:pt>
    <dgm:pt modelId="{8B90DC1A-65C4-45C5-96D6-5EDF032D3338}" type="sibTrans" cxnId="{E10D69D7-BE4E-4666-AF56-700629331C34}">
      <dgm:prSet/>
      <dgm:spPr/>
      <dgm:t>
        <a:bodyPr/>
        <a:lstStyle/>
        <a:p>
          <a:pPr algn="ctr"/>
          <a:endParaRPr lang="en-US"/>
        </a:p>
      </dgm:t>
    </dgm:pt>
    <dgm:pt modelId="{233E97C4-A4F7-4EAE-AB4D-E3180555B1E2}">
      <dgm:prSet phldrT="[Text]"/>
      <dgm:spPr>
        <a:solidFill>
          <a:schemeClr val="accent1"/>
        </a:solidFill>
      </dgm:spPr>
      <dgm:t>
        <a:bodyPr/>
        <a:lstStyle/>
        <a:p>
          <a:pPr algn="ctr"/>
          <a:r>
            <a:rPr lang="en-US"/>
            <a:t>Tackling myths, taboos and transparency reticence</a:t>
          </a:r>
        </a:p>
      </dgm:t>
    </dgm:pt>
    <dgm:pt modelId="{E257CD10-504C-4B87-B213-0726439EED92}" type="parTrans" cxnId="{D3DFD276-06C9-4322-9665-8F052AC5395D}">
      <dgm:prSet/>
      <dgm:spPr/>
      <dgm:t>
        <a:bodyPr/>
        <a:lstStyle/>
        <a:p>
          <a:pPr algn="ctr"/>
          <a:endParaRPr lang="en-US"/>
        </a:p>
      </dgm:t>
    </dgm:pt>
    <dgm:pt modelId="{EC2DE8AB-5A61-441A-A512-13470AEF9EAC}" type="sibTrans" cxnId="{D3DFD276-06C9-4322-9665-8F052AC5395D}">
      <dgm:prSet/>
      <dgm:spPr/>
      <dgm:t>
        <a:bodyPr/>
        <a:lstStyle/>
        <a:p>
          <a:pPr algn="ctr"/>
          <a:endParaRPr lang="en-US"/>
        </a:p>
      </dgm:t>
    </dgm:pt>
    <dgm:pt modelId="{3E232747-177D-4100-9327-DAF4EB1DB9E0}">
      <dgm:prSet phldrT="[Text]"/>
      <dgm:spPr>
        <a:solidFill>
          <a:schemeClr val="tx2"/>
        </a:solidFill>
      </dgm:spPr>
      <dgm:t>
        <a:bodyPr/>
        <a:lstStyle/>
        <a:p>
          <a:pPr algn="ctr"/>
          <a:r>
            <a:rPr lang="en-US"/>
            <a:t>Contextually nuanced interventions</a:t>
          </a:r>
        </a:p>
      </dgm:t>
    </dgm:pt>
    <dgm:pt modelId="{1A1EE178-8FA0-42E7-9EBD-DB092825BF31}" type="parTrans" cxnId="{9B8FD824-B17B-413F-9EFE-60FB24787068}">
      <dgm:prSet/>
      <dgm:spPr/>
      <dgm:t>
        <a:bodyPr/>
        <a:lstStyle/>
        <a:p>
          <a:pPr algn="ctr"/>
          <a:endParaRPr lang="en-US"/>
        </a:p>
      </dgm:t>
    </dgm:pt>
    <dgm:pt modelId="{DB771C0B-C80E-4886-BD2B-33FC74EC4E58}" type="sibTrans" cxnId="{9B8FD824-B17B-413F-9EFE-60FB24787068}">
      <dgm:prSet/>
      <dgm:spPr/>
      <dgm:t>
        <a:bodyPr/>
        <a:lstStyle/>
        <a:p>
          <a:pPr algn="ctr"/>
          <a:endParaRPr lang="en-US"/>
        </a:p>
      </dgm:t>
    </dgm:pt>
    <dgm:pt modelId="{C14B4D58-CF7A-4894-90DC-D6C205D0FA42}">
      <dgm:prSet phldrT="[Text]"/>
      <dgm:spPr/>
      <dgm:t>
        <a:bodyPr/>
        <a:lstStyle/>
        <a:p>
          <a:pPr algn="ctr"/>
          <a:endParaRPr lang="en-US"/>
        </a:p>
      </dgm:t>
    </dgm:pt>
    <dgm:pt modelId="{AC647386-9296-4D81-9CC3-A3956CA05C51}" type="parTrans" cxnId="{137B7486-DF57-45A3-9BEE-769B5AAAB616}">
      <dgm:prSet/>
      <dgm:spPr/>
      <dgm:t>
        <a:bodyPr/>
        <a:lstStyle/>
        <a:p>
          <a:pPr algn="ctr"/>
          <a:endParaRPr lang="en-US"/>
        </a:p>
      </dgm:t>
    </dgm:pt>
    <dgm:pt modelId="{2995EC2D-72FB-4090-AAED-A26E83D908D9}" type="sibTrans" cxnId="{137B7486-DF57-45A3-9BEE-769B5AAAB616}">
      <dgm:prSet/>
      <dgm:spPr/>
      <dgm:t>
        <a:bodyPr/>
        <a:lstStyle/>
        <a:p>
          <a:pPr algn="ctr"/>
          <a:endParaRPr lang="en-US"/>
        </a:p>
      </dgm:t>
    </dgm:pt>
    <dgm:pt modelId="{1A33B9C4-A40C-488B-9E25-F4E0979E91FB}">
      <dgm:prSet/>
      <dgm:spPr>
        <a:solidFill>
          <a:schemeClr val="accent6">
            <a:lumMod val="75000"/>
          </a:schemeClr>
        </a:solidFill>
      </dgm:spPr>
      <dgm:t>
        <a:bodyPr/>
        <a:lstStyle/>
        <a:p>
          <a:pPr algn="ctr"/>
          <a:r>
            <a:rPr lang="en-US"/>
            <a:t>Community consultation </a:t>
          </a:r>
          <a:endParaRPr lang="en-AU"/>
        </a:p>
      </dgm:t>
    </dgm:pt>
    <dgm:pt modelId="{65218F00-BC4D-4003-A596-3D3959637F90}" type="parTrans" cxnId="{5C5A58FA-4A17-4732-8C91-25831CF8B822}">
      <dgm:prSet/>
      <dgm:spPr/>
      <dgm:t>
        <a:bodyPr/>
        <a:lstStyle/>
        <a:p>
          <a:pPr algn="ctr"/>
          <a:endParaRPr lang="en-US"/>
        </a:p>
      </dgm:t>
    </dgm:pt>
    <dgm:pt modelId="{52C0FF90-1953-47A5-96B6-2ABEE8009323}" type="sibTrans" cxnId="{5C5A58FA-4A17-4732-8C91-25831CF8B822}">
      <dgm:prSet/>
      <dgm:spPr/>
      <dgm:t>
        <a:bodyPr/>
        <a:lstStyle/>
        <a:p>
          <a:pPr algn="ctr"/>
          <a:endParaRPr lang="en-US"/>
        </a:p>
      </dgm:t>
    </dgm:pt>
    <dgm:pt modelId="{1C2EC980-6C57-4210-AB0A-B5C22E346FE8}">
      <dgm:prSet phldrT="[Text]"/>
      <dgm:spPr/>
      <dgm:t>
        <a:bodyPr/>
        <a:lstStyle/>
        <a:p>
          <a:pPr algn="ctr"/>
          <a:endParaRPr lang="en-US"/>
        </a:p>
      </dgm:t>
    </dgm:pt>
    <dgm:pt modelId="{869EEE3E-9E77-4B57-8F7D-02F3293DE303}" type="parTrans" cxnId="{D4F4C64A-0C5F-4DE2-B780-B0F9225A0A01}">
      <dgm:prSet/>
      <dgm:spPr/>
      <dgm:t>
        <a:bodyPr/>
        <a:lstStyle/>
        <a:p>
          <a:endParaRPr lang="en-US"/>
        </a:p>
      </dgm:t>
    </dgm:pt>
    <dgm:pt modelId="{22109B4F-8907-4CA7-B4AC-B62A35658734}" type="sibTrans" cxnId="{D4F4C64A-0C5F-4DE2-B780-B0F9225A0A01}">
      <dgm:prSet/>
      <dgm:spPr/>
      <dgm:t>
        <a:bodyPr/>
        <a:lstStyle/>
        <a:p>
          <a:endParaRPr lang="en-US"/>
        </a:p>
      </dgm:t>
    </dgm:pt>
    <dgm:pt modelId="{4B50B861-7704-4BE9-A70C-E03B838F06B3}" type="pres">
      <dgm:prSet presAssocID="{BDD1C7F0-3537-4C93-9428-3C0C20D2D070}" presName="Name0" presStyleCnt="0">
        <dgm:presLayoutVars>
          <dgm:chMax val="1"/>
          <dgm:chPref val="1"/>
          <dgm:dir/>
          <dgm:animOne val="branch"/>
          <dgm:animLvl val="lvl"/>
        </dgm:presLayoutVars>
      </dgm:prSet>
      <dgm:spPr/>
      <dgm:t>
        <a:bodyPr/>
        <a:lstStyle/>
        <a:p>
          <a:endParaRPr lang="en-US"/>
        </a:p>
      </dgm:t>
    </dgm:pt>
    <dgm:pt modelId="{45E89B0D-20D2-4FAB-B928-3D7221D4D8F9}" type="pres">
      <dgm:prSet presAssocID="{4D935D45-C39C-483F-81D1-F731D83AB418}" presName="Parent" presStyleLbl="node0" presStyleIdx="0" presStyleCnt="1" custLinFactNeighborX="743" custLinFactNeighborY="-1173">
        <dgm:presLayoutVars>
          <dgm:chMax val="6"/>
          <dgm:chPref val="6"/>
        </dgm:presLayoutVars>
      </dgm:prSet>
      <dgm:spPr/>
      <dgm:t>
        <a:bodyPr/>
        <a:lstStyle/>
        <a:p>
          <a:endParaRPr lang="en-US"/>
        </a:p>
      </dgm:t>
    </dgm:pt>
    <dgm:pt modelId="{DB33D98E-1174-403C-9CA7-46CC5840CB6C}" type="pres">
      <dgm:prSet presAssocID="{025D3B6A-A229-4AFB-9458-91E25CC51F2B}" presName="Accent1" presStyleCnt="0"/>
      <dgm:spPr/>
    </dgm:pt>
    <dgm:pt modelId="{430D4044-037E-411D-A952-4CF6FC08115E}" type="pres">
      <dgm:prSet presAssocID="{025D3B6A-A229-4AFB-9458-91E25CC51F2B}" presName="Accent" presStyleLbl="bgShp" presStyleIdx="0" presStyleCnt="6"/>
      <dgm:spPr/>
    </dgm:pt>
    <dgm:pt modelId="{86B2094D-C59A-4595-849F-6B113BD2B3D4}" type="pres">
      <dgm:prSet presAssocID="{025D3B6A-A229-4AFB-9458-91E25CC51F2B}" presName="Child1" presStyleLbl="node1" presStyleIdx="0" presStyleCnt="6">
        <dgm:presLayoutVars>
          <dgm:chMax val="0"/>
          <dgm:chPref val="0"/>
          <dgm:bulletEnabled val="1"/>
        </dgm:presLayoutVars>
      </dgm:prSet>
      <dgm:spPr/>
      <dgm:t>
        <a:bodyPr/>
        <a:lstStyle/>
        <a:p>
          <a:endParaRPr lang="en-US"/>
        </a:p>
      </dgm:t>
    </dgm:pt>
    <dgm:pt modelId="{89C896A2-3890-42DA-B1DE-80D0B34B156F}" type="pres">
      <dgm:prSet presAssocID="{4F9C5403-391C-49F0-9F19-499E4E4B29C1}" presName="Accent2" presStyleCnt="0"/>
      <dgm:spPr/>
    </dgm:pt>
    <dgm:pt modelId="{87F52DC8-DF22-4F27-838E-837577C9497A}" type="pres">
      <dgm:prSet presAssocID="{4F9C5403-391C-49F0-9F19-499E4E4B29C1}" presName="Accent" presStyleLbl="bgShp" presStyleIdx="1" presStyleCnt="6"/>
      <dgm:spPr/>
    </dgm:pt>
    <dgm:pt modelId="{EFF003AD-BFE7-4215-9AFE-F42A9628E630}" type="pres">
      <dgm:prSet presAssocID="{4F9C5403-391C-49F0-9F19-499E4E4B29C1}" presName="Child2" presStyleLbl="node1" presStyleIdx="1" presStyleCnt="6">
        <dgm:presLayoutVars>
          <dgm:chMax val="0"/>
          <dgm:chPref val="0"/>
          <dgm:bulletEnabled val="1"/>
        </dgm:presLayoutVars>
      </dgm:prSet>
      <dgm:spPr/>
      <dgm:t>
        <a:bodyPr/>
        <a:lstStyle/>
        <a:p>
          <a:endParaRPr lang="en-US"/>
        </a:p>
      </dgm:t>
    </dgm:pt>
    <dgm:pt modelId="{3EA983E5-BD81-48CE-8334-65C30739E784}" type="pres">
      <dgm:prSet presAssocID="{DBD0764A-C1E0-41B2-BB8D-3F6944F62753}" presName="Accent3" presStyleCnt="0"/>
      <dgm:spPr/>
    </dgm:pt>
    <dgm:pt modelId="{EC8AA802-C220-4CEC-8F48-48FAC27937F7}" type="pres">
      <dgm:prSet presAssocID="{DBD0764A-C1E0-41B2-BB8D-3F6944F62753}" presName="Accent" presStyleLbl="bgShp" presStyleIdx="2" presStyleCnt="6"/>
      <dgm:spPr/>
    </dgm:pt>
    <dgm:pt modelId="{CF558004-B7C8-48F5-889B-879F5D8582B7}" type="pres">
      <dgm:prSet presAssocID="{DBD0764A-C1E0-41B2-BB8D-3F6944F62753}" presName="Child3" presStyleLbl="node1" presStyleIdx="2" presStyleCnt="6">
        <dgm:presLayoutVars>
          <dgm:chMax val="0"/>
          <dgm:chPref val="0"/>
          <dgm:bulletEnabled val="1"/>
        </dgm:presLayoutVars>
      </dgm:prSet>
      <dgm:spPr/>
      <dgm:t>
        <a:bodyPr/>
        <a:lstStyle/>
        <a:p>
          <a:endParaRPr lang="en-US"/>
        </a:p>
      </dgm:t>
    </dgm:pt>
    <dgm:pt modelId="{06BD0B65-09D3-40FD-9A3C-4C707B69C861}" type="pres">
      <dgm:prSet presAssocID="{233E97C4-A4F7-4EAE-AB4D-E3180555B1E2}" presName="Accent4" presStyleCnt="0"/>
      <dgm:spPr/>
    </dgm:pt>
    <dgm:pt modelId="{6F0F9EEB-FAED-454A-8251-3F609FCD15F8}" type="pres">
      <dgm:prSet presAssocID="{233E97C4-A4F7-4EAE-AB4D-E3180555B1E2}" presName="Accent" presStyleLbl="bgShp" presStyleIdx="3" presStyleCnt="6"/>
      <dgm:spPr/>
    </dgm:pt>
    <dgm:pt modelId="{7978BDC0-8B60-4E06-AE85-BC44EFD28F13}" type="pres">
      <dgm:prSet presAssocID="{233E97C4-A4F7-4EAE-AB4D-E3180555B1E2}" presName="Child4" presStyleLbl="node1" presStyleIdx="3" presStyleCnt="6">
        <dgm:presLayoutVars>
          <dgm:chMax val="0"/>
          <dgm:chPref val="0"/>
          <dgm:bulletEnabled val="1"/>
        </dgm:presLayoutVars>
      </dgm:prSet>
      <dgm:spPr/>
      <dgm:t>
        <a:bodyPr/>
        <a:lstStyle/>
        <a:p>
          <a:endParaRPr lang="en-US"/>
        </a:p>
      </dgm:t>
    </dgm:pt>
    <dgm:pt modelId="{70A25A45-1C21-4C8D-9EA8-44846523E42B}" type="pres">
      <dgm:prSet presAssocID="{1A33B9C4-A40C-488B-9E25-F4E0979E91FB}" presName="Accent5" presStyleCnt="0"/>
      <dgm:spPr/>
    </dgm:pt>
    <dgm:pt modelId="{C2396BFB-9E21-4C05-B41A-746F478BC93C}" type="pres">
      <dgm:prSet presAssocID="{1A33B9C4-A40C-488B-9E25-F4E0979E91FB}" presName="Accent" presStyleLbl="bgShp" presStyleIdx="4" presStyleCnt="6"/>
      <dgm:spPr/>
    </dgm:pt>
    <dgm:pt modelId="{138814A6-CF76-48A0-B87B-9DA9AE8ADB38}" type="pres">
      <dgm:prSet presAssocID="{1A33B9C4-A40C-488B-9E25-F4E0979E91FB}" presName="Child5" presStyleLbl="node1" presStyleIdx="4" presStyleCnt="6">
        <dgm:presLayoutVars>
          <dgm:chMax val="0"/>
          <dgm:chPref val="0"/>
          <dgm:bulletEnabled val="1"/>
        </dgm:presLayoutVars>
      </dgm:prSet>
      <dgm:spPr/>
      <dgm:t>
        <a:bodyPr/>
        <a:lstStyle/>
        <a:p>
          <a:endParaRPr lang="en-US"/>
        </a:p>
      </dgm:t>
    </dgm:pt>
    <dgm:pt modelId="{73A14AC2-0736-4244-BBC8-C3675CCB4A13}" type="pres">
      <dgm:prSet presAssocID="{3E232747-177D-4100-9327-DAF4EB1DB9E0}" presName="Accent6" presStyleCnt="0"/>
      <dgm:spPr/>
    </dgm:pt>
    <dgm:pt modelId="{52676680-0092-4565-BF71-B4AC23CBD6C1}" type="pres">
      <dgm:prSet presAssocID="{3E232747-177D-4100-9327-DAF4EB1DB9E0}" presName="Accent" presStyleLbl="bgShp" presStyleIdx="5" presStyleCnt="6"/>
      <dgm:spPr>
        <a:blipFill rotWithShape="0">
          <a:blip xmlns:r="http://schemas.openxmlformats.org/officeDocument/2006/relationships" r:embed="rId1"/>
          <a:stretch>
            <a:fillRect/>
          </a:stretch>
        </a:blipFill>
      </dgm:spPr>
    </dgm:pt>
    <dgm:pt modelId="{2157378D-E843-42A3-A70C-8111444305AF}" type="pres">
      <dgm:prSet presAssocID="{3E232747-177D-4100-9327-DAF4EB1DB9E0}" presName="Child6" presStyleLbl="node1" presStyleIdx="5" presStyleCnt="6">
        <dgm:presLayoutVars>
          <dgm:chMax val="0"/>
          <dgm:chPref val="0"/>
          <dgm:bulletEnabled val="1"/>
        </dgm:presLayoutVars>
      </dgm:prSet>
      <dgm:spPr/>
      <dgm:t>
        <a:bodyPr/>
        <a:lstStyle/>
        <a:p>
          <a:endParaRPr lang="en-US"/>
        </a:p>
      </dgm:t>
    </dgm:pt>
  </dgm:ptLst>
  <dgm:cxnLst>
    <dgm:cxn modelId="{4A94AEB9-145C-42EC-A32D-081FC8156AFA}" srcId="{BDD1C7F0-3537-4C93-9428-3C0C20D2D070}" destId="{4D935D45-C39C-483F-81D1-F731D83AB418}" srcOrd="0" destOrd="0" parTransId="{846698B9-50E7-4F13-98D5-48EAA6D2D17E}" sibTransId="{6F11C9D5-22E8-4B5A-869D-F268C3CC74A4}"/>
    <dgm:cxn modelId="{9B8FD824-B17B-413F-9EFE-60FB24787068}" srcId="{4D935D45-C39C-483F-81D1-F731D83AB418}" destId="{3E232747-177D-4100-9327-DAF4EB1DB9E0}" srcOrd="5" destOrd="0" parTransId="{1A1EE178-8FA0-42E7-9EBD-DB092825BF31}" sibTransId="{DB771C0B-C80E-4886-BD2B-33FC74EC4E58}"/>
    <dgm:cxn modelId="{A4B20D25-ACDA-460A-8CB1-7C4755DBA0DB}" type="presOf" srcId="{4F9C5403-391C-49F0-9F19-499E4E4B29C1}" destId="{EFF003AD-BFE7-4215-9AFE-F42A9628E630}" srcOrd="0" destOrd="0" presId="urn:microsoft.com/office/officeart/2011/layout/HexagonRadial"/>
    <dgm:cxn modelId="{D3DFD276-06C9-4322-9665-8F052AC5395D}" srcId="{4D935D45-C39C-483F-81D1-F731D83AB418}" destId="{233E97C4-A4F7-4EAE-AB4D-E3180555B1E2}" srcOrd="3" destOrd="0" parTransId="{E257CD10-504C-4B87-B213-0726439EED92}" sibTransId="{EC2DE8AB-5A61-441A-A512-13470AEF9EAC}"/>
    <dgm:cxn modelId="{E10D69D7-BE4E-4666-AF56-700629331C34}" srcId="{4D935D45-C39C-483F-81D1-F731D83AB418}" destId="{DBD0764A-C1E0-41B2-BB8D-3F6944F62753}" srcOrd="2" destOrd="0" parTransId="{970C7A2A-4775-4B52-B092-2043E099778A}" sibTransId="{8B90DC1A-65C4-45C5-96D6-5EDF032D3338}"/>
    <dgm:cxn modelId="{137B7486-DF57-45A3-9BEE-769B5AAAB616}" srcId="{BDD1C7F0-3537-4C93-9428-3C0C20D2D070}" destId="{C14B4D58-CF7A-4894-90DC-D6C205D0FA42}" srcOrd="1" destOrd="0" parTransId="{AC647386-9296-4D81-9CC3-A3956CA05C51}" sibTransId="{2995EC2D-72FB-4090-AAED-A26E83D908D9}"/>
    <dgm:cxn modelId="{541C6E78-59C2-4283-8E9A-7C46A3E460A6}" type="presOf" srcId="{3E232747-177D-4100-9327-DAF4EB1DB9E0}" destId="{2157378D-E843-42A3-A70C-8111444305AF}" srcOrd="0" destOrd="0" presId="urn:microsoft.com/office/officeart/2011/layout/HexagonRadial"/>
    <dgm:cxn modelId="{5368372C-E1E7-4A57-9F74-6381719B4899}" type="presOf" srcId="{DBD0764A-C1E0-41B2-BB8D-3F6944F62753}" destId="{CF558004-B7C8-48F5-889B-879F5D8582B7}" srcOrd="0" destOrd="0" presId="urn:microsoft.com/office/officeart/2011/layout/HexagonRadial"/>
    <dgm:cxn modelId="{B9ADBE7C-1ADA-4CD1-A1BB-417E20792532}" type="presOf" srcId="{233E97C4-A4F7-4EAE-AB4D-E3180555B1E2}" destId="{7978BDC0-8B60-4E06-AE85-BC44EFD28F13}" srcOrd="0" destOrd="0" presId="urn:microsoft.com/office/officeart/2011/layout/HexagonRadial"/>
    <dgm:cxn modelId="{6AE0E73A-3121-4CAE-957E-FFCE68B9DE5E}" type="presOf" srcId="{025D3B6A-A229-4AFB-9458-91E25CC51F2B}" destId="{86B2094D-C59A-4595-849F-6B113BD2B3D4}" srcOrd="0" destOrd="0" presId="urn:microsoft.com/office/officeart/2011/layout/HexagonRadial"/>
    <dgm:cxn modelId="{96F18032-032C-46A8-81C2-11F4BF771B7A}" srcId="{4D935D45-C39C-483F-81D1-F731D83AB418}" destId="{4F9C5403-391C-49F0-9F19-499E4E4B29C1}" srcOrd="1" destOrd="0" parTransId="{7F77F815-0CA1-4963-8243-E04B888629EF}" sibTransId="{B254DA47-B26D-4E9A-974D-99568A5160EB}"/>
    <dgm:cxn modelId="{D4F4C64A-0C5F-4DE2-B780-B0F9225A0A01}" srcId="{4D935D45-C39C-483F-81D1-F731D83AB418}" destId="{1C2EC980-6C57-4210-AB0A-B5C22E346FE8}" srcOrd="6" destOrd="0" parTransId="{869EEE3E-9E77-4B57-8F7D-02F3293DE303}" sibTransId="{22109B4F-8907-4CA7-B4AC-B62A35658734}"/>
    <dgm:cxn modelId="{98132B63-FC03-4D58-A669-1FF0D1CDEC3A}" type="presOf" srcId="{4D935D45-C39C-483F-81D1-F731D83AB418}" destId="{45E89B0D-20D2-4FAB-B928-3D7221D4D8F9}" srcOrd="0" destOrd="0" presId="urn:microsoft.com/office/officeart/2011/layout/HexagonRadial"/>
    <dgm:cxn modelId="{33E1AF41-EDC8-419D-9666-DD4DD52A3E40}" type="presOf" srcId="{1A33B9C4-A40C-488B-9E25-F4E0979E91FB}" destId="{138814A6-CF76-48A0-B87B-9DA9AE8ADB38}" srcOrd="0" destOrd="0" presId="urn:microsoft.com/office/officeart/2011/layout/HexagonRadial"/>
    <dgm:cxn modelId="{DBAA6063-7E4D-496B-9AEC-98F834C58FCF}" type="presOf" srcId="{BDD1C7F0-3537-4C93-9428-3C0C20D2D070}" destId="{4B50B861-7704-4BE9-A70C-E03B838F06B3}" srcOrd="0" destOrd="0" presId="urn:microsoft.com/office/officeart/2011/layout/HexagonRadial"/>
    <dgm:cxn modelId="{5C5A58FA-4A17-4732-8C91-25831CF8B822}" srcId="{4D935D45-C39C-483F-81D1-F731D83AB418}" destId="{1A33B9C4-A40C-488B-9E25-F4E0979E91FB}" srcOrd="4" destOrd="0" parTransId="{65218F00-BC4D-4003-A596-3D3959637F90}" sibTransId="{52C0FF90-1953-47A5-96B6-2ABEE8009323}"/>
    <dgm:cxn modelId="{5974C858-9A64-4255-9EE1-8512653CBF89}" srcId="{4D935D45-C39C-483F-81D1-F731D83AB418}" destId="{025D3B6A-A229-4AFB-9458-91E25CC51F2B}" srcOrd="0" destOrd="0" parTransId="{04CADE83-CE29-4439-94CE-EBB4F98B53F7}" sibTransId="{DB75178B-D9C5-4F3B-919A-B5081140530A}"/>
    <dgm:cxn modelId="{A1EFE4C6-8691-45D4-AA3F-7702ECFFD5F3}" type="presParOf" srcId="{4B50B861-7704-4BE9-A70C-E03B838F06B3}" destId="{45E89B0D-20D2-4FAB-B928-3D7221D4D8F9}" srcOrd="0" destOrd="0" presId="urn:microsoft.com/office/officeart/2011/layout/HexagonRadial"/>
    <dgm:cxn modelId="{B893174B-7F8B-4872-B9DD-74ADF958EEAE}" type="presParOf" srcId="{4B50B861-7704-4BE9-A70C-E03B838F06B3}" destId="{DB33D98E-1174-403C-9CA7-46CC5840CB6C}" srcOrd="1" destOrd="0" presId="urn:microsoft.com/office/officeart/2011/layout/HexagonRadial"/>
    <dgm:cxn modelId="{6E6421F9-978B-4DEE-A749-71FE4B94325E}" type="presParOf" srcId="{DB33D98E-1174-403C-9CA7-46CC5840CB6C}" destId="{430D4044-037E-411D-A952-4CF6FC08115E}" srcOrd="0" destOrd="0" presId="urn:microsoft.com/office/officeart/2011/layout/HexagonRadial"/>
    <dgm:cxn modelId="{AA59EA96-3EEB-484E-B861-1F5BEF09A029}" type="presParOf" srcId="{4B50B861-7704-4BE9-A70C-E03B838F06B3}" destId="{86B2094D-C59A-4595-849F-6B113BD2B3D4}" srcOrd="2" destOrd="0" presId="urn:microsoft.com/office/officeart/2011/layout/HexagonRadial"/>
    <dgm:cxn modelId="{40EA47FF-7568-4826-9BC9-5ED3121D6CB5}" type="presParOf" srcId="{4B50B861-7704-4BE9-A70C-E03B838F06B3}" destId="{89C896A2-3890-42DA-B1DE-80D0B34B156F}" srcOrd="3" destOrd="0" presId="urn:microsoft.com/office/officeart/2011/layout/HexagonRadial"/>
    <dgm:cxn modelId="{9B94BF91-0F56-41C6-8B47-5B24111BCCE5}" type="presParOf" srcId="{89C896A2-3890-42DA-B1DE-80D0B34B156F}" destId="{87F52DC8-DF22-4F27-838E-837577C9497A}" srcOrd="0" destOrd="0" presId="urn:microsoft.com/office/officeart/2011/layout/HexagonRadial"/>
    <dgm:cxn modelId="{9440DDEC-7DB6-444D-9BE0-7EADC7937DEE}" type="presParOf" srcId="{4B50B861-7704-4BE9-A70C-E03B838F06B3}" destId="{EFF003AD-BFE7-4215-9AFE-F42A9628E630}" srcOrd="4" destOrd="0" presId="urn:microsoft.com/office/officeart/2011/layout/HexagonRadial"/>
    <dgm:cxn modelId="{0AB406BA-14AB-473B-9150-2226C8D3D370}" type="presParOf" srcId="{4B50B861-7704-4BE9-A70C-E03B838F06B3}" destId="{3EA983E5-BD81-48CE-8334-65C30739E784}" srcOrd="5" destOrd="0" presId="urn:microsoft.com/office/officeart/2011/layout/HexagonRadial"/>
    <dgm:cxn modelId="{F5681350-9A01-4F7C-AD48-AE2EAFB1910B}" type="presParOf" srcId="{3EA983E5-BD81-48CE-8334-65C30739E784}" destId="{EC8AA802-C220-4CEC-8F48-48FAC27937F7}" srcOrd="0" destOrd="0" presId="urn:microsoft.com/office/officeart/2011/layout/HexagonRadial"/>
    <dgm:cxn modelId="{623C9AFE-A024-447B-B7EB-C14C213F80F1}" type="presParOf" srcId="{4B50B861-7704-4BE9-A70C-E03B838F06B3}" destId="{CF558004-B7C8-48F5-889B-879F5D8582B7}" srcOrd="6" destOrd="0" presId="urn:microsoft.com/office/officeart/2011/layout/HexagonRadial"/>
    <dgm:cxn modelId="{864D071F-5D3D-4C7C-97A6-60BD3BCF5147}" type="presParOf" srcId="{4B50B861-7704-4BE9-A70C-E03B838F06B3}" destId="{06BD0B65-09D3-40FD-9A3C-4C707B69C861}" srcOrd="7" destOrd="0" presId="urn:microsoft.com/office/officeart/2011/layout/HexagonRadial"/>
    <dgm:cxn modelId="{117D900E-9933-4087-96C3-22549AFE00FD}" type="presParOf" srcId="{06BD0B65-09D3-40FD-9A3C-4C707B69C861}" destId="{6F0F9EEB-FAED-454A-8251-3F609FCD15F8}" srcOrd="0" destOrd="0" presId="urn:microsoft.com/office/officeart/2011/layout/HexagonRadial"/>
    <dgm:cxn modelId="{50C4FF5D-C526-4C2B-8D62-EC66A3EAF2A8}" type="presParOf" srcId="{4B50B861-7704-4BE9-A70C-E03B838F06B3}" destId="{7978BDC0-8B60-4E06-AE85-BC44EFD28F13}" srcOrd="8" destOrd="0" presId="urn:microsoft.com/office/officeart/2011/layout/HexagonRadial"/>
    <dgm:cxn modelId="{7F9188F3-B526-4278-A403-D2034DC09FDE}" type="presParOf" srcId="{4B50B861-7704-4BE9-A70C-E03B838F06B3}" destId="{70A25A45-1C21-4C8D-9EA8-44846523E42B}" srcOrd="9" destOrd="0" presId="urn:microsoft.com/office/officeart/2011/layout/HexagonRadial"/>
    <dgm:cxn modelId="{855DCD09-5ED8-4302-9A14-50CA3B41630F}" type="presParOf" srcId="{70A25A45-1C21-4C8D-9EA8-44846523E42B}" destId="{C2396BFB-9E21-4C05-B41A-746F478BC93C}" srcOrd="0" destOrd="0" presId="urn:microsoft.com/office/officeart/2011/layout/HexagonRadial"/>
    <dgm:cxn modelId="{41E8850C-B3E5-470C-A565-CF9FECEEBE0C}" type="presParOf" srcId="{4B50B861-7704-4BE9-A70C-E03B838F06B3}" destId="{138814A6-CF76-48A0-B87B-9DA9AE8ADB38}" srcOrd="10" destOrd="0" presId="urn:microsoft.com/office/officeart/2011/layout/HexagonRadial"/>
    <dgm:cxn modelId="{22CF74F6-A9A3-41F6-9746-A8194811A6A9}" type="presParOf" srcId="{4B50B861-7704-4BE9-A70C-E03B838F06B3}" destId="{73A14AC2-0736-4244-BBC8-C3675CCB4A13}" srcOrd="11" destOrd="0" presId="urn:microsoft.com/office/officeart/2011/layout/HexagonRadial"/>
    <dgm:cxn modelId="{E6CFDBD4-D161-4FD2-B497-A1CA214539C5}" type="presParOf" srcId="{73A14AC2-0736-4244-BBC8-C3675CCB4A13}" destId="{52676680-0092-4565-BF71-B4AC23CBD6C1}" srcOrd="0" destOrd="0" presId="urn:microsoft.com/office/officeart/2011/layout/HexagonRadial"/>
    <dgm:cxn modelId="{0446DB89-E35A-4870-94CB-C108010F5108}" type="presParOf" srcId="{4B50B861-7704-4BE9-A70C-E03B838F06B3}" destId="{2157378D-E843-42A3-A70C-8111444305AF}" srcOrd="12" destOrd="0" presId="urn:microsoft.com/office/officeart/2011/layout/HexagonRadial"/>
  </dgm:cxnLst>
  <dgm:bg/>
  <dgm:whole/>
  <dgm:extLst>
    <a:ext uri="http://schemas.microsoft.com/office/drawing/2008/diagram">
      <dsp:dataModelExt xmlns:dsp="http://schemas.microsoft.com/office/drawing/2008/diagram" relId="rId24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accent0_2" csCatId="mainScheme" phldr="1"/>
      <dgm:spPr/>
      <dgm:t>
        <a:bodyPr/>
        <a:lstStyle/>
        <a:p>
          <a:endParaRPr lang="en-US"/>
        </a:p>
      </dgm:t>
    </dgm:pt>
    <dgm:pt modelId="{17A3BD22-B542-4E72-9A8E-ECC494103A79}">
      <dgm:prSet phldrT="[Text]" custT="1"/>
      <dgm:spPr/>
      <dgm:t>
        <a:bodyPr/>
        <a:lstStyle/>
        <a:p>
          <a:pPr algn="l"/>
          <a:r>
            <a:rPr lang="en-AU" sz="1050" b="1"/>
            <a:t>Improved local capacity to assess needs, plan, own &amp; lead judicial development</a:t>
          </a:r>
          <a:endParaRPr lang="en-US" sz="1050" b="1">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10B9937C-93CB-46D3-8D95-85FEC89AD626}">
      <dgm:prSet phldrT="[Text]" custT="1"/>
      <dgm:spPr/>
      <dgm:t>
        <a:bodyPr/>
        <a:lstStyle/>
        <a:p>
          <a:pPr algn="l"/>
          <a:r>
            <a:rPr lang="en-AU" sz="1050" b="1"/>
            <a:t>Marginalised &amp; vulnerable groups better able to access justice in &amp; through courts</a:t>
          </a:r>
          <a:endParaRPr lang="en-US" sz="1050" b="1">
            <a:latin typeface="+mn-lt"/>
          </a:endParaRPr>
        </a:p>
      </dgm:t>
    </dgm:pt>
    <dgm:pt modelId="{24D17286-90F0-4A85-B560-B18352DAD1AF}" type="parTrans" cxnId="{A5894B21-8155-4E0C-84A1-8809948635E2}">
      <dgm:prSet/>
      <dgm:spPr/>
      <dgm:t>
        <a:bodyPr/>
        <a:lstStyle/>
        <a:p>
          <a:pPr algn="l"/>
          <a:endParaRPr lang="en-US"/>
        </a:p>
      </dgm:t>
    </dgm:pt>
    <dgm:pt modelId="{F9A5371B-84AA-4756-A764-DA9C77B634B3}" type="sibTrans" cxnId="{A5894B21-8155-4E0C-84A1-8809948635E2}">
      <dgm:prSet/>
      <dgm:spPr/>
      <dgm:t>
        <a:bodyPr/>
        <a:lstStyle/>
        <a:p>
          <a:pPr algn="l"/>
          <a:endParaRPr lang="en-US"/>
        </a:p>
      </dgm:t>
    </dgm:pt>
    <dgm:pt modelId="{A269AC57-C6EC-4D2C-96E2-1F0B0942543B}">
      <dgm:prSet phldrT="[Text]" custT="1"/>
      <dgm:spPr/>
      <dgm:t>
        <a:bodyPr/>
        <a:lstStyle/>
        <a:p>
          <a:pPr algn="l"/>
          <a:r>
            <a:rPr lang="en-GB" sz="1050" b="1">
              <a:solidFill>
                <a:schemeClr val="accent1">
                  <a:lumMod val="50000"/>
                </a:schemeClr>
              </a:solidFill>
            </a:rPr>
            <a:t>Partner Courts </a:t>
          </a:r>
          <a:r>
            <a:rPr lang="en-AU" sz="1050" b="1">
              <a:solidFill>
                <a:schemeClr val="accent1">
                  <a:lumMod val="50000"/>
                </a:schemeClr>
              </a:solidFill>
            </a:rPr>
            <a:t>o</a:t>
          </a:r>
          <a:r>
            <a:rPr lang="en-AU" sz="1050" b="1"/>
            <a:t>perate with a higher level of professionalism</a:t>
          </a:r>
          <a:endParaRPr lang="en-US" sz="1050" b="1">
            <a:latin typeface="+mn-lt"/>
          </a:endParaRPr>
        </a:p>
      </dgm:t>
    </dgm:pt>
    <dgm:pt modelId="{1A15991C-D3C2-4384-96A3-E6678B6872E7}" type="parTrans" cxnId="{96C7084F-70A6-4D21-A825-87CFD2B7B1AF}">
      <dgm:prSet/>
      <dgm:spPr/>
      <dgm:t>
        <a:bodyPr/>
        <a:lstStyle/>
        <a:p>
          <a:pPr algn="l"/>
          <a:endParaRPr lang="en-US"/>
        </a:p>
      </dgm:t>
    </dgm:pt>
    <dgm:pt modelId="{2D4E608D-542C-43BA-8DD1-248F90CB8676}" type="sibTrans" cxnId="{96C7084F-70A6-4D21-A825-87CFD2B7B1AF}">
      <dgm:prSet/>
      <dgm:spPr/>
      <dgm:t>
        <a:bodyPr/>
        <a:lstStyle/>
        <a:p>
          <a:pPr algn="l"/>
          <a:endParaRPr lang="en-US"/>
        </a:p>
      </dgm:t>
    </dgm:pt>
    <dgm:pt modelId="{CB8F5B1A-0B98-4B94-B570-50D50335E177}">
      <dgm:prSet custT="1"/>
      <dgm:spPr/>
      <dgm:t>
        <a:bodyPr/>
        <a:lstStyle/>
        <a:p>
          <a:pPr algn="l"/>
          <a:r>
            <a:rPr lang="en-GB" sz="1050" b="1">
              <a:solidFill>
                <a:schemeClr val="accent1">
                  <a:lumMod val="50000"/>
                </a:schemeClr>
              </a:solidFill>
            </a:rPr>
            <a:t>Partner Courts e</a:t>
          </a:r>
          <a:r>
            <a:rPr lang="en-AU" sz="1050" b="1"/>
            <a:t>xhibit more responsive &amp; just behaviour &amp; treatment that is fair &amp; reasonable </a:t>
          </a:r>
          <a:endParaRPr lang="en-US" sz="1050" b="1">
            <a:latin typeface="+mn-lt"/>
          </a:endParaRPr>
        </a:p>
      </dgm:t>
    </dgm:pt>
    <dgm:pt modelId="{A22E4161-0F45-485D-A13F-CAE889BAE75B}" type="parTrans" cxnId="{A39EABDC-A949-427B-A846-3BFA6205F49C}">
      <dgm:prSet/>
      <dgm:spPr/>
      <dgm:t>
        <a:bodyPr/>
        <a:lstStyle/>
        <a:p>
          <a:pPr algn="l"/>
          <a:endParaRPr lang="en-US"/>
        </a:p>
      </dgm:t>
    </dgm:pt>
    <dgm:pt modelId="{77026D37-7EBE-4241-AA99-1B1A0C41A6FD}" type="sibTrans" cxnId="{A39EABDC-A949-427B-A846-3BFA6205F49C}">
      <dgm:prSet/>
      <dgm:spPr/>
      <dgm:t>
        <a:bodyPr/>
        <a:lstStyle/>
        <a:p>
          <a:pPr algn="l"/>
          <a:endParaRPr lang="en-US"/>
        </a:p>
      </dgm:t>
    </dgm:pt>
    <dgm:pt modelId="{D9D81254-954D-4C6D-8CBC-23344CCB889A}">
      <dgm:prSet custT="1"/>
      <dgm:spPr/>
      <dgm:t>
        <a:bodyPr/>
        <a:lstStyle/>
        <a:p>
          <a:pPr algn="l"/>
          <a:r>
            <a:rPr lang="en-AU" sz="1050" b="1"/>
            <a:t>Cases are disposed of more efficiently </a:t>
          </a:r>
          <a:endParaRPr lang="en-US" sz="1050" b="1">
            <a:latin typeface="+mn-lt"/>
          </a:endParaRPr>
        </a:p>
      </dgm:t>
    </dgm:pt>
    <dgm:pt modelId="{08DBEA86-B232-4E96-BE93-19928AD609D9}" type="parTrans" cxnId="{6B0154E5-59BD-476D-9A72-4D32B460437A}">
      <dgm:prSet/>
      <dgm:spPr/>
      <dgm:t>
        <a:bodyPr/>
        <a:lstStyle/>
        <a:p>
          <a:pPr algn="l"/>
          <a:endParaRPr lang="en-US"/>
        </a:p>
      </dgm:t>
    </dgm:pt>
    <dgm:pt modelId="{FC9A4DF9-9F0D-43AF-A864-C12CF341BEDB}" type="sibTrans" cxnId="{6B0154E5-59BD-476D-9A72-4D32B460437A}">
      <dgm:prSet/>
      <dgm:spPr/>
      <dgm:t>
        <a:bodyPr/>
        <a:lstStyle/>
        <a:p>
          <a:pPr algn="l"/>
          <a:endParaRPr lang="en-US"/>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5"/>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5"/>
      <dgm:spPr/>
    </dgm:pt>
    <dgm:pt modelId="{322378CA-952B-4EC3-86AA-A0AD694F3072}" type="pres">
      <dgm:prSet presAssocID="{F2D0D1CE-24AB-4371-96E9-88259E53BB70}" presName="dstNode" presStyleLbl="node1" presStyleIdx="0" presStyleCnt="5"/>
      <dgm:spPr/>
    </dgm:pt>
    <dgm:pt modelId="{BEE7D273-0179-4E54-9D7B-B153A0FEDCFA}" type="pres">
      <dgm:prSet presAssocID="{17A3BD22-B542-4E72-9A8E-ECC494103A79}" presName="text_1" presStyleLbl="node1" presStyleIdx="0" presStyleCnt="5" custScaleY="104618">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5"/>
      <dgm:spPr/>
    </dgm:pt>
    <dgm:pt modelId="{01EBFA57-CAAA-4BA4-A7E2-43D20A04DA02}" type="pres">
      <dgm:prSet presAssocID="{10B9937C-93CB-46D3-8D95-85FEC89AD626}" presName="text_2" presStyleLbl="node1" presStyleIdx="1" presStyleCnt="5" custScaleY="104618">
        <dgm:presLayoutVars>
          <dgm:bulletEnabled val="1"/>
        </dgm:presLayoutVars>
      </dgm:prSet>
      <dgm:spPr/>
      <dgm:t>
        <a:bodyPr/>
        <a:lstStyle/>
        <a:p>
          <a:endParaRPr lang="en-US"/>
        </a:p>
      </dgm:t>
    </dgm:pt>
    <dgm:pt modelId="{A73A99F7-1BE9-49F8-BFFF-19D9ED76FF27}" type="pres">
      <dgm:prSet presAssocID="{10B9937C-93CB-46D3-8D95-85FEC89AD626}" presName="accent_2" presStyleCnt="0"/>
      <dgm:spPr/>
    </dgm:pt>
    <dgm:pt modelId="{A3B23BCF-84E0-474C-96C5-07C4633FA6AF}" type="pres">
      <dgm:prSet presAssocID="{10B9937C-93CB-46D3-8D95-85FEC89AD626}" presName="accentRepeatNode" presStyleLbl="solidFgAcc1" presStyleIdx="1" presStyleCnt="5"/>
      <dgm:spPr/>
    </dgm:pt>
    <dgm:pt modelId="{1769C5D7-0580-449E-A260-03DEC7B0B164}" type="pres">
      <dgm:prSet presAssocID="{A269AC57-C6EC-4D2C-96E2-1F0B0942543B}" presName="text_3" presStyleLbl="node1" presStyleIdx="2" presStyleCnt="5" custScaleY="104618">
        <dgm:presLayoutVars>
          <dgm:bulletEnabled val="1"/>
        </dgm:presLayoutVars>
      </dgm:prSet>
      <dgm:spPr/>
      <dgm:t>
        <a:bodyPr/>
        <a:lstStyle/>
        <a:p>
          <a:endParaRPr lang="en-US"/>
        </a:p>
      </dgm:t>
    </dgm:pt>
    <dgm:pt modelId="{D1B7F591-7C0E-4489-B8E1-A016CEF40019}" type="pres">
      <dgm:prSet presAssocID="{A269AC57-C6EC-4D2C-96E2-1F0B0942543B}" presName="accent_3" presStyleCnt="0"/>
      <dgm:spPr/>
    </dgm:pt>
    <dgm:pt modelId="{24EA14C5-92BF-422F-A387-255732329B91}" type="pres">
      <dgm:prSet presAssocID="{A269AC57-C6EC-4D2C-96E2-1F0B0942543B}" presName="accentRepeatNode" presStyleLbl="solidFgAcc1" presStyleIdx="2" presStyleCnt="5"/>
      <dgm:spPr/>
    </dgm:pt>
    <dgm:pt modelId="{1280A47C-F741-44EB-9EB3-21D27EB0AECC}" type="pres">
      <dgm:prSet presAssocID="{CB8F5B1A-0B98-4B94-B570-50D50335E177}" presName="text_4" presStyleLbl="node1" presStyleIdx="3" presStyleCnt="5" custScaleY="104618">
        <dgm:presLayoutVars>
          <dgm:bulletEnabled val="1"/>
        </dgm:presLayoutVars>
      </dgm:prSet>
      <dgm:spPr/>
      <dgm:t>
        <a:bodyPr/>
        <a:lstStyle/>
        <a:p>
          <a:endParaRPr lang="en-US"/>
        </a:p>
      </dgm:t>
    </dgm:pt>
    <dgm:pt modelId="{50B6F33F-81A6-4AFC-ABB6-C019E5F5B937}" type="pres">
      <dgm:prSet presAssocID="{CB8F5B1A-0B98-4B94-B570-50D50335E177}" presName="accent_4" presStyleCnt="0"/>
      <dgm:spPr/>
    </dgm:pt>
    <dgm:pt modelId="{CB4F0D6D-154B-4FBC-9C35-2C90A7489AB4}" type="pres">
      <dgm:prSet presAssocID="{CB8F5B1A-0B98-4B94-B570-50D50335E177}" presName="accentRepeatNode" presStyleLbl="solidFgAcc1" presStyleIdx="3" presStyleCnt="5"/>
      <dgm:spPr/>
    </dgm:pt>
    <dgm:pt modelId="{C6015832-7B2D-49AC-AE83-766767547BFC}" type="pres">
      <dgm:prSet presAssocID="{D9D81254-954D-4C6D-8CBC-23344CCB889A}" presName="text_5" presStyleLbl="node1" presStyleIdx="4" presStyleCnt="5" custScaleY="104618">
        <dgm:presLayoutVars>
          <dgm:bulletEnabled val="1"/>
        </dgm:presLayoutVars>
      </dgm:prSet>
      <dgm:spPr/>
      <dgm:t>
        <a:bodyPr/>
        <a:lstStyle/>
        <a:p>
          <a:endParaRPr lang="en-US"/>
        </a:p>
      </dgm:t>
    </dgm:pt>
    <dgm:pt modelId="{628356E3-A31D-46A0-8BC2-5F06583D8BB0}" type="pres">
      <dgm:prSet presAssocID="{D9D81254-954D-4C6D-8CBC-23344CCB889A}" presName="accent_5" presStyleCnt="0"/>
      <dgm:spPr/>
    </dgm:pt>
    <dgm:pt modelId="{65B42504-BA7A-4DC7-9039-5B2FB3D6AF35}" type="pres">
      <dgm:prSet presAssocID="{D9D81254-954D-4C6D-8CBC-23344CCB889A}" presName="accentRepeatNode" presStyleLbl="solidFgAcc1" presStyleIdx="4" presStyleCnt="5"/>
      <dgm:spPr/>
    </dgm:pt>
  </dgm:ptLst>
  <dgm:cxnLst>
    <dgm:cxn modelId="{DCEBB0E3-B686-4BFB-A89F-4DB7C0DB9998}" type="presOf" srcId="{A269AC57-C6EC-4D2C-96E2-1F0B0942543B}" destId="{1769C5D7-0580-449E-A260-03DEC7B0B164}" srcOrd="0" destOrd="0" presId="urn:microsoft.com/office/officeart/2008/layout/VerticalCurvedList"/>
    <dgm:cxn modelId="{96C7084F-70A6-4D21-A825-87CFD2B7B1AF}" srcId="{F2D0D1CE-24AB-4371-96E9-88259E53BB70}" destId="{A269AC57-C6EC-4D2C-96E2-1F0B0942543B}" srcOrd="2" destOrd="0" parTransId="{1A15991C-D3C2-4384-96A3-E6678B6872E7}" sibTransId="{2D4E608D-542C-43BA-8DD1-248F90CB8676}"/>
    <dgm:cxn modelId="{DD8A469F-B934-43CD-ADE4-0FCF8E5D7AE7}" type="presOf" srcId="{D9D81254-954D-4C6D-8CBC-23344CCB889A}" destId="{C6015832-7B2D-49AC-AE83-766767547BFC}" srcOrd="0" destOrd="0" presId="urn:microsoft.com/office/officeart/2008/layout/VerticalCurvedList"/>
    <dgm:cxn modelId="{A5894B21-8155-4E0C-84A1-8809948635E2}" srcId="{F2D0D1CE-24AB-4371-96E9-88259E53BB70}" destId="{10B9937C-93CB-46D3-8D95-85FEC89AD626}" srcOrd="1" destOrd="0" parTransId="{24D17286-90F0-4A85-B560-B18352DAD1AF}" sibTransId="{F9A5371B-84AA-4756-A764-DA9C77B634B3}"/>
    <dgm:cxn modelId="{028B6314-E078-4BAD-B9EA-6679B01408F3}" type="presOf" srcId="{10B9937C-93CB-46D3-8D95-85FEC89AD626}" destId="{01EBFA57-CAAA-4BA4-A7E2-43D20A04DA02}" srcOrd="0" destOrd="0" presId="urn:microsoft.com/office/officeart/2008/layout/VerticalCurvedList"/>
    <dgm:cxn modelId="{5F836DAC-A4A3-4C96-8D29-E485C0443AB2}" type="presOf" srcId="{CB8F5B1A-0B98-4B94-B570-50D50335E177}" destId="{1280A47C-F741-44EB-9EB3-21D27EB0AECC}"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A39EABDC-A949-427B-A846-3BFA6205F49C}" srcId="{F2D0D1CE-24AB-4371-96E9-88259E53BB70}" destId="{CB8F5B1A-0B98-4B94-B570-50D50335E177}" srcOrd="3" destOrd="0" parTransId="{A22E4161-0F45-485D-A13F-CAE889BAE75B}" sibTransId="{77026D37-7EBE-4241-AA99-1B1A0C41A6FD}"/>
    <dgm:cxn modelId="{6B0154E5-59BD-476D-9A72-4D32B460437A}" srcId="{F2D0D1CE-24AB-4371-96E9-88259E53BB70}" destId="{D9D81254-954D-4C6D-8CBC-23344CCB889A}" srcOrd="4" destOrd="0" parTransId="{08DBEA86-B232-4E96-BE93-19928AD609D9}" sibTransId="{FC9A4DF9-9F0D-43AF-A864-C12CF341BEDB}"/>
    <dgm:cxn modelId="{6974016A-CC95-4A5C-A0B8-24631DC459A3}" srcId="{F2D0D1CE-24AB-4371-96E9-88259E53BB70}" destId="{17A3BD22-B542-4E72-9A8E-ECC494103A79}" srcOrd="0" destOrd="0" parTransId="{5BE07069-57EC-45B8-B825-0336EE91FAA2}" sibTransId="{10D42C03-2F1E-4E96-A560-787949BC8597}"/>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 modelId="{0BE12084-7FD5-4EBD-BF54-3BBFB3050705}" type="presParOf" srcId="{F6BB7C7A-C219-4B48-BC86-D5481BD99949}" destId="{01EBFA57-CAAA-4BA4-A7E2-43D20A04DA02}" srcOrd="3" destOrd="0" presId="urn:microsoft.com/office/officeart/2008/layout/VerticalCurvedList"/>
    <dgm:cxn modelId="{3D12DF4D-E52C-4274-8EBC-6E5526F19448}" type="presParOf" srcId="{F6BB7C7A-C219-4B48-BC86-D5481BD99949}" destId="{A73A99F7-1BE9-49F8-BFFF-19D9ED76FF27}" srcOrd="4" destOrd="0" presId="urn:microsoft.com/office/officeart/2008/layout/VerticalCurvedList"/>
    <dgm:cxn modelId="{2D77C442-967B-46D0-943E-3B390AD85C31}" type="presParOf" srcId="{A73A99F7-1BE9-49F8-BFFF-19D9ED76FF27}" destId="{A3B23BCF-84E0-474C-96C5-07C4633FA6AF}" srcOrd="0" destOrd="0" presId="urn:microsoft.com/office/officeart/2008/layout/VerticalCurvedList"/>
    <dgm:cxn modelId="{FED376D3-5E47-44D2-8F64-C87C6032BD16}" type="presParOf" srcId="{F6BB7C7A-C219-4B48-BC86-D5481BD99949}" destId="{1769C5D7-0580-449E-A260-03DEC7B0B164}" srcOrd="5" destOrd="0" presId="urn:microsoft.com/office/officeart/2008/layout/VerticalCurvedList"/>
    <dgm:cxn modelId="{7014FE76-52FE-4363-8BB3-42BAB1702039}" type="presParOf" srcId="{F6BB7C7A-C219-4B48-BC86-D5481BD99949}" destId="{D1B7F591-7C0E-4489-B8E1-A016CEF40019}" srcOrd="6" destOrd="0" presId="urn:microsoft.com/office/officeart/2008/layout/VerticalCurvedList"/>
    <dgm:cxn modelId="{CF7015D9-1A82-4976-9136-DBE182538CAB}" type="presParOf" srcId="{D1B7F591-7C0E-4489-B8E1-A016CEF40019}" destId="{24EA14C5-92BF-422F-A387-255732329B91}" srcOrd="0" destOrd="0" presId="urn:microsoft.com/office/officeart/2008/layout/VerticalCurvedList"/>
    <dgm:cxn modelId="{B2A9E709-F82A-4012-8637-F6EA96A0A83F}" type="presParOf" srcId="{F6BB7C7A-C219-4B48-BC86-D5481BD99949}" destId="{1280A47C-F741-44EB-9EB3-21D27EB0AECC}" srcOrd="7" destOrd="0" presId="urn:microsoft.com/office/officeart/2008/layout/VerticalCurvedList"/>
    <dgm:cxn modelId="{0777BB27-9321-4C6F-9E60-840542313A56}" type="presParOf" srcId="{F6BB7C7A-C219-4B48-BC86-D5481BD99949}" destId="{50B6F33F-81A6-4AFC-ABB6-C019E5F5B937}" srcOrd="8" destOrd="0" presId="urn:microsoft.com/office/officeart/2008/layout/VerticalCurvedList"/>
    <dgm:cxn modelId="{BAAFE3CC-82BE-49B5-9D38-93B70E9239CB}" type="presParOf" srcId="{50B6F33F-81A6-4AFC-ABB6-C019E5F5B937}" destId="{CB4F0D6D-154B-4FBC-9C35-2C90A7489AB4}" srcOrd="0" destOrd="0" presId="urn:microsoft.com/office/officeart/2008/layout/VerticalCurvedList"/>
    <dgm:cxn modelId="{661ED6F3-31CA-46A1-909B-B9C1AAC86055}" type="presParOf" srcId="{F6BB7C7A-C219-4B48-BC86-D5481BD99949}" destId="{C6015832-7B2D-49AC-AE83-766767547BFC}" srcOrd="9" destOrd="0" presId="urn:microsoft.com/office/officeart/2008/layout/VerticalCurvedList"/>
    <dgm:cxn modelId="{7D286192-673C-45DA-859B-F595E647F920}" type="presParOf" srcId="{F6BB7C7A-C219-4B48-BC86-D5481BD99949}" destId="{628356E3-A31D-46A0-8BC2-5F06583D8BB0}" srcOrd="10" destOrd="0" presId="urn:microsoft.com/office/officeart/2008/layout/VerticalCurvedList"/>
    <dgm:cxn modelId="{E637178F-ACAA-4308-A002-1ADA25702291}" type="presParOf" srcId="{628356E3-A31D-46A0-8BC2-5F06583D8BB0}" destId="{65B42504-BA7A-4DC7-9039-5B2FB3D6AF35}" srcOrd="0" destOrd="0" presId="urn:microsoft.com/office/officeart/2008/layout/VerticalCurvedList"/>
  </dgm:cxnLst>
  <dgm:bg/>
  <dgm:whole/>
  <dgm:extLst>
    <a:ext uri="http://schemas.microsoft.com/office/drawing/2008/diagram">
      <dsp:dataModelExt xmlns:dsp="http://schemas.microsoft.com/office/drawing/2008/diagram" relId="rId45"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2"/>
        </a:solidFill>
      </dgm:spPr>
      <dgm:t>
        <a:bodyPr/>
        <a:lstStyle/>
        <a:p>
          <a:pPr algn="l"/>
          <a:r>
            <a:rPr lang="en-US" sz="1050" b="1">
              <a:solidFill>
                <a:schemeClr val="bg1"/>
              </a:solidFill>
            </a:rPr>
            <a:t>Leadership</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80">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1"/>
        </a:solidFill>
      </dgm:spPr>
      <dgm:t>
        <a:bodyPr/>
        <a:lstStyle/>
        <a:p>
          <a:pPr algn="l"/>
          <a:r>
            <a:rPr lang="en-US" sz="1050" b="1">
              <a:solidFill>
                <a:schemeClr val="bg1"/>
              </a:solidFill>
            </a:rPr>
            <a:t>Access to Justice</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X="99989" custScaleY="101079" custLinFactNeighborX="1350">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3"/>
        </a:solidFill>
      </dgm:spPr>
      <dgm:t>
        <a:bodyPr/>
        <a:lstStyle/>
        <a:p>
          <a:pPr algn="l"/>
          <a:r>
            <a:rPr lang="en-US" sz="1050" b="1">
              <a:solidFill>
                <a:schemeClr val="bg1"/>
              </a:solidFill>
            </a:rPr>
            <a:t>Professionalism</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X="100709"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4"/>
        </a:solidFill>
      </dgm:spPr>
      <dgm:t>
        <a:bodyPr/>
        <a:lstStyle/>
        <a:p>
          <a:pPr algn="l"/>
          <a:r>
            <a:rPr lang="en-US" sz="1050" b="1">
              <a:solidFill>
                <a:schemeClr val="bg1"/>
              </a:solidFill>
            </a:rPr>
            <a:t>Rights</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2D0D1CE-24AB-4371-96E9-88259E53BB70}" type="doc">
      <dgm:prSet loTypeId="urn:microsoft.com/office/officeart/2008/layout/VerticalCurvedList" loCatId="list" qsTypeId="urn:microsoft.com/office/officeart/2005/8/quickstyle/simple2" qsCatId="simple" csTypeId="urn:microsoft.com/office/officeart/2005/8/colors/colorful3" csCatId="colorful" phldr="1"/>
      <dgm:spPr/>
      <dgm:t>
        <a:bodyPr/>
        <a:lstStyle/>
        <a:p>
          <a:endParaRPr lang="en-US"/>
        </a:p>
      </dgm:t>
    </dgm:pt>
    <dgm:pt modelId="{17A3BD22-B542-4E72-9A8E-ECC494103A79}">
      <dgm:prSet phldrT="[Text]" custT="1"/>
      <dgm:spPr>
        <a:solidFill>
          <a:schemeClr val="accent5"/>
        </a:solidFill>
      </dgm:spPr>
      <dgm:t>
        <a:bodyPr/>
        <a:lstStyle/>
        <a:p>
          <a:pPr algn="l"/>
          <a:r>
            <a:rPr lang="en-US" sz="1050" b="1">
              <a:solidFill>
                <a:schemeClr val="bg1"/>
              </a:solidFill>
            </a:rPr>
            <a:t>Procedure</a:t>
          </a:r>
          <a:endParaRPr lang="en-US" sz="1050" b="1">
            <a:solidFill>
              <a:schemeClr val="bg1"/>
            </a:solidFill>
            <a:latin typeface="+mn-lt"/>
          </a:endParaRPr>
        </a:p>
      </dgm:t>
    </dgm:pt>
    <dgm:pt modelId="{5BE07069-57EC-45B8-B825-0336EE91FAA2}" type="parTrans" cxnId="{6974016A-CC95-4A5C-A0B8-24631DC459A3}">
      <dgm:prSet/>
      <dgm:spPr/>
      <dgm:t>
        <a:bodyPr/>
        <a:lstStyle/>
        <a:p>
          <a:pPr algn="l"/>
          <a:endParaRPr lang="en-US"/>
        </a:p>
      </dgm:t>
    </dgm:pt>
    <dgm:pt modelId="{10D42C03-2F1E-4E96-A560-787949BC8597}" type="sibTrans" cxnId="{6974016A-CC95-4A5C-A0B8-24631DC459A3}">
      <dgm:prSet/>
      <dgm:spPr/>
      <dgm:t>
        <a:bodyPr/>
        <a:lstStyle/>
        <a:p>
          <a:pPr algn="l"/>
          <a:endParaRPr lang="en-US" sz="1050" b="1">
            <a:latin typeface="+mn-lt"/>
          </a:endParaRPr>
        </a:p>
      </dgm:t>
    </dgm:pt>
    <dgm:pt modelId="{09150CA2-98AA-4FF2-9F65-0A747E8A25C2}" type="pres">
      <dgm:prSet presAssocID="{F2D0D1CE-24AB-4371-96E9-88259E53BB70}" presName="Name0" presStyleCnt="0">
        <dgm:presLayoutVars>
          <dgm:chMax val="7"/>
          <dgm:chPref val="7"/>
          <dgm:dir/>
        </dgm:presLayoutVars>
      </dgm:prSet>
      <dgm:spPr/>
      <dgm:t>
        <a:bodyPr/>
        <a:lstStyle/>
        <a:p>
          <a:endParaRPr lang="en-US"/>
        </a:p>
      </dgm:t>
    </dgm:pt>
    <dgm:pt modelId="{F6BB7C7A-C219-4B48-BC86-D5481BD99949}" type="pres">
      <dgm:prSet presAssocID="{F2D0D1CE-24AB-4371-96E9-88259E53BB70}" presName="Name1" presStyleCnt="0"/>
      <dgm:spPr/>
    </dgm:pt>
    <dgm:pt modelId="{B83B64B0-9F40-45C9-BB43-324B107A2E01}" type="pres">
      <dgm:prSet presAssocID="{F2D0D1CE-24AB-4371-96E9-88259E53BB70}" presName="cycle" presStyleCnt="0"/>
      <dgm:spPr/>
    </dgm:pt>
    <dgm:pt modelId="{76267E30-ED17-41B9-AC90-EEEBFE047FF0}" type="pres">
      <dgm:prSet presAssocID="{F2D0D1CE-24AB-4371-96E9-88259E53BB70}" presName="srcNode" presStyleLbl="node1" presStyleIdx="0" presStyleCnt="1"/>
      <dgm:spPr/>
    </dgm:pt>
    <dgm:pt modelId="{51BD7295-9A67-456A-9D8C-AAA96416EFDB}" type="pres">
      <dgm:prSet presAssocID="{F2D0D1CE-24AB-4371-96E9-88259E53BB70}" presName="conn" presStyleLbl="parChTrans1D2" presStyleIdx="0" presStyleCnt="1"/>
      <dgm:spPr/>
      <dgm:t>
        <a:bodyPr/>
        <a:lstStyle/>
        <a:p>
          <a:endParaRPr lang="en-US"/>
        </a:p>
      </dgm:t>
    </dgm:pt>
    <dgm:pt modelId="{80B6CED3-9CEF-4D41-8DAA-B7CCBF4C57CD}" type="pres">
      <dgm:prSet presAssocID="{F2D0D1CE-24AB-4371-96E9-88259E53BB70}" presName="extraNode" presStyleLbl="node1" presStyleIdx="0" presStyleCnt="1"/>
      <dgm:spPr/>
    </dgm:pt>
    <dgm:pt modelId="{322378CA-952B-4EC3-86AA-A0AD694F3072}" type="pres">
      <dgm:prSet presAssocID="{F2D0D1CE-24AB-4371-96E9-88259E53BB70}" presName="dstNode" presStyleLbl="node1" presStyleIdx="0" presStyleCnt="1"/>
      <dgm:spPr/>
    </dgm:pt>
    <dgm:pt modelId="{BEE7D273-0179-4E54-9D7B-B153A0FEDCFA}" type="pres">
      <dgm:prSet presAssocID="{17A3BD22-B542-4E72-9A8E-ECC494103A79}" presName="text_1" presStyleLbl="node1" presStyleIdx="0" presStyleCnt="1" custScaleY="101079">
        <dgm:presLayoutVars>
          <dgm:bulletEnabled val="1"/>
        </dgm:presLayoutVars>
      </dgm:prSet>
      <dgm:spPr/>
      <dgm:t>
        <a:bodyPr/>
        <a:lstStyle/>
        <a:p>
          <a:endParaRPr lang="en-US"/>
        </a:p>
      </dgm:t>
    </dgm:pt>
    <dgm:pt modelId="{12336B09-002F-4005-B247-B27D68E103E0}" type="pres">
      <dgm:prSet presAssocID="{17A3BD22-B542-4E72-9A8E-ECC494103A79}" presName="accent_1" presStyleCnt="0"/>
      <dgm:spPr/>
    </dgm:pt>
    <dgm:pt modelId="{7A154D9C-7784-492F-8C82-05DEEC48BEBB}" type="pres">
      <dgm:prSet presAssocID="{17A3BD22-B542-4E72-9A8E-ECC494103A79}" presName="accentRepeatNode" presStyleLbl="solidFgAcc1" presStyleIdx="0" presStyleCnt="1"/>
      <dgm:spPr>
        <a:solidFill>
          <a:schemeClr val="bg1"/>
        </a:solidFill>
      </dgm:spPr>
    </dgm:pt>
  </dgm:ptLst>
  <dgm:cxnLst>
    <dgm:cxn modelId="{102A6443-7AF2-4949-8CA1-49079E1FBA2D}" type="presOf" srcId="{F2D0D1CE-24AB-4371-96E9-88259E53BB70}" destId="{09150CA2-98AA-4FF2-9F65-0A747E8A25C2}" srcOrd="0" destOrd="0" presId="urn:microsoft.com/office/officeart/2008/layout/VerticalCurvedList"/>
    <dgm:cxn modelId="{DCCF6331-B416-4141-AFAC-C30E682EC2B0}" type="presOf" srcId="{17A3BD22-B542-4E72-9A8E-ECC494103A79}" destId="{BEE7D273-0179-4E54-9D7B-B153A0FEDCFA}" srcOrd="0" destOrd="0" presId="urn:microsoft.com/office/officeart/2008/layout/VerticalCurvedList"/>
    <dgm:cxn modelId="{DD0F771E-F843-4C63-82DB-3C87FDFA4A76}" type="presOf" srcId="{10D42C03-2F1E-4E96-A560-787949BC8597}" destId="{51BD7295-9A67-456A-9D8C-AAA96416EFDB}" srcOrd="0" destOrd="0" presId="urn:microsoft.com/office/officeart/2008/layout/VerticalCurvedList"/>
    <dgm:cxn modelId="{6974016A-CC95-4A5C-A0B8-24631DC459A3}" srcId="{F2D0D1CE-24AB-4371-96E9-88259E53BB70}" destId="{17A3BD22-B542-4E72-9A8E-ECC494103A79}" srcOrd="0" destOrd="0" parTransId="{5BE07069-57EC-45B8-B825-0336EE91FAA2}" sibTransId="{10D42C03-2F1E-4E96-A560-787949BC8597}"/>
    <dgm:cxn modelId="{422FEF2F-FFFC-478A-8C40-CC50C3A906D5}" type="presParOf" srcId="{09150CA2-98AA-4FF2-9F65-0A747E8A25C2}" destId="{F6BB7C7A-C219-4B48-BC86-D5481BD99949}" srcOrd="0" destOrd="0" presId="urn:microsoft.com/office/officeart/2008/layout/VerticalCurvedList"/>
    <dgm:cxn modelId="{FA75BCAC-BF04-4714-B147-FC8E058ADED6}" type="presParOf" srcId="{F6BB7C7A-C219-4B48-BC86-D5481BD99949}" destId="{B83B64B0-9F40-45C9-BB43-324B107A2E01}" srcOrd="0" destOrd="0" presId="urn:microsoft.com/office/officeart/2008/layout/VerticalCurvedList"/>
    <dgm:cxn modelId="{72DF07CC-6A43-43DD-8E03-1EF5D2BDFD51}" type="presParOf" srcId="{B83B64B0-9F40-45C9-BB43-324B107A2E01}" destId="{76267E30-ED17-41B9-AC90-EEEBFE047FF0}" srcOrd="0" destOrd="0" presId="urn:microsoft.com/office/officeart/2008/layout/VerticalCurvedList"/>
    <dgm:cxn modelId="{268790AD-5F26-4D4F-BF25-47A0B1B629DC}" type="presParOf" srcId="{B83B64B0-9F40-45C9-BB43-324B107A2E01}" destId="{51BD7295-9A67-456A-9D8C-AAA96416EFDB}" srcOrd="1" destOrd="0" presId="urn:microsoft.com/office/officeart/2008/layout/VerticalCurvedList"/>
    <dgm:cxn modelId="{FA74B2E7-C4BF-438F-81E0-F93B1DC83189}" type="presParOf" srcId="{B83B64B0-9F40-45C9-BB43-324B107A2E01}" destId="{80B6CED3-9CEF-4D41-8DAA-B7CCBF4C57CD}" srcOrd="2" destOrd="0" presId="urn:microsoft.com/office/officeart/2008/layout/VerticalCurvedList"/>
    <dgm:cxn modelId="{6A1AFE45-18C1-4480-BC40-7B50704AB488}" type="presParOf" srcId="{B83B64B0-9F40-45C9-BB43-324B107A2E01}" destId="{322378CA-952B-4EC3-86AA-A0AD694F3072}" srcOrd="3" destOrd="0" presId="urn:microsoft.com/office/officeart/2008/layout/VerticalCurvedList"/>
    <dgm:cxn modelId="{3B76FFA5-C068-4E6F-B00C-ECDD82BD5C98}" type="presParOf" srcId="{F6BB7C7A-C219-4B48-BC86-D5481BD99949}" destId="{BEE7D273-0179-4E54-9D7B-B153A0FEDCFA}" srcOrd="1" destOrd="0" presId="urn:microsoft.com/office/officeart/2008/layout/VerticalCurvedList"/>
    <dgm:cxn modelId="{334457C3-2504-4ADE-B437-652F3BFA1AA3}" type="presParOf" srcId="{F6BB7C7A-C219-4B48-BC86-D5481BD99949}" destId="{12336B09-002F-4005-B247-B27D68E103E0}" srcOrd="2" destOrd="0" presId="urn:microsoft.com/office/officeart/2008/layout/VerticalCurvedList"/>
    <dgm:cxn modelId="{55B21938-C4CB-4399-82EB-550B4373B585}" type="presParOf" srcId="{12336B09-002F-4005-B247-B27D68E103E0}" destId="{7A154D9C-7784-492F-8C82-05DEEC48BEBB}" srcOrd="0" destOrd="0" presId="urn:microsoft.com/office/officeart/2008/layout/VerticalCurvedList"/>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967FCA-B438-4F65-A1FA-5231CBEE025D}">
      <dsp:nvSpPr>
        <dsp:cNvPr id="0" name=""/>
        <dsp:cNvSpPr/>
      </dsp:nvSpPr>
      <dsp:spPr>
        <a:xfrm>
          <a:off x="1599819" y="2892947"/>
          <a:ext cx="2413200" cy="2087516"/>
        </a:xfrm>
        <a:prstGeom prst="hexagon">
          <a:avLst>
            <a:gd name="adj" fmla="val 28570"/>
            <a:gd name="vf" fmla="val 115470"/>
          </a:avLst>
        </a:prstGeom>
        <a:solidFill>
          <a:schemeClr val="tx2"/>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b="1" kern="1200"/>
            <a:t>Partner Courts' justice sytems have improved</a:t>
          </a:r>
        </a:p>
      </dsp:txBody>
      <dsp:txXfrm>
        <a:off x="1999720" y="3238878"/>
        <a:ext cx="1613398" cy="1395654"/>
      </dsp:txXfrm>
    </dsp:sp>
    <dsp:sp modelId="{B9D5D062-96A9-44E2-B3CD-195656640011}">
      <dsp:nvSpPr>
        <dsp:cNvPr id="0" name=""/>
        <dsp:cNvSpPr/>
      </dsp:nvSpPr>
      <dsp:spPr>
        <a:xfrm>
          <a:off x="3110946" y="1894212"/>
          <a:ext cx="910493" cy="784510"/>
        </a:xfrm>
        <a:prstGeom prst="hexagon">
          <a:avLst>
            <a:gd name="adj" fmla="val 28900"/>
            <a:gd name="vf" fmla="val 11547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0E18D0AC-E83D-4999-A76A-DAB798D10B68}">
      <dsp:nvSpPr>
        <dsp:cNvPr id="0" name=""/>
        <dsp:cNvSpPr/>
      </dsp:nvSpPr>
      <dsp:spPr>
        <a:xfrm>
          <a:off x="1822109" y="994349"/>
          <a:ext cx="1977600" cy="1710856"/>
        </a:xfrm>
        <a:prstGeom prst="hexagon">
          <a:avLst>
            <a:gd name="adj" fmla="val 28570"/>
            <a:gd name="vf" fmla="val 11547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t>100% of Partner Courts are transparent about &amp; accountable for their performance</a:t>
          </a:r>
        </a:p>
        <a:p>
          <a:pPr lvl="0" algn="ctr" defTabSz="533400">
            <a:lnSpc>
              <a:spcPct val="90000"/>
            </a:lnSpc>
            <a:spcBef>
              <a:spcPct val="0"/>
            </a:spcBef>
            <a:spcAft>
              <a:spcPct val="35000"/>
            </a:spcAft>
          </a:pPr>
          <a:r>
            <a:rPr lang="en-AU" sz="1200" b="1" kern="1200"/>
            <a:t>(baseline = 14%)</a:t>
          </a:r>
        </a:p>
      </dsp:txBody>
      <dsp:txXfrm>
        <a:off x="2149840" y="1277874"/>
        <a:ext cx="1322138" cy="1143806"/>
      </dsp:txXfrm>
    </dsp:sp>
    <dsp:sp modelId="{8F06927D-7B6C-497B-A0ED-3F7CD3775340}">
      <dsp:nvSpPr>
        <dsp:cNvPr id="0" name=""/>
        <dsp:cNvSpPr/>
      </dsp:nvSpPr>
      <dsp:spPr>
        <a:xfrm>
          <a:off x="4173562" y="3360829"/>
          <a:ext cx="910493" cy="784510"/>
        </a:xfrm>
        <a:prstGeom prst="hexagon">
          <a:avLst>
            <a:gd name="adj" fmla="val 28900"/>
            <a:gd name="vf" fmla="val 11547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F78C6427-F811-4DFE-A57D-0F5BAE8DB495}">
      <dsp:nvSpPr>
        <dsp:cNvPr id="0" name=""/>
        <dsp:cNvSpPr/>
      </dsp:nvSpPr>
      <dsp:spPr>
        <a:xfrm>
          <a:off x="3635799" y="2046641"/>
          <a:ext cx="1977600" cy="1710856"/>
        </a:xfrm>
        <a:prstGeom prst="hexagon">
          <a:avLst>
            <a:gd name="adj" fmla="val 28570"/>
            <a:gd name="vf" fmla="val 11547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t>100% of Partner Courts have access to tailored in-region tertiary &amp; professional education</a:t>
          </a:r>
        </a:p>
        <a:p>
          <a:pPr lvl="0" algn="ctr" defTabSz="533400">
            <a:lnSpc>
              <a:spcPct val="90000"/>
            </a:lnSpc>
            <a:spcBef>
              <a:spcPct val="0"/>
            </a:spcBef>
            <a:spcAft>
              <a:spcPct val="35000"/>
            </a:spcAft>
          </a:pPr>
          <a:r>
            <a:rPr lang="en-AU" sz="1200" b="1" kern="1200"/>
            <a:t>(baseline = 0%)</a:t>
          </a:r>
          <a:endParaRPr lang="en-US" sz="1200" kern="1200"/>
        </a:p>
      </dsp:txBody>
      <dsp:txXfrm>
        <a:off x="3963530" y="2330166"/>
        <a:ext cx="1322138" cy="1143806"/>
      </dsp:txXfrm>
    </dsp:sp>
    <dsp:sp modelId="{1C10A47D-B404-414F-B6B9-85963A83FAD8}">
      <dsp:nvSpPr>
        <dsp:cNvPr id="0" name=""/>
        <dsp:cNvSpPr/>
      </dsp:nvSpPr>
      <dsp:spPr>
        <a:xfrm>
          <a:off x="3435400" y="5016364"/>
          <a:ext cx="910493" cy="784510"/>
        </a:xfrm>
        <a:prstGeom prst="hexagon">
          <a:avLst>
            <a:gd name="adj" fmla="val 28900"/>
            <a:gd name="vf" fmla="val 11547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2FB4AD6F-4641-407C-8A58-43AC933F1FB8}">
      <dsp:nvSpPr>
        <dsp:cNvPr id="0" name=""/>
        <dsp:cNvSpPr/>
      </dsp:nvSpPr>
      <dsp:spPr>
        <a:xfrm>
          <a:off x="3635799" y="4115324"/>
          <a:ext cx="1977600" cy="1710856"/>
        </a:xfrm>
        <a:prstGeom prst="hexagon">
          <a:avLst>
            <a:gd name="adj" fmla="val 28570"/>
            <a:gd name="vf" fmla="val 11547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t>100% of Partner Courts have insight into their performance against comprehensive benchmarks</a:t>
          </a:r>
        </a:p>
        <a:p>
          <a:pPr lvl="0" algn="ctr" defTabSz="533400">
            <a:lnSpc>
              <a:spcPct val="90000"/>
            </a:lnSpc>
            <a:spcBef>
              <a:spcPct val="0"/>
            </a:spcBef>
            <a:spcAft>
              <a:spcPct val="35000"/>
            </a:spcAft>
          </a:pPr>
          <a:r>
            <a:rPr lang="en-AU" sz="1200" b="1" kern="1200"/>
            <a:t>(baseline = 14%)</a:t>
          </a:r>
          <a:endParaRPr lang="en-US" sz="1200" kern="1200"/>
        </a:p>
      </dsp:txBody>
      <dsp:txXfrm>
        <a:off x="3963530" y="4398849"/>
        <a:ext cx="1322138" cy="1143806"/>
      </dsp:txXfrm>
    </dsp:sp>
    <dsp:sp modelId="{AC6893B6-0CA7-4C09-89E8-1061A71E5497}">
      <dsp:nvSpPr>
        <dsp:cNvPr id="0" name=""/>
        <dsp:cNvSpPr/>
      </dsp:nvSpPr>
      <dsp:spPr>
        <a:xfrm>
          <a:off x="1604309" y="5188214"/>
          <a:ext cx="910493" cy="784510"/>
        </a:xfrm>
        <a:prstGeom prst="hexagon">
          <a:avLst>
            <a:gd name="adj" fmla="val 28900"/>
            <a:gd name="vf" fmla="val 11547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DA8990A-786A-4084-B1D3-5D514FF7032D}">
      <dsp:nvSpPr>
        <dsp:cNvPr id="0" name=""/>
        <dsp:cNvSpPr/>
      </dsp:nvSpPr>
      <dsp:spPr>
        <a:xfrm>
          <a:off x="1822109" y="5168793"/>
          <a:ext cx="1977600" cy="1710856"/>
        </a:xfrm>
        <a:prstGeom prst="hexagon">
          <a:avLst>
            <a:gd name="adj" fmla="val 28570"/>
            <a:gd name="vf" fmla="val 11547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t>93% of Partner Courts use performance data to plan &amp; deliver ongoing improvements</a:t>
          </a:r>
        </a:p>
        <a:p>
          <a:pPr lvl="0" algn="ctr" defTabSz="533400">
            <a:lnSpc>
              <a:spcPct val="90000"/>
            </a:lnSpc>
            <a:spcBef>
              <a:spcPct val="0"/>
            </a:spcBef>
            <a:spcAft>
              <a:spcPct val="35000"/>
            </a:spcAft>
          </a:pPr>
          <a:r>
            <a:rPr lang="en-AU" sz="1200" b="1" kern="1200"/>
            <a:t>(baseline = 21%)</a:t>
          </a:r>
          <a:endParaRPr lang="en-US" sz="1200" kern="1200"/>
        </a:p>
      </dsp:txBody>
      <dsp:txXfrm>
        <a:off x="2149840" y="5452318"/>
        <a:ext cx="1322138" cy="1143806"/>
      </dsp:txXfrm>
    </dsp:sp>
    <dsp:sp modelId="{C5771892-FC15-45F2-8B00-AD1110FF4A9C}">
      <dsp:nvSpPr>
        <dsp:cNvPr id="0" name=""/>
        <dsp:cNvSpPr/>
      </dsp:nvSpPr>
      <dsp:spPr>
        <a:xfrm>
          <a:off x="524291" y="3722186"/>
          <a:ext cx="910493" cy="784510"/>
        </a:xfrm>
        <a:prstGeom prst="hexagon">
          <a:avLst>
            <a:gd name="adj" fmla="val 28900"/>
            <a:gd name="vf" fmla="val 11547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0CA3A39A-EE3E-4542-937D-9C3E6653175C}">
      <dsp:nvSpPr>
        <dsp:cNvPr id="0" name=""/>
        <dsp:cNvSpPr/>
      </dsp:nvSpPr>
      <dsp:spPr>
        <a:xfrm>
          <a:off x="0" y="4116501"/>
          <a:ext cx="1977600" cy="1710856"/>
        </a:xfrm>
        <a:prstGeom prst="hexagon">
          <a:avLst>
            <a:gd name="adj" fmla="val 28570"/>
            <a:gd name="vf" fmla="val 11547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t>100% of Partner Courts PJSI worked with are responsive to the accessibility &amp; human rights needs of vulnerable groups</a:t>
          </a:r>
        </a:p>
        <a:p>
          <a:pPr lvl="0" algn="ctr" defTabSz="533400">
            <a:lnSpc>
              <a:spcPct val="90000"/>
            </a:lnSpc>
            <a:spcBef>
              <a:spcPct val="0"/>
            </a:spcBef>
            <a:spcAft>
              <a:spcPct val="35000"/>
            </a:spcAft>
          </a:pPr>
          <a:r>
            <a:rPr lang="en-AU" sz="1200" b="1" kern="1200"/>
            <a:t>(baseline = 0%)</a:t>
          </a:r>
          <a:endParaRPr lang="en-US" sz="1200" kern="1200"/>
        </a:p>
      </dsp:txBody>
      <dsp:txXfrm>
        <a:off x="327731" y="4400026"/>
        <a:ext cx="1322138" cy="1143806"/>
      </dsp:txXfrm>
    </dsp:sp>
    <dsp:sp modelId="{1EBBAF27-DEAB-402F-BD79-87EDC490DE42}">
      <dsp:nvSpPr>
        <dsp:cNvPr id="0" name=""/>
        <dsp:cNvSpPr/>
      </dsp:nvSpPr>
      <dsp:spPr>
        <a:xfrm>
          <a:off x="0" y="2044287"/>
          <a:ext cx="1977600" cy="1710856"/>
        </a:xfrm>
        <a:prstGeom prst="hexagon">
          <a:avLst>
            <a:gd name="adj" fmla="val 28570"/>
            <a:gd name="vf" fmla="val 115470"/>
          </a:avLst>
        </a:prstGeom>
        <a:solidFill>
          <a:schemeClr val="accent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t>86% of Partner Courts are successfully leading change locally</a:t>
          </a:r>
        </a:p>
        <a:p>
          <a:pPr lvl="0" algn="ctr" defTabSz="533400">
            <a:lnSpc>
              <a:spcPct val="90000"/>
            </a:lnSpc>
            <a:spcBef>
              <a:spcPct val="0"/>
            </a:spcBef>
            <a:spcAft>
              <a:spcPct val="35000"/>
            </a:spcAft>
          </a:pPr>
          <a:r>
            <a:rPr lang="en-AU" sz="1200" b="1" kern="1200"/>
            <a:t>(baseline = 21%)</a:t>
          </a:r>
          <a:endParaRPr lang="en-US" sz="1200" kern="1200"/>
        </a:p>
      </dsp:txBody>
      <dsp:txXfrm>
        <a:off x="327731" y="2327812"/>
        <a:ext cx="1322138" cy="114380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116" y="-98486"/>
          <a:ext cx="916428" cy="916428"/>
        </a:xfrm>
        <a:prstGeom prst="blockArc">
          <a:avLst>
            <a:gd name="adj1" fmla="val 18900000"/>
            <a:gd name="adj2" fmla="val 2700000"/>
            <a:gd name="adj3" fmla="val 2357"/>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430" y="179862"/>
          <a:ext cx="5594804" cy="359729"/>
        </a:xfrm>
        <a:prstGeom prst="rect">
          <a:avLst/>
        </a:prstGeom>
        <a:solidFill>
          <a:schemeClr val="accent2"/>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534"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Leadership - 118 activities</a:t>
          </a:r>
          <a:endParaRPr lang="en-US" sz="1050" b="1" kern="1200">
            <a:solidFill>
              <a:schemeClr val="bg1"/>
            </a:solidFill>
            <a:latin typeface="+mn-lt"/>
          </a:endParaRPr>
        </a:p>
      </dsp:txBody>
      <dsp:txXfrm>
        <a:off x="222430" y="179862"/>
        <a:ext cx="5594804" cy="359729"/>
      </dsp:txXfrm>
    </dsp:sp>
    <dsp:sp modelId="{7A154D9C-7784-492F-8C82-05DEEC48BEBB}">
      <dsp:nvSpPr>
        <dsp:cNvPr id="0" name=""/>
        <dsp:cNvSpPr/>
      </dsp:nvSpPr>
      <dsp:spPr>
        <a:xfrm>
          <a:off x="0" y="137296"/>
          <a:ext cx="444861" cy="444861"/>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116" y="-98486"/>
          <a:ext cx="916428" cy="916428"/>
        </a:xfrm>
        <a:prstGeom prst="blockArc">
          <a:avLst>
            <a:gd name="adj1" fmla="val 18900000"/>
            <a:gd name="adj2" fmla="val 2700000"/>
            <a:gd name="adj3" fmla="val 2357"/>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430" y="179862"/>
          <a:ext cx="5594804" cy="359729"/>
        </a:xfrm>
        <a:prstGeom prst="rect">
          <a:avLst/>
        </a:prstGeom>
        <a:solidFill>
          <a:schemeClr val="accent1"/>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534"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Access to Justice - 16 activities</a:t>
          </a:r>
          <a:endParaRPr lang="en-US" sz="1050" b="1" kern="1200">
            <a:solidFill>
              <a:schemeClr val="bg1"/>
            </a:solidFill>
            <a:latin typeface="+mn-lt"/>
          </a:endParaRPr>
        </a:p>
      </dsp:txBody>
      <dsp:txXfrm>
        <a:off x="222430" y="179862"/>
        <a:ext cx="5594804" cy="359729"/>
      </dsp:txXfrm>
    </dsp:sp>
    <dsp:sp modelId="{7A154D9C-7784-492F-8C82-05DEEC48BEBB}">
      <dsp:nvSpPr>
        <dsp:cNvPr id="0" name=""/>
        <dsp:cNvSpPr/>
      </dsp:nvSpPr>
      <dsp:spPr>
        <a:xfrm>
          <a:off x="0" y="137296"/>
          <a:ext cx="444861" cy="444861"/>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3"/>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Professionalism - 37 activities</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4"/>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Rights - 21 activities</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5"/>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Procedure - 45</a:t>
          </a:r>
          <a:r>
            <a:rPr lang="en-US" sz="1050" b="1" kern="1200">
              <a:solidFill>
                <a:srgbClr val="FF0000"/>
              </a:solidFill>
            </a:rPr>
            <a:t> </a:t>
          </a:r>
          <a:r>
            <a:rPr lang="en-US" sz="1050" b="1" kern="1200">
              <a:solidFill>
                <a:schemeClr val="bg1"/>
              </a:solidFill>
            </a:rPr>
            <a:t>activities</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2"/>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Leadership</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1"/>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Access to Justice</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3"/>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Professionalism</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4"/>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Rights</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5"/>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Procedure</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2AAE69-F1CB-434C-8E0A-FF2638598388}">
      <dsp:nvSpPr>
        <dsp:cNvPr id="0" name=""/>
        <dsp:cNvSpPr/>
      </dsp:nvSpPr>
      <dsp:spPr>
        <a:xfrm rot="16200000">
          <a:off x="372023" y="-372745"/>
          <a:ext cx="457200" cy="1202690"/>
        </a:xfrm>
        <a:prstGeom prst="round1Rect">
          <a:avLst/>
        </a:prstGeom>
        <a:solidFill>
          <a:schemeClr val="accent2"/>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11175">
            <a:lnSpc>
              <a:spcPct val="90000"/>
            </a:lnSpc>
            <a:spcBef>
              <a:spcPct val="0"/>
            </a:spcBef>
            <a:spcAft>
              <a:spcPct val="35000"/>
            </a:spcAft>
          </a:pPr>
          <a:r>
            <a:rPr lang="en-US" sz="1150" b="1" kern="1200"/>
            <a:t>Access</a:t>
          </a:r>
        </a:p>
      </dsp:txBody>
      <dsp:txXfrm rot="5400000">
        <a:off x="-722" y="0"/>
        <a:ext cx="1202690" cy="342900"/>
      </dsp:txXfrm>
    </dsp:sp>
    <dsp:sp modelId="{EFEB251B-091D-453C-B176-7B92E6AD6B3A}">
      <dsp:nvSpPr>
        <dsp:cNvPr id="0" name=""/>
        <dsp:cNvSpPr/>
      </dsp:nvSpPr>
      <dsp:spPr>
        <a:xfrm>
          <a:off x="1201968" y="0"/>
          <a:ext cx="1202690" cy="457200"/>
        </a:xfrm>
        <a:prstGeom prst="round1Rect">
          <a:avLst/>
        </a:prstGeom>
        <a:solidFill>
          <a:schemeClr val="accent1"/>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11175">
            <a:lnSpc>
              <a:spcPct val="90000"/>
            </a:lnSpc>
            <a:spcBef>
              <a:spcPct val="0"/>
            </a:spcBef>
            <a:spcAft>
              <a:spcPct val="35000"/>
            </a:spcAft>
          </a:pPr>
          <a:r>
            <a:rPr lang="en-US" sz="1150" b="1" kern="1200"/>
            <a:t>Professionalism</a:t>
          </a:r>
        </a:p>
      </dsp:txBody>
      <dsp:txXfrm>
        <a:off x="1201968" y="0"/>
        <a:ext cx="1202690" cy="342900"/>
      </dsp:txXfrm>
    </dsp:sp>
    <dsp:sp modelId="{1D6A1B5E-3498-4517-B810-6E342783F7CB}">
      <dsp:nvSpPr>
        <dsp:cNvPr id="0" name=""/>
        <dsp:cNvSpPr/>
      </dsp:nvSpPr>
      <dsp:spPr>
        <a:xfrm rot="10800000">
          <a:off x="-721" y="457200"/>
          <a:ext cx="1202690" cy="457200"/>
        </a:xfrm>
        <a:prstGeom prst="round1Rect">
          <a:avLst/>
        </a:prstGeom>
        <a:solidFill>
          <a:schemeClr val="accent4"/>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11175">
            <a:lnSpc>
              <a:spcPct val="90000"/>
            </a:lnSpc>
            <a:spcBef>
              <a:spcPct val="0"/>
            </a:spcBef>
            <a:spcAft>
              <a:spcPct val="35000"/>
            </a:spcAft>
          </a:pPr>
          <a:r>
            <a:rPr lang="en-US" sz="1150" b="1" kern="1200"/>
            <a:t>Rights</a:t>
          </a:r>
        </a:p>
      </dsp:txBody>
      <dsp:txXfrm rot="10800000">
        <a:off x="-721" y="571499"/>
        <a:ext cx="1202690" cy="342900"/>
      </dsp:txXfrm>
    </dsp:sp>
    <dsp:sp modelId="{4F601F2C-833C-455D-9948-9891DC0EC9E8}">
      <dsp:nvSpPr>
        <dsp:cNvPr id="0" name=""/>
        <dsp:cNvSpPr/>
      </dsp:nvSpPr>
      <dsp:spPr>
        <a:xfrm rot="5400000">
          <a:off x="1574818" y="83011"/>
          <a:ext cx="456989" cy="1205576"/>
        </a:xfrm>
        <a:prstGeom prst="round1Rect">
          <a:avLst/>
        </a:prstGeom>
        <a:solidFill>
          <a:schemeClr val="accent3"/>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11175">
            <a:lnSpc>
              <a:spcPct val="90000"/>
            </a:lnSpc>
            <a:spcBef>
              <a:spcPct val="0"/>
            </a:spcBef>
            <a:spcAft>
              <a:spcPct val="35000"/>
            </a:spcAft>
          </a:pPr>
          <a:r>
            <a:rPr lang="en-US" sz="1150" b="1" kern="1200"/>
            <a:t>Procedure</a:t>
          </a:r>
        </a:p>
      </dsp:txBody>
      <dsp:txXfrm rot="-5400000">
        <a:off x="1200525" y="571552"/>
        <a:ext cx="1205576" cy="342742"/>
      </dsp:txXfrm>
    </dsp:sp>
    <dsp:sp modelId="{FC9FF0CC-05B9-4A8C-866B-D4856DCC1C4E}">
      <dsp:nvSpPr>
        <dsp:cNvPr id="0" name=""/>
        <dsp:cNvSpPr/>
      </dsp:nvSpPr>
      <dsp:spPr>
        <a:xfrm>
          <a:off x="665203" y="292132"/>
          <a:ext cx="1074973" cy="330134"/>
        </a:xfrm>
        <a:prstGeom prst="roundRect">
          <a:avLst/>
        </a:prstGeom>
        <a:solidFill>
          <a:schemeClr val="accent5"/>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dsp:style>
      <dsp:txBody>
        <a:bodyPr spcFirstLastPara="0" vert="horz" wrap="square" lIns="45720" tIns="45720" rIns="45720" bIns="45720" numCol="1" spcCol="1270" anchor="ctr" anchorCtr="0">
          <a:noAutofit/>
        </a:bodyPr>
        <a:lstStyle/>
        <a:p>
          <a:pPr lvl="0" algn="ctr" defTabSz="511175">
            <a:lnSpc>
              <a:spcPct val="90000"/>
            </a:lnSpc>
            <a:spcBef>
              <a:spcPct val="0"/>
            </a:spcBef>
            <a:spcAft>
              <a:spcPct val="35000"/>
            </a:spcAft>
          </a:pPr>
          <a:r>
            <a:rPr lang="en-US" sz="1150" b="1" kern="1200"/>
            <a:t>Leadership</a:t>
          </a:r>
        </a:p>
      </dsp:txBody>
      <dsp:txXfrm>
        <a:off x="681319" y="308248"/>
        <a:ext cx="1042741" cy="297902"/>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334" y="-98557"/>
          <a:ext cx="917114" cy="917114"/>
        </a:xfrm>
        <a:prstGeom prst="blockArc">
          <a:avLst>
            <a:gd name="adj1" fmla="val 18900000"/>
            <a:gd name="adj2" fmla="val 2700000"/>
            <a:gd name="adj3" fmla="val 2355"/>
          </a:avLst>
        </a:prstGeom>
        <a:noFill/>
        <a:ln w="12700" cap="flat" cmpd="sng" algn="ctr">
          <a:solidFill>
            <a:schemeClr val="accent4"/>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899" y="180000"/>
          <a:ext cx="5595002" cy="359999"/>
        </a:xfrm>
        <a:prstGeom prst="rect">
          <a:avLst/>
        </a:prstGeom>
        <a:solidFill>
          <a:schemeClr val="accent2">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latin typeface="+mn-lt"/>
            </a:rPr>
            <a:t>Courts lead and manage change locally</a:t>
          </a:r>
        </a:p>
      </dsp:txBody>
      <dsp:txXfrm>
        <a:off x="222899" y="180000"/>
        <a:ext cx="5595002" cy="359999"/>
      </dsp:txXfrm>
    </dsp:sp>
    <dsp:sp modelId="{7A154D9C-7784-492F-8C82-05DEEC48BEBB}">
      <dsp:nvSpPr>
        <dsp:cNvPr id="0" name=""/>
        <dsp:cNvSpPr/>
      </dsp:nvSpPr>
      <dsp:spPr>
        <a:xfrm>
          <a:off x="-301" y="136799"/>
          <a:ext cx="446401" cy="446401"/>
        </a:xfrm>
        <a:prstGeom prst="ellipse">
          <a:avLst/>
        </a:prstGeom>
        <a:solidFill>
          <a:schemeClr val="lt1">
            <a:hueOff val="0"/>
            <a:satOff val="0"/>
            <a:lumOff val="0"/>
            <a:alphaOff val="0"/>
          </a:schemeClr>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solidFill>
          <a:prstDash val="solid"/>
          <a:miter lim="800000"/>
        </a:ln>
        <a:effectLst/>
      </dsp:spPr>
      <dsp:style>
        <a:lnRef idx="2">
          <a:scrgbClr r="0" g="0" b="0"/>
        </a:lnRef>
        <a:fillRef idx="0">
          <a:scrgbClr r="0" g="0" b="0"/>
        </a:fillRef>
        <a:effectRef idx="0">
          <a:scrgbClr r="0" g="0" b="0"/>
        </a:effectRef>
        <a:fontRef idx="minor"/>
      </dsp:style>
    </dsp:sp>
    <dsp:sp modelId="{8281706A-583F-4686-96C6-A7903BB70770}">
      <dsp:nvSpPr>
        <dsp:cNvPr id="0" name=""/>
        <dsp:cNvSpPr/>
      </dsp:nvSpPr>
      <dsp:spPr>
        <a:xfrm>
          <a:off x="222597" y="180000"/>
          <a:ext cx="5595002" cy="359999"/>
        </a:xfrm>
        <a:prstGeom prst="rect">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GB" sz="1050" b="1" kern="1200">
              <a:latin typeface="+mn-lt"/>
            </a:rPr>
            <a:t>Marginalised and vulnerable groups access justice </a:t>
          </a:r>
          <a:endParaRPr lang="en-US" sz="1050" b="1" kern="1200">
            <a:latin typeface="+mn-lt"/>
          </a:endParaRPr>
        </a:p>
      </dsp:txBody>
      <dsp:txXfrm>
        <a:off x="222597" y="180000"/>
        <a:ext cx="5595002" cy="359999"/>
      </dsp:txXfrm>
    </dsp:sp>
    <dsp:sp modelId="{A3B23BCF-84E0-474C-96C5-07C4633FA6AF}">
      <dsp:nvSpPr>
        <dsp:cNvPr id="0" name=""/>
        <dsp:cNvSpPr/>
      </dsp:nvSpPr>
      <dsp:spPr>
        <a:xfrm>
          <a:off x="0" y="137402"/>
          <a:ext cx="445195" cy="445195"/>
        </a:xfrm>
        <a:prstGeom prst="ellipse">
          <a:avLst/>
        </a:prstGeom>
        <a:solidFill>
          <a:schemeClr val="lt1">
            <a:hueOff val="0"/>
            <a:satOff val="0"/>
            <a:lumOff val="0"/>
            <a:alphaOff val="0"/>
          </a:schemeClr>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601E8E6-6962-424A-9391-7A0BE06BAF32}">
      <dsp:nvSpPr>
        <dsp:cNvPr id="0" name=""/>
        <dsp:cNvSpPr/>
      </dsp:nvSpPr>
      <dsp:spPr>
        <a:xfrm>
          <a:off x="222597" y="180000"/>
          <a:ext cx="5595002" cy="359999"/>
        </a:xfrm>
        <a:prstGeom prst="rect">
          <a:avLst/>
        </a:prstGeom>
        <a:solidFill>
          <a:schemeClr val="accent3"/>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GB" sz="1050" b="1" kern="1200">
              <a:latin typeface="+mn-lt"/>
            </a:rPr>
            <a:t>Courts operate with professionalism</a:t>
          </a:r>
          <a:endParaRPr lang="en-US" sz="1050" b="1" kern="1200">
            <a:latin typeface="+mn-lt"/>
          </a:endParaRPr>
        </a:p>
      </dsp:txBody>
      <dsp:txXfrm>
        <a:off x="222597" y="180000"/>
        <a:ext cx="5595002" cy="359999"/>
      </dsp:txXfrm>
    </dsp:sp>
    <dsp:sp modelId="{24EA14C5-92BF-422F-A387-255732329B91}">
      <dsp:nvSpPr>
        <dsp:cNvPr id="0" name=""/>
        <dsp:cNvSpPr/>
      </dsp:nvSpPr>
      <dsp:spPr>
        <a:xfrm>
          <a:off x="0" y="137402"/>
          <a:ext cx="445195" cy="445195"/>
        </a:xfrm>
        <a:prstGeom prst="ellipse">
          <a:avLst/>
        </a:prstGeom>
        <a:solidFill>
          <a:schemeClr val="lt1">
            <a:hueOff val="0"/>
            <a:satOff val="0"/>
            <a:lumOff val="0"/>
            <a:alphaOff val="0"/>
          </a:schemeClr>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solidFill>
          <a:prstDash val="solid"/>
          <a:miter lim="800000"/>
        </a:ln>
        <a:effectLst/>
      </dsp:spPr>
      <dsp:style>
        <a:lnRef idx="2">
          <a:scrgbClr r="0" g="0" b="0"/>
        </a:lnRef>
        <a:fillRef idx="0">
          <a:scrgbClr r="0" g="0" b="0"/>
        </a:fillRef>
        <a:effectRef idx="0">
          <a:scrgbClr r="0" g="0" b="0"/>
        </a:effectRef>
        <a:fontRef idx="minor"/>
      </dsp:style>
    </dsp:sp>
    <dsp:sp modelId="{AD9CDB9A-A9B3-42E3-8A1C-22C67051B6CE}">
      <dsp:nvSpPr>
        <dsp:cNvPr id="0" name=""/>
        <dsp:cNvSpPr/>
      </dsp:nvSpPr>
      <dsp:spPr>
        <a:xfrm>
          <a:off x="222597" y="180000"/>
          <a:ext cx="5595002" cy="359999"/>
        </a:xfrm>
        <a:prstGeom prst="rect">
          <a:avLst/>
        </a:prstGeom>
        <a:solidFill>
          <a:schemeClr val="accent4"/>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latin typeface="+mn-lt"/>
            </a:rPr>
            <a:t>Courts are responsive and fair</a:t>
          </a:r>
        </a:p>
      </dsp:txBody>
      <dsp:txXfrm>
        <a:off x="222597" y="180000"/>
        <a:ext cx="5595002" cy="359999"/>
      </dsp:txXfrm>
    </dsp:sp>
    <dsp:sp modelId="{CB4F0D6D-154B-4FBC-9C35-2C90A7489AB4}">
      <dsp:nvSpPr>
        <dsp:cNvPr id="0" name=""/>
        <dsp:cNvSpPr/>
      </dsp:nvSpPr>
      <dsp:spPr>
        <a:xfrm>
          <a:off x="0" y="137402"/>
          <a:ext cx="445195" cy="445195"/>
        </a:xfrm>
        <a:prstGeom prst="ellipse">
          <a:avLst/>
        </a:prstGeom>
        <a:solidFill>
          <a:schemeClr val="lt1">
            <a:hueOff val="0"/>
            <a:satOff val="0"/>
            <a:lumOff val="0"/>
            <a:alphaOff val="0"/>
          </a:schemeClr>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779" y="-99001"/>
          <a:ext cx="918003" cy="918003"/>
        </a:xfrm>
        <a:prstGeom prst="blockArc">
          <a:avLst>
            <a:gd name="adj1" fmla="val 18900000"/>
            <a:gd name="adj2" fmla="val 2700000"/>
            <a:gd name="adj3" fmla="val 2355"/>
          </a:avLst>
        </a:prstGeom>
        <a:noFill/>
        <a:ln w="12700" cap="flat" cmpd="sng" algn="ctr">
          <a:solidFill>
            <a:schemeClr val="accent4"/>
          </a:solidFill>
          <a:prstDash val="solid"/>
          <a:miter lim="800000"/>
        </a:ln>
        <a:effectLst/>
      </dsp:spPr>
      <dsp:style>
        <a:lnRef idx="2">
          <a:scrgbClr r="0" g="0" b="0"/>
        </a:lnRef>
        <a:fillRef idx="0">
          <a:scrgbClr r="0" g="0" b="0"/>
        </a:fillRef>
        <a:effectRef idx="0">
          <a:scrgbClr r="0" g="0" b="0"/>
        </a:effectRef>
        <a:fontRef idx="minor"/>
      </dsp:style>
    </dsp:sp>
    <dsp:sp modelId="{D0AADFAE-1683-4B94-BEDD-C95D5BC65F6A}">
      <dsp:nvSpPr>
        <dsp:cNvPr id="0" name=""/>
        <dsp:cNvSpPr/>
      </dsp:nvSpPr>
      <dsp:spPr>
        <a:xfrm>
          <a:off x="222899" y="180000"/>
          <a:ext cx="5595002" cy="359999"/>
        </a:xfrm>
        <a:prstGeom prst="rect">
          <a:avLst/>
        </a:prstGeom>
        <a:solidFill>
          <a:schemeClr val="accent5"/>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latin typeface="+mn-lt"/>
            </a:rPr>
            <a:t>Courts perform efficiently and accountably</a:t>
          </a:r>
        </a:p>
      </dsp:txBody>
      <dsp:txXfrm>
        <a:off x="222899" y="180000"/>
        <a:ext cx="5595002" cy="359999"/>
      </dsp:txXfrm>
    </dsp:sp>
    <dsp:sp modelId="{65B42504-BA7A-4DC7-9039-5B2FB3D6AF35}">
      <dsp:nvSpPr>
        <dsp:cNvPr id="0" name=""/>
        <dsp:cNvSpPr/>
      </dsp:nvSpPr>
      <dsp:spPr>
        <a:xfrm>
          <a:off x="-301" y="136799"/>
          <a:ext cx="446401" cy="446401"/>
        </a:xfrm>
        <a:prstGeom prst="ellipse">
          <a:avLst/>
        </a:prstGeom>
        <a:solidFill>
          <a:schemeClr val="lt1">
            <a:hueOff val="0"/>
            <a:satOff val="0"/>
            <a:lumOff val="0"/>
            <a:alphaOff val="0"/>
          </a:schemeClr>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2"/>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AU" sz="1050" b="1" kern="1200"/>
            <a:t>Improved local capacity to assess needs, plan, own &amp; lead judicial development</a:t>
          </a:r>
          <a:endParaRPr lang="en-US" sz="1050" b="1" kern="1200">
            <a:solidFill>
              <a:schemeClr val="accent1">
                <a:lumMod val="50000"/>
              </a:schemeClr>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lt1">
            <a:hueOff val="0"/>
            <a:satOff val="0"/>
            <a:lumOff val="0"/>
            <a:alphaOff val="0"/>
          </a:schemeClr>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solidFill>
          <a:prstDash val="solid"/>
          <a:miter lim="800000"/>
        </a:ln>
        <a:effectLst/>
      </dsp:spPr>
      <dsp:style>
        <a:lnRef idx="2">
          <a:scrgbClr r="0" g="0" b="0"/>
        </a:lnRef>
        <a:fillRef idx="0">
          <a:scrgbClr r="0" g="0" b="0"/>
        </a:fillRef>
        <a:effectRef idx="0">
          <a:scrgbClr r="0" g="0" b="0"/>
        </a:effectRef>
        <a:fontRef idx="minor"/>
      </dsp:style>
    </dsp:sp>
    <dsp:sp modelId="{4821FF7F-EE03-40DB-9185-1CA5F606A967}">
      <dsp:nvSpPr>
        <dsp:cNvPr id="0" name=""/>
        <dsp:cNvSpPr/>
      </dsp:nvSpPr>
      <dsp:spPr>
        <a:xfrm>
          <a:off x="222597" y="180000"/>
          <a:ext cx="5595002" cy="359999"/>
        </a:xfrm>
        <a:prstGeom prst="rect">
          <a:avLst/>
        </a:prstGeom>
        <a:solidFill>
          <a:schemeClr val="accent1"/>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AU" sz="1050" b="1" kern="1200"/>
            <a:t>Marginalised &amp; vulnerable groups better able to access justice in &amp; through courts</a:t>
          </a:r>
          <a:endParaRPr lang="en-US" sz="1050" b="1" kern="1200">
            <a:latin typeface="+mn-lt"/>
          </a:endParaRPr>
        </a:p>
      </dsp:txBody>
      <dsp:txXfrm>
        <a:off x="222597" y="180000"/>
        <a:ext cx="5595002" cy="359999"/>
      </dsp:txXfrm>
    </dsp:sp>
    <dsp:sp modelId="{A3B23BCF-84E0-474C-96C5-07C4633FA6AF}">
      <dsp:nvSpPr>
        <dsp:cNvPr id="0" name=""/>
        <dsp:cNvSpPr/>
      </dsp:nvSpPr>
      <dsp:spPr>
        <a:xfrm>
          <a:off x="0" y="137402"/>
          <a:ext cx="445195" cy="445195"/>
        </a:xfrm>
        <a:prstGeom prst="ellipse">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80663" y="-98557"/>
          <a:ext cx="917114" cy="917114"/>
        </a:xfrm>
        <a:prstGeom prst="blockArc">
          <a:avLst>
            <a:gd name="adj1" fmla="val 18900000"/>
            <a:gd name="adj2" fmla="val 2700000"/>
            <a:gd name="adj3" fmla="val 2355"/>
          </a:avLst>
        </a:prstGeom>
        <a:noFill/>
        <a:ln w="12700" cap="flat" cmpd="sng" algn="ctr">
          <a:solidFill>
            <a:schemeClr val="accent4"/>
          </a:solidFill>
          <a:prstDash val="solid"/>
          <a:miter lim="800000"/>
        </a:ln>
        <a:effectLst/>
      </dsp:spPr>
      <dsp:style>
        <a:lnRef idx="2">
          <a:scrgbClr r="0" g="0" b="0"/>
        </a:lnRef>
        <a:fillRef idx="0">
          <a:scrgbClr r="0" g="0" b="0"/>
        </a:fillRef>
        <a:effectRef idx="0">
          <a:scrgbClr r="0" g="0" b="0"/>
        </a:effectRef>
        <a:fontRef idx="minor"/>
      </dsp:style>
    </dsp:sp>
    <dsp:sp modelId="{86A1D0EC-AEC5-4F7C-BA6D-EB8BF393DDEA}">
      <dsp:nvSpPr>
        <dsp:cNvPr id="0" name=""/>
        <dsp:cNvSpPr/>
      </dsp:nvSpPr>
      <dsp:spPr>
        <a:xfrm>
          <a:off x="252516" y="180247"/>
          <a:ext cx="5555109" cy="359504"/>
        </a:xfrm>
        <a:prstGeom prst="rect">
          <a:avLst/>
        </a:prstGeom>
        <a:solidFill>
          <a:schemeClr val="accent3"/>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GB" sz="1050" b="1" kern="1200">
              <a:solidFill>
                <a:schemeClr val="bg1"/>
              </a:solidFill>
            </a:rPr>
            <a:t>Partner Courts </a:t>
          </a:r>
          <a:r>
            <a:rPr lang="en-AU" sz="1050" b="1" kern="1200">
              <a:solidFill>
                <a:schemeClr val="bg1"/>
              </a:solidFill>
            </a:rPr>
            <a:t> </a:t>
          </a:r>
          <a:r>
            <a:rPr lang="en-AU" sz="1050" b="1" kern="1200"/>
            <a:t>operate with a higher level of professionalism</a:t>
          </a:r>
          <a:endParaRPr lang="en-US" sz="1050" b="1" kern="1200">
            <a:latin typeface="+mn-lt"/>
          </a:endParaRPr>
        </a:p>
      </dsp:txBody>
      <dsp:txXfrm>
        <a:off x="252516" y="180247"/>
        <a:ext cx="5555109" cy="359504"/>
      </dsp:txXfrm>
    </dsp:sp>
    <dsp:sp modelId="{24EA14C5-92BF-422F-A387-255732329B91}">
      <dsp:nvSpPr>
        <dsp:cNvPr id="0" name=""/>
        <dsp:cNvSpPr/>
      </dsp:nvSpPr>
      <dsp:spPr>
        <a:xfrm>
          <a:off x="9973" y="137402"/>
          <a:ext cx="445195" cy="445195"/>
        </a:xfrm>
        <a:prstGeom prst="ellipse">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45824" y="-113777"/>
          <a:ext cx="917316" cy="917316"/>
        </a:xfrm>
        <a:prstGeom prst="blockArc">
          <a:avLst>
            <a:gd name="adj1" fmla="val 18900000"/>
            <a:gd name="adj2" fmla="val 2700000"/>
            <a:gd name="adj3" fmla="val 2357"/>
          </a:avLst>
        </a:prstGeom>
        <a:noFill/>
        <a:ln w="12700" cap="flat" cmpd="sng" algn="ctr">
          <a:solidFill>
            <a:schemeClr val="accent4"/>
          </a:solidFill>
          <a:prstDash val="solid"/>
          <a:miter lim="800000"/>
        </a:ln>
        <a:effectLst/>
      </dsp:spPr>
      <dsp:style>
        <a:lnRef idx="2">
          <a:scrgbClr r="0" g="0" b="0"/>
        </a:lnRef>
        <a:fillRef idx="0">
          <a:scrgbClr r="0" g="0" b="0"/>
        </a:fillRef>
        <a:effectRef idx="0">
          <a:scrgbClr r="0" g="0" b="0"/>
        </a:effectRef>
        <a:fontRef idx="minor"/>
      </dsp:style>
    </dsp:sp>
    <dsp:sp modelId="{79973884-F325-4EEF-BAD0-8503D5500AA5}">
      <dsp:nvSpPr>
        <dsp:cNvPr id="0" name=""/>
        <dsp:cNvSpPr/>
      </dsp:nvSpPr>
      <dsp:spPr>
        <a:xfrm>
          <a:off x="222396" y="179862"/>
          <a:ext cx="5595251" cy="359729"/>
        </a:xfrm>
        <a:prstGeom prst="rect">
          <a:avLst/>
        </a:prstGeom>
        <a:solidFill>
          <a:schemeClr val="accent4"/>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534" tIns="27940" rIns="27940" bIns="27940" numCol="1" spcCol="1270" anchor="ctr" anchorCtr="0">
          <a:noAutofit/>
        </a:bodyPr>
        <a:lstStyle/>
        <a:p>
          <a:pPr lvl="0" algn="l" defTabSz="466725">
            <a:lnSpc>
              <a:spcPct val="90000"/>
            </a:lnSpc>
            <a:spcBef>
              <a:spcPct val="0"/>
            </a:spcBef>
            <a:spcAft>
              <a:spcPct val="35000"/>
            </a:spcAft>
          </a:pPr>
          <a:r>
            <a:rPr lang="en-GB" sz="1050" b="1" kern="1200">
              <a:solidFill>
                <a:schemeClr val="bg1"/>
              </a:solidFill>
            </a:rPr>
            <a:t>Partner Courts </a:t>
          </a:r>
          <a:r>
            <a:rPr lang="en-AU" sz="1050" b="1" kern="1200"/>
            <a:t>exhibit more responsive &amp; just behaviour &amp; treatment that is fair &amp; reasonable </a:t>
          </a:r>
          <a:endParaRPr lang="en-US" sz="1050" b="1" kern="1200">
            <a:latin typeface="+mn-lt"/>
          </a:endParaRPr>
        </a:p>
      </dsp:txBody>
      <dsp:txXfrm>
        <a:off x="222396" y="179862"/>
        <a:ext cx="5595251" cy="359729"/>
      </dsp:txXfrm>
    </dsp:sp>
    <dsp:sp modelId="{CB4F0D6D-154B-4FBC-9C35-2C90A7489AB4}">
      <dsp:nvSpPr>
        <dsp:cNvPr id="0" name=""/>
        <dsp:cNvSpPr/>
      </dsp:nvSpPr>
      <dsp:spPr>
        <a:xfrm>
          <a:off x="-413" y="136693"/>
          <a:ext cx="446067" cy="446067"/>
        </a:xfrm>
        <a:prstGeom prst="ellipse">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solidFill>
          <a:prstDash val="solid"/>
          <a:miter lim="800000"/>
        </a:ln>
        <a:effectLst/>
      </dsp:spPr>
      <dsp:style>
        <a:lnRef idx="2">
          <a:scrgbClr r="0" g="0" b="0"/>
        </a:lnRef>
        <a:fillRef idx="0">
          <a:scrgbClr r="0" g="0" b="0"/>
        </a:fillRef>
        <a:effectRef idx="0">
          <a:scrgbClr r="0" g="0" b="0"/>
        </a:effectRef>
        <a:fontRef idx="minor"/>
      </dsp:style>
    </dsp:sp>
    <dsp:sp modelId="{183B8AE2-876C-4967-82E5-1B80E2549D0D}">
      <dsp:nvSpPr>
        <dsp:cNvPr id="0" name=""/>
        <dsp:cNvSpPr/>
      </dsp:nvSpPr>
      <dsp:spPr>
        <a:xfrm>
          <a:off x="222597" y="180000"/>
          <a:ext cx="5595002" cy="359999"/>
        </a:xfrm>
        <a:prstGeom prst="rect">
          <a:avLst/>
        </a:prstGeom>
        <a:solidFill>
          <a:schemeClr val="accent5"/>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AU" sz="1050" b="1" kern="1200"/>
            <a:t>Cases are disposed of more efficiently </a:t>
          </a:r>
          <a:endParaRPr lang="en-US" sz="1050" b="1" kern="1200">
            <a:latin typeface="+mn-lt"/>
          </a:endParaRPr>
        </a:p>
      </dsp:txBody>
      <dsp:txXfrm>
        <a:off x="222597" y="180000"/>
        <a:ext cx="5595002" cy="359999"/>
      </dsp:txXfrm>
    </dsp:sp>
    <dsp:sp modelId="{65B42504-BA7A-4DC7-9039-5B2FB3D6AF35}">
      <dsp:nvSpPr>
        <dsp:cNvPr id="0" name=""/>
        <dsp:cNvSpPr/>
      </dsp:nvSpPr>
      <dsp:spPr>
        <a:xfrm>
          <a:off x="0" y="137402"/>
          <a:ext cx="445195" cy="445195"/>
        </a:xfrm>
        <a:prstGeom prst="ellipse">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2796830" y="-431139"/>
          <a:ext cx="3337509" cy="3337509"/>
        </a:xfrm>
        <a:prstGeom prst="blockArc">
          <a:avLst>
            <a:gd name="adj1" fmla="val 18900000"/>
            <a:gd name="adj2" fmla="val 2700000"/>
            <a:gd name="adj3" fmla="val 647"/>
          </a:avLst>
        </a:prstGeom>
        <a:noFill/>
        <a:ln w="12700" cap="flat" cmpd="sng" algn="ctr">
          <a:solidFill>
            <a:schemeClr val="tx2"/>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37726" y="147403"/>
          <a:ext cx="5456180" cy="323999"/>
        </a:xfrm>
        <a:prstGeom prst="rect">
          <a:avLst/>
        </a:prstGeom>
        <a:solidFill>
          <a:schemeClr val="accent2">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45668" tIns="27940" rIns="27940" bIns="27940" numCol="1" spcCol="1270" anchor="ctr" anchorCtr="0">
          <a:noAutofit/>
        </a:bodyPr>
        <a:lstStyle/>
        <a:p>
          <a:pPr lvl="0" algn="l" defTabSz="466725">
            <a:lnSpc>
              <a:spcPct val="90000"/>
            </a:lnSpc>
            <a:spcBef>
              <a:spcPct val="0"/>
            </a:spcBef>
            <a:spcAft>
              <a:spcPct val="35000"/>
            </a:spcAft>
          </a:pPr>
          <a:r>
            <a:rPr lang="en-US" sz="1050" b="1" kern="1200">
              <a:latin typeface="+mn-lt"/>
            </a:rPr>
            <a:t>Courts lead and manage change locally</a:t>
          </a:r>
        </a:p>
      </dsp:txBody>
      <dsp:txXfrm>
        <a:off x="237726" y="147403"/>
        <a:ext cx="5456180" cy="323999"/>
      </dsp:txXfrm>
    </dsp:sp>
    <dsp:sp modelId="{7A154D9C-7784-492F-8C82-05DEEC48BEBB}">
      <dsp:nvSpPr>
        <dsp:cNvPr id="0" name=""/>
        <dsp:cNvSpPr/>
      </dsp:nvSpPr>
      <dsp:spPr>
        <a:xfrm>
          <a:off x="44287" y="115964"/>
          <a:ext cx="386878" cy="386878"/>
        </a:xfrm>
        <a:prstGeom prst="ellipse">
          <a:avLst/>
        </a:prstGeom>
        <a:solidFill>
          <a:schemeClr val="lt1">
            <a:hueOff val="0"/>
            <a:satOff val="0"/>
            <a:lumOff val="0"/>
            <a:alphaOff val="0"/>
          </a:schemeClr>
        </a:solidFill>
        <a:ln w="12700" cap="flat" cmpd="sng" algn="ctr">
          <a:solidFill>
            <a:schemeClr val="accent2"/>
          </a:solidFill>
          <a:prstDash val="solid"/>
          <a:miter lim="800000"/>
        </a:ln>
        <a:effectLst/>
      </dsp:spPr>
      <dsp:style>
        <a:lnRef idx="2">
          <a:scrgbClr r="0" g="0" b="0"/>
        </a:lnRef>
        <a:fillRef idx="1">
          <a:scrgbClr r="0" g="0" b="0"/>
        </a:fillRef>
        <a:effectRef idx="0">
          <a:scrgbClr r="0" g="0" b="0"/>
        </a:effectRef>
        <a:fontRef idx="minor"/>
      </dsp:style>
    </dsp:sp>
    <dsp:sp modelId="{01EBFA57-CAAA-4BA4-A7E2-43D20A04DA02}">
      <dsp:nvSpPr>
        <dsp:cNvPr id="0" name=""/>
        <dsp:cNvSpPr/>
      </dsp:nvSpPr>
      <dsp:spPr>
        <a:xfrm>
          <a:off x="459506" y="611509"/>
          <a:ext cx="5234399" cy="323999"/>
        </a:xfrm>
        <a:prstGeom prst="rect">
          <a:avLst/>
        </a:prstGeom>
        <a:solidFill>
          <a:schemeClr val="accent1"/>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45668" tIns="27940" rIns="27940" bIns="27940" numCol="1" spcCol="1270" anchor="ctr" anchorCtr="0">
          <a:noAutofit/>
        </a:bodyPr>
        <a:lstStyle/>
        <a:p>
          <a:pPr lvl="0" algn="l" defTabSz="466725">
            <a:lnSpc>
              <a:spcPct val="90000"/>
            </a:lnSpc>
            <a:spcBef>
              <a:spcPct val="0"/>
            </a:spcBef>
            <a:spcAft>
              <a:spcPct val="35000"/>
            </a:spcAft>
          </a:pPr>
          <a:r>
            <a:rPr lang="en-GB" sz="1050" b="1" kern="1200">
              <a:latin typeface="+mn-lt"/>
            </a:rPr>
            <a:t>Marginalised and vulnerable groups access justice </a:t>
          </a:r>
          <a:endParaRPr lang="en-US" sz="1050" b="1" kern="1200">
            <a:latin typeface="+mn-lt"/>
          </a:endParaRPr>
        </a:p>
      </dsp:txBody>
      <dsp:txXfrm>
        <a:off x="459506" y="611509"/>
        <a:ext cx="5234399" cy="323999"/>
      </dsp:txXfrm>
    </dsp:sp>
    <dsp:sp modelId="{A3B23BCF-84E0-474C-96C5-07C4633FA6AF}">
      <dsp:nvSpPr>
        <dsp:cNvPr id="0" name=""/>
        <dsp:cNvSpPr/>
      </dsp:nvSpPr>
      <dsp:spPr>
        <a:xfrm>
          <a:off x="266067" y="580070"/>
          <a:ext cx="386878" cy="386878"/>
        </a:xfrm>
        <a:prstGeom prst="ellipse">
          <a:avLst/>
        </a:prstGeom>
        <a:solidFill>
          <a:schemeClr val="lt1">
            <a:hueOff val="0"/>
            <a:satOff val="0"/>
            <a:lumOff val="0"/>
            <a:alphaOff val="0"/>
          </a:schemeClr>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dsp:style>
    </dsp:sp>
    <dsp:sp modelId="{1769C5D7-0580-449E-A260-03DEC7B0B164}">
      <dsp:nvSpPr>
        <dsp:cNvPr id="0" name=""/>
        <dsp:cNvSpPr/>
      </dsp:nvSpPr>
      <dsp:spPr>
        <a:xfrm>
          <a:off x="527575" y="1075615"/>
          <a:ext cx="5166330" cy="323999"/>
        </a:xfrm>
        <a:prstGeom prst="rect">
          <a:avLst/>
        </a:prstGeom>
        <a:solidFill>
          <a:schemeClr val="accent3"/>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45668" tIns="27940" rIns="27940" bIns="27940" numCol="1" spcCol="1270" anchor="ctr" anchorCtr="0">
          <a:noAutofit/>
        </a:bodyPr>
        <a:lstStyle/>
        <a:p>
          <a:pPr lvl="0" algn="l" defTabSz="466725">
            <a:lnSpc>
              <a:spcPct val="90000"/>
            </a:lnSpc>
            <a:spcBef>
              <a:spcPct val="0"/>
            </a:spcBef>
            <a:spcAft>
              <a:spcPct val="35000"/>
            </a:spcAft>
          </a:pPr>
          <a:r>
            <a:rPr lang="en-GB" sz="1050" b="1" kern="1200">
              <a:latin typeface="+mn-lt"/>
            </a:rPr>
            <a:t>Courts operate with professionalism</a:t>
          </a:r>
          <a:endParaRPr lang="en-US" sz="1050" b="1" kern="1200">
            <a:latin typeface="+mn-lt"/>
          </a:endParaRPr>
        </a:p>
      </dsp:txBody>
      <dsp:txXfrm>
        <a:off x="527575" y="1075615"/>
        <a:ext cx="5166330" cy="323999"/>
      </dsp:txXfrm>
    </dsp:sp>
    <dsp:sp modelId="{24EA14C5-92BF-422F-A387-255732329B91}">
      <dsp:nvSpPr>
        <dsp:cNvPr id="0" name=""/>
        <dsp:cNvSpPr/>
      </dsp:nvSpPr>
      <dsp:spPr>
        <a:xfrm>
          <a:off x="334136" y="1044175"/>
          <a:ext cx="386878" cy="386878"/>
        </a:xfrm>
        <a:prstGeom prst="ellipse">
          <a:avLst/>
        </a:prstGeom>
        <a:solidFill>
          <a:schemeClr val="lt1">
            <a:hueOff val="0"/>
            <a:satOff val="0"/>
            <a:lumOff val="0"/>
            <a:alphaOff val="0"/>
          </a:schemeClr>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sp>
    <dsp:sp modelId="{1280A47C-F741-44EB-9EB3-21D27EB0AECC}">
      <dsp:nvSpPr>
        <dsp:cNvPr id="0" name=""/>
        <dsp:cNvSpPr/>
      </dsp:nvSpPr>
      <dsp:spPr>
        <a:xfrm>
          <a:off x="459506" y="1539720"/>
          <a:ext cx="5234399" cy="323999"/>
        </a:xfrm>
        <a:prstGeom prst="rect">
          <a:avLst/>
        </a:prstGeom>
        <a:solidFill>
          <a:schemeClr val="accent4"/>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45668" tIns="27940" rIns="27940" bIns="27940" numCol="1" spcCol="1270" anchor="ctr" anchorCtr="0">
          <a:noAutofit/>
        </a:bodyPr>
        <a:lstStyle/>
        <a:p>
          <a:pPr lvl="0" algn="l" defTabSz="466725">
            <a:lnSpc>
              <a:spcPct val="90000"/>
            </a:lnSpc>
            <a:spcBef>
              <a:spcPct val="0"/>
            </a:spcBef>
            <a:spcAft>
              <a:spcPct val="35000"/>
            </a:spcAft>
          </a:pPr>
          <a:r>
            <a:rPr lang="en-US" sz="1050" b="1" kern="1200">
              <a:latin typeface="+mn-lt"/>
            </a:rPr>
            <a:t>Courts are responsive and fair</a:t>
          </a:r>
        </a:p>
      </dsp:txBody>
      <dsp:txXfrm>
        <a:off x="459506" y="1539720"/>
        <a:ext cx="5234399" cy="323999"/>
      </dsp:txXfrm>
    </dsp:sp>
    <dsp:sp modelId="{CB4F0D6D-154B-4FBC-9C35-2C90A7489AB4}">
      <dsp:nvSpPr>
        <dsp:cNvPr id="0" name=""/>
        <dsp:cNvSpPr/>
      </dsp:nvSpPr>
      <dsp:spPr>
        <a:xfrm>
          <a:off x="266067" y="1508281"/>
          <a:ext cx="386878" cy="386878"/>
        </a:xfrm>
        <a:prstGeom prst="ellipse">
          <a:avLst/>
        </a:prstGeom>
        <a:solidFill>
          <a:schemeClr val="lt1">
            <a:hueOff val="0"/>
            <a:satOff val="0"/>
            <a:lumOff val="0"/>
            <a:alphaOff val="0"/>
          </a:schemeClr>
        </a:solidFill>
        <a:ln w="12700" cap="flat" cmpd="sng" algn="ctr">
          <a:solidFill>
            <a:schemeClr val="accent4"/>
          </a:solidFill>
          <a:prstDash val="solid"/>
          <a:miter lim="800000"/>
        </a:ln>
        <a:effectLst/>
      </dsp:spPr>
      <dsp:style>
        <a:lnRef idx="2">
          <a:scrgbClr r="0" g="0" b="0"/>
        </a:lnRef>
        <a:fillRef idx="1">
          <a:scrgbClr r="0" g="0" b="0"/>
        </a:fillRef>
        <a:effectRef idx="0">
          <a:scrgbClr r="0" g="0" b="0"/>
        </a:effectRef>
        <a:fontRef idx="minor"/>
      </dsp:style>
    </dsp:sp>
    <dsp:sp modelId="{C6015832-7B2D-49AC-AE83-766767547BFC}">
      <dsp:nvSpPr>
        <dsp:cNvPr id="0" name=""/>
        <dsp:cNvSpPr/>
      </dsp:nvSpPr>
      <dsp:spPr>
        <a:xfrm>
          <a:off x="237726" y="2003826"/>
          <a:ext cx="5456180" cy="323999"/>
        </a:xfrm>
        <a:prstGeom prst="rect">
          <a:avLst/>
        </a:prstGeom>
        <a:solidFill>
          <a:schemeClr val="accent5"/>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45668" tIns="27940" rIns="27940" bIns="27940" numCol="1" spcCol="1270" anchor="ctr" anchorCtr="0">
          <a:noAutofit/>
        </a:bodyPr>
        <a:lstStyle/>
        <a:p>
          <a:pPr lvl="0" algn="l" defTabSz="466725">
            <a:lnSpc>
              <a:spcPct val="90000"/>
            </a:lnSpc>
            <a:spcBef>
              <a:spcPct val="0"/>
            </a:spcBef>
            <a:spcAft>
              <a:spcPct val="35000"/>
            </a:spcAft>
          </a:pPr>
          <a:r>
            <a:rPr lang="en-US" sz="1050" b="1" kern="1200">
              <a:latin typeface="+mn-lt"/>
            </a:rPr>
            <a:t>Courts perform efficiently and accountably</a:t>
          </a:r>
        </a:p>
      </dsp:txBody>
      <dsp:txXfrm>
        <a:off x="237726" y="2003826"/>
        <a:ext cx="5456180" cy="323999"/>
      </dsp:txXfrm>
    </dsp:sp>
    <dsp:sp modelId="{65B42504-BA7A-4DC7-9039-5B2FB3D6AF35}">
      <dsp:nvSpPr>
        <dsp:cNvPr id="0" name=""/>
        <dsp:cNvSpPr/>
      </dsp:nvSpPr>
      <dsp:spPr>
        <a:xfrm>
          <a:off x="44287" y="1972387"/>
          <a:ext cx="386878" cy="386878"/>
        </a:xfrm>
        <a:prstGeom prst="ellipse">
          <a:avLst/>
        </a:prstGeom>
        <a:solidFill>
          <a:schemeClr val="lt1">
            <a:hueOff val="0"/>
            <a:satOff val="0"/>
            <a:lumOff val="0"/>
            <a:alphaOff val="0"/>
          </a:schemeClr>
        </a:solidFill>
        <a:ln w="12700" cap="flat" cmpd="sng" algn="ctr">
          <a:solidFill>
            <a:schemeClr val="accent5"/>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2"/>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Leadership</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96169"/>
          <a:ext cx="5595002" cy="359999"/>
        </a:xfrm>
        <a:prstGeom prst="rect">
          <a:avLst/>
        </a:prstGeom>
        <a:solidFill>
          <a:schemeClr val="accent1"/>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Access to Justice</a:t>
          </a:r>
          <a:endParaRPr lang="en-US" sz="1050" b="1" kern="1200">
            <a:solidFill>
              <a:schemeClr val="bg1"/>
            </a:solidFill>
            <a:latin typeface="+mn-lt"/>
          </a:endParaRPr>
        </a:p>
      </dsp:txBody>
      <dsp:txXfrm>
        <a:off x="222597" y="196169"/>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3"/>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Professionalism</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4"/>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Rights</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5"/>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Procedure</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E89B0D-20D2-4FAB-B928-3D7221D4D8F9}">
      <dsp:nvSpPr>
        <dsp:cNvPr id="0" name=""/>
        <dsp:cNvSpPr/>
      </dsp:nvSpPr>
      <dsp:spPr>
        <a:xfrm>
          <a:off x="1942954" y="1073729"/>
          <a:ext cx="1382588" cy="1195995"/>
        </a:xfrm>
        <a:prstGeom prst="hexagon">
          <a:avLst>
            <a:gd name="adj" fmla="val 28570"/>
            <a:gd name="vf" fmla="val 115470"/>
          </a:avLst>
        </a:prstGeom>
        <a:solidFill>
          <a:schemeClr val="accent2"/>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t>Attributes of success</a:t>
          </a:r>
        </a:p>
      </dsp:txBody>
      <dsp:txXfrm>
        <a:off x="2172068" y="1271922"/>
        <a:ext cx="924360" cy="799609"/>
      </dsp:txXfrm>
    </dsp:sp>
    <dsp:sp modelId="{87F52DC8-DF22-4F27-838E-837577C9497A}">
      <dsp:nvSpPr>
        <dsp:cNvPr id="0" name=""/>
        <dsp:cNvSpPr/>
      </dsp:nvSpPr>
      <dsp:spPr>
        <a:xfrm>
          <a:off x="2798448" y="515555"/>
          <a:ext cx="521646" cy="449467"/>
        </a:xfrm>
        <a:prstGeom prst="hexagon">
          <a:avLst>
            <a:gd name="adj" fmla="val 28900"/>
            <a:gd name="vf" fmla="val 115470"/>
          </a:avLst>
        </a:prstGeom>
        <a:solidFill>
          <a:schemeClr val="accent3">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sp>
    <dsp:sp modelId="{86B2094D-C59A-4595-849F-6B113BD2B3D4}">
      <dsp:nvSpPr>
        <dsp:cNvPr id="0" name=""/>
        <dsp:cNvSpPr/>
      </dsp:nvSpPr>
      <dsp:spPr>
        <a:xfrm>
          <a:off x="2060038" y="0"/>
          <a:ext cx="1133021" cy="980196"/>
        </a:xfrm>
        <a:prstGeom prst="hexagon">
          <a:avLst>
            <a:gd name="adj" fmla="val 28570"/>
            <a:gd name="vf" fmla="val 115470"/>
          </a:avLst>
        </a:prstGeom>
        <a:solidFill>
          <a:schemeClr val="accent3">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t>Enabling strong, committed and proactive leaders</a:t>
          </a:r>
        </a:p>
      </dsp:txBody>
      <dsp:txXfrm>
        <a:off x="2247804" y="162439"/>
        <a:ext cx="757489" cy="655318"/>
      </dsp:txXfrm>
    </dsp:sp>
    <dsp:sp modelId="{EC8AA802-C220-4CEC-8F48-48FAC27937F7}">
      <dsp:nvSpPr>
        <dsp:cNvPr id="0" name=""/>
        <dsp:cNvSpPr/>
      </dsp:nvSpPr>
      <dsp:spPr>
        <a:xfrm>
          <a:off x="3407250" y="1355820"/>
          <a:ext cx="521646" cy="449467"/>
        </a:xfrm>
        <a:prstGeom prst="hexagon">
          <a:avLst>
            <a:gd name="adj" fmla="val 28900"/>
            <a:gd name="vf" fmla="val 115470"/>
          </a:avLst>
        </a:prstGeom>
        <a:solidFill>
          <a:schemeClr val="accent3">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sp>
    <dsp:sp modelId="{EFF003AD-BFE7-4215-9AFE-F42A9628E630}">
      <dsp:nvSpPr>
        <dsp:cNvPr id="0" name=""/>
        <dsp:cNvSpPr/>
      </dsp:nvSpPr>
      <dsp:spPr>
        <a:xfrm>
          <a:off x="3099151" y="602886"/>
          <a:ext cx="1133021" cy="980196"/>
        </a:xfrm>
        <a:prstGeom prst="hexagon">
          <a:avLst>
            <a:gd name="adj" fmla="val 28570"/>
            <a:gd name="vf" fmla="val 115470"/>
          </a:avLst>
        </a:prstGeom>
        <a:solidFill>
          <a:schemeClr val="accent5"/>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t>Pivoting activities to be delivered remotely</a:t>
          </a:r>
        </a:p>
      </dsp:txBody>
      <dsp:txXfrm>
        <a:off x="3286917" y="765325"/>
        <a:ext cx="757489" cy="655318"/>
      </dsp:txXfrm>
    </dsp:sp>
    <dsp:sp modelId="{6F0F9EEB-FAED-454A-8251-3F609FCD15F8}">
      <dsp:nvSpPr>
        <dsp:cNvPr id="0" name=""/>
        <dsp:cNvSpPr/>
      </dsp:nvSpPr>
      <dsp:spPr>
        <a:xfrm>
          <a:off x="2984337" y="2304322"/>
          <a:ext cx="521646" cy="449467"/>
        </a:xfrm>
        <a:prstGeom prst="hexagon">
          <a:avLst>
            <a:gd name="adj" fmla="val 28900"/>
            <a:gd name="vf" fmla="val 115470"/>
          </a:avLst>
        </a:prstGeom>
        <a:solidFill>
          <a:schemeClr val="accent3">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sp>
    <dsp:sp modelId="{CF558004-B7C8-48F5-889B-879F5D8582B7}">
      <dsp:nvSpPr>
        <dsp:cNvPr id="0" name=""/>
        <dsp:cNvSpPr/>
      </dsp:nvSpPr>
      <dsp:spPr>
        <a:xfrm>
          <a:off x="3099151" y="1788092"/>
          <a:ext cx="1133021" cy="980196"/>
        </a:xfrm>
        <a:prstGeom prst="hexagon">
          <a:avLst>
            <a:gd name="adj" fmla="val 28570"/>
            <a:gd name="vf" fmla="val 115470"/>
          </a:avLst>
        </a:prstGeom>
        <a:solidFill>
          <a:schemeClr val="accent4"/>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t>Increased insight into performance </a:t>
          </a:r>
        </a:p>
      </dsp:txBody>
      <dsp:txXfrm>
        <a:off x="3286917" y="1950531"/>
        <a:ext cx="757489" cy="655318"/>
      </dsp:txXfrm>
    </dsp:sp>
    <dsp:sp modelId="{C2396BFB-9E21-4C05-B41A-746F478BC93C}">
      <dsp:nvSpPr>
        <dsp:cNvPr id="0" name=""/>
        <dsp:cNvSpPr/>
      </dsp:nvSpPr>
      <dsp:spPr>
        <a:xfrm>
          <a:off x="1935255" y="2402780"/>
          <a:ext cx="521646" cy="449467"/>
        </a:xfrm>
        <a:prstGeom prst="hexagon">
          <a:avLst>
            <a:gd name="adj" fmla="val 28900"/>
            <a:gd name="vf" fmla="val 115470"/>
          </a:avLst>
        </a:prstGeom>
        <a:solidFill>
          <a:schemeClr val="accent3">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sp>
    <dsp:sp modelId="{7978BDC0-8B60-4E06-AE85-BC44EFD28F13}">
      <dsp:nvSpPr>
        <dsp:cNvPr id="0" name=""/>
        <dsp:cNvSpPr/>
      </dsp:nvSpPr>
      <dsp:spPr>
        <a:xfrm>
          <a:off x="2060038" y="2391653"/>
          <a:ext cx="1133021" cy="980196"/>
        </a:xfrm>
        <a:prstGeom prst="hexagon">
          <a:avLst>
            <a:gd name="adj" fmla="val 28570"/>
            <a:gd name="vf" fmla="val 115470"/>
          </a:avLst>
        </a:prstGeom>
        <a:solidFill>
          <a:schemeClr val="accent1"/>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t>Tackling myths, taboos and transparency reticence</a:t>
          </a:r>
        </a:p>
      </dsp:txBody>
      <dsp:txXfrm>
        <a:off x="2247804" y="2554092"/>
        <a:ext cx="757489" cy="655318"/>
      </dsp:txXfrm>
    </dsp:sp>
    <dsp:sp modelId="{52676680-0092-4565-BF71-B4AC23CBD6C1}">
      <dsp:nvSpPr>
        <dsp:cNvPr id="0" name=""/>
        <dsp:cNvSpPr/>
      </dsp:nvSpPr>
      <dsp:spPr>
        <a:xfrm>
          <a:off x="1316483" y="1562852"/>
          <a:ext cx="521646" cy="449467"/>
        </a:xfrm>
        <a:prstGeom prst="hexagon">
          <a:avLst>
            <a:gd name="adj" fmla="val 28900"/>
            <a:gd name="vf" fmla="val 115470"/>
          </a:avLst>
        </a:prstGeom>
        <a:blipFill rotWithShape="0">
          <a:blip xmlns:r="http://schemas.openxmlformats.org/officeDocument/2006/relationships" r:embed="rId1"/>
          <a:stretch>
            <a:fillRect/>
          </a:stretch>
        </a:blip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sp>
    <dsp:sp modelId="{138814A6-CF76-48A0-B87B-9DA9AE8ADB38}">
      <dsp:nvSpPr>
        <dsp:cNvPr id="0" name=""/>
        <dsp:cNvSpPr/>
      </dsp:nvSpPr>
      <dsp:spPr>
        <a:xfrm>
          <a:off x="1016102" y="1788766"/>
          <a:ext cx="1133021" cy="980196"/>
        </a:xfrm>
        <a:prstGeom prst="hexagon">
          <a:avLst>
            <a:gd name="adj" fmla="val 28570"/>
            <a:gd name="vf" fmla="val 115470"/>
          </a:avLst>
        </a:prstGeom>
        <a:solidFill>
          <a:schemeClr val="accent6">
            <a:lumMod val="75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t>Community consultation </a:t>
          </a:r>
          <a:endParaRPr lang="en-AU" sz="900" kern="1200"/>
        </a:p>
      </dsp:txBody>
      <dsp:txXfrm>
        <a:off x="1203868" y="1951205"/>
        <a:ext cx="757489" cy="655318"/>
      </dsp:txXfrm>
    </dsp:sp>
    <dsp:sp modelId="{2157378D-E843-42A3-A70C-8111444305AF}">
      <dsp:nvSpPr>
        <dsp:cNvPr id="0" name=""/>
        <dsp:cNvSpPr/>
      </dsp:nvSpPr>
      <dsp:spPr>
        <a:xfrm>
          <a:off x="1016102" y="601538"/>
          <a:ext cx="1133021" cy="980196"/>
        </a:xfrm>
        <a:prstGeom prst="hexagon">
          <a:avLst>
            <a:gd name="adj" fmla="val 28570"/>
            <a:gd name="vf" fmla="val 115470"/>
          </a:avLst>
        </a:prstGeom>
        <a:solidFill>
          <a:schemeClr val="tx2"/>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t>Contextually nuanced interventions</a:t>
          </a:r>
        </a:p>
      </dsp:txBody>
      <dsp:txXfrm>
        <a:off x="1203868" y="763977"/>
        <a:ext cx="757489" cy="6553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2798606" y="-431409"/>
          <a:ext cx="3339619" cy="3339619"/>
        </a:xfrm>
        <a:prstGeom prst="blockArc">
          <a:avLst>
            <a:gd name="adj1" fmla="val 18900000"/>
            <a:gd name="adj2" fmla="val 2700000"/>
            <a:gd name="adj3" fmla="val 647"/>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37871" y="147599"/>
          <a:ext cx="5456535" cy="324000"/>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45824" tIns="27940" rIns="27940" bIns="27940" numCol="1" spcCol="1270" anchor="ctr" anchorCtr="0">
          <a:noAutofit/>
        </a:bodyPr>
        <a:lstStyle/>
        <a:p>
          <a:pPr lvl="0" algn="l" defTabSz="466725">
            <a:lnSpc>
              <a:spcPct val="90000"/>
            </a:lnSpc>
            <a:spcBef>
              <a:spcPct val="0"/>
            </a:spcBef>
            <a:spcAft>
              <a:spcPct val="35000"/>
            </a:spcAft>
          </a:pPr>
          <a:r>
            <a:rPr lang="en-AU" sz="1050" b="1" kern="1200"/>
            <a:t>Improved local capacity to assess needs, plan, own &amp; lead judicial development</a:t>
          </a:r>
          <a:endParaRPr lang="en-US" sz="1050" b="1" kern="1200">
            <a:latin typeface="+mn-lt"/>
          </a:endParaRPr>
        </a:p>
      </dsp:txBody>
      <dsp:txXfrm>
        <a:off x="237871" y="147599"/>
        <a:ext cx="5456535" cy="324000"/>
      </dsp:txXfrm>
    </dsp:sp>
    <dsp:sp modelId="{7A154D9C-7784-492F-8C82-05DEEC48BEBB}">
      <dsp:nvSpPr>
        <dsp:cNvPr id="0" name=""/>
        <dsp:cNvSpPr/>
      </dsp:nvSpPr>
      <dsp:spPr>
        <a:xfrm>
          <a:off x="44309" y="116038"/>
          <a:ext cx="387123" cy="387123"/>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1EBFA57-CAAA-4BA4-A7E2-43D20A04DA02}">
      <dsp:nvSpPr>
        <dsp:cNvPr id="0" name=""/>
        <dsp:cNvSpPr/>
      </dsp:nvSpPr>
      <dsp:spPr>
        <a:xfrm>
          <a:off x="459792" y="611999"/>
          <a:ext cx="5234613" cy="324000"/>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45824" tIns="27940" rIns="27940" bIns="27940" numCol="1" spcCol="1270" anchor="ctr" anchorCtr="0">
          <a:noAutofit/>
        </a:bodyPr>
        <a:lstStyle/>
        <a:p>
          <a:pPr lvl="0" algn="l" defTabSz="466725">
            <a:lnSpc>
              <a:spcPct val="90000"/>
            </a:lnSpc>
            <a:spcBef>
              <a:spcPct val="0"/>
            </a:spcBef>
            <a:spcAft>
              <a:spcPct val="35000"/>
            </a:spcAft>
          </a:pPr>
          <a:r>
            <a:rPr lang="en-AU" sz="1050" b="1" kern="1200"/>
            <a:t>Marginalised &amp; vulnerable groups better able to access justice in &amp; through courts</a:t>
          </a:r>
          <a:endParaRPr lang="en-US" sz="1050" b="1" kern="1200">
            <a:latin typeface="+mn-lt"/>
          </a:endParaRPr>
        </a:p>
      </dsp:txBody>
      <dsp:txXfrm>
        <a:off x="459792" y="611999"/>
        <a:ext cx="5234613" cy="324000"/>
      </dsp:txXfrm>
    </dsp:sp>
    <dsp:sp modelId="{A3B23BCF-84E0-474C-96C5-07C4633FA6AF}">
      <dsp:nvSpPr>
        <dsp:cNvPr id="0" name=""/>
        <dsp:cNvSpPr/>
      </dsp:nvSpPr>
      <dsp:spPr>
        <a:xfrm>
          <a:off x="266230" y="580438"/>
          <a:ext cx="387123" cy="387123"/>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769C5D7-0580-449E-A260-03DEC7B0B164}">
      <dsp:nvSpPr>
        <dsp:cNvPr id="0" name=""/>
        <dsp:cNvSpPr/>
      </dsp:nvSpPr>
      <dsp:spPr>
        <a:xfrm>
          <a:off x="527904" y="1076399"/>
          <a:ext cx="5166501" cy="324000"/>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45824" tIns="27940" rIns="27940" bIns="27940" numCol="1" spcCol="1270" anchor="ctr" anchorCtr="0">
          <a:noAutofit/>
        </a:bodyPr>
        <a:lstStyle/>
        <a:p>
          <a:pPr lvl="0" algn="l" defTabSz="466725">
            <a:lnSpc>
              <a:spcPct val="90000"/>
            </a:lnSpc>
            <a:spcBef>
              <a:spcPct val="0"/>
            </a:spcBef>
            <a:spcAft>
              <a:spcPct val="35000"/>
            </a:spcAft>
          </a:pPr>
          <a:r>
            <a:rPr lang="en-GB" sz="1050" b="1" kern="1200">
              <a:solidFill>
                <a:schemeClr val="accent1">
                  <a:lumMod val="50000"/>
                </a:schemeClr>
              </a:solidFill>
            </a:rPr>
            <a:t>Partner Courts </a:t>
          </a:r>
          <a:r>
            <a:rPr lang="en-AU" sz="1050" b="1" kern="1200">
              <a:solidFill>
                <a:schemeClr val="accent1">
                  <a:lumMod val="50000"/>
                </a:schemeClr>
              </a:solidFill>
            </a:rPr>
            <a:t>o</a:t>
          </a:r>
          <a:r>
            <a:rPr lang="en-AU" sz="1050" b="1" kern="1200"/>
            <a:t>perate with a higher level of professionalism</a:t>
          </a:r>
          <a:endParaRPr lang="en-US" sz="1050" b="1" kern="1200">
            <a:latin typeface="+mn-lt"/>
          </a:endParaRPr>
        </a:p>
      </dsp:txBody>
      <dsp:txXfrm>
        <a:off x="527904" y="1076399"/>
        <a:ext cx="5166501" cy="324000"/>
      </dsp:txXfrm>
    </dsp:sp>
    <dsp:sp modelId="{24EA14C5-92BF-422F-A387-255732329B91}">
      <dsp:nvSpPr>
        <dsp:cNvPr id="0" name=""/>
        <dsp:cNvSpPr/>
      </dsp:nvSpPr>
      <dsp:spPr>
        <a:xfrm>
          <a:off x="334342" y="1044838"/>
          <a:ext cx="387123" cy="387123"/>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280A47C-F741-44EB-9EB3-21D27EB0AECC}">
      <dsp:nvSpPr>
        <dsp:cNvPr id="0" name=""/>
        <dsp:cNvSpPr/>
      </dsp:nvSpPr>
      <dsp:spPr>
        <a:xfrm>
          <a:off x="459792" y="1540799"/>
          <a:ext cx="5234613" cy="324000"/>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45824" tIns="27940" rIns="27940" bIns="27940" numCol="1" spcCol="1270" anchor="ctr" anchorCtr="0">
          <a:noAutofit/>
        </a:bodyPr>
        <a:lstStyle/>
        <a:p>
          <a:pPr lvl="0" algn="l" defTabSz="466725">
            <a:lnSpc>
              <a:spcPct val="90000"/>
            </a:lnSpc>
            <a:spcBef>
              <a:spcPct val="0"/>
            </a:spcBef>
            <a:spcAft>
              <a:spcPct val="35000"/>
            </a:spcAft>
          </a:pPr>
          <a:r>
            <a:rPr lang="en-GB" sz="1050" b="1" kern="1200">
              <a:solidFill>
                <a:schemeClr val="accent1">
                  <a:lumMod val="50000"/>
                </a:schemeClr>
              </a:solidFill>
            </a:rPr>
            <a:t>Partner Courts e</a:t>
          </a:r>
          <a:r>
            <a:rPr lang="en-AU" sz="1050" b="1" kern="1200"/>
            <a:t>xhibit more responsive &amp; just behaviour &amp; treatment that is fair &amp; reasonable </a:t>
          </a:r>
          <a:endParaRPr lang="en-US" sz="1050" b="1" kern="1200">
            <a:latin typeface="+mn-lt"/>
          </a:endParaRPr>
        </a:p>
      </dsp:txBody>
      <dsp:txXfrm>
        <a:off x="459792" y="1540799"/>
        <a:ext cx="5234613" cy="324000"/>
      </dsp:txXfrm>
    </dsp:sp>
    <dsp:sp modelId="{CB4F0D6D-154B-4FBC-9C35-2C90A7489AB4}">
      <dsp:nvSpPr>
        <dsp:cNvPr id="0" name=""/>
        <dsp:cNvSpPr/>
      </dsp:nvSpPr>
      <dsp:spPr>
        <a:xfrm>
          <a:off x="266230" y="1509238"/>
          <a:ext cx="387123" cy="387123"/>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6015832-7B2D-49AC-AE83-766767547BFC}">
      <dsp:nvSpPr>
        <dsp:cNvPr id="0" name=""/>
        <dsp:cNvSpPr/>
      </dsp:nvSpPr>
      <dsp:spPr>
        <a:xfrm>
          <a:off x="237871" y="2005199"/>
          <a:ext cx="5456535" cy="324000"/>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45824" tIns="27940" rIns="27940" bIns="27940" numCol="1" spcCol="1270" anchor="ctr" anchorCtr="0">
          <a:noAutofit/>
        </a:bodyPr>
        <a:lstStyle/>
        <a:p>
          <a:pPr lvl="0" algn="l" defTabSz="466725">
            <a:lnSpc>
              <a:spcPct val="90000"/>
            </a:lnSpc>
            <a:spcBef>
              <a:spcPct val="0"/>
            </a:spcBef>
            <a:spcAft>
              <a:spcPct val="35000"/>
            </a:spcAft>
          </a:pPr>
          <a:r>
            <a:rPr lang="en-AU" sz="1050" b="1" kern="1200"/>
            <a:t>Cases are disposed of more efficiently </a:t>
          </a:r>
          <a:endParaRPr lang="en-US" sz="1050" b="1" kern="1200">
            <a:latin typeface="+mn-lt"/>
          </a:endParaRPr>
        </a:p>
      </dsp:txBody>
      <dsp:txXfrm>
        <a:off x="237871" y="2005199"/>
        <a:ext cx="5456535" cy="324000"/>
      </dsp:txXfrm>
    </dsp:sp>
    <dsp:sp modelId="{65B42504-BA7A-4DC7-9039-5B2FB3D6AF35}">
      <dsp:nvSpPr>
        <dsp:cNvPr id="0" name=""/>
        <dsp:cNvSpPr/>
      </dsp:nvSpPr>
      <dsp:spPr>
        <a:xfrm>
          <a:off x="44309" y="1973638"/>
          <a:ext cx="387123" cy="387123"/>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116" y="-98486"/>
          <a:ext cx="916428" cy="916428"/>
        </a:xfrm>
        <a:prstGeom prst="blockArc">
          <a:avLst>
            <a:gd name="adj1" fmla="val 18900000"/>
            <a:gd name="adj2" fmla="val 2700000"/>
            <a:gd name="adj3" fmla="val 2357"/>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430" y="179861"/>
          <a:ext cx="5593534" cy="359732"/>
        </a:xfrm>
        <a:prstGeom prst="rect">
          <a:avLst/>
        </a:prstGeom>
        <a:solidFill>
          <a:schemeClr val="accent2"/>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534"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Leadership</a:t>
          </a:r>
          <a:endParaRPr lang="en-US" sz="1050" b="1" kern="1200">
            <a:solidFill>
              <a:schemeClr val="bg1"/>
            </a:solidFill>
            <a:latin typeface="+mn-lt"/>
          </a:endParaRPr>
        </a:p>
      </dsp:txBody>
      <dsp:txXfrm>
        <a:off x="222430" y="179861"/>
        <a:ext cx="5593534" cy="359732"/>
      </dsp:txXfrm>
    </dsp:sp>
    <dsp:sp modelId="{7A154D9C-7784-492F-8C82-05DEEC48BEBB}">
      <dsp:nvSpPr>
        <dsp:cNvPr id="0" name=""/>
        <dsp:cNvSpPr/>
      </dsp:nvSpPr>
      <dsp:spPr>
        <a:xfrm>
          <a:off x="0" y="137297"/>
          <a:ext cx="444860" cy="444860"/>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89947" y="-98486"/>
          <a:ext cx="916428" cy="916428"/>
        </a:xfrm>
        <a:prstGeom prst="blockArc">
          <a:avLst>
            <a:gd name="adj1" fmla="val 18900000"/>
            <a:gd name="adj2" fmla="val 2700000"/>
            <a:gd name="adj3" fmla="val 2357"/>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3072" y="179846"/>
          <a:ext cx="5644327" cy="359762"/>
        </a:xfrm>
        <a:prstGeom prst="rect">
          <a:avLst/>
        </a:prstGeom>
        <a:solidFill>
          <a:schemeClr val="accent1"/>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534"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Access to Justice</a:t>
          </a:r>
          <a:endParaRPr lang="en-US" sz="1050" b="1" kern="1200">
            <a:solidFill>
              <a:schemeClr val="bg1"/>
            </a:solidFill>
            <a:latin typeface="+mn-lt"/>
          </a:endParaRPr>
        </a:p>
      </dsp:txBody>
      <dsp:txXfrm>
        <a:off x="223072" y="179846"/>
        <a:ext cx="5644327" cy="359762"/>
      </dsp:txXfrm>
    </dsp:sp>
    <dsp:sp modelId="{7A154D9C-7784-492F-8C82-05DEEC48BEBB}">
      <dsp:nvSpPr>
        <dsp:cNvPr id="0" name=""/>
        <dsp:cNvSpPr/>
      </dsp:nvSpPr>
      <dsp:spPr>
        <a:xfrm>
          <a:off x="155" y="137276"/>
          <a:ext cx="444902" cy="444902"/>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700553"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192846" y="180000"/>
          <a:ext cx="5634670" cy="359999"/>
        </a:xfrm>
        <a:prstGeom prst="rect">
          <a:avLst/>
        </a:prstGeom>
        <a:solidFill>
          <a:schemeClr val="accent3"/>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Professionalism</a:t>
          </a:r>
          <a:endParaRPr lang="en-US" sz="1050" b="1" kern="1200">
            <a:solidFill>
              <a:schemeClr val="bg1"/>
            </a:solidFill>
            <a:latin typeface="+mn-lt"/>
          </a:endParaRPr>
        </a:p>
      </dsp:txBody>
      <dsp:txXfrm>
        <a:off x="192846" y="180000"/>
        <a:ext cx="5634670" cy="359999"/>
      </dsp:txXfrm>
    </dsp:sp>
    <dsp:sp modelId="{7A154D9C-7784-492F-8C82-05DEEC48BEBB}">
      <dsp:nvSpPr>
        <dsp:cNvPr id="0" name=""/>
        <dsp:cNvSpPr/>
      </dsp:nvSpPr>
      <dsp:spPr>
        <a:xfrm>
          <a:off x="-9917"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4"/>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Rights</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D7295-9A67-456A-9D8C-AAA96416EFDB}">
      <dsp:nvSpPr>
        <dsp:cNvPr id="0" name=""/>
        <dsp:cNvSpPr/>
      </dsp:nvSpPr>
      <dsp:spPr>
        <a:xfrm>
          <a:off x="-690636" y="-98557"/>
          <a:ext cx="917114" cy="917114"/>
        </a:xfrm>
        <a:prstGeom prst="blockArc">
          <a:avLst>
            <a:gd name="adj1" fmla="val 18900000"/>
            <a:gd name="adj2" fmla="val 2700000"/>
            <a:gd name="adj3" fmla="val 2355"/>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7D273-0179-4E54-9D7B-B153A0FEDCFA}">
      <dsp:nvSpPr>
        <dsp:cNvPr id="0" name=""/>
        <dsp:cNvSpPr/>
      </dsp:nvSpPr>
      <dsp:spPr>
        <a:xfrm>
          <a:off x="222597" y="180000"/>
          <a:ext cx="5595002" cy="359999"/>
        </a:xfrm>
        <a:prstGeom prst="rect">
          <a:avLst/>
        </a:prstGeom>
        <a:solidFill>
          <a:schemeClr val="accent5"/>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85750" tIns="27940" rIns="27940" bIns="27940" numCol="1" spcCol="1270" anchor="ctr" anchorCtr="0">
          <a:noAutofit/>
        </a:bodyPr>
        <a:lstStyle/>
        <a:p>
          <a:pPr lvl="0" algn="l" defTabSz="466725">
            <a:lnSpc>
              <a:spcPct val="90000"/>
            </a:lnSpc>
            <a:spcBef>
              <a:spcPct val="0"/>
            </a:spcBef>
            <a:spcAft>
              <a:spcPct val="35000"/>
            </a:spcAft>
          </a:pPr>
          <a:r>
            <a:rPr lang="en-US" sz="1050" b="1" kern="1200">
              <a:solidFill>
                <a:schemeClr val="bg1"/>
              </a:solidFill>
            </a:rPr>
            <a:t>Procedure</a:t>
          </a:r>
          <a:endParaRPr lang="en-US" sz="1050" b="1" kern="1200">
            <a:solidFill>
              <a:schemeClr val="bg1"/>
            </a:solidFill>
            <a:latin typeface="+mn-lt"/>
          </a:endParaRPr>
        </a:p>
      </dsp:txBody>
      <dsp:txXfrm>
        <a:off x="222597" y="180000"/>
        <a:ext cx="5595002" cy="359999"/>
      </dsp:txXfrm>
    </dsp:sp>
    <dsp:sp modelId="{7A154D9C-7784-492F-8C82-05DEEC48BEBB}">
      <dsp:nvSpPr>
        <dsp:cNvPr id="0" name=""/>
        <dsp:cNvSpPr/>
      </dsp:nvSpPr>
      <dsp:spPr>
        <a:xfrm>
          <a:off x="0" y="137402"/>
          <a:ext cx="445195" cy="445195"/>
        </a:xfrm>
        <a:prstGeom prst="ellipse">
          <a:avLst/>
        </a:prstGeom>
        <a:solidFill>
          <a:schemeClr val="bg1"/>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8.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7.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8.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9.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5.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7.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8.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9.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5.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3.xml.rels><?xml version="1.0" encoding="UTF-8" standalone="yes"?>
<Relationships xmlns="http://schemas.openxmlformats.org/package/2006/relationships"><Relationship Id="rId1" Type="http://schemas.openxmlformats.org/officeDocument/2006/relationships/image" Target="../media/image19.PNG"/></Relationships>
</file>

<file path=word/drawings/drawing1.xml><?xml version="1.0" encoding="utf-8"?>
<c:userShapes xmlns:c="http://schemas.openxmlformats.org/drawingml/2006/chart">
  <cdr:relSizeAnchor xmlns:cdr="http://schemas.openxmlformats.org/drawingml/2006/chartDrawing">
    <cdr:from>
      <cdr:x>0.31571</cdr:x>
      <cdr:y>0.06375</cdr:y>
    </cdr:from>
    <cdr:to>
      <cdr:x>0.31571</cdr:x>
      <cdr:y>0.68306</cdr:y>
    </cdr:to>
    <cdr:cxnSp macro="">
      <cdr:nvCxnSpPr>
        <cdr:cNvPr id="2" name="Straight Connector 1"/>
        <cdr:cNvCxnSpPr/>
      </cdr:nvCxnSpPr>
      <cdr:spPr>
        <a:xfrm xmlns:a="http://schemas.openxmlformats.org/drawingml/2006/main">
          <a:off x="1365250" y="111125"/>
          <a:ext cx="0" cy="107950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0.11365</cdr:x>
      <cdr:y>0.63459</cdr:y>
    </cdr:from>
    <cdr:to>
      <cdr:x>0.97045</cdr:x>
      <cdr:y>0.63459</cdr:y>
    </cdr:to>
    <cdr:cxnSp macro="">
      <cdr:nvCxnSpPr>
        <cdr:cNvPr id="3" name="Straight Connector 2"/>
        <cdr:cNvCxnSpPr/>
      </cdr:nvCxnSpPr>
      <cdr:spPr>
        <a:xfrm xmlns:a="http://schemas.openxmlformats.org/drawingml/2006/main">
          <a:off x="556762" y="2198978"/>
          <a:ext cx="4197485" cy="0"/>
        </a:xfrm>
        <a:prstGeom xmlns:a="http://schemas.openxmlformats.org/drawingml/2006/main" prst="line">
          <a:avLst/>
        </a:prstGeom>
        <a:ln xmlns:a="http://schemas.openxmlformats.org/drawingml/2006/main" w="28575">
          <a:solidFill>
            <a:schemeClr val="accent5">
              <a:lumMod val="75000"/>
              <a:alpha val="85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0.11701</cdr:x>
      <cdr:y>0.68279</cdr:y>
    </cdr:from>
    <cdr:to>
      <cdr:x>0.97381</cdr:x>
      <cdr:y>0.68279</cdr:y>
    </cdr:to>
    <cdr:cxnSp macro="">
      <cdr:nvCxnSpPr>
        <cdr:cNvPr id="5" name="Straight Connector 4"/>
        <cdr:cNvCxnSpPr/>
      </cdr:nvCxnSpPr>
      <cdr:spPr>
        <a:xfrm xmlns:a="http://schemas.openxmlformats.org/drawingml/2006/main">
          <a:off x="573270" y="2384311"/>
          <a:ext cx="4197790" cy="0"/>
        </a:xfrm>
        <a:prstGeom xmlns:a="http://schemas.openxmlformats.org/drawingml/2006/main" prst="line">
          <a:avLst/>
        </a:prstGeom>
        <a:ln xmlns:a="http://schemas.openxmlformats.org/drawingml/2006/main" w="28575">
          <a:solidFill>
            <a:schemeClr val="accent3">
              <a:lumMod val="75000"/>
              <a:alpha val="85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0.714</cdr:x>
      <cdr:y>1</cdr:y>
    </cdr:from>
    <cdr:to>
      <cdr:x>0.72085</cdr:x>
      <cdr:y>1</cdr:y>
    </cdr:to>
    <cdr:cxnSp macro="">
      <cdr:nvCxnSpPr>
        <cdr:cNvPr id="7" name="Straight Connector 6"/>
        <cdr:cNvCxnSpPr/>
      </cdr:nvCxnSpPr>
      <cdr:spPr>
        <a:xfrm xmlns:a="http://schemas.openxmlformats.org/drawingml/2006/main">
          <a:off x="3569970" y="4484370"/>
          <a:ext cx="34290"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0.36828</cdr:x>
      <cdr:y>0.2335</cdr:y>
    </cdr:from>
    <cdr:to>
      <cdr:x>0.64507</cdr:x>
      <cdr:y>0.51029</cdr:y>
    </cdr:to>
    <cdr:pic>
      <cdr:nvPicPr>
        <cdr:cNvPr id="3" name="Picture 2"/>
        <cdr:cNvPicPr preferRelativeResize="0">
          <a:picLocks xmlns:a="http://schemas.openxmlformats.org/drawingml/2006/main" noChangeAspect="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708594" y="398116"/>
          <a:ext cx="532555" cy="471918"/>
        </a:xfrm>
        <a:prstGeom xmlns:a="http://schemas.openxmlformats.org/drawingml/2006/main" prst="rect">
          <a:avLst/>
        </a:prstGeom>
      </cdr:spPr>
    </cdr:pic>
  </cdr:relSizeAnchor>
  <cdr:relSizeAnchor xmlns:cdr="http://schemas.openxmlformats.org/drawingml/2006/chartDrawing">
    <cdr:from>
      <cdr:x>0.22746</cdr:x>
      <cdr:y>0.47263</cdr:y>
    </cdr:from>
    <cdr:to>
      <cdr:x>0.82623</cdr:x>
      <cdr:y>0.7714</cdr:y>
    </cdr:to>
    <cdr:sp macro="" textlink="">
      <cdr:nvSpPr>
        <cdr:cNvPr id="4" name="Text Box 2"/>
        <cdr:cNvSpPr txBox="1">
          <a:spLocks xmlns:a="http://schemas.openxmlformats.org/drawingml/2006/main" noChangeArrowheads="1"/>
        </cdr:cNvSpPr>
      </cdr:nvSpPr>
      <cdr:spPr bwMode="auto">
        <a:xfrm xmlns:a="http://schemas.openxmlformats.org/drawingml/2006/main">
          <a:off x="406446" y="851741"/>
          <a:ext cx="1069929" cy="53841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spcAft>
              <a:spcPts val="0"/>
            </a:spcAft>
          </a:pPr>
          <a:r>
            <a:rPr lang="en-AU" sz="950" b="1" i="0" u="none" baseline="0">
              <a:solidFill>
                <a:sysClr val="windowText" lastClr="000000"/>
              </a:solidFill>
              <a:effectLst/>
              <a:uFill>
                <a:solidFill>
                  <a:schemeClr val="bg1"/>
                </a:solidFill>
              </a:uFill>
              <a:latin typeface="Calibri" panose="020F0502020204030204" pitchFamily="34" charset="0"/>
              <a:ea typeface="Times New Roman" panose="02020603050405020304" pitchFamily="18" charset="0"/>
              <a:cs typeface="Times New Roman" panose="02020603050405020304" pitchFamily="18" charset="0"/>
            </a:rPr>
            <a:t>237</a:t>
          </a:r>
          <a:r>
            <a:rPr lang="en-AU" sz="950" b="0" i="0" u="none" baseline="0">
              <a:solidFill>
                <a:sysClr val="windowText" lastClr="000000"/>
              </a:solidFill>
              <a:effectLst/>
              <a:uFill>
                <a:solidFill>
                  <a:schemeClr val="bg1"/>
                </a:solidFill>
              </a:uFill>
              <a:latin typeface="Calibri" panose="020F0502020204030204" pitchFamily="34" charset="0"/>
              <a:ea typeface="Times New Roman" panose="02020603050405020304" pitchFamily="18" charset="0"/>
              <a:cs typeface="Times New Roman" panose="02020603050405020304" pitchFamily="18" charset="0"/>
            </a:rPr>
            <a:t> activities</a:t>
          </a:r>
        </a:p>
        <a:p xmlns:a="http://schemas.openxmlformats.org/drawingml/2006/main">
          <a:pPr algn="ctr">
            <a:spcAft>
              <a:spcPts val="0"/>
            </a:spcAft>
          </a:pPr>
          <a:r>
            <a:rPr lang="en-AU" sz="950" b="1" i="0" u="none" baseline="0">
              <a:solidFill>
                <a:sysClr val="windowText" lastClr="000000"/>
              </a:solidFill>
              <a:effectLst/>
              <a:uFill>
                <a:solidFill>
                  <a:schemeClr val="bg1"/>
                </a:solidFill>
              </a:uFill>
              <a:latin typeface="Calibri" panose="020F0502020204030204" pitchFamily="34" charset="0"/>
              <a:ea typeface="Times New Roman" panose="02020603050405020304" pitchFamily="18" charset="0"/>
              <a:cs typeface="Times New Roman" panose="02020603050405020304" pitchFamily="18" charset="0"/>
            </a:rPr>
            <a:t>3496</a:t>
          </a:r>
          <a:r>
            <a:rPr lang="en-AU" sz="950" b="0" i="0" u="none" baseline="0">
              <a:solidFill>
                <a:sysClr val="windowText" lastClr="000000"/>
              </a:solidFill>
              <a:effectLst/>
              <a:uFill>
                <a:solidFill>
                  <a:schemeClr val="bg1"/>
                </a:solidFill>
              </a:uFill>
              <a:latin typeface="Calibri" panose="020F0502020204030204" pitchFamily="34" charset="0"/>
              <a:ea typeface="Times New Roman" panose="02020603050405020304" pitchFamily="18" charset="0"/>
              <a:cs typeface="Times New Roman" panose="02020603050405020304" pitchFamily="18" charset="0"/>
            </a:rPr>
            <a:t> </a:t>
          </a:r>
          <a:r>
            <a:rPr lang="en-AU" sz="950" b="0" i="0" u="none" baseline="0">
              <a:solidFill>
                <a:schemeClr val="tx1"/>
              </a:solidFill>
              <a:effectLst/>
              <a:uFill>
                <a:solidFill>
                  <a:schemeClr val="bg1"/>
                </a:solidFill>
              </a:uFill>
              <a:latin typeface="Calibri" panose="020F0502020204030204" pitchFamily="34" charset="0"/>
              <a:ea typeface="Times New Roman" panose="02020603050405020304" pitchFamily="18" charset="0"/>
              <a:cs typeface="Times New Roman" panose="02020603050405020304" pitchFamily="18" charset="0"/>
            </a:rPr>
            <a:t>participants</a:t>
          </a:r>
        </a:p>
        <a:p xmlns:a="http://schemas.openxmlformats.org/drawingml/2006/main">
          <a:pPr algn="ctr">
            <a:spcAft>
              <a:spcPts val="0"/>
            </a:spcAft>
          </a:pPr>
          <a:r>
            <a:rPr lang="en-AU" sz="950" b="1" i="0" u="none" baseline="0">
              <a:solidFill>
                <a:sysClr val="windowText" lastClr="000000"/>
              </a:solidFill>
              <a:effectLst/>
              <a:uFill>
                <a:solidFill>
                  <a:schemeClr val="bg1"/>
                </a:solidFill>
              </a:uFill>
              <a:latin typeface="Calibri" panose="020F0502020204030204" pitchFamily="34" charset="0"/>
              <a:ea typeface="Times New Roman" panose="02020603050405020304" pitchFamily="18" charset="0"/>
              <a:cs typeface="Times New Roman" panose="02020603050405020304" pitchFamily="18" charset="0"/>
            </a:rPr>
            <a:t>46% </a:t>
          </a:r>
          <a:r>
            <a:rPr lang="en-AU" sz="950" b="0" i="0" u="none" baseline="0">
              <a:solidFill>
                <a:sysClr val="windowText" lastClr="000000"/>
              </a:solidFill>
              <a:effectLst/>
              <a:uFill>
                <a:solidFill>
                  <a:schemeClr val="bg1"/>
                </a:solidFill>
              </a:uFill>
              <a:latin typeface="Calibri" panose="020F0502020204030204" pitchFamily="34" charset="0"/>
              <a:ea typeface="Times New Roman" panose="02020603050405020304" pitchFamily="18" charset="0"/>
              <a:cs typeface="Times New Roman" panose="02020603050405020304" pitchFamily="18" charset="0"/>
            </a:rPr>
            <a:t>female</a:t>
          </a:r>
        </a:p>
      </cdr:txBody>
    </cdr:sp>
  </cdr:relSizeAnchor>
</c:userShapes>
</file>

<file path=word/theme/theme1.xml><?xml version="1.0" encoding="utf-8"?>
<a:theme xmlns:a="http://schemas.openxmlformats.org/drawingml/2006/main" name="Office Theme">
  <a:themeElements>
    <a:clrScheme name="PJSI-Theme-Hyperlinks">
      <a:dk1>
        <a:sysClr val="windowText" lastClr="000000"/>
      </a:dk1>
      <a:lt1>
        <a:sysClr val="window" lastClr="FFFFFF"/>
      </a:lt1>
      <a:dk2>
        <a:srgbClr val="002060"/>
      </a:dk2>
      <a:lt2>
        <a:srgbClr val="EEECE1"/>
      </a:lt2>
      <a:accent1>
        <a:srgbClr val="00667C"/>
      </a:accent1>
      <a:accent2>
        <a:srgbClr val="F1AA00"/>
      </a:accent2>
      <a:accent3>
        <a:srgbClr val="B31B34"/>
      </a:accent3>
      <a:accent4>
        <a:srgbClr val="949200"/>
      </a:accent4>
      <a:accent5>
        <a:srgbClr val="81ADB5"/>
      </a:accent5>
      <a:accent6>
        <a:srgbClr val="FFCD00"/>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ln w="28575">
          <a:solidFill>
            <a:schemeClr val="accent5"/>
          </a:solidFill>
          <a:headEnd/>
          <a:tailEnd/>
        </a:ln>
      </a:spPr>
      <a:bodyPr rot="0" vert="horz" wrap="square" lIns="91440" tIns="45720" rIns="91440" bIns="45720" anchor="t" anchorCtr="0">
        <a:noAutofit/>
      </a:bodyPr>
      <a:lstStyle/>
      <a:style>
        <a:lnRef idx="2">
          <a:schemeClr val="accent5"/>
        </a:lnRef>
        <a:fillRef idx="1">
          <a:schemeClr val="lt1"/>
        </a:fillRef>
        <a:effectRef idx="0">
          <a:schemeClr val="accent5"/>
        </a:effectRef>
        <a:fontRef idx="minor">
          <a:schemeClr val="dk1"/>
        </a:fontRef>
      </a: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232C6A-AB8C-461D-B74B-118A753FA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12885</Words>
  <Characters>73451</Characters>
  <Application>Microsoft Office Word</Application>
  <DocSecurity>0</DocSecurity>
  <Lines>612</Lines>
  <Paragraphs>172</Paragraphs>
  <ScaleCrop>false</ScaleCrop>
  <Company/>
  <LinksUpToDate>false</LinksUpToDate>
  <CharactersWithSpaces>86164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2022-01-28T02:47:00Z</dcterms:created>
  <dcterms:modified xsi:type="dcterms:W3CDTF">2022-01-28T02:48:00Z</dcterms:modified>
</cp:coreProperties>
</file>