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5260" w:type="dxa"/>
        <w:tblLayout w:type="fixed"/>
        <w:tblLook w:val="00A0" w:firstRow="1" w:lastRow="0" w:firstColumn="1" w:lastColumn="0" w:noHBand="0" w:noVBand="0"/>
      </w:tblPr>
      <w:tblGrid>
        <w:gridCol w:w="1551"/>
        <w:gridCol w:w="3709"/>
      </w:tblGrid>
      <w:tr w:rsidR="00F77EA3" w:rsidRPr="0048237A" w:rsidTr="00126AE5">
        <w:trPr>
          <w:trHeight w:val="17"/>
        </w:trPr>
        <w:tc>
          <w:tcPr>
            <w:tcW w:w="5260" w:type="dxa"/>
            <w:gridSpan w:val="2"/>
          </w:tcPr>
          <w:p w:rsidR="00F77EA3" w:rsidRPr="0048237A" w:rsidRDefault="00F77EA3" w:rsidP="00126AE5">
            <w:pPr>
              <w:tabs>
                <w:tab w:val="left" w:pos="0"/>
              </w:tabs>
              <w:ind w:right="-3070" w:hanging="250"/>
              <w:jc w:val="both"/>
              <w:rPr>
                <w:sz w:val="20"/>
                <w:lang w:val="en-GB"/>
              </w:rPr>
            </w:pPr>
            <w:bookmarkStart w:id="0" w:name="_GoBack"/>
            <w:bookmarkEnd w:id="0"/>
            <w:r w:rsidRPr="0048237A">
              <w:rPr>
                <w:noProof/>
              </w:rPr>
              <w:drawing>
                <wp:anchor distT="0" distB="0" distL="114300" distR="114300" simplePos="0" relativeHeight="251659264" behindDoc="1" locked="0" layoutInCell="1" allowOverlap="1" wp14:anchorId="28F6A3AD" wp14:editId="0104491A">
                  <wp:simplePos x="0" y="0"/>
                  <wp:positionH relativeFrom="column">
                    <wp:posOffset>1441450</wp:posOffset>
                  </wp:positionH>
                  <wp:positionV relativeFrom="paragraph">
                    <wp:posOffset>-457200</wp:posOffset>
                  </wp:positionV>
                  <wp:extent cx="1707515" cy="17329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07515" cy="1732915"/>
                          </a:xfrm>
                          <a:prstGeom prst="rect">
                            <a:avLst/>
                          </a:prstGeom>
                          <a:solidFill>
                            <a:srgbClr val="FFFFFF"/>
                          </a:solidFill>
                        </pic:spPr>
                      </pic:pic>
                    </a:graphicData>
                  </a:graphic>
                </wp:anchor>
              </w:drawing>
            </w:r>
          </w:p>
        </w:tc>
      </w:tr>
      <w:tr w:rsidR="00F77EA3" w:rsidRPr="0048237A" w:rsidTr="00126AE5">
        <w:trPr>
          <w:gridAfter w:val="1"/>
          <w:wAfter w:w="3709" w:type="dxa"/>
          <w:trHeight w:val="48"/>
        </w:trPr>
        <w:tc>
          <w:tcPr>
            <w:tcW w:w="1551" w:type="dxa"/>
            <w:vAlign w:val="center"/>
          </w:tcPr>
          <w:p w:rsidR="00F77EA3" w:rsidRPr="0048237A" w:rsidRDefault="00F77EA3" w:rsidP="00126AE5">
            <w:pPr>
              <w:jc w:val="both"/>
              <w:rPr>
                <w:rFonts w:cs="Calibri"/>
                <w:noProof/>
                <w:sz w:val="60"/>
                <w:szCs w:val="60"/>
                <w:lang w:val="en-GB"/>
              </w:rPr>
            </w:pPr>
          </w:p>
        </w:tc>
      </w:tr>
      <w:tr w:rsidR="00F77EA3" w:rsidRPr="0048237A" w:rsidTr="00126AE5">
        <w:trPr>
          <w:gridAfter w:val="1"/>
          <w:wAfter w:w="3709" w:type="dxa"/>
          <w:trHeight w:val="48"/>
        </w:trPr>
        <w:tc>
          <w:tcPr>
            <w:tcW w:w="1551" w:type="dxa"/>
            <w:vAlign w:val="center"/>
          </w:tcPr>
          <w:p w:rsidR="00F77EA3" w:rsidRPr="0048237A" w:rsidRDefault="00F77EA3" w:rsidP="00126AE5">
            <w:pPr>
              <w:jc w:val="both"/>
              <w:rPr>
                <w:rFonts w:cs="Calibri"/>
                <w:noProof/>
                <w:sz w:val="60"/>
                <w:szCs w:val="60"/>
                <w:lang w:val="en-GB"/>
              </w:rPr>
            </w:pPr>
          </w:p>
        </w:tc>
      </w:tr>
      <w:tr w:rsidR="00F77EA3" w:rsidRPr="0048237A" w:rsidTr="00126AE5">
        <w:trPr>
          <w:gridAfter w:val="1"/>
          <w:wAfter w:w="3709" w:type="dxa"/>
          <w:trHeight w:val="48"/>
        </w:trPr>
        <w:tc>
          <w:tcPr>
            <w:tcW w:w="1551" w:type="dxa"/>
            <w:vAlign w:val="center"/>
          </w:tcPr>
          <w:p w:rsidR="00F77EA3" w:rsidRPr="0048237A" w:rsidRDefault="00F77EA3" w:rsidP="00126AE5">
            <w:pPr>
              <w:ind w:right="-7061"/>
              <w:jc w:val="both"/>
              <w:rPr>
                <w:rFonts w:cs="Calibri"/>
                <w:noProof/>
                <w:sz w:val="60"/>
                <w:szCs w:val="60"/>
                <w:lang w:val="en-GB"/>
              </w:rPr>
            </w:pPr>
          </w:p>
        </w:tc>
      </w:tr>
    </w:tbl>
    <w:p w:rsidR="00F77EA3" w:rsidRPr="003A4BB0" w:rsidRDefault="00126AE5" w:rsidP="004C3649">
      <w:pPr>
        <w:pStyle w:val="Heading1"/>
        <w:jc w:val="center"/>
        <w:rPr>
          <w:i/>
        </w:rPr>
      </w:pPr>
      <w:r>
        <w:br w:type="textWrapping" w:clear="all"/>
      </w:r>
      <w:r w:rsidR="00AB27C2" w:rsidRPr="004C3649">
        <w:rPr>
          <w:color w:val="auto"/>
        </w:rPr>
        <w:t xml:space="preserve">Courts </w:t>
      </w:r>
      <w:r w:rsidR="004E70FC" w:rsidRPr="004C3649">
        <w:rPr>
          <w:color w:val="auto"/>
        </w:rPr>
        <w:t xml:space="preserve">in the Pacific Improve Public Access to Court </w:t>
      </w:r>
      <w:r w:rsidR="00AB27C2" w:rsidRPr="004C3649">
        <w:rPr>
          <w:color w:val="auto"/>
        </w:rPr>
        <w:t>Annual Reports</w:t>
      </w:r>
    </w:p>
    <w:p w:rsidR="00F77EA3" w:rsidRPr="00F77EA3" w:rsidRDefault="00F77EA3" w:rsidP="00F77EA3">
      <w:pPr>
        <w:rPr>
          <w:b/>
        </w:rPr>
      </w:pPr>
    </w:p>
    <w:p w:rsidR="009D27A4" w:rsidRDefault="009D27A4">
      <w:pPr>
        <w:rPr>
          <w:rFonts w:ascii="Times New Roman" w:hAnsi="Times New Roman"/>
        </w:rPr>
      </w:pPr>
      <w:r>
        <w:rPr>
          <w:rFonts w:ascii="Times New Roman" w:hAnsi="Times New Roman"/>
        </w:rPr>
        <w:t>A</w:t>
      </w:r>
      <w:r w:rsidR="0047143F">
        <w:rPr>
          <w:rFonts w:ascii="Times New Roman" w:hAnsi="Times New Roman"/>
        </w:rPr>
        <w:t xml:space="preserve">ccording to </w:t>
      </w:r>
      <w:r>
        <w:rPr>
          <w:rFonts w:ascii="Times New Roman" w:hAnsi="Times New Roman"/>
        </w:rPr>
        <w:t xml:space="preserve">recently released </w:t>
      </w:r>
      <w:r w:rsidR="00894E88">
        <w:rPr>
          <w:rFonts w:ascii="Times New Roman" w:hAnsi="Times New Roman"/>
        </w:rPr>
        <w:t xml:space="preserve">court </w:t>
      </w:r>
      <w:r w:rsidR="00E14451">
        <w:rPr>
          <w:rFonts w:ascii="Times New Roman" w:hAnsi="Times New Roman"/>
        </w:rPr>
        <w:t xml:space="preserve">performance </w:t>
      </w:r>
      <w:r w:rsidR="00894E88">
        <w:rPr>
          <w:rFonts w:ascii="Times New Roman" w:hAnsi="Times New Roman"/>
        </w:rPr>
        <w:t>data</w:t>
      </w:r>
      <w:r w:rsidR="00AB27C2">
        <w:rPr>
          <w:rFonts w:ascii="Times New Roman" w:hAnsi="Times New Roman"/>
        </w:rPr>
        <w:t>, Pacific Courts</w:t>
      </w:r>
      <w:r>
        <w:rPr>
          <w:rFonts w:ascii="Times New Roman" w:hAnsi="Times New Roman"/>
        </w:rPr>
        <w:t xml:space="preserve"> are more accountable and transparent </w:t>
      </w:r>
      <w:r w:rsidR="0047143F">
        <w:rPr>
          <w:rFonts w:ascii="Times New Roman" w:hAnsi="Times New Roman"/>
        </w:rPr>
        <w:t>in 1</w:t>
      </w:r>
      <w:r w:rsidR="00126AE5">
        <w:rPr>
          <w:rFonts w:ascii="Times New Roman" w:hAnsi="Times New Roman"/>
        </w:rPr>
        <w:t xml:space="preserve">1 </w:t>
      </w:r>
      <w:r w:rsidR="0047143F">
        <w:rPr>
          <w:rFonts w:ascii="Times New Roman" w:hAnsi="Times New Roman"/>
        </w:rPr>
        <w:t xml:space="preserve">of </w:t>
      </w:r>
      <w:r w:rsidR="00E14451">
        <w:rPr>
          <w:rFonts w:ascii="Times New Roman" w:hAnsi="Times New Roman"/>
        </w:rPr>
        <w:t xml:space="preserve">15 key indicators </w:t>
      </w:r>
      <w:r w:rsidR="00DC60D0">
        <w:rPr>
          <w:rFonts w:ascii="Times New Roman" w:hAnsi="Times New Roman"/>
        </w:rPr>
        <w:t xml:space="preserve">including </w:t>
      </w:r>
      <w:r w:rsidR="0047143F">
        <w:rPr>
          <w:rFonts w:ascii="Times New Roman" w:hAnsi="Times New Roman"/>
        </w:rPr>
        <w:t xml:space="preserve">case management, cost and accessibility and handling complaints. </w:t>
      </w:r>
    </w:p>
    <w:p w:rsidR="00827506" w:rsidRDefault="00827506">
      <w:pPr>
        <w:rPr>
          <w:rFonts w:ascii="Times New Roman" w:hAnsi="Times New Roman"/>
        </w:rPr>
      </w:pPr>
    </w:p>
    <w:p w:rsidR="00827506" w:rsidRPr="00827506" w:rsidRDefault="00AB27C2" w:rsidP="00837889">
      <w:pPr>
        <w:rPr>
          <w:rFonts w:ascii="Times New Roman" w:hAnsi="Times New Roman"/>
        </w:rPr>
      </w:pPr>
      <w:r w:rsidRPr="00827506">
        <w:rPr>
          <w:rFonts w:ascii="Times New Roman" w:hAnsi="Times New Roman"/>
        </w:rPr>
        <w:t>Support</w:t>
      </w:r>
      <w:r w:rsidR="000B461B" w:rsidRPr="00827506">
        <w:rPr>
          <w:rFonts w:ascii="Times New Roman" w:hAnsi="Times New Roman"/>
        </w:rPr>
        <w:t xml:space="preserve">ing these reforms </w:t>
      </w:r>
      <w:r w:rsidR="009D27A4" w:rsidRPr="00827506">
        <w:rPr>
          <w:rFonts w:ascii="Times New Roman" w:hAnsi="Times New Roman"/>
        </w:rPr>
        <w:t>in t</w:t>
      </w:r>
      <w:r w:rsidR="00F77EA3" w:rsidRPr="00827506">
        <w:rPr>
          <w:rFonts w:ascii="Times New Roman" w:hAnsi="Times New Roman"/>
        </w:rPr>
        <w:t>he Pacific Island</w:t>
      </w:r>
      <w:r w:rsidR="003A4BB0" w:rsidRPr="00827506">
        <w:rPr>
          <w:rFonts w:ascii="Times New Roman" w:hAnsi="Times New Roman"/>
        </w:rPr>
        <w:t xml:space="preserve">s </w:t>
      </w:r>
      <w:r w:rsidR="009D27A4" w:rsidRPr="00827506">
        <w:rPr>
          <w:rFonts w:ascii="Times New Roman" w:hAnsi="Times New Roman"/>
        </w:rPr>
        <w:t xml:space="preserve">is the </w:t>
      </w:r>
      <w:r w:rsidRPr="00827506">
        <w:rPr>
          <w:rFonts w:ascii="Times New Roman" w:hAnsi="Times New Roman"/>
        </w:rPr>
        <w:t xml:space="preserve">Pacific </w:t>
      </w:r>
      <w:r w:rsidR="003A4BB0" w:rsidRPr="00827506">
        <w:rPr>
          <w:rFonts w:ascii="Times New Roman" w:hAnsi="Times New Roman"/>
        </w:rPr>
        <w:t>Judicial Development Programme</w:t>
      </w:r>
      <w:r w:rsidR="00612FC2" w:rsidRPr="00827506">
        <w:rPr>
          <w:rFonts w:ascii="Times New Roman" w:hAnsi="Times New Roman"/>
        </w:rPr>
        <w:t xml:space="preserve"> (PJDP) </w:t>
      </w:r>
      <w:r w:rsidR="000B461B" w:rsidRPr="00827506">
        <w:rPr>
          <w:rFonts w:ascii="Times New Roman" w:hAnsi="Times New Roman"/>
        </w:rPr>
        <w:t xml:space="preserve">which </w:t>
      </w:r>
      <w:r w:rsidR="006B6880" w:rsidRPr="00827506">
        <w:rPr>
          <w:rFonts w:ascii="Times New Roman" w:hAnsi="Times New Roman"/>
        </w:rPr>
        <w:t xml:space="preserve">over the past two years has supported </w:t>
      </w:r>
      <w:r w:rsidR="0047450E" w:rsidRPr="00827506">
        <w:rPr>
          <w:rFonts w:ascii="Times New Roman" w:hAnsi="Times New Roman"/>
        </w:rPr>
        <w:t>judicial officers and court staff</w:t>
      </w:r>
      <w:r w:rsidR="000B461B" w:rsidRPr="00827506">
        <w:rPr>
          <w:rFonts w:ascii="Times New Roman" w:hAnsi="Times New Roman"/>
        </w:rPr>
        <w:t xml:space="preserve"> in 14 Pacific countries </w:t>
      </w:r>
      <w:r w:rsidR="00837889" w:rsidRPr="00837889">
        <w:rPr>
          <w:rFonts w:ascii="Times New Roman" w:hAnsi="Times New Roman"/>
        </w:rPr>
        <w:t>to collect, analyse and publish data for annual reports that track their progress</w:t>
      </w:r>
      <w:r w:rsidR="00837889">
        <w:rPr>
          <w:rFonts w:ascii="Times New Roman" w:hAnsi="Times New Roman"/>
        </w:rPr>
        <w:t xml:space="preserve">. </w:t>
      </w:r>
      <w:r w:rsidR="00837889">
        <w:rPr>
          <w:rFonts w:ascii="Times New Roman" w:hAnsi="Times New Roman"/>
          <w:lang w:eastAsia="en-US"/>
        </w:rPr>
        <w:t>PJDP partner courts include</w:t>
      </w:r>
      <w:r w:rsidR="00827506" w:rsidRPr="00CA2DE3">
        <w:rPr>
          <w:rFonts w:ascii="Times New Roman" w:hAnsi="Times New Roman"/>
          <w:lang w:eastAsia="en-US"/>
        </w:rPr>
        <w:t>: Cook Islands, Federated States of Micronesia, Kiribati, Marshall Islands, Nauru, Niue, Palau, Papua New Guinea, Samoa, Solomon Islands, Tokelau, Tonga, Tuvalu and Vanuatu</w:t>
      </w:r>
      <w:r w:rsidR="006B6880" w:rsidRPr="00837889">
        <w:rPr>
          <w:rFonts w:ascii="Times New Roman" w:hAnsi="Times New Roman"/>
        </w:rPr>
        <w:t>.</w:t>
      </w:r>
    </w:p>
    <w:p w:rsidR="00827506" w:rsidRPr="00827506" w:rsidRDefault="00827506">
      <w:pPr>
        <w:rPr>
          <w:rFonts w:ascii="Times New Roman" w:hAnsi="Times New Roman"/>
        </w:rPr>
      </w:pPr>
    </w:p>
    <w:p w:rsidR="00C328F3" w:rsidRDefault="00827506" w:rsidP="00CA2DE3">
      <w:pPr>
        <w:spacing w:after="120"/>
        <w:rPr>
          <w:rFonts w:ascii="Times New Roman" w:hAnsi="Times New Roman"/>
        </w:rPr>
      </w:pPr>
      <w:r w:rsidRPr="00CA2DE3">
        <w:rPr>
          <w:rFonts w:ascii="Times New Roman" w:hAnsi="Times New Roman"/>
        </w:rPr>
        <w:t xml:space="preserve">The Programme supports </w:t>
      </w:r>
      <w:r w:rsidRPr="00CA2DE3">
        <w:rPr>
          <w:rFonts w:ascii="Times New Roman" w:hAnsi="Times New Roman"/>
          <w:bCs/>
          <w:iCs/>
        </w:rPr>
        <w:t>judicial development and institutional strengthening in the form of technical assistance delivered through capacity-building, leadership fora, toolkits and pilot projects.  A</w:t>
      </w:r>
      <w:r w:rsidRPr="00CA2DE3">
        <w:rPr>
          <w:rFonts w:ascii="Times New Roman" w:hAnsi="Times New Roman"/>
        </w:rPr>
        <w:t>ctivities now also focus on promoting better public awareness, access, and delivery of services by the courts.</w:t>
      </w:r>
      <w:r w:rsidRPr="00CA2DE3">
        <w:rPr>
          <w:rFonts w:ascii="Times New Roman" w:hAnsi="Times New Roman"/>
          <w:bCs/>
          <w:iCs/>
        </w:rPr>
        <w:t xml:space="preserve">  Through this, justice outcomes for beneficiaries at the regional, national and local levels will be improved</w:t>
      </w:r>
      <w:r>
        <w:rPr>
          <w:rFonts w:ascii="Times New Roman" w:hAnsi="Times New Roman"/>
        </w:rPr>
        <w:t xml:space="preserve">.  The </w:t>
      </w:r>
      <w:r w:rsidR="00126AE5" w:rsidRPr="00827506">
        <w:rPr>
          <w:rFonts w:ascii="Times New Roman" w:hAnsi="Times New Roman"/>
        </w:rPr>
        <w:t>PJDP is implemented by the Federal Court of Australia with funding and support from New Zeal</w:t>
      </w:r>
      <w:r w:rsidR="00126AE5">
        <w:rPr>
          <w:rFonts w:ascii="Times New Roman" w:hAnsi="Times New Roman"/>
        </w:rPr>
        <w:t>and</w:t>
      </w:r>
      <w:r w:rsidR="00A246A3">
        <w:rPr>
          <w:rFonts w:ascii="Times New Roman" w:hAnsi="Times New Roman"/>
        </w:rPr>
        <w:t>’s</w:t>
      </w:r>
      <w:r w:rsidR="00126AE5">
        <w:rPr>
          <w:rFonts w:ascii="Times New Roman" w:hAnsi="Times New Roman"/>
        </w:rPr>
        <w:t xml:space="preserve"> Ministry of Foreign Affairs and Trade, promoting justice, the rule of law and good governance across the Pacific region. </w:t>
      </w:r>
    </w:p>
    <w:p w:rsidR="00A54F8E" w:rsidRDefault="00A54F8E">
      <w:pPr>
        <w:rPr>
          <w:rFonts w:ascii="Times New Roman" w:hAnsi="Times New Roman"/>
        </w:rPr>
      </w:pPr>
    </w:p>
    <w:p w:rsidR="00A54F8E" w:rsidRDefault="00A54F8E">
      <w:pPr>
        <w:rPr>
          <w:rFonts w:ascii="Times New Roman" w:hAnsi="Times New Roman"/>
        </w:rPr>
      </w:pPr>
      <w:r>
        <w:rPr>
          <w:rFonts w:ascii="Times New Roman" w:hAnsi="Times New Roman"/>
        </w:rPr>
        <w:t>Representatives</w:t>
      </w:r>
      <w:r w:rsidR="001E199B">
        <w:rPr>
          <w:rFonts w:ascii="Times New Roman" w:hAnsi="Times New Roman"/>
        </w:rPr>
        <w:t xml:space="preserve"> from these </w:t>
      </w:r>
      <w:r w:rsidR="009D27A4">
        <w:rPr>
          <w:rFonts w:ascii="Times New Roman" w:hAnsi="Times New Roman"/>
        </w:rPr>
        <w:t xml:space="preserve">Pacific </w:t>
      </w:r>
      <w:r w:rsidR="001E199B">
        <w:rPr>
          <w:rFonts w:ascii="Times New Roman" w:hAnsi="Times New Roman"/>
        </w:rPr>
        <w:t xml:space="preserve">countries </w:t>
      </w:r>
      <w:r w:rsidR="009D27A4">
        <w:rPr>
          <w:rFonts w:ascii="Times New Roman" w:hAnsi="Times New Roman"/>
        </w:rPr>
        <w:t xml:space="preserve">are </w:t>
      </w:r>
      <w:r w:rsidR="001E199B">
        <w:rPr>
          <w:rFonts w:ascii="Times New Roman" w:hAnsi="Times New Roman"/>
        </w:rPr>
        <w:t xml:space="preserve">in Brisbane for </w:t>
      </w:r>
      <w:r w:rsidR="001A3018">
        <w:rPr>
          <w:rFonts w:ascii="Times New Roman" w:hAnsi="Times New Roman"/>
        </w:rPr>
        <w:t xml:space="preserve">annual Leadership Meetings as well as </w:t>
      </w:r>
      <w:r w:rsidR="001E199B">
        <w:rPr>
          <w:rFonts w:ascii="Times New Roman" w:hAnsi="Times New Roman"/>
        </w:rPr>
        <w:t xml:space="preserve">the launch of </w:t>
      </w:r>
      <w:r>
        <w:rPr>
          <w:rFonts w:ascii="Times New Roman" w:hAnsi="Times New Roman"/>
        </w:rPr>
        <w:t xml:space="preserve">the </w:t>
      </w:r>
      <w:r w:rsidR="006B6880">
        <w:rPr>
          <w:rFonts w:ascii="Times New Roman" w:hAnsi="Times New Roman"/>
        </w:rPr>
        <w:t>2012</w:t>
      </w:r>
      <w:r w:rsidR="00E14451">
        <w:rPr>
          <w:rFonts w:ascii="Times New Roman" w:hAnsi="Times New Roman"/>
        </w:rPr>
        <w:t xml:space="preserve"> </w:t>
      </w:r>
      <w:r w:rsidR="00362DE1">
        <w:rPr>
          <w:rFonts w:ascii="Times New Roman" w:hAnsi="Times New Roman"/>
        </w:rPr>
        <w:t>Court Trend Report</w:t>
      </w:r>
      <w:r>
        <w:rPr>
          <w:rFonts w:ascii="Times New Roman" w:hAnsi="Times New Roman"/>
        </w:rPr>
        <w:t xml:space="preserve"> </w:t>
      </w:r>
      <w:r w:rsidR="001A3018">
        <w:rPr>
          <w:rFonts w:ascii="Times New Roman" w:hAnsi="Times New Roman"/>
        </w:rPr>
        <w:t>that</w:t>
      </w:r>
      <w:r>
        <w:rPr>
          <w:rFonts w:ascii="Times New Roman" w:hAnsi="Times New Roman"/>
        </w:rPr>
        <w:t xml:space="preserve"> </w:t>
      </w:r>
      <w:r w:rsidR="00612FC2">
        <w:rPr>
          <w:rFonts w:ascii="Times New Roman" w:hAnsi="Times New Roman"/>
        </w:rPr>
        <w:t xml:space="preserve">provides 24 recommendations </w:t>
      </w:r>
      <w:r>
        <w:rPr>
          <w:rFonts w:ascii="Times New Roman" w:hAnsi="Times New Roman"/>
        </w:rPr>
        <w:t xml:space="preserve">on </w:t>
      </w:r>
      <w:r w:rsidR="001A3018">
        <w:rPr>
          <w:rFonts w:ascii="Times New Roman" w:hAnsi="Times New Roman"/>
        </w:rPr>
        <w:t xml:space="preserve">how courts report on </w:t>
      </w:r>
      <w:r>
        <w:rPr>
          <w:rFonts w:ascii="Times New Roman" w:hAnsi="Times New Roman"/>
        </w:rPr>
        <w:t>case management issues</w:t>
      </w:r>
      <w:r w:rsidR="001A3018">
        <w:rPr>
          <w:rFonts w:ascii="Times New Roman" w:hAnsi="Times New Roman"/>
        </w:rPr>
        <w:t xml:space="preserve">, </w:t>
      </w:r>
      <w:r w:rsidR="009D27A4">
        <w:rPr>
          <w:rFonts w:ascii="Times New Roman" w:hAnsi="Times New Roman"/>
        </w:rPr>
        <w:t xml:space="preserve">transparency and accountability measures, information </w:t>
      </w:r>
      <w:r w:rsidR="001A3018">
        <w:rPr>
          <w:rFonts w:ascii="Times New Roman" w:hAnsi="Times New Roman"/>
        </w:rPr>
        <w:t>on</w:t>
      </w:r>
      <w:r w:rsidR="009D27A4">
        <w:rPr>
          <w:rFonts w:ascii="Times New Roman" w:hAnsi="Times New Roman"/>
        </w:rPr>
        <w:t xml:space="preserve"> </w:t>
      </w:r>
      <w:r>
        <w:rPr>
          <w:rFonts w:ascii="Times New Roman" w:hAnsi="Times New Roman"/>
        </w:rPr>
        <w:t>accessibility</w:t>
      </w:r>
      <w:r w:rsidR="001A3018">
        <w:rPr>
          <w:rFonts w:ascii="Times New Roman" w:hAnsi="Times New Roman"/>
        </w:rPr>
        <w:t xml:space="preserve"> and affordability of</w:t>
      </w:r>
      <w:r>
        <w:rPr>
          <w:rFonts w:ascii="Times New Roman" w:hAnsi="Times New Roman"/>
        </w:rPr>
        <w:t xml:space="preserve"> </w:t>
      </w:r>
      <w:r w:rsidR="001A3018">
        <w:rPr>
          <w:rFonts w:ascii="Times New Roman" w:hAnsi="Times New Roman"/>
        </w:rPr>
        <w:t xml:space="preserve">courts for all citizens </w:t>
      </w:r>
      <w:r w:rsidR="009D27A4">
        <w:rPr>
          <w:rFonts w:ascii="Times New Roman" w:hAnsi="Times New Roman"/>
        </w:rPr>
        <w:t xml:space="preserve">and </w:t>
      </w:r>
      <w:r>
        <w:rPr>
          <w:rFonts w:ascii="Times New Roman" w:hAnsi="Times New Roman"/>
        </w:rPr>
        <w:t>procedures for handling</w:t>
      </w:r>
      <w:r w:rsidR="009D27A4">
        <w:rPr>
          <w:rFonts w:ascii="Times New Roman" w:hAnsi="Times New Roman"/>
        </w:rPr>
        <w:t xml:space="preserve"> complaints </w:t>
      </w:r>
      <w:r w:rsidR="001A3018">
        <w:rPr>
          <w:rFonts w:ascii="Times New Roman" w:hAnsi="Times New Roman"/>
        </w:rPr>
        <w:t>concerning</w:t>
      </w:r>
      <w:r w:rsidR="009D27A4">
        <w:rPr>
          <w:rFonts w:ascii="Times New Roman" w:hAnsi="Times New Roman"/>
        </w:rPr>
        <w:t xml:space="preserve"> judicial officers and court</w:t>
      </w:r>
      <w:r w:rsidR="001A3018">
        <w:rPr>
          <w:rFonts w:ascii="Times New Roman" w:hAnsi="Times New Roman"/>
        </w:rPr>
        <w:t xml:space="preserve"> staff</w:t>
      </w:r>
      <w:r>
        <w:rPr>
          <w:rFonts w:ascii="Times New Roman" w:hAnsi="Times New Roman"/>
        </w:rPr>
        <w:t xml:space="preserve">. </w:t>
      </w:r>
    </w:p>
    <w:p w:rsidR="00A54F8E" w:rsidRDefault="00A54F8E">
      <w:pPr>
        <w:rPr>
          <w:rFonts w:ascii="Times New Roman" w:hAnsi="Times New Roman"/>
        </w:rPr>
      </w:pPr>
    </w:p>
    <w:p w:rsidR="000B461B" w:rsidRDefault="00AB27C2">
      <w:pPr>
        <w:rPr>
          <w:rFonts w:ascii="Times New Roman" w:hAnsi="Times New Roman"/>
        </w:rPr>
      </w:pPr>
      <w:r w:rsidRPr="00807F95">
        <w:rPr>
          <w:rFonts w:ascii="Times New Roman" w:eastAsiaTheme="minorEastAsia" w:hAnsi="Times New Roman"/>
          <w:lang w:eastAsia="en-US"/>
        </w:rPr>
        <w:t>Chief Justice Patu Sapolu</w:t>
      </w:r>
      <w:r w:rsidR="000B461B">
        <w:rPr>
          <w:rFonts w:ascii="Times New Roman" w:hAnsi="Times New Roman"/>
        </w:rPr>
        <w:t xml:space="preserve">, </w:t>
      </w:r>
      <w:r w:rsidR="00736F38">
        <w:rPr>
          <w:rFonts w:ascii="Times New Roman" w:hAnsi="Times New Roman"/>
        </w:rPr>
        <w:t xml:space="preserve">Chief Justice of Samoa, and </w:t>
      </w:r>
      <w:r>
        <w:rPr>
          <w:rFonts w:ascii="Times New Roman" w:hAnsi="Times New Roman"/>
        </w:rPr>
        <w:t>Chair of the PJDP</w:t>
      </w:r>
      <w:r w:rsidR="00736F38">
        <w:rPr>
          <w:rFonts w:ascii="Times New Roman" w:hAnsi="Times New Roman"/>
        </w:rPr>
        <w:t xml:space="preserve"> </w:t>
      </w:r>
      <w:r w:rsidR="000B461B">
        <w:rPr>
          <w:rFonts w:ascii="Times New Roman" w:hAnsi="Times New Roman"/>
        </w:rPr>
        <w:t>s</w:t>
      </w:r>
      <w:r w:rsidR="009D27A4">
        <w:rPr>
          <w:rFonts w:ascii="Times New Roman" w:hAnsi="Times New Roman"/>
        </w:rPr>
        <w:t xml:space="preserve">tated that this </w:t>
      </w:r>
      <w:r w:rsidR="000B461B">
        <w:rPr>
          <w:rFonts w:ascii="Times New Roman" w:hAnsi="Times New Roman"/>
        </w:rPr>
        <w:t xml:space="preserve">report shows improvements in </w:t>
      </w:r>
      <w:r w:rsidR="00C328F3">
        <w:rPr>
          <w:rFonts w:ascii="Times New Roman" w:hAnsi="Times New Roman"/>
        </w:rPr>
        <w:t xml:space="preserve">almost all </w:t>
      </w:r>
      <w:r w:rsidR="000B461B">
        <w:rPr>
          <w:rFonts w:ascii="Times New Roman" w:hAnsi="Times New Roman"/>
        </w:rPr>
        <w:t>key i</w:t>
      </w:r>
      <w:r w:rsidR="00C328F3">
        <w:rPr>
          <w:rFonts w:ascii="Times New Roman" w:hAnsi="Times New Roman"/>
        </w:rPr>
        <w:t>ndicator areas.</w:t>
      </w:r>
    </w:p>
    <w:p w:rsidR="000B461B" w:rsidRDefault="000B461B">
      <w:pPr>
        <w:rPr>
          <w:rFonts w:ascii="Times New Roman" w:hAnsi="Times New Roman"/>
        </w:rPr>
      </w:pPr>
    </w:p>
    <w:p w:rsidR="000B461B" w:rsidRDefault="006B6880">
      <w:pPr>
        <w:rPr>
          <w:rFonts w:ascii="Times New Roman" w:hAnsi="Times New Roman"/>
        </w:rPr>
      </w:pPr>
      <w:r>
        <w:rPr>
          <w:rFonts w:ascii="Times New Roman" w:hAnsi="Times New Roman"/>
        </w:rPr>
        <w:t xml:space="preserve">“When we compare data from the </w:t>
      </w:r>
      <w:r w:rsidR="001A3018">
        <w:rPr>
          <w:rFonts w:ascii="Times New Roman" w:hAnsi="Times New Roman"/>
        </w:rPr>
        <w:t xml:space="preserve">2011 </w:t>
      </w:r>
      <w:r>
        <w:rPr>
          <w:rFonts w:ascii="Times New Roman" w:hAnsi="Times New Roman"/>
        </w:rPr>
        <w:t xml:space="preserve">PJDP </w:t>
      </w:r>
      <w:r w:rsidR="002156AF">
        <w:rPr>
          <w:rFonts w:ascii="Times New Roman" w:hAnsi="Times New Roman"/>
        </w:rPr>
        <w:t>Baseline R</w:t>
      </w:r>
      <w:r>
        <w:rPr>
          <w:rFonts w:ascii="Times New Roman" w:hAnsi="Times New Roman"/>
        </w:rPr>
        <w:t xml:space="preserve">eport the findings are extremely encouraging, with </w:t>
      </w:r>
      <w:r w:rsidR="009D27A4">
        <w:rPr>
          <w:rFonts w:ascii="Times New Roman" w:hAnsi="Times New Roman"/>
        </w:rPr>
        <w:t xml:space="preserve">improvements in </w:t>
      </w:r>
      <w:r>
        <w:rPr>
          <w:rFonts w:ascii="Times New Roman" w:hAnsi="Times New Roman"/>
        </w:rPr>
        <w:t>1</w:t>
      </w:r>
      <w:r w:rsidR="0017139B">
        <w:rPr>
          <w:rFonts w:ascii="Times New Roman" w:hAnsi="Times New Roman"/>
        </w:rPr>
        <w:t>1</w:t>
      </w:r>
      <w:r>
        <w:rPr>
          <w:rFonts w:ascii="Times New Roman" w:hAnsi="Times New Roman"/>
        </w:rPr>
        <w:t xml:space="preserve"> </w:t>
      </w:r>
      <w:r w:rsidR="00C328F3">
        <w:rPr>
          <w:rFonts w:ascii="Times New Roman" w:hAnsi="Times New Roman"/>
        </w:rPr>
        <w:t xml:space="preserve">of the 15 </w:t>
      </w:r>
      <w:r>
        <w:rPr>
          <w:rFonts w:ascii="Times New Roman" w:hAnsi="Times New Roman"/>
        </w:rPr>
        <w:t>indicators</w:t>
      </w:r>
      <w:r w:rsidR="009D27A4">
        <w:rPr>
          <w:rFonts w:ascii="Times New Roman" w:hAnsi="Times New Roman"/>
        </w:rPr>
        <w:t xml:space="preserve"> particularly in the areas of </w:t>
      </w:r>
      <w:r>
        <w:rPr>
          <w:rFonts w:ascii="Times New Roman" w:hAnsi="Times New Roman"/>
        </w:rPr>
        <w:t xml:space="preserve">case management, accessibility </w:t>
      </w:r>
      <w:r w:rsidR="00DC60D0">
        <w:rPr>
          <w:rFonts w:ascii="Times New Roman" w:hAnsi="Times New Roman"/>
        </w:rPr>
        <w:t>and complaint handling</w:t>
      </w:r>
      <w:r w:rsidR="009D27A4">
        <w:rPr>
          <w:rFonts w:ascii="Times New Roman" w:hAnsi="Times New Roman"/>
        </w:rPr>
        <w:t>.</w:t>
      </w:r>
    </w:p>
    <w:p w:rsidR="006B6880" w:rsidRDefault="006B6880">
      <w:pPr>
        <w:rPr>
          <w:rFonts w:ascii="Times New Roman" w:hAnsi="Times New Roman"/>
        </w:rPr>
      </w:pPr>
    </w:p>
    <w:p w:rsidR="006B6880" w:rsidRDefault="009D27A4">
      <w:pPr>
        <w:rPr>
          <w:rFonts w:ascii="Times New Roman" w:hAnsi="Times New Roman"/>
        </w:rPr>
      </w:pPr>
      <w:r>
        <w:rPr>
          <w:rFonts w:ascii="Times New Roman" w:hAnsi="Times New Roman"/>
        </w:rPr>
        <w:t>In 20</w:t>
      </w:r>
      <w:r w:rsidR="002156AF">
        <w:rPr>
          <w:rFonts w:ascii="Times New Roman" w:hAnsi="Times New Roman"/>
        </w:rPr>
        <w:t>11</w:t>
      </w:r>
      <w:r w:rsidR="00AB27C2">
        <w:rPr>
          <w:rFonts w:ascii="Times New Roman" w:hAnsi="Times New Roman"/>
        </w:rPr>
        <w:t>,</w:t>
      </w:r>
      <w:r>
        <w:rPr>
          <w:rFonts w:ascii="Times New Roman" w:hAnsi="Times New Roman"/>
        </w:rPr>
        <w:t xml:space="preserve"> Chief Justices developed and approved the </w:t>
      </w:r>
      <w:r w:rsidR="006B6880">
        <w:rPr>
          <w:rFonts w:ascii="Times New Roman" w:hAnsi="Times New Roman"/>
        </w:rPr>
        <w:t xml:space="preserve">performance </w:t>
      </w:r>
      <w:r>
        <w:rPr>
          <w:rFonts w:ascii="Times New Roman" w:hAnsi="Times New Roman"/>
        </w:rPr>
        <w:t xml:space="preserve">indicators </w:t>
      </w:r>
      <w:r w:rsidR="00C328F3">
        <w:rPr>
          <w:rFonts w:ascii="Times New Roman" w:hAnsi="Times New Roman"/>
        </w:rPr>
        <w:t xml:space="preserve">as they have the social and cultural knowledge on the issues </w:t>
      </w:r>
      <w:r>
        <w:rPr>
          <w:rFonts w:ascii="Times New Roman" w:hAnsi="Times New Roman"/>
        </w:rPr>
        <w:t>faced by their</w:t>
      </w:r>
      <w:r w:rsidR="00C328F3">
        <w:rPr>
          <w:rFonts w:ascii="Times New Roman" w:hAnsi="Times New Roman"/>
        </w:rPr>
        <w:t xml:space="preserve"> courts and they </w:t>
      </w:r>
      <w:r>
        <w:rPr>
          <w:rFonts w:ascii="Times New Roman" w:hAnsi="Times New Roman"/>
        </w:rPr>
        <w:t xml:space="preserve">are best placed to </w:t>
      </w:r>
      <w:r w:rsidR="00C328F3">
        <w:rPr>
          <w:rFonts w:ascii="Times New Roman" w:hAnsi="Times New Roman"/>
        </w:rPr>
        <w:t>identify where changes and improvements are required</w:t>
      </w:r>
      <w:r>
        <w:rPr>
          <w:rFonts w:ascii="Times New Roman" w:hAnsi="Times New Roman"/>
        </w:rPr>
        <w:t xml:space="preserve"> and can be made</w:t>
      </w:r>
      <w:r w:rsidR="00C328F3">
        <w:rPr>
          <w:rFonts w:ascii="Times New Roman" w:hAnsi="Times New Roman"/>
        </w:rPr>
        <w:t>.</w:t>
      </w:r>
      <w:r w:rsidR="00AB27C2">
        <w:rPr>
          <w:rFonts w:ascii="Times New Roman" w:hAnsi="Times New Roman"/>
        </w:rPr>
        <w:t>”</w:t>
      </w:r>
      <w:r w:rsidR="00C328F3">
        <w:rPr>
          <w:rFonts w:ascii="Times New Roman" w:hAnsi="Times New Roman"/>
        </w:rPr>
        <w:t xml:space="preserve"> </w:t>
      </w:r>
    </w:p>
    <w:p w:rsidR="00C328F3" w:rsidRDefault="00C328F3">
      <w:pPr>
        <w:rPr>
          <w:rFonts w:ascii="Times New Roman" w:hAnsi="Times New Roman"/>
        </w:rPr>
      </w:pPr>
    </w:p>
    <w:p w:rsidR="0067301E" w:rsidRDefault="001E0C28" w:rsidP="0067301E">
      <w:pPr>
        <w:rPr>
          <w:rFonts w:ascii="Times New Roman" w:hAnsi="Times New Roman"/>
        </w:rPr>
      </w:pPr>
      <w:r>
        <w:rPr>
          <w:rFonts w:ascii="Times New Roman" w:hAnsi="Times New Roman"/>
        </w:rPr>
        <w:lastRenderedPageBreak/>
        <w:t xml:space="preserve">Strengthened governance </w:t>
      </w:r>
      <w:r w:rsidR="00390284">
        <w:rPr>
          <w:rFonts w:ascii="Times New Roman" w:hAnsi="Times New Roman"/>
        </w:rPr>
        <w:t xml:space="preserve">is </w:t>
      </w:r>
      <w:r w:rsidR="00C328F3">
        <w:rPr>
          <w:rFonts w:ascii="Times New Roman" w:hAnsi="Times New Roman"/>
        </w:rPr>
        <w:t xml:space="preserve">essential </w:t>
      </w:r>
      <w:r w:rsidR="009D27A4">
        <w:rPr>
          <w:rFonts w:ascii="Times New Roman" w:hAnsi="Times New Roman"/>
        </w:rPr>
        <w:t>to</w:t>
      </w:r>
      <w:r w:rsidR="00C328F3">
        <w:rPr>
          <w:rFonts w:ascii="Times New Roman" w:hAnsi="Times New Roman"/>
        </w:rPr>
        <w:t xml:space="preserve"> ensuring better </w:t>
      </w:r>
      <w:r>
        <w:rPr>
          <w:rFonts w:ascii="Times New Roman" w:hAnsi="Times New Roman"/>
        </w:rPr>
        <w:t xml:space="preserve">access to justice and </w:t>
      </w:r>
      <w:r w:rsidR="00AB27C2">
        <w:rPr>
          <w:rFonts w:ascii="Times New Roman" w:hAnsi="Times New Roman"/>
        </w:rPr>
        <w:t>public confidence in the c</w:t>
      </w:r>
      <w:r w:rsidR="009D27A4">
        <w:rPr>
          <w:rFonts w:ascii="Times New Roman" w:hAnsi="Times New Roman"/>
        </w:rPr>
        <w:t xml:space="preserve">ourts. The indicators assist the </w:t>
      </w:r>
      <w:r w:rsidR="00AB27C2">
        <w:rPr>
          <w:rFonts w:ascii="Times New Roman" w:hAnsi="Times New Roman"/>
        </w:rPr>
        <w:t>c</w:t>
      </w:r>
      <w:r w:rsidR="009D27A4">
        <w:rPr>
          <w:rFonts w:ascii="Times New Roman" w:hAnsi="Times New Roman"/>
        </w:rPr>
        <w:t xml:space="preserve">ourts </w:t>
      </w:r>
      <w:r w:rsidR="00AB27C2">
        <w:rPr>
          <w:rFonts w:ascii="Times New Roman" w:hAnsi="Times New Roman"/>
        </w:rPr>
        <w:t xml:space="preserve">in the Pacific </w:t>
      </w:r>
      <w:r w:rsidR="009D27A4">
        <w:rPr>
          <w:rFonts w:ascii="Times New Roman" w:hAnsi="Times New Roman"/>
        </w:rPr>
        <w:t>to measure their performance again</w:t>
      </w:r>
      <w:r w:rsidR="00AB27C2">
        <w:rPr>
          <w:rFonts w:ascii="Times New Roman" w:hAnsi="Times New Roman"/>
        </w:rPr>
        <w:t>st agreed areas and enable the c</w:t>
      </w:r>
      <w:r w:rsidR="009D27A4">
        <w:rPr>
          <w:rFonts w:ascii="Times New Roman" w:hAnsi="Times New Roman"/>
        </w:rPr>
        <w:t xml:space="preserve">ourts to </w:t>
      </w:r>
      <w:r w:rsidR="0067301E">
        <w:rPr>
          <w:rFonts w:ascii="Times New Roman" w:hAnsi="Times New Roman"/>
        </w:rPr>
        <w:t>be seen as being responsive to issues arising</w:t>
      </w:r>
      <w:r w:rsidR="00AB27C2">
        <w:rPr>
          <w:rFonts w:ascii="Times New Roman" w:hAnsi="Times New Roman"/>
        </w:rPr>
        <w:t xml:space="preserve"> in their countries</w:t>
      </w:r>
      <w:r w:rsidR="0067301E">
        <w:rPr>
          <w:rFonts w:ascii="Times New Roman" w:hAnsi="Times New Roman"/>
        </w:rPr>
        <w:t xml:space="preserve">. This is the first time data of this kind has been available and it encourages high standards, accountability and transparency in the Pacific. </w:t>
      </w:r>
    </w:p>
    <w:p w:rsidR="00064016" w:rsidRDefault="00064016">
      <w:pPr>
        <w:rPr>
          <w:rFonts w:ascii="Times New Roman" w:hAnsi="Times New Roman"/>
        </w:rPr>
      </w:pPr>
    </w:p>
    <w:p w:rsidR="002156AF" w:rsidRDefault="0067301E">
      <w:pPr>
        <w:rPr>
          <w:rFonts w:ascii="Times New Roman" w:hAnsi="Times New Roman"/>
        </w:rPr>
      </w:pPr>
      <w:r>
        <w:rPr>
          <w:rFonts w:ascii="Times New Roman" w:hAnsi="Times New Roman"/>
        </w:rPr>
        <w:t>There are some encouraging changes occurring in the Pacific</w:t>
      </w:r>
      <w:r w:rsidR="002156AF">
        <w:rPr>
          <w:rFonts w:ascii="Times New Roman" w:hAnsi="Times New Roman"/>
        </w:rPr>
        <w:t>:</w:t>
      </w:r>
    </w:p>
    <w:p w:rsidR="002156AF" w:rsidRDefault="002156AF">
      <w:pPr>
        <w:rPr>
          <w:rFonts w:ascii="Times New Roman" w:hAnsi="Times New Roman"/>
        </w:rPr>
      </w:pPr>
    </w:p>
    <w:p w:rsidR="0017139B" w:rsidRDefault="0067301E">
      <w:pPr>
        <w:rPr>
          <w:rFonts w:ascii="Times New Roman" w:hAnsi="Times New Roman"/>
        </w:rPr>
      </w:pPr>
      <w:r>
        <w:rPr>
          <w:rFonts w:ascii="Times New Roman" w:hAnsi="Times New Roman"/>
        </w:rPr>
        <w:t xml:space="preserve">Samoa </w:t>
      </w:r>
      <w:r w:rsidR="0017139B">
        <w:rPr>
          <w:rFonts w:ascii="Times New Roman" w:hAnsi="Times New Roman"/>
        </w:rPr>
        <w:t xml:space="preserve">is </w:t>
      </w:r>
      <w:r>
        <w:rPr>
          <w:rFonts w:ascii="Times New Roman" w:hAnsi="Times New Roman"/>
        </w:rPr>
        <w:t>now offering free online legal advice to clients and information about the Court’s complaint process</w:t>
      </w:r>
      <w:r w:rsidR="0017139B">
        <w:rPr>
          <w:rFonts w:ascii="Times New Roman" w:hAnsi="Times New Roman"/>
        </w:rPr>
        <w:t>.</w:t>
      </w:r>
    </w:p>
    <w:p w:rsidR="0017139B" w:rsidRDefault="0017139B">
      <w:pPr>
        <w:rPr>
          <w:rFonts w:ascii="Times New Roman" w:hAnsi="Times New Roman"/>
        </w:rPr>
      </w:pPr>
    </w:p>
    <w:p w:rsidR="0017139B" w:rsidRPr="00A629F9" w:rsidRDefault="0017139B" w:rsidP="0017139B">
      <w:pPr>
        <w:widowControl w:val="0"/>
        <w:autoSpaceDE w:val="0"/>
        <w:autoSpaceDN w:val="0"/>
        <w:adjustRightInd w:val="0"/>
        <w:spacing w:after="240"/>
        <w:rPr>
          <w:rFonts w:ascii="Times New Roman" w:hAnsi="Times New Roman"/>
        </w:rPr>
      </w:pPr>
      <w:r w:rsidRPr="00A629F9">
        <w:rPr>
          <w:rFonts w:ascii="Times New Roman" w:hAnsi="Times New Roman"/>
        </w:rPr>
        <w:t>Three of the 14 PJDP countries produced an annual report for the first time</w:t>
      </w:r>
      <w:r w:rsidR="00126AE5">
        <w:rPr>
          <w:rFonts w:ascii="Times New Roman" w:hAnsi="Times New Roman"/>
        </w:rPr>
        <w:t xml:space="preserve"> during the last year</w:t>
      </w:r>
      <w:r w:rsidRPr="00A629F9">
        <w:rPr>
          <w:rFonts w:ascii="Times New Roman" w:hAnsi="Times New Roman"/>
        </w:rPr>
        <w:t>: Cook Islands, Federated States of Micronesia and Tokelau. The public can access all three of these annual reports through national websites as well as on the regional Pacific Legal Information Institute (PacLII) website</w:t>
      </w:r>
      <w:r w:rsidR="000B3819">
        <w:rPr>
          <w:rFonts w:ascii="Times New Roman" w:hAnsi="Times New Roman"/>
        </w:rPr>
        <w:t xml:space="preserve"> </w:t>
      </w:r>
      <w:hyperlink r:id="rId8" w:history="1">
        <w:r w:rsidR="000B3819" w:rsidRPr="000F7EBB">
          <w:rPr>
            <w:rStyle w:val="Hyperlink"/>
            <w:rFonts w:ascii="Times New Roman" w:hAnsi="Times New Roman"/>
          </w:rPr>
          <w:t>http://www.paclii.org/pjdp/</w:t>
        </w:r>
      </w:hyperlink>
      <w:r w:rsidR="000B3819">
        <w:rPr>
          <w:rFonts w:ascii="Times New Roman" w:hAnsi="Times New Roman"/>
        </w:rPr>
        <w:t xml:space="preserve">;  </w:t>
      </w:r>
      <w:hyperlink r:id="rId9" w:history="1">
        <w:r w:rsidR="000B3819" w:rsidRPr="000F7EBB">
          <w:rPr>
            <w:rStyle w:val="Hyperlink"/>
            <w:rFonts w:ascii="Times New Roman" w:hAnsi="Times New Roman"/>
          </w:rPr>
          <w:t>http://www.fedcourt.gov.au/pjdp</w:t>
        </w:r>
      </w:hyperlink>
      <w:r w:rsidRPr="00A629F9">
        <w:rPr>
          <w:rFonts w:ascii="Times New Roman" w:hAnsi="Times New Roman"/>
        </w:rPr>
        <w:t>.</w:t>
      </w:r>
    </w:p>
    <w:p w:rsidR="0017139B" w:rsidRDefault="001A3018" w:rsidP="00AB27C2">
      <w:pPr>
        <w:widowControl w:val="0"/>
        <w:autoSpaceDE w:val="0"/>
        <w:autoSpaceDN w:val="0"/>
        <w:adjustRightInd w:val="0"/>
        <w:spacing w:after="240"/>
        <w:rPr>
          <w:rFonts w:ascii="Times New Roman" w:hAnsi="Times New Roman"/>
        </w:rPr>
      </w:pPr>
      <w:r>
        <w:rPr>
          <w:rFonts w:ascii="Times New Roman" w:hAnsi="Times New Roman"/>
        </w:rPr>
        <w:t>There is improved public access to c</w:t>
      </w:r>
      <w:r w:rsidRPr="001A3018">
        <w:rPr>
          <w:rFonts w:ascii="Times New Roman" w:hAnsi="Times New Roman"/>
        </w:rPr>
        <w:t>ourt Annual Reports</w:t>
      </w:r>
      <w:r>
        <w:rPr>
          <w:rFonts w:ascii="Times New Roman" w:hAnsi="Times New Roman"/>
        </w:rPr>
        <w:t xml:space="preserve">. </w:t>
      </w:r>
      <w:r w:rsidR="0017139B">
        <w:rPr>
          <w:rFonts w:ascii="Times New Roman" w:hAnsi="Times New Roman"/>
        </w:rPr>
        <w:t xml:space="preserve">In 2012, </w:t>
      </w:r>
      <w:r w:rsidR="0017139B" w:rsidRPr="00A629F9">
        <w:rPr>
          <w:rFonts w:ascii="Times New Roman" w:hAnsi="Times New Roman"/>
        </w:rPr>
        <w:t>nine of the 14 PJDP countries have produced or contributed to an annual report that is now publicly available in the following year compared to only one PJDP court in 2011.</w:t>
      </w:r>
    </w:p>
    <w:p w:rsidR="00510661" w:rsidRDefault="00126AE5" w:rsidP="004F0BDF">
      <w:pPr>
        <w:widowControl w:val="0"/>
        <w:autoSpaceDE w:val="0"/>
        <w:autoSpaceDN w:val="0"/>
        <w:adjustRightInd w:val="0"/>
        <w:spacing w:after="240"/>
        <w:rPr>
          <w:rFonts w:ascii="Times New Roman" w:hAnsi="Times New Roman"/>
        </w:rPr>
      </w:pPr>
      <w:r>
        <w:rPr>
          <w:rFonts w:ascii="Times New Roman" w:hAnsi="Times New Roman"/>
        </w:rPr>
        <w:t>T</w:t>
      </w:r>
      <w:r w:rsidR="00F64281">
        <w:rPr>
          <w:rFonts w:ascii="Times New Roman" w:hAnsi="Times New Roman"/>
        </w:rPr>
        <w:t xml:space="preserve">he </w:t>
      </w:r>
      <w:r w:rsidR="0017139B" w:rsidRPr="00A629F9">
        <w:rPr>
          <w:rFonts w:ascii="Times New Roman" w:hAnsi="Times New Roman"/>
        </w:rPr>
        <w:t>Republic of the Marshall Islands</w:t>
      </w:r>
      <w:r>
        <w:rPr>
          <w:rFonts w:ascii="Times New Roman" w:hAnsi="Times New Roman"/>
        </w:rPr>
        <w:t xml:space="preserve">, the Republic of Palau and PNG </w:t>
      </w:r>
      <w:r w:rsidR="0017139B" w:rsidRPr="00A629F9">
        <w:rPr>
          <w:rFonts w:ascii="Times New Roman" w:hAnsi="Times New Roman"/>
        </w:rPr>
        <w:t xml:space="preserve"> have </w:t>
      </w:r>
      <w:r>
        <w:rPr>
          <w:rFonts w:ascii="Times New Roman" w:hAnsi="Times New Roman"/>
        </w:rPr>
        <w:t xml:space="preserve">all </w:t>
      </w:r>
      <w:r w:rsidR="0017139B" w:rsidRPr="00A629F9">
        <w:rPr>
          <w:rFonts w:ascii="Times New Roman" w:hAnsi="Times New Roman"/>
        </w:rPr>
        <w:t>undertaken client satisfaction surveys over the last two years and have shared their experience of undertaking these surveys with other PJDP judiciaries.</w:t>
      </w:r>
      <w:r w:rsidR="00F64281" w:rsidRPr="00A629F9">
        <w:rPr>
          <w:rFonts w:ascii="Times New Roman" w:hAnsi="Times New Roman"/>
        </w:rPr>
        <w:t xml:space="preserve"> Client satisfaction surveys allow judiciaries to understand the degree to which clients are satisfied with the services provided by the court and receive feedback on the areas where clients think the court could improve their service.</w:t>
      </w:r>
    </w:p>
    <w:p w:rsidR="0047143F" w:rsidRDefault="0047143F">
      <w:pPr>
        <w:rPr>
          <w:rFonts w:ascii="Times New Roman" w:hAnsi="Times New Roman"/>
        </w:rPr>
      </w:pPr>
    </w:p>
    <w:sectPr w:rsidR="0047143F" w:rsidSect="00F77EA3">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pgBorders>
        <w:top w:val="single" w:sz="4" w:space="1" w:color="auto" w:shadow="1"/>
        <w:left w:val="single" w:sz="4" w:space="4" w:color="auto" w:shadow="1"/>
        <w:bottom w:val="single" w:sz="4" w:space="1" w:color="auto" w:shadow="1"/>
        <w:right w:val="single" w:sz="4" w:space="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A28" w:rsidRDefault="004C2A28" w:rsidP="00F77EA3">
      <w:r>
        <w:separator/>
      </w:r>
    </w:p>
  </w:endnote>
  <w:endnote w:type="continuationSeparator" w:id="0">
    <w:p w:rsidR="004C2A28" w:rsidRDefault="004C2A28" w:rsidP="00F77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39B" w:rsidRDefault="001713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39B" w:rsidRDefault="001713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39B" w:rsidRDefault="001713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A28" w:rsidRDefault="004C2A28" w:rsidP="00F77EA3">
      <w:r>
        <w:separator/>
      </w:r>
    </w:p>
  </w:footnote>
  <w:footnote w:type="continuationSeparator" w:id="0">
    <w:p w:rsidR="004C2A28" w:rsidRDefault="004C2A28" w:rsidP="00F77E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39B" w:rsidRDefault="001713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39B" w:rsidRDefault="001713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39B" w:rsidRDefault="0017139B">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A3"/>
    <w:rsid w:val="00064016"/>
    <w:rsid w:val="000B3819"/>
    <w:rsid w:val="000B461B"/>
    <w:rsid w:val="000C0F56"/>
    <w:rsid w:val="000E5303"/>
    <w:rsid w:val="00126AE5"/>
    <w:rsid w:val="0017139B"/>
    <w:rsid w:val="001A3018"/>
    <w:rsid w:val="001E0C28"/>
    <w:rsid w:val="001E199B"/>
    <w:rsid w:val="001F0DB2"/>
    <w:rsid w:val="0020679C"/>
    <w:rsid w:val="002156AF"/>
    <w:rsid w:val="002A1A66"/>
    <w:rsid w:val="002B7511"/>
    <w:rsid w:val="002C5360"/>
    <w:rsid w:val="002D1B35"/>
    <w:rsid w:val="002F5E17"/>
    <w:rsid w:val="00362DE1"/>
    <w:rsid w:val="00390284"/>
    <w:rsid w:val="003A4BB0"/>
    <w:rsid w:val="0047143F"/>
    <w:rsid w:val="0047450E"/>
    <w:rsid w:val="004C2A28"/>
    <w:rsid w:val="004C3649"/>
    <w:rsid w:val="004E70FC"/>
    <w:rsid w:val="004F0BDF"/>
    <w:rsid w:val="00510661"/>
    <w:rsid w:val="00522998"/>
    <w:rsid w:val="00577891"/>
    <w:rsid w:val="005C60A5"/>
    <w:rsid w:val="005D4DFC"/>
    <w:rsid w:val="005E76D1"/>
    <w:rsid w:val="00612FC2"/>
    <w:rsid w:val="0067301E"/>
    <w:rsid w:val="006B6880"/>
    <w:rsid w:val="00736F38"/>
    <w:rsid w:val="00791D86"/>
    <w:rsid w:val="007E364B"/>
    <w:rsid w:val="00807F95"/>
    <w:rsid w:val="00827506"/>
    <w:rsid w:val="00837889"/>
    <w:rsid w:val="008658EF"/>
    <w:rsid w:val="00894E88"/>
    <w:rsid w:val="008D5380"/>
    <w:rsid w:val="00981909"/>
    <w:rsid w:val="009D27A4"/>
    <w:rsid w:val="009D53BE"/>
    <w:rsid w:val="00A128E7"/>
    <w:rsid w:val="00A246A3"/>
    <w:rsid w:val="00A54F8E"/>
    <w:rsid w:val="00A629F9"/>
    <w:rsid w:val="00A62AAB"/>
    <w:rsid w:val="00AB27C2"/>
    <w:rsid w:val="00B34DB8"/>
    <w:rsid w:val="00BD3E3C"/>
    <w:rsid w:val="00C328F3"/>
    <w:rsid w:val="00C5230D"/>
    <w:rsid w:val="00CA2DE3"/>
    <w:rsid w:val="00CD2B24"/>
    <w:rsid w:val="00CE5E21"/>
    <w:rsid w:val="00D378F9"/>
    <w:rsid w:val="00D73C50"/>
    <w:rsid w:val="00DC60D0"/>
    <w:rsid w:val="00E14451"/>
    <w:rsid w:val="00E744F0"/>
    <w:rsid w:val="00E7604E"/>
    <w:rsid w:val="00EB7891"/>
    <w:rsid w:val="00F2332D"/>
    <w:rsid w:val="00F4349B"/>
    <w:rsid w:val="00F64281"/>
    <w:rsid w:val="00F77EA3"/>
    <w:rsid w:val="00F93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77EA3"/>
    <w:rPr>
      <w:rFonts w:ascii="Arial Narrow" w:eastAsia="Times New Roman" w:hAnsi="Arial Narrow" w:cs="Times New Roman"/>
      <w:lang w:val="en-AU" w:eastAsia="en-AU"/>
    </w:rPr>
  </w:style>
  <w:style w:type="paragraph" w:styleId="Heading1">
    <w:name w:val="heading 1"/>
    <w:basedOn w:val="Normal"/>
    <w:next w:val="Normal"/>
    <w:link w:val="Heading1Char"/>
    <w:uiPriority w:val="9"/>
    <w:qFormat/>
    <w:rsid w:val="004C36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EA3"/>
    <w:pPr>
      <w:tabs>
        <w:tab w:val="center" w:pos="4320"/>
        <w:tab w:val="right" w:pos="8640"/>
      </w:tabs>
    </w:pPr>
    <w:rPr>
      <w:rFonts w:asciiTheme="minorHAnsi" w:eastAsiaTheme="minorEastAsia" w:hAnsiTheme="minorHAnsi" w:cstheme="minorBidi"/>
      <w:lang w:val="en-US" w:eastAsia="en-US"/>
    </w:rPr>
  </w:style>
  <w:style w:type="character" w:customStyle="1" w:styleId="HeaderChar">
    <w:name w:val="Header Char"/>
    <w:basedOn w:val="DefaultParagraphFont"/>
    <w:link w:val="Header"/>
    <w:uiPriority w:val="99"/>
    <w:rsid w:val="00F77EA3"/>
  </w:style>
  <w:style w:type="paragraph" w:styleId="Footer">
    <w:name w:val="footer"/>
    <w:basedOn w:val="Normal"/>
    <w:link w:val="FooterChar"/>
    <w:uiPriority w:val="99"/>
    <w:unhideWhenUsed/>
    <w:rsid w:val="00F77EA3"/>
    <w:pPr>
      <w:tabs>
        <w:tab w:val="center" w:pos="4320"/>
        <w:tab w:val="right" w:pos="8640"/>
      </w:tabs>
    </w:pPr>
    <w:rPr>
      <w:rFonts w:asciiTheme="minorHAnsi" w:eastAsiaTheme="minorEastAsia" w:hAnsiTheme="minorHAnsi" w:cstheme="minorBidi"/>
      <w:lang w:val="en-US" w:eastAsia="en-US"/>
    </w:rPr>
  </w:style>
  <w:style w:type="character" w:customStyle="1" w:styleId="FooterChar">
    <w:name w:val="Footer Char"/>
    <w:basedOn w:val="DefaultParagraphFont"/>
    <w:link w:val="Footer"/>
    <w:uiPriority w:val="99"/>
    <w:rsid w:val="00F77EA3"/>
  </w:style>
  <w:style w:type="paragraph" w:styleId="BalloonText">
    <w:name w:val="Balloon Text"/>
    <w:basedOn w:val="Normal"/>
    <w:link w:val="BalloonTextChar"/>
    <w:uiPriority w:val="99"/>
    <w:semiHidden/>
    <w:unhideWhenUsed/>
    <w:rsid w:val="009D27A4"/>
    <w:rPr>
      <w:rFonts w:ascii="Lucida Grande" w:hAnsi="Lucida Grande"/>
      <w:sz w:val="18"/>
      <w:szCs w:val="18"/>
    </w:rPr>
  </w:style>
  <w:style w:type="character" w:customStyle="1" w:styleId="BalloonTextChar">
    <w:name w:val="Balloon Text Char"/>
    <w:basedOn w:val="DefaultParagraphFont"/>
    <w:link w:val="BalloonText"/>
    <w:uiPriority w:val="99"/>
    <w:semiHidden/>
    <w:rsid w:val="009D27A4"/>
    <w:rPr>
      <w:rFonts w:ascii="Lucida Grande" w:eastAsia="Times New Roman" w:hAnsi="Lucida Grande" w:cs="Times New Roman"/>
      <w:sz w:val="18"/>
      <w:szCs w:val="18"/>
      <w:lang w:val="en-AU" w:eastAsia="en-AU"/>
    </w:rPr>
  </w:style>
  <w:style w:type="character" w:styleId="Hyperlink">
    <w:name w:val="Hyperlink"/>
    <w:basedOn w:val="DefaultParagraphFont"/>
    <w:uiPriority w:val="99"/>
    <w:unhideWhenUsed/>
    <w:rsid w:val="000B3819"/>
    <w:rPr>
      <w:color w:val="0000FF" w:themeColor="hyperlink"/>
      <w:u w:val="single"/>
    </w:rPr>
  </w:style>
  <w:style w:type="character" w:customStyle="1" w:styleId="Heading1Char">
    <w:name w:val="Heading 1 Char"/>
    <w:basedOn w:val="DefaultParagraphFont"/>
    <w:link w:val="Heading1"/>
    <w:uiPriority w:val="9"/>
    <w:rsid w:val="004C3649"/>
    <w:rPr>
      <w:rFonts w:asciiTheme="majorHAnsi" w:eastAsiaTheme="majorEastAsia" w:hAnsiTheme="majorHAnsi" w:cstheme="majorBidi"/>
      <w:b/>
      <w:bCs/>
      <w:color w:val="365F91" w:themeColor="accent1" w:themeShade="BF"/>
      <w:sz w:val="28"/>
      <w:szCs w:val="28"/>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77EA3"/>
    <w:rPr>
      <w:rFonts w:ascii="Arial Narrow" w:eastAsia="Times New Roman" w:hAnsi="Arial Narrow" w:cs="Times New Roman"/>
      <w:lang w:val="en-AU" w:eastAsia="en-AU"/>
    </w:rPr>
  </w:style>
  <w:style w:type="paragraph" w:styleId="Heading1">
    <w:name w:val="heading 1"/>
    <w:basedOn w:val="Normal"/>
    <w:next w:val="Normal"/>
    <w:link w:val="Heading1Char"/>
    <w:uiPriority w:val="9"/>
    <w:qFormat/>
    <w:rsid w:val="004C36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EA3"/>
    <w:pPr>
      <w:tabs>
        <w:tab w:val="center" w:pos="4320"/>
        <w:tab w:val="right" w:pos="8640"/>
      </w:tabs>
    </w:pPr>
    <w:rPr>
      <w:rFonts w:asciiTheme="minorHAnsi" w:eastAsiaTheme="minorEastAsia" w:hAnsiTheme="minorHAnsi" w:cstheme="minorBidi"/>
      <w:lang w:val="en-US" w:eastAsia="en-US"/>
    </w:rPr>
  </w:style>
  <w:style w:type="character" w:customStyle="1" w:styleId="HeaderChar">
    <w:name w:val="Header Char"/>
    <w:basedOn w:val="DefaultParagraphFont"/>
    <w:link w:val="Header"/>
    <w:uiPriority w:val="99"/>
    <w:rsid w:val="00F77EA3"/>
  </w:style>
  <w:style w:type="paragraph" w:styleId="Footer">
    <w:name w:val="footer"/>
    <w:basedOn w:val="Normal"/>
    <w:link w:val="FooterChar"/>
    <w:uiPriority w:val="99"/>
    <w:unhideWhenUsed/>
    <w:rsid w:val="00F77EA3"/>
    <w:pPr>
      <w:tabs>
        <w:tab w:val="center" w:pos="4320"/>
        <w:tab w:val="right" w:pos="8640"/>
      </w:tabs>
    </w:pPr>
    <w:rPr>
      <w:rFonts w:asciiTheme="minorHAnsi" w:eastAsiaTheme="minorEastAsia" w:hAnsiTheme="minorHAnsi" w:cstheme="minorBidi"/>
      <w:lang w:val="en-US" w:eastAsia="en-US"/>
    </w:rPr>
  </w:style>
  <w:style w:type="character" w:customStyle="1" w:styleId="FooterChar">
    <w:name w:val="Footer Char"/>
    <w:basedOn w:val="DefaultParagraphFont"/>
    <w:link w:val="Footer"/>
    <w:uiPriority w:val="99"/>
    <w:rsid w:val="00F77EA3"/>
  </w:style>
  <w:style w:type="paragraph" w:styleId="BalloonText">
    <w:name w:val="Balloon Text"/>
    <w:basedOn w:val="Normal"/>
    <w:link w:val="BalloonTextChar"/>
    <w:uiPriority w:val="99"/>
    <w:semiHidden/>
    <w:unhideWhenUsed/>
    <w:rsid w:val="009D27A4"/>
    <w:rPr>
      <w:rFonts w:ascii="Lucida Grande" w:hAnsi="Lucida Grande"/>
      <w:sz w:val="18"/>
      <w:szCs w:val="18"/>
    </w:rPr>
  </w:style>
  <w:style w:type="character" w:customStyle="1" w:styleId="BalloonTextChar">
    <w:name w:val="Balloon Text Char"/>
    <w:basedOn w:val="DefaultParagraphFont"/>
    <w:link w:val="BalloonText"/>
    <w:uiPriority w:val="99"/>
    <w:semiHidden/>
    <w:rsid w:val="009D27A4"/>
    <w:rPr>
      <w:rFonts w:ascii="Lucida Grande" w:eastAsia="Times New Roman" w:hAnsi="Lucida Grande" w:cs="Times New Roman"/>
      <w:sz w:val="18"/>
      <w:szCs w:val="18"/>
      <w:lang w:val="en-AU" w:eastAsia="en-AU"/>
    </w:rPr>
  </w:style>
  <w:style w:type="character" w:styleId="Hyperlink">
    <w:name w:val="Hyperlink"/>
    <w:basedOn w:val="DefaultParagraphFont"/>
    <w:uiPriority w:val="99"/>
    <w:unhideWhenUsed/>
    <w:rsid w:val="000B3819"/>
    <w:rPr>
      <w:color w:val="0000FF" w:themeColor="hyperlink"/>
      <w:u w:val="single"/>
    </w:rPr>
  </w:style>
  <w:style w:type="character" w:customStyle="1" w:styleId="Heading1Char">
    <w:name w:val="Heading 1 Char"/>
    <w:basedOn w:val="DefaultParagraphFont"/>
    <w:link w:val="Heading1"/>
    <w:uiPriority w:val="9"/>
    <w:rsid w:val="004C3649"/>
    <w:rPr>
      <w:rFonts w:asciiTheme="majorHAnsi" w:eastAsiaTheme="majorEastAsia" w:hAnsiTheme="majorHAnsi" w:cstheme="majorBidi"/>
      <w:b/>
      <w:bCs/>
      <w:color w:val="365F91" w:themeColor="accent1" w:themeShade="BF"/>
      <w:sz w:val="28"/>
      <w:szCs w:val="28"/>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clii.org/pjdp/" TargetMode="Externa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edcourt.gov.au/pjd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Dept of Economic Development, Tourism &amp; the Arts</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tosi tupua</dc:creator>
  <cp:lastModifiedBy>Angela Fassoulas</cp:lastModifiedBy>
  <cp:revision>2</cp:revision>
  <cp:lastPrinted>2013-10-24T23:15:00Z</cp:lastPrinted>
  <dcterms:created xsi:type="dcterms:W3CDTF">2013-10-29T02:33:00Z</dcterms:created>
  <dcterms:modified xsi:type="dcterms:W3CDTF">2013-10-29T02:33:00Z</dcterms:modified>
</cp:coreProperties>
</file>