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3" w:type="dxa"/>
        <w:jc w:val="center"/>
        <w:tblLayout w:type="fixed"/>
        <w:tblLook w:val="00A0"/>
      </w:tblPr>
      <w:tblGrid>
        <w:gridCol w:w="3227"/>
        <w:gridCol w:w="3614"/>
        <w:gridCol w:w="3932"/>
      </w:tblGrid>
      <w:tr w:rsidR="00A6008B" w:rsidRPr="00E92571" w:rsidTr="00921365">
        <w:trPr>
          <w:jc w:val="center"/>
        </w:trPr>
        <w:tc>
          <w:tcPr>
            <w:tcW w:w="10773" w:type="dxa"/>
            <w:gridSpan w:val="3"/>
          </w:tcPr>
          <w:p w:rsidR="00A6008B" w:rsidRPr="009A221A" w:rsidRDefault="00A6008B" w:rsidP="00E94BEE">
            <w:pPr>
              <w:spacing w:before="120" w:after="120"/>
              <w:rPr>
                <w:sz w:val="20"/>
                <w:szCs w:val="22"/>
              </w:rPr>
            </w:pPr>
            <w:bookmarkStart w:id="0" w:name="_Toc227657235"/>
            <w:bookmarkStart w:id="1" w:name="_Toc227663978"/>
            <w:bookmarkStart w:id="2" w:name="_Toc227664079"/>
            <w:bookmarkStart w:id="3" w:name="_Toc227664190"/>
            <w:bookmarkStart w:id="4" w:name="_Toc227667200"/>
            <w:bookmarkStart w:id="5" w:name="_Toc31829479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style="position:absolute;margin-left:-3.5pt;margin-top:.4pt;width:134.45pt;height:136.45pt;z-index:-251660288;visibility:visible" filled="t">
                  <v:imagedata r:id="rId7" o:title=""/>
                </v:shape>
              </w:pict>
            </w:r>
          </w:p>
        </w:tc>
      </w:tr>
      <w:tr w:rsidR="00A6008B" w:rsidRPr="00E92571" w:rsidTr="00E116FA">
        <w:trPr>
          <w:jc w:val="center"/>
        </w:trPr>
        <w:tc>
          <w:tcPr>
            <w:tcW w:w="3227" w:type="dxa"/>
            <w:vAlign w:val="center"/>
          </w:tcPr>
          <w:p w:rsidR="00A6008B" w:rsidRPr="00E92571" w:rsidRDefault="00A6008B" w:rsidP="00E94BEE">
            <w:pPr>
              <w:spacing w:before="120" w:after="120"/>
              <w:rPr>
                <w:rFonts w:cs="Calibri"/>
                <w:noProof/>
                <w:sz w:val="60"/>
                <w:szCs w:val="60"/>
              </w:rPr>
            </w:pPr>
          </w:p>
        </w:tc>
        <w:tc>
          <w:tcPr>
            <w:tcW w:w="3614" w:type="dxa"/>
            <w:vAlign w:val="center"/>
          </w:tcPr>
          <w:p w:rsidR="00A6008B" w:rsidRPr="00E92571" w:rsidRDefault="00A6008B" w:rsidP="00E94BEE">
            <w:pPr>
              <w:spacing w:before="120" w:after="120"/>
              <w:rPr>
                <w:rFonts w:cs="Calibri"/>
                <w:spacing w:val="138"/>
                <w:sz w:val="60"/>
                <w:szCs w:val="60"/>
              </w:rPr>
            </w:pPr>
          </w:p>
        </w:tc>
        <w:tc>
          <w:tcPr>
            <w:tcW w:w="3932" w:type="dxa"/>
            <w:vAlign w:val="center"/>
          </w:tcPr>
          <w:p w:rsidR="00A6008B" w:rsidRPr="00E92571" w:rsidRDefault="00A6008B" w:rsidP="00E94BEE">
            <w:pPr>
              <w:spacing w:before="120" w:after="120"/>
              <w:rPr>
                <w:rFonts w:cs="Calibri"/>
                <w:spacing w:val="138"/>
                <w:sz w:val="60"/>
                <w:szCs w:val="60"/>
              </w:rPr>
            </w:pPr>
          </w:p>
        </w:tc>
      </w:tr>
      <w:tr w:rsidR="00A6008B" w:rsidRPr="00E92571" w:rsidTr="00E116FA">
        <w:trPr>
          <w:jc w:val="center"/>
        </w:trPr>
        <w:tc>
          <w:tcPr>
            <w:tcW w:w="3227" w:type="dxa"/>
            <w:vAlign w:val="center"/>
          </w:tcPr>
          <w:p w:rsidR="00A6008B" w:rsidRPr="00E92571" w:rsidRDefault="00A6008B" w:rsidP="00E94BEE">
            <w:pPr>
              <w:spacing w:before="120" w:after="120"/>
              <w:rPr>
                <w:rFonts w:cs="Calibri"/>
                <w:noProof/>
                <w:sz w:val="60"/>
                <w:szCs w:val="60"/>
              </w:rPr>
            </w:pPr>
          </w:p>
        </w:tc>
        <w:tc>
          <w:tcPr>
            <w:tcW w:w="3614" w:type="dxa"/>
            <w:vAlign w:val="center"/>
          </w:tcPr>
          <w:p w:rsidR="00A6008B" w:rsidRPr="00E92571" w:rsidRDefault="00A6008B" w:rsidP="00E94BEE">
            <w:pPr>
              <w:spacing w:before="120" w:after="120"/>
              <w:rPr>
                <w:rFonts w:cs="Calibri"/>
                <w:spacing w:val="138"/>
                <w:sz w:val="60"/>
                <w:szCs w:val="60"/>
              </w:rPr>
            </w:pPr>
          </w:p>
        </w:tc>
        <w:tc>
          <w:tcPr>
            <w:tcW w:w="3932" w:type="dxa"/>
            <w:vAlign w:val="center"/>
          </w:tcPr>
          <w:p w:rsidR="00A6008B" w:rsidRPr="00E92571" w:rsidRDefault="00A6008B" w:rsidP="00E94BEE">
            <w:pPr>
              <w:spacing w:before="120" w:after="120"/>
              <w:rPr>
                <w:rFonts w:cs="Calibri"/>
                <w:spacing w:val="138"/>
                <w:sz w:val="60"/>
                <w:szCs w:val="60"/>
              </w:rPr>
            </w:pPr>
          </w:p>
        </w:tc>
      </w:tr>
      <w:tr w:rsidR="00A6008B" w:rsidRPr="00E92571" w:rsidTr="00E116FA">
        <w:trPr>
          <w:jc w:val="center"/>
        </w:trPr>
        <w:tc>
          <w:tcPr>
            <w:tcW w:w="3227" w:type="dxa"/>
            <w:vAlign w:val="center"/>
          </w:tcPr>
          <w:p w:rsidR="00A6008B" w:rsidRPr="00E92571" w:rsidRDefault="00A6008B" w:rsidP="00E94BEE">
            <w:pPr>
              <w:spacing w:before="120" w:after="120"/>
              <w:rPr>
                <w:rFonts w:cs="Calibri"/>
                <w:noProof/>
                <w:sz w:val="60"/>
                <w:szCs w:val="60"/>
              </w:rPr>
            </w:pPr>
          </w:p>
        </w:tc>
        <w:tc>
          <w:tcPr>
            <w:tcW w:w="3614" w:type="dxa"/>
            <w:vAlign w:val="center"/>
          </w:tcPr>
          <w:p w:rsidR="00A6008B" w:rsidRPr="00E92571" w:rsidRDefault="00A6008B" w:rsidP="00E94BEE">
            <w:pPr>
              <w:spacing w:before="120" w:after="120"/>
              <w:rPr>
                <w:rFonts w:cs="Calibri"/>
                <w:spacing w:val="138"/>
                <w:sz w:val="60"/>
                <w:szCs w:val="60"/>
              </w:rPr>
            </w:pPr>
          </w:p>
        </w:tc>
        <w:tc>
          <w:tcPr>
            <w:tcW w:w="3932" w:type="dxa"/>
            <w:vAlign w:val="center"/>
          </w:tcPr>
          <w:p w:rsidR="00A6008B" w:rsidRPr="00E92571" w:rsidRDefault="00A6008B" w:rsidP="00E94BEE">
            <w:pPr>
              <w:spacing w:before="120" w:after="120"/>
              <w:rPr>
                <w:rFonts w:cs="Calibri"/>
                <w:spacing w:val="138"/>
                <w:sz w:val="60"/>
                <w:szCs w:val="60"/>
              </w:rPr>
            </w:pPr>
          </w:p>
        </w:tc>
      </w:tr>
      <w:tr w:rsidR="00A6008B" w:rsidRPr="00E92571" w:rsidTr="00061585">
        <w:trPr>
          <w:jc w:val="center"/>
        </w:trPr>
        <w:tc>
          <w:tcPr>
            <w:tcW w:w="3227" w:type="dxa"/>
            <w:vAlign w:val="center"/>
          </w:tcPr>
          <w:p w:rsidR="00A6008B" w:rsidRPr="00E92571" w:rsidRDefault="00A6008B" w:rsidP="00061585">
            <w:pPr>
              <w:spacing w:before="120" w:after="120"/>
              <w:rPr>
                <w:rFonts w:cs="Calibri"/>
                <w:noProof/>
                <w:sz w:val="64"/>
                <w:szCs w:val="60"/>
              </w:rPr>
            </w:pPr>
          </w:p>
        </w:tc>
        <w:tc>
          <w:tcPr>
            <w:tcW w:w="3614" w:type="dxa"/>
            <w:vAlign w:val="center"/>
          </w:tcPr>
          <w:p w:rsidR="00A6008B" w:rsidRPr="00E92571" w:rsidRDefault="00A6008B" w:rsidP="00061585">
            <w:pPr>
              <w:spacing w:before="120" w:after="120"/>
              <w:rPr>
                <w:rFonts w:cs="Calibri"/>
                <w:spacing w:val="138"/>
                <w:sz w:val="64"/>
                <w:szCs w:val="60"/>
              </w:rPr>
            </w:pPr>
          </w:p>
        </w:tc>
        <w:tc>
          <w:tcPr>
            <w:tcW w:w="3932" w:type="dxa"/>
            <w:vAlign w:val="center"/>
          </w:tcPr>
          <w:p w:rsidR="00A6008B" w:rsidRPr="00E92571" w:rsidRDefault="00A6008B" w:rsidP="00061585">
            <w:pPr>
              <w:spacing w:before="120" w:after="120"/>
              <w:rPr>
                <w:rFonts w:cs="Calibri"/>
                <w:spacing w:val="138"/>
                <w:sz w:val="64"/>
                <w:szCs w:val="60"/>
              </w:rPr>
            </w:pPr>
          </w:p>
        </w:tc>
      </w:tr>
      <w:tr w:rsidR="00A6008B" w:rsidRPr="00E92571" w:rsidTr="00E116FA">
        <w:trPr>
          <w:jc w:val="center"/>
        </w:trPr>
        <w:tc>
          <w:tcPr>
            <w:tcW w:w="3227" w:type="dxa"/>
            <w:vAlign w:val="center"/>
          </w:tcPr>
          <w:p w:rsidR="00A6008B" w:rsidRPr="00E92571" w:rsidRDefault="00A6008B" w:rsidP="00E94BEE">
            <w:pPr>
              <w:spacing w:before="120" w:after="120"/>
              <w:rPr>
                <w:rFonts w:cs="Calibri"/>
                <w:noProof/>
                <w:sz w:val="64"/>
                <w:szCs w:val="60"/>
              </w:rPr>
            </w:pPr>
          </w:p>
        </w:tc>
        <w:tc>
          <w:tcPr>
            <w:tcW w:w="3614" w:type="dxa"/>
            <w:vAlign w:val="center"/>
          </w:tcPr>
          <w:p w:rsidR="00A6008B" w:rsidRPr="00E92571" w:rsidRDefault="00A6008B" w:rsidP="00E94BEE">
            <w:pPr>
              <w:spacing w:before="120" w:after="120"/>
              <w:rPr>
                <w:rFonts w:cs="Calibri"/>
                <w:spacing w:val="138"/>
                <w:sz w:val="64"/>
                <w:szCs w:val="60"/>
              </w:rPr>
            </w:pPr>
          </w:p>
        </w:tc>
        <w:tc>
          <w:tcPr>
            <w:tcW w:w="3932" w:type="dxa"/>
            <w:vAlign w:val="center"/>
          </w:tcPr>
          <w:p w:rsidR="00A6008B" w:rsidRPr="00E92571" w:rsidRDefault="00A6008B" w:rsidP="00E94BEE">
            <w:pPr>
              <w:spacing w:before="120" w:after="120"/>
              <w:rPr>
                <w:rFonts w:cs="Calibri"/>
                <w:spacing w:val="138"/>
                <w:sz w:val="64"/>
                <w:szCs w:val="60"/>
              </w:rPr>
            </w:pPr>
          </w:p>
        </w:tc>
      </w:tr>
      <w:tr w:rsidR="00A6008B" w:rsidRPr="00E92571" w:rsidTr="00E116FA">
        <w:trPr>
          <w:jc w:val="center"/>
        </w:trPr>
        <w:tc>
          <w:tcPr>
            <w:tcW w:w="10773" w:type="dxa"/>
            <w:gridSpan w:val="3"/>
            <w:vAlign w:val="center"/>
          </w:tcPr>
          <w:p w:rsidR="00A6008B" w:rsidRPr="00E92571" w:rsidRDefault="00A6008B" w:rsidP="00E94BEE">
            <w:pPr>
              <w:spacing w:before="120" w:after="120"/>
              <w:jc w:val="center"/>
              <w:rPr>
                <w:rFonts w:cs="Calibri"/>
                <w:b/>
                <w:smallCaps/>
                <w:spacing w:val="94"/>
                <w:sz w:val="60"/>
                <w:szCs w:val="60"/>
              </w:rPr>
            </w:pPr>
            <w:r w:rsidRPr="00E92571">
              <w:rPr>
                <w:rFonts w:cs="Calibri"/>
                <w:b/>
                <w:smallCaps/>
                <w:spacing w:val="94"/>
                <w:sz w:val="78"/>
                <w:szCs w:val="60"/>
              </w:rPr>
              <w:t>Pacific Judicial Development Programme</w:t>
            </w:r>
          </w:p>
        </w:tc>
      </w:tr>
      <w:tr w:rsidR="00A6008B" w:rsidRPr="00E92571" w:rsidTr="00061585">
        <w:trPr>
          <w:jc w:val="center"/>
        </w:trPr>
        <w:tc>
          <w:tcPr>
            <w:tcW w:w="3227" w:type="dxa"/>
            <w:vAlign w:val="center"/>
          </w:tcPr>
          <w:p w:rsidR="00A6008B" w:rsidRPr="00E92571" w:rsidRDefault="00A6008B" w:rsidP="00061585">
            <w:pPr>
              <w:spacing w:before="120" w:after="120"/>
              <w:rPr>
                <w:rFonts w:cs="Calibri"/>
                <w:noProof/>
                <w:sz w:val="72"/>
                <w:szCs w:val="60"/>
              </w:rPr>
            </w:pPr>
          </w:p>
        </w:tc>
        <w:tc>
          <w:tcPr>
            <w:tcW w:w="3614" w:type="dxa"/>
            <w:vAlign w:val="center"/>
          </w:tcPr>
          <w:p w:rsidR="00A6008B" w:rsidRPr="00E92571" w:rsidRDefault="00A6008B" w:rsidP="00061585">
            <w:pPr>
              <w:spacing w:before="120" w:after="120"/>
              <w:rPr>
                <w:rFonts w:cs="Calibri"/>
                <w:spacing w:val="138"/>
                <w:sz w:val="72"/>
                <w:szCs w:val="60"/>
              </w:rPr>
            </w:pPr>
          </w:p>
        </w:tc>
        <w:tc>
          <w:tcPr>
            <w:tcW w:w="3932" w:type="dxa"/>
            <w:vAlign w:val="center"/>
          </w:tcPr>
          <w:p w:rsidR="00A6008B" w:rsidRPr="00E92571" w:rsidRDefault="00A6008B" w:rsidP="00061585">
            <w:pPr>
              <w:spacing w:before="120" w:after="120"/>
              <w:rPr>
                <w:rFonts w:cs="Calibri"/>
                <w:spacing w:val="138"/>
                <w:sz w:val="72"/>
                <w:szCs w:val="60"/>
              </w:rPr>
            </w:pPr>
          </w:p>
        </w:tc>
      </w:tr>
      <w:tr w:rsidR="00A6008B" w:rsidRPr="00E92571" w:rsidTr="00E116FA">
        <w:trPr>
          <w:jc w:val="center"/>
        </w:trPr>
        <w:tc>
          <w:tcPr>
            <w:tcW w:w="3227" w:type="dxa"/>
            <w:vAlign w:val="center"/>
          </w:tcPr>
          <w:p w:rsidR="00A6008B" w:rsidRPr="00E92571" w:rsidRDefault="00A6008B" w:rsidP="00E94BEE">
            <w:pPr>
              <w:spacing w:before="120" w:after="120"/>
              <w:rPr>
                <w:rFonts w:cs="Calibri"/>
                <w:noProof/>
                <w:sz w:val="72"/>
                <w:szCs w:val="60"/>
              </w:rPr>
            </w:pPr>
          </w:p>
        </w:tc>
        <w:tc>
          <w:tcPr>
            <w:tcW w:w="3614" w:type="dxa"/>
            <w:vAlign w:val="center"/>
          </w:tcPr>
          <w:p w:rsidR="00A6008B" w:rsidRPr="00E92571" w:rsidRDefault="00A6008B" w:rsidP="00E94BEE">
            <w:pPr>
              <w:spacing w:before="120" w:after="120"/>
              <w:rPr>
                <w:rFonts w:cs="Calibri"/>
                <w:spacing w:val="138"/>
                <w:sz w:val="72"/>
                <w:szCs w:val="60"/>
              </w:rPr>
            </w:pPr>
          </w:p>
        </w:tc>
        <w:tc>
          <w:tcPr>
            <w:tcW w:w="3932" w:type="dxa"/>
            <w:vAlign w:val="center"/>
          </w:tcPr>
          <w:p w:rsidR="00A6008B" w:rsidRPr="00E92571" w:rsidRDefault="00A6008B" w:rsidP="00E94BEE">
            <w:pPr>
              <w:spacing w:before="120" w:after="120"/>
              <w:rPr>
                <w:rFonts w:cs="Calibri"/>
                <w:spacing w:val="138"/>
                <w:sz w:val="72"/>
                <w:szCs w:val="60"/>
              </w:rPr>
            </w:pPr>
          </w:p>
        </w:tc>
      </w:tr>
      <w:tr w:rsidR="00A6008B" w:rsidRPr="00E92571" w:rsidTr="006B43EB">
        <w:trPr>
          <w:trHeight w:val="2492"/>
          <w:jc w:val="center"/>
        </w:trPr>
        <w:tc>
          <w:tcPr>
            <w:tcW w:w="10773" w:type="dxa"/>
            <w:gridSpan w:val="3"/>
            <w:vAlign w:val="bottom"/>
          </w:tcPr>
          <w:p w:rsidR="00A6008B" w:rsidRPr="00E92571" w:rsidRDefault="00A6008B" w:rsidP="00E94BEE">
            <w:pPr>
              <w:spacing w:before="120" w:after="120"/>
              <w:jc w:val="center"/>
              <w:rPr>
                <w:b/>
                <w:sz w:val="68"/>
                <w:szCs w:val="68"/>
              </w:rPr>
            </w:pPr>
            <w:r w:rsidRPr="00E92571">
              <w:rPr>
                <w:b/>
                <w:sz w:val="68"/>
                <w:szCs w:val="68"/>
              </w:rPr>
              <w:t>PJDP Phase 2</w:t>
            </w:r>
          </w:p>
          <w:p w:rsidR="00A6008B" w:rsidRPr="00E92571" w:rsidRDefault="00A6008B" w:rsidP="00E94BEE">
            <w:pPr>
              <w:spacing w:before="120" w:after="120"/>
              <w:jc w:val="center"/>
              <w:rPr>
                <w:b/>
                <w:sz w:val="20"/>
                <w:szCs w:val="68"/>
              </w:rPr>
            </w:pPr>
          </w:p>
          <w:p w:rsidR="00A6008B" w:rsidRPr="00E92571" w:rsidRDefault="00A6008B" w:rsidP="00E94BEE">
            <w:pPr>
              <w:spacing w:before="120" w:after="120"/>
              <w:jc w:val="center"/>
              <w:rPr>
                <w:b/>
                <w:i/>
                <w:sz w:val="60"/>
                <w:szCs w:val="68"/>
              </w:rPr>
            </w:pPr>
            <w:r w:rsidRPr="00E92571">
              <w:rPr>
                <w:b/>
                <w:i/>
                <w:sz w:val="60"/>
                <w:szCs w:val="68"/>
              </w:rPr>
              <w:t>Final 24-month Implementation Plan:</w:t>
            </w:r>
          </w:p>
          <w:p w:rsidR="00A6008B" w:rsidRPr="00E92571" w:rsidRDefault="00A6008B" w:rsidP="008568A4">
            <w:pPr>
              <w:spacing w:before="120" w:after="120"/>
              <w:jc w:val="center"/>
              <w:rPr>
                <w:b/>
                <w:sz w:val="60"/>
                <w:szCs w:val="68"/>
              </w:rPr>
            </w:pPr>
            <w:r w:rsidRPr="00E92571">
              <w:rPr>
                <w:b/>
                <w:sz w:val="60"/>
                <w:szCs w:val="68"/>
              </w:rPr>
              <w:t>1 July, 2013-30 June, 2015</w:t>
            </w:r>
          </w:p>
        </w:tc>
      </w:tr>
      <w:tr w:rsidR="00A6008B" w:rsidRPr="00E92571" w:rsidTr="00061585">
        <w:trPr>
          <w:trHeight w:val="733"/>
          <w:jc w:val="center"/>
        </w:trPr>
        <w:tc>
          <w:tcPr>
            <w:tcW w:w="10773" w:type="dxa"/>
            <w:gridSpan w:val="3"/>
            <w:vAlign w:val="bottom"/>
          </w:tcPr>
          <w:p w:rsidR="00A6008B" w:rsidRPr="00E92571" w:rsidRDefault="00A6008B" w:rsidP="00C90FA9">
            <w:pPr>
              <w:spacing w:before="120" w:after="120"/>
              <w:jc w:val="center"/>
              <w:rPr>
                <w:rFonts w:cs="Calibri"/>
                <w:b/>
                <w:sz w:val="32"/>
                <w:szCs w:val="32"/>
              </w:rPr>
            </w:pPr>
            <w:r>
              <w:rPr>
                <w:rFonts w:cs="Calibri"/>
                <w:b/>
                <w:sz w:val="32"/>
                <w:szCs w:val="32"/>
              </w:rPr>
              <w:t>14 June</w:t>
            </w:r>
            <w:r w:rsidRPr="00E92571">
              <w:rPr>
                <w:rFonts w:cs="Calibri"/>
                <w:b/>
                <w:sz w:val="32"/>
                <w:szCs w:val="32"/>
              </w:rPr>
              <w:t>, 2013</w:t>
            </w:r>
          </w:p>
        </w:tc>
      </w:tr>
      <w:tr w:rsidR="00A6008B" w:rsidRPr="00E92571" w:rsidTr="00061585">
        <w:trPr>
          <w:jc w:val="center"/>
        </w:trPr>
        <w:tc>
          <w:tcPr>
            <w:tcW w:w="3227" w:type="dxa"/>
            <w:vAlign w:val="center"/>
          </w:tcPr>
          <w:p w:rsidR="00A6008B" w:rsidRPr="00E92571" w:rsidRDefault="00A6008B" w:rsidP="00061585">
            <w:pPr>
              <w:spacing w:before="120" w:after="120"/>
              <w:rPr>
                <w:rFonts w:cs="Calibri"/>
                <w:noProof/>
                <w:sz w:val="52"/>
                <w:szCs w:val="60"/>
              </w:rPr>
            </w:pPr>
          </w:p>
        </w:tc>
        <w:tc>
          <w:tcPr>
            <w:tcW w:w="3614" w:type="dxa"/>
            <w:vAlign w:val="center"/>
          </w:tcPr>
          <w:p w:rsidR="00A6008B" w:rsidRPr="00E92571" w:rsidRDefault="00A6008B" w:rsidP="00061585">
            <w:pPr>
              <w:spacing w:before="120" w:after="120"/>
              <w:rPr>
                <w:rFonts w:cs="Calibri"/>
                <w:spacing w:val="138"/>
                <w:sz w:val="52"/>
                <w:szCs w:val="60"/>
              </w:rPr>
            </w:pPr>
          </w:p>
        </w:tc>
        <w:tc>
          <w:tcPr>
            <w:tcW w:w="3932" w:type="dxa"/>
            <w:vAlign w:val="center"/>
          </w:tcPr>
          <w:p w:rsidR="00A6008B" w:rsidRPr="00E92571" w:rsidRDefault="00A6008B" w:rsidP="00061585">
            <w:pPr>
              <w:spacing w:before="120" w:after="120"/>
              <w:rPr>
                <w:rFonts w:cs="Calibri"/>
                <w:spacing w:val="138"/>
                <w:sz w:val="52"/>
                <w:szCs w:val="60"/>
              </w:rPr>
            </w:pPr>
          </w:p>
        </w:tc>
      </w:tr>
      <w:tr w:rsidR="00A6008B" w:rsidRPr="00E92571" w:rsidTr="00E116FA">
        <w:trPr>
          <w:jc w:val="center"/>
        </w:trPr>
        <w:tc>
          <w:tcPr>
            <w:tcW w:w="3227" w:type="dxa"/>
            <w:vAlign w:val="center"/>
          </w:tcPr>
          <w:p w:rsidR="00A6008B" w:rsidRPr="00E92571" w:rsidRDefault="00A6008B" w:rsidP="00E94BEE">
            <w:pPr>
              <w:spacing w:before="120" w:after="120"/>
              <w:rPr>
                <w:rFonts w:cs="Calibri"/>
                <w:noProof/>
                <w:sz w:val="52"/>
                <w:szCs w:val="60"/>
              </w:rPr>
            </w:pPr>
          </w:p>
        </w:tc>
        <w:tc>
          <w:tcPr>
            <w:tcW w:w="3614" w:type="dxa"/>
            <w:vAlign w:val="center"/>
          </w:tcPr>
          <w:p w:rsidR="00A6008B" w:rsidRPr="00E92571" w:rsidRDefault="00A6008B" w:rsidP="00E94BEE">
            <w:pPr>
              <w:spacing w:before="120" w:after="120"/>
              <w:rPr>
                <w:rFonts w:cs="Calibri"/>
                <w:spacing w:val="138"/>
                <w:sz w:val="52"/>
                <w:szCs w:val="60"/>
              </w:rPr>
            </w:pPr>
          </w:p>
        </w:tc>
        <w:tc>
          <w:tcPr>
            <w:tcW w:w="3932" w:type="dxa"/>
            <w:vAlign w:val="center"/>
          </w:tcPr>
          <w:p w:rsidR="00A6008B" w:rsidRPr="00E92571" w:rsidRDefault="00A6008B" w:rsidP="00E94BEE">
            <w:pPr>
              <w:spacing w:before="120" w:after="120"/>
              <w:rPr>
                <w:rFonts w:cs="Calibri"/>
                <w:spacing w:val="138"/>
                <w:sz w:val="52"/>
                <w:szCs w:val="60"/>
              </w:rPr>
            </w:pPr>
          </w:p>
        </w:tc>
      </w:tr>
      <w:tr w:rsidR="00A6008B" w:rsidRPr="00E92571" w:rsidTr="00E116FA">
        <w:trPr>
          <w:jc w:val="center"/>
        </w:trPr>
        <w:tc>
          <w:tcPr>
            <w:tcW w:w="10773" w:type="dxa"/>
            <w:gridSpan w:val="3"/>
            <w:vAlign w:val="center"/>
          </w:tcPr>
          <w:p w:rsidR="00A6008B" w:rsidRPr="00E92571" w:rsidRDefault="00A6008B" w:rsidP="00E94BEE">
            <w:pPr>
              <w:spacing w:before="120" w:after="120"/>
              <w:jc w:val="center"/>
              <w:rPr>
                <w:rFonts w:cs="Calibri"/>
                <w:b/>
                <w:bCs/>
                <w:sz w:val="28"/>
                <w:szCs w:val="32"/>
              </w:rPr>
            </w:pPr>
            <w:r w:rsidRPr="00E92571">
              <w:rPr>
                <w:sz w:val="28"/>
                <w:szCs w:val="32"/>
              </w:rPr>
              <w:t xml:space="preserve">PJDP is implemented by the </w:t>
            </w:r>
            <w:r w:rsidRPr="00E92571">
              <w:rPr>
                <w:i/>
                <w:sz w:val="28"/>
                <w:szCs w:val="32"/>
              </w:rPr>
              <w:t>Federal Court of Australia</w:t>
            </w:r>
            <w:r w:rsidRPr="00E92571">
              <w:rPr>
                <w:rFonts w:cs="Calibri"/>
                <w:sz w:val="28"/>
                <w:szCs w:val="32"/>
              </w:rPr>
              <w:t xml:space="preserve">with funding support from the </w:t>
            </w:r>
            <w:r w:rsidRPr="00E92571">
              <w:rPr>
                <w:rFonts w:cs="Calibri"/>
                <w:i/>
                <w:sz w:val="28"/>
                <w:szCs w:val="32"/>
              </w:rPr>
              <w:t>New Zealand Ministry of Foreign Affairs and Trade</w:t>
            </w:r>
          </w:p>
        </w:tc>
      </w:tr>
    </w:tbl>
    <w:p w:rsidR="00A6008B" w:rsidRPr="00E92571" w:rsidRDefault="00A6008B" w:rsidP="00061585">
      <w:pPr>
        <w:rPr>
          <w:kern w:val="32"/>
          <w:sz w:val="2"/>
          <w:lang w:eastAsia="en-US"/>
        </w:rPr>
      </w:pPr>
      <w:bookmarkStart w:id="6" w:name="_Toc279333595"/>
      <w:bookmarkStart w:id="7" w:name="_Toc279333596"/>
      <w:bookmarkStart w:id="8" w:name="_Toc279333597"/>
      <w:bookmarkEnd w:id="0"/>
      <w:bookmarkEnd w:id="1"/>
      <w:bookmarkEnd w:id="2"/>
      <w:bookmarkEnd w:id="3"/>
      <w:bookmarkEnd w:id="4"/>
    </w:p>
    <w:p w:rsidR="00A6008B" w:rsidRPr="00E92571" w:rsidRDefault="00A6008B" w:rsidP="00061585">
      <w:pPr>
        <w:rPr>
          <w:kern w:val="32"/>
          <w:sz w:val="2"/>
          <w:lang w:eastAsia="en-US"/>
        </w:rPr>
      </w:pPr>
    </w:p>
    <w:p w:rsidR="00A6008B" w:rsidRPr="00E92571" w:rsidRDefault="00A6008B" w:rsidP="00061585">
      <w:pPr>
        <w:rPr>
          <w:kern w:val="32"/>
          <w:sz w:val="2"/>
          <w:lang w:eastAsia="en-US"/>
        </w:rPr>
        <w:sectPr w:rsidR="00A6008B" w:rsidRPr="00E92571" w:rsidSect="007F1F9A">
          <w:headerReference w:type="even" r:id="rId8"/>
          <w:headerReference w:type="first" r:id="rId9"/>
          <w:footerReference w:type="first" r:id="rId10"/>
          <w:pgSz w:w="11907" w:h="16840" w:code="9"/>
          <w:pgMar w:top="567" w:right="1361" w:bottom="426" w:left="1418" w:header="397" w:footer="0" w:gutter="0"/>
          <w:pgNumType w:fmt="lowerRoman" w:start="1"/>
          <w:cols w:space="708"/>
          <w:docGrid w:linePitch="360"/>
        </w:sectPr>
      </w:pPr>
    </w:p>
    <w:p w:rsidR="00A6008B" w:rsidRPr="00E92571" w:rsidRDefault="00A6008B" w:rsidP="00D200DC">
      <w:pPr>
        <w:pStyle w:val="Heading1"/>
        <w:spacing w:before="120"/>
        <w:jc w:val="center"/>
        <w:rPr>
          <w:lang w:val="en-AU"/>
        </w:rPr>
      </w:pPr>
      <w:bookmarkStart w:id="9" w:name="_Toc315450178"/>
      <w:bookmarkStart w:id="10" w:name="_Toc315450231"/>
      <w:bookmarkStart w:id="11" w:name="_Toc315450286"/>
      <w:bookmarkStart w:id="12" w:name="_Toc318139971"/>
      <w:bookmarkStart w:id="13" w:name="_Toc318224951"/>
      <w:bookmarkStart w:id="14" w:name="_Toc318372772"/>
      <w:bookmarkStart w:id="15" w:name="_Toc323286153"/>
      <w:bookmarkStart w:id="16" w:name="_Toc323387511"/>
      <w:bookmarkStart w:id="17" w:name="_Toc342292772"/>
      <w:bookmarkStart w:id="18" w:name="_Toc346256566"/>
      <w:bookmarkStart w:id="19" w:name="_Toc349659793"/>
      <w:bookmarkStart w:id="20" w:name="_Toc350071871"/>
      <w:bookmarkStart w:id="21" w:name="_Toc350163529"/>
      <w:bookmarkStart w:id="22" w:name="_Toc350184328"/>
      <w:bookmarkStart w:id="23" w:name="_Toc352068805"/>
      <w:bookmarkStart w:id="24" w:name="_Toc354487045"/>
      <w:bookmarkStart w:id="25" w:name="_Toc354644440"/>
      <w:r w:rsidRPr="00E92571">
        <w:rPr>
          <w:lang w:val="en-AU"/>
        </w:rPr>
        <w:t>Table of Contents</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A6008B" w:rsidRPr="00E92571" w:rsidRDefault="00A6008B" w:rsidP="00665F1A">
      <w:pPr>
        <w:rPr>
          <w:kern w:val="32"/>
          <w:sz w:val="16"/>
          <w:lang w:eastAsia="en-US"/>
        </w:rPr>
      </w:pPr>
    </w:p>
    <w:p w:rsidR="00A6008B" w:rsidRDefault="00A6008B" w:rsidP="00E91A96">
      <w:pPr>
        <w:pStyle w:val="TOC1"/>
        <w:rPr>
          <w:rFonts w:ascii="Calibri" w:eastAsia="MS Mincho" w:hAnsi="Calibri"/>
          <w:noProof/>
          <w:sz w:val="22"/>
          <w:szCs w:val="22"/>
          <w:lang w:eastAsia="ja-JP"/>
        </w:rPr>
      </w:pPr>
      <w:r w:rsidRPr="00E92571">
        <w:rPr>
          <w:kern w:val="32"/>
          <w:szCs w:val="23"/>
          <w:lang w:eastAsia="en-US"/>
        </w:rPr>
        <w:fldChar w:fldCharType="begin"/>
      </w:r>
      <w:r w:rsidRPr="00E92571">
        <w:rPr>
          <w:kern w:val="32"/>
          <w:szCs w:val="23"/>
          <w:lang w:eastAsia="en-US"/>
        </w:rPr>
        <w:instrText xml:space="preserve"> TOC \o "1-3" \h \z \u </w:instrText>
      </w:r>
      <w:r w:rsidRPr="00E92571">
        <w:rPr>
          <w:kern w:val="32"/>
          <w:szCs w:val="23"/>
          <w:lang w:eastAsia="en-US"/>
        </w:rPr>
        <w:fldChar w:fldCharType="separate"/>
      </w:r>
    </w:p>
    <w:p w:rsidR="00A6008B" w:rsidRDefault="00A6008B" w:rsidP="00E91A96">
      <w:pPr>
        <w:pStyle w:val="TOC1"/>
        <w:rPr>
          <w:rFonts w:ascii="Calibri" w:eastAsia="MS Mincho" w:hAnsi="Calibri"/>
          <w:noProof/>
          <w:sz w:val="22"/>
          <w:szCs w:val="22"/>
          <w:lang w:eastAsia="ja-JP"/>
        </w:rPr>
      </w:pPr>
      <w:hyperlink w:anchor="_Toc354644441" w:history="1">
        <w:r w:rsidRPr="003517A8">
          <w:rPr>
            <w:rStyle w:val="Hyperlink"/>
            <w:noProof/>
          </w:rPr>
          <w:t>Abbreviations and Acronyms</w:t>
        </w:r>
        <w:r>
          <w:rPr>
            <w:noProof/>
            <w:webHidden/>
          </w:rPr>
          <w:tab/>
        </w:r>
        <w:r>
          <w:rPr>
            <w:noProof/>
            <w:webHidden/>
          </w:rPr>
          <w:fldChar w:fldCharType="begin"/>
        </w:r>
        <w:r>
          <w:rPr>
            <w:noProof/>
            <w:webHidden/>
          </w:rPr>
          <w:instrText xml:space="preserve"> PAGEREF _Toc354644441 \h </w:instrText>
        </w:r>
        <w:r>
          <w:rPr>
            <w:noProof/>
            <w:webHidden/>
          </w:rPr>
        </w:r>
        <w:r>
          <w:rPr>
            <w:noProof/>
            <w:webHidden/>
          </w:rPr>
          <w:fldChar w:fldCharType="separate"/>
        </w:r>
        <w:r>
          <w:rPr>
            <w:noProof/>
            <w:webHidden/>
          </w:rPr>
          <w:t>ii</w:t>
        </w:r>
        <w:r>
          <w:rPr>
            <w:noProof/>
            <w:webHidden/>
          </w:rPr>
          <w:fldChar w:fldCharType="end"/>
        </w:r>
      </w:hyperlink>
    </w:p>
    <w:p w:rsidR="00A6008B" w:rsidRPr="007C0C4B" w:rsidRDefault="00A6008B" w:rsidP="00E91A96">
      <w:pPr>
        <w:tabs>
          <w:tab w:val="right" w:leader="dot" w:pos="9072"/>
        </w:tabs>
        <w:rPr>
          <w:rFonts w:eastAsia="MS Mincho"/>
          <w:noProof/>
          <w:sz w:val="16"/>
        </w:rPr>
      </w:pPr>
    </w:p>
    <w:p w:rsidR="00A6008B" w:rsidRDefault="00A6008B" w:rsidP="00E91A96">
      <w:pPr>
        <w:pStyle w:val="TOC1"/>
        <w:rPr>
          <w:rFonts w:ascii="Calibri" w:eastAsia="MS Mincho" w:hAnsi="Calibri"/>
          <w:noProof/>
          <w:sz w:val="22"/>
          <w:szCs w:val="22"/>
          <w:lang w:eastAsia="ja-JP"/>
        </w:rPr>
      </w:pPr>
      <w:hyperlink w:anchor="_Toc354644442" w:history="1">
        <w:r w:rsidRPr="003517A8">
          <w:rPr>
            <w:rStyle w:val="Hyperlink"/>
            <w:noProof/>
          </w:rPr>
          <w:t>Executive Summary</w:t>
        </w:r>
        <w:r>
          <w:rPr>
            <w:noProof/>
            <w:webHidden/>
          </w:rPr>
          <w:tab/>
        </w:r>
        <w:r>
          <w:rPr>
            <w:noProof/>
            <w:webHidden/>
          </w:rPr>
          <w:fldChar w:fldCharType="begin"/>
        </w:r>
        <w:r>
          <w:rPr>
            <w:noProof/>
            <w:webHidden/>
          </w:rPr>
          <w:instrText xml:space="preserve"> PAGEREF _Toc354644442 \h </w:instrText>
        </w:r>
        <w:r>
          <w:rPr>
            <w:noProof/>
            <w:webHidden/>
          </w:rPr>
        </w:r>
        <w:r>
          <w:rPr>
            <w:noProof/>
            <w:webHidden/>
          </w:rPr>
          <w:fldChar w:fldCharType="separate"/>
        </w:r>
        <w:r>
          <w:rPr>
            <w:noProof/>
            <w:webHidden/>
          </w:rPr>
          <w:t>iii</w:t>
        </w:r>
        <w:r>
          <w:rPr>
            <w:noProof/>
            <w:webHidden/>
          </w:rPr>
          <w:fldChar w:fldCharType="end"/>
        </w:r>
      </w:hyperlink>
    </w:p>
    <w:p w:rsidR="00A6008B" w:rsidRPr="007C0C4B" w:rsidRDefault="00A6008B" w:rsidP="00E91A96">
      <w:pPr>
        <w:tabs>
          <w:tab w:val="right" w:leader="dot" w:pos="9072"/>
        </w:tabs>
        <w:rPr>
          <w:rFonts w:eastAsia="MS Mincho"/>
          <w:noProof/>
          <w:sz w:val="16"/>
        </w:rPr>
      </w:pPr>
    </w:p>
    <w:p w:rsidR="00A6008B" w:rsidRDefault="00A6008B" w:rsidP="00E91A96">
      <w:pPr>
        <w:pStyle w:val="TOC1"/>
        <w:rPr>
          <w:rFonts w:ascii="Calibri" w:eastAsia="MS Mincho" w:hAnsi="Calibri"/>
          <w:noProof/>
          <w:sz w:val="22"/>
          <w:szCs w:val="22"/>
          <w:lang w:eastAsia="ja-JP"/>
        </w:rPr>
      </w:pPr>
      <w:hyperlink w:anchor="_Toc354644443" w:history="1">
        <w:r w:rsidRPr="003517A8">
          <w:rPr>
            <w:rStyle w:val="Hyperlink"/>
            <w:noProof/>
          </w:rPr>
          <w:t>1.0</w:t>
        </w:r>
        <w:r>
          <w:rPr>
            <w:rFonts w:ascii="Calibri" w:eastAsia="MS Mincho" w:hAnsi="Calibri"/>
            <w:noProof/>
            <w:sz w:val="22"/>
            <w:szCs w:val="22"/>
            <w:lang w:eastAsia="ja-JP"/>
          </w:rPr>
          <w:tab/>
        </w:r>
        <w:r w:rsidRPr="003517A8">
          <w:rPr>
            <w:rStyle w:val="Hyperlink"/>
            <w:noProof/>
          </w:rPr>
          <w:t>Introduction</w:t>
        </w:r>
        <w:r>
          <w:rPr>
            <w:noProof/>
            <w:webHidden/>
          </w:rPr>
          <w:tab/>
        </w:r>
        <w:r>
          <w:rPr>
            <w:noProof/>
            <w:webHidden/>
          </w:rPr>
          <w:fldChar w:fldCharType="begin"/>
        </w:r>
        <w:r>
          <w:rPr>
            <w:noProof/>
            <w:webHidden/>
          </w:rPr>
          <w:instrText xml:space="preserve"> PAGEREF _Toc354644443 \h </w:instrText>
        </w:r>
        <w:r>
          <w:rPr>
            <w:noProof/>
            <w:webHidden/>
          </w:rPr>
        </w:r>
        <w:r>
          <w:rPr>
            <w:noProof/>
            <w:webHidden/>
          </w:rPr>
          <w:fldChar w:fldCharType="separate"/>
        </w:r>
        <w:r>
          <w:rPr>
            <w:noProof/>
            <w:webHidden/>
          </w:rPr>
          <w:t>1</w:t>
        </w:r>
        <w:r>
          <w:rPr>
            <w:noProof/>
            <w:webHidden/>
          </w:rPr>
          <w:fldChar w:fldCharType="end"/>
        </w:r>
      </w:hyperlink>
    </w:p>
    <w:p w:rsidR="00A6008B" w:rsidRPr="007C0C4B" w:rsidRDefault="00A6008B" w:rsidP="00E91A96">
      <w:pPr>
        <w:tabs>
          <w:tab w:val="right" w:leader="dot" w:pos="9072"/>
        </w:tabs>
        <w:rPr>
          <w:rFonts w:eastAsia="MS Mincho"/>
          <w:noProof/>
          <w:sz w:val="8"/>
        </w:rPr>
      </w:pPr>
    </w:p>
    <w:p w:rsidR="00A6008B" w:rsidRDefault="00A6008B" w:rsidP="00E91A96">
      <w:pPr>
        <w:pStyle w:val="TOC2"/>
        <w:tabs>
          <w:tab w:val="left" w:pos="1349"/>
          <w:tab w:val="right" w:leader="dot" w:pos="9072"/>
          <w:tab w:val="right" w:leader="dot" w:pos="9118"/>
        </w:tabs>
        <w:rPr>
          <w:rFonts w:ascii="Calibri" w:eastAsia="MS Mincho" w:hAnsi="Calibri"/>
          <w:noProof/>
          <w:sz w:val="22"/>
          <w:szCs w:val="22"/>
          <w:lang w:eastAsia="ja-JP"/>
        </w:rPr>
      </w:pPr>
      <w:hyperlink w:anchor="_Toc354644444" w:history="1">
        <w:r w:rsidRPr="003517A8">
          <w:rPr>
            <w:rStyle w:val="Hyperlink"/>
            <w:noProof/>
            <w:lang w:eastAsia="en-US"/>
          </w:rPr>
          <w:t>1.1</w:t>
        </w:r>
        <w:r>
          <w:rPr>
            <w:rFonts w:ascii="Calibri" w:eastAsia="MS Mincho" w:hAnsi="Calibri"/>
            <w:noProof/>
            <w:sz w:val="22"/>
            <w:szCs w:val="22"/>
            <w:lang w:eastAsia="ja-JP"/>
          </w:rPr>
          <w:tab/>
        </w:r>
        <w:r w:rsidRPr="003517A8">
          <w:rPr>
            <w:rStyle w:val="Hyperlink"/>
            <w:noProof/>
            <w:lang w:eastAsia="en-US"/>
          </w:rPr>
          <w:t>Programme Description:  6 July, 2010 - 30, June 2015</w:t>
        </w:r>
        <w:r>
          <w:rPr>
            <w:noProof/>
            <w:webHidden/>
          </w:rPr>
          <w:tab/>
        </w:r>
        <w:r>
          <w:rPr>
            <w:noProof/>
            <w:webHidden/>
          </w:rPr>
          <w:fldChar w:fldCharType="begin"/>
        </w:r>
        <w:r>
          <w:rPr>
            <w:noProof/>
            <w:webHidden/>
          </w:rPr>
          <w:instrText xml:space="preserve"> PAGEREF _Toc354644444 \h </w:instrText>
        </w:r>
        <w:r>
          <w:rPr>
            <w:noProof/>
            <w:webHidden/>
          </w:rPr>
        </w:r>
        <w:r>
          <w:rPr>
            <w:noProof/>
            <w:webHidden/>
          </w:rPr>
          <w:fldChar w:fldCharType="separate"/>
        </w:r>
        <w:r>
          <w:rPr>
            <w:noProof/>
            <w:webHidden/>
          </w:rPr>
          <w:t>1</w:t>
        </w:r>
        <w:r>
          <w:rPr>
            <w:noProof/>
            <w:webHidden/>
          </w:rPr>
          <w:fldChar w:fldCharType="end"/>
        </w:r>
      </w:hyperlink>
    </w:p>
    <w:p w:rsidR="00A6008B" w:rsidRPr="007C0C4B" w:rsidRDefault="00A6008B" w:rsidP="00E91A96">
      <w:pPr>
        <w:tabs>
          <w:tab w:val="right" w:leader="dot" w:pos="9072"/>
        </w:tabs>
        <w:rPr>
          <w:rFonts w:eastAsia="MS Mincho"/>
          <w:noProof/>
          <w:sz w:val="8"/>
        </w:rPr>
      </w:pPr>
    </w:p>
    <w:p w:rsidR="00A6008B" w:rsidRDefault="00A6008B" w:rsidP="00E91A96">
      <w:pPr>
        <w:pStyle w:val="TOC2"/>
        <w:tabs>
          <w:tab w:val="left" w:pos="1349"/>
          <w:tab w:val="right" w:leader="dot" w:pos="9072"/>
          <w:tab w:val="right" w:leader="dot" w:pos="9118"/>
        </w:tabs>
        <w:rPr>
          <w:rFonts w:ascii="Calibri" w:eastAsia="MS Mincho" w:hAnsi="Calibri"/>
          <w:noProof/>
          <w:sz w:val="22"/>
          <w:szCs w:val="22"/>
          <w:lang w:eastAsia="ja-JP"/>
        </w:rPr>
      </w:pPr>
      <w:hyperlink w:anchor="_Toc354644445" w:history="1">
        <w:r w:rsidRPr="003517A8">
          <w:rPr>
            <w:rStyle w:val="Hyperlink"/>
            <w:noProof/>
            <w:lang w:eastAsia="en-US"/>
          </w:rPr>
          <w:t>1.2</w:t>
        </w:r>
        <w:r>
          <w:rPr>
            <w:rFonts w:ascii="Calibri" w:eastAsia="MS Mincho" w:hAnsi="Calibri"/>
            <w:noProof/>
            <w:sz w:val="22"/>
            <w:szCs w:val="22"/>
            <w:lang w:eastAsia="ja-JP"/>
          </w:rPr>
          <w:tab/>
        </w:r>
        <w:r w:rsidRPr="003517A8">
          <w:rPr>
            <w:rStyle w:val="Hyperlink"/>
            <w:noProof/>
            <w:lang w:eastAsia="en-US"/>
          </w:rPr>
          <w:t>Strategic Architecture</w:t>
        </w:r>
        <w:r>
          <w:rPr>
            <w:noProof/>
            <w:webHidden/>
          </w:rPr>
          <w:tab/>
        </w:r>
        <w:r>
          <w:rPr>
            <w:noProof/>
            <w:webHidden/>
          </w:rPr>
          <w:fldChar w:fldCharType="begin"/>
        </w:r>
        <w:r>
          <w:rPr>
            <w:noProof/>
            <w:webHidden/>
          </w:rPr>
          <w:instrText xml:space="preserve"> PAGEREF _Toc354644445 \h </w:instrText>
        </w:r>
        <w:r>
          <w:rPr>
            <w:noProof/>
            <w:webHidden/>
          </w:rPr>
        </w:r>
        <w:r>
          <w:rPr>
            <w:noProof/>
            <w:webHidden/>
          </w:rPr>
          <w:fldChar w:fldCharType="separate"/>
        </w:r>
        <w:r>
          <w:rPr>
            <w:noProof/>
            <w:webHidden/>
          </w:rPr>
          <w:t>1</w:t>
        </w:r>
        <w:r>
          <w:rPr>
            <w:noProof/>
            <w:webHidden/>
          </w:rPr>
          <w:fldChar w:fldCharType="end"/>
        </w:r>
      </w:hyperlink>
    </w:p>
    <w:p w:rsidR="00A6008B" w:rsidRDefault="00A6008B" w:rsidP="00E91A96">
      <w:pPr>
        <w:pStyle w:val="TOC3"/>
        <w:tabs>
          <w:tab w:val="left" w:pos="1349"/>
          <w:tab w:val="right" w:leader="dot" w:pos="9072"/>
          <w:tab w:val="right" w:leader="dot" w:pos="9118"/>
        </w:tabs>
        <w:rPr>
          <w:rFonts w:ascii="Calibri" w:eastAsia="MS Mincho" w:hAnsi="Calibri"/>
          <w:noProof/>
          <w:sz w:val="22"/>
          <w:szCs w:val="22"/>
          <w:lang w:eastAsia="ja-JP"/>
        </w:rPr>
      </w:pPr>
      <w:hyperlink w:anchor="_Toc354644446" w:history="1">
        <w:r w:rsidRPr="003517A8">
          <w:rPr>
            <w:rStyle w:val="Hyperlink"/>
            <w:noProof/>
          </w:rPr>
          <w:t>1.2.1</w:t>
        </w:r>
        <w:r>
          <w:rPr>
            <w:rFonts w:ascii="Calibri" w:eastAsia="MS Mincho" w:hAnsi="Calibri"/>
            <w:noProof/>
            <w:sz w:val="22"/>
            <w:szCs w:val="22"/>
            <w:lang w:eastAsia="ja-JP"/>
          </w:rPr>
          <w:tab/>
        </w:r>
        <w:r w:rsidRPr="003517A8">
          <w:rPr>
            <w:rStyle w:val="Hyperlink"/>
            <w:noProof/>
          </w:rPr>
          <w:t>Programme Goal</w:t>
        </w:r>
        <w:r>
          <w:rPr>
            <w:noProof/>
            <w:webHidden/>
          </w:rPr>
          <w:tab/>
        </w:r>
        <w:r>
          <w:rPr>
            <w:noProof/>
            <w:webHidden/>
          </w:rPr>
          <w:fldChar w:fldCharType="begin"/>
        </w:r>
        <w:r>
          <w:rPr>
            <w:noProof/>
            <w:webHidden/>
          </w:rPr>
          <w:instrText xml:space="preserve"> PAGEREF _Toc354644446 \h </w:instrText>
        </w:r>
        <w:r>
          <w:rPr>
            <w:noProof/>
            <w:webHidden/>
          </w:rPr>
        </w:r>
        <w:r>
          <w:rPr>
            <w:noProof/>
            <w:webHidden/>
          </w:rPr>
          <w:fldChar w:fldCharType="separate"/>
        </w:r>
        <w:r>
          <w:rPr>
            <w:noProof/>
            <w:webHidden/>
          </w:rPr>
          <w:t>1</w:t>
        </w:r>
        <w:r>
          <w:rPr>
            <w:noProof/>
            <w:webHidden/>
          </w:rPr>
          <w:fldChar w:fldCharType="end"/>
        </w:r>
      </w:hyperlink>
    </w:p>
    <w:p w:rsidR="00A6008B" w:rsidRDefault="00A6008B" w:rsidP="00E91A96">
      <w:pPr>
        <w:pStyle w:val="TOC3"/>
        <w:tabs>
          <w:tab w:val="left" w:pos="1349"/>
          <w:tab w:val="right" w:leader="dot" w:pos="9072"/>
          <w:tab w:val="right" w:leader="dot" w:pos="9118"/>
        </w:tabs>
        <w:rPr>
          <w:rFonts w:ascii="Calibri" w:eastAsia="MS Mincho" w:hAnsi="Calibri"/>
          <w:noProof/>
          <w:sz w:val="22"/>
          <w:szCs w:val="22"/>
          <w:lang w:eastAsia="ja-JP"/>
        </w:rPr>
      </w:pPr>
      <w:hyperlink w:anchor="_Toc354644447" w:history="1">
        <w:r w:rsidRPr="003517A8">
          <w:rPr>
            <w:rStyle w:val="Hyperlink"/>
            <w:noProof/>
          </w:rPr>
          <w:t>1.2.2</w:t>
        </w:r>
        <w:r>
          <w:rPr>
            <w:rFonts w:ascii="Calibri" w:eastAsia="MS Mincho" w:hAnsi="Calibri"/>
            <w:noProof/>
            <w:sz w:val="22"/>
            <w:szCs w:val="22"/>
            <w:lang w:eastAsia="ja-JP"/>
          </w:rPr>
          <w:tab/>
        </w:r>
        <w:r w:rsidRPr="003517A8">
          <w:rPr>
            <w:rStyle w:val="Hyperlink"/>
            <w:noProof/>
          </w:rPr>
          <w:t>Programme Purpose</w:t>
        </w:r>
        <w:r>
          <w:rPr>
            <w:noProof/>
            <w:webHidden/>
          </w:rPr>
          <w:tab/>
        </w:r>
        <w:r>
          <w:rPr>
            <w:noProof/>
            <w:webHidden/>
          </w:rPr>
          <w:fldChar w:fldCharType="begin"/>
        </w:r>
        <w:r>
          <w:rPr>
            <w:noProof/>
            <w:webHidden/>
          </w:rPr>
          <w:instrText xml:space="preserve"> PAGEREF _Toc354644447 \h </w:instrText>
        </w:r>
        <w:r>
          <w:rPr>
            <w:noProof/>
            <w:webHidden/>
          </w:rPr>
        </w:r>
        <w:r>
          <w:rPr>
            <w:noProof/>
            <w:webHidden/>
          </w:rPr>
          <w:fldChar w:fldCharType="separate"/>
        </w:r>
        <w:r>
          <w:rPr>
            <w:noProof/>
            <w:webHidden/>
          </w:rPr>
          <w:t>1</w:t>
        </w:r>
        <w:r>
          <w:rPr>
            <w:noProof/>
            <w:webHidden/>
          </w:rPr>
          <w:fldChar w:fldCharType="end"/>
        </w:r>
      </w:hyperlink>
    </w:p>
    <w:p w:rsidR="00A6008B" w:rsidRDefault="00A6008B" w:rsidP="00E91A96">
      <w:pPr>
        <w:pStyle w:val="TOC3"/>
        <w:tabs>
          <w:tab w:val="left" w:pos="1349"/>
          <w:tab w:val="right" w:leader="dot" w:pos="9072"/>
          <w:tab w:val="right" w:leader="dot" w:pos="9118"/>
        </w:tabs>
        <w:rPr>
          <w:rFonts w:ascii="Calibri" w:eastAsia="MS Mincho" w:hAnsi="Calibri"/>
          <w:noProof/>
          <w:sz w:val="22"/>
          <w:szCs w:val="22"/>
          <w:lang w:eastAsia="ja-JP"/>
        </w:rPr>
      </w:pPr>
      <w:hyperlink w:anchor="_Toc354644448" w:history="1">
        <w:r w:rsidRPr="003517A8">
          <w:rPr>
            <w:rStyle w:val="Hyperlink"/>
            <w:noProof/>
          </w:rPr>
          <w:t>1.2.3</w:t>
        </w:r>
        <w:r>
          <w:rPr>
            <w:rFonts w:ascii="Calibri" w:eastAsia="MS Mincho" w:hAnsi="Calibri"/>
            <w:noProof/>
            <w:sz w:val="22"/>
            <w:szCs w:val="22"/>
            <w:lang w:eastAsia="ja-JP"/>
          </w:rPr>
          <w:tab/>
        </w:r>
        <w:r w:rsidRPr="003517A8">
          <w:rPr>
            <w:rStyle w:val="Hyperlink"/>
            <w:noProof/>
          </w:rPr>
          <w:t>Vision for PJDP Phase 2</w:t>
        </w:r>
        <w:r>
          <w:rPr>
            <w:noProof/>
            <w:webHidden/>
          </w:rPr>
          <w:tab/>
        </w:r>
        <w:r>
          <w:rPr>
            <w:noProof/>
            <w:webHidden/>
          </w:rPr>
          <w:fldChar w:fldCharType="begin"/>
        </w:r>
        <w:r>
          <w:rPr>
            <w:noProof/>
            <w:webHidden/>
          </w:rPr>
          <w:instrText xml:space="preserve"> PAGEREF _Toc354644448 \h </w:instrText>
        </w:r>
        <w:r>
          <w:rPr>
            <w:noProof/>
            <w:webHidden/>
          </w:rPr>
        </w:r>
        <w:r>
          <w:rPr>
            <w:noProof/>
            <w:webHidden/>
          </w:rPr>
          <w:fldChar w:fldCharType="separate"/>
        </w:r>
        <w:r>
          <w:rPr>
            <w:noProof/>
            <w:webHidden/>
          </w:rPr>
          <w:t>1</w:t>
        </w:r>
        <w:r>
          <w:rPr>
            <w:noProof/>
            <w:webHidden/>
          </w:rPr>
          <w:fldChar w:fldCharType="end"/>
        </w:r>
      </w:hyperlink>
    </w:p>
    <w:p w:rsidR="00A6008B" w:rsidRPr="007C0C4B" w:rsidRDefault="00A6008B" w:rsidP="00E91A96">
      <w:pPr>
        <w:tabs>
          <w:tab w:val="right" w:leader="dot" w:pos="9072"/>
        </w:tabs>
        <w:rPr>
          <w:rFonts w:eastAsia="MS Mincho"/>
          <w:noProof/>
          <w:sz w:val="16"/>
        </w:rPr>
      </w:pPr>
    </w:p>
    <w:p w:rsidR="00A6008B" w:rsidRDefault="00A6008B" w:rsidP="00E91A96">
      <w:pPr>
        <w:pStyle w:val="TOC1"/>
        <w:rPr>
          <w:rFonts w:ascii="Calibri" w:eastAsia="MS Mincho" w:hAnsi="Calibri"/>
          <w:noProof/>
          <w:sz w:val="22"/>
          <w:szCs w:val="22"/>
          <w:lang w:eastAsia="ja-JP"/>
        </w:rPr>
      </w:pPr>
      <w:hyperlink w:anchor="_Toc354644449" w:history="1">
        <w:r w:rsidRPr="003517A8">
          <w:rPr>
            <w:rStyle w:val="Hyperlink"/>
            <w:noProof/>
          </w:rPr>
          <w:t>2.0</w:t>
        </w:r>
        <w:r>
          <w:rPr>
            <w:rFonts w:ascii="Calibri" w:eastAsia="MS Mincho" w:hAnsi="Calibri"/>
            <w:noProof/>
            <w:sz w:val="22"/>
            <w:szCs w:val="22"/>
            <w:lang w:eastAsia="ja-JP"/>
          </w:rPr>
          <w:tab/>
        </w:r>
        <w:r w:rsidRPr="003517A8">
          <w:rPr>
            <w:rStyle w:val="Hyperlink"/>
            <w:noProof/>
          </w:rPr>
          <w:t>Review of Progress</w:t>
        </w:r>
        <w:r>
          <w:rPr>
            <w:noProof/>
            <w:webHidden/>
          </w:rPr>
          <w:tab/>
        </w:r>
        <w:r>
          <w:rPr>
            <w:noProof/>
            <w:webHidden/>
          </w:rPr>
          <w:fldChar w:fldCharType="begin"/>
        </w:r>
        <w:r>
          <w:rPr>
            <w:noProof/>
            <w:webHidden/>
          </w:rPr>
          <w:instrText xml:space="preserve"> PAGEREF _Toc354644449 \h </w:instrText>
        </w:r>
        <w:r>
          <w:rPr>
            <w:noProof/>
            <w:webHidden/>
          </w:rPr>
        </w:r>
        <w:r>
          <w:rPr>
            <w:noProof/>
            <w:webHidden/>
          </w:rPr>
          <w:fldChar w:fldCharType="separate"/>
        </w:r>
        <w:r>
          <w:rPr>
            <w:noProof/>
            <w:webHidden/>
          </w:rPr>
          <w:t>1</w:t>
        </w:r>
        <w:r>
          <w:rPr>
            <w:noProof/>
            <w:webHidden/>
          </w:rPr>
          <w:fldChar w:fldCharType="end"/>
        </w:r>
      </w:hyperlink>
    </w:p>
    <w:p w:rsidR="00A6008B" w:rsidRPr="007C0C4B" w:rsidRDefault="00A6008B" w:rsidP="00E91A96">
      <w:pPr>
        <w:tabs>
          <w:tab w:val="right" w:leader="dot" w:pos="9072"/>
        </w:tabs>
        <w:rPr>
          <w:rFonts w:eastAsia="MS Mincho"/>
          <w:noProof/>
          <w:sz w:val="16"/>
        </w:rPr>
      </w:pPr>
    </w:p>
    <w:p w:rsidR="00A6008B" w:rsidRDefault="00A6008B" w:rsidP="00E91A96">
      <w:pPr>
        <w:pStyle w:val="TOC1"/>
        <w:rPr>
          <w:rFonts w:ascii="Calibri" w:eastAsia="MS Mincho" w:hAnsi="Calibri"/>
          <w:noProof/>
          <w:sz w:val="22"/>
          <w:szCs w:val="22"/>
          <w:lang w:eastAsia="ja-JP"/>
        </w:rPr>
      </w:pPr>
      <w:hyperlink w:anchor="_Toc354644450" w:history="1">
        <w:r w:rsidRPr="003517A8">
          <w:rPr>
            <w:rStyle w:val="Hyperlink"/>
            <w:noProof/>
          </w:rPr>
          <w:t>3.0</w:t>
        </w:r>
        <w:r>
          <w:rPr>
            <w:rFonts w:ascii="Calibri" w:eastAsia="MS Mincho" w:hAnsi="Calibri"/>
            <w:noProof/>
            <w:sz w:val="22"/>
            <w:szCs w:val="22"/>
            <w:lang w:eastAsia="ja-JP"/>
          </w:rPr>
          <w:tab/>
        </w:r>
        <w:r w:rsidRPr="003517A8">
          <w:rPr>
            <w:rStyle w:val="Hyperlink"/>
            <w:noProof/>
          </w:rPr>
          <w:t>24-month Extension Plan</w:t>
        </w:r>
        <w:r>
          <w:rPr>
            <w:noProof/>
            <w:webHidden/>
          </w:rPr>
          <w:tab/>
        </w:r>
        <w:r>
          <w:rPr>
            <w:noProof/>
            <w:webHidden/>
          </w:rPr>
          <w:fldChar w:fldCharType="begin"/>
        </w:r>
        <w:r>
          <w:rPr>
            <w:noProof/>
            <w:webHidden/>
          </w:rPr>
          <w:instrText xml:space="preserve"> PAGEREF _Toc354644450 \h </w:instrText>
        </w:r>
        <w:r>
          <w:rPr>
            <w:noProof/>
            <w:webHidden/>
          </w:rPr>
        </w:r>
        <w:r>
          <w:rPr>
            <w:noProof/>
            <w:webHidden/>
          </w:rPr>
          <w:fldChar w:fldCharType="separate"/>
        </w:r>
        <w:r>
          <w:rPr>
            <w:noProof/>
            <w:webHidden/>
          </w:rPr>
          <w:t>3</w:t>
        </w:r>
        <w:r>
          <w:rPr>
            <w:noProof/>
            <w:webHidden/>
          </w:rPr>
          <w:fldChar w:fldCharType="end"/>
        </w:r>
      </w:hyperlink>
    </w:p>
    <w:p w:rsidR="00A6008B" w:rsidRPr="007C0C4B" w:rsidRDefault="00A6008B" w:rsidP="00E91A96">
      <w:pPr>
        <w:tabs>
          <w:tab w:val="right" w:leader="dot" w:pos="9072"/>
        </w:tabs>
        <w:rPr>
          <w:rFonts w:eastAsia="MS Mincho"/>
          <w:noProof/>
          <w:sz w:val="8"/>
        </w:rPr>
      </w:pPr>
    </w:p>
    <w:p w:rsidR="00A6008B" w:rsidRDefault="00A6008B" w:rsidP="00E91A96">
      <w:pPr>
        <w:pStyle w:val="TOC2"/>
        <w:tabs>
          <w:tab w:val="left" w:pos="1349"/>
          <w:tab w:val="right" w:leader="dot" w:pos="9072"/>
          <w:tab w:val="right" w:leader="dot" w:pos="9118"/>
        </w:tabs>
        <w:rPr>
          <w:rFonts w:ascii="Calibri" w:eastAsia="MS Mincho" w:hAnsi="Calibri"/>
          <w:noProof/>
          <w:sz w:val="22"/>
          <w:szCs w:val="22"/>
          <w:lang w:eastAsia="ja-JP"/>
        </w:rPr>
      </w:pPr>
      <w:hyperlink w:anchor="_Toc354644451" w:history="1">
        <w:r w:rsidRPr="003517A8">
          <w:rPr>
            <w:rStyle w:val="Hyperlink"/>
            <w:noProof/>
          </w:rPr>
          <w:t>3.1</w:t>
        </w:r>
        <w:r>
          <w:rPr>
            <w:rFonts w:ascii="Calibri" w:eastAsia="MS Mincho" w:hAnsi="Calibri"/>
            <w:noProof/>
            <w:sz w:val="22"/>
            <w:szCs w:val="22"/>
            <w:lang w:eastAsia="ja-JP"/>
          </w:rPr>
          <w:tab/>
        </w:r>
        <w:r w:rsidRPr="003517A8">
          <w:rPr>
            <w:rStyle w:val="Hyperlink"/>
            <w:noProof/>
          </w:rPr>
          <w:t>Approach to Developing the Plan - ‘Limited Design’</w:t>
        </w:r>
        <w:r>
          <w:rPr>
            <w:noProof/>
            <w:webHidden/>
          </w:rPr>
          <w:tab/>
        </w:r>
        <w:r>
          <w:rPr>
            <w:noProof/>
            <w:webHidden/>
          </w:rPr>
          <w:fldChar w:fldCharType="begin"/>
        </w:r>
        <w:r>
          <w:rPr>
            <w:noProof/>
            <w:webHidden/>
          </w:rPr>
          <w:instrText xml:space="preserve"> PAGEREF _Toc354644451 \h </w:instrText>
        </w:r>
        <w:r>
          <w:rPr>
            <w:noProof/>
            <w:webHidden/>
          </w:rPr>
        </w:r>
        <w:r>
          <w:rPr>
            <w:noProof/>
            <w:webHidden/>
          </w:rPr>
          <w:fldChar w:fldCharType="separate"/>
        </w:r>
        <w:r>
          <w:rPr>
            <w:noProof/>
            <w:webHidden/>
          </w:rPr>
          <w:t>3</w:t>
        </w:r>
        <w:r>
          <w:rPr>
            <w:noProof/>
            <w:webHidden/>
          </w:rPr>
          <w:fldChar w:fldCharType="end"/>
        </w:r>
      </w:hyperlink>
    </w:p>
    <w:p w:rsidR="00A6008B" w:rsidRDefault="00A6008B" w:rsidP="00E91A96">
      <w:pPr>
        <w:pStyle w:val="TOC3"/>
        <w:tabs>
          <w:tab w:val="left" w:pos="1349"/>
          <w:tab w:val="right" w:leader="dot" w:pos="9072"/>
          <w:tab w:val="right" w:leader="dot" w:pos="9118"/>
        </w:tabs>
        <w:rPr>
          <w:rFonts w:ascii="Calibri" w:eastAsia="MS Mincho" w:hAnsi="Calibri"/>
          <w:noProof/>
          <w:sz w:val="22"/>
          <w:szCs w:val="22"/>
          <w:lang w:eastAsia="ja-JP"/>
        </w:rPr>
      </w:pPr>
      <w:hyperlink w:anchor="_Toc354644452" w:history="1">
        <w:r w:rsidRPr="003517A8">
          <w:rPr>
            <w:rStyle w:val="Hyperlink"/>
            <w:noProof/>
          </w:rPr>
          <w:t>3.1.1</w:t>
        </w:r>
        <w:r>
          <w:rPr>
            <w:rFonts w:ascii="Calibri" w:eastAsia="MS Mincho" w:hAnsi="Calibri"/>
            <w:noProof/>
            <w:sz w:val="22"/>
            <w:szCs w:val="22"/>
            <w:lang w:eastAsia="ja-JP"/>
          </w:rPr>
          <w:tab/>
        </w:r>
        <w:r w:rsidRPr="003517A8">
          <w:rPr>
            <w:rStyle w:val="Hyperlink"/>
            <w:noProof/>
          </w:rPr>
          <w:t>Theory of Change - Improving Responsiveness of Justice Services for Beneficiaries</w:t>
        </w:r>
        <w:r>
          <w:rPr>
            <w:noProof/>
            <w:webHidden/>
          </w:rPr>
          <w:tab/>
        </w:r>
        <w:r>
          <w:rPr>
            <w:noProof/>
            <w:webHidden/>
          </w:rPr>
          <w:fldChar w:fldCharType="begin"/>
        </w:r>
        <w:r>
          <w:rPr>
            <w:noProof/>
            <w:webHidden/>
          </w:rPr>
          <w:instrText xml:space="preserve"> PAGEREF _Toc354644452 \h </w:instrText>
        </w:r>
        <w:r>
          <w:rPr>
            <w:noProof/>
            <w:webHidden/>
          </w:rPr>
        </w:r>
        <w:r>
          <w:rPr>
            <w:noProof/>
            <w:webHidden/>
          </w:rPr>
          <w:fldChar w:fldCharType="separate"/>
        </w:r>
        <w:r>
          <w:rPr>
            <w:noProof/>
            <w:webHidden/>
          </w:rPr>
          <w:t>4</w:t>
        </w:r>
        <w:r>
          <w:rPr>
            <w:noProof/>
            <w:webHidden/>
          </w:rPr>
          <w:fldChar w:fldCharType="end"/>
        </w:r>
      </w:hyperlink>
    </w:p>
    <w:p w:rsidR="00A6008B" w:rsidRDefault="00A6008B" w:rsidP="00E91A96">
      <w:pPr>
        <w:pStyle w:val="TOC3"/>
        <w:tabs>
          <w:tab w:val="left" w:pos="1349"/>
          <w:tab w:val="right" w:leader="dot" w:pos="9072"/>
          <w:tab w:val="right" w:leader="dot" w:pos="9118"/>
        </w:tabs>
        <w:rPr>
          <w:rFonts w:ascii="Calibri" w:eastAsia="MS Mincho" w:hAnsi="Calibri"/>
          <w:noProof/>
          <w:sz w:val="22"/>
          <w:szCs w:val="22"/>
          <w:lang w:eastAsia="ja-JP"/>
        </w:rPr>
      </w:pPr>
      <w:hyperlink w:anchor="_Toc354644453" w:history="1">
        <w:r w:rsidRPr="003517A8">
          <w:rPr>
            <w:rStyle w:val="Hyperlink"/>
            <w:noProof/>
          </w:rPr>
          <w:t>3.1.2</w:t>
        </w:r>
        <w:r>
          <w:rPr>
            <w:rFonts w:ascii="Calibri" w:eastAsia="MS Mincho" w:hAnsi="Calibri"/>
            <w:noProof/>
            <w:sz w:val="22"/>
            <w:szCs w:val="22"/>
            <w:lang w:eastAsia="ja-JP"/>
          </w:rPr>
          <w:tab/>
        </w:r>
        <w:r w:rsidRPr="003517A8">
          <w:rPr>
            <w:rStyle w:val="Hyperlink"/>
            <w:noProof/>
          </w:rPr>
          <w:t>Stakeholder Driven Design, Planning &amp; Implementation</w:t>
        </w:r>
        <w:r>
          <w:rPr>
            <w:noProof/>
            <w:webHidden/>
          </w:rPr>
          <w:tab/>
        </w:r>
        <w:r>
          <w:rPr>
            <w:noProof/>
            <w:webHidden/>
          </w:rPr>
          <w:fldChar w:fldCharType="begin"/>
        </w:r>
        <w:r>
          <w:rPr>
            <w:noProof/>
            <w:webHidden/>
          </w:rPr>
          <w:instrText xml:space="preserve"> PAGEREF _Toc354644453 \h </w:instrText>
        </w:r>
        <w:r>
          <w:rPr>
            <w:noProof/>
            <w:webHidden/>
          </w:rPr>
        </w:r>
        <w:r>
          <w:rPr>
            <w:noProof/>
            <w:webHidden/>
          </w:rPr>
          <w:fldChar w:fldCharType="separate"/>
        </w:r>
        <w:r>
          <w:rPr>
            <w:noProof/>
            <w:webHidden/>
          </w:rPr>
          <w:t>5</w:t>
        </w:r>
        <w:r>
          <w:rPr>
            <w:noProof/>
            <w:webHidden/>
          </w:rPr>
          <w:fldChar w:fldCharType="end"/>
        </w:r>
      </w:hyperlink>
    </w:p>
    <w:p w:rsidR="00A6008B" w:rsidRDefault="00A6008B" w:rsidP="00E91A96">
      <w:pPr>
        <w:pStyle w:val="TOC3"/>
        <w:tabs>
          <w:tab w:val="left" w:pos="1349"/>
          <w:tab w:val="right" w:leader="dot" w:pos="9072"/>
          <w:tab w:val="right" w:leader="dot" w:pos="9118"/>
        </w:tabs>
        <w:rPr>
          <w:rFonts w:ascii="Calibri" w:eastAsia="MS Mincho" w:hAnsi="Calibri"/>
          <w:noProof/>
          <w:sz w:val="22"/>
          <w:szCs w:val="22"/>
          <w:lang w:eastAsia="ja-JP"/>
        </w:rPr>
      </w:pPr>
      <w:hyperlink w:anchor="_Toc354644454" w:history="1">
        <w:r w:rsidRPr="003517A8">
          <w:rPr>
            <w:rStyle w:val="Hyperlink"/>
            <w:noProof/>
          </w:rPr>
          <w:t>3.1.3</w:t>
        </w:r>
        <w:r>
          <w:rPr>
            <w:rFonts w:ascii="Calibri" w:eastAsia="MS Mincho" w:hAnsi="Calibri"/>
            <w:noProof/>
            <w:sz w:val="22"/>
            <w:szCs w:val="22"/>
            <w:lang w:eastAsia="ja-JP"/>
          </w:rPr>
          <w:tab/>
        </w:r>
        <w:r w:rsidRPr="003517A8">
          <w:rPr>
            <w:rStyle w:val="Hyperlink"/>
            <w:noProof/>
          </w:rPr>
          <w:t>Refining PJDP’s Regional and Localised Approaches</w:t>
        </w:r>
        <w:r>
          <w:rPr>
            <w:noProof/>
            <w:webHidden/>
          </w:rPr>
          <w:tab/>
        </w:r>
        <w:r>
          <w:rPr>
            <w:noProof/>
            <w:webHidden/>
          </w:rPr>
          <w:fldChar w:fldCharType="begin"/>
        </w:r>
        <w:r>
          <w:rPr>
            <w:noProof/>
            <w:webHidden/>
          </w:rPr>
          <w:instrText xml:space="preserve"> PAGEREF _Toc354644454 \h </w:instrText>
        </w:r>
        <w:r>
          <w:rPr>
            <w:noProof/>
            <w:webHidden/>
          </w:rPr>
        </w:r>
        <w:r>
          <w:rPr>
            <w:noProof/>
            <w:webHidden/>
          </w:rPr>
          <w:fldChar w:fldCharType="separate"/>
        </w:r>
        <w:r>
          <w:rPr>
            <w:noProof/>
            <w:webHidden/>
          </w:rPr>
          <w:t>6</w:t>
        </w:r>
        <w:r>
          <w:rPr>
            <w:noProof/>
            <w:webHidden/>
          </w:rPr>
          <w:fldChar w:fldCharType="end"/>
        </w:r>
      </w:hyperlink>
    </w:p>
    <w:p w:rsidR="00A6008B" w:rsidRDefault="00A6008B" w:rsidP="00E91A96">
      <w:pPr>
        <w:pStyle w:val="TOC3"/>
        <w:tabs>
          <w:tab w:val="left" w:pos="1349"/>
          <w:tab w:val="right" w:leader="dot" w:pos="9072"/>
          <w:tab w:val="right" w:leader="dot" w:pos="9118"/>
        </w:tabs>
        <w:rPr>
          <w:rFonts w:ascii="Calibri" w:eastAsia="MS Mincho" w:hAnsi="Calibri"/>
          <w:noProof/>
          <w:sz w:val="22"/>
          <w:szCs w:val="22"/>
          <w:lang w:eastAsia="ja-JP"/>
        </w:rPr>
      </w:pPr>
      <w:hyperlink w:anchor="_Toc354644455" w:history="1">
        <w:r w:rsidRPr="003517A8">
          <w:rPr>
            <w:rStyle w:val="Hyperlink"/>
            <w:noProof/>
          </w:rPr>
          <w:t>3.1.4</w:t>
        </w:r>
        <w:r>
          <w:rPr>
            <w:rFonts w:ascii="Calibri" w:eastAsia="MS Mincho" w:hAnsi="Calibri"/>
            <w:noProof/>
            <w:sz w:val="22"/>
            <w:szCs w:val="22"/>
            <w:lang w:eastAsia="ja-JP"/>
          </w:rPr>
          <w:tab/>
        </w:r>
        <w:r w:rsidRPr="003517A8">
          <w:rPr>
            <w:rStyle w:val="Hyperlink"/>
            <w:noProof/>
          </w:rPr>
          <w:t>Continuous Improvement - Lessons Learned</w:t>
        </w:r>
        <w:r>
          <w:rPr>
            <w:noProof/>
            <w:webHidden/>
          </w:rPr>
          <w:tab/>
        </w:r>
        <w:r>
          <w:rPr>
            <w:noProof/>
            <w:webHidden/>
          </w:rPr>
          <w:fldChar w:fldCharType="begin"/>
        </w:r>
        <w:r>
          <w:rPr>
            <w:noProof/>
            <w:webHidden/>
          </w:rPr>
          <w:instrText xml:space="preserve"> PAGEREF _Toc354644455 \h </w:instrText>
        </w:r>
        <w:r>
          <w:rPr>
            <w:noProof/>
            <w:webHidden/>
          </w:rPr>
        </w:r>
        <w:r>
          <w:rPr>
            <w:noProof/>
            <w:webHidden/>
          </w:rPr>
          <w:fldChar w:fldCharType="separate"/>
        </w:r>
        <w:r>
          <w:rPr>
            <w:noProof/>
            <w:webHidden/>
          </w:rPr>
          <w:t>7</w:t>
        </w:r>
        <w:r>
          <w:rPr>
            <w:noProof/>
            <w:webHidden/>
          </w:rPr>
          <w:fldChar w:fldCharType="end"/>
        </w:r>
      </w:hyperlink>
    </w:p>
    <w:p w:rsidR="00A6008B" w:rsidRDefault="00A6008B" w:rsidP="00E91A96">
      <w:pPr>
        <w:pStyle w:val="TOC3"/>
        <w:tabs>
          <w:tab w:val="left" w:pos="1349"/>
          <w:tab w:val="right" w:leader="dot" w:pos="9072"/>
          <w:tab w:val="right" w:leader="dot" w:pos="9118"/>
        </w:tabs>
        <w:rPr>
          <w:rFonts w:ascii="Calibri" w:eastAsia="MS Mincho" w:hAnsi="Calibri"/>
          <w:noProof/>
          <w:sz w:val="22"/>
          <w:szCs w:val="22"/>
          <w:lang w:eastAsia="ja-JP"/>
        </w:rPr>
      </w:pPr>
      <w:hyperlink w:anchor="_Toc354644456" w:history="1">
        <w:r w:rsidRPr="003517A8">
          <w:rPr>
            <w:rStyle w:val="Hyperlink"/>
            <w:noProof/>
          </w:rPr>
          <w:t>3.1.5</w:t>
        </w:r>
        <w:r>
          <w:rPr>
            <w:rFonts w:ascii="Calibri" w:eastAsia="MS Mincho" w:hAnsi="Calibri"/>
            <w:noProof/>
            <w:sz w:val="22"/>
            <w:szCs w:val="22"/>
            <w:lang w:eastAsia="ja-JP"/>
          </w:rPr>
          <w:tab/>
        </w:r>
        <w:r w:rsidRPr="003517A8">
          <w:rPr>
            <w:rStyle w:val="Hyperlink"/>
            <w:noProof/>
          </w:rPr>
          <w:t>Value for Money</w:t>
        </w:r>
        <w:r>
          <w:rPr>
            <w:noProof/>
            <w:webHidden/>
          </w:rPr>
          <w:tab/>
        </w:r>
        <w:r>
          <w:rPr>
            <w:noProof/>
            <w:webHidden/>
          </w:rPr>
          <w:fldChar w:fldCharType="begin"/>
        </w:r>
        <w:r>
          <w:rPr>
            <w:noProof/>
            <w:webHidden/>
          </w:rPr>
          <w:instrText xml:space="preserve"> PAGEREF _Toc354644456 \h </w:instrText>
        </w:r>
        <w:r>
          <w:rPr>
            <w:noProof/>
            <w:webHidden/>
          </w:rPr>
        </w:r>
        <w:r>
          <w:rPr>
            <w:noProof/>
            <w:webHidden/>
          </w:rPr>
          <w:fldChar w:fldCharType="separate"/>
        </w:r>
        <w:r>
          <w:rPr>
            <w:noProof/>
            <w:webHidden/>
          </w:rPr>
          <w:t>8</w:t>
        </w:r>
        <w:r>
          <w:rPr>
            <w:noProof/>
            <w:webHidden/>
          </w:rPr>
          <w:fldChar w:fldCharType="end"/>
        </w:r>
      </w:hyperlink>
    </w:p>
    <w:p w:rsidR="00A6008B" w:rsidRDefault="00A6008B" w:rsidP="00E91A96">
      <w:pPr>
        <w:pStyle w:val="TOC3"/>
        <w:tabs>
          <w:tab w:val="left" w:pos="1349"/>
          <w:tab w:val="right" w:leader="dot" w:pos="9072"/>
          <w:tab w:val="right" w:leader="dot" w:pos="9118"/>
        </w:tabs>
        <w:rPr>
          <w:rFonts w:ascii="Calibri" w:eastAsia="MS Mincho" w:hAnsi="Calibri"/>
          <w:noProof/>
          <w:sz w:val="22"/>
          <w:szCs w:val="22"/>
          <w:lang w:eastAsia="ja-JP"/>
        </w:rPr>
      </w:pPr>
      <w:hyperlink w:anchor="_Toc354644457" w:history="1">
        <w:r w:rsidRPr="003517A8">
          <w:rPr>
            <w:rStyle w:val="Hyperlink"/>
            <w:noProof/>
          </w:rPr>
          <w:t>3.1.6</w:t>
        </w:r>
        <w:r>
          <w:rPr>
            <w:rFonts w:ascii="Calibri" w:eastAsia="MS Mincho" w:hAnsi="Calibri"/>
            <w:noProof/>
            <w:sz w:val="22"/>
            <w:szCs w:val="22"/>
            <w:lang w:eastAsia="ja-JP"/>
          </w:rPr>
          <w:tab/>
        </w:r>
        <w:r w:rsidRPr="003517A8">
          <w:rPr>
            <w:rStyle w:val="Hyperlink"/>
            <w:noProof/>
          </w:rPr>
          <w:t>Integration of Cross-cutting Issues</w:t>
        </w:r>
        <w:r>
          <w:rPr>
            <w:noProof/>
            <w:webHidden/>
          </w:rPr>
          <w:tab/>
        </w:r>
        <w:r>
          <w:rPr>
            <w:noProof/>
            <w:webHidden/>
          </w:rPr>
          <w:fldChar w:fldCharType="begin"/>
        </w:r>
        <w:r>
          <w:rPr>
            <w:noProof/>
            <w:webHidden/>
          </w:rPr>
          <w:instrText xml:space="preserve"> PAGEREF _Toc354644457 \h </w:instrText>
        </w:r>
        <w:r>
          <w:rPr>
            <w:noProof/>
            <w:webHidden/>
          </w:rPr>
        </w:r>
        <w:r>
          <w:rPr>
            <w:noProof/>
            <w:webHidden/>
          </w:rPr>
          <w:fldChar w:fldCharType="separate"/>
        </w:r>
        <w:r>
          <w:rPr>
            <w:noProof/>
            <w:webHidden/>
          </w:rPr>
          <w:t>8</w:t>
        </w:r>
        <w:r>
          <w:rPr>
            <w:noProof/>
            <w:webHidden/>
          </w:rPr>
          <w:fldChar w:fldCharType="end"/>
        </w:r>
      </w:hyperlink>
    </w:p>
    <w:p w:rsidR="00A6008B" w:rsidRPr="007C0C4B" w:rsidRDefault="00A6008B" w:rsidP="00E91A96">
      <w:pPr>
        <w:tabs>
          <w:tab w:val="right" w:leader="dot" w:pos="9072"/>
        </w:tabs>
        <w:rPr>
          <w:rFonts w:eastAsia="MS Mincho"/>
          <w:noProof/>
          <w:sz w:val="8"/>
        </w:rPr>
      </w:pPr>
    </w:p>
    <w:p w:rsidR="00A6008B" w:rsidRDefault="00A6008B" w:rsidP="00E91A96">
      <w:pPr>
        <w:pStyle w:val="TOC2"/>
        <w:tabs>
          <w:tab w:val="left" w:pos="1349"/>
          <w:tab w:val="right" w:leader="dot" w:pos="9072"/>
          <w:tab w:val="right" w:leader="dot" w:pos="9118"/>
        </w:tabs>
        <w:rPr>
          <w:rFonts w:ascii="Calibri" w:eastAsia="MS Mincho" w:hAnsi="Calibri"/>
          <w:noProof/>
          <w:sz w:val="22"/>
          <w:szCs w:val="22"/>
          <w:lang w:eastAsia="ja-JP"/>
        </w:rPr>
      </w:pPr>
      <w:hyperlink w:anchor="_Toc354644458" w:history="1">
        <w:r w:rsidRPr="003517A8">
          <w:rPr>
            <w:rStyle w:val="Hyperlink"/>
            <w:noProof/>
          </w:rPr>
          <w:t>3.2</w:t>
        </w:r>
        <w:r>
          <w:rPr>
            <w:rFonts w:ascii="Calibri" w:eastAsia="MS Mincho" w:hAnsi="Calibri"/>
            <w:noProof/>
            <w:sz w:val="22"/>
            <w:szCs w:val="22"/>
            <w:lang w:eastAsia="ja-JP"/>
          </w:rPr>
          <w:tab/>
        </w:r>
        <w:r w:rsidRPr="003517A8">
          <w:rPr>
            <w:rStyle w:val="Hyperlink"/>
            <w:noProof/>
          </w:rPr>
          <w:t>Components, Projects, Activities, Outputs and Outcomes</w:t>
        </w:r>
        <w:r>
          <w:rPr>
            <w:noProof/>
            <w:webHidden/>
          </w:rPr>
          <w:tab/>
        </w:r>
        <w:r>
          <w:rPr>
            <w:noProof/>
            <w:webHidden/>
          </w:rPr>
          <w:fldChar w:fldCharType="begin"/>
        </w:r>
        <w:r>
          <w:rPr>
            <w:noProof/>
            <w:webHidden/>
          </w:rPr>
          <w:instrText xml:space="preserve"> PAGEREF _Toc354644458 \h </w:instrText>
        </w:r>
        <w:r>
          <w:rPr>
            <w:noProof/>
            <w:webHidden/>
          </w:rPr>
        </w:r>
        <w:r>
          <w:rPr>
            <w:noProof/>
            <w:webHidden/>
          </w:rPr>
          <w:fldChar w:fldCharType="separate"/>
        </w:r>
        <w:r>
          <w:rPr>
            <w:noProof/>
            <w:webHidden/>
          </w:rPr>
          <w:t>8</w:t>
        </w:r>
        <w:r>
          <w:rPr>
            <w:noProof/>
            <w:webHidden/>
          </w:rPr>
          <w:fldChar w:fldCharType="end"/>
        </w:r>
      </w:hyperlink>
    </w:p>
    <w:p w:rsidR="00A6008B" w:rsidRPr="007C0C4B" w:rsidRDefault="00A6008B" w:rsidP="00E91A96">
      <w:pPr>
        <w:tabs>
          <w:tab w:val="right" w:leader="dot" w:pos="9072"/>
        </w:tabs>
        <w:rPr>
          <w:rFonts w:eastAsia="MS Mincho"/>
          <w:noProof/>
          <w:sz w:val="8"/>
        </w:rPr>
      </w:pPr>
    </w:p>
    <w:p w:rsidR="00A6008B" w:rsidRDefault="00A6008B" w:rsidP="00E91A96">
      <w:pPr>
        <w:pStyle w:val="TOC2"/>
        <w:tabs>
          <w:tab w:val="left" w:pos="1349"/>
          <w:tab w:val="right" w:leader="dot" w:pos="9072"/>
          <w:tab w:val="right" w:leader="dot" w:pos="9118"/>
        </w:tabs>
        <w:rPr>
          <w:rFonts w:ascii="Calibri" w:eastAsia="MS Mincho" w:hAnsi="Calibri"/>
          <w:noProof/>
          <w:sz w:val="22"/>
          <w:szCs w:val="22"/>
          <w:lang w:eastAsia="ja-JP"/>
        </w:rPr>
      </w:pPr>
      <w:hyperlink w:anchor="_Toc354644459" w:history="1">
        <w:r w:rsidRPr="003517A8">
          <w:rPr>
            <w:rStyle w:val="Hyperlink"/>
            <w:noProof/>
          </w:rPr>
          <w:t>3.3</w:t>
        </w:r>
        <w:r>
          <w:rPr>
            <w:rFonts w:ascii="Calibri" w:eastAsia="MS Mincho" w:hAnsi="Calibri"/>
            <w:noProof/>
            <w:sz w:val="22"/>
            <w:szCs w:val="22"/>
            <w:lang w:eastAsia="ja-JP"/>
          </w:rPr>
          <w:tab/>
        </w:r>
        <w:r w:rsidRPr="003517A8">
          <w:rPr>
            <w:rStyle w:val="Hyperlink"/>
            <w:noProof/>
          </w:rPr>
          <w:t>Activity and Output Summary</w:t>
        </w:r>
        <w:r>
          <w:rPr>
            <w:noProof/>
            <w:webHidden/>
          </w:rPr>
          <w:tab/>
        </w:r>
        <w:r>
          <w:rPr>
            <w:noProof/>
            <w:webHidden/>
          </w:rPr>
          <w:fldChar w:fldCharType="begin"/>
        </w:r>
        <w:r>
          <w:rPr>
            <w:noProof/>
            <w:webHidden/>
          </w:rPr>
          <w:instrText xml:space="preserve"> PAGEREF _Toc354644459 \h </w:instrText>
        </w:r>
        <w:r>
          <w:rPr>
            <w:noProof/>
            <w:webHidden/>
          </w:rPr>
        </w:r>
        <w:r>
          <w:rPr>
            <w:noProof/>
            <w:webHidden/>
          </w:rPr>
          <w:fldChar w:fldCharType="separate"/>
        </w:r>
        <w:r>
          <w:rPr>
            <w:noProof/>
            <w:webHidden/>
          </w:rPr>
          <w:t>10</w:t>
        </w:r>
        <w:r>
          <w:rPr>
            <w:noProof/>
            <w:webHidden/>
          </w:rPr>
          <w:fldChar w:fldCharType="end"/>
        </w:r>
      </w:hyperlink>
    </w:p>
    <w:p w:rsidR="00A6008B" w:rsidRPr="007C0C4B" w:rsidRDefault="00A6008B" w:rsidP="00E91A96">
      <w:pPr>
        <w:tabs>
          <w:tab w:val="right" w:leader="dot" w:pos="9072"/>
        </w:tabs>
        <w:rPr>
          <w:rFonts w:eastAsia="MS Mincho"/>
          <w:noProof/>
          <w:sz w:val="8"/>
        </w:rPr>
      </w:pPr>
    </w:p>
    <w:p w:rsidR="00A6008B" w:rsidRDefault="00A6008B" w:rsidP="00E91A96">
      <w:pPr>
        <w:pStyle w:val="TOC2"/>
        <w:tabs>
          <w:tab w:val="left" w:pos="1349"/>
          <w:tab w:val="right" w:leader="dot" w:pos="9072"/>
          <w:tab w:val="right" w:leader="dot" w:pos="9118"/>
        </w:tabs>
        <w:rPr>
          <w:rFonts w:ascii="Calibri" w:eastAsia="MS Mincho" w:hAnsi="Calibri"/>
          <w:noProof/>
          <w:sz w:val="22"/>
          <w:szCs w:val="22"/>
          <w:lang w:eastAsia="ja-JP"/>
        </w:rPr>
      </w:pPr>
      <w:hyperlink w:anchor="_Toc354644464" w:history="1">
        <w:r w:rsidRPr="003517A8">
          <w:rPr>
            <w:rStyle w:val="Hyperlink"/>
            <w:noProof/>
          </w:rPr>
          <w:t>3.4</w:t>
        </w:r>
        <w:r>
          <w:rPr>
            <w:rFonts w:ascii="Calibri" w:eastAsia="MS Mincho" w:hAnsi="Calibri"/>
            <w:noProof/>
            <w:sz w:val="22"/>
            <w:szCs w:val="22"/>
            <w:lang w:eastAsia="ja-JP"/>
          </w:rPr>
          <w:tab/>
        </w:r>
        <w:r w:rsidRPr="003517A8">
          <w:rPr>
            <w:rStyle w:val="Hyperlink"/>
            <w:rFonts w:cs="Arial"/>
            <w:noProof/>
            <w:lang w:eastAsia="en-US"/>
          </w:rPr>
          <w:t>Additional Activities</w:t>
        </w:r>
        <w:r w:rsidRPr="003517A8">
          <w:rPr>
            <w:rStyle w:val="Hyperlink"/>
            <w:noProof/>
          </w:rPr>
          <w:t xml:space="preserve"> for Approval</w:t>
        </w:r>
        <w:r>
          <w:rPr>
            <w:noProof/>
            <w:webHidden/>
          </w:rPr>
          <w:tab/>
        </w:r>
        <w:r>
          <w:rPr>
            <w:noProof/>
            <w:webHidden/>
          </w:rPr>
          <w:fldChar w:fldCharType="begin"/>
        </w:r>
        <w:r>
          <w:rPr>
            <w:noProof/>
            <w:webHidden/>
          </w:rPr>
          <w:instrText xml:space="preserve"> PAGEREF _Toc354644464 \h </w:instrText>
        </w:r>
        <w:r>
          <w:rPr>
            <w:noProof/>
            <w:webHidden/>
          </w:rPr>
        </w:r>
        <w:r>
          <w:rPr>
            <w:noProof/>
            <w:webHidden/>
          </w:rPr>
          <w:fldChar w:fldCharType="separate"/>
        </w:r>
        <w:r>
          <w:rPr>
            <w:noProof/>
            <w:webHidden/>
          </w:rPr>
          <w:t>17</w:t>
        </w:r>
        <w:r>
          <w:rPr>
            <w:noProof/>
            <w:webHidden/>
          </w:rPr>
          <w:fldChar w:fldCharType="end"/>
        </w:r>
      </w:hyperlink>
    </w:p>
    <w:p w:rsidR="00A6008B" w:rsidRPr="007C0C4B" w:rsidRDefault="00A6008B" w:rsidP="00E91A96">
      <w:pPr>
        <w:tabs>
          <w:tab w:val="right" w:leader="dot" w:pos="9072"/>
        </w:tabs>
        <w:rPr>
          <w:rFonts w:eastAsia="MS Mincho"/>
          <w:noProof/>
          <w:sz w:val="8"/>
        </w:rPr>
      </w:pPr>
    </w:p>
    <w:p w:rsidR="00A6008B" w:rsidRDefault="00A6008B" w:rsidP="00E91A96">
      <w:pPr>
        <w:pStyle w:val="TOC2"/>
        <w:tabs>
          <w:tab w:val="left" w:pos="1349"/>
          <w:tab w:val="right" w:leader="dot" w:pos="9072"/>
          <w:tab w:val="right" w:leader="dot" w:pos="9118"/>
        </w:tabs>
        <w:rPr>
          <w:rFonts w:ascii="Calibri" w:eastAsia="MS Mincho" w:hAnsi="Calibri"/>
          <w:noProof/>
          <w:sz w:val="22"/>
          <w:szCs w:val="22"/>
          <w:lang w:eastAsia="ja-JP"/>
        </w:rPr>
      </w:pPr>
      <w:hyperlink w:anchor="_Toc354644465" w:history="1">
        <w:r w:rsidRPr="003517A8">
          <w:rPr>
            <w:rStyle w:val="Hyperlink"/>
            <w:noProof/>
          </w:rPr>
          <w:t>3.5</w:t>
        </w:r>
        <w:r>
          <w:rPr>
            <w:rFonts w:ascii="Calibri" w:eastAsia="MS Mincho" w:hAnsi="Calibri"/>
            <w:noProof/>
            <w:sz w:val="22"/>
            <w:szCs w:val="22"/>
            <w:lang w:eastAsia="ja-JP"/>
          </w:rPr>
          <w:tab/>
        </w:r>
        <w:r w:rsidRPr="003517A8">
          <w:rPr>
            <w:rStyle w:val="Hyperlink"/>
            <w:noProof/>
          </w:rPr>
          <w:t>Component 5.0:   Programme Management</w:t>
        </w:r>
        <w:r>
          <w:rPr>
            <w:noProof/>
            <w:webHidden/>
          </w:rPr>
          <w:tab/>
        </w:r>
        <w:r>
          <w:rPr>
            <w:noProof/>
            <w:webHidden/>
          </w:rPr>
          <w:fldChar w:fldCharType="begin"/>
        </w:r>
        <w:r>
          <w:rPr>
            <w:noProof/>
            <w:webHidden/>
          </w:rPr>
          <w:instrText xml:space="preserve"> PAGEREF _Toc354644465 \h </w:instrText>
        </w:r>
        <w:r>
          <w:rPr>
            <w:noProof/>
            <w:webHidden/>
          </w:rPr>
        </w:r>
        <w:r>
          <w:rPr>
            <w:noProof/>
            <w:webHidden/>
          </w:rPr>
          <w:fldChar w:fldCharType="separate"/>
        </w:r>
        <w:r>
          <w:rPr>
            <w:noProof/>
            <w:webHidden/>
          </w:rPr>
          <w:t>19</w:t>
        </w:r>
        <w:r>
          <w:rPr>
            <w:noProof/>
            <w:webHidden/>
          </w:rPr>
          <w:fldChar w:fldCharType="end"/>
        </w:r>
      </w:hyperlink>
    </w:p>
    <w:p w:rsidR="00A6008B" w:rsidRPr="007C0C4B" w:rsidRDefault="00A6008B" w:rsidP="00E91A96">
      <w:pPr>
        <w:tabs>
          <w:tab w:val="right" w:leader="dot" w:pos="9072"/>
        </w:tabs>
        <w:rPr>
          <w:rFonts w:eastAsia="MS Mincho"/>
          <w:noProof/>
          <w:sz w:val="16"/>
        </w:rPr>
      </w:pPr>
    </w:p>
    <w:p w:rsidR="00A6008B" w:rsidRDefault="00A6008B" w:rsidP="00E91A96">
      <w:pPr>
        <w:pStyle w:val="TOC1"/>
        <w:rPr>
          <w:rFonts w:ascii="Calibri" w:eastAsia="MS Mincho" w:hAnsi="Calibri"/>
          <w:noProof/>
          <w:sz w:val="22"/>
          <w:szCs w:val="22"/>
          <w:lang w:eastAsia="ja-JP"/>
        </w:rPr>
      </w:pPr>
      <w:hyperlink w:anchor="_Toc354644466" w:history="1">
        <w:r w:rsidRPr="003517A8">
          <w:rPr>
            <w:rStyle w:val="Hyperlink"/>
            <w:noProof/>
          </w:rPr>
          <w:t>4.0</w:t>
        </w:r>
        <w:r>
          <w:rPr>
            <w:rFonts w:ascii="Calibri" w:eastAsia="MS Mincho" w:hAnsi="Calibri"/>
            <w:noProof/>
            <w:sz w:val="22"/>
            <w:szCs w:val="22"/>
            <w:lang w:eastAsia="ja-JP"/>
          </w:rPr>
          <w:tab/>
        </w:r>
        <w:r w:rsidRPr="003517A8">
          <w:rPr>
            <w:rStyle w:val="Hyperlink"/>
            <w:noProof/>
          </w:rPr>
          <w:t>Monitoring and Evaluation</w:t>
        </w:r>
        <w:r>
          <w:rPr>
            <w:noProof/>
            <w:webHidden/>
          </w:rPr>
          <w:tab/>
        </w:r>
        <w:r>
          <w:rPr>
            <w:noProof/>
            <w:webHidden/>
          </w:rPr>
          <w:fldChar w:fldCharType="begin"/>
        </w:r>
        <w:r>
          <w:rPr>
            <w:noProof/>
            <w:webHidden/>
          </w:rPr>
          <w:instrText xml:space="preserve"> PAGEREF _Toc354644466 \h </w:instrText>
        </w:r>
        <w:r>
          <w:rPr>
            <w:noProof/>
            <w:webHidden/>
          </w:rPr>
        </w:r>
        <w:r>
          <w:rPr>
            <w:noProof/>
            <w:webHidden/>
          </w:rPr>
          <w:fldChar w:fldCharType="separate"/>
        </w:r>
        <w:r>
          <w:rPr>
            <w:noProof/>
            <w:webHidden/>
          </w:rPr>
          <w:t>20</w:t>
        </w:r>
        <w:r>
          <w:rPr>
            <w:noProof/>
            <w:webHidden/>
          </w:rPr>
          <w:fldChar w:fldCharType="end"/>
        </w:r>
      </w:hyperlink>
    </w:p>
    <w:p w:rsidR="00A6008B" w:rsidRPr="007C0C4B" w:rsidRDefault="00A6008B" w:rsidP="00E91A96">
      <w:pPr>
        <w:tabs>
          <w:tab w:val="right" w:leader="dot" w:pos="9072"/>
        </w:tabs>
        <w:rPr>
          <w:rFonts w:eastAsia="MS Mincho"/>
          <w:noProof/>
          <w:sz w:val="8"/>
        </w:rPr>
      </w:pPr>
    </w:p>
    <w:p w:rsidR="00A6008B" w:rsidRDefault="00A6008B" w:rsidP="00E91A96">
      <w:pPr>
        <w:pStyle w:val="TOC2"/>
        <w:tabs>
          <w:tab w:val="left" w:pos="1349"/>
          <w:tab w:val="right" w:leader="dot" w:pos="9072"/>
          <w:tab w:val="right" w:leader="dot" w:pos="9118"/>
        </w:tabs>
        <w:rPr>
          <w:rFonts w:ascii="Calibri" w:eastAsia="MS Mincho" w:hAnsi="Calibri"/>
          <w:noProof/>
          <w:sz w:val="22"/>
          <w:szCs w:val="22"/>
          <w:lang w:eastAsia="ja-JP"/>
        </w:rPr>
      </w:pPr>
      <w:hyperlink w:anchor="_Toc354644467" w:history="1">
        <w:r w:rsidRPr="003517A8">
          <w:rPr>
            <w:rStyle w:val="Hyperlink"/>
            <w:noProof/>
          </w:rPr>
          <w:t>4.1</w:t>
        </w:r>
        <w:r>
          <w:rPr>
            <w:rFonts w:ascii="Calibri" w:eastAsia="MS Mincho" w:hAnsi="Calibri"/>
            <w:noProof/>
            <w:sz w:val="22"/>
            <w:szCs w:val="22"/>
            <w:lang w:eastAsia="ja-JP"/>
          </w:rPr>
          <w:tab/>
        </w:r>
        <w:r w:rsidRPr="003517A8">
          <w:rPr>
            <w:rStyle w:val="Hyperlink"/>
            <w:noProof/>
          </w:rPr>
          <w:t>Reporting and Milestones</w:t>
        </w:r>
        <w:r>
          <w:rPr>
            <w:noProof/>
            <w:webHidden/>
          </w:rPr>
          <w:tab/>
        </w:r>
        <w:r>
          <w:rPr>
            <w:noProof/>
            <w:webHidden/>
          </w:rPr>
          <w:fldChar w:fldCharType="begin"/>
        </w:r>
        <w:r>
          <w:rPr>
            <w:noProof/>
            <w:webHidden/>
          </w:rPr>
          <w:instrText xml:space="preserve"> PAGEREF _Toc354644467 \h </w:instrText>
        </w:r>
        <w:r>
          <w:rPr>
            <w:noProof/>
            <w:webHidden/>
          </w:rPr>
        </w:r>
        <w:r>
          <w:rPr>
            <w:noProof/>
            <w:webHidden/>
          </w:rPr>
          <w:fldChar w:fldCharType="separate"/>
        </w:r>
        <w:r>
          <w:rPr>
            <w:noProof/>
            <w:webHidden/>
          </w:rPr>
          <w:t>20</w:t>
        </w:r>
        <w:r>
          <w:rPr>
            <w:noProof/>
            <w:webHidden/>
          </w:rPr>
          <w:fldChar w:fldCharType="end"/>
        </w:r>
      </w:hyperlink>
    </w:p>
    <w:p w:rsidR="00A6008B" w:rsidRPr="007C0C4B" w:rsidRDefault="00A6008B" w:rsidP="00E91A96">
      <w:pPr>
        <w:tabs>
          <w:tab w:val="right" w:leader="dot" w:pos="9072"/>
        </w:tabs>
        <w:rPr>
          <w:rFonts w:eastAsia="MS Mincho"/>
          <w:noProof/>
          <w:sz w:val="8"/>
        </w:rPr>
      </w:pPr>
    </w:p>
    <w:p w:rsidR="00A6008B" w:rsidRDefault="00A6008B" w:rsidP="00E91A96">
      <w:pPr>
        <w:pStyle w:val="TOC2"/>
        <w:tabs>
          <w:tab w:val="left" w:pos="1349"/>
          <w:tab w:val="right" w:leader="dot" w:pos="9072"/>
          <w:tab w:val="right" w:leader="dot" w:pos="9118"/>
        </w:tabs>
        <w:rPr>
          <w:rFonts w:ascii="Calibri" w:eastAsia="MS Mincho" w:hAnsi="Calibri"/>
          <w:noProof/>
          <w:sz w:val="22"/>
          <w:szCs w:val="22"/>
          <w:lang w:eastAsia="ja-JP"/>
        </w:rPr>
      </w:pPr>
      <w:hyperlink w:anchor="_Toc354644468" w:history="1">
        <w:r w:rsidRPr="003517A8">
          <w:rPr>
            <w:rStyle w:val="Hyperlink"/>
            <w:noProof/>
          </w:rPr>
          <w:t>4.2</w:t>
        </w:r>
        <w:r>
          <w:rPr>
            <w:rFonts w:ascii="Calibri" w:eastAsia="MS Mincho" w:hAnsi="Calibri"/>
            <w:noProof/>
            <w:sz w:val="22"/>
            <w:szCs w:val="22"/>
            <w:lang w:eastAsia="ja-JP"/>
          </w:rPr>
          <w:tab/>
        </w:r>
        <w:r w:rsidRPr="003517A8">
          <w:rPr>
            <w:rStyle w:val="Hyperlink"/>
            <w:noProof/>
          </w:rPr>
          <w:t>Risk Analysis and Management</w:t>
        </w:r>
        <w:r>
          <w:rPr>
            <w:noProof/>
            <w:webHidden/>
          </w:rPr>
          <w:tab/>
        </w:r>
        <w:r>
          <w:rPr>
            <w:noProof/>
            <w:webHidden/>
          </w:rPr>
          <w:fldChar w:fldCharType="begin"/>
        </w:r>
        <w:r>
          <w:rPr>
            <w:noProof/>
            <w:webHidden/>
          </w:rPr>
          <w:instrText xml:space="preserve"> PAGEREF _Toc354644468 \h </w:instrText>
        </w:r>
        <w:r>
          <w:rPr>
            <w:noProof/>
            <w:webHidden/>
          </w:rPr>
        </w:r>
        <w:r>
          <w:rPr>
            <w:noProof/>
            <w:webHidden/>
          </w:rPr>
          <w:fldChar w:fldCharType="separate"/>
        </w:r>
        <w:r>
          <w:rPr>
            <w:noProof/>
            <w:webHidden/>
          </w:rPr>
          <w:t>21</w:t>
        </w:r>
        <w:r>
          <w:rPr>
            <w:noProof/>
            <w:webHidden/>
          </w:rPr>
          <w:fldChar w:fldCharType="end"/>
        </w:r>
      </w:hyperlink>
    </w:p>
    <w:p w:rsidR="00A6008B" w:rsidRPr="007C0C4B" w:rsidRDefault="00A6008B" w:rsidP="00E91A96">
      <w:pPr>
        <w:tabs>
          <w:tab w:val="right" w:leader="dot" w:pos="9072"/>
        </w:tabs>
        <w:rPr>
          <w:rFonts w:eastAsia="MS Mincho"/>
          <w:noProof/>
          <w:sz w:val="16"/>
        </w:rPr>
      </w:pPr>
    </w:p>
    <w:p w:rsidR="00A6008B" w:rsidRDefault="00A6008B" w:rsidP="00E91A96">
      <w:pPr>
        <w:pStyle w:val="TOC1"/>
        <w:rPr>
          <w:rFonts w:ascii="Calibri" w:eastAsia="MS Mincho" w:hAnsi="Calibri"/>
          <w:noProof/>
          <w:sz w:val="22"/>
          <w:szCs w:val="22"/>
          <w:lang w:eastAsia="ja-JP"/>
        </w:rPr>
      </w:pPr>
      <w:hyperlink w:anchor="_Toc354644469" w:history="1">
        <w:r w:rsidRPr="003517A8">
          <w:rPr>
            <w:rStyle w:val="Hyperlink"/>
            <w:noProof/>
          </w:rPr>
          <w:t>5.0</w:t>
        </w:r>
        <w:r>
          <w:rPr>
            <w:rFonts w:ascii="Calibri" w:eastAsia="MS Mincho" w:hAnsi="Calibri"/>
            <w:noProof/>
            <w:sz w:val="22"/>
            <w:szCs w:val="22"/>
            <w:lang w:eastAsia="ja-JP"/>
          </w:rPr>
          <w:tab/>
        </w:r>
        <w:r w:rsidRPr="003517A8">
          <w:rPr>
            <w:rStyle w:val="Hyperlink"/>
            <w:noProof/>
          </w:rPr>
          <w:t>Expenditure Summary</w:t>
        </w:r>
        <w:r>
          <w:rPr>
            <w:noProof/>
            <w:webHidden/>
          </w:rPr>
          <w:tab/>
        </w:r>
        <w:r>
          <w:rPr>
            <w:noProof/>
            <w:webHidden/>
          </w:rPr>
          <w:fldChar w:fldCharType="begin"/>
        </w:r>
        <w:r>
          <w:rPr>
            <w:noProof/>
            <w:webHidden/>
          </w:rPr>
          <w:instrText xml:space="preserve"> PAGEREF _Toc354644469 \h </w:instrText>
        </w:r>
        <w:r>
          <w:rPr>
            <w:noProof/>
            <w:webHidden/>
          </w:rPr>
        </w:r>
        <w:r>
          <w:rPr>
            <w:noProof/>
            <w:webHidden/>
          </w:rPr>
          <w:fldChar w:fldCharType="separate"/>
        </w:r>
        <w:r>
          <w:rPr>
            <w:noProof/>
            <w:webHidden/>
          </w:rPr>
          <w:t>22</w:t>
        </w:r>
        <w:r>
          <w:rPr>
            <w:noProof/>
            <w:webHidden/>
          </w:rPr>
          <w:fldChar w:fldCharType="end"/>
        </w:r>
      </w:hyperlink>
    </w:p>
    <w:p w:rsidR="00A6008B" w:rsidRPr="007C0C4B" w:rsidRDefault="00A6008B" w:rsidP="00E91A96">
      <w:pPr>
        <w:pStyle w:val="TOC1"/>
        <w:rPr>
          <w:rStyle w:val="Hyperlink"/>
          <w:noProof/>
          <w:sz w:val="20"/>
        </w:rPr>
      </w:pPr>
    </w:p>
    <w:p w:rsidR="00A6008B" w:rsidRPr="007C0C4B" w:rsidRDefault="00A6008B" w:rsidP="00E91A96">
      <w:pPr>
        <w:pStyle w:val="TOC1"/>
        <w:rPr>
          <w:rStyle w:val="Hyperlink"/>
          <w:noProof/>
          <w:sz w:val="20"/>
        </w:rPr>
      </w:pPr>
    </w:p>
    <w:p w:rsidR="00A6008B" w:rsidRDefault="00A6008B" w:rsidP="00E91A96">
      <w:pPr>
        <w:pStyle w:val="TOC1"/>
        <w:rPr>
          <w:rStyle w:val="Hyperlink"/>
          <w:noProof/>
        </w:rPr>
      </w:pPr>
      <w:hyperlink w:anchor="_Toc354644470" w:history="1">
        <w:r w:rsidRPr="003517A8">
          <w:rPr>
            <w:rStyle w:val="Hyperlink"/>
            <w:noProof/>
          </w:rPr>
          <w:t>Annexes</w:t>
        </w:r>
      </w:hyperlink>
    </w:p>
    <w:p w:rsidR="00A6008B" w:rsidRPr="007C0C4B" w:rsidRDefault="00A6008B" w:rsidP="00E91A96">
      <w:pPr>
        <w:tabs>
          <w:tab w:val="right" w:leader="dot" w:pos="9072"/>
        </w:tabs>
        <w:rPr>
          <w:rFonts w:eastAsia="MS Mincho"/>
          <w:noProof/>
          <w:sz w:val="16"/>
        </w:rPr>
      </w:pPr>
    </w:p>
    <w:p w:rsidR="00A6008B" w:rsidRDefault="00A6008B" w:rsidP="00E91A96">
      <w:pPr>
        <w:pStyle w:val="TOC1"/>
        <w:rPr>
          <w:rFonts w:ascii="Calibri" w:eastAsia="MS Mincho" w:hAnsi="Calibri"/>
          <w:noProof/>
          <w:sz w:val="22"/>
          <w:szCs w:val="22"/>
          <w:lang w:eastAsia="ja-JP"/>
        </w:rPr>
      </w:pPr>
      <w:hyperlink w:anchor="_Toc354644471" w:history="1">
        <w:r w:rsidRPr="003517A8">
          <w:rPr>
            <w:rStyle w:val="Hyperlink"/>
            <w:noProof/>
          </w:rPr>
          <w:t>Annex One - Indicative Results Diagram and Framework</w:t>
        </w:r>
        <w:r>
          <w:rPr>
            <w:noProof/>
            <w:webHidden/>
          </w:rPr>
          <w:tab/>
          <w:t>A1-</w:t>
        </w:r>
        <w:r>
          <w:rPr>
            <w:noProof/>
            <w:webHidden/>
          </w:rPr>
          <w:fldChar w:fldCharType="begin"/>
        </w:r>
        <w:r>
          <w:rPr>
            <w:noProof/>
            <w:webHidden/>
          </w:rPr>
          <w:instrText xml:space="preserve"> PAGEREF _Toc354644471 \h </w:instrText>
        </w:r>
        <w:r>
          <w:rPr>
            <w:noProof/>
            <w:webHidden/>
          </w:rPr>
        </w:r>
        <w:r>
          <w:rPr>
            <w:noProof/>
            <w:webHidden/>
          </w:rPr>
          <w:fldChar w:fldCharType="separate"/>
        </w:r>
        <w:r>
          <w:rPr>
            <w:noProof/>
            <w:webHidden/>
          </w:rPr>
          <w:t>1</w:t>
        </w:r>
        <w:r>
          <w:rPr>
            <w:noProof/>
            <w:webHidden/>
          </w:rPr>
          <w:fldChar w:fldCharType="end"/>
        </w:r>
      </w:hyperlink>
    </w:p>
    <w:p w:rsidR="00A6008B" w:rsidRPr="007C0C4B" w:rsidRDefault="00A6008B" w:rsidP="00E91A96">
      <w:pPr>
        <w:tabs>
          <w:tab w:val="right" w:leader="dot" w:pos="9072"/>
        </w:tabs>
        <w:rPr>
          <w:rFonts w:eastAsia="MS Mincho"/>
          <w:noProof/>
          <w:sz w:val="16"/>
        </w:rPr>
      </w:pPr>
    </w:p>
    <w:p w:rsidR="00A6008B" w:rsidRDefault="00A6008B" w:rsidP="00E91A96">
      <w:pPr>
        <w:pStyle w:val="TOC1"/>
        <w:rPr>
          <w:rFonts w:ascii="Calibri" w:eastAsia="MS Mincho" w:hAnsi="Calibri"/>
          <w:noProof/>
          <w:sz w:val="22"/>
          <w:szCs w:val="22"/>
          <w:lang w:eastAsia="ja-JP"/>
        </w:rPr>
      </w:pPr>
      <w:hyperlink w:anchor="_Toc354644472" w:history="1">
        <w:r w:rsidRPr="003517A8">
          <w:rPr>
            <w:rStyle w:val="Hyperlink"/>
            <w:noProof/>
          </w:rPr>
          <w:t>Annex Two - Number of Activities: Comparative Assessment</w:t>
        </w:r>
        <w:r>
          <w:rPr>
            <w:noProof/>
            <w:webHidden/>
          </w:rPr>
          <w:tab/>
        </w:r>
        <w:r w:rsidRPr="007C0C4B">
          <w:rPr>
            <w:noProof/>
            <w:webHidden/>
          </w:rPr>
          <w:t>A</w:t>
        </w:r>
        <w:r>
          <w:rPr>
            <w:noProof/>
            <w:webHidden/>
          </w:rPr>
          <w:t>2</w:t>
        </w:r>
        <w:r w:rsidRPr="007C0C4B">
          <w:rPr>
            <w:noProof/>
            <w:webHidden/>
          </w:rPr>
          <w:t>-</w:t>
        </w:r>
        <w:r>
          <w:rPr>
            <w:noProof/>
            <w:webHidden/>
          </w:rPr>
          <w:fldChar w:fldCharType="begin"/>
        </w:r>
        <w:r>
          <w:rPr>
            <w:noProof/>
            <w:webHidden/>
          </w:rPr>
          <w:instrText xml:space="preserve"> PAGEREF _Toc354644472 \h </w:instrText>
        </w:r>
        <w:r>
          <w:rPr>
            <w:noProof/>
            <w:webHidden/>
          </w:rPr>
        </w:r>
        <w:r>
          <w:rPr>
            <w:noProof/>
            <w:webHidden/>
          </w:rPr>
          <w:fldChar w:fldCharType="separate"/>
        </w:r>
        <w:r>
          <w:rPr>
            <w:noProof/>
            <w:webHidden/>
          </w:rPr>
          <w:t>1</w:t>
        </w:r>
        <w:r>
          <w:rPr>
            <w:noProof/>
            <w:webHidden/>
          </w:rPr>
          <w:fldChar w:fldCharType="end"/>
        </w:r>
      </w:hyperlink>
    </w:p>
    <w:p w:rsidR="00A6008B" w:rsidRPr="007C0C4B" w:rsidRDefault="00A6008B" w:rsidP="00E91A96">
      <w:pPr>
        <w:tabs>
          <w:tab w:val="right" w:leader="dot" w:pos="9072"/>
        </w:tabs>
        <w:rPr>
          <w:rFonts w:eastAsia="MS Mincho"/>
          <w:noProof/>
          <w:sz w:val="16"/>
        </w:rPr>
      </w:pPr>
    </w:p>
    <w:p w:rsidR="00A6008B" w:rsidRDefault="00A6008B" w:rsidP="00E91A96">
      <w:pPr>
        <w:pStyle w:val="TOC1"/>
        <w:rPr>
          <w:rFonts w:ascii="Calibri" w:eastAsia="MS Mincho" w:hAnsi="Calibri"/>
          <w:noProof/>
          <w:sz w:val="22"/>
          <w:szCs w:val="22"/>
          <w:lang w:eastAsia="ja-JP"/>
        </w:rPr>
      </w:pPr>
      <w:hyperlink w:anchor="_Toc354644473" w:history="1">
        <w:r w:rsidRPr="003517A8">
          <w:rPr>
            <w:rStyle w:val="Hyperlink"/>
            <w:noProof/>
          </w:rPr>
          <w:t>Annex Three - Indicative Additional Activity Budgets</w:t>
        </w:r>
        <w:r>
          <w:rPr>
            <w:noProof/>
            <w:webHidden/>
          </w:rPr>
          <w:tab/>
          <w:t>A3</w:t>
        </w:r>
        <w:r w:rsidRPr="007C0C4B">
          <w:rPr>
            <w:noProof/>
            <w:webHidden/>
          </w:rPr>
          <w:t>-</w:t>
        </w:r>
        <w:r>
          <w:rPr>
            <w:noProof/>
            <w:webHidden/>
          </w:rPr>
          <w:fldChar w:fldCharType="begin"/>
        </w:r>
        <w:r>
          <w:rPr>
            <w:noProof/>
            <w:webHidden/>
          </w:rPr>
          <w:instrText xml:space="preserve"> PAGEREF _Toc354644473 \h </w:instrText>
        </w:r>
        <w:r>
          <w:rPr>
            <w:noProof/>
            <w:webHidden/>
          </w:rPr>
        </w:r>
        <w:r>
          <w:rPr>
            <w:noProof/>
            <w:webHidden/>
          </w:rPr>
          <w:fldChar w:fldCharType="separate"/>
        </w:r>
        <w:r>
          <w:rPr>
            <w:noProof/>
            <w:webHidden/>
          </w:rPr>
          <w:t>1</w:t>
        </w:r>
        <w:r>
          <w:rPr>
            <w:noProof/>
            <w:webHidden/>
          </w:rPr>
          <w:fldChar w:fldCharType="end"/>
        </w:r>
      </w:hyperlink>
    </w:p>
    <w:p w:rsidR="00A6008B" w:rsidRPr="007C0C4B" w:rsidRDefault="00A6008B" w:rsidP="00E91A96">
      <w:pPr>
        <w:tabs>
          <w:tab w:val="right" w:leader="dot" w:pos="9072"/>
        </w:tabs>
        <w:rPr>
          <w:rFonts w:eastAsia="MS Mincho"/>
          <w:noProof/>
          <w:sz w:val="16"/>
        </w:rPr>
      </w:pPr>
    </w:p>
    <w:p w:rsidR="00A6008B" w:rsidRDefault="00A6008B" w:rsidP="00E91A96">
      <w:pPr>
        <w:pStyle w:val="TOC1"/>
        <w:rPr>
          <w:rFonts w:ascii="Calibri" w:eastAsia="MS Mincho" w:hAnsi="Calibri"/>
          <w:noProof/>
          <w:sz w:val="22"/>
          <w:szCs w:val="22"/>
          <w:lang w:eastAsia="ja-JP"/>
        </w:rPr>
      </w:pPr>
      <w:hyperlink w:anchor="_Toc354644474" w:history="1">
        <w:r w:rsidRPr="003517A8">
          <w:rPr>
            <w:rStyle w:val="Hyperlink"/>
            <w:noProof/>
          </w:rPr>
          <w:t xml:space="preserve">Annex Four - </w:t>
        </w:r>
        <w:r w:rsidRPr="003517A8">
          <w:rPr>
            <w:rStyle w:val="Hyperlink"/>
            <w:iCs/>
            <w:noProof/>
          </w:rPr>
          <w:t>Indicative 24-month Extension Period Work Plan</w:t>
        </w:r>
        <w:r>
          <w:rPr>
            <w:noProof/>
            <w:webHidden/>
          </w:rPr>
          <w:tab/>
          <w:t>A4</w:t>
        </w:r>
        <w:r w:rsidRPr="007C0C4B">
          <w:rPr>
            <w:noProof/>
            <w:webHidden/>
          </w:rPr>
          <w:t>-</w:t>
        </w:r>
        <w:r>
          <w:rPr>
            <w:noProof/>
            <w:webHidden/>
          </w:rPr>
          <w:fldChar w:fldCharType="begin"/>
        </w:r>
        <w:r>
          <w:rPr>
            <w:noProof/>
            <w:webHidden/>
          </w:rPr>
          <w:instrText xml:space="preserve"> PAGEREF _Toc354644474 \h </w:instrText>
        </w:r>
        <w:r>
          <w:rPr>
            <w:noProof/>
            <w:webHidden/>
          </w:rPr>
        </w:r>
        <w:r>
          <w:rPr>
            <w:noProof/>
            <w:webHidden/>
          </w:rPr>
          <w:fldChar w:fldCharType="separate"/>
        </w:r>
        <w:r>
          <w:rPr>
            <w:noProof/>
            <w:webHidden/>
          </w:rPr>
          <w:t>1</w:t>
        </w:r>
        <w:r>
          <w:rPr>
            <w:noProof/>
            <w:webHidden/>
          </w:rPr>
          <w:fldChar w:fldCharType="end"/>
        </w:r>
      </w:hyperlink>
    </w:p>
    <w:p w:rsidR="00A6008B" w:rsidRPr="007C0C4B" w:rsidRDefault="00A6008B" w:rsidP="00E91A96">
      <w:pPr>
        <w:tabs>
          <w:tab w:val="right" w:leader="dot" w:pos="9072"/>
        </w:tabs>
        <w:rPr>
          <w:rFonts w:eastAsia="MS Mincho"/>
          <w:noProof/>
          <w:sz w:val="16"/>
        </w:rPr>
      </w:pPr>
    </w:p>
    <w:p w:rsidR="00A6008B" w:rsidRDefault="00A6008B" w:rsidP="00E91A96">
      <w:pPr>
        <w:pStyle w:val="TOC1"/>
        <w:rPr>
          <w:rFonts w:ascii="Calibri" w:eastAsia="MS Mincho" w:hAnsi="Calibri"/>
          <w:noProof/>
          <w:sz w:val="22"/>
          <w:szCs w:val="22"/>
          <w:lang w:eastAsia="ja-JP"/>
        </w:rPr>
      </w:pPr>
      <w:hyperlink w:anchor="_Toc354644475" w:history="1">
        <w:r w:rsidRPr="003517A8">
          <w:rPr>
            <w:rStyle w:val="Hyperlink"/>
            <w:noProof/>
          </w:rPr>
          <w:t>Annex Five - 24-month Extension Period Budget</w:t>
        </w:r>
        <w:r>
          <w:rPr>
            <w:noProof/>
            <w:webHidden/>
          </w:rPr>
          <w:tab/>
          <w:t>A5</w:t>
        </w:r>
        <w:r w:rsidRPr="007C0C4B">
          <w:rPr>
            <w:noProof/>
            <w:webHidden/>
          </w:rPr>
          <w:t>-</w:t>
        </w:r>
        <w:r>
          <w:rPr>
            <w:noProof/>
            <w:webHidden/>
          </w:rPr>
          <w:fldChar w:fldCharType="begin"/>
        </w:r>
        <w:r>
          <w:rPr>
            <w:noProof/>
            <w:webHidden/>
          </w:rPr>
          <w:instrText xml:space="preserve"> PAGEREF _Toc354644475 \h </w:instrText>
        </w:r>
        <w:r>
          <w:rPr>
            <w:noProof/>
            <w:webHidden/>
          </w:rPr>
        </w:r>
        <w:r>
          <w:rPr>
            <w:noProof/>
            <w:webHidden/>
          </w:rPr>
          <w:fldChar w:fldCharType="separate"/>
        </w:r>
        <w:r>
          <w:rPr>
            <w:noProof/>
            <w:webHidden/>
          </w:rPr>
          <w:t>1</w:t>
        </w:r>
        <w:r>
          <w:rPr>
            <w:noProof/>
            <w:webHidden/>
          </w:rPr>
          <w:fldChar w:fldCharType="end"/>
        </w:r>
      </w:hyperlink>
    </w:p>
    <w:p w:rsidR="00A6008B" w:rsidRPr="00E92571" w:rsidRDefault="00A6008B" w:rsidP="00E91A96">
      <w:pPr>
        <w:pStyle w:val="Heading1"/>
        <w:tabs>
          <w:tab w:val="right" w:leader="dot" w:pos="9072"/>
        </w:tabs>
        <w:jc w:val="center"/>
        <w:rPr>
          <w:lang w:val="en-AU"/>
        </w:rPr>
      </w:pPr>
      <w:r w:rsidRPr="00E92571">
        <w:rPr>
          <w:szCs w:val="23"/>
        </w:rPr>
        <w:fldChar w:fldCharType="end"/>
      </w:r>
      <w:r w:rsidRPr="00E92571">
        <w:rPr>
          <w:lang w:val="en-AU"/>
        </w:rPr>
        <w:br w:type="page"/>
      </w:r>
      <w:bookmarkStart w:id="26" w:name="_Toc354644441"/>
      <w:r w:rsidRPr="00E92571">
        <w:rPr>
          <w:lang w:val="en-AU"/>
        </w:rPr>
        <w:t>Abbreviations and Acronyms</w:t>
      </w:r>
      <w:bookmarkEnd w:id="26"/>
    </w:p>
    <w:p w:rsidR="00A6008B" w:rsidRPr="00E92571" w:rsidRDefault="00A6008B" w:rsidP="00D941F6">
      <w:pPr>
        <w:rPr>
          <w:kern w:val="32"/>
          <w:lang w:eastAsia="en-US"/>
        </w:rPr>
      </w:pPr>
    </w:p>
    <w:tbl>
      <w:tblPr>
        <w:tblW w:w="7905" w:type="dxa"/>
        <w:jc w:val="center"/>
        <w:tblLayout w:type="fixed"/>
        <w:tblCellMar>
          <w:left w:w="10" w:type="dxa"/>
          <w:right w:w="10" w:type="dxa"/>
        </w:tblCellMar>
        <w:tblLook w:val="0000"/>
      </w:tblPr>
      <w:tblGrid>
        <w:gridCol w:w="1383"/>
        <w:gridCol w:w="281"/>
        <w:gridCol w:w="6241"/>
      </w:tblGrid>
      <w:tr w:rsidR="00A6008B" w:rsidRPr="00E92571" w:rsidTr="00A10125">
        <w:trPr>
          <w:jc w:val="center"/>
        </w:trPr>
        <w:tc>
          <w:tcPr>
            <w:tcW w:w="1383" w:type="dxa"/>
            <w:tcMar>
              <w:top w:w="0" w:type="dxa"/>
              <w:left w:w="108" w:type="dxa"/>
              <w:bottom w:w="0" w:type="dxa"/>
              <w:right w:w="108" w:type="dxa"/>
            </w:tcMar>
          </w:tcPr>
          <w:p w:rsidR="00A6008B" w:rsidRPr="00E92571" w:rsidRDefault="00A6008B" w:rsidP="00CB5421">
            <w:pPr>
              <w:spacing w:before="40" w:after="40"/>
              <w:jc w:val="right"/>
              <w:rPr>
                <w:rFonts w:cs="Arial"/>
                <w:kern w:val="3"/>
                <w:szCs w:val="23"/>
                <w:lang w:eastAsia="zh-CN" w:bidi="hi-IN"/>
              </w:rPr>
            </w:pPr>
            <w:r w:rsidRPr="00E92571">
              <w:rPr>
                <w:kern w:val="3"/>
                <w:szCs w:val="23"/>
                <w:lang w:eastAsia="zh-CN" w:bidi="hi-IN"/>
              </w:rPr>
              <w:t>AusAID</w:t>
            </w:r>
          </w:p>
        </w:tc>
        <w:tc>
          <w:tcPr>
            <w:tcW w:w="281" w:type="dxa"/>
            <w:tcMar>
              <w:top w:w="0" w:type="dxa"/>
              <w:left w:w="108" w:type="dxa"/>
              <w:bottom w:w="0" w:type="dxa"/>
              <w:right w:w="108" w:type="dxa"/>
            </w:tcMar>
          </w:tcPr>
          <w:p w:rsidR="00A6008B" w:rsidRPr="00E92571" w:rsidRDefault="00A6008B" w:rsidP="00CB5421">
            <w:pPr>
              <w:spacing w:before="40" w:after="40"/>
              <w:rPr>
                <w:rFonts w:cs="Arial"/>
                <w:kern w:val="3"/>
                <w:szCs w:val="23"/>
                <w:lang w:eastAsia="zh-CN" w:bidi="hi-IN"/>
              </w:rPr>
            </w:pPr>
            <w:r w:rsidRPr="00E92571">
              <w:rPr>
                <w:kern w:val="3"/>
                <w:szCs w:val="23"/>
                <w:lang w:eastAsia="zh-CN" w:bidi="hi-IN"/>
              </w:rPr>
              <w:t>-</w:t>
            </w:r>
          </w:p>
        </w:tc>
        <w:tc>
          <w:tcPr>
            <w:tcW w:w="6241" w:type="dxa"/>
            <w:tcMar>
              <w:top w:w="0" w:type="dxa"/>
              <w:left w:w="108" w:type="dxa"/>
              <w:bottom w:w="0" w:type="dxa"/>
              <w:right w:w="108" w:type="dxa"/>
            </w:tcMar>
          </w:tcPr>
          <w:p w:rsidR="00A6008B" w:rsidRPr="00E92571" w:rsidRDefault="00A6008B" w:rsidP="00CB5421">
            <w:pPr>
              <w:spacing w:before="40" w:after="40"/>
              <w:rPr>
                <w:rFonts w:cs="Arial"/>
                <w:kern w:val="3"/>
                <w:szCs w:val="23"/>
                <w:lang w:eastAsia="zh-CN" w:bidi="hi-IN"/>
              </w:rPr>
            </w:pPr>
            <w:r w:rsidRPr="00E92571">
              <w:rPr>
                <w:rFonts w:cs="CenturyGothic"/>
                <w:szCs w:val="23"/>
              </w:rPr>
              <w:t>Australian Agency for International Development</w:t>
            </w:r>
          </w:p>
        </w:tc>
      </w:tr>
      <w:tr w:rsidR="00A6008B" w:rsidRPr="00E92571" w:rsidTr="00A10125">
        <w:trPr>
          <w:jc w:val="center"/>
        </w:trPr>
        <w:tc>
          <w:tcPr>
            <w:tcW w:w="1383" w:type="dxa"/>
            <w:tcMar>
              <w:top w:w="0" w:type="dxa"/>
              <w:left w:w="108" w:type="dxa"/>
              <w:bottom w:w="0" w:type="dxa"/>
              <w:right w:w="108" w:type="dxa"/>
            </w:tcMar>
          </w:tcPr>
          <w:p w:rsidR="00A6008B" w:rsidRPr="00E92571" w:rsidRDefault="00A6008B" w:rsidP="00CB5421">
            <w:pPr>
              <w:spacing w:before="40" w:after="40"/>
              <w:jc w:val="right"/>
              <w:rPr>
                <w:rFonts w:cs="Arial"/>
                <w:kern w:val="3"/>
                <w:szCs w:val="23"/>
                <w:lang w:eastAsia="zh-CN" w:bidi="hi-IN"/>
              </w:rPr>
            </w:pPr>
            <w:r w:rsidRPr="00E92571">
              <w:rPr>
                <w:rFonts w:cs="Arial"/>
                <w:kern w:val="3"/>
                <w:szCs w:val="23"/>
                <w:lang w:eastAsia="zh-CN" w:bidi="hi-IN"/>
              </w:rPr>
              <w:t>CJ</w:t>
            </w:r>
          </w:p>
        </w:tc>
        <w:tc>
          <w:tcPr>
            <w:tcW w:w="281" w:type="dxa"/>
            <w:tcMar>
              <w:top w:w="0" w:type="dxa"/>
              <w:left w:w="108" w:type="dxa"/>
              <w:bottom w:w="0" w:type="dxa"/>
              <w:right w:w="108" w:type="dxa"/>
            </w:tcMar>
          </w:tcPr>
          <w:p w:rsidR="00A6008B" w:rsidRPr="00E92571" w:rsidRDefault="00A6008B" w:rsidP="00CB5421">
            <w:pPr>
              <w:spacing w:before="40" w:after="40"/>
              <w:rPr>
                <w:rFonts w:cs="Arial"/>
                <w:kern w:val="3"/>
                <w:szCs w:val="23"/>
                <w:lang w:eastAsia="zh-CN" w:bidi="hi-IN"/>
              </w:rPr>
            </w:pPr>
            <w:r w:rsidRPr="00E92571">
              <w:rPr>
                <w:kern w:val="3"/>
                <w:szCs w:val="23"/>
                <w:lang w:eastAsia="zh-CN" w:bidi="hi-IN"/>
              </w:rPr>
              <w:t>-</w:t>
            </w:r>
          </w:p>
        </w:tc>
        <w:tc>
          <w:tcPr>
            <w:tcW w:w="6241" w:type="dxa"/>
            <w:tcMar>
              <w:top w:w="0" w:type="dxa"/>
              <w:left w:w="108" w:type="dxa"/>
              <w:bottom w:w="0" w:type="dxa"/>
              <w:right w:w="108" w:type="dxa"/>
            </w:tcMar>
          </w:tcPr>
          <w:p w:rsidR="00A6008B" w:rsidRPr="00E92571" w:rsidRDefault="00A6008B" w:rsidP="00CB5421">
            <w:pPr>
              <w:spacing w:before="40" w:after="40"/>
              <w:rPr>
                <w:rFonts w:cs="Arial"/>
                <w:kern w:val="3"/>
                <w:szCs w:val="23"/>
                <w:lang w:eastAsia="zh-CN" w:bidi="hi-IN"/>
              </w:rPr>
            </w:pPr>
            <w:r w:rsidRPr="00E92571">
              <w:rPr>
                <w:rFonts w:cs="Arial"/>
                <w:kern w:val="3"/>
                <w:szCs w:val="23"/>
                <w:lang w:eastAsia="zh-CN" w:bidi="hi-IN"/>
              </w:rPr>
              <w:t>Chief Justice</w:t>
            </w:r>
          </w:p>
        </w:tc>
      </w:tr>
      <w:tr w:rsidR="00A6008B" w:rsidRPr="00E92571" w:rsidTr="00A10125">
        <w:trPr>
          <w:jc w:val="center"/>
        </w:trPr>
        <w:tc>
          <w:tcPr>
            <w:tcW w:w="1383" w:type="dxa"/>
            <w:tcMar>
              <w:top w:w="0" w:type="dxa"/>
              <w:left w:w="108" w:type="dxa"/>
              <w:bottom w:w="0" w:type="dxa"/>
              <w:right w:w="108" w:type="dxa"/>
            </w:tcMar>
          </w:tcPr>
          <w:p w:rsidR="00A6008B" w:rsidRPr="00E92571" w:rsidRDefault="00A6008B" w:rsidP="00CB5421">
            <w:pPr>
              <w:spacing w:before="40" w:after="40"/>
              <w:jc w:val="right"/>
              <w:rPr>
                <w:rFonts w:cs="Arial"/>
                <w:kern w:val="3"/>
                <w:szCs w:val="23"/>
                <w:lang w:eastAsia="zh-CN" w:bidi="hi-IN"/>
              </w:rPr>
            </w:pPr>
            <w:r w:rsidRPr="00E92571">
              <w:rPr>
                <w:kern w:val="3"/>
                <w:szCs w:val="23"/>
                <w:lang w:eastAsia="zh-CN" w:bidi="hi-IN"/>
              </w:rPr>
              <w:t>CoJC</w:t>
            </w:r>
          </w:p>
        </w:tc>
        <w:tc>
          <w:tcPr>
            <w:tcW w:w="281" w:type="dxa"/>
            <w:tcMar>
              <w:top w:w="0" w:type="dxa"/>
              <w:left w:w="108" w:type="dxa"/>
              <w:bottom w:w="0" w:type="dxa"/>
              <w:right w:w="108" w:type="dxa"/>
            </w:tcMar>
          </w:tcPr>
          <w:p w:rsidR="00A6008B" w:rsidRPr="00E92571" w:rsidRDefault="00A6008B" w:rsidP="00CB5421">
            <w:pPr>
              <w:spacing w:before="40" w:after="40"/>
              <w:rPr>
                <w:rFonts w:cs="Arial"/>
                <w:kern w:val="3"/>
                <w:szCs w:val="23"/>
                <w:lang w:eastAsia="zh-CN" w:bidi="hi-IN"/>
              </w:rPr>
            </w:pPr>
            <w:r w:rsidRPr="00E92571">
              <w:rPr>
                <w:kern w:val="3"/>
                <w:szCs w:val="23"/>
                <w:lang w:eastAsia="zh-CN" w:bidi="hi-IN"/>
              </w:rPr>
              <w:t>-</w:t>
            </w:r>
          </w:p>
        </w:tc>
        <w:tc>
          <w:tcPr>
            <w:tcW w:w="6241" w:type="dxa"/>
            <w:tcMar>
              <w:top w:w="0" w:type="dxa"/>
              <w:left w:w="108" w:type="dxa"/>
              <w:bottom w:w="0" w:type="dxa"/>
              <w:right w:w="108" w:type="dxa"/>
            </w:tcMar>
          </w:tcPr>
          <w:p w:rsidR="00A6008B" w:rsidRPr="00E92571" w:rsidRDefault="00A6008B" w:rsidP="00CB5421">
            <w:pPr>
              <w:spacing w:before="40" w:after="40"/>
              <w:rPr>
                <w:rFonts w:cs="Arial"/>
                <w:kern w:val="3"/>
                <w:szCs w:val="23"/>
                <w:lang w:eastAsia="zh-CN" w:bidi="hi-IN"/>
              </w:rPr>
            </w:pPr>
            <w:r w:rsidRPr="00E92571">
              <w:rPr>
                <w:kern w:val="3"/>
                <w:szCs w:val="23"/>
                <w:lang w:eastAsia="zh-CN" w:bidi="hi-IN"/>
              </w:rPr>
              <w:t>Codes of Judicial Conduct</w:t>
            </w:r>
          </w:p>
        </w:tc>
      </w:tr>
      <w:tr w:rsidR="00A6008B" w:rsidRPr="00E92571" w:rsidTr="00A10125">
        <w:trPr>
          <w:jc w:val="center"/>
        </w:trPr>
        <w:tc>
          <w:tcPr>
            <w:tcW w:w="1383" w:type="dxa"/>
            <w:tcMar>
              <w:top w:w="0" w:type="dxa"/>
              <w:left w:w="108" w:type="dxa"/>
              <w:bottom w:w="0" w:type="dxa"/>
              <w:right w:w="108" w:type="dxa"/>
            </w:tcMar>
          </w:tcPr>
          <w:p w:rsidR="00A6008B" w:rsidRPr="00E92571" w:rsidRDefault="00A6008B" w:rsidP="00CB5421">
            <w:pPr>
              <w:widowControl w:val="0"/>
              <w:suppressAutoHyphens/>
              <w:autoSpaceDN w:val="0"/>
              <w:spacing w:before="40" w:after="40"/>
              <w:jc w:val="right"/>
              <w:textAlignment w:val="baseline"/>
              <w:rPr>
                <w:rFonts w:cs="Arial"/>
                <w:kern w:val="3"/>
                <w:szCs w:val="23"/>
                <w:lang w:eastAsia="zh-CN" w:bidi="hi-IN"/>
              </w:rPr>
            </w:pPr>
            <w:r w:rsidRPr="00E92571">
              <w:rPr>
                <w:rFonts w:cs="Courier New"/>
                <w:kern w:val="3"/>
                <w:szCs w:val="23"/>
                <w:lang w:eastAsia="zh-CN" w:bidi="hi-IN"/>
              </w:rPr>
              <w:t>CDR</w:t>
            </w:r>
          </w:p>
        </w:tc>
        <w:tc>
          <w:tcPr>
            <w:tcW w:w="281" w:type="dxa"/>
            <w:tcMar>
              <w:top w:w="0" w:type="dxa"/>
              <w:left w:w="108" w:type="dxa"/>
              <w:bottom w:w="0" w:type="dxa"/>
              <w:right w:w="108" w:type="dxa"/>
            </w:tcMar>
          </w:tcPr>
          <w:p w:rsidR="00A6008B" w:rsidRPr="00E92571" w:rsidRDefault="00A6008B" w:rsidP="00CB5421">
            <w:pPr>
              <w:widowControl w:val="0"/>
              <w:suppressAutoHyphens/>
              <w:autoSpaceDN w:val="0"/>
              <w:spacing w:before="40" w:after="40"/>
              <w:textAlignment w:val="baseline"/>
              <w:rPr>
                <w:rFonts w:cs="Arial"/>
                <w:kern w:val="3"/>
                <w:szCs w:val="23"/>
                <w:lang w:eastAsia="zh-CN" w:bidi="hi-IN"/>
              </w:rPr>
            </w:pPr>
            <w:r w:rsidRPr="00E92571">
              <w:rPr>
                <w:rFonts w:cs="Courier New"/>
                <w:kern w:val="3"/>
                <w:szCs w:val="23"/>
                <w:lang w:eastAsia="zh-CN" w:bidi="hi-IN"/>
              </w:rPr>
              <w:t>-</w:t>
            </w:r>
          </w:p>
        </w:tc>
        <w:tc>
          <w:tcPr>
            <w:tcW w:w="6241" w:type="dxa"/>
            <w:tcMar>
              <w:top w:w="0" w:type="dxa"/>
              <w:left w:w="108" w:type="dxa"/>
              <w:bottom w:w="0" w:type="dxa"/>
              <w:right w:w="108" w:type="dxa"/>
            </w:tcMar>
          </w:tcPr>
          <w:p w:rsidR="00A6008B" w:rsidRPr="00E92571" w:rsidRDefault="00A6008B" w:rsidP="00CB5421">
            <w:pPr>
              <w:widowControl w:val="0"/>
              <w:suppressAutoHyphens/>
              <w:autoSpaceDN w:val="0"/>
              <w:spacing w:before="40" w:after="40"/>
              <w:textAlignment w:val="baseline"/>
              <w:rPr>
                <w:rFonts w:cs="Arial"/>
                <w:kern w:val="3"/>
                <w:szCs w:val="23"/>
                <w:lang w:eastAsia="zh-CN" w:bidi="hi-IN"/>
              </w:rPr>
            </w:pPr>
            <w:r w:rsidRPr="00E92571">
              <w:rPr>
                <w:rFonts w:cs="Courier New"/>
                <w:kern w:val="3"/>
                <w:szCs w:val="23"/>
                <w:lang w:eastAsia="zh-CN" w:bidi="hi-IN"/>
              </w:rPr>
              <w:t>Customary Dispute Resolution</w:t>
            </w:r>
          </w:p>
        </w:tc>
      </w:tr>
      <w:tr w:rsidR="00A6008B" w:rsidRPr="00E92571" w:rsidTr="00A10125">
        <w:trPr>
          <w:jc w:val="center"/>
        </w:trPr>
        <w:tc>
          <w:tcPr>
            <w:tcW w:w="1383" w:type="dxa"/>
            <w:tcMar>
              <w:top w:w="0" w:type="dxa"/>
              <w:left w:w="108" w:type="dxa"/>
              <w:bottom w:w="0" w:type="dxa"/>
              <w:right w:w="108" w:type="dxa"/>
            </w:tcMar>
          </w:tcPr>
          <w:p w:rsidR="00A6008B" w:rsidRPr="00E92571" w:rsidRDefault="00A6008B" w:rsidP="00CB5421">
            <w:pPr>
              <w:spacing w:before="40" w:after="40"/>
              <w:jc w:val="right"/>
              <w:rPr>
                <w:rFonts w:cs="Arial"/>
                <w:kern w:val="3"/>
                <w:szCs w:val="23"/>
                <w:lang w:eastAsia="zh-CN" w:bidi="hi-IN"/>
              </w:rPr>
            </w:pPr>
            <w:r w:rsidRPr="00E92571">
              <w:rPr>
                <w:kern w:val="3"/>
                <w:szCs w:val="23"/>
                <w:lang w:eastAsia="zh-CN" w:bidi="hi-IN"/>
              </w:rPr>
              <w:t>CD/PM</w:t>
            </w:r>
          </w:p>
        </w:tc>
        <w:tc>
          <w:tcPr>
            <w:tcW w:w="281" w:type="dxa"/>
            <w:tcMar>
              <w:top w:w="0" w:type="dxa"/>
              <w:left w:w="108" w:type="dxa"/>
              <w:bottom w:w="0" w:type="dxa"/>
              <w:right w:w="108" w:type="dxa"/>
            </w:tcMar>
          </w:tcPr>
          <w:p w:rsidR="00A6008B" w:rsidRPr="00E92571" w:rsidRDefault="00A6008B" w:rsidP="00CB5421">
            <w:pPr>
              <w:spacing w:before="40" w:after="40"/>
              <w:rPr>
                <w:rFonts w:cs="Arial"/>
                <w:kern w:val="3"/>
                <w:szCs w:val="23"/>
                <w:lang w:eastAsia="zh-CN" w:bidi="hi-IN"/>
              </w:rPr>
            </w:pPr>
            <w:r w:rsidRPr="00E92571">
              <w:rPr>
                <w:kern w:val="3"/>
                <w:szCs w:val="23"/>
                <w:lang w:eastAsia="zh-CN" w:bidi="hi-IN"/>
              </w:rPr>
              <w:t>-</w:t>
            </w:r>
          </w:p>
        </w:tc>
        <w:tc>
          <w:tcPr>
            <w:tcW w:w="6241" w:type="dxa"/>
            <w:tcMar>
              <w:top w:w="0" w:type="dxa"/>
              <w:left w:w="108" w:type="dxa"/>
              <w:bottom w:w="0" w:type="dxa"/>
              <w:right w:w="108" w:type="dxa"/>
            </w:tcMar>
          </w:tcPr>
          <w:p w:rsidR="00A6008B" w:rsidRPr="00E92571" w:rsidRDefault="00A6008B" w:rsidP="00CB5421">
            <w:pPr>
              <w:spacing w:before="40" w:after="40"/>
              <w:rPr>
                <w:rFonts w:cs="Arial"/>
                <w:kern w:val="3"/>
                <w:szCs w:val="23"/>
                <w:lang w:eastAsia="zh-CN" w:bidi="hi-IN"/>
              </w:rPr>
            </w:pPr>
            <w:r w:rsidRPr="00E92571">
              <w:rPr>
                <w:kern w:val="3"/>
                <w:szCs w:val="23"/>
                <w:lang w:eastAsia="zh-CN" w:bidi="hi-IN"/>
              </w:rPr>
              <w:t xml:space="preserve">Curriculum Development and Programme Management </w:t>
            </w:r>
          </w:p>
        </w:tc>
      </w:tr>
      <w:tr w:rsidR="00A6008B" w:rsidRPr="00E92571" w:rsidTr="00A10125">
        <w:trPr>
          <w:jc w:val="center"/>
        </w:trPr>
        <w:tc>
          <w:tcPr>
            <w:tcW w:w="1383" w:type="dxa"/>
            <w:tcMar>
              <w:top w:w="0" w:type="dxa"/>
              <w:left w:w="108" w:type="dxa"/>
              <w:bottom w:w="0" w:type="dxa"/>
              <w:right w:w="108" w:type="dxa"/>
            </w:tcMar>
          </w:tcPr>
          <w:p w:rsidR="00A6008B" w:rsidRPr="00E92571" w:rsidRDefault="00A6008B" w:rsidP="00CB5421">
            <w:pPr>
              <w:spacing w:before="40" w:after="40"/>
              <w:jc w:val="right"/>
              <w:rPr>
                <w:rFonts w:cs="Arial"/>
                <w:kern w:val="3"/>
                <w:szCs w:val="23"/>
                <w:lang w:eastAsia="zh-CN" w:bidi="hi-IN"/>
              </w:rPr>
            </w:pPr>
            <w:r w:rsidRPr="00E92571">
              <w:rPr>
                <w:szCs w:val="23"/>
                <w:lang w:eastAsia="en-US"/>
              </w:rPr>
              <w:t>FVYJ</w:t>
            </w:r>
          </w:p>
        </w:tc>
        <w:tc>
          <w:tcPr>
            <w:tcW w:w="281" w:type="dxa"/>
            <w:tcMar>
              <w:top w:w="0" w:type="dxa"/>
              <w:left w:w="108" w:type="dxa"/>
              <w:bottom w:w="0" w:type="dxa"/>
              <w:right w:w="108" w:type="dxa"/>
            </w:tcMar>
          </w:tcPr>
          <w:p w:rsidR="00A6008B" w:rsidRPr="00E92571" w:rsidRDefault="00A6008B" w:rsidP="00CB5421">
            <w:pPr>
              <w:spacing w:before="40" w:after="40"/>
              <w:rPr>
                <w:rFonts w:cs="Arial"/>
                <w:kern w:val="3"/>
                <w:szCs w:val="23"/>
                <w:lang w:eastAsia="zh-CN" w:bidi="hi-IN"/>
              </w:rPr>
            </w:pPr>
            <w:r w:rsidRPr="00E92571">
              <w:rPr>
                <w:kern w:val="3"/>
                <w:szCs w:val="23"/>
                <w:lang w:eastAsia="zh-CN" w:bidi="hi-IN"/>
              </w:rPr>
              <w:t>-</w:t>
            </w:r>
          </w:p>
        </w:tc>
        <w:tc>
          <w:tcPr>
            <w:tcW w:w="6241" w:type="dxa"/>
            <w:tcMar>
              <w:top w:w="0" w:type="dxa"/>
              <w:left w:w="108" w:type="dxa"/>
              <w:bottom w:w="0" w:type="dxa"/>
              <w:right w:w="108" w:type="dxa"/>
            </w:tcMar>
          </w:tcPr>
          <w:p w:rsidR="00A6008B" w:rsidRPr="00E92571" w:rsidRDefault="00A6008B" w:rsidP="00CB5421">
            <w:pPr>
              <w:spacing w:before="40" w:after="40"/>
              <w:rPr>
                <w:rFonts w:cs="Arial"/>
                <w:kern w:val="3"/>
                <w:szCs w:val="23"/>
                <w:lang w:eastAsia="zh-CN" w:bidi="hi-IN"/>
              </w:rPr>
            </w:pPr>
            <w:r w:rsidRPr="00E92571">
              <w:rPr>
                <w:szCs w:val="23"/>
                <w:lang w:eastAsia="en-US"/>
              </w:rPr>
              <w:t>Family Violence and Youth Justice</w:t>
            </w:r>
          </w:p>
        </w:tc>
      </w:tr>
      <w:tr w:rsidR="00A6008B" w:rsidRPr="00E92571" w:rsidTr="00A10125">
        <w:trPr>
          <w:jc w:val="center"/>
        </w:trPr>
        <w:tc>
          <w:tcPr>
            <w:tcW w:w="1383" w:type="dxa"/>
            <w:tcMar>
              <w:top w:w="0" w:type="dxa"/>
              <w:left w:w="108" w:type="dxa"/>
              <w:bottom w:w="0" w:type="dxa"/>
              <w:right w:w="108" w:type="dxa"/>
            </w:tcMar>
          </w:tcPr>
          <w:p w:rsidR="00A6008B" w:rsidRPr="00E92571" w:rsidRDefault="00A6008B" w:rsidP="00CB5421">
            <w:pPr>
              <w:spacing w:before="40" w:after="40"/>
              <w:jc w:val="right"/>
              <w:rPr>
                <w:kern w:val="3"/>
                <w:szCs w:val="23"/>
                <w:lang w:eastAsia="zh-CN" w:bidi="hi-IN"/>
              </w:rPr>
            </w:pPr>
            <w:r w:rsidRPr="00E92571">
              <w:rPr>
                <w:kern w:val="3"/>
                <w:szCs w:val="23"/>
                <w:lang w:eastAsia="zh-CN" w:bidi="hi-IN"/>
              </w:rPr>
              <w:t>IRJDP</w:t>
            </w:r>
          </w:p>
        </w:tc>
        <w:tc>
          <w:tcPr>
            <w:tcW w:w="281" w:type="dxa"/>
            <w:tcMar>
              <w:top w:w="0" w:type="dxa"/>
              <w:left w:w="108" w:type="dxa"/>
              <w:bottom w:w="0" w:type="dxa"/>
              <w:right w:w="108" w:type="dxa"/>
            </w:tcMar>
          </w:tcPr>
          <w:p w:rsidR="00A6008B" w:rsidRPr="00E92571" w:rsidRDefault="00A6008B" w:rsidP="00CB5421">
            <w:pPr>
              <w:spacing w:before="40" w:after="40"/>
              <w:rPr>
                <w:kern w:val="3"/>
                <w:szCs w:val="23"/>
                <w:lang w:eastAsia="zh-CN" w:bidi="hi-IN"/>
              </w:rPr>
            </w:pPr>
            <w:r w:rsidRPr="00E92571">
              <w:rPr>
                <w:kern w:val="3"/>
                <w:szCs w:val="23"/>
                <w:lang w:eastAsia="zh-CN" w:bidi="hi-IN"/>
              </w:rPr>
              <w:t>-</w:t>
            </w:r>
          </w:p>
        </w:tc>
        <w:tc>
          <w:tcPr>
            <w:tcW w:w="6241" w:type="dxa"/>
            <w:tcMar>
              <w:top w:w="0" w:type="dxa"/>
              <w:left w:w="108" w:type="dxa"/>
              <w:bottom w:w="0" w:type="dxa"/>
              <w:right w:w="108" w:type="dxa"/>
            </w:tcMar>
          </w:tcPr>
          <w:p w:rsidR="00A6008B" w:rsidRPr="00E92571" w:rsidRDefault="00A6008B" w:rsidP="00CB5421">
            <w:pPr>
              <w:spacing w:before="40" w:after="40"/>
              <w:rPr>
                <w:kern w:val="3"/>
                <w:szCs w:val="23"/>
                <w:lang w:eastAsia="zh-CN" w:bidi="hi-IN"/>
              </w:rPr>
            </w:pPr>
            <w:r w:rsidRPr="00E92571">
              <w:rPr>
                <w:kern w:val="3"/>
                <w:szCs w:val="23"/>
                <w:lang w:eastAsia="zh-CN" w:bidi="hi-IN"/>
              </w:rPr>
              <w:t>Interim Regional Judicial Development Programme</w:t>
            </w:r>
          </w:p>
        </w:tc>
      </w:tr>
      <w:tr w:rsidR="00A6008B" w:rsidRPr="00E92571" w:rsidTr="00A10125">
        <w:trPr>
          <w:jc w:val="center"/>
        </w:trPr>
        <w:tc>
          <w:tcPr>
            <w:tcW w:w="1383" w:type="dxa"/>
            <w:tcMar>
              <w:top w:w="0" w:type="dxa"/>
              <w:left w:w="108" w:type="dxa"/>
              <w:bottom w:w="0" w:type="dxa"/>
              <w:right w:w="108" w:type="dxa"/>
            </w:tcMar>
          </w:tcPr>
          <w:p w:rsidR="00A6008B" w:rsidRPr="00E92571" w:rsidRDefault="00A6008B" w:rsidP="00CB5421">
            <w:pPr>
              <w:spacing w:before="40" w:after="40"/>
              <w:jc w:val="right"/>
              <w:rPr>
                <w:kern w:val="3"/>
                <w:szCs w:val="23"/>
                <w:lang w:eastAsia="zh-CN" w:bidi="hi-IN"/>
              </w:rPr>
            </w:pPr>
            <w:r w:rsidRPr="00E92571">
              <w:rPr>
                <w:szCs w:val="23"/>
                <w:lang w:eastAsia="en-US"/>
              </w:rPr>
              <w:t>JAP</w:t>
            </w:r>
          </w:p>
        </w:tc>
        <w:tc>
          <w:tcPr>
            <w:tcW w:w="281" w:type="dxa"/>
            <w:tcMar>
              <w:top w:w="0" w:type="dxa"/>
              <w:left w:w="108" w:type="dxa"/>
              <w:bottom w:w="0" w:type="dxa"/>
              <w:right w:w="108" w:type="dxa"/>
            </w:tcMar>
          </w:tcPr>
          <w:p w:rsidR="00A6008B" w:rsidRPr="00E92571" w:rsidRDefault="00A6008B" w:rsidP="00CB5421">
            <w:pPr>
              <w:spacing w:before="40" w:after="40"/>
              <w:rPr>
                <w:rFonts w:cs="Arial"/>
                <w:kern w:val="3"/>
                <w:szCs w:val="23"/>
                <w:lang w:eastAsia="zh-CN" w:bidi="hi-IN"/>
              </w:rPr>
            </w:pPr>
            <w:r w:rsidRPr="00E92571">
              <w:rPr>
                <w:kern w:val="3"/>
                <w:szCs w:val="23"/>
                <w:lang w:eastAsia="zh-CN" w:bidi="hi-IN"/>
              </w:rPr>
              <w:t>-</w:t>
            </w:r>
          </w:p>
        </w:tc>
        <w:tc>
          <w:tcPr>
            <w:tcW w:w="6241" w:type="dxa"/>
            <w:tcMar>
              <w:top w:w="0" w:type="dxa"/>
              <w:left w:w="108" w:type="dxa"/>
              <w:bottom w:w="0" w:type="dxa"/>
              <w:right w:w="108" w:type="dxa"/>
            </w:tcMar>
          </w:tcPr>
          <w:p w:rsidR="00A6008B" w:rsidRPr="00E92571" w:rsidRDefault="00A6008B" w:rsidP="00CB5421">
            <w:pPr>
              <w:spacing w:before="40" w:after="40"/>
              <w:rPr>
                <w:kern w:val="3"/>
                <w:szCs w:val="23"/>
                <w:lang w:eastAsia="zh-CN" w:bidi="hi-IN"/>
              </w:rPr>
            </w:pPr>
            <w:r w:rsidRPr="00E92571">
              <w:rPr>
                <w:kern w:val="3"/>
                <w:szCs w:val="23"/>
                <w:lang w:eastAsia="zh-CN" w:bidi="hi-IN"/>
              </w:rPr>
              <w:t>Judicial Administration Project</w:t>
            </w:r>
          </w:p>
        </w:tc>
      </w:tr>
      <w:tr w:rsidR="00A6008B" w:rsidRPr="00E92571" w:rsidTr="00A10125">
        <w:trPr>
          <w:jc w:val="center"/>
        </w:trPr>
        <w:tc>
          <w:tcPr>
            <w:tcW w:w="1383" w:type="dxa"/>
            <w:tcMar>
              <w:top w:w="0" w:type="dxa"/>
              <w:left w:w="108" w:type="dxa"/>
              <w:bottom w:w="0" w:type="dxa"/>
              <w:right w:w="108" w:type="dxa"/>
            </w:tcMar>
          </w:tcPr>
          <w:p w:rsidR="00A6008B" w:rsidRPr="00E92571" w:rsidRDefault="00A6008B" w:rsidP="00CB5421">
            <w:pPr>
              <w:spacing w:before="40" w:after="40"/>
              <w:jc w:val="right"/>
              <w:rPr>
                <w:rFonts w:cs="Arial"/>
                <w:kern w:val="3"/>
                <w:szCs w:val="23"/>
                <w:lang w:eastAsia="zh-CN" w:bidi="hi-IN"/>
              </w:rPr>
            </w:pPr>
            <w:r w:rsidRPr="00E92571">
              <w:rPr>
                <w:kern w:val="3"/>
                <w:szCs w:val="23"/>
                <w:lang w:eastAsia="zh-CN" w:bidi="hi-IN"/>
              </w:rPr>
              <w:t>M&amp;E</w:t>
            </w:r>
          </w:p>
        </w:tc>
        <w:tc>
          <w:tcPr>
            <w:tcW w:w="281" w:type="dxa"/>
            <w:tcMar>
              <w:top w:w="0" w:type="dxa"/>
              <w:left w:w="108" w:type="dxa"/>
              <w:bottom w:w="0" w:type="dxa"/>
              <w:right w:w="108" w:type="dxa"/>
            </w:tcMar>
          </w:tcPr>
          <w:p w:rsidR="00A6008B" w:rsidRPr="00E92571" w:rsidRDefault="00A6008B" w:rsidP="00CB5421">
            <w:pPr>
              <w:spacing w:before="40" w:after="40"/>
              <w:rPr>
                <w:rFonts w:cs="Arial"/>
                <w:kern w:val="3"/>
                <w:szCs w:val="23"/>
                <w:lang w:eastAsia="zh-CN" w:bidi="hi-IN"/>
              </w:rPr>
            </w:pPr>
            <w:r w:rsidRPr="00E92571">
              <w:rPr>
                <w:kern w:val="3"/>
                <w:szCs w:val="23"/>
                <w:lang w:eastAsia="zh-CN" w:bidi="hi-IN"/>
              </w:rPr>
              <w:t>-</w:t>
            </w:r>
          </w:p>
        </w:tc>
        <w:tc>
          <w:tcPr>
            <w:tcW w:w="6241" w:type="dxa"/>
            <w:tcMar>
              <w:top w:w="0" w:type="dxa"/>
              <w:left w:w="108" w:type="dxa"/>
              <w:bottom w:w="0" w:type="dxa"/>
              <w:right w:w="108" w:type="dxa"/>
            </w:tcMar>
          </w:tcPr>
          <w:p w:rsidR="00A6008B" w:rsidRPr="00E92571" w:rsidRDefault="00A6008B" w:rsidP="00CB5421">
            <w:pPr>
              <w:spacing w:before="40" w:after="40"/>
              <w:rPr>
                <w:rFonts w:cs="Arial"/>
                <w:kern w:val="3"/>
                <w:szCs w:val="23"/>
                <w:lang w:eastAsia="zh-CN" w:bidi="hi-IN"/>
              </w:rPr>
            </w:pPr>
            <w:r w:rsidRPr="00E92571">
              <w:rPr>
                <w:kern w:val="3"/>
                <w:szCs w:val="23"/>
                <w:lang w:eastAsia="zh-CN" w:bidi="hi-IN"/>
              </w:rPr>
              <w:t>Monitoring and Evaluation</w:t>
            </w:r>
          </w:p>
        </w:tc>
      </w:tr>
      <w:tr w:rsidR="00A6008B" w:rsidRPr="00E92571" w:rsidTr="00A10125">
        <w:trPr>
          <w:jc w:val="center"/>
        </w:trPr>
        <w:tc>
          <w:tcPr>
            <w:tcW w:w="1383" w:type="dxa"/>
            <w:tcMar>
              <w:top w:w="0" w:type="dxa"/>
              <w:left w:w="108" w:type="dxa"/>
              <w:bottom w:w="0" w:type="dxa"/>
              <w:right w:w="108" w:type="dxa"/>
            </w:tcMar>
          </w:tcPr>
          <w:p w:rsidR="00A6008B" w:rsidRPr="00E92571" w:rsidRDefault="00A6008B" w:rsidP="00CB5421">
            <w:pPr>
              <w:spacing w:before="40" w:after="40"/>
              <w:jc w:val="right"/>
              <w:rPr>
                <w:rFonts w:cs="Arial"/>
                <w:kern w:val="3"/>
                <w:szCs w:val="23"/>
                <w:lang w:eastAsia="zh-CN" w:bidi="hi-IN"/>
              </w:rPr>
            </w:pPr>
            <w:r w:rsidRPr="00E92571">
              <w:rPr>
                <w:kern w:val="3"/>
                <w:szCs w:val="23"/>
                <w:lang w:eastAsia="zh-CN" w:bidi="hi-IN"/>
              </w:rPr>
              <w:t>MFAT</w:t>
            </w:r>
          </w:p>
        </w:tc>
        <w:tc>
          <w:tcPr>
            <w:tcW w:w="281" w:type="dxa"/>
            <w:tcMar>
              <w:top w:w="0" w:type="dxa"/>
              <w:left w:w="108" w:type="dxa"/>
              <w:bottom w:w="0" w:type="dxa"/>
              <w:right w:w="108" w:type="dxa"/>
            </w:tcMar>
          </w:tcPr>
          <w:p w:rsidR="00A6008B" w:rsidRPr="00E92571" w:rsidRDefault="00A6008B" w:rsidP="00CB5421">
            <w:pPr>
              <w:spacing w:before="40" w:after="40"/>
              <w:rPr>
                <w:rFonts w:cs="Arial"/>
                <w:kern w:val="3"/>
                <w:szCs w:val="23"/>
                <w:lang w:eastAsia="zh-CN" w:bidi="hi-IN"/>
              </w:rPr>
            </w:pPr>
            <w:r w:rsidRPr="00E92571">
              <w:rPr>
                <w:kern w:val="3"/>
                <w:szCs w:val="23"/>
                <w:lang w:eastAsia="zh-CN" w:bidi="hi-IN"/>
              </w:rPr>
              <w:t>-</w:t>
            </w:r>
          </w:p>
        </w:tc>
        <w:tc>
          <w:tcPr>
            <w:tcW w:w="6241" w:type="dxa"/>
            <w:tcMar>
              <w:top w:w="0" w:type="dxa"/>
              <w:left w:w="108" w:type="dxa"/>
              <w:bottom w:w="0" w:type="dxa"/>
              <w:right w:w="108" w:type="dxa"/>
            </w:tcMar>
          </w:tcPr>
          <w:p w:rsidR="00A6008B" w:rsidRPr="00E92571" w:rsidRDefault="00A6008B" w:rsidP="00CB5421">
            <w:pPr>
              <w:spacing w:before="40" w:after="40"/>
              <w:rPr>
                <w:rFonts w:cs="Arial"/>
                <w:kern w:val="3"/>
                <w:szCs w:val="23"/>
                <w:lang w:eastAsia="zh-CN" w:bidi="hi-IN"/>
              </w:rPr>
            </w:pPr>
            <w:r w:rsidRPr="00E92571">
              <w:rPr>
                <w:kern w:val="3"/>
                <w:szCs w:val="23"/>
                <w:lang w:eastAsia="zh-CN" w:bidi="hi-IN"/>
              </w:rPr>
              <w:t>New Zealand Ministry of Foreign Affairs and Trade</w:t>
            </w:r>
          </w:p>
        </w:tc>
      </w:tr>
      <w:tr w:rsidR="00A6008B" w:rsidRPr="00E92571" w:rsidTr="00A10125">
        <w:trPr>
          <w:jc w:val="center"/>
        </w:trPr>
        <w:tc>
          <w:tcPr>
            <w:tcW w:w="1383" w:type="dxa"/>
            <w:tcMar>
              <w:top w:w="0" w:type="dxa"/>
              <w:left w:w="108" w:type="dxa"/>
              <w:bottom w:w="0" w:type="dxa"/>
              <w:right w:w="108" w:type="dxa"/>
            </w:tcMar>
          </w:tcPr>
          <w:p w:rsidR="00A6008B" w:rsidRPr="00E92571" w:rsidRDefault="00A6008B" w:rsidP="00CB5421">
            <w:pPr>
              <w:spacing w:before="40" w:after="40"/>
              <w:jc w:val="right"/>
              <w:rPr>
                <w:rFonts w:cs="Arial"/>
                <w:kern w:val="3"/>
                <w:szCs w:val="23"/>
                <w:lang w:eastAsia="zh-CN" w:bidi="hi-IN"/>
              </w:rPr>
            </w:pPr>
            <w:r w:rsidRPr="00E92571">
              <w:rPr>
                <w:kern w:val="3"/>
                <w:szCs w:val="23"/>
                <w:lang w:eastAsia="zh-CN" w:bidi="hi-IN"/>
              </w:rPr>
              <w:t>MSC</w:t>
            </w:r>
          </w:p>
        </w:tc>
        <w:tc>
          <w:tcPr>
            <w:tcW w:w="281" w:type="dxa"/>
            <w:tcMar>
              <w:top w:w="0" w:type="dxa"/>
              <w:left w:w="108" w:type="dxa"/>
              <w:bottom w:w="0" w:type="dxa"/>
              <w:right w:w="108" w:type="dxa"/>
            </w:tcMar>
          </w:tcPr>
          <w:p w:rsidR="00A6008B" w:rsidRPr="00E92571" w:rsidRDefault="00A6008B" w:rsidP="00CB5421">
            <w:pPr>
              <w:spacing w:before="40" w:after="40"/>
              <w:rPr>
                <w:rFonts w:cs="Arial"/>
                <w:kern w:val="3"/>
                <w:szCs w:val="23"/>
                <w:lang w:eastAsia="zh-CN" w:bidi="hi-IN"/>
              </w:rPr>
            </w:pPr>
            <w:r w:rsidRPr="00E92571">
              <w:rPr>
                <w:kern w:val="3"/>
                <w:szCs w:val="23"/>
                <w:lang w:eastAsia="zh-CN" w:bidi="hi-IN"/>
              </w:rPr>
              <w:t>-</w:t>
            </w:r>
          </w:p>
        </w:tc>
        <w:tc>
          <w:tcPr>
            <w:tcW w:w="6241" w:type="dxa"/>
            <w:tcMar>
              <w:top w:w="0" w:type="dxa"/>
              <w:left w:w="108" w:type="dxa"/>
              <w:bottom w:w="0" w:type="dxa"/>
              <w:right w:w="108" w:type="dxa"/>
            </w:tcMar>
          </w:tcPr>
          <w:p w:rsidR="00A6008B" w:rsidRPr="00E92571" w:rsidRDefault="00A6008B" w:rsidP="00CB5421">
            <w:pPr>
              <w:spacing w:before="40" w:after="40"/>
              <w:rPr>
                <w:rFonts w:cs="Arial"/>
                <w:kern w:val="3"/>
                <w:szCs w:val="23"/>
                <w:lang w:eastAsia="zh-CN" w:bidi="hi-IN"/>
              </w:rPr>
            </w:pPr>
            <w:r w:rsidRPr="00E92571">
              <w:rPr>
                <w:kern w:val="3"/>
                <w:szCs w:val="23"/>
                <w:lang w:eastAsia="zh-CN" w:bidi="hi-IN"/>
              </w:rPr>
              <w:t>Managing Services Contractor - Federal Court of Australia</w:t>
            </w:r>
          </w:p>
        </w:tc>
      </w:tr>
      <w:tr w:rsidR="00A6008B" w:rsidRPr="00E92571" w:rsidTr="00A10125">
        <w:trPr>
          <w:jc w:val="center"/>
        </w:trPr>
        <w:tc>
          <w:tcPr>
            <w:tcW w:w="1383" w:type="dxa"/>
            <w:tcMar>
              <w:top w:w="0" w:type="dxa"/>
              <w:left w:w="108" w:type="dxa"/>
              <w:bottom w:w="0" w:type="dxa"/>
              <w:right w:w="108" w:type="dxa"/>
            </w:tcMar>
          </w:tcPr>
          <w:p w:rsidR="00A6008B" w:rsidRPr="00E92571" w:rsidRDefault="00A6008B" w:rsidP="00CB5421">
            <w:pPr>
              <w:spacing w:before="40" w:after="40"/>
              <w:jc w:val="right"/>
              <w:rPr>
                <w:rFonts w:cs="Arial"/>
                <w:kern w:val="3"/>
                <w:szCs w:val="23"/>
                <w:lang w:eastAsia="zh-CN" w:bidi="hi-IN"/>
              </w:rPr>
            </w:pPr>
            <w:r w:rsidRPr="00E92571">
              <w:rPr>
                <w:kern w:val="3"/>
                <w:szCs w:val="23"/>
                <w:lang w:eastAsia="zh-CN" w:bidi="hi-IN"/>
              </w:rPr>
              <w:t>MTA</w:t>
            </w:r>
          </w:p>
        </w:tc>
        <w:tc>
          <w:tcPr>
            <w:tcW w:w="281" w:type="dxa"/>
            <w:tcMar>
              <w:top w:w="0" w:type="dxa"/>
              <w:left w:w="108" w:type="dxa"/>
              <w:bottom w:w="0" w:type="dxa"/>
              <w:right w:w="108" w:type="dxa"/>
            </w:tcMar>
          </w:tcPr>
          <w:p w:rsidR="00A6008B" w:rsidRPr="00E92571" w:rsidRDefault="00A6008B" w:rsidP="00CB5421">
            <w:pPr>
              <w:spacing w:before="40" w:after="40"/>
              <w:rPr>
                <w:rFonts w:cs="Arial"/>
                <w:kern w:val="3"/>
                <w:szCs w:val="23"/>
                <w:lang w:eastAsia="zh-CN" w:bidi="hi-IN"/>
              </w:rPr>
            </w:pPr>
            <w:r w:rsidRPr="00E92571">
              <w:rPr>
                <w:kern w:val="3"/>
                <w:szCs w:val="23"/>
                <w:lang w:eastAsia="zh-CN" w:bidi="hi-IN"/>
              </w:rPr>
              <w:t>-</w:t>
            </w:r>
          </w:p>
        </w:tc>
        <w:tc>
          <w:tcPr>
            <w:tcW w:w="6241" w:type="dxa"/>
            <w:tcMar>
              <w:top w:w="0" w:type="dxa"/>
              <w:left w:w="108" w:type="dxa"/>
              <w:bottom w:w="0" w:type="dxa"/>
              <w:right w:w="108" w:type="dxa"/>
            </w:tcMar>
          </w:tcPr>
          <w:p w:rsidR="00A6008B" w:rsidRPr="00E92571" w:rsidRDefault="00A6008B" w:rsidP="00CB5421">
            <w:pPr>
              <w:spacing w:before="40" w:after="40"/>
              <w:rPr>
                <w:rFonts w:cs="Arial"/>
                <w:kern w:val="3"/>
                <w:szCs w:val="23"/>
                <w:lang w:eastAsia="zh-CN" w:bidi="hi-IN"/>
              </w:rPr>
            </w:pPr>
            <w:r w:rsidRPr="00E92571">
              <w:rPr>
                <w:kern w:val="3"/>
                <w:szCs w:val="23"/>
                <w:lang w:eastAsia="zh-CN" w:bidi="hi-IN"/>
              </w:rPr>
              <w:t>Monitoring and Technical Adviser</w:t>
            </w:r>
          </w:p>
        </w:tc>
      </w:tr>
      <w:tr w:rsidR="00A6008B" w:rsidRPr="00E92571" w:rsidTr="00A10125">
        <w:trPr>
          <w:jc w:val="center"/>
        </w:trPr>
        <w:tc>
          <w:tcPr>
            <w:tcW w:w="1383" w:type="dxa"/>
            <w:tcMar>
              <w:top w:w="0" w:type="dxa"/>
              <w:left w:w="108" w:type="dxa"/>
              <w:bottom w:w="0" w:type="dxa"/>
              <w:right w:w="108" w:type="dxa"/>
            </w:tcMar>
          </w:tcPr>
          <w:p w:rsidR="00A6008B" w:rsidRPr="00E92571" w:rsidRDefault="00A6008B" w:rsidP="00CB5421">
            <w:pPr>
              <w:spacing w:before="40" w:after="40"/>
              <w:jc w:val="right"/>
              <w:rPr>
                <w:rFonts w:cs="Arial"/>
                <w:kern w:val="3"/>
                <w:szCs w:val="23"/>
                <w:lang w:eastAsia="zh-CN" w:bidi="hi-IN"/>
              </w:rPr>
            </w:pPr>
            <w:r w:rsidRPr="00E92571">
              <w:rPr>
                <w:kern w:val="3"/>
                <w:szCs w:val="23"/>
                <w:lang w:eastAsia="zh-CN" w:bidi="hi-IN"/>
              </w:rPr>
              <w:t>NC</w:t>
            </w:r>
          </w:p>
        </w:tc>
        <w:tc>
          <w:tcPr>
            <w:tcW w:w="281" w:type="dxa"/>
            <w:tcMar>
              <w:top w:w="0" w:type="dxa"/>
              <w:left w:w="108" w:type="dxa"/>
              <w:bottom w:w="0" w:type="dxa"/>
              <w:right w:w="108" w:type="dxa"/>
            </w:tcMar>
          </w:tcPr>
          <w:p w:rsidR="00A6008B" w:rsidRPr="00E92571" w:rsidRDefault="00A6008B" w:rsidP="00CB5421">
            <w:pPr>
              <w:spacing w:before="40" w:after="40"/>
              <w:rPr>
                <w:rFonts w:cs="Arial"/>
                <w:kern w:val="3"/>
                <w:szCs w:val="23"/>
                <w:lang w:eastAsia="zh-CN" w:bidi="hi-IN"/>
              </w:rPr>
            </w:pPr>
            <w:r w:rsidRPr="00E92571">
              <w:rPr>
                <w:kern w:val="3"/>
                <w:szCs w:val="23"/>
                <w:lang w:eastAsia="zh-CN" w:bidi="hi-IN"/>
              </w:rPr>
              <w:t>-</w:t>
            </w:r>
          </w:p>
        </w:tc>
        <w:tc>
          <w:tcPr>
            <w:tcW w:w="6241" w:type="dxa"/>
            <w:tcMar>
              <w:top w:w="0" w:type="dxa"/>
              <w:left w:w="108" w:type="dxa"/>
              <w:bottom w:w="0" w:type="dxa"/>
              <w:right w:w="108" w:type="dxa"/>
            </w:tcMar>
          </w:tcPr>
          <w:p w:rsidR="00A6008B" w:rsidRPr="00E92571" w:rsidRDefault="00A6008B" w:rsidP="00CB5421">
            <w:pPr>
              <w:spacing w:before="40" w:after="40"/>
              <w:rPr>
                <w:rFonts w:cs="Arial"/>
                <w:kern w:val="3"/>
                <w:szCs w:val="23"/>
                <w:lang w:eastAsia="zh-CN" w:bidi="hi-IN"/>
              </w:rPr>
            </w:pPr>
            <w:r w:rsidRPr="00E92571">
              <w:rPr>
                <w:kern w:val="3"/>
                <w:szCs w:val="23"/>
                <w:lang w:eastAsia="zh-CN" w:bidi="hi-IN"/>
              </w:rPr>
              <w:t>National Coordinators</w:t>
            </w:r>
          </w:p>
        </w:tc>
      </w:tr>
      <w:tr w:rsidR="00A6008B" w:rsidRPr="00E92571" w:rsidTr="00A10125">
        <w:trPr>
          <w:jc w:val="center"/>
        </w:trPr>
        <w:tc>
          <w:tcPr>
            <w:tcW w:w="1383" w:type="dxa"/>
            <w:tcMar>
              <w:top w:w="0" w:type="dxa"/>
              <w:left w:w="108" w:type="dxa"/>
              <w:bottom w:w="0" w:type="dxa"/>
              <w:right w:w="108" w:type="dxa"/>
            </w:tcMar>
          </w:tcPr>
          <w:p w:rsidR="00A6008B" w:rsidRPr="00E92571" w:rsidRDefault="00A6008B" w:rsidP="00CB5421">
            <w:pPr>
              <w:spacing w:before="40" w:after="40"/>
              <w:jc w:val="right"/>
              <w:rPr>
                <w:kern w:val="3"/>
                <w:szCs w:val="23"/>
                <w:lang w:eastAsia="zh-CN" w:bidi="hi-IN"/>
              </w:rPr>
            </w:pPr>
            <w:r w:rsidRPr="00E92571">
              <w:rPr>
                <w:kern w:val="3"/>
                <w:szCs w:val="23"/>
                <w:lang w:eastAsia="zh-CN" w:bidi="hi-IN"/>
              </w:rPr>
              <w:t>NJDC</w:t>
            </w:r>
          </w:p>
        </w:tc>
        <w:tc>
          <w:tcPr>
            <w:tcW w:w="281" w:type="dxa"/>
            <w:tcMar>
              <w:top w:w="0" w:type="dxa"/>
              <w:left w:w="108" w:type="dxa"/>
              <w:bottom w:w="0" w:type="dxa"/>
              <w:right w:w="108" w:type="dxa"/>
            </w:tcMar>
          </w:tcPr>
          <w:p w:rsidR="00A6008B" w:rsidRPr="00E92571" w:rsidRDefault="00A6008B" w:rsidP="00CB5421">
            <w:pPr>
              <w:spacing w:before="40" w:after="40"/>
              <w:rPr>
                <w:rFonts w:cs="Arial"/>
                <w:kern w:val="3"/>
                <w:szCs w:val="23"/>
                <w:lang w:eastAsia="zh-CN" w:bidi="hi-IN"/>
              </w:rPr>
            </w:pPr>
            <w:r w:rsidRPr="00E92571">
              <w:rPr>
                <w:kern w:val="3"/>
                <w:szCs w:val="23"/>
                <w:lang w:eastAsia="zh-CN" w:bidi="hi-IN"/>
              </w:rPr>
              <w:t>-</w:t>
            </w:r>
          </w:p>
        </w:tc>
        <w:tc>
          <w:tcPr>
            <w:tcW w:w="6241" w:type="dxa"/>
            <w:tcMar>
              <w:top w:w="0" w:type="dxa"/>
              <w:left w:w="108" w:type="dxa"/>
              <w:bottom w:w="0" w:type="dxa"/>
              <w:right w:w="108" w:type="dxa"/>
            </w:tcMar>
          </w:tcPr>
          <w:p w:rsidR="00A6008B" w:rsidRPr="00E92571" w:rsidRDefault="00A6008B" w:rsidP="00CB5421">
            <w:pPr>
              <w:spacing w:before="40" w:after="40"/>
              <w:rPr>
                <w:kern w:val="3"/>
                <w:szCs w:val="23"/>
                <w:lang w:eastAsia="zh-CN" w:bidi="hi-IN"/>
              </w:rPr>
            </w:pPr>
            <w:r w:rsidRPr="00E92571">
              <w:rPr>
                <w:kern w:val="3"/>
                <w:szCs w:val="23"/>
                <w:lang w:eastAsia="zh-CN" w:bidi="hi-IN"/>
              </w:rPr>
              <w:t>National Judicial Development Committee</w:t>
            </w:r>
          </w:p>
        </w:tc>
      </w:tr>
      <w:tr w:rsidR="00A6008B" w:rsidRPr="00E92571" w:rsidTr="00A10125">
        <w:trPr>
          <w:jc w:val="center"/>
        </w:trPr>
        <w:tc>
          <w:tcPr>
            <w:tcW w:w="1383" w:type="dxa"/>
            <w:tcMar>
              <w:top w:w="0" w:type="dxa"/>
              <w:left w:w="108" w:type="dxa"/>
              <w:bottom w:w="0" w:type="dxa"/>
              <w:right w:w="108" w:type="dxa"/>
            </w:tcMar>
          </w:tcPr>
          <w:p w:rsidR="00A6008B" w:rsidRPr="00E92571" w:rsidRDefault="00A6008B" w:rsidP="00CB5421">
            <w:pPr>
              <w:spacing w:before="40" w:after="40"/>
              <w:jc w:val="right"/>
              <w:rPr>
                <w:kern w:val="3"/>
                <w:szCs w:val="23"/>
                <w:lang w:eastAsia="zh-CN" w:bidi="hi-IN"/>
              </w:rPr>
            </w:pPr>
            <w:r w:rsidRPr="00E92571">
              <w:rPr>
                <w:kern w:val="3"/>
                <w:szCs w:val="23"/>
                <w:lang w:eastAsia="zh-CN" w:bidi="hi-IN"/>
              </w:rPr>
              <w:t>NCWG</w:t>
            </w:r>
          </w:p>
        </w:tc>
        <w:tc>
          <w:tcPr>
            <w:tcW w:w="281" w:type="dxa"/>
            <w:tcMar>
              <w:top w:w="0" w:type="dxa"/>
              <w:left w:w="108" w:type="dxa"/>
              <w:bottom w:w="0" w:type="dxa"/>
              <w:right w:w="108" w:type="dxa"/>
            </w:tcMar>
          </w:tcPr>
          <w:p w:rsidR="00A6008B" w:rsidRPr="00E92571" w:rsidRDefault="00A6008B" w:rsidP="00CB5421">
            <w:pPr>
              <w:spacing w:before="40" w:after="40"/>
              <w:rPr>
                <w:rFonts w:cs="Arial"/>
                <w:kern w:val="3"/>
                <w:szCs w:val="23"/>
                <w:lang w:eastAsia="zh-CN" w:bidi="hi-IN"/>
              </w:rPr>
            </w:pPr>
            <w:r w:rsidRPr="00E92571">
              <w:rPr>
                <w:kern w:val="3"/>
                <w:szCs w:val="23"/>
                <w:lang w:eastAsia="zh-CN" w:bidi="hi-IN"/>
              </w:rPr>
              <w:t>-</w:t>
            </w:r>
          </w:p>
        </w:tc>
        <w:tc>
          <w:tcPr>
            <w:tcW w:w="6241" w:type="dxa"/>
            <w:tcMar>
              <w:top w:w="0" w:type="dxa"/>
              <w:left w:w="108" w:type="dxa"/>
              <w:bottom w:w="0" w:type="dxa"/>
              <w:right w:w="108" w:type="dxa"/>
            </w:tcMar>
          </w:tcPr>
          <w:p w:rsidR="00A6008B" w:rsidRPr="00E92571" w:rsidRDefault="00A6008B" w:rsidP="00CB5421">
            <w:pPr>
              <w:spacing w:before="40" w:after="40"/>
              <w:rPr>
                <w:kern w:val="3"/>
                <w:szCs w:val="23"/>
                <w:lang w:eastAsia="zh-CN" w:bidi="hi-IN"/>
              </w:rPr>
            </w:pPr>
            <w:r w:rsidRPr="00E92571">
              <w:rPr>
                <w:kern w:val="3"/>
                <w:szCs w:val="23"/>
                <w:lang w:eastAsia="zh-CN" w:bidi="hi-IN"/>
              </w:rPr>
              <w:t>National Coordinators Working Group</w:t>
            </w:r>
          </w:p>
        </w:tc>
      </w:tr>
      <w:tr w:rsidR="00A6008B" w:rsidRPr="00E92571" w:rsidTr="00A10125">
        <w:trPr>
          <w:jc w:val="center"/>
        </w:trPr>
        <w:tc>
          <w:tcPr>
            <w:tcW w:w="1383" w:type="dxa"/>
            <w:tcMar>
              <w:top w:w="0" w:type="dxa"/>
              <w:left w:w="108" w:type="dxa"/>
              <w:bottom w:w="0" w:type="dxa"/>
              <w:right w:w="108" w:type="dxa"/>
            </w:tcMar>
          </w:tcPr>
          <w:p w:rsidR="00A6008B" w:rsidRPr="00E92571" w:rsidRDefault="00A6008B" w:rsidP="00CB5421">
            <w:pPr>
              <w:spacing w:before="40" w:after="40"/>
              <w:jc w:val="right"/>
              <w:rPr>
                <w:rFonts w:cs="Arial"/>
                <w:kern w:val="3"/>
                <w:szCs w:val="23"/>
                <w:lang w:eastAsia="zh-CN" w:bidi="hi-IN"/>
              </w:rPr>
            </w:pPr>
            <w:r w:rsidRPr="00E92571">
              <w:rPr>
                <w:kern w:val="3"/>
                <w:szCs w:val="23"/>
                <w:lang w:eastAsia="zh-CN" w:bidi="hi-IN"/>
              </w:rPr>
              <w:t>PEC</w:t>
            </w:r>
          </w:p>
        </w:tc>
        <w:tc>
          <w:tcPr>
            <w:tcW w:w="281" w:type="dxa"/>
            <w:tcMar>
              <w:top w:w="0" w:type="dxa"/>
              <w:left w:w="108" w:type="dxa"/>
              <w:bottom w:w="0" w:type="dxa"/>
              <w:right w:w="108" w:type="dxa"/>
            </w:tcMar>
          </w:tcPr>
          <w:p w:rsidR="00A6008B" w:rsidRPr="00E92571" w:rsidRDefault="00A6008B" w:rsidP="00CB5421">
            <w:pPr>
              <w:spacing w:before="40" w:after="40"/>
              <w:rPr>
                <w:rFonts w:cs="Arial"/>
                <w:kern w:val="3"/>
                <w:szCs w:val="23"/>
                <w:lang w:eastAsia="zh-CN" w:bidi="hi-IN"/>
              </w:rPr>
            </w:pPr>
            <w:r w:rsidRPr="00E92571">
              <w:rPr>
                <w:kern w:val="3"/>
                <w:szCs w:val="23"/>
                <w:lang w:eastAsia="zh-CN" w:bidi="hi-IN"/>
              </w:rPr>
              <w:t>-</w:t>
            </w:r>
          </w:p>
        </w:tc>
        <w:tc>
          <w:tcPr>
            <w:tcW w:w="6241" w:type="dxa"/>
            <w:tcMar>
              <w:top w:w="0" w:type="dxa"/>
              <w:left w:w="108" w:type="dxa"/>
              <w:bottom w:w="0" w:type="dxa"/>
              <w:right w:w="108" w:type="dxa"/>
            </w:tcMar>
          </w:tcPr>
          <w:p w:rsidR="00A6008B" w:rsidRPr="00E92571" w:rsidRDefault="00A6008B" w:rsidP="00CB5421">
            <w:pPr>
              <w:spacing w:before="40" w:after="40"/>
              <w:rPr>
                <w:rFonts w:cs="Arial"/>
                <w:kern w:val="3"/>
                <w:szCs w:val="23"/>
                <w:lang w:eastAsia="zh-CN" w:bidi="hi-IN"/>
              </w:rPr>
            </w:pPr>
            <w:r w:rsidRPr="00E92571">
              <w:rPr>
                <w:kern w:val="3"/>
                <w:szCs w:val="23"/>
                <w:lang w:eastAsia="zh-CN" w:bidi="hi-IN"/>
              </w:rPr>
              <w:t>Programme Executive Committee</w:t>
            </w:r>
          </w:p>
        </w:tc>
      </w:tr>
      <w:tr w:rsidR="00A6008B" w:rsidRPr="00E92571" w:rsidTr="00A10125">
        <w:trPr>
          <w:jc w:val="center"/>
        </w:trPr>
        <w:tc>
          <w:tcPr>
            <w:tcW w:w="1383" w:type="dxa"/>
            <w:tcMar>
              <w:top w:w="0" w:type="dxa"/>
              <w:left w:w="108" w:type="dxa"/>
              <w:bottom w:w="0" w:type="dxa"/>
              <w:right w:w="108" w:type="dxa"/>
            </w:tcMar>
          </w:tcPr>
          <w:p w:rsidR="00A6008B" w:rsidRPr="00E92571" w:rsidRDefault="00A6008B" w:rsidP="00CB5421">
            <w:pPr>
              <w:spacing w:before="40" w:after="40"/>
              <w:jc w:val="right"/>
              <w:rPr>
                <w:kern w:val="3"/>
                <w:szCs w:val="23"/>
                <w:lang w:eastAsia="zh-CN" w:bidi="hi-IN"/>
              </w:rPr>
            </w:pPr>
            <w:r w:rsidRPr="00E92571">
              <w:rPr>
                <w:kern w:val="3"/>
                <w:szCs w:val="23"/>
                <w:lang w:eastAsia="zh-CN" w:bidi="hi-IN"/>
              </w:rPr>
              <w:t>PIC</w:t>
            </w:r>
          </w:p>
        </w:tc>
        <w:tc>
          <w:tcPr>
            <w:tcW w:w="281" w:type="dxa"/>
            <w:tcMar>
              <w:top w:w="0" w:type="dxa"/>
              <w:left w:w="108" w:type="dxa"/>
              <w:bottom w:w="0" w:type="dxa"/>
              <w:right w:w="108" w:type="dxa"/>
            </w:tcMar>
          </w:tcPr>
          <w:p w:rsidR="00A6008B" w:rsidRPr="00E92571" w:rsidRDefault="00A6008B" w:rsidP="00CB5421">
            <w:pPr>
              <w:spacing w:before="40" w:after="40"/>
              <w:rPr>
                <w:rFonts w:cs="Arial"/>
                <w:kern w:val="3"/>
                <w:szCs w:val="23"/>
                <w:lang w:eastAsia="zh-CN" w:bidi="hi-IN"/>
              </w:rPr>
            </w:pPr>
            <w:r w:rsidRPr="00E92571">
              <w:rPr>
                <w:kern w:val="3"/>
                <w:szCs w:val="23"/>
                <w:lang w:eastAsia="zh-CN" w:bidi="hi-IN"/>
              </w:rPr>
              <w:t>-</w:t>
            </w:r>
          </w:p>
        </w:tc>
        <w:tc>
          <w:tcPr>
            <w:tcW w:w="6241" w:type="dxa"/>
            <w:tcMar>
              <w:top w:w="0" w:type="dxa"/>
              <w:left w:w="108" w:type="dxa"/>
              <w:bottom w:w="0" w:type="dxa"/>
              <w:right w:w="108" w:type="dxa"/>
            </w:tcMar>
          </w:tcPr>
          <w:p w:rsidR="00A6008B" w:rsidRPr="00E92571" w:rsidRDefault="00A6008B" w:rsidP="00CB5421">
            <w:pPr>
              <w:spacing w:before="40" w:after="40"/>
              <w:rPr>
                <w:kern w:val="3"/>
                <w:szCs w:val="23"/>
                <w:lang w:eastAsia="zh-CN" w:bidi="hi-IN"/>
              </w:rPr>
            </w:pPr>
            <w:r w:rsidRPr="00E92571">
              <w:rPr>
                <w:kern w:val="3"/>
                <w:szCs w:val="23"/>
                <w:lang w:eastAsia="zh-CN" w:bidi="hi-IN"/>
              </w:rPr>
              <w:t>Pacific Island Country</w:t>
            </w:r>
          </w:p>
        </w:tc>
      </w:tr>
      <w:tr w:rsidR="00A6008B" w:rsidRPr="00E92571" w:rsidTr="00A10125">
        <w:trPr>
          <w:jc w:val="center"/>
        </w:trPr>
        <w:tc>
          <w:tcPr>
            <w:tcW w:w="1383" w:type="dxa"/>
            <w:tcMar>
              <w:top w:w="0" w:type="dxa"/>
              <w:left w:w="108" w:type="dxa"/>
              <w:bottom w:w="0" w:type="dxa"/>
              <w:right w:w="108" w:type="dxa"/>
            </w:tcMar>
          </w:tcPr>
          <w:p w:rsidR="00A6008B" w:rsidRPr="00E92571" w:rsidRDefault="00A6008B" w:rsidP="00CB5421">
            <w:pPr>
              <w:spacing w:before="40" w:after="40"/>
              <w:jc w:val="right"/>
              <w:rPr>
                <w:kern w:val="3"/>
                <w:szCs w:val="23"/>
                <w:lang w:eastAsia="zh-CN" w:bidi="hi-IN"/>
              </w:rPr>
            </w:pPr>
            <w:r w:rsidRPr="00E92571">
              <w:rPr>
                <w:kern w:val="3"/>
                <w:szCs w:val="23"/>
                <w:lang w:eastAsia="zh-CN" w:bidi="hi-IN"/>
              </w:rPr>
              <w:t>PJDP</w:t>
            </w:r>
          </w:p>
        </w:tc>
        <w:tc>
          <w:tcPr>
            <w:tcW w:w="281" w:type="dxa"/>
            <w:tcMar>
              <w:top w:w="0" w:type="dxa"/>
              <w:left w:w="108" w:type="dxa"/>
              <w:bottom w:w="0" w:type="dxa"/>
              <w:right w:w="108" w:type="dxa"/>
            </w:tcMar>
          </w:tcPr>
          <w:p w:rsidR="00A6008B" w:rsidRPr="00E92571" w:rsidRDefault="00A6008B" w:rsidP="00CB5421">
            <w:pPr>
              <w:spacing w:before="40" w:after="40"/>
              <w:rPr>
                <w:rFonts w:cs="Arial"/>
                <w:kern w:val="3"/>
                <w:szCs w:val="23"/>
                <w:lang w:eastAsia="zh-CN" w:bidi="hi-IN"/>
              </w:rPr>
            </w:pPr>
            <w:r w:rsidRPr="00E92571">
              <w:rPr>
                <w:kern w:val="3"/>
                <w:szCs w:val="23"/>
                <w:lang w:eastAsia="zh-CN" w:bidi="hi-IN"/>
              </w:rPr>
              <w:t>-</w:t>
            </w:r>
          </w:p>
        </w:tc>
        <w:tc>
          <w:tcPr>
            <w:tcW w:w="6241" w:type="dxa"/>
            <w:tcMar>
              <w:top w:w="0" w:type="dxa"/>
              <w:left w:w="108" w:type="dxa"/>
              <w:bottom w:w="0" w:type="dxa"/>
              <w:right w:w="108" w:type="dxa"/>
            </w:tcMar>
          </w:tcPr>
          <w:p w:rsidR="00A6008B" w:rsidRPr="00E92571" w:rsidRDefault="00A6008B" w:rsidP="00CB5421">
            <w:pPr>
              <w:spacing w:before="40" w:after="40"/>
              <w:rPr>
                <w:kern w:val="3"/>
                <w:szCs w:val="23"/>
                <w:lang w:eastAsia="zh-CN" w:bidi="hi-IN"/>
              </w:rPr>
            </w:pPr>
            <w:r w:rsidRPr="00E92571">
              <w:rPr>
                <w:kern w:val="3"/>
                <w:szCs w:val="23"/>
                <w:lang w:eastAsia="zh-CN" w:bidi="hi-IN"/>
              </w:rPr>
              <w:t>Pacific Judicial Development Programme (‘Programme’)</w:t>
            </w:r>
          </w:p>
        </w:tc>
      </w:tr>
      <w:tr w:rsidR="00A6008B" w:rsidRPr="00E92571" w:rsidTr="00A10125">
        <w:trPr>
          <w:jc w:val="center"/>
        </w:trPr>
        <w:tc>
          <w:tcPr>
            <w:tcW w:w="1383" w:type="dxa"/>
            <w:tcMar>
              <w:top w:w="0" w:type="dxa"/>
              <w:left w:w="108" w:type="dxa"/>
              <w:bottom w:w="0" w:type="dxa"/>
              <w:right w:w="108" w:type="dxa"/>
            </w:tcMar>
          </w:tcPr>
          <w:p w:rsidR="00A6008B" w:rsidRPr="00E92571" w:rsidRDefault="00A6008B" w:rsidP="00CB5421">
            <w:pPr>
              <w:spacing w:before="40" w:after="40"/>
              <w:jc w:val="right"/>
              <w:rPr>
                <w:kern w:val="3"/>
                <w:szCs w:val="23"/>
                <w:lang w:eastAsia="zh-CN" w:bidi="hi-IN"/>
              </w:rPr>
            </w:pPr>
            <w:r w:rsidRPr="00E92571">
              <w:rPr>
                <w:kern w:val="3"/>
                <w:szCs w:val="23"/>
                <w:lang w:eastAsia="zh-CN" w:bidi="hi-IN"/>
              </w:rPr>
              <w:t>PJEP</w:t>
            </w:r>
          </w:p>
        </w:tc>
        <w:tc>
          <w:tcPr>
            <w:tcW w:w="281" w:type="dxa"/>
            <w:tcMar>
              <w:top w:w="0" w:type="dxa"/>
              <w:left w:w="108" w:type="dxa"/>
              <w:bottom w:w="0" w:type="dxa"/>
              <w:right w:w="108" w:type="dxa"/>
            </w:tcMar>
          </w:tcPr>
          <w:p w:rsidR="00A6008B" w:rsidRPr="00E92571" w:rsidRDefault="00A6008B" w:rsidP="00CB5421">
            <w:pPr>
              <w:spacing w:before="40" w:after="40"/>
              <w:rPr>
                <w:rFonts w:cs="Arial"/>
                <w:kern w:val="3"/>
                <w:szCs w:val="23"/>
                <w:lang w:eastAsia="zh-CN" w:bidi="hi-IN"/>
              </w:rPr>
            </w:pPr>
            <w:r w:rsidRPr="00E92571">
              <w:rPr>
                <w:kern w:val="3"/>
                <w:szCs w:val="23"/>
                <w:lang w:eastAsia="zh-CN" w:bidi="hi-IN"/>
              </w:rPr>
              <w:t>-</w:t>
            </w:r>
          </w:p>
        </w:tc>
        <w:tc>
          <w:tcPr>
            <w:tcW w:w="6241" w:type="dxa"/>
            <w:tcMar>
              <w:top w:w="0" w:type="dxa"/>
              <w:left w:w="108" w:type="dxa"/>
              <w:bottom w:w="0" w:type="dxa"/>
              <w:right w:w="108" w:type="dxa"/>
            </w:tcMar>
          </w:tcPr>
          <w:p w:rsidR="00A6008B" w:rsidRPr="00E92571" w:rsidRDefault="00A6008B" w:rsidP="00CB5421">
            <w:pPr>
              <w:spacing w:before="40" w:after="40"/>
              <w:rPr>
                <w:kern w:val="3"/>
                <w:szCs w:val="23"/>
                <w:lang w:eastAsia="zh-CN" w:bidi="hi-IN"/>
              </w:rPr>
            </w:pPr>
            <w:r w:rsidRPr="00E92571">
              <w:rPr>
                <w:kern w:val="3"/>
                <w:szCs w:val="23"/>
                <w:lang w:eastAsia="zh-CN" w:bidi="hi-IN"/>
              </w:rPr>
              <w:t>Pacific Judicial Education Programme</w:t>
            </w:r>
          </w:p>
        </w:tc>
      </w:tr>
      <w:tr w:rsidR="00A6008B" w:rsidRPr="00E92571" w:rsidTr="00A10125">
        <w:trPr>
          <w:jc w:val="center"/>
        </w:trPr>
        <w:tc>
          <w:tcPr>
            <w:tcW w:w="1383" w:type="dxa"/>
            <w:tcMar>
              <w:top w:w="0" w:type="dxa"/>
              <w:left w:w="108" w:type="dxa"/>
              <w:bottom w:w="0" w:type="dxa"/>
              <w:right w:w="108" w:type="dxa"/>
            </w:tcMar>
          </w:tcPr>
          <w:p w:rsidR="00A6008B" w:rsidRPr="00E92571" w:rsidRDefault="00A6008B" w:rsidP="00CB5421">
            <w:pPr>
              <w:spacing w:before="40" w:after="40"/>
              <w:jc w:val="right"/>
              <w:rPr>
                <w:rFonts w:cs="Arial"/>
                <w:kern w:val="3"/>
                <w:szCs w:val="23"/>
                <w:lang w:eastAsia="zh-CN" w:bidi="hi-IN"/>
              </w:rPr>
            </w:pPr>
            <w:r w:rsidRPr="00E92571">
              <w:rPr>
                <w:kern w:val="3"/>
                <w:szCs w:val="23"/>
                <w:lang w:eastAsia="zh-CN" w:bidi="hi-IN"/>
              </w:rPr>
              <w:t>PM&amp;E</w:t>
            </w:r>
          </w:p>
        </w:tc>
        <w:tc>
          <w:tcPr>
            <w:tcW w:w="281" w:type="dxa"/>
            <w:tcMar>
              <w:top w:w="0" w:type="dxa"/>
              <w:left w:w="108" w:type="dxa"/>
              <w:bottom w:w="0" w:type="dxa"/>
              <w:right w:w="108" w:type="dxa"/>
            </w:tcMar>
          </w:tcPr>
          <w:p w:rsidR="00A6008B" w:rsidRPr="00E92571" w:rsidRDefault="00A6008B" w:rsidP="00CB5421">
            <w:pPr>
              <w:spacing w:before="40" w:after="40"/>
              <w:rPr>
                <w:rFonts w:cs="Arial"/>
                <w:kern w:val="3"/>
                <w:szCs w:val="23"/>
                <w:lang w:eastAsia="zh-CN" w:bidi="hi-IN"/>
              </w:rPr>
            </w:pPr>
            <w:r w:rsidRPr="00E92571">
              <w:rPr>
                <w:kern w:val="3"/>
                <w:szCs w:val="23"/>
                <w:lang w:eastAsia="zh-CN" w:bidi="hi-IN"/>
              </w:rPr>
              <w:t>-</w:t>
            </w:r>
          </w:p>
        </w:tc>
        <w:tc>
          <w:tcPr>
            <w:tcW w:w="6241" w:type="dxa"/>
            <w:tcMar>
              <w:top w:w="0" w:type="dxa"/>
              <w:left w:w="108" w:type="dxa"/>
              <w:bottom w:w="0" w:type="dxa"/>
              <w:right w:w="108" w:type="dxa"/>
            </w:tcMar>
          </w:tcPr>
          <w:p w:rsidR="00A6008B" w:rsidRPr="00E92571" w:rsidRDefault="00A6008B" w:rsidP="00CB5421">
            <w:pPr>
              <w:spacing w:before="40" w:after="40"/>
              <w:rPr>
                <w:rFonts w:cs="Arial"/>
                <w:kern w:val="3"/>
                <w:szCs w:val="23"/>
                <w:lang w:eastAsia="zh-CN" w:bidi="hi-IN"/>
              </w:rPr>
            </w:pPr>
            <w:r w:rsidRPr="00E92571">
              <w:rPr>
                <w:kern w:val="3"/>
                <w:szCs w:val="23"/>
                <w:lang w:eastAsia="zh-CN" w:bidi="hi-IN"/>
              </w:rPr>
              <w:t>Performance Monitoring and Evaluation</w:t>
            </w:r>
          </w:p>
        </w:tc>
      </w:tr>
      <w:tr w:rsidR="00A6008B" w:rsidRPr="00E92571" w:rsidTr="00A10125">
        <w:trPr>
          <w:jc w:val="center"/>
        </w:trPr>
        <w:tc>
          <w:tcPr>
            <w:tcW w:w="1383" w:type="dxa"/>
            <w:tcMar>
              <w:top w:w="0" w:type="dxa"/>
              <w:left w:w="108" w:type="dxa"/>
              <w:bottom w:w="0" w:type="dxa"/>
              <w:right w:w="108" w:type="dxa"/>
            </w:tcMar>
          </w:tcPr>
          <w:p w:rsidR="00A6008B" w:rsidRPr="00E92571" w:rsidRDefault="00A6008B" w:rsidP="00CB5421">
            <w:pPr>
              <w:widowControl w:val="0"/>
              <w:suppressAutoHyphens/>
              <w:autoSpaceDN w:val="0"/>
              <w:spacing w:before="40" w:after="40"/>
              <w:jc w:val="right"/>
              <w:textAlignment w:val="baseline"/>
              <w:rPr>
                <w:rFonts w:cs="Arial"/>
                <w:kern w:val="3"/>
                <w:szCs w:val="23"/>
                <w:lang w:eastAsia="zh-CN" w:bidi="hi-IN"/>
              </w:rPr>
            </w:pPr>
            <w:r w:rsidRPr="00E92571">
              <w:rPr>
                <w:rFonts w:cs="Courier New"/>
                <w:kern w:val="3"/>
                <w:szCs w:val="23"/>
                <w:lang w:eastAsia="zh-CN" w:bidi="hi-IN"/>
              </w:rPr>
              <w:t>RF</w:t>
            </w:r>
          </w:p>
        </w:tc>
        <w:tc>
          <w:tcPr>
            <w:tcW w:w="281" w:type="dxa"/>
            <w:tcMar>
              <w:top w:w="0" w:type="dxa"/>
              <w:left w:w="108" w:type="dxa"/>
              <w:bottom w:w="0" w:type="dxa"/>
              <w:right w:w="108" w:type="dxa"/>
            </w:tcMar>
          </w:tcPr>
          <w:p w:rsidR="00A6008B" w:rsidRPr="00E92571" w:rsidRDefault="00A6008B" w:rsidP="00CB5421">
            <w:pPr>
              <w:widowControl w:val="0"/>
              <w:suppressAutoHyphens/>
              <w:autoSpaceDN w:val="0"/>
              <w:spacing w:before="40" w:after="40"/>
              <w:textAlignment w:val="baseline"/>
              <w:rPr>
                <w:rFonts w:cs="Arial"/>
                <w:kern w:val="3"/>
                <w:szCs w:val="23"/>
                <w:lang w:eastAsia="zh-CN" w:bidi="hi-IN"/>
              </w:rPr>
            </w:pPr>
            <w:r w:rsidRPr="00E92571">
              <w:rPr>
                <w:rFonts w:cs="Courier New"/>
                <w:kern w:val="3"/>
                <w:szCs w:val="23"/>
                <w:lang w:eastAsia="zh-CN" w:bidi="hi-IN"/>
              </w:rPr>
              <w:t>-</w:t>
            </w:r>
          </w:p>
        </w:tc>
        <w:tc>
          <w:tcPr>
            <w:tcW w:w="6241" w:type="dxa"/>
            <w:tcMar>
              <w:top w:w="0" w:type="dxa"/>
              <w:left w:w="108" w:type="dxa"/>
              <w:bottom w:w="0" w:type="dxa"/>
              <w:right w:w="108" w:type="dxa"/>
            </w:tcMar>
          </w:tcPr>
          <w:p w:rsidR="00A6008B" w:rsidRPr="00E92571" w:rsidRDefault="00A6008B" w:rsidP="00CB5421">
            <w:pPr>
              <w:widowControl w:val="0"/>
              <w:suppressAutoHyphens/>
              <w:autoSpaceDN w:val="0"/>
              <w:spacing w:before="40" w:after="40"/>
              <w:textAlignment w:val="baseline"/>
              <w:rPr>
                <w:rFonts w:cs="Arial"/>
                <w:kern w:val="3"/>
                <w:szCs w:val="23"/>
                <w:lang w:eastAsia="zh-CN" w:bidi="hi-IN"/>
              </w:rPr>
            </w:pPr>
            <w:r w:rsidRPr="00E92571">
              <w:rPr>
                <w:rFonts w:cs="Courier New"/>
                <w:kern w:val="3"/>
                <w:szCs w:val="23"/>
                <w:lang w:eastAsia="zh-CN" w:bidi="hi-IN"/>
              </w:rPr>
              <w:t>Responsive Fund</w:t>
            </w:r>
          </w:p>
        </w:tc>
      </w:tr>
      <w:tr w:rsidR="00A6008B" w:rsidRPr="00E92571" w:rsidTr="00A10125">
        <w:trPr>
          <w:jc w:val="center"/>
        </w:trPr>
        <w:tc>
          <w:tcPr>
            <w:tcW w:w="1383" w:type="dxa"/>
            <w:tcMar>
              <w:top w:w="0" w:type="dxa"/>
              <w:left w:w="108" w:type="dxa"/>
              <w:bottom w:w="0" w:type="dxa"/>
              <w:right w:w="108" w:type="dxa"/>
            </w:tcMar>
          </w:tcPr>
          <w:p w:rsidR="00A6008B" w:rsidRPr="00E92571" w:rsidRDefault="00A6008B" w:rsidP="00CB5421">
            <w:pPr>
              <w:widowControl w:val="0"/>
              <w:suppressAutoHyphens/>
              <w:autoSpaceDN w:val="0"/>
              <w:spacing w:before="40" w:after="40"/>
              <w:jc w:val="right"/>
              <w:textAlignment w:val="baseline"/>
              <w:rPr>
                <w:rFonts w:cs="Arial"/>
                <w:kern w:val="3"/>
                <w:szCs w:val="23"/>
                <w:lang w:eastAsia="zh-CN" w:bidi="hi-IN"/>
              </w:rPr>
            </w:pPr>
            <w:r w:rsidRPr="00E92571">
              <w:rPr>
                <w:rFonts w:cs="Courier New"/>
                <w:kern w:val="3"/>
                <w:szCs w:val="23"/>
                <w:lang w:eastAsia="zh-CN" w:bidi="hi-IN"/>
              </w:rPr>
              <w:t>RTT</w:t>
            </w:r>
          </w:p>
        </w:tc>
        <w:tc>
          <w:tcPr>
            <w:tcW w:w="281" w:type="dxa"/>
            <w:tcMar>
              <w:top w:w="0" w:type="dxa"/>
              <w:left w:w="108" w:type="dxa"/>
              <w:bottom w:w="0" w:type="dxa"/>
              <w:right w:w="108" w:type="dxa"/>
            </w:tcMar>
          </w:tcPr>
          <w:p w:rsidR="00A6008B" w:rsidRPr="00E92571" w:rsidRDefault="00A6008B" w:rsidP="00CB5421">
            <w:pPr>
              <w:widowControl w:val="0"/>
              <w:suppressAutoHyphens/>
              <w:autoSpaceDN w:val="0"/>
              <w:spacing w:before="40" w:after="40"/>
              <w:textAlignment w:val="baseline"/>
              <w:rPr>
                <w:rFonts w:cs="Arial"/>
                <w:kern w:val="3"/>
                <w:szCs w:val="23"/>
                <w:lang w:eastAsia="zh-CN" w:bidi="hi-IN"/>
              </w:rPr>
            </w:pPr>
            <w:r w:rsidRPr="00E92571">
              <w:rPr>
                <w:rFonts w:cs="Courier New"/>
                <w:kern w:val="3"/>
                <w:szCs w:val="23"/>
                <w:lang w:eastAsia="zh-CN" w:bidi="hi-IN"/>
              </w:rPr>
              <w:t>-</w:t>
            </w:r>
          </w:p>
        </w:tc>
        <w:tc>
          <w:tcPr>
            <w:tcW w:w="6241" w:type="dxa"/>
            <w:tcMar>
              <w:top w:w="0" w:type="dxa"/>
              <w:left w:w="108" w:type="dxa"/>
              <w:bottom w:w="0" w:type="dxa"/>
              <w:right w:w="108" w:type="dxa"/>
            </w:tcMar>
          </w:tcPr>
          <w:p w:rsidR="00A6008B" w:rsidRPr="00E92571" w:rsidRDefault="00A6008B" w:rsidP="00CB5421">
            <w:pPr>
              <w:widowControl w:val="0"/>
              <w:suppressAutoHyphens/>
              <w:autoSpaceDN w:val="0"/>
              <w:spacing w:before="40" w:after="40"/>
              <w:textAlignment w:val="baseline"/>
              <w:rPr>
                <w:rFonts w:cs="Arial"/>
                <w:kern w:val="3"/>
                <w:szCs w:val="23"/>
                <w:lang w:eastAsia="zh-CN" w:bidi="hi-IN"/>
              </w:rPr>
            </w:pPr>
            <w:r w:rsidRPr="00E92571">
              <w:rPr>
                <w:rFonts w:cs="Courier New"/>
                <w:kern w:val="3"/>
                <w:szCs w:val="23"/>
                <w:lang w:eastAsia="zh-CN" w:bidi="hi-IN"/>
              </w:rPr>
              <w:t>Regional Training Team</w:t>
            </w:r>
          </w:p>
        </w:tc>
      </w:tr>
      <w:tr w:rsidR="00A6008B" w:rsidRPr="00E92571" w:rsidTr="00A10125">
        <w:trPr>
          <w:jc w:val="center"/>
        </w:trPr>
        <w:tc>
          <w:tcPr>
            <w:tcW w:w="1383" w:type="dxa"/>
            <w:tcMar>
              <w:top w:w="0" w:type="dxa"/>
              <w:left w:w="108" w:type="dxa"/>
              <w:bottom w:w="0" w:type="dxa"/>
              <w:right w:w="108" w:type="dxa"/>
            </w:tcMar>
          </w:tcPr>
          <w:p w:rsidR="00A6008B" w:rsidRPr="00E92571" w:rsidRDefault="00A6008B" w:rsidP="00CB5421">
            <w:pPr>
              <w:widowControl w:val="0"/>
              <w:suppressAutoHyphens/>
              <w:autoSpaceDN w:val="0"/>
              <w:spacing w:before="40" w:after="40"/>
              <w:jc w:val="right"/>
              <w:textAlignment w:val="baseline"/>
              <w:rPr>
                <w:rFonts w:cs="Courier New"/>
                <w:kern w:val="3"/>
                <w:szCs w:val="23"/>
                <w:lang w:eastAsia="zh-CN" w:bidi="hi-IN"/>
              </w:rPr>
            </w:pPr>
            <w:r w:rsidRPr="00E92571">
              <w:rPr>
                <w:rFonts w:cs="Courier New"/>
                <w:kern w:val="3"/>
                <w:szCs w:val="23"/>
                <w:lang w:eastAsia="zh-CN" w:bidi="hi-IN"/>
              </w:rPr>
              <w:t>TA</w:t>
            </w:r>
          </w:p>
        </w:tc>
        <w:tc>
          <w:tcPr>
            <w:tcW w:w="281" w:type="dxa"/>
            <w:tcMar>
              <w:top w:w="0" w:type="dxa"/>
              <w:left w:w="108" w:type="dxa"/>
              <w:bottom w:w="0" w:type="dxa"/>
              <w:right w:w="108" w:type="dxa"/>
            </w:tcMar>
          </w:tcPr>
          <w:p w:rsidR="00A6008B" w:rsidRPr="00E92571" w:rsidRDefault="00A6008B" w:rsidP="00CB5421">
            <w:pPr>
              <w:widowControl w:val="0"/>
              <w:suppressAutoHyphens/>
              <w:autoSpaceDN w:val="0"/>
              <w:spacing w:before="40" w:after="40"/>
              <w:textAlignment w:val="baseline"/>
              <w:rPr>
                <w:rFonts w:cs="Courier New"/>
                <w:kern w:val="3"/>
                <w:szCs w:val="23"/>
                <w:lang w:eastAsia="zh-CN" w:bidi="hi-IN"/>
              </w:rPr>
            </w:pPr>
            <w:r>
              <w:rPr>
                <w:rFonts w:cs="Courier New"/>
                <w:kern w:val="3"/>
                <w:szCs w:val="23"/>
                <w:lang w:eastAsia="zh-CN" w:bidi="hi-IN"/>
              </w:rPr>
              <w:t>-</w:t>
            </w:r>
          </w:p>
        </w:tc>
        <w:tc>
          <w:tcPr>
            <w:tcW w:w="6241" w:type="dxa"/>
            <w:tcMar>
              <w:top w:w="0" w:type="dxa"/>
              <w:left w:w="108" w:type="dxa"/>
              <w:bottom w:w="0" w:type="dxa"/>
              <w:right w:w="108" w:type="dxa"/>
            </w:tcMar>
          </w:tcPr>
          <w:p w:rsidR="00A6008B" w:rsidRPr="00E92571" w:rsidRDefault="00A6008B" w:rsidP="00CB5421">
            <w:pPr>
              <w:widowControl w:val="0"/>
              <w:suppressAutoHyphens/>
              <w:autoSpaceDN w:val="0"/>
              <w:spacing w:before="40" w:after="40"/>
              <w:textAlignment w:val="baseline"/>
              <w:rPr>
                <w:rFonts w:cs="Courier New"/>
                <w:kern w:val="3"/>
                <w:szCs w:val="23"/>
                <w:lang w:eastAsia="zh-CN" w:bidi="hi-IN"/>
              </w:rPr>
            </w:pPr>
            <w:r w:rsidRPr="00E92571">
              <w:rPr>
                <w:rFonts w:cs="Courier New"/>
                <w:kern w:val="3"/>
                <w:szCs w:val="23"/>
                <w:lang w:eastAsia="zh-CN" w:bidi="hi-IN"/>
              </w:rPr>
              <w:t>Technical Adviser</w:t>
            </w:r>
          </w:p>
        </w:tc>
      </w:tr>
      <w:tr w:rsidR="00A6008B" w:rsidRPr="00E92571" w:rsidTr="00A10125">
        <w:trPr>
          <w:jc w:val="center"/>
        </w:trPr>
        <w:tc>
          <w:tcPr>
            <w:tcW w:w="1383" w:type="dxa"/>
            <w:tcMar>
              <w:top w:w="0" w:type="dxa"/>
              <w:left w:w="108" w:type="dxa"/>
              <w:bottom w:w="0" w:type="dxa"/>
              <w:right w:w="108" w:type="dxa"/>
            </w:tcMar>
          </w:tcPr>
          <w:p w:rsidR="00A6008B" w:rsidRPr="00E92571" w:rsidRDefault="00A6008B" w:rsidP="00CB5421">
            <w:pPr>
              <w:widowControl w:val="0"/>
              <w:suppressAutoHyphens/>
              <w:autoSpaceDN w:val="0"/>
              <w:spacing w:before="40" w:after="40"/>
              <w:jc w:val="right"/>
              <w:textAlignment w:val="baseline"/>
              <w:rPr>
                <w:rFonts w:cs="Arial"/>
                <w:kern w:val="3"/>
                <w:szCs w:val="23"/>
                <w:lang w:eastAsia="zh-CN" w:bidi="hi-IN"/>
              </w:rPr>
            </w:pPr>
            <w:r w:rsidRPr="00E92571">
              <w:rPr>
                <w:rFonts w:cs="Courier New"/>
                <w:kern w:val="3"/>
                <w:szCs w:val="23"/>
                <w:lang w:eastAsia="zh-CN" w:bidi="hi-IN"/>
              </w:rPr>
              <w:t>ToT</w:t>
            </w:r>
          </w:p>
        </w:tc>
        <w:tc>
          <w:tcPr>
            <w:tcW w:w="281" w:type="dxa"/>
            <w:tcMar>
              <w:top w:w="0" w:type="dxa"/>
              <w:left w:w="108" w:type="dxa"/>
              <w:bottom w:w="0" w:type="dxa"/>
              <w:right w:w="108" w:type="dxa"/>
            </w:tcMar>
          </w:tcPr>
          <w:p w:rsidR="00A6008B" w:rsidRPr="00E92571" w:rsidRDefault="00A6008B" w:rsidP="00CB5421">
            <w:pPr>
              <w:widowControl w:val="0"/>
              <w:suppressAutoHyphens/>
              <w:autoSpaceDN w:val="0"/>
              <w:spacing w:before="40" w:after="40"/>
              <w:textAlignment w:val="baseline"/>
              <w:rPr>
                <w:rFonts w:cs="Arial"/>
                <w:kern w:val="3"/>
                <w:szCs w:val="23"/>
                <w:lang w:eastAsia="zh-CN" w:bidi="hi-IN"/>
              </w:rPr>
            </w:pPr>
            <w:r w:rsidRPr="00E92571">
              <w:rPr>
                <w:rFonts w:cs="Courier New"/>
                <w:kern w:val="3"/>
                <w:szCs w:val="23"/>
                <w:lang w:eastAsia="zh-CN" w:bidi="hi-IN"/>
              </w:rPr>
              <w:t>-</w:t>
            </w:r>
          </w:p>
        </w:tc>
        <w:tc>
          <w:tcPr>
            <w:tcW w:w="6241" w:type="dxa"/>
            <w:tcMar>
              <w:top w:w="0" w:type="dxa"/>
              <w:left w:w="108" w:type="dxa"/>
              <w:bottom w:w="0" w:type="dxa"/>
              <w:right w:w="108" w:type="dxa"/>
            </w:tcMar>
          </w:tcPr>
          <w:p w:rsidR="00A6008B" w:rsidRPr="00E92571" w:rsidRDefault="00A6008B" w:rsidP="00CB5421">
            <w:pPr>
              <w:widowControl w:val="0"/>
              <w:suppressAutoHyphens/>
              <w:autoSpaceDN w:val="0"/>
              <w:spacing w:before="40" w:after="40"/>
              <w:textAlignment w:val="baseline"/>
              <w:rPr>
                <w:rFonts w:cs="Arial"/>
                <w:kern w:val="3"/>
                <w:szCs w:val="23"/>
                <w:lang w:eastAsia="zh-CN" w:bidi="hi-IN"/>
              </w:rPr>
            </w:pPr>
            <w:r w:rsidRPr="00E92571">
              <w:rPr>
                <w:rFonts w:cs="Courier New"/>
                <w:kern w:val="3"/>
                <w:szCs w:val="23"/>
                <w:lang w:eastAsia="zh-CN" w:bidi="hi-IN"/>
              </w:rPr>
              <w:t>Training-of-Trainers</w:t>
            </w:r>
          </w:p>
        </w:tc>
      </w:tr>
    </w:tbl>
    <w:p w:rsidR="00A6008B" w:rsidRPr="00E92571" w:rsidRDefault="00A6008B" w:rsidP="00D941F6">
      <w:pPr>
        <w:rPr>
          <w:kern w:val="32"/>
          <w:lang w:eastAsia="en-US"/>
        </w:rPr>
      </w:pPr>
    </w:p>
    <w:p w:rsidR="00A6008B" w:rsidRPr="00E92571" w:rsidRDefault="00A6008B" w:rsidP="00E94BEE">
      <w:pPr>
        <w:spacing w:before="120" w:after="120"/>
        <w:rPr>
          <w:rFonts w:cs="Courier New"/>
          <w:szCs w:val="21"/>
        </w:rPr>
      </w:pPr>
    </w:p>
    <w:p w:rsidR="00A6008B" w:rsidRPr="00E92571" w:rsidRDefault="00A6008B" w:rsidP="00E94BEE">
      <w:pPr>
        <w:spacing w:before="120" w:after="120"/>
        <w:rPr>
          <w:rFonts w:cs="Courier New"/>
          <w:szCs w:val="21"/>
        </w:rPr>
      </w:pPr>
    </w:p>
    <w:p w:rsidR="00A6008B" w:rsidRPr="00E92571" w:rsidRDefault="00A6008B" w:rsidP="00E94BEE">
      <w:pPr>
        <w:keepNext/>
        <w:spacing w:before="120" w:after="120"/>
        <w:ind w:left="720" w:hanging="720"/>
        <w:outlineLvl w:val="0"/>
        <w:rPr>
          <w:b/>
          <w:bCs/>
          <w:smallCaps/>
          <w:kern w:val="32"/>
          <w:sz w:val="28"/>
          <w:szCs w:val="28"/>
          <w:lang w:eastAsia="en-US"/>
        </w:rPr>
        <w:sectPr w:rsidR="00A6008B" w:rsidRPr="00E92571" w:rsidSect="009E0B87">
          <w:headerReference w:type="default" r:id="rId11"/>
          <w:footerReference w:type="default" r:id="rId12"/>
          <w:pgSz w:w="11907" w:h="16840" w:code="9"/>
          <w:pgMar w:top="1361" w:right="1361" w:bottom="1361" w:left="1418" w:header="397" w:footer="680" w:gutter="0"/>
          <w:pgNumType w:fmt="lowerRoman" w:start="1"/>
          <w:cols w:space="708"/>
          <w:docGrid w:linePitch="360"/>
        </w:sectPr>
      </w:pPr>
    </w:p>
    <w:p w:rsidR="00A6008B" w:rsidRPr="00E92571" w:rsidRDefault="00A6008B" w:rsidP="00D200DC">
      <w:pPr>
        <w:pStyle w:val="Heading1"/>
        <w:spacing w:before="120"/>
        <w:rPr>
          <w:lang w:val="en-AU"/>
        </w:rPr>
      </w:pPr>
      <w:bookmarkStart w:id="27" w:name="_Toc354644442"/>
      <w:bookmarkEnd w:id="6"/>
      <w:r w:rsidRPr="00E92571">
        <w:rPr>
          <w:lang w:val="en-AU"/>
        </w:rPr>
        <w:t>Executive Summary</w:t>
      </w:r>
      <w:bookmarkEnd w:id="7"/>
      <w:bookmarkEnd w:id="27"/>
    </w:p>
    <w:p w:rsidR="00A6008B" w:rsidRPr="00F84321" w:rsidRDefault="00A6008B" w:rsidP="00C037A7">
      <w:pPr>
        <w:rPr>
          <w:sz w:val="20"/>
          <w:highlight w:val="yellow"/>
          <w:lang w:eastAsia="en-US"/>
        </w:rPr>
      </w:pPr>
    </w:p>
    <w:p w:rsidR="00A6008B" w:rsidRPr="00E92571" w:rsidRDefault="00A6008B" w:rsidP="00C823EF">
      <w:pPr>
        <w:rPr>
          <w:kern w:val="32"/>
          <w:lang w:eastAsia="en-US"/>
        </w:rPr>
      </w:pPr>
      <w:r w:rsidRPr="00E92571">
        <w:rPr>
          <w:szCs w:val="23"/>
          <w:lang w:eastAsia="en-US"/>
        </w:rPr>
        <w:t xml:space="preserve">The purpose of this document is to provide stakeholders of the Pacific Judicial Development Programme (PJDP) with a detailed costed 24-month Extension Plan for the extension of support for the period 1 July 2013 - 30 June 2015 (hereafter: the 24-month Extension Plan, or Plan). </w:t>
      </w:r>
      <w:r w:rsidRPr="00E92571">
        <w:rPr>
          <w:kern w:val="32"/>
          <w:lang w:eastAsia="en-US"/>
        </w:rPr>
        <w:t>It includes detailed activity descriptions, together with annexes including budget, workplan and monitoring and evaluation framework (MEF).</w:t>
      </w:r>
    </w:p>
    <w:p w:rsidR="00A6008B" w:rsidRPr="00F84321" w:rsidRDefault="00A6008B">
      <w:pPr>
        <w:rPr>
          <w:sz w:val="20"/>
          <w:szCs w:val="23"/>
          <w:lang w:eastAsia="en-US"/>
        </w:rPr>
      </w:pPr>
    </w:p>
    <w:p w:rsidR="00A6008B" w:rsidRPr="00E92571" w:rsidRDefault="00A6008B" w:rsidP="00017C6B">
      <w:pPr>
        <w:rPr>
          <w:lang w:eastAsia="en-US"/>
        </w:rPr>
      </w:pPr>
      <w:r w:rsidRPr="00E92571">
        <w:rPr>
          <w:lang w:eastAsia="en-US"/>
        </w:rPr>
        <w:t xml:space="preserve">The PJDP is a regional programme of assistance that is designed to contribute to strengthening the region’s judiciaries as a central pillar of good governance and the rule of law.  It operates in 14 Pacific Island Countries (PICs), namely: Cook Islands, Federated States of Micronesia, Kiribati, Marshall Islands, Nauru, Niue, Palau, Papua New Guinea, Samoa, Solomon Islands, Tokelau, Tonga, Tuvalu and Vanuatu.  The Programme is currently supported by the New Zealand Ministry of Foreign Affairs and Trade (MFAT).  </w:t>
      </w:r>
    </w:p>
    <w:p w:rsidR="00A6008B" w:rsidRPr="00E92571" w:rsidRDefault="00A6008B">
      <w:pPr>
        <w:rPr>
          <w:szCs w:val="23"/>
          <w:lang w:eastAsia="en-US"/>
        </w:rPr>
      </w:pPr>
    </w:p>
    <w:p w:rsidR="00A6008B" w:rsidRPr="00E92571" w:rsidRDefault="00A6008B">
      <w:pPr>
        <w:rPr>
          <w:b/>
          <w:szCs w:val="23"/>
          <w:lang w:eastAsia="en-US"/>
        </w:rPr>
      </w:pPr>
      <w:r w:rsidRPr="00E92571">
        <w:rPr>
          <w:b/>
          <w:szCs w:val="23"/>
          <w:lang w:eastAsia="en-US"/>
        </w:rPr>
        <w:t>a</w:t>
      </w:r>
      <w:r w:rsidRPr="00E92571">
        <w:rPr>
          <w:b/>
          <w:szCs w:val="23"/>
          <w:lang w:eastAsia="en-US"/>
        </w:rPr>
        <w:tab/>
        <w:t>Context</w:t>
      </w:r>
    </w:p>
    <w:p w:rsidR="00A6008B" w:rsidRPr="00F84321" w:rsidRDefault="00A6008B">
      <w:pPr>
        <w:rPr>
          <w:sz w:val="16"/>
          <w:szCs w:val="23"/>
          <w:lang w:eastAsia="en-US"/>
        </w:rPr>
      </w:pPr>
    </w:p>
    <w:p w:rsidR="00A6008B" w:rsidRPr="00E92571" w:rsidRDefault="00A6008B">
      <w:pPr>
        <w:rPr>
          <w:szCs w:val="23"/>
        </w:rPr>
      </w:pPr>
      <w:r w:rsidRPr="00E92571">
        <w:rPr>
          <w:szCs w:val="23"/>
          <w:lang w:eastAsia="en-US"/>
        </w:rPr>
        <w:t xml:space="preserve">Over the years, the courts of the Pacific have administered justice across the region with modest levels of resources. Justice service providers - being judges, court officers and lay magistrates - generally administered justice without the support of ongoing judicial development and training programmes. </w:t>
      </w:r>
    </w:p>
    <w:p w:rsidR="00A6008B" w:rsidRPr="00F84321" w:rsidRDefault="00A6008B" w:rsidP="00C037A7">
      <w:pPr>
        <w:rPr>
          <w:sz w:val="20"/>
          <w:lang w:eastAsia="en-US"/>
        </w:rPr>
      </w:pPr>
    </w:p>
    <w:p w:rsidR="00A6008B" w:rsidRPr="00E92571" w:rsidRDefault="00A6008B" w:rsidP="00F436F7">
      <w:pPr>
        <w:rPr>
          <w:szCs w:val="23"/>
          <w:lang w:eastAsia="en-US"/>
        </w:rPr>
      </w:pPr>
      <w:r w:rsidRPr="00E92571">
        <w:rPr>
          <w:szCs w:val="23"/>
          <w:lang w:eastAsia="en-US"/>
        </w:rPr>
        <w:t xml:space="preserve">Since the mid 1990’s, the Chief Justices of 14 Pacific Island Countries (PICs) have sought to strengthen the administration of justice through the establishment of the Pacific Judicial Education Programme (PJEP: 1999-2004) with the support of donors. This support was extended by AusAID through the Interim Regional Judicial Development Programme (IRJDP 2004-2006) and thenby the Pacific Judicial Development Programme (PJDP Phase 1: 2006-2008). </w:t>
      </w:r>
      <w:r w:rsidRPr="00E92571">
        <w:rPr>
          <w:lang w:eastAsia="en-US"/>
        </w:rPr>
        <w:t xml:space="preserve">Phase 2 of the PJDP commenced on 6 July 2010 </w:t>
      </w:r>
      <w:r>
        <w:rPr>
          <w:lang w:eastAsia="en-US"/>
        </w:rPr>
        <w:t>which</w:t>
      </w:r>
      <w:r w:rsidRPr="00E92571">
        <w:rPr>
          <w:lang w:eastAsia="en-US"/>
        </w:rPr>
        <w:t>, following</w:t>
      </w:r>
      <w:r w:rsidRPr="00E92571">
        <w:rPr>
          <w:szCs w:val="23"/>
          <w:lang w:eastAsia="en-US"/>
        </w:rPr>
        <w:t xml:space="preserve"> two e</w:t>
      </w:r>
      <w:r w:rsidRPr="00E92571">
        <w:rPr>
          <w:lang w:eastAsia="en-US"/>
        </w:rPr>
        <w:t>x</w:t>
      </w:r>
      <w:r w:rsidRPr="00E92571">
        <w:rPr>
          <w:szCs w:val="23"/>
          <w:lang w:eastAsia="en-US"/>
        </w:rPr>
        <w:t>tensions,</w:t>
      </w:r>
      <w:r w:rsidRPr="00E92571">
        <w:rPr>
          <w:lang w:eastAsia="en-US"/>
        </w:rPr>
        <w:t xml:space="preserve"> will </w:t>
      </w:r>
      <w:r>
        <w:rPr>
          <w:lang w:eastAsia="en-US"/>
        </w:rPr>
        <w:t xml:space="preserve">now </w:t>
      </w:r>
      <w:r w:rsidRPr="00E92571">
        <w:rPr>
          <w:lang w:eastAsia="en-US"/>
        </w:rPr>
        <w:t>conclude on 30 June 2015. The initial contract was for two year, which was extended first to three, and most recently to five years.  The budget allocation for the current two year extension is approximately AUD 3.8 million.</w:t>
      </w:r>
    </w:p>
    <w:p w:rsidR="00A6008B" w:rsidRPr="00F84321" w:rsidRDefault="00A6008B" w:rsidP="008D2477">
      <w:pPr>
        <w:rPr>
          <w:sz w:val="20"/>
          <w:szCs w:val="23"/>
          <w:lang w:eastAsia="en-US"/>
        </w:rPr>
      </w:pPr>
    </w:p>
    <w:p w:rsidR="00A6008B" w:rsidRPr="00E92571" w:rsidRDefault="00A6008B" w:rsidP="00EF53FE">
      <w:pPr>
        <w:rPr>
          <w:szCs w:val="23"/>
        </w:rPr>
      </w:pPr>
      <w:r w:rsidRPr="00E92571">
        <w:rPr>
          <w:szCs w:val="23"/>
          <w:lang w:eastAsia="en-US"/>
        </w:rPr>
        <w:t>During this phase, the goal and purpose of PJDP has been to strengthen governance and the rule of law in PICs through support to enhance the professional competence of judicial officers and court officers, and the processes and systems that they use.  </w:t>
      </w:r>
    </w:p>
    <w:p w:rsidR="00A6008B" w:rsidRPr="00E92571" w:rsidRDefault="00A6008B" w:rsidP="006E399D">
      <w:pPr>
        <w:rPr>
          <w:rFonts w:cs="Arial"/>
          <w:szCs w:val="23"/>
          <w:lang w:eastAsia="en-US"/>
        </w:rPr>
      </w:pPr>
    </w:p>
    <w:p w:rsidR="00A6008B" w:rsidRPr="00E92571" w:rsidRDefault="00A6008B" w:rsidP="006E399D">
      <w:pPr>
        <w:rPr>
          <w:rFonts w:cs="Arial"/>
          <w:b/>
          <w:szCs w:val="23"/>
          <w:lang w:eastAsia="en-US"/>
        </w:rPr>
      </w:pPr>
      <w:r w:rsidRPr="00E92571">
        <w:rPr>
          <w:rFonts w:cs="Arial"/>
          <w:b/>
          <w:szCs w:val="23"/>
          <w:lang w:eastAsia="en-US"/>
        </w:rPr>
        <w:t>b</w:t>
      </w:r>
      <w:r w:rsidRPr="00E92571">
        <w:rPr>
          <w:rFonts w:cs="Arial"/>
          <w:b/>
          <w:szCs w:val="23"/>
          <w:lang w:eastAsia="en-US"/>
        </w:rPr>
        <w:tab/>
        <w:t>Process</w:t>
      </w:r>
    </w:p>
    <w:p w:rsidR="00A6008B" w:rsidRPr="00F84321" w:rsidRDefault="00A6008B" w:rsidP="006E399D">
      <w:pPr>
        <w:rPr>
          <w:sz w:val="16"/>
          <w:szCs w:val="23"/>
        </w:rPr>
      </w:pPr>
    </w:p>
    <w:p w:rsidR="00A6008B" w:rsidRPr="00E92571" w:rsidRDefault="00A6008B" w:rsidP="007C76E3">
      <w:pPr>
        <w:rPr>
          <w:rFonts w:cs="Arial"/>
          <w:szCs w:val="23"/>
        </w:rPr>
      </w:pPr>
      <w:r w:rsidRPr="00E92571">
        <w:rPr>
          <w:rFonts w:cs="Arial"/>
          <w:szCs w:val="23"/>
          <w:lang w:eastAsia="en-US"/>
        </w:rPr>
        <w:t xml:space="preserve">The Management Services Contractor (MSC) was tasked to develop this 24-month Extension Plan by the Programme Executive Committee (PEC) at its meeting in </w:t>
      </w:r>
      <w:r w:rsidRPr="00E92571">
        <w:rPr>
          <w:rFonts w:cs="Arial"/>
          <w:szCs w:val="23"/>
        </w:rPr>
        <w:t>Honiara, Solomon Islands on 4-5 November, 2012</w:t>
      </w:r>
      <w:r w:rsidRPr="00E92571">
        <w:rPr>
          <w:rFonts w:cs="Arial"/>
          <w:szCs w:val="23"/>
          <w:lang w:eastAsia="en-US"/>
        </w:rPr>
        <w:t xml:space="preserve">. At that meeting, </w:t>
      </w:r>
      <w:r w:rsidRPr="00E92571">
        <w:rPr>
          <w:rFonts w:cs="Arial"/>
          <w:szCs w:val="23"/>
        </w:rPr>
        <w:t>MFAT directed thatthis Plan build on PJDP’s existing structure and activities.  Accordingly, this design is limited and does not constitute a full redesign for the purpose of any new phase (after July 2015), owing to tendering requirements that prohibit the MSC from performing that role. The MSC agreed to undertake this design on the basis that there was no opportunity due to limited timeframes to either refresh the earlier needs assessment or to consult with stakeholders in detail prior to submitting the draft proposal to the leadership meetings which took place in Auckland in March 2013.</w:t>
      </w:r>
    </w:p>
    <w:p w:rsidR="00A6008B" w:rsidRPr="00F84321" w:rsidRDefault="00A6008B" w:rsidP="007C76E3">
      <w:pPr>
        <w:rPr>
          <w:rFonts w:cs="Arial"/>
          <w:sz w:val="20"/>
          <w:szCs w:val="23"/>
        </w:rPr>
      </w:pPr>
    </w:p>
    <w:p w:rsidR="00A6008B" w:rsidRPr="00E92571" w:rsidRDefault="00A6008B" w:rsidP="007C76E3">
      <w:pPr>
        <w:rPr>
          <w:szCs w:val="23"/>
          <w:lang w:eastAsia="en-US"/>
        </w:rPr>
      </w:pPr>
      <w:r w:rsidRPr="00E92571">
        <w:t xml:space="preserve">The nature and content of this Plan is guided and informed by the leadership of PJDP’s stakeholders constituted in the PEC, and the November 2012 leadership meetings of Chief Justices and National Coordinators. It is also guided and refined through the feedback of stakeholders as a continuous element of PJDP’s </w:t>
      </w:r>
      <w:r w:rsidRPr="00E92571">
        <w:rPr>
          <w:szCs w:val="23"/>
        </w:rPr>
        <w:t xml:space="preserve">ongoing programme of activities and interaction. Furthermore,the regional leadership was re-consulted at the leadership meetings in Auckland between 10-19 March 2013 for the purpose of providing stakeholders with a timely participatory opportunity </w:t>
      </w:r>
      <w:r w:rsidRPr="00E92571">
        <w:rPr>
          <w:rFonts w:cs="Arial"/>
          <w:szCs w:val="23"/>
        </w:rPr>
        <w:t>to plan, coordinate, monitor and refine ongoing activities</w:t>
      </w:r>
      <w:r>
        <w:rPr>
          <w:rFonts w:cs="Arial"/>
          <w:szCs w:val="23"/>
        </w:rPr>
        <w:t>. This Plan embodies the feedback and refinements provided in those meetings</w:t>
      </w:r>
      <w:r w:rsidRPr="00E92571">
        <w:rPr>
          <w:rFonts w:cs="Arial"/>
          <w:szCs w:val="23"/>
        </w:rPr>
        <w:t>.</w:t>
      </w:r>
    </w:p>
    <w:p w:rsidR="00A6008B" w:rsidRPr="00E92571" w:rsidRDefault="00A6008B">
      <w:pPr>
        <w:rPr>
          <w:b/>
          <w:bCs/>
          <w:szCs w:val="23"/>
          <w:lang w:eastAsia="en-US"/>
        </w:rPr>
      </w:pPr>
      <w:r w:rsidRPr="00E92571">
        <w:rPr>
          <w:b/>
          <w:bCs/>
          <w:szCs w:val="23"/>
          <w:lang w:eastAsia="en-US"/>
        </w:rPr>
        <w:br w:type="page"/>
      </w:r>
    </w:p>
    <w:p w:rsidR="00A6008B" w:rsidRPr="00E92571" w:rsidRDefault="00A6008B">
      <w:pPr>
        <w:rPr>
          <w:b/>
          <w:bCs/>
          <w:szCs w:val="23"/>
          <w:lang w:eastAsia="en-US"/>
        </w:rPr>
      </w:pPr>
      <w:r w:rsidRPr="00E92571">
        <w:rPr>
          <w:b/>
          <w:bCs/>
          <w:szCs w:val="23"/>
          <w:lang w:eastAsia="en-US"/>
        </w:rPr>
        <w:t>c</w:t>
      </w:r>
      <w:r w:rsidRPr="00E92571">
        <w:rPr>
          <w:b/>
          <w:bCs/>
          <w:szCs w:val="23"/>
          <w:lang w:eastAsia="en-US"/>
        </w:rPr>
        <w:tab/>
        <w:t>Strategy</w:t>
      </w:r>
    </w:p>
    <w:p w:rsidR="00A6008B" w:rsidRPr="00F84321" w:rsidRDefault="00A6008B">
      <w:pPr>
        <w:rPr>
          <w:bCs/>
          <w:sz w:val="16"/>
          <w:szCs w:val="23"/>
          <w:lang w:eastAsia="en-US"/>
        </w:rPr>
      </w:pPr>
    </w:p>
    <w:p w:rsidR="00A6008B" w:rsidRPr="00E92571" w:rsidRDefault="00A6008B" w:rsidP="00072BA1">
      <w:pPr>
        <w:rPr>
          <w:lang w:eastAsia="en-US"/>
        </w:rPr>
      </w:pPr>
      <w:r w:rsidRPr="00E92571">
        <w:rPr>
          <w:lang w:eastAsia="en-US"/>
        </w:rPr>
        <w:t xml:space="preserve">This context and process explains the retention of </w:t>
      </w:r>
      <w:r w:rsidRPr="00E92571">
        <w:rPr>
          <w:rFonts w:cs="Arial"/>
          <w:szCs w:val="23"/>
          <w:lang w:eastAsia="en-US"/>
        </w:rPr>
        <w:t>the</w:t>
      </w:r>
      <w:r w:rsidRPr="00E92571">
        <w:rPr>
          <w:lang w:eastAsia="en-US"/>
        </w:rPr>
        <w:t xml:space="preserve"> Programme’s existing goal, purpose, vision, component structure, and activities </w:t>
      </w:r>
      <w:r w:rsidRPr="00E92571">
        <w:t>which are detailed in this Plan as the basis for proceeding forward</w:t>
      </w:r>
      <w:r w:rsidRPr="00E92571">
        <w:rPr>
          <w:lang w:eastAsia="en-US"/>
        </w:rPr>
        <w:t>.</w:t>
      </w:r>
    </w:p>
    <w:p w:rsidR="00A6008B" w:rsidRDefault="00A6008B" w:rsidP="009D18BA"/>
    <w:p w:rsidR="00A6008B" w:rsidRPr="00E92571" w:rsidRDefault="00A6008B" w:rsidP="009D18BA">
      <w:r>
        <w:t>The Programme is consolidating</w:t>
      </w:r>
      <w:r w:rsidRPr="00E92571">
        <w:t xml:space="preserve"> PJDP’s transition from its origins as a regional training project for judges and a capacity-building programme for courts, to a programme better informed by current local research to focus on beneficiaries’ actual needs on a more integrated basis.</w:t>
      </w:r>
      <w:r w:rsidRPr="00E92571">
        <w:rPr>
          <w:szCs w:val="23"/>
          <w:lang w:eastAsia="en-US"/>
        </w:rPr>
        <w:t xml:space="preserve">In its earlier years, the PJDP’s ‘theory of change’ may </w:t>
      </w:r>
      <w:r>
        <w:rPr>
          <w:szCs w:val="23"/>
          <w:lang w:eastAsia="en-US"/>
        </w:rPr>
        <w:t xml:space="preserve">have </w:t>
      </w:r>
      <w:r w:rsidRPr="00E92571">
        <w:rPr>
          <w:szCs w:val="23"/>
          <w:lang w:eastAsia="en-US"/>
        </w:rPr>
        <w:t>be</w:t>
      </w:r>
      <w:r>
        <w:rPr>
          <w:szCs w:val="23"/>
          <w:lang w:eastAsia="en-US"/>
        </w:rPr>
        <w:t>en</w:t>
      </w:r>
      <w:r w:rsidRPr="00E92571">
        <w:rPr>
          <w:szCs w:val="23"/>
          <w:lang w:eastAsia="en-US"/>
        </w:rPr>
        <w:t xml:space="preserve"> described as the notion that “...</w:t>
      </w:r>
      <w:r w:rsidRPr="00E92571">
        <w:rPr>
          <w:rFonts w:cs="Arial"/>
          <w:szCs w:val="23"/>
        </w:rPr>
        <w:t xml:space="preserve">institutional strengthening, through the development of management skills, </w:t>
      </w:r>
      <w:r w:rsidRPr="00E92571">
        <w:rPr>
          <w:rFonts w:cs="Courier New"/>
          <w:szCs w:val="23"/>
        </w:rPr>
        <w:t xml:space="preserve">and the increased availability of quality resources (in the form of technical assistance delivered regionally through capacity-building, leadership fora, toolkits and pilot projects, together with finance assistance delivered locally) will equip PICs to solve judicial development problems themselves, leading to improved service delivery and thereby </w:t>
      </w:r>
      <w:r w:rsidRPr="00E92571">
        <w:rPr>
          <w:rFonts w:cs="Arial"/>
          <w:szCs w:val="23"/>
        </w:rPr>
        <w:t xml:space="preserve">law and justice outcomes…” at the regional, national and local levels.  </w:t>
      </w:r>
    </w:p>
    <w:p w:rsidR="00A6008B" w:rsidRPr="00F84321" w:rsidRDefault="00A6008B">
      <w:pPr>
        <w:rPr>
          <w:bCs/>
          <w:sz w:val="20"/>
          <w:szCs w:val="23"/>
          <w:lang w:eastAsia="en-US"/>
        </w:rPr>
      </w:pPr>
    </w:p>
    <w:p w:rsidR="00A6008B" w:rsidRPr="00E92571" w:rsidRDefault="00A6008B" w:rsidP="009D18BA">
      <w:pPr>
        <w:rPr>
          <w:rFonts w:cs="Arial"/>
          <w:color w:val="000000"/>
          <w:szCs w:val="23"/>
        </w:rPr>
      </w:pPr>
      <w:r w:rsidRPr="00E92571">
        <w:rPr>
          <w:szCs w:val="23"/>
        </w:rPr>
        <w:t xml:space="preserve">PJDP is continually refining its overarching approach, specifically, to improving justice during this extension period through managing changes that (a) focus on delivering services to beneficiaries, (b) support the ‘demand’ for justice services as much as their ‘supply’, and (c) develop the responsiveness of service providers to addressing beneficiaries’ demands for service delivery. </w:t>
      </w:r>
      <w:r w:rsidRPr="00E92571">
        <w:rPr>
          <w:rFonts w:cs="Arial"/>
          <w:bCs/>
          <w:color w:val="000000"/>
          <w:szCs w:val="23"/>
        </w:rPr>
        <w:t>Hence, PJDP’s theory of change continues to evolve, and may now be described as</w:t>
      </w:r>
      <w:r>
        <w:rPr>
          <w:rFonts w:cs="Arial"/>
          <w:bCs/>
          <w:color w:val="000000"/>
          <w:szCs w:val="23"/>
        </w:rPr>
        <w:t xml:space="preserve"> follows</w:t>
      </w:r>
      <w:r w:rsidRPr="00E92571">
        <w:rPr>
          <w:rFonts w:cs="Arial"/>
          <w:bCs/>
          <w:color w:val="000000"/>
          <w:szCs w:val="23"/>
        </w:rPr>
        <w:t>:</w:t>
      </w:r>
      <w:r w:rsidRPr="00E92571">
        <w:rPr>
          <w:rFonts w:cs="Arial"/>
          <w:bCs/>
          <w:iCs/>
          <w:color w:val="000000"/>
          <w:szCs w:val="23"/>
        </w:rPr>
        <w:t>Judicial development and institutional strengthening (</w:t>
      </w:r>
      <w:r w:rsidRPr="00E92571">
        <w:rPr>
          <w:rFonts w:cs="Courier New"/>
          <w:bCs/>
          <w:iCs/>
          <w:color w:val="000000"/>
          <w:szCs w:val="23"/>
        </w:rPr>
        <w:t>in the form of technical assistance delivered through capacity-building, leadership fora, toolkits and pilot projects) linked to support for increased public awareness and access, will improve courts’ responsiveness to deliver services which enhance justice outcomes for beneficiaries</w:t>
      </w:r>
      <w:r w:rsidRPr="00E92571">
        <w:rPr>
          <w:rFonts w:cs="Arial"/>
          <w:bCs/>
          <w:iCs/>
          <w:color w:val="000000"/>
          <w:szCs w:val="23"/>
        </w:rPr>
        <w:t xml:space="preserve"> at the regional, national and local levels.</w:t>
      </w:r>
    </w:p>
    <w:p w:rsidR="00A6008B" w:rsidRPr="00E92571" w:rsidRDefault="00A6008B" w:rsidP="00A929CD">
      <w:pPr>
        <w:rPr>
          <w:szCs w:val="23"/>
          <w:lang w:eastAsia="en-US"/>
        </w:rPr>
      </w:pPr>
    </w:p>
    <w:p w:rsidR="00A6008B" w:rsidRPr="00E92571" w:rsidRDefault="00A6008B">
      <w:pPr>
        <w:rPr>
          <w:b/>
          <w:bCs/>
          <w:szCs w:val="23"/>
          <w:lang w:eastAsia="en-US"/>
        </w:rPr>
      </w:pPr>
      <w:r w:rsidRPr="00E92571">
        <w:rPr>
          <w:b/>
          <w:bCs/>
          <w:szCs w:val="23"/>
          <w:lang w:eastAsia="en-US"/>
        </w:rPr>
        <w:t>d</w:t>
      </w:r>
      <w:r w:rsidRPr="00E92571">
        <w:rPr>
          <w:b/>
          <w:bCs/>
          <w:szCs w:val="23"/>
          <w:lang w:eastAsia="en-US"/>
        </w:rPr>
        <w:tab/>
        <w:t>Projects and activities</w:t>
      </w:r>
    </w:p>
    <w:p w:rsidR="00A6008B" w:rsidRPr="00F84321" w:rsidRDefault="00A6008B" w:rsidP="009217CA">
      <w:pPr>
        <w:rPr>
          <w:bCs/>
          <w:sz w:val="16"/>
          <w:szCs w:val="23"/>
          <w:lang w:eastAsia="en-US"/>
        </w:rPr>
      </w:pPr>
    </w:p>
    <w:p w:rsidR="00A6008B" w:rsidRPr="00E92571" w:rsidRDefault="00A6008B" w:rsidP="009217CA">
      <w:pPr>
        <w:rPr>
          <w:sz w:val="16"/>
          <w:szCs w:val="23"/>
          <w:lang w:eastAsia="en-US"/>
        </w:rPr>
      </w:pPr>
      <w:r w:rsidRPr="00E92571">
        <w:rPr>
          <w:lang w:eastAsia="en-US"/>
        </w:rPr>
        <w:t xml:space="preserve">This </w:t>
      </w:r>
      <w:r>
        <w:rPr>
          <w:lang w:eastAsia="en-US"/>
        </w:rPr>
        <w:t>Plan</w:t>
      </w:r>
      <w:r w:rsidRPr="00E92571">
        <w:rPr>
          <w:szCs w:val="23"/>
          <w:lang w:eastAsia="en-US"/>
        </w:rPr>
        <w:t xml:space="preserve">adopts a range of ‘lessons learned’ by the MSC from its experience in managing the Programme over the preceding period of almost three years, which were outlined in its report dated 5 October 2012. The PEC noted at its last meeting in Honiara on 4-5 November 2012 that </w:t>
      </w:r>
      <w:r w:rsidRPr="00E92571">
        <w:rPr>
          <w:szCs w:val="23"/>
        </w:rPr>
        <w:t>there would be some opportunity for the MSC to address strategic considerations raised in this report relating, principally, to the overarching need for PJDP to: (a) refine</w:t>
      </w:r>
      <w:r w:rsidRPr="00E92571">
        <w:rPr>
          <w:szCs w:val="23"/>
          <w:lang w:eastAsia="en-US"/>
        </w:rPr>
        <w:t xml:space="preserve"> its continuing relevance as a regional assistance process by adopting a tighter focus to address specific problems that will improve the courts’ capacity, systems and procedures to deliver services that contribute improvements to the wellbeing of citizens and communities they serve locally and across the region; and, (b) to create the opportunities and incentives to enable and support stakeholders to more actively lead their own judicial development locally and regionally. </w:t>
      </w:r>
    </w:p>
    <w:p w:rsidR="00A6008B" w:rsidRPr="00F84321" w:rsidRDefault="00A6008B" w:rsidP="00C32F1F">
      <w:pPr>
        <w:rPr>
          <w:sz w:val="20"/>
          <w:szCs w:val="23"/>
          <w:lang w:eastAsia="en-US"/>
        </w:rPr>
      </w:pPr>
    </w:p>
    <w:p w:rsidR="00A6008B" w:rsidRPr="00E92571" w:rsidRDefault="00A6008B" w:rsidP="009217CA">
      <w:pPr>
        <w:rPr>
          <w:bCs/>
          <w:szCs w:val="23"/>
          <w:lang w:eastAsia="en-US"/>
        </w:rPr>
      </w:pPr>
      <w:r w:rsidRPr="00E92571">
        <w:rPr>
          <w:lang w:eastAsia="en-US"/>
        </w:rPr>
        <w:t xml:space="preserve">It also consolidates PJDP’s refined approach to providing both regional and local services as endorsed by stakeholders in their October 2011 and March / April 2012 meetings, specifically to support regional judicial leadership through fora meetings and networks, develop and implement pilot projects, develop local capacity to manage professional development, and develop tools and toolkits for use across the region. </w:t>
      </w:r>
    </w:p>
    <w:p w:rsidR="00A6008B" w:rsidRPr="00E92571" w:rsidRDefault="00A6008B">
      <w:pPr>
        <w:rPr>
          <w:szCs w:val="23"/>
          <w:lang w:eastAsia="en-US"/>
        </w:rPr>
      </w:pPr>
    </w:p>
    <w:p w:rsidR="00A6008B" w:rsidRPr="00E92571" w:rsidRDefault="00A6008B" w:rsidP="00C823EF">
      <w:pPr>
        <w:rPr>
          <w:b/>
          <w:bCs/>
          <w:szCs w:val="23"/>
          <w:lang w:eastAsia="en-US"/>
        </w:rPr>
      </w:pPr>
      <w:r w:rsidRPr="00E92571">
        <w:rPr>
          <w:b/>
          <w:bCs/>
          <w:szCs w:val="23"/>
          <w:lang w:eastAsia="en-US"/>
        </w:rPr>
        <w:t>e</w:t>
      </w:r>
      <w:r w:rsidRPr="00E92571">
        <w:rPr>
          <w:b/>
          <w:bCs/>
          <w:szCs w:val="23"/>
          <w:lang w:eastAsia="en-US"/>
        </w:rPr>
        <w:tab/>
        <w:t xml:space="preserve">Outcomes </w:t>
      </w:r>
    </w:p>
    <w:p w:rsidR="00A6008B" w:rsidRPr="00F84321" w:rsidRDefault="00A6008B" w:rsidP="00C823EF">
      <w:pPr>
        <w:rPr>
          <w:sz w:val="16"/>
          <w:szCs w:val="23"/>
        </w:rPr>
      </w:pPr>
    </w:p>
    <w:p w:rsidR="00A6008B" w:rsidRPr="00E92571" w:rsidRDefault="00A6008B" w:rsidP="00C823EF">
      <w:pPr>
        <w:rPr>
          <w:szCs w:val="23"/>
          <w:lang w:eastAsia="en-US"/>
        </w:rPr>
      </w:pPr>
      <w:r w:rsidRPr="00E92571">
        <w:rPr>
          <w:szCs w:val="23"/>
          <w:lang w:eastAsia="en-US"/>
        </w:rPr>
        <w:t>These activities will deliver the range of measurable programmatic outcomes that are detailed in this Plan. Collectively, these outcomes will contribute to strengthening governance and the rule of law by enhancing both regional and local capacity to develop the competence of judicial officers and court officers, and the processes and systems that they use.</w:t>
      </w:r>
    </w:p>
    <w:p w:rsidR="00A6008B" w:rsidRPr="00F84321" w:rsidRDefault="00A6008B" w:rsidP="00C823EF">
      <w:pPr>
        <w:rPr>
          <w:sz w:val="20"/>
          <w:szCs w:val="23"/>
        </w:rPr>
      </w:pPr>
    </w:p>
    <w:p w:rsidR="00A6008B" w:rsidRPr="00E92571" w:rsidRDefault="00A6008B">
      <w:pPr>
        <w:rPr>
          <w:szCs w:val="23"/>
          <w:lang w:eastAsia="en-US"/>
        </w:rPr>
      </w:pPr>
      <w:r w:rsidRPr="00E92571">
        <w:rPr>
          <w:szCs w:val="23"/>
          <w:lang w:eastAsia="en-US"/>
        </w:rPr>
        <w:t>In sum, the proposed 24-month Extension Plan extends the delivery of support through the existing 4 components -in 12 projects and a total of 7</w:t>
      </w:r>
      <w:r>
        <w:rPr>
          <w:szCs w:val="23"/>
          <w:lang w:eastAsia="en-US"/>
        </w:rPr>
        <w:t>7</w:t>
      </w:r>
      <w:r w:rsidRPr="00E92571">
        <w:rPr>
          <w:szCs w:val="23"/>
          <w:lang w:eastAsia="en-US"/>
        </w:rPr>
        <w:t xml:space="preserve">activities. Significantly, this represents a substantial value for money improvement constituted by a projected increase in activity productivity of more than </w:t>
      </w:r>
      <w:r>
        <w:rPr>
          <w:szCs w:val="23"/>
          <w:lang w:eastAsia="en-US"/>
        </w:rPr>
        <w:t>32</w:t>
      </w:r>
      <w:r w:rsidRPr="00E92571">
        <w:rPr>
          <w:szCs w:val="23"/>
          <w:lang w:eastAsia="en-US"/>
        </w:rPr>
        <w:t>% over the current period without any compromise of quality.  These projects and activitiesare outlined overleaf:-</w:t>
      </w:r>
      <w:r w:rsidRPr="00E92571">
        <w:rPr>
          <w:szCs w:val="23"/>
          <w:lang w:eastAsia="en-US"/>
        </w:rPr>
        <w:br w:type="page"/>
      </w:r>
    </w:p>
    <w:p w:rsidR="00A6008B" w:rsidRPr="00E92571" w:rsidRDefault="00A6008B">
      <w:pPr>
        <w:rPr>
          <w:sz w:val="16"/>
          <w:szCs w:val="23"/>
          <w:lang w:eastAsia="en-US"/>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2"/>
        <w:gridCol w:w="2217"/>
        <w:gridCol w:w="2391"/>
        <w:gridCol w:w="2243"/>
      </w:tblGrid>
      <w:tr w:rsidR="00A6008B" w:rsidRPr="00E92571" w:rsidTr="007053F3">
        <w:trPr>
          <w:trHeight w:val="60"/>
          <w:tblHeader/>
          <w:jc w:val="center"/>
        </w:trPr>
        <w:tc>
          <w:tcPr>
            <w:tcW w:w="2268" w:type="dxa"/>
            <w:shd w:val="clear" w:color="auto" w:fill="D9D9D9"/>
            <w:vAlign w:val="center"/>
          </w:tcPr>
          <w:p w:rsidR="00A6008B" w:rsidRPr="00E92571" w:rsidRDefault="00A6008B" w:rsidP="00BC4851">
            <w:pPr>
              <w:spacing w:before="60"/>
              <w:jc w:val="center"/>
              <w:rPr>
                <w:b/>
                <w:caps/>
                <w:smallCaps/>
                <w:szCs w:val="23"/>
                <w:lang w:eastAsia="en-US"/>
              </w:rPr>
            </w:pPr>
            <w:r w:rsidRPr="00E92571">
              <w:rPr>
                <w:b/>
                <w:smallCaps/>
                <w:szCs w:val="23"/>
                <w:lang w:eastAsia="en-US"/>
              </w:rPr>
              <w:t>Component 1</w:t>
            </w:r>
          </w:p>
          <w:p w:rsidR="00A6008B" w:rsidRPr="00E92571" w:rsidRDefault="00A6008B" w:rsidP="007053F3">
            <w:pPr>
              <w:spacing w:before="40" w:after="60"/>
              <w:jc w:val="center"/>
              <w:rPr>
                <w:b/>
                <w:caps/>
                <w:smallCaps/>
                <w:szCs w:val="23"/>
                <w:lang w:eastAsia="en-US"/>
              </w:rPr>
            </w:pPr>
            <w:r w:rsidRPr="00E92571">
              <w:rPr>
                <w:b/>
                <w:smallCaps/>
                <w:szCs w:val="23"/>
                <w:lang w:eastAsia="en-US"/>
              </w:rPr>
              <w:t>Access to Justice</w:t>
            </w:r>
          </w:p>
        </w:tc>
        <w:tc>
          <w:tcPr>
            <w:tcW w:w="2268" w:type="dxa"/>
            <w:shd w:val="clear" w:color="auto" w:fill="D9D9D9"/>
            <w:vAlign w:val="center"/>
          </w:tcPr>
          <w:p w:rsidR="00A6008B" w:rsidRPr="00E92571" w:rsidRDefault="00A6008B" w:rsidP="007053F3">
            <w:pPr>
              <w:spacing w:before="60"/>
              <w:jc w:val="center"/>
              <w:rPr>
                <w:b/>
                <w:caps/>
                <w:smallCaps/>
                <w:szCs w:val="23"/>
                <w:lang w:eastAsia="en-US"/>
              </w:rPr>
            </w:pPr>
            <w:r w:rsidRPr="00E92571">
              <w:rPr>
                <w:b/>
                <w:smallCaps/>
                <w:szCs w:val="23"/>
                <w:lang w:eastAsia="en-US"/>
              </w:rPr>
              <w:t xml:space="preserve">Component 2 </w:t>
            </w:r>
          </w:p>
          <w:p w:rsidR="00A6008B" w:rsidRPr="00E92571" w:rsidRDefault="00A6008B" w:rsidP="007053F3">
            <w:pPr>
              <w:spacing w:before="40" w:after="60"/>
              <w:jc w:val="center"/>
              <w:rPr>
                <w:b/>
                <w:caps/>
                <w:smallCaps/>
                <w:szCs w:val="23"/>
                <w:lang w:eastAsia="en-US"/>
              </w:rPr>
            </w:pPr>
            <w:r w:rsidRPr="00E92571">
              <w:rPr>
                <w:b/>
                <w:smallCaps/>
                <w:szCs w:val="23"/>
                <w:lang w:eastAsia="en-US"/>
              </w:rPr>
              <w:t>Governance</w:t>
            </w:r>
          </w:p>
        </w:tc>
        <w:tc>
          <w:tcPr>
            <w:tcW w:w="2268" w:type="dxa"/>
            <w:shd w:val="clear" w:color="auto" w:fill="D9D9D9"/>
            <w:vAlign w:val="center"/>
          </w:tcPr>
          <w:p w:rsidR="00A6008B" w:rsidRPr="00E92571" w:rsidRDefault="00A6008B" w:rsidP="00BC4851">
            <w:pPr>
              <w:spacing w:before="60"/>
              <w:jc w:val="center"/>
              <w:rPr>
                <w:b/>
                <w:caps/>
                <w:smallCaps/>
                <w:szCs w:val="23"/>
                <w:lang w:eastAsia="en-US"/>
              </w:rPr>
            </w:pPr>
            <w:r w:rsidRPr="00E92571">
              <w:rPr>
                <w:b/>
                <w:smallCaps/>
                <w:szCs w:val="23"/>
                <w:lang w:eastAsia="en-US"/>
              </w:rPr>
              <w:t>Component 3</w:t>
            </w:r>
          </w:p>
          <w:p w:rsidR="00A6008B" w:rsidRPr="00E92571" w:rsidRDefault="00A6008B" w:rsidP="007053F3">
            <w:pPr>
              <w:spacing w:before="40" w:after="60"/>
              <w:jc w:val="center"/>
              <w:rPr>
                <w:b/>
                <w:caps/>
                <w:smallCaps/>
                <w:szCs w:val="23"/>
                <w:lang w:eastAsia="en-US"/>
              </w:rPr>
            </w:pPr>
            <w:r w:rsidRPr="00E92571">
              <w:rPr>
                <w:b/>
                <w:smallCaps/>
                <w:szCs w:val="23"/>
                <w:lang w:eastAsia="en-US"/>
              </w:rPr>
              <w:t>Systems and Processes</w:t>
            </w:r>
          </w:p>
        </w:tc>
        <w:tc>
          <w:tcPr>
            <w:tcW w:w="2269" w:type="dxa"/>
            <w:shd w:val="clear" w:color="auto" w:fill="D9D9D9"/>
            <w:vAlign w:val="center"/>
          </w:tcPr>
          <w:p w:rsidR="00A6008B" w:rsidRPr="00E92571" w:rsidRDefault="00A6008B" w:rsidP="007053F3">
            <w:pPr>
              <w:spacing w:before="60"/>
              <w:jc w:val="center"/>
              <w:rPr>
                <w:b/>
                <w:caps/>
                <w:smallCaps/>
                <w:szCs w:val="23"/>
                <w:lang w:eastAsia="en-US"/>
              </w:rPr>
            </w:pPr>
            <w:r w:rsidRPr="00E92571">
              <w:rPr>
                <w:b/>
                <w:smallCaps/>
                <w:szCs w:val="23"/>
                <w:lang w:eastAsia="en-US"/>
              </w:rPr>
              <w:t>Component 4</w:t>
            </w:r>
          </w:p>
          <w:p w:rsidR="00A6008B" w:rsidRPr="00E92571" w:rsidRDefault="00A6008B" w:rsidP="007053F3">
            <w:pPr>
              <w:spacing w:before="40" w:after="60"/>
              <w:jc w:val="center"/>
              <w:rPr>
                <w:b/>
                <w:caps/>
                <w:smallCaps/>
                <w:szCs w:val="23"/>
                <w:lang w:eastAsia="en-US"/>
              </w:rPr>
            </w:pPr>
            <w:r w:rsidRPr="00E92571">
              <w:rPr>
                <w:b/>
                <w:smallCaps/>
                <w:szCs w:val="23"/>
                <w:lang w:eastAsia="en-US"/>
              </w:rPr>
              <w:t>Professional Development</w:t>
            </w:r>
          </w:p>
        </w:tc>
      </w:tr>
      <w:tr w:rsidR="00A6008B" w:rsidRPr="00E92571" w:rsidTr="007053F3">
        <w:trPr>
          <w:trHeight w:val="60"/>
          <w:jc w:val="center"/>
        </w:trPr>
        <w:tc>
          <w:tcPr>
            <w:tcW w:w="2268" w:type="dxa"/>
            <w:tcBorders>
              <w:bottom w:val="double" w:sz="4" w:space="0" w:color="auto"/>
            </w:tcBorders>
            <w:shd w:val="clear" w:color="auto" w:fill="D9D9D9"/>
            <w:vAlign w:val="center"/>
          </w:tcPr>
          <w:p w:rsidR="00A6008B" w:rsidRPr="00E92571" w:rsidRDefault="00A6008B" w:rsidP="007053F3">
            <w:pPr>
              <w:spacing w:before="60"/>
              <w:jc w:val="center"/>
              <w:rPr>
                <w:i/>
                <w:szCs w:val="23"/>
                <w:lang w:eastAsia="en-US"/>
              </w:rPr>
            </w:pPr>
            <w:r w:rsidRPr="00E92571">
              <w:rPr>
                <w:i/>
                <w:szCs w:val="23"/>
                <w:lang w:eastAsia="en-US"/>
              </w:rPr>
              <w:t>Projects x 4</w:t>
            </w:r>
          </w:p>
          <w:p w:rsidR="00A6008B" w:rsidRPr="00E92571" w:rsidRDefault="00A6008B" w:rsidP="00D74088">
            <w:pPr>
              <w:spacing w:after="60"/>
              <w:jc w:val="center"/>
              <w:rPr>
                <w:b/>
                <w:szCs w:val="23"/>
                <w:lang w:eastAsia="en-US"/>
              </w:rPr>
            </w:pPr>
            <w:r w:rsidRPr="00E92571">
              <w:rPr>
                <w:i/>
                <w:szCs w:val="23"/>
                <w:lang w:eastAsia="en-US"/>
              </w:rPr>
              <w:t xml:space="preserve">Activities x </w:t>
            </w:r>
            <w:r>
              <w:rPr>
                <w:i/>
                <w:szCs w:val="23"/>
                <w:lang w:eastAsia="en-US"/>
              </w:rPr>
              <w:t>14</w:t>
            </w:r>
          </w:p>
        </w:tc>
        <w:tc>
          <w:tcPr>
            <w:tcW w:w="2268" w:type="dxa"/>
            <w:tcBorders>
              <w:bottom w:val="double" w:sz="4" w:space="0" w:color="auto"/>
            </w:tcBorders>
            <w:shd w:val="clear" w:color="auto" w:fill="D9D9D9"/>
            <w:vAlign w:val="center"/>
          </w:tcPr>
          <w:p w:rsidR="00A6008B" w:rsidRPr="00E92571" w:rsidRDefault="00A6008B" w:rsidP="007053F3">
            <w:pPr>
              <w:spacing w:before="60"/>
              <w:jc w:val="center"/>
              <w:rPr>
                <w:i/>
                <w:szCs w:val="23"/>
                <w:lang w:eastAsia="en-US"/>
              </w:rPr>
            </w:pPr>
            <w:r w:rsidRPr="00E92571">
              <w:rPr>
                <w:i/>
                <w:szCs w:val="23"/>
                <w:lang w:eastAsia="en-US"/>
              </w:rPr>
              <w:t>Projects x 4</w:t>
            </w:r>
          </w:p>
          <w:p w:rsidR="00A6008B" w:rsidRPr="00E92571" w:rsidRDefault="00A6008B" w:rsidP="0033447C">
            <w:pPr>
              <w:spacing w:after="60"/>
              <w:jc w:val="center"/>
              <w:rPr>
                <w:b/>
                <w:szCs w:val="23"/>
                <w:lang w:eastAsia="en-US"/>
              </w:rPr>
            </w:pPr>
            <w:r w:rsidRPr="00E92571">
              <w:rPr>
                <w:i/>
                <w:szCs w:val="23"/>
                <w:lang w:eastAsia="en-US"/>
              </w:rPr>
              <w:t>Activities x 28</w:t>
            </w:r>
          </w:p>
        </w:tc>
        <w:tc>
          <w:tcPr>
            <w:tcW w:w="2268" w:type="dxa"/>
            <w:tcBorders>
              <w:bottom w:val="double" w:sz="4" w:space="0" w:color="auto"/>
            </w:tcBorders>
            <w:shd w:val="clear" w:color="auto" w:fill="D9D9D9"/>
            <w:vAlign w:val="center"/>
          </w:tcPr>
          <w:p w:rsidR="00A6008B" w:rsidRPr="00E92571" w:rsidRDefault="00A6008B" w:rsidP="007053F3">
            <w:pPr>
              <w:spacing w:before="60"/>
              <w:jc w:val="center"/>
              <w:rPr>
                <w:i/>
                <w:szCs w:val="23"/>
                <w:lang w:eastAsia="en-US"/>
              </w:rPr>
            </w:pPr>
            <w:r w:rsidRPr="00E92571">
              <w:rPr>
                <w:i/>
                <w:szCs w:val="23"/>
                <w:lang w:eastAsia="en-US"/>
              </w:rPr>
              <w:t>Projects x 2</w:t>
            </w:r>
          </w:p>
          <w:p w:rsidR="00A6008B" w:rsidRPr="00E92571" w:rsidRDefault="00A6008B" w:rsidP="001A0035">
            <w:pPr>
              <w:spacing w:after="60"/>
              <w:jc w:val="center"/>
              <w:rPr>
                <w:b/>
                <w:szCs w:val="23"/>
                <w:lang w:eastAsia="en-US"/>
              </w:rPr>
            </w:pPr>
            <w:r w:rsidRPr="00E92571">
              <w:rPr>
                <w:i/>
                <w:szCs w:val="23"/>
                <w:lang w:eastAsia="en-US"/>
              </w:rPr>
              <w:t>Activities x 27</w:t>
            </w:r>
          </w:p>
        </w:tc>
        <w:tc>
          <w:tcPr>
            <w:tcW w:w="2269" w:type="dxa"/>
            <w:tcBorders>
              <w:bottom w:val="double" w:sz="4" w:space="0" w:color="auto"/>
            </w:tcBorders>
            <w:shd w:val="clear" w:color="auto" w:fill="D9D9D9"/>
            <w:vAlign w:val="center"/>
          </w:tcPr>
          <w:p w:rsidR="00A6008B" w:rsidRPr="00E92571" w:rsidRDefault="00A6008B" w:rsidP="007053F3">
            <w:pPr>
              <w:spacing w:before="60"/>
              <w:jc w:val="center"/>
              <w:rPr>
                <w:i/>
                <w:szCs w:val="23"/>
                <w:lang w:eastAsia="en-US"/>
              </w:rPr>
            </w:pPr>
            <w:r w:rsidRPr="00E92571">
              <w:rPr>
                <w:i/>
                <w:szCs w:val="23"/>
                <w:lang w:eastAsia="en-US"/>
              </w:rPr>
              <w:t>Projects x 2</w:t>
            </w:r>
          </w:p>
          <w:p w:rsidR="00A6008B" w:rsidRPr="00E92571" w:rsidRDefault="00A6008B" w:rsidP="001A0035">
            <w:pPr>
              <w:spacing w:after="60"/>
              <w:jc w:val="center"/>
              <w:rPr>
                <w:b/>
                <w:szCs w:val="23"/>
                <w:lang w:eastAsia="en-US"/>
              </w:rPr>
            </w:pPr>
            <w:r w:rsidRPr="00E92571">
              <w:rPr>
                <w:i/>
                <w:szCs w:val="23"/>
                <w:lang w:eastAsia="en-US"/>
              </w:rPr>
              <w:t>Activities x 8</w:t>
            </w:r>
          </w:p>
        </w:tc>
      </w:tr>
      <w:tr w:rsidR="00A6008B" w:rsidRPr="00E92571" w:rsidTr="00EA182E">
        <w:trPr>
          <w:trHeight w:val="40"/>
          <w:jc w:val="center"/>
        </w:trPr>
        <w:tc>
          <w:tcPr>
            <w:tcW w:w="2268" w:type="dxa"/>
            <w:tcBorders>
              <w:top w:val="double" w:sz="4" w:space="0" w:color="auto"/>
            </w:tcBorders>
            <w:vAlign w:val="center"/>
          </w:tcPr>
          <w:p w:rsidR="00A6008B" w:rsidRPr="009A221A" w:rsidRDefault="00A6008B" w:rsidP="007053F3">
            <w:pPr>
              <w:rPr>
                <w:rFonts w:cs="Arial"/>
                <w:sz w:val="24"/>
                <w:szCs w:val="22"/>
                <w:lang w:eastAsia="en-US"/>
              </w:rPr>
            </w:pPr>
            <w:r w:rsidRPr="00E92571">
              <w:rPr>
                <w:rFonts w:cs="Arial"/>
                <w:b/>
                <w:sz w:val="22"/>
                <w:szCs w:val="22"/>
                <w:lang w:eastAsia="en-US"/>
              </w:rPr>
              <w:t>Access to JusticeProject</w:t>
            </w:r>
            <w:r w:rsidRPr="00E92571">
              <w:rPr>
                <w:i/>
                <w:sz w:val="22"/>
                <w:szCs w:val="22"/>
                <w:lang w:eastAsia="en-US"/>
              </w:rPr>
              <w:t xml:space="preserve"> (formerly CDR)</w:t>
            </w:r>
            <w:r w:rsidRPr="00E92571">
              <w:rPr>
                <w:rFonts w:cs="Arial"/>
                <w:sz w:val="22"/>
                <w:szCs w:val="22"/>
                <w:lang w:eastAsia="en-US"/>
              </w:rPr>
              <w:t>:</w:t>
            </w:r>
          </w:p>
          <w:p w:rsidR="00A6008B" w:rsidRPr="009A221A" w:rsidRDefault="00A6008B" w:rsidP="00293802">
            <w:pPr>
              <w:numPr>
                <w:ilvl w:val="0"/>
                <w:numId w:val="36"/>
              </w:numPr>
              <w:ind w:left="227" w:hanging="227"/>
              <w:rPr>
                <w:i/>
                <w:sz w:val="20"/>
                <w:szCs w:val="22"/>
                <w:lang w:eastAsia="en-US"/>
              </w:rPr>
            </w:pPr>
            <w:r w:rsidRPr="00E92571">
              <w:rPr>
                <w:i/>
                <w:sz w:val="20"/>
                <w:szCs w:val="22"/>
                <w:lang w:eastAsia="en-US"/>
              </w:rPr>
              <w:t>Toolkit Implementation - via Responsive Fund</w:t>
            </w:r>
          </w:p>
        </w:tc>
        <w:tc>
          <w:tcPr>
            <w:tcW w:w="2268" w:type="dxa"/>
            <w:tcBorders>
              <w:top w:val="double" w:sz="4" w:space="0" w:color="auto"/>
            </w:tcBorders>
            <w:vAlign w:val="center"/>
          </w:tcPr>
          <w:p w:rsidR="00A6008B" w:rsidRPr="009A221A" w:rsidRDefault="00A6008B" w:rsidP="007053F3">
            <w:pPr>
              <w:rPr>
                <w:sz w:val="24"/>
                <w:szCs w:val="22"/>
                <w:lang w:eastAsia="en-US"/>
              </w:rPr>
            </w:pPr>
            <w:r w:rsidRPr="00E92571">
              <w:rPr>
                <w:b/>
                <w:sz w:val="22"/>
                <w:szCs w:val="22"/>
                <w:lang w:eastAsia="en-US"/>
              </w:rPr>
              <w:t>Code of Judicial ConductProject</w:t>
            </w:r>
          </w:p>
          <w:p w:rsidR="00A6008B" w:rsidRPr="009A221A" w:rsidRDefault="00A6008B" w:rsidP="00424887">
            <w:pPr>
              <w:numPr>
                <w:ilvl w:val="0"/>
                <w:numId w:val="36"/>
              </w:numPr>
              <w:ind w:left="227" w:right="-57" w:hanging="227"/>
              <w:rPr>
                <w:i/>
                <w:sz w:val="24"/>
                <w:szCs w:val="22"/>
                <w:lang w:eastAsia="en-US"/>
              </w:rPr>
            </w:pPr>
            <w:r w:rsidRPr="00E92571">
              <w:rPr>
                <w:i/>
                <w:sz w:val="20"/>
                <w:szCs w:val="22"/>
                <w:lang w:eastAsia="en-US"/>
              </w:rPr>
              <w:t>CoJC and Complaints Handling Toolkit as an Additional Activity or via Responsive Fund(x1)</w:t>
            </w:r>
          </w:p>
        </w:tc>
        <w:tc>
          <w:tcPr>
            <w:tcW w:w="2268" w:type="dxa"/>
            <w:tcBorders>
              <w:top w:val="double" w:sz="4" w:space="0" w:color="auto"/>
            </w:tcBorders>
            <w:vAlign w:val="center"/>
          </w:tcPr>
          <w:p w:rsidR="00A6008B" w:rsidRPr="009A221A" w:rsidRDefault="00A6008B" w:rsidP="007053F3">
            <w:pPr>
              <w:spacing w:before="120"/>
              <w:rPr>
                <w:rFonts w:cs="Arial"/>
                <w:sz w:val="24"/>
                <w:szCs w:val="22"/>
                <w:lang w:eastAsia="en-US"/>
              </w:rPr>
            </w:pPr>
            <w:r w:rsidRPr="00E92571">
              <w:rPr>
                <w:rFonts w:cs="Arial"/>
                <w:b/>
                <w:sz w:val="22"/>
                <w:szCs w:val="22"/>
                <w:lang w:eastAsia="en-US"/>
              </w:rPr>
              <w:t>Judicial AdministrationProject</w:t>
            </w:r>
          </w:p>
          <w:p w:rsidR="00A6008B" w:rsidRPr="009A221A" w:rsidRDefault="00A6008B" w:rsidP="007053F3">
            <w:pPr>
              <w:numPr>
                <w:ilvl w:val="0"/>
                <w:numId w:val="36"/>
              </w:numPr>
              <w:ind w:left="227" w:hanging="227"/>
              <w:rPr>
                <w:i/>
                <w:sz w:val="20"/>
                <w:szCs w:val="22"/>
                <w:lang w:eastAsia="en-US"/>
              </w:rPr>
            </w:pPr>
            <w:r w:rsidRPr="00E92571">
              <w:rPr>
                <w:rFonts w:cs="Arial"/>
                <w:i/>
                <w:sz w:val="20"/>
                <w:szCs w:val="22"/>
                <w:lang w:eastAsia="en-US"/>
              </w:rPr>
              <w:t xml:space="preserve">Time Standards Toolkit </w:t>
            </w:r>
            <w:r w:rsidRPr="00E92571">
              <w:rPr>
                <w:i/>
                <w:sz w:val="20"/>
                <w:szCs w:val="22"/>
                <w:lang w:eastAsia="en-US"/>
              </w:rPr>
              <w:t>Implementation(x4)</w:t>
            </w:r>
          </w:p>
          <w:p w:rsidR="00A6008B" w:rsidRPr="009A221A" w:rsidRDefault="00A6008B" w:rsidP="007053F3">
            <w:pPr>
              <w:numPr>
                <w:ilvl w:val="0"/>
                <w:numId w:val="36"/>
              </w:numPr>
              <w:ind w:left="227" w:hanging="227"/>
              <w:rPr>
                <w:i/>
                <w:sz w:val="20"/>
                <w:szCs w:val="22"/>
                <w:lang w:eastAsia="en-US"/>
              </w:rPr>
            </w:pPr>
            <w:r w:rsidRPr="00E92571">
              <w:rPr>
                <w:rFonts w:cs="Arial"/>
                <w:i/>
                <w:sz w:val="20"/>
                <w:szCs w:val="22"/>
                <w:lang w:eastAsia="en-US"/>
              </w:rPr>
              <w:t xml:space="preserve">Delay Reduction Pilot and Toolkit </w:t>
            </w:r>
            <w:r w:rsidRPr="00E92571">
              <w:rPr>
                <w:i/>
                <w:sz w:val="20"/>
                <w:szCs w:val="22"/>
                <w:lang w:eastAsia="en-US"/>
              </w:rPr>
              <w:t>(x2)</w:t>
            </w:r>
          </w:p>
          <w:p w:rsidR="00A6008B" w:rsidRPr="009A221A" w:rsidRDefault="00A6008B">
            <w:pPr>
              <w:numPr>
                <w:ilvl w:val="0"/>
                <w:numId w:val="36"/>
              </w:numPr>
              <w:spacing w:after="120"/>
              <w:ind w:left="227" w:hanging="227"/>
              <w:rPr>
                <w:sz w:val="24"/>
                <w:szCs w:val="22"/>
                <w:lang w:eastAsia="en-US"/>
              </w:rPr>
            </w:pPr>
            <w:r w:rsidRPr="00E92571">
              <w:rPr>
                <w:rFonts w:cs="Arial"/>
                <w:i/>
                <w:sz w:val="20"/>
                <w:szCs w:val="22"/>
                <w:lang w:eastAsia="en-US"/>
              </w:rPr>
              <w:t xml:space="preserve">IT Administrators’ Network </w:t>
            </w:r>
            <w:r w:rsidRPr="00E92571">
              <w:rPr>
                <w:i/>
                <w:sz w:val="20"/>
                <w:szCs w:val="22"/>
                <w:lang w:eastAsia="en-US"/>
              </w:rPr>
              <w:t>(regional)</w:t>
            </w:r>
          </w:p>
        </w:tc>
        <w:tc>
          <w:tcPr>
            <w:tcW w:w="2269" w:type="dxa"/>
            <w:tcBorders>
              <w:top w:val="double" w:sz="4" w:space="0" w:color="auto"/>
            </w:tcBorders>
            <w:vAlign w:val="center"/>
          </w:tcPr>
          <w:p w:rsidR="00A6008B" w:rsidRPr="009A221A" w:rsidRDefault="00A6008B" w:rsidP="00EA182E">
            <w:pPr>
              <w:rPr>
                <w:sz w:val="24"/>
                <w:szCs w:val="22"/>
                <w:lang w:eastAsia="en-US"/>
              </w:rPr>
            </w:pPr>
            <w:r w:rsidRPr="00E92571">
              <w:rPr>
                <w:rFonts w:cs="Arial"/>
                <w:b/>
                <w:sz w:val="22"/>
                <w:szCs w:val="22"/>
                <w:lang w:eastAsia="en-US"/>
              </w:rPr>
              <w:t xml:space="preserve">Regional </w:t>
            </w:r>
            <w:r w:rsidRPr="00E92571">
              <w:rPr>
                <w:b/>
                <w:sz w:val="22"/>
                <w:szCs w:val="22"/>
                <w:lang w:eastAsia="en-US"/>
              </w:rPr>
              <w:t>Training CapacityProject</w:t>
            </w:r>
          </w:p>
          <w:p w:rsidR="00A6008B" w:rsidRPr="009A221A" w:rsidRDefault="00A6008B" w:rsidP="00EA182E">
            <w:pPr>
              <w:numPr>
                <w:ilvl w:val="0"/>
                <w:numId w:val="37"/>
              </w:numPr>
              <w:ind w:left="227" w:hanging="227"/>
              <w:rPr>
                <w:i/>
                <w:sz w:val="20"/>
                <w:szCs w:val="22"/>
                <w:lang w:eastAsia="en-US"/>
              </w:rPr>
            </w:pPr>
            <w:r w:rsidRPr="00E92571">
              <w:rPr>
                <w:i/>
                <w:sz w:val="20"/>
                <w:szCs w:val="22"/>
                <w:lang w:eastAsia="en-US"/>
              </w:rPr>
              <w:t>Certification ToT Workshop (x1 regional)</w:t>
            </w:r>
          </w:p>
          <w:p w:rsidR="00A6008B" w:rsidRPr="009A221A" w:rsidRDefault="00A6008B" w:rsidP="00EA182E">
            <w:pPr>
              <w:numPr>
                <w:ilvl w:val="0"/>
                <w:numId w:val="37"/>
              </w:numPr>
              <w:ind w:left="227" w:hanging="227"/>
              <w:rPr>
                <w:i/>
                <w:sz w:val="20"/>
                <w:szCs w:val="22"/>
                <w:lang w:eastAsia="en-US"/>
              </w:rPr>
            </w:pPr>
            <w:r w:rsidRPr="00E92571">
              <w:rPr>
                <w:i/>
                <w:sz w:val="20"/>
                <w:szCs w:val="22"/>
                <w:lang w:eastAsia="en-US"/>
              </w:rPr>
              <w:t>Advanced RTT CD/PM Workshop (x1 regional)</w:t>
            </w:r>
          </w:p>
          <w:p w:rsidR="00A6008B" w:rsidRPr="009A221A" w:rsidRDefault="00A6008B">
            <w:pPr>
              <w:numPr>
                <w:ilvl w:val="0"/>
                <w:numId w:val="37"/>
              </w:numPr>
              <w:ind w:left="227" w:hanging="227"/>
              <w:rPr>
                <w:sz w:val="24"/>
                <w:szCs w:val="22"/>
                <w:lang w:eastAsia="en-US"/>
              </w:rPr>
            </w:pPr>
            <w:r w:rsidRPr="00E92571">
              <w:rPr>
                <w:i/>
                <w:sz w:val="20"/>
                <w:szCs w:val="22"/>
                <w:lang w:eastAsia="en-US"/>
              </w:rPr>
              <w:t xml:space="preserve">RTT Mentoring Network (regional) </w:t>
            </w:r>
          </w:p>
        </w:tc>
      </w:tr>
      <w:tr w:rsidR="00A6008B" w:rsidRPr="00E92571" w:rsidTr="007053F3">
        <w:trPr>
          <w:trHeight w:val="60"/>
          <w:jc w:val="center"/>
        </w:trPr>
        <w:tc>
          <w:tcPr>
            <w:tcW w:w="2268" w:type="dxa"/>
            <w:vAlign w:val="center"/>
          </w:tcPr>
          <w:p w:rsidR="00A6008B" w:rsidRPr="009A221A" w:rsidRDefault="00A6008B" w:rsidP="007053F3">
            <w:pPr>
              <w:rPr>
                <w:rFonts w:cs="Arial"/>
                <w:b/>
                <w:sz w:val="22"/>
                <w:szCs w:val="22"/>
                <w:lang w:eastAsia="en-US"/>
              </w:rPr>
            </w:pPr>
          </w:p>
          <w:p w:rsidR="00A6008B" w:rsidRPr="009A221A" w:rsidRDefault="00A6008B" w:rsidP="00E060F5">
            <w:pPr>
              <w:spacing w:before="120"/>
              <w:rPr>
                <w:rFonts w:cs="Arial"/>
                <w:sz w:val="24"/>
                <w:szCs w:val="22"/>
                <w:lang w:eastAsia="en-US"/>
              </w:rPr>
            </w:pPr>
            <w:r w:rsidRPr="00595CE3">
              <w:rPr>
                <w:rFonts w:cs="Arial"/>
                <w:b/>
                <w:sz w:val="22"/>
                <w:szCs w:val="22"/>
                <w:lang w:eastAsia="en-US"/>
              </w:rPr>
              <w:t>Family Violence and Youth JusticeProject</w:t>
            </w:r>
          </w:p>
          <w:p w:rsidR="00A6008B" w:rsidRPr="009A221A" w:rsidRDefault="00A6008B" w:rsidP="00EE134B">
            <w:pPr>
              <w:numPr>
                <w:ilvl w:val="0"/>
                <w:numId w:val="36"/>
              </w:numPr>
              <w:ind w:left="227" w:hanging="227"/>
              <w:rPr>
                <w:i/>
                <w:sz w:val="20"/>
                <w:szCs w:val="22"/>
                <w:lang w:eastAsia="en-US"/>
              </w:rPr>
            </w:pPr>
            <w:r w:rsidRPr="00595CE3">
              <w:rPr>
                <w:rFonts w:cs="Arial"/>
                <w:i/>
                <w:sz w:val="20"/>
                <w:szCs w:val="22"/>
                <w:lang w:eastAsia="en-US"/>
              </w:rPr>
              <w:t xml:space="preserve">Toolkit </w:t>
            </w:r>
            <w:r w:rsidRPr="00595CE3">
              <w:rPr>
                <w:i/>
                <w:sz w:val="20"/>
                <w:szCs w:val="22"/>
                <w:lang w:eastAsia="en-US"/>
              </w:rPr>
              <w:t>Implementation(x5)</w:t>
            </w:r>
          </w:p>
          <w:p w:rsidR="00A6008B" w:rsidRPr="009A221A" w:rsidRDefault="00A6008B" w:rsidP="00595CE3">
            <w:pPr>
              <w:numPr>
                <w:ilvl w:val="0"/>
                <w:numId w:val="36"/>
              </w:numPr>
              <w:ind w:left="227" w:hanging="227"/>
              <w:rPr>
                <w:i/>
                <w:sz w:val="20"/>
                <w:szCs w:val="22"/>
                <w:lang w:eastAsia="en-US"/>
              </w:rPr>
            </w:pPr>
            <w:r w:rsidRPr="00595CE3">
              <w:rPr>
                <w:i/>
                <w:sz w:val="20"/>
                <w:szCs w:val="23"/>
              </w:rPr>
              <w:t xml:space="preserve">In-country </w:t>
            </w:r>
            <w:r>
              <w:rPr>
                <w:i/>
                <w:sz w:val="20"/>
                <w:szCs w:val="23"/>
              </w:rPr>
              <w:t xml:space="preserve">follow-up / </w:t>
            </w:r>
            <w:r w:rsidRPr="00595CE3">
              <w:rPr>
                <w:i/>
                <w:sz w:val="20"/>
                <w:szCs w:val="23"/>
              </w:rPr>
              <w:t>monitoring visits (x</w:t>
            </w:r>
            <w:r>
              <w:rPr>
                <w:i/>
                <w:sz w:val="20"/>
                <w:szCs w:val="23"/>
              </w:rPr>
              <w:t>5</w:t>
            </w:r>
            <w:r w:rsidRPr="00595CE3">
              <w:rPr>
                <w:i/>
                <w:sz w:val="20"/>
                <w:szCs w:val="23"/>
              </w:rPr>
              <w:t>)</w:t>
            </w:r>
          </w:p>
          <w:p w:rsidR="00A6008B" w:rsidRPr="009A221A" w:rsidRDefault="00A6008B" w:rsidP="00D74088">
            <w:pPr>
              <w:numPr>
                <w:ilvl w:val="0"/>
                <w:numId w:val="36"/>
              </w:numPr>
              <w:ind w:left="227" w:hanging="227"/>
              <w:rPr>
                <w:i/>
                <w:sz w:val="20"/>
                <w:szCs w:val="22"/>
                <w:lang w:eastAsia="en-US"/>
              </w:rPr>
            </w:pPr>
            <w:r>
              <w:rPr>
                <w:i/>
                <w:sz w:val="20"/>
                <w:szCs w:val="23"/>
              </w:rPr>
              <w:t xml:space="preserve">Remote follow-up / </w:t>
            </w:r>
            <w:r w:rsidRPr="00595CE3">
              <w:rPr>
                <w:i/>
                <w:sz w:val="20"/>
                <w:szCs w:val="23"/>
              </w:rPr>
              <w:t>monitoring (x</w:t>
            </w:r>
            <w:r>
              <w:rPr>
                <w:i/>
                <w:sz w:val="20"/>
                <w:szCs w:val="23"/>
              </w:rPr>
              <w:t>2</w:t>
            </w:r>
            <w:r w:rsidRPr="00595CE3">
              <w:rPr>
                <w:i/>
                <w:sz w:val="20"/>
                <w:szCs w:val="23"/>
              </w:rPr>
              <w:t>)</w:t>
            </w:r>
          </w:p>
        </w:tc>
        <w:tc>
          <w:tcPr>
            <w:tcW w:w="2268" w:type="dxa"/>
            <w:vAlign w:val="center"/>
          </w:tcPr>
          <w:p w:rsidR="00A6008B" w:rsidRPr="009A221A" w:rsidRDefault="00A6008B" w:rsidP="007053F3">
            <w:pPr>
              <w:rPr>
                <w:sz w:val="24"/>
                <w:szCs w:val="22"/>
                <w:lang w:eastAsia="en-US"/>
              </w:rPr>
            </w:pPr>
            <w:r w:rsidRPr="00595CE3">
              <w:rPr>
                <w:b/>
                <w:sz w:val="22"/>
                <w:szCs w:val="22"/>
                <w:lang w:eastAsia="en-US"/>
              </w:rPr>
              <w:t>Regional Governance and Leadership Meetings</w:t>
            </w:r>
            <w:r w:rsidRPr="00595CE3">
              <w:rPr>
                <w:i/>
                <w:sz w:val="20"/>
                <w:szCs w:val="22"/>
                <w:lang w:eastAsia="en-US"/>
              </w:rPr>
              <w:t>(x9 regional)</w:t>
            </w:r>
          </w:p>
        </w:tc>
        <w:tc>
          <w:tcPr>
            <w:tcW w:w="2268" w:type="dxa"/>
            <w:vAlign w:val="center"/>
          </w:tcPr>
          <w:p w:rsidR="00A6008B" w:rsidRPr="009A221A" w:rsidRDefault="00A6008B" w:rsidP="007053F3">
            <w:pPr>
              <w:rPr>
                <w:rFonts w:cs="Arial"/>
                <w:i/>
                <w:sz w:val="24"/>
                <w:szCs w:val="22"/>
                <w:lang w:eastAsia="en-US"/>
              </w:rPr>
            </w:pPr>
            <w:r w:rsidRPr="00595CE3">
              <w:rPr>
                <w:rFonts w:cs="Arial"/>
                <w:b/>
                <w:sz w:val="22"/>
                <w:szCs w:val="22"/>
                <w:lang w:eastAsia="en-US"/>
              </w:rPr>
              <w:t>Court Annual ReportingProject</w:t>
            </w:r>
            <w:r w:rsidRPr="00595CE3">
              <w:rPr>
                <w:rFonts w:cs="Arial"/>
                <w:i/>
                <w:sz w:val="22"/>
                <w:szCs w:val="22"/>
                <w:lang w:eastAsia="en-US"/>
              </w:rPr>
              <w:t>(formerly PM&amp;E)</w:t>
            </w:r>
          </w:p>
          <w:p w:rsidR="00A6008B" w:rsidRPr="009A221A" w:rsidRDefault="00A6008B">
            <w:pPr>
              <w:numPr>
                <w:ilvl w:val="0"/>
                <w:numId w:val="36"/>
              </w:numPr>
              <w:ind w:left="227" w:hanging="227"/>
              <w:rPr>
                <w:i/>
                <w:sz w:val="20"/>
                <w:szCs w:val="22"/>
                <w:lang w:eastAsia="en-US"/>
              </w:rPr>
            </w:pPr>
            <w:r w:rsidRPr="00595CE3">
              <w:rPr>
                <w:rFonts w:cs="Arial"/>
                <w:i/>
                <w:sz w:val="20"/>
                <w:szCs w:val="22"/>
                <w:lang w:eastAsia="en-US"/>
              </w:rPr>
              <w:t xml:space="preserve">Toolkit </w:t>
            </w:r>
            <w:r w:rsidRPr="00595CE3">
              <w:rPr>
                <w:i/>
                <w:sz w:val="20"/>
                <w:szCs w:val="22"/>
                <w:lang w:eastAsia="en-US"/>
              </w:rPr>
              <w:t xml:space="preserve">Implementation, including </w:t>
            </w:r>
            <w:r w:rsidRPr="00595CE3">
              <w:rPr>
                <w:rFonts w:cs="Arial"/>
                <w:i/>
                <w:sz w:val="20"/>
                <w:szCs w:val="22"/>
                <w:lang w:eastAsia="en-US"/>
              </w:rPr>
              <w:t>Survey (x6 + 14 for data collection and reporting)</w:t>
            </w:r>
          </w:p>
        </w:tc>
        <w:tc>
          <w:tcPr>
            <w:tcW w:w="2269" w:type="dxa"/>
            <w:vAlign w:val="center"/>
          </w:tcPr>
          <w:p w:rsidR="00A6008B" w:rsidRPr="009A221A" w:rsidRDefault="00A6008B" w:rsidP="007053F3">
            <w:pPr>
              <w:spacing w:before="120"/>
              <w:rPr>
                <w:sz w:val="24"/>
                <w:szCs w:val="22"/>
                <w:lang w:eastAsia="en-US"/>
              </w:rPr>
            </w:pPr>
            <w:r w:rsidRPr="00595CE3">
              <w:rPr>
                <w:rFonts w:cs="Arial"/>
                <w:b/>
                <w:sz w:val="22"/>
                <w:szCs w:val="22"/>
                <w:lang w:eastAsia="en-US"/>
              </w:rPr>
              <w:t>Core Judicial Development</w:t>
            </w:r>
            <w:r w:rsidRPr="00595CE3">
              <w:rPr>
                <w:b/>
                <w:sz w:val="22"/>
                <w:szCs w:val="22"/>
                <w:lang w:eastAsia="en-US"/>
              </w:rPr>
              <w:t>Project</w:t>
            </w:r>
            <w:r w:rsidRPr="00595CE3">
              <w:rPr>
                <w:sz w:val="22"/>
                <w:szCs w:val="22"/>
                <w:lang w:eastAsia="en-US"/>
              </w:rPr>
              <w:t xml:space="preserve">: </w:t>
            </w:r>
          </w:p>
          <w:p w:rsidR="00A6008B" w:rsidRPr="009A221A" w:rsidRDefault="00A6008B" w:rsidP="007053F3">
            <w:pPr>
              <w:numPr>
                <w:ilvl w:val="0"/>
                <w:numId w:val="38"/>
              </w:numPr>
              <w:ind w:left="227" w:hanging="227"/>
              <w:rPr>
                <w:i/>
                <w:sz w:val="20"/>
                <w:szCs w:val="22"/>
                <w:lang w:eastAsia="en-US"/>
              </w:rPr>
            </w:pPr>
            <w:r w:rsidRPr="00595CE3">
              <w:rPr>
                <w:i/>
                <w:sz w:val="20"/>
                <w:szCs w:val="22"/>
                <w:lang w:eastAsia="en-US"/>
              </w:rPr>
              <w:t>Regional Orientation Workshop (x1)</w:t>
            </w:r>
          </w:p>
          <w:p w:rsidR="00A6008B" w:rsidRPr="009A221A" w:rsidRDefault="00A6008B" w:rsidP="007053F3">
            <w:pPr>
              <w:numPr>
                <w:ilvl w:val="0"/>
                <w:numId w:val="38"/>
              </w:numPr>
              <w:ind w:left="227" w:hanging="227"/>
              <w:rPr>
                <w:i/>
                <w:sz w:val="20"/>
                <w:szCs w:val="22"/>
                <w:lang w:eastAsia="en-US"/>
              </w:rPr>
            </w:pPr>
            <w:r w:rsidRPr="00595CE3">
              <w:rPr>
                <w:i/>
                <w:sz w:val="20"/>
                <w:szCs w:val="22"/>
                <w:lang w:eastAsia="en-US"/>
              </w:rPr>
              <w:t>Local Orientation Training Pilot and Toolkit (x1)</w:t>
            </w:r>
          </w:p>
          <w:p w:rsidR="00A6008B" w:rsidRPr="009A221A" w:rsidRDefault="00A6008B" w:rsidP="007053F3">
            <w:pPr>
              <w:numPr>
                <w:ilvl w:val="0"/>
                <w:numId w:val="38"/>
              </w:numPr>
              <w:ind w:left="227" w:hanging="227"/>
              <w:rPr>
                <w:i/>
                <w:sz w:val="20"/>
                <w:szCs w:val="22"/>
                <w:lang w:eastAsia="en-US"/>
              </w:rPr>
            </w:pPr>
            <w:r w:rsidRPr="00595CE3">
              <w:rPr>
                <w:i/>
                <w:sz w:val="20"/>
                <w:szCs w:val="22"/>
                <w:lang w:eastAsia="en-US"/>
              </w:rPr>
              <w:t>Regional Decision Making Workshops (x2)</w:t>
            </w:r>
          </w:p>
          <w:p w:rsidR="00A6008B" w:rsidRPr="009A221A" w:rsidRDefault="00A6008B">
            <w:pPr>
              <w:numPr>
                <w:ilvl w:val="0"/>
                <w:numId w:val="38"/>
              </w:numPr>
              <w:spacing w:after="120"/>
              <w:ind w:left="227" w:right="-57" w:hanging="227"/>
              <w:rPr>
                <w:rFonts w:cs="Arial"/>
                <w:sz w:val="24"/>
                <w:szCs w:val="22"/>
                <w:lang w:eastAsia="en-US"/>
              </w:rPr>
            </w:pPr>
            <w:r w:rsidRPr="00595CE3">
              <w:rPr>
                <w:i/>
                <w:sz w:val="20"/>
                <w:szCs w:val="22"/>
                <w:lang w:eastAsia="en-US"/>
              </w:rPr>
              <w:t>Local Decision Making Pilot and Toolkit (x1)</w:t>
            </w:r>
          </w:p>
        </w:tc>
      </w:tr>
      <w:tr w:rsidR="00A6008B" w:rsidRPr="00E92571" w:rsidTr="007053F3">
        <w:trPr>
          <w:trHeight w:val="60"/>
          <w:jc w:val="center"/>
        </w:trPr>
        <w:tc>
          <w:tcPr>
            <w:tcW w:w="2268" w:type="dxa"/>
            <w:vAlign w:val="center"/>
          </w:tcPr>
          <w:p w:rsidR="00A6008B" w:rsidRPr="009A221A" w:rsidRDefault="00A6008B" w:rsidP="00E060F5">
            <w:pPr>
              <w:spacing w:before="120"/>
              <w:rPr>
                <w:rFonts w:cs="Arial"/>
                <w:sz w:val="24"/>
                <w:szCs w:val="22"/>
                <w:lang w:eastAsia="en-US"/>
              </w:rPr>
            </w:pPr>
            <w:r w:rsidRPr="00E92571">
              <w:rPr>
                <w:rFonts w:cs="Arial"/>
                <w:b/>
                <w:sz w:val="22"/>
                <w:szCs w:val="22"/>
                <w:lang w:eastAsia="en-US"/>
              </w:rPr>
              <w:t>Public InformationProject</w:t>
            </w:r>
          </w:p>
          <w:p w:rsidR="00A6008B" w:rsidRPr="00E92571" w:rsidRDefault="00A6008B" w:rsidP="00E060F5">
            <w:pPr>
              <w:pStyle w:val="ListParagraph"/>
              <w:numPr>
                <w:ilvl w:val="0"/>
                <w:numId w:val="47"/>
              </w:numPr>
              <w:ind w:left="291" w:hanging="291"/>
              <w:rPr>
                <w:kern w:val="32"/>
                <w:lang w:eastAsia="en-US"/>
              </w:rPr>
            </w:pPr>
            <w:r w:rsidRPr="00E92571">
              <w:rPr>
                <w:i/>
                <w:sz w:val="20"/>
                <w:szCs w:val="22"/>
                <w:lang w:eastAsia="en-US"/>
              </w:rPr>
              <w:t>Pilot and Toolkit (x1)</w:t>
            </w:r>
          </w:p>
        </w:tc>
        <w:tc>
          <w:tcPr>
            <w:tcW w:w="2268" w:type="dxa"/>
            <w:vAlign w:val="center"/>
          </w:tcPr>
          <w:p w:rsidR="00A6008B" w:rsidRPr="009A221A" w:rsidRDefault="00A6008B" w:rsidP="00E060F5">
            <w:pPr>
              <w:spacing w:before="120"/>
              <w:rPr>
                <w:sz w:val="24"/>
                <w:szCs w:val="22"/>
                <w:lang w:eastAsia="en-US"/>
              </w:rPr>
            </w:pPr>
            <w:r w:rsidRPr="00E92571">
              <w:rPr>
                <w:rFonts w:cs="Arial"/>
                <w:b/>
                <w:sz w:val="22"/>
                <w:szCs w:val="22"/>
                <w:lang w:eastAsia="en-US"/>
              </w:rPr>
              <w:t>National Judicial Development CommitteeProject</w:t>
            </w:r>
          </w:p>
          <w:p w:rsidR="00A6008B" w:rsidRPr="00E92571" w:rsidRDefault="00A6008B" w:rsidP="00B27059">
            <w:pPr>
              <w:pStyle w:val="ListParagraph"/>
              <w:numPr>
                <w:ilvl w:val="0"/>
                <w:numId w:val="47"/>
              </w:numPr>
              <w:spacing w:after="120"/>
              <w:ind w:left="289" w:hanging="357"/>
              <w:rPr>
                <w:kern w:val="32"/>
                <w:lang w:eastAsia="en-US"/>
              </w:rPr>
            </w:pPr>
            <w:r w:rsidRPr="00E92571">
              <w:rPr>
                <w:i/>
                <w:sz w:val="20"/>
                <w:szCs w:val="22"/>
                <w:lang w:eastAsia="en-US"/>
              </w:rPr>
              <w:t>Toolkit Implementation(x1)</w:t>
            </w:r>
          </w:p>
        </w:tc>
        <w:tc>
          <w:tcPr>
            <w:tcW w:w="2268" w:type="dxa"/>
            <w:tcBorders>
              <w:bottom w:val="nil"/>
              <w:right w:val="nil"/>
            </w:tcBorders>
            <w:vAlign w:val="center"/>
          </w:tcPr>
          <w:p w:rsidR="00A6008B" w:rsidRPr="009A221A" w:rsidRDefault="00A6008B" w:rsidP="007053F3">
            <w:pPr>
              <w:rPr>
                <w:rFonts w:cs="Arial"/>
                <w:sz w:val="24"/>
                <w:szCs w:val="22"/>
                <w:lang w:eastAsia="en-US"/>
              </w:rPr>
            </w:pPr>
          </w:p>
        </w:tc>
        <w:tc>
          <w:tcPr>
            <w:tcW w:w="2269" w:type="dxa"/>
            <w:tcBorders>
              <w:left w:val="nil"/>
              <w:bottom w:val="nil"/>
              <w:right w:val="nil"/>
            </w:tcBorders>
            <w:vAlign w:val="center"/>
          </w:tcPr>
          <w:p w:rsidR="00A6008B" w:rsidRPr="009A221A" w:rsidRDefault="00A6008B" w:rsidP="007053F3">
            <w:pPr>
              <w:rPr>
                <w:rFonts w:cs="Arial"/>
                <w:sz w:val="24"/>
                <w:szCs w:val="22"/>
                <w:lang w:eastAsia="en-US"/>
              </w:rPr>
            </w:pPr>
          </w:p>
        </w:tc>
      </w:tr>
      <w:tr w:rsidR="00A6008B" w:rsidRPr="00E92571" w:rsidTr="007053F3">
        <w:trPr>
          <w:trHeight w:val="60"/>
          <w:jc w:val="center"/>
        </w:trPr>
        <w:tc>
          <w:tcPr>
            <w:tcW w:w="2268" w:type="dxa"/>
            <w:vAlign w:val="center"/>
          </w:tcPr>
          <w:p w:rsidR="00A6008B" w:rsidRPr="009A221A" w:rsidRDefault="00A6008B" w:rsidP="00E060F5">
            <w:pPr>
              <w:rPr>
                <w:rFonts w:cs="Arial"/>
                <w:sz w:val="24"/>
                <w:szCs w:val="22"/>
                <w:lang w:eastAsia="en-US"/>
              </w:rPr>
            </w:pPr>
            <w:r w:rsidRPr="00E92571">
              <w:rPr>
                <w:rFonts w:cs="Arial"/>
                <w:b/>
                <w:sz w:val="22"/>
                <w:szCs w:val="22"/>
                <w:lang w:eastAsia="en-US"/>
              </w:rPr>
              <w:t>EnablingRights Project</w:t>
            </w:r>
          </w:p>
          <w:p w:rsidR="00A6008B" w:rsidRPr="009A221A" w:rsidRDefault="00A6008B" w:rsidP="00E060F5">
            <w:pPr>
              <w:numPr>
                <w:ilvl w:val="0"/>
                <w:numId w:val="36"/>
              </w:numPr>
              <w:ind w:left="227" w:hanging="227"/>
              <w:rPr>
                <w:i/>
                <w:sz w:val="20"/>
                <w:szCs w:val="22"/>
                <w:lang w:eastAsia="en-US"/>
              </w:rPr>
            </w:pPr>
            <w:r w:rsidRPr="00E92571">
              <w:rPr>
                <w:i/>
                <w:sz w:val="20"/>
                <w:szCs w:val="22"/>
                <w:lang w:eastAsia="en-US"/>
              </w:rPr>
              <w:t>Pilot and Toolkit (x1)</w:t>
            </w:r>
          </w:p>
        </w:tc>
        <w:tc>
          <w:tcPr>
            <w:tcW w:w="2268" w:type="dxa"/>
            <w:vAlign w:val="center"/>
          </w:tcPr>
          <w:p w:rsidR="00A6008B" w:rsidRPr="009A221A" w:rsidRDefault="00A6008B" w:rsidP="00B27059">
            <w:pPr>
              <w:numPr>
                <w:ilvl w:val="0"/>
                <w:numId w:val="36"/>
              </w:numPr>
              <w:spacing w:after="120"/>
              <w:ind w:left="227" w:hanging="227"/>
              <w:rPr>
                <w:i/>
                <w:sz w:val="20"/>
                <w:szCs w:val="22"/>
                <w:lang w:eastAsia="en-US"/>
              </w:rPr>
            </w:pPr>
            <w:r w:rsidRPr="00E92571">
              <w:rPr>
                <w:b/>
                <w:sz w:val="22"/>
                <w:szCs w:val="22"/>
                <w:lang w:eastAsia="en-US"/>
              </w:rPr>
              <w:t xml:space="preserve">Responsive Fund </w:t>
            </w:r>
            <w:r w:rsidRPr="00E92571">
              <w:rPr>
                <w:i/>
                <w:sz w:val="20"/>
                <w:szCs w:val="22"/>
                <w:lang w:eastAsia="en-US"/>
              </w:rPr>
              <w:t xml:space="preserve"> (minimum x17)</w:t>
            </w:r>
          </w:p>
        </w:tc>
        <w:tc>
          <w:tcPr>
            <w:tcW w:w="2268" w:type="dxa"/>
            <w:tcBorders>
              <w:top w:val="nil"/>
              <w:bottom w:val="nil"/>
              <w:right w:val="nil"/>
            </w:tcBorders>
            <w:vAlign w:val="center"/>
          </w:tcPr>
          <w:p w:rsidR="00A6008B" w:rsidRPr="009A221A" w:rsidRDefault="00A6008B" w:rsidP="007053F3">
            <w:pPr>
              <w:rPr>
                <w:rFonts w:cs="Arial"/>
                <w:sz w:val="24"/>
                <w:szCs w:val="22"/>
                <w:lang w:eastAsia="en-US"/>
              </w:rPr>
            </w:pPr>
          </w:p>
        </w:tc>
        <w:tc>
          <w:tcPr>
            <w:tcW w:w="2269" w:type="dxa"/>
            <w:tcBorders>
              <w:top w:val="nil"/>
              <w:left w:val="nil"/>
              <w:bottom w:val="nil"/>
              <w:right w:val="nil"/>
            </w:tcBorders>
            <w:vAlign w:val="center"/>
          </w:tcPr>
          <w:p w:rsidR="00A6008B" w:rsidRPr="009A221A" w:rsidRDefault="00A6008B" w:rsidP="007053F3">
            <w:pPr>
              <w:rPr>
                <w:rFonts w:cs="Arial"/>
                <w:sz w:val="24"/>
                <w:szCs w:val="22"/>
                <w:lang w:eastAsia="en-US"/>
              </w:rPr>
            </w:pPr>
          </w:p>
        </w:tc>
      </w:tr>
    </w:tbl>
    <w:p w:rsidR="00A6008B" w:rsidRPr="00E92571" w:rsidRDefault="00A6008B">
      <w:pPr>
        <w:rPr>
          <w:szCs w:val="23"/>
          <w:lang w:eastAsia="en-US"/>
        </w:rPr>
      </w:pPr>
    </w:p>
    <w:p w:rsidR="00A6008B" w:rsidRPr="00E92571" w:rsidRDefault="00A6008B" w:rsidP="00107230">
      <w:pPr>
        <w:rPr>
          <w:kern w:val="32"/>
          <w:lang w:eastAsia="en-US"/>
        </w:rPr>
      </w:pPr>
    </w:p>
    <w:p w:rsidR="00A6008B" w:rsidRPr="00E92571" w:rsidRDefault="00A6008B" w:rsidP="009217CA">
      <w:pPr>
        <w:jc w:val="center"/>
        <w:rPr>
          <w:kern w:val="32"/>
          <w:lang w:eastAsia="en-US"/>
        </w:rPr>
      </w:pPr>
      <w:r w:rsidRPr="00E92571">
        <w:rPr>
          <w:kern w:val="32"/>
          <w:lang w:eastAsia="en-US"/>
        </w:rPr>
        <w:t>***</w:t>
      </w:r>
    </w:p>
    <w:p w:rsidR="00A6008B" w:rsidRPr="00E92571" w:rsidRDefault="00A6008B" w:rsidP="00107230">
      <w:pPr>
        <w:rPr>
          <w:kern w:val="32"/>
          <w:lang w:eastAsia="en-US"/>
        </w:rPr>
      </w:pPr>
    </w:p>
    <w:p w:rsidR="00A6008B" w:rsidRPr="00E92571" w:rsidRDefault="00A6008B" w:rsidP="00107230">
      <w:pPr>
        <w:rPr>
          <w:kern w:val="32"/>
          <w:lang w:eastAsia="en-US"/>
        </w:rPr>
      </w:pPr>
    </w:p>
    <w:p w:rsidR="00A6008B" w:rsidRPr="00E92571" w:rsidRDefault="00A6008B" w:rsidP="00E94BEE">
      <w:pPr>
        <w:spacing w:before="120" w:after="120"/>
        <w:rPr>
          <w:kern w:val="32"/>
          <w:lang w:eastAsia="en-US"/>
        </w:rPr>
      </w:pPr>
    </w:p>
    <w:p w:rsidR="00A6008B" w:rsidRPr="00E92571" w:rsidRDefault="00A6008B" w:rsidP="00E94BEE">
      <w:pPr>
        <w:spacing w:before="120" w:after="120"/>
        <w:rPr>
          <w:kern w:val="32"/>
          <w:lang w:eastAsia="en-US"/>
        </w:rPr>
        <w:sectPr w:rsidR="00A6008B" w:rsidRPr="00E92571" w:rsidSect="000A6E40">
          <w:pgSz w:w="11907" w:h="16840" w:code="9"/>
          <w:pgMar w:top="1361" w:right="1361" w:bottom="1361" w:left="1418" w:header="397" w:footer="680" w:gutter="0"/>
          <w:pgNumType w:fmt="lowerRoman"/>
          <w:cols w:space="708"/>
          <w:docGrid w:linePitch="360"/>
        </w:sectPr>
      </w:pPr>
    </w:p>
    <w:p w:rsidR="00A6008B" w:rsidRPr="00E92571" w:rsidRDefault="00A6008B" w:rsidP="00EF05E0">
      <w:pPr>
        <w:pStyle w:val="Heading1"/>
        <w:numPr>
          <w:ilvl w:val="0"/>
          <w:numId w:val="8"/>
        </w:numPr>
        <w:spacing w:before="120"/>
        <w:ind w:left="709" w:hanging="709"/>
        <w:rPr>
          <w:lang w:val="en-AU"/>
        </w:rPr>
      </w:pPr>
      <w:bookmarkStart w:id="28" w:name="_Toc354644443"/>
      <w:r w:rsidRPr="00E92571">
        <w:rPr>
          <w:lang w:val="en-AU"/>
        </w:rPr>
        <w:t>Introduction</w:t>
      </w:r>
      <w:bookmarkEnd w:id="8"/>
      <w:bookmarkEnd w:id="28"/>
    </w:p>
    <w:p w:rsidR="00A6008B" w:rsidRPr="00E92571" w:rsidRDefault="00A6008B" w:rsidP="00EF05E0">
      <w:pPr>
        <w:pStyle w:val="Heading2"/>
        <w:numPr>
          <w:ilvl w:val="0"/>
          <w:numId w:val="9"/>
        </w:numPr>
        <w:ind w:hanging="720"/>
        <w:rPr>
          <w:lang w:eastAsia="en-US"/>
        </w:rPr>
      </w:pPr>
      <w:bookmarkStart w:id="29" w:name="_Toc279333598"/>
      <w:bookmarkStart w:id="30" w:name="_Toc354644444"/>
      <w:r w:rsidRPr="00E92571">
        <w:rPr>
          <w:lang w:eastAsia="en-US"/>
        </w:rPr>
        <w:t xml:space="preserve">Programme Description:  6 July, 2010-30, June </w:t>
      </w:r>
      <w:bookmarkEnd w:id="29"/>
      <w:r w:rsidRPr="00E92571">
        <w:rPr>
          <w:lang w:eastAsia="en-US"/>
        </w:rPr>
        <w:t>2015</w:t>
      </w:r>
      <w:bookmarkEnd w:id="30"/>
    </w:p>
    <w:p w:rsidR="00A6008B" w:rsidRPr="00461666" w:rsidRDefault="00A6008B" w:rsidP="00C13A84">
      <w:pPr>
        <w:rPr>
          <w:sz w:val="20"/>
          <w:lang w:eastAsia="en-US"/>
        </w:rPr>
      </w:pPr>
    </w:p>
    <w:p w:rsidR="00A6008B" w:rsidRPr="00E92571" w:rsidRDefault="00A6008B" w:rsidP="00D200DC">
      <w:pPr>
        <w:rPr>
          <w:lang w:eastAsia="en-US"/>
        </w:rPr>
      </w:pPr>
      <w:r w:rsidRPr="00E92571">
        <w:rPr>
          <w:lang w:eastAsia="en-US"/>
        </w:rPr>
        <w:t xml:space="preserve">The </w:t>
      </w:r>
      <w:r w:rsidRPr="00E92571">
        <w:rPr>
          <w:szCs w:val="23"/>
          <w:lang w:eastAsia="en-US"/>
        </w:rPr>
        <w:t>Pacific Judicial Development Programme</w:t>
      </w:r>
      <w:r w:rsidRPr="00E92571">
        <w:rPr>
          <w:lang w:eastAsia="en-US"/>
        </w:rPr>
        <w:t xml:space="preserve"> (PJDP) is a regional programme of assistance that is designed to contribute to strengthening the region’s judiciaries as a central pillar of good governance and the rule of law.  </w:t>
      </w:r>
    </w:p>
    <w:p w:rsidR="00A6008B" w:rsidRPr="00461666" w:rsidRDefault="00A6008B" w:rsidP="00D200DC">
      <w:pPr>
        <w:rPr>
          <w:sz w:val="20"/>
          <w:lang w:eastAsia="en-US"/>
        </w:rPr>
      </w:pPr>
    </w:p>
    <w:p w:rsidR="00A6008B" w:rsidRPr="00E92571" w:rsidRDefault="00A6008B" w:rsidP="00D200DC">
      <w:pPr>
        <w:rPr>
          <w:lang w:eastAsia="en-US"/>
        </w:rPr>
      </w:pPr>
      <w:r w:rsidRPr="00E92571">
        <w:rPr>
          <w:lang w:eastAsia="en-US"/>
        </w:rPr>
        <w:t xml:space="preserve">The PJDP operates in 14 Pacific Island Countries (PICs), namely: Cook Islands, Federated States of Micronesia, Kiribati, Marshall Islands, Nauru, Niue, Palau, Papua New Guinea, Samoa, Solomon Islands, Tokelau, Tonga, Tuvalu and Vanuatu.  The Programme is currently supported by the New Zealand Ministry of Foreign Affairs and Trade (MFAT).  </w:t>
      </w:r>
    </w:p>
    <w:p w:rsidR="00A6008B" w:rsidRPr="00E92571" w:rsidRDefault="00A6008B" w:rsidP="00C037A7">
      <w:pPr>
        <w:rPr>
          <w:szCs w:val="23"/>
          <w:lang w:eastAsia="en-US"/>
        </w:rPr>
      </w:pPr>
    </w:p>
    <w:p w:rsidR="00A6008B" w:rsidRPr="00E92571" w:rsidRDefault="00A6008B" w:rsidP="00EF05E0">
      <w:pPr>
        <w:pStyle w:val="Heading2"/>
        <w:numPr>
          <w:ilvl w:val="0"/>
          <w:numId w:val="9"/>
        </w:numPr>
        <w:ind w:hanging="720"/>
        <w:rPr>
          <w:lang w:eastAsia="en-US"/>
        </w:rPr>
      </w:pPr>
      <w:bookmarkStart w:id="31" w:name="_Toc354644445"/>
      <w:r w:rsidRPr="00E92571">
        <w:rPr>
          <w:lang w:eastAsia="en-US"/>
        </w:rPr>
        <w:t>Strategic Architecture</w:t>
      </w:r>
      <w:bookmarkEnd w:id="31"/>
    </w:p>
    <w:p w:rsidR="00A6008B" w:rsidRPr="00E92571" w:rsidRDefault="00A6008B" w:rsidP="00C13A84">
      <w:pPr>
        <w:rPr>
          <w:sz w:val="16"/>
          <w:lang w:eastAsia="en-US"/>
        </w:rPr>
      </w:pPr>
    </w:p>
    <w:p w:rsidR="00A6008B" w:rsidRPr="00E92571" w:rsidRDefault="00A6008B" w:rsidP="00922954">
      <w:pPr>
        <w:pStyle w:val="Heading3"/>
        <w:numPr>
          <w:ilvl w:val="0"/>
          <w:numId w:val="10"/>
        </w:numPr>
        <w:ind w:hanging="720"/>
        <w:jc w:val="left"/>
        <w:rPr>
          <w:sz w:val="24"/>
          <w:szCs w:val="24"/>
          <w:lang w:val="en-AU"/>
        </w:rPr>
      </w:pPr>
      <w:bookmarkStart w:id="32" w:name="_Toc342292780"/>
      <w:bookmarkStart w:id="33" w:name="_Toc346214456"/>
      <w:bookmarkStart w:id="34" w:name="_Toc354644446"/>
      <w:bookmarkEnd w:id="32"/>
      <w:bookmarkEnd w:id="33"/>
      <w:r w:rsidRPr="00E92571">
        <w:rPr>
          <w:sz w:val="24"/>
          <w:szCs w:val="24"/>
          <w:lang w:val="en-AU"/>
        </w:rPr>
        <w:t>Programme Goal</w:t>
      </w:r>
      <w:bookmarkEnd w:id="34"/>
    </w:p>
    <w:p w:rsidR="00A6008B" w:rsidRPr="00E92571" w:rsidRDefault="00A6008B" w:rsidP="00D200DC">
      <w:pPr>
        <w:rPr>
          <w:lang w:eastAsia="en-US"/>
        </w:rPr>
      </w:pPr>
      <w:r w:rsidRPr="00E92571">
        <w:rPr>
          <w:lang w:eastAsia="en-US"/>
        </w:rPr>
        <w:t>Strengthened governance and rule of law in PICs through enhanced access to justice and professional judicial officers who act independently according to legal principles.</w:t>
      </w:r>
    </w:p>
    <w:p w:rsidR="00A6008B" w:rsidRPr="00E92571" w:rsidRDefault="00A6008B" w:rsidP="00D200DC">
      <w:pPr>
        <w:rPr>
          <w:lang w:eastAsia="en-US"/>
        </w:rPr>
      </w:pPr>
    </w:p>
    <w:p w:rsidR="00A6008B" w:rsidRPr="00E92571" w:rsidRDefault="00A6008B" w:rsidP="00922954">
      <w:pPr>
        <w:pStyle w:val="Heading3"/>
        <w:numPr>
          <w:ilvl w:val="0"/>
          <w:numId w:val="10"/>
        </w:numPr>
        <w:ind w:hanging="720"/>
        <w:jc w:val="left"/>
        <w:rPr>
          <w:sz w:val="24"/>
          <w:szCs w:val="24"/>
          <w:lang w:val="en-AU"/>
        </w:rPr>
      </w:pPr>
      <w:bookmarkStart w:id="35" w:name="_Toc354644447"/>
      <w:r w:rsidRPr="00E92571">
        <w:rPr>
          <w:sz w:val="24"/>
          <w:szCs w:val="24"/>
          <w:lang w:val="en-AU"/>
        </w:rPr>
        <w:t>Programme Purpose</w:t>
      </w:r>
      <w:bookmarkEnd w:id="35"/>
    </w:p>
    <w:p w:rsidR="00A6008B" w:rsidRPr="00E92571" w:rsidRDefault="00A6008B" w:rsidP="00D200DC">
      <w:pPr>
        <w:rPr>
          <w:lang w:eastAsia="en-US"/>
        </w:rPr>
      </w:pPr>
      <w:r w:rsidRPr="00E92571">
        <w:rPr>
          <w:lang w:eastAsia="en-US"/>
        </w:rPr>
        <w:t>To support PICs to enhance the professional competence of judicial officers and court officers, and the processes and systems that they use.</w:t>
      </w:r>
    </w:p>
    <w:p w:rsidR="00A6008B" w:rsidRPr="00E92571" w:rsidRDefault="00A6008B" w:rsidP="00D200DC">
      <w:pPr>
        <w:rPr>
          <w:lang w:eastAsia="en-US"/>
        </w:rPr>
      </w:pPr>
    </w:p>
    <w:p w:rsidR="00A6008B" w:rsidRPr="00E92571" w:rsidRDefault="00A6008B" w:rsidP="00922954">
      <w:pPr>
        <w:pStyle w:val="Heading3"/>
        <w:numPr>
          <w:ilvl w:val="0"/>
          <w:numId w:val="10"/>
        </w:numPr>
        <w:ind w:hanging="720"/>
        <w:jc w:val="left"/>
        <w:rPr>
          <w:sz w:val="24"/>
          <w:szCs w:val="24"/>
          <w:lang w:val="en-AU"/>
        </w:rPr>
      </w:pPr>
      <w:bookmarkStart w:id="36" w:name="_Toc354644448"/>
      <w:r w:rsidRPr="00E92571">
        <w:rPr>
          <w:sz w:val="24"/>
          <w:szCs w:val="24"/>
          <w:lang w:val="en-AU"/>
        </w:rPr>
        <w:t>Vision for PJDP Phase 2</w:t>
      </w:r>
      <w:bookmarkEnd w:id="36"/>
    </w:p>
    <w:p w:rsidR="00A6008B" w:rsidRPr="00E92571" w:rsidRDefault="00A6008B" w:rsidP="00D200DC">
      <w:r w:rsidRPr="00E92571">
        <w:t>The vision for this e</w:t>
      </w:r>
      <w:r w:rsidRPr="00E92571">
        <w:rPr>
          <w:lang w:eastAsia="en-US"/>
        </w:rPr>
        <w:t xml:space="preserve">xtension of </w:t>
      </w:r>
      <w:r w:rsidRPr="00E92571">
        <w:t xml:space="preserve">Phase 2 of the PJDP is to consolidate and extend the delivery of the highest quality practical judicial training and court development services, while significantly enhancing the institutionalisation, localisation and sustainability of those services for stakeholders across the region.   </w:t>
      </w:r>
    </w:p>
    <w:p w:rsidR="00A6008B" w:rsidRPr="00E92571" w:rsidRDefault="00A6008B" w:rsidP="00C037A7">
      <w:pPr>
        <w:rPr>
          <w:szCs w:val="23"/>
          <w:lang w:eastAsia="en-US"/>
        </w:rPr>
      </w:pPr>
    </w:p>
    <w:p w:rsidR="00A6008B" w:rsidRPr="00E92571" w:rsidRDefault="00A6008B" w:rsidP="00EF05E0">
      <w:pPr>
        <w:pStyle w:val="Heading1"/>
        <w:numPr>
          <w:ilvl w:val="0"/>
          <w:numId w:val="8"/>
        </w:numPr>
        <w:spacing w:before="120"/>
        <w:ind w:left="709" w:hanging="709"/>
        <w:rPr>
          <w:lang w:val="en-AU"/>
        </w:rPr>
      </w:pPr>
      <w:bookmarkStart w:id="37" w:name="_Toc354644449"/>
      <w:r w:rsidRPr="00E92571">
        <w:rPr>
          <w:lang w:val="en-AU"/>
        </w:rPr>
        <w:t>Review of Progress</w:t>
      </w:r>
      <w:bookmarkEnd w:id="37"/>
    </w:p>
    <w:p w:rsidR="00A6008B" w:rsidRPr="00E92571" w:rsidRDefault="00A6008B" w:rsidP="003A6655">
      <w:pPr>
        <w:rPr>
          <w:sz w:val="16"/>
          <w:lang w:eastAsia="en-US"/>
        </w:rPr>
      </w:pPr>
    </w:p>
    <w:p w:rsidR="00A6008B" w:rsidRPr="00E92571" w:rsidRDefault="00A6008B" w:rsidP="003A6655">
      <w:pPr>
        <w:rPr>
          <w:szCs w:val="23"/>
          <w:lang w:eastAsia="en-US"/>
        </w:rPr>
      </w:pPr>
      <w:r w:rsidRPr="00E92571">
        <w:rPr>
          <w:szCs w:val="23"/>
          <w:lang w:eastAsia="en-US"/>
        </w:rPr>
        <w:t>Since Phase 2 of the PJDP commenced in July 2010, the following has been achieved:</w:t>
      </w:r>
    </w:p>
    <w:p w:rsidR="00A6008B" w:rsidRPr="00E92571" w:rsidRDefault="00A6008B" w:rsidP="00461666">
      <w:pPr>
        <w:numPr>
          <w:ilvl w:val="0"/>
          <w:numId w:val="28"/>
        </w:numPr>
        <w:spacing w:before="120"/>
        <w:ind w:left="714" w:hanging="357"/>
        <w:rPr>
          <w:szCs w:val="23"/>
          <w:lang w:eastAsia="en-US"/>
        </w:rPr>
      </w:pPr>
      <w:r w:rsidRPr="00E92571">
        <w:rPr>
          <w:i/>
          <w:szCs w:val="23"/>
          <w:lang w:eastAsia="en-US"/>
        </w:rPr>
        <w:t>Technical Needs Assessment:</w:t>
      </w:r>
      <w:r w:rsidRPr="00E92571">
        <w:rPr>
          <w:szCs w:val="23"/>
          <w:lang w:eastAsia="en-US"/>
        </w:rPr>
        <w:t>comprising a survey responded to by stakeholders from all participating PICs, and 3 sub-regional consultation workshops attended by 28 key stakeholders.</w:t>
      </w:r>
    </w:p>
    <w:p w:rsidR="00A6008B" w:rsidRPr="00E92571" w:rsidRDefault="00A6008B" w:rsidP="00461666">
      <w:pPr>
        <w:numPr>
          <w:ilvl w:val="0"/>
          <w:numId w:val="28"/>
        </w:numPr>
        <w:spacing w:before="120"/>
        <w:ind w:left="714" w:hanging="357"/>
        <w:rPr>
          <w:szCs w:val="23"/>
          <w:lang w:eastAsia="en-US"/>
        </w:rPr>
      </w:pPr>
      <w:r w:rsidRPr="00E92571">
        <w:rPr>
          <w:i/>
          <w:szCs w:val="23"/>
          <w:lang w:eastAsia="en-US"/>
        </w:rPr>
        <w:t>Access to Justice:</w:t>
      </w:r>
      <w:r w:rsidRPr="00E92571">
        <w:rPr>
          <w:szCs w:val="23"/>
          <w:lang w:eastAsia="en-US"/>
        </w:rPr>
        <w:t>assessments of the interplay between formal and Customary Dispute Resolution processes have been made with the three participating PICs; Marshall Islands, Samoa and the Federated States of Micronesia. Based on this research, a ‘</w:t>
      </w:r>
      <w:r w:rsidRPr="00E92571">
        <w:rPr>
          <w:i/>
          <w:szCs w:val="23"/>
          <w:lang w:eastAsia="en-US"/>
        </w:rPr>
        <w:t>RegionalAccess to Justice PlanningToolkit</w:t>
      </w:r>
      <w:r w:rsidRPr="00E92571">
        <w:rPr>
          <w:szCs w:val="23"/>
          <w:lang w:eastAsia="en-US"/>
        </w:rPr>
        <w:t>’ has been developed and is now being piloted in Tuvalu.  A review is underway to find another donor to continue to provide support to this project in future.</w:t>
      </w:r>
    </w:p>
    <w:p w:rsidR="00A6008B" w:rsidRPr="00E92571" w:rsidRDefault="00A6008B" w:rsidP="00461666">
      <w:pPr>
        <w:numPr>
          <w:ilvl w:val="0"/>
          <w:numId w:val="28"/>
        </w:numPr>
        <w:spacing w:before="120"/>
        <w:ind w:left="714" w:hanging="357"/>
        <w:rPr>
          <w:szCs w:val="23"/>
          <w:lang w:eastAsia="en-US"/>
        </w:rPr>
      </w:pPr>
      <w:r w:rsidRPr="00E92571">
        <w:rPr>
          <w:i/>
          <w:szCs w:val="23"/>
          <w:lang w:eastAsia="en-US"/>
        </w:rPr>
        <w:t>Family Violence / Youth Justice Awareness Workshops (x2):</w:t>
      </w:r>
      <w:r w:rsidRPr="00E92571">
        <w:rPr>
          <w:szCs w:val="23"/>
          <w:lang w:eastAsia="en-US"/>
        </w:rPr>
        <w:t>have been designed and delivered in Palau and Vanuatu for a total of 75 judicial, court, community and church representatives, and wider justice sector actors</w:t>
      </w:r>
      <w:r w:rsidRPr="00E92571">
        <w:rPr>
          <w:rStyle w:val="FootnoteReference"/>
          <w:szCs w:val="23"/>
          <w:lang w:eastAsia="en-US"/>
        </w:rPr>
        <w:footnoteReference w:id="2"/>
      </w:r>
      <w:r w:rsidRPr="00E92571">
        <w:rPr>
          <w:szCs w:val="23"/>
          <w:lang w:eastAsia="en-US"/>
        </w:rPr>
        <w:t xml:space="preserve">.  In Palau </w:t>
      </w:r>
      <w:r w:rsidRPr="00E92571">
        <w:rPr>
          <w:rFonts w:cs="Arial"/>
          <w:szCs w:val="23"/>
        </w:rPr>
        <w:t xml:space="preserve">the workshop </w:t>
      </w:r>
      <w:r w:rsidRPr="00E92571">
        <w:rPr>
          <w:rFonts w:cs="Calibri"/>
          <w:bCs/>
          <w:szCs w:val="23"/>
          <w:lang w:eastAsia="en-US"/>
        </w:rPr>
        <w:t>culminated in the development and signing of a</w:t>
      </w:r>
      <w:r w:rsidRPr="00E92571">
        <w:rPr>
          <w:rFonts w:cs="Arial"/>
          <w:szCs w:val="23"/>
          <w:lang w:eastAsia="en-US"/>
        </w:rPr>
        <w:t xml:space="preserve">Memorandum of Understanding (MoU) </w:t>
      </w:r>
      <w:r w:rsidRPr="00E92571">
        <w:rPr>
          <w:rFonts w:cs="Arial"/>
          <w:szCs w:val="23"/>
        </w:rPr>
        <w:t xml:space="preserve">capturing the commitment of </w:t>
      </w:r>
      <w:r w:rsidRPr="00E92571">
        <w:rPr>
          <w:rFonts w:cs="Arial"/>
          <w:bCs/>
          <w:szCs w:val="23"/>
          <w:lang w:eastAsia="en-US"/>
        </w:rPr>
        <w:t xml:space="preserve">key </w:t>
      </w:r>
      <w:r w:rsidRPr="00E92571">
        <w:rPr>
          <w:rFonts w:cs="Arial"/>
          <w:szCs w:val="23"/>
        </w:rPr>
        <w:t xml:space="preserve">agencies </w:t>
      </w:r>
      <w:r w:rsidRPr="00E92571">
        <w:rPr>
          <w:rFonts w:cs="Arial"/>
          <w:szCs w:val="23"/>
          <w:lang w:eastAsia="en-US"/>
        </w:rPr>
        <w:t xml:space="preserve">which address Family / Domestic Violence in Palau </w:t>
      </w:r>
      <w:r w:rsidRPr="00E92571">
        <w:rPr>
          <w:rFonts w:cs="Arial"/>
          <w:szCs w:val="23"/>
        </w:rPr>
        <w:t>to collaborate in order to coordinate effective responses these issues in Palau</w:t>
      </w:r>
      <w:r w:rsidRPr="00E92571">
        <w:rPr>
          <w:szCs w:val="23"/>
          <w:lang w:eastAsia="en-US"/>
        </w:rPr>
        <w:t>.</w:t>
      </w:r>
    </w:p>
    <w:p w:rsidR="00A6008B" w:rsidRPr="00E92571" w:rsidRDefault="00A6008B" w:rsidP="00461666">
      <w:pPr>
        <w:numPr>
          <w:ilvl w:val="0"/>
          <w:numId w:val="28"/>
        </w:numPr>
        <w:spacing w:before="120"/>
        <w:ind w:left="714" w:hanging="357"/>
        <w:rPr>
          <w:szCs w:val="23"/>
          <w:lang w:eastAsia="en-US"/>
        </w:rPr>
      </w:pPr>
      <w:r w:rsidRPr="00E92571">
        <w:rPr>
          <w:i/>
          <w:szCs w:val="23"/>
          <w:lang w:eastAsia="en-US"/>
        </w:rPr>
        <w:t>Institutionalisation of the PJDP:</w:t>
      </w:r>
      <w:r w:rsidRPr="00E92571">
        <w:rPr>
          <w:szCs w:val="23"/>
          <w:lang w:eastAsia="en-US"/>
        </w:rPr>
        <w:t>analysis of issues and development of options to institutionalise judicial development support in the Pacific region have been completed, reviewed and received by the PEC. A number of the concepts developed as part of this project have shaped the PJDP approach and the development of the 12- and 24-month Extension Plans- notably adoption of pilot projects, toolkits and regional fora.</w:t>
      </w:r>
    </w:p>
    <w:p w:rsidR="00A6008B" w:rsidRPr="00E92571" w:rsidRDefault="00A6008B" w:rsidP="00461666">
      <w:pPr>
        <w:numPr>
          <w:ilvl w:val="0"/>
          <w:numId w:val="28"/>
        </w:numPr>
        <w:spacing w:before="120"/>
        <w:ind w:left="714" w:hanging="357"/>
        <w:rPr>
          <w:szCs w:val="23"/>
          <w:lang w:eastAsia="en-US"/>
        </w:rPr>
      </w:pPr>
      <w:r w:rsidRPr="00E92571">
        <w:rPr>
          <w:rFonts w:cs="Arial"/>
          <w:i/>
          <w:szCs w:val="23"/>
          <w:lang w:eastAsia="en-US"/>
        </w:rPr>
        <w:t>Benchbook Revision:</w:t>
      </w:r>
      <w:r w:rsidRPr="00E92571">
        <w:rPr>
          <w:rFonts w:cs="Arial"/>
          <w:szCs w:val="23"/>
          <w:lang w:eastAsia="en-US"/>
        </w:rPr>
        <w:t xml:space="preserve">the Cook Islands Benchbook has been comprehensively revised and republished.  In addition, a new chapter on decision-making was drafted with funding support from the Responsive Funding.  15 Justices of the Peace received training on the content and use of the revised benchbook. </w:t>
      </w:r>
    </w:p>
    <w:p w:rsidR="00A6008B" w:rsidRPr="00E92571" w:rsidRDefault="00A6008B" w:rsidP="00461666">
      <w:pPr>
        <w:numPr>
          <w:ilvl w:val="0"/>
          <w:numId w:val="28"/>
        </w:numPr>
        <w:spacing w:before="120"/>
        <w:ind w:left="714" w:hanging="357"/>
        <w:rPr>
          <w:szCs w:val="23"/>
          <w:lang w:eastAsia="en-US"/>
        </w:rPr>
      </w:pPr>
      <w:r w:rsidRPr="00E92571">
        <w:rPr>
          <w:i/>
        </w:rPr>
        <w:t>Lessons Learnt Report</w:t>
      </w:r>
      <w:r w:rsidRPr="00E92571">
        <w:rPr>
          <w:i/>
          <w:szCs w:val="20"/>
          <w:lang w:eastAsia="en-US"/>
        </w:rPr>
        <w:t>:</w:t>
      </w:r>
      <w:r w:rsidRPr="00E92571">
        <w:rPr>
          <w:szCs w:val="20"/>
          <w:lang w:eastAsia="en-US"/>
        </w:rPr>
        <w:t>t</w:t>
      </w:r>
      <w:r w:rsidRPr="00E92571">
        <w:rPr>
          <w:bCs/>
          <w:szCs w:val="23"/>
          <w:lang w:eastAsia="en-US"/>
        </w:rPr>
        <w:t xml:space="preserve">he MSC </w:t>
      </w:r>
      <w:r w:rsidRPr="00E92571">
        <w:rPr>
          <w:bCs/>
          <w:iCs/>
          <w:szCs w:val="23"/>
        </w:rPr>
        <w:t>undertook</w:t>
      </w:r>
      <w:r w:rsidRPr="00E92571">
        <w:rPr>
          <w:szCs w:val="23"/>
          <w:lang w:eastAsia="en-US"/>
        </w:rPr>
        <w:t xml:space="preserve">an </w:t>
      </w:r>
      <w:r w:rsidRPr="00E92571">
        <w:rPr>
          <w:bCs/>
          <w:szCs w:val="23"/>
        </w:rPr>
        <w:t xml:space="preserve">analytical appraisal of the PJDP’s </w:t>
      </w:r>
      <w:r w:rsidRPr="00E92571">
        <w:rPr>
          <w:bCs/>
          <w:iCs/>
          <w:szCs w:val="23"/>
        </w:rPr>
        <w:t>experience since the commencement of Phase 2 in July 2010</w:t>
      </w:r>
      <w:r w:rsidRPr="00E92571">
        <w:rPr>
          <w:bCs/>
          <w:szCs w:val="23"/>
          <w:lang w:eastAsia="en-US"/>
        </w:rPr>
        <w:t xml:space="preserve">.  The purpose of the assessment was to </w:t>
      </w:r>
      <w:r w:rsidRPr="00E92571">
        <w:rPr>
          <w:bCs/>
          <w:szCs w:val="23"/>
        </w:rPr>
        <w:t xml:space="preserve">capture and consolidate the MSC’s implementation experience in the nature of an internal ‘lessons learned’ report to </w:t>
      </w:r>
      <w:r w:rsidRPr="00E92571">
        <w:rPr>
          <w:bCs/>
          <w:iCs/>
          <w:szCs w:val="23"/>
          <w:lang w:eastAsia="en-US"/>
        </w:rPr>
        <w:t xml:space="preserve">promote  </w:t>
      </w:r>
      <w:r w:rsidRPr="00E92571">
        <w:rPr>
          <w:bCs/>
          <w:szCs w:val="23"/>
          <w:lang w:eastAsia="en-US"/>
        </w:rPr>
        <w:t>continued</w:t>
      </w:r>
      <w:r w:rsidRPr="00E92571">
        <w:rPr>
          <w:bCs/>
          <w:iCs/>
          <w:szCs w:val="23"/>
          <w:lang w:eastAsia="en-US"/>
        </w:rPr>
        <w:t xml:space="preserve">sustainability of </w:t>
      </w:r>
      <w:r w:rsidRPr="00E92571">
        <w:rPr>
          <w:bCs/>
          <w:szCs w:val="23"/>
          <w:lang w:eastAsia="en-US"/>
        </w:rPr>
        <w:t>judicial development in the Pacific region after completion of this phase</w:t>
      </w:r>
      <w:r w:rsidRPr="00E92571">
        <w:rPr>
          <w:bCs/>
          <w:iCs/>
          <w:szCs w:val="23"/>
          <w:lang w:eastAsia="en-US"/>
        </w:rPr>
        <w:t>.</w:t>
      </w:r>
    </w:p>
    <w:p w:rsidR="00A6008B" w:rsidRPr="00E92571" w:rsidRDefault="00A6008B" w:rsidP="00461666">
      <w:pPr>
        <w:numPr>
          <w:ilvl w:val="0"/>
          <w:numId w:val="28"/>
        </w:numPr>
        <w:spacing w:before="120"/>
        <w:ind w:left="714" w:hanging="357"/>
        <w:rPr>
          <w:szCs w:val="23"/>
          <w:lang w:eastAsia="en-US"/>
        </w:rPr>
      </w:pPr>
      <w:r w:rsidRPr="00E92571">
        <w:rPr>
          <w:i/>
          <w:szCs w:val="23"/>
          <w:lang w:eastAsia="en-US"/>
        </w:rPr>
        <w:t>Leadership Meetings:</w:t>
      </w:r>
    </w:p>
    <w:p w:rsidR="00A6008B" w:rsidRPr="00E92571" w:rsidRDefault="00A6008B" w:rsidP="00461666">
      <w:pPr>
        <w:numPr>
          <w:ilvl w:val="0"/>
          <w:numId w:val="29"/>
        </w:numPr>
        <w:spacing w:before="60"/>
        <w:ind w:left="1134" w:hanging="357"/>
        <w:rPr>
          <w:szCs w:val="23"/>
          <w:lang w:eastAsia="en-US"/>
        </w:rPr>
      </w:pPr>
      <w:r w:rsidRPr="00E92571">
        <w:rPr>
          <w:i/>
          <w:szCs w:val="23"/>
          <w:lang w:eastAsia="en-US"/>
        </w:rPr>
        <w:t>Programme Executive Committee</w:t>
      </w:r>
      <w:r w:rsidRPr="00E92571">
        <w:rPr>
          <w:szCs w:val="23"/>
          <w:lang w:eastAsia="en-US"/>
        </w:rPr>
        <w:t xml:space="preserve"> (PEC) has met five times.</w:t>
      </w:r>
    </w:p>
    <w:p w:rsidR="00A6008B" w:rsidRPr="00E92571" w:rsidRDefault="00A6008B" w:rsidP="00461666">
      <w:pPr>
        <w:numPr>
          <w:ilvl w:val="0"/>
          <w:numId w:val="29"/>
        </w:numPr>
        <w:spacing w:before="60"/>
        <w:ind w:left="1134" w:hanging="357"/>
        <w:rPr>
          <w:szCs w:val="23"/>
          <w:lang w:eastAsia="en-US"/>
        </w:rPr>
      </w:pPr>
      <w:r w:rsidRPr="00E92571">
        <w:rPr>
          <w:i/>
          <w:szCs w:val="23"/>
          <w:lang w:eastAsia="en-US"/>
        </w:rPr>
        <w:t>Chief Justices</w:t>
      </w:r>
      <w:r w:rsidRPr="00E92571">
        <w:rPr>
          <w:szCs w:val="23"/>
          <w:lang w:eastAsia="en-US"/>
        </w:rPr>
        <w:t xml:space="preserve"> (CJ) have met three times.  The first meeting was attended by </w:t>
      </w:r>
      <w:r w:rsidRPr="00E92571">
        <w:rPr>
          <w:bCs/>
          <w:szCs w:val="23"/>
          <w:lang w:eastAsia="en-US"/>
        </w:rPr>
        <w:t xml:space="preserve">nine chief judicial officers, and the second meeting by 11 chief judicial officers, and the third was </w:t>
      </w:r>
      <w:r w:rsidRPr="00E92571">
        <w:rPr>
          <w:szCs w:val="23"/>
          <w:lang w:eastAsia="en-US"/>
        </w:rPr>
        <w:t xml:space="preserve">attended by </w:t>
      </w:r>
      <w:r w:rsidRPr="00E92571">
        <w:rPr>
          <w:bCs/>
          <w:szCs w:val="23"/>
          <w:lang w:eastAsia="en-US"/>
        </w:rPr>
        <w:t>nine chief judicial officers as well as two further senior judicial representatives.</w:t>
      </w:r>
    </w:p>
    <w:p w:rsidR="00A6008B" w:rsidRPr="00E92571" w:rsidRDefault="00A6008B" w:rsidP="00461666">
      <w:pPr>
        <w:numPr>
          <w:ilvl w:val="0"/>
          <w:numId w:val="29"/>
        </w:numPr>
        <w:spacing w:before="60"/>
        <w:ind w:left="1134" w:hanging="357"/>
        <w:rPr>
          <w:szCs w:val="23"/>
          <w:lang w:eastAsia="en-US"/>
        </w:rPr>
      </w:pPr>
      <w:r w:rsidRPr="00E92571">
        <w:rPr>
          <w:i/>
          <w:szCs w:val="23"/>
          <w:lang w:eastAsia="en-US"/>
        </w:rPr>
        <w:t>National Coordinators</w:t>
      </w:r>
      <w:r w:rsidRPr="00E92571">
        <w:rPr>
          <w:szCs w:val="23"/>
          <w:lang w:eastAsia="en-US"/>
        </w:rPr>
        <w:t xml:space="preserve"> (NC) have met three times, attended by a total of </w:t>
      </w:r>
      <w:r w:rsidRPr="00E92571">
        <w:rPr>
          <w:bCs/>
          <w:szCs w:val="23"/>
          <w:lang w:eastAsia="en-US"/>
        </w:rPr>
        <w:t>45 people.</w:t>
      </w:r>
    </w:p>
    <w:p w:rsidR="00A6008B" w:rsidRPr="00E92571" w:rsidRDefault="00A6008B" w:rsidP="00461666">
      <w:pPr>
        <w:numPr>
          <w:ilvl w:val="0"/>
          <w:numId w:val="28"/>
        </w:numPr>
        <w:spacing w:before="120"/>
        <w:ind w:left="714" w:hanging="357"/>
        <w:rPr>
          <w:szCs w:val="23"/>
          <w:lang w:eastAsia="en-US"/>
        </w:rPr>
      </w:pPr>
      <w:r w:rsidRPr="00E92571">
        <w:rPr>
          <w:i/>
          <w:szCs w:val="23"/>
          <w:lang w:eastAsia="en-US"/>
        </w:rPr>
        <w:t xml:space="preserve">National Judicial Development Committee (NJDC): </w:t>
      </w:r>
      <w:r w:rsidRPr="00E92571">
        <w:rPr>
          <w:szCs w:val="23"/>
          <w:lang w:eastAsia="en-US"/>
        </w:rPr>
        <w:t>a Concept Note for the re-enlivenment of these committees was developed.  Following approval of the Concept Note, a draft‘</w:t>
      </w:r>
      <w:r w:rsidRPr="00E92571">
        <w:rPr>
          <w:i/>
          <w:szCs w:val="23"/>
          <w:lang w:eastAsia="en-US"/>
        </w:rPr>
        <w:t>NJDC Toolkit</w:t>
      </w:r>
      <w:r w:rsidRPr="00E92571">
        <w:rPr>
          <w:szCs w:val="23"/>
          <w:lang w:eastAsia="en-US"/>
        </w:rPr>
        <w:t>’ has been developed, and this is in the process of being piloted in Samoa.</w:t>
      </w:r>
    </w:p>
    <w:p w:rsidR="00A6008B" w:rsidRPr="00E92571" w:rsidRDefault="00A6008B" w:rsidP="00461666">
      <w:pPr>
        <w:numPr>
          <w:ilvl w:val="0"/>
          <w:numId w:val="28"/>
        </w:numPr>
        <w:spacing w:before="120"/>
        <w:ind w:left="714" w:hanging="357"/>
        <w:rPr>
          <w:szCs w:val="23"/>
          <w:lang w:eastAsia="en-US"/>
        </w:rPr>
      </w:pPr>
      <w:r w:rsidRPr="00E92571">
        <w:rPr>
          <w:i/>
          <w:szCs w:val="23"/>
          <w:lang w:eastAsia="en-US"/>
        </w:rPr>
        <w:t>Judicial Administration:</w:t>
      </w:r>
      <w:r w:rsidRPr="00E92571">
        <w:rPr>
          <w:szCs w:val="23"/>
          <w:lang w:eastAsia="en-US"/>
        </w:rPr>
        <w:t>existing judi</w:t>
      </w:r>
      <w:r w:rsidRPr="00E92571">
        <w:rPr>
          <w:bCs/>
          <w:szCs w:val="23"/>
          <w:lang w:eastAsia="en-US"/>
        </w:rPr>
        <w:t xml:space="preserve">cial administration processes have been reviewed </w:t>
      </w:r>
      <w:r w:rsidRPr="00E92571">
        <w:rPr>
          <w:szCs w:val="23"/>
          <w:lang w:eastAsia="en-US"/>
        </w:rPr>
        <w:t>in Vanuatu, Solomon Islands and Tonga.  Based on these diagnostic assessments, detailed plans were formulated and a ‘</w:t>
      </w:r>
      <w:r w:rsidRPr="00E92571">
        <w:rPr>
          <w:i/>
          <w:szCs w:val="23"/>
          <w:lang w:eastAsia="en-US"/>
        </w:rPr>
        <w:t>Regional Good Practice Time StandardsToolkit</w:t>
      </w:r>
      <w:r w:rsidRPr="00E92571">
        <w:rPr>
          <w:szCs w:val="23"/>
          <w:lang w:eastAsia="en-US"/>
        </w:rPr>
        <w:t>’ developed, piloted in Kiribati, and finalised.</w:t>
      </w:r>
      <w:r w:rsidRPr="00E92571">
        <w:rPr>
          <w:szCs w:val="23"/>
        </w:rPr>
        <w:t xml:space="preserve">   The monthly court reporting frameworks developed in this process for all court-levels in Kiribati integrate the ‘</w:t>
      </w:r>
      <w:r w:rsidRPr="00E92571">
        <w:rPr>
          <w:i/>
          <w:szCs w:val="23"/>
        </w:rPr>
        <w:t>Cook Island Indicators</w:t>
      </w:r>
      <w:r w:rsidRPr="00E92571">
        <w:rPr>
          <w:szCs w:val="23"/>
        </w:rPr>
        <w:t>’ which were developed and agreed to by PJDP partner courts as indicators of performance for the purpose of publication in annual court reports</w:t>
      </w:r>
    </w:p>
    <w:p w:rsidR="00A6008B" w:rsidRPr="00E92571" w:rsidRDefault="00A6008B" w:rsidP="00461666">
      <w:pPr>
        <w:numPr>
          <w:ilvl w:val="0"/>
          <w:numId w:val="28"/>
        </w:numPr>
        <w:spacing w:before="120"/>
        <w:ind w:left="714" w:hanging="357"/>
        <w:rPr>
          <w:szCs w:val="23"/>
          <w:lang w:eastAsia="en-US"/>
        </w:rPr>
      </w:pPr>
      <w:r w:rsidRPr="00E92571" w:rsidDel="00626433">
        <w:rPr>
          <w:rFonts w:cs="Verdana"/>
          <w:bCs/>
          <w:i/>
          <w:szCs w:val="23"/>
          <w:lang w:eastAsia="en-US"/>
        </w:rPr>
        <w:t xml:space="preserve">Judicial </w:t>
      </w:r>
      <w:r w:rsidRPr="00E92571">
        <w:rPr>
          <w:rFonts w:cs="Verdana"/>
          <w:bCs/>
          <w:i/>
          <w:szCs w:val="23"/>
          <w:lang w:eastAsia="en-US"/>
        </w:rPr>
        <w:t>Performance Monitoring and Evaluation:</w:t>
      </w:r>
      <w:r w:rsidRPr="00E92571">
        <w:rPr>
          <w:rFonts w:cs="Verdana"/>
          <w:bCs/>
          <w:szCs w:val="23"/>
          <w:lang w:eastAsia="en-US"/>
        </w:rPr>
        <w:t xml:space="preserve">a framework for the </w:t>
      </w:r>
      <w:r w:rsidRPr="00E92571">
        <w:rPr>
          <w:rFonts w:cs="Tahoma"/>
          <w:color w:val="000000"/>
          <w:szCs w:val="23"/>
          <w:lang w:eastAsia="en-US"/>
        </w:rPr>
        <w:t>collection of</w:t>
      </w:r>
      <w:r w:rsidRPr="00E92571">
        <w:rPr>
          <w:rFonts w:cs="Verdana"/>
          <w:bCs/>
          <w:szCs w:val="23"/>
          <w:lang w:eastAsia="en-US"/>
        </w:rPr>
        <w:t xml:space="preserve">baseline data was established following </w:t>
      </w:r>
      <w:r w:rsidRPr="00E92571">
        <w:rPr>
          <w:rFonts w:cs="Tahoma"/>
          <w:color w:val="000000"/>
          <w:szCs w:val="23"/>
          <w:lang w:eastAsia="en-US"/>
        </w:rPr>
        <w:t xml:space="preserve">consultation with </w:t>
      </w:r>
      <w:r w:rsidRPr="00E92571">
        <w:rPr>
          <w:rFonts w:cs="Verdana"/>
          <w:bCs/>
          <w:szCs w:val="23"/>
          <w:lang w:eastAsia="en-US"/>
        </w:rPr>
        <w:t xml:space="preserve">representative </w:t>
      </w:r>
      <w:r w:rsidRPr="00E92571">
        <w:rPr>
          <w:rFonts w:cs="Tahoma"/>
          <w:color w:val="000000"/>
          <w:szCs w:val="23"/>
          <w:lang w:eastAsia="en-US"/>
        </w:rPr>
        <w:t>counterparts in</w:t>
      </w:r>
      <w:r w:rsidRPr="00E92571">
        <w:rPr>
          <w:rFonts w:cs="Verdana"/>
          <w:bCs/>
          <w:szCs w:val="23"/>
          <w:lang w:eastAsia="en-US"/>
        </w:rPr>
        <w:t xml:space="preserve"> Papua New Guinea (PNG) and Palau. A baseline data survey was also developed and distributed a survey to other interested PJDP partner courts.</w:t>
      </w:r>
      <w:r w:rsidRPr="00E92571">
        <w:rPr>
          <w:szCs w:val="23"/>
          <w:lang w:eastAsia="en-US"/>
        </w:rPr>
        <w:t xml:space="preserve">  A ‘</w:t>
      </w:r>
      <w:r w:rsidRPr="00E92571">
        <w:rPr>
          <w:i/>
          <w:szCs w:val="23"/>
          <w:lang w:eastAsia="en-US"/>
        </w:rPr>
        <w:t>RegionalCourt Reporting Toolkit</w:t>
      </w:r>
      <w:r w:rsidRPr="00E92571">
        <w:rPr>
          <w:szCs w:val="23"/>
          <w:lang w:eastAsia="en-US"/>
        </w:rPr>
        <w:t>’ was then developed and piloted in Tokelau to develop that court’s first published annual report.  In addition, a second year of court data isin the process of been collected in partner courts.</w:t>
      </w:r>
    </w:p>
    <w:p w:rsidR="00A6008B" w:rsidRPr="00E92571" w:rsidRDefault="00A6008B" w:rsidP="00461666">
      <w:pPr>
        <w:numPr>
          <w:ilvl w:val="0"/>
          <w:numId w:val="28"/>
        </w:numPr>
        <w:spacing w:before="120"/>
        <w:ind w:left="714" w:hanging="357"/>
        <w:rPr>
          <w:szCs w:val="23"/>
          <w:lang w:eastAsia="en-US"/>
        </w:rPr>
      </w:pPr>
      <w:r w:rsidRPr="00E92571">
        <w:rPr>
          <w:i/>
          <w:szCs w:val="23"/>
          <w:lang w:eastAsia="en-US"/>
        </w:rPr>
        <w:t xml:space="preserve">Distribution of Regional Toolkits: </w:t>
      </w:r>
      <w:r w:rsidRPr="00E92571">
        <w:rPr>
          <w:szCs w:val="23"/>
          <w:lang w:eastAsia="en-US"/>
        </w:rPr>
        <w:t xml:space="preserve">based on a quality assured process of; development, technical review, piloting, and refinement, 5 drafttoolkits have been developed.  To date, two of these have been fully piloted and finalised for distribution to partner courts and upload on the PJDP’s websites. </w:t>
      </w:r>
    </w:p>
    <w:p w:rsidR="00A6008B" w:rsidRPr="00E92571" w:rsidRDefault="00A6008B" w:rsidP="00461666">
      <w:pPr>
        <w:numPr>
          <w:ilvl w:val="0"/>
          <w:numId w:val="28"/>
        </w:numPr>
        <w:spacing w:before="120"/>
        <w:ind w:left="714" w:hanging="357"/>
        <w:rPr>
          <w:szCs w:val="23"/>
          <w:lang w:eastAsia="en-US"/>
        </w:rPr>
      </w:pPr>
      <w:r w:rsidRPr="00E92571">
        <w:rPr>
          <w:i/>
          <w:szCs w:val="23"/>
          <w:lang w:eastAsia="en-US"/>
        </w:rPr>
        <w:t>Judicial Orientation Training:</w:t>
      </w:r>
      <w:r w:rsidRPr="00E92571">
        <w:rPr>
          <w:szCs w:val="23"/>
          <w:lang w:eastAsia="en-US"/>
        </w:rPr>
        <w:t>has been designed and delivered twice for a total of 54 judicial and court officers from a</w:t>
      </w:r>
      <w:r w:rsidRPr="00E92571">
        <w:rPr>
          <w:rFonts w:cs="Tahoma"/>
          <w:color w:val="000000"/>
          <w:szCs w:val="23"/>
          <w:lang w:eastAsia="en-US"/>
        </w:rPr>
        <w:t>cross the region</w:t>
      </w:r>
      <w:r w:rsidRPr="00E92571">
        <w:rPr>
          <w:rStyle w:val="FootnoteReference"/>
          <w:color w:val="000000"/>
          <w:szCs w:val="23"/>
          <w:lang w:eastAsia="en-US"/>
        </w:rPr>
        <w:footnoteReference w:id="3"/>
      </w:r>
      <w:r w:rsidRPr="00E92571">
        <w:rPr>
          <w:szCs w:val="23"/>
          <w:lang w:eastAsia="en-US"/>
        </w:rPr>
        <w:t>.  As part of ongoing refinement of this activity, the second course was refined tofocuson lay judicial and court officers specifically.</w:t>
      </w:r>
    </w:p>
    <w:p w:rsidR="00A6008B" w:rsidRDefault="00A6008B" w:rsidP="00461666">
      <w:pPr>
        <w:numPr>
          <w:ilvl w:val="0"/>
          <w:numId w:val="28"/>
        </w:numPr>
        <w:spacing w:before="120"/>
        <w:ind w:left="714" w:hanging="357"/>
        <w:rPr>
          <w:szCs w:val="23"/>
          <w:lang w:eastAsia="en-US"/>
        </w:rPr>
      </w:pPr>
      <w:r w:rsidRPr="00E92571">
        <w:rPr>
          <w:i/>
          <w:szCs w:val="23"/>
          <w:lang w:eastAsia="en-US"/>
        </w:rPr>
        <w:t>Decision-Making Training (x2):</w:t>
      </w:r>
      <w:r w:rsidRPr="00E92571">
        <w:rPr>
          <w:szCs w:val="23"/>
          <w:lang w:eastAsia="en-US"/>
        </w:rPr>
        <w:t>has been designed and delivered for 31 lay and law trained judicial officers from a</w:t>
      </w:r>
      <w:r w:rsidRPr="00E92571">
        <w:rPr>
          <w:rFonts w:cs="Tahoma"/>
          <w:color w:val="000000"/>
          <w:szCs w:val="23"/>
          <w:lang w:eastAsia="en-US"/>
        </w:rPr>
        <w:t>cross the region</w:t>
      </w:r>
      <w:r w:rsidRPr="00E92571">
        <w:rPr>
          <w:rStyle w:val="FootnoteReference"/>
          <w:color w:val="000000"/>
          <w:szCs w:val="23"/>
          <w:lang w:eastAsia="en-US"/>
        </w:rPr>
        <w:footnoteReference w:id="4"/>
      </w:r>
      <w:r w:rsidRPr="00E92571">
        <w:rPr>
          <w:szCs w:val="23"/>
          <w:lang w:eastAsia="en-US"/>
        </w:rPr>
        <w:t>. A further course for lay officers will be held in May 2013.</w:t>
      </w:r>
    </w:p>
    <w:p w:rsidR="00A6008B" w:rsidRPr="00E92571" w:rsidRDefault="00A6008B" w:rsidP="00461666">
      <w:pPr>
        <w:spacing w:before="120"/>
        <w:ind w:left="714"/>
        <w:rPr>
          <w:szCs w:val="23"/>
          <w:lang w:eastAsia="en-US"/>
        </w:rPr>
      </w:pPr>
    </w:p>
    <w:p w:rsidR="00A6008B" w:rsidRPr="00E92571" w:rsidRDefault="00A6008B" w:rsidP="00461666">
      <w:pPr>
        <w:numPr>
          <w:ilvl w:val="0"/>
          <w:numId w:val="28"/>
        </w:numPr>
        <w:spacing w:before="120"/>
        <w:rPr>
          <w:szCs w:val="23"/>
          <w:lang w:eastAsia="en-US"/>
        </w:rPr>
      </w:pPr>
      <w:r w:rsidRPr="00E92571">
        <w:rPr>
          <w:szCs w:val="23"/>
          <w:lang w:eastAsia="en-US"/>
        </w:rPr>
        <w:t>Mobilisation and further development of the Regional Training Team (RTT):</w:t>
      </w:r>
    </w:p>
    <w:p w:rsidR="00A6008B" w:rsidRPr="00E92571" w:rsidRDefault="00A6008B" w:rsidP="00461666">
      <w:pPr>
        <w:numPr>
          <w:ilvl w:val="1"/>
          <w:numId w:val="30"/>
        </w:numPr>
        <w:spacing w:before="60"/>
        <w:ind w:left="1134" w:hanging="357"/>
        <w:rPr>
          <w:szCs w:val="23"/>
          <w:lang w:eastAsia="en-US"/>
        </w:rPr>
      </w:pPr>
      <w:r w:rsidRPr="00E92571">
        <w:rPr>
          <w:bCs/>
          <w:szCs w:val="23"/>
          <w:lang w:eastAsia="en-US"/>
        </w:rPr>
        <w:t>18 RTT members from 8 PICs have participated as faculty in the development and co-facilitation of regional PJDP training activities</w:t>
      </w:r>
      <w:r w:rsidRPr="00E92571">
        <w:rPr>
          <w:rStyle w:val="FootnoteReference"/>
          <w:bCs/>
          <w:szCs w:val="23"/>
          <w:lang w:eastAsia="en-US"/>
        </w:rPr>
        <w:footnoteReference w:id="5"/>
      </w:r>
      <w:r w:rsidRPr="00E92571">
        <w:rPr>
          <w:bCs/>
          <w:szCs w:val="23"/>
          <w:lang w:eastAsia="en-US"/>
        </w:rPr>
        <w:t>.</w:t>
      </w:r>
    </w:p>
    <w:p w:rsidR="00A6008B" w:rsidRPr="00E92571" w:rsidRDefault="00A6008B" w:rsidP="00461666">
      <w:pPr>
        <w:numPr>
          <w:ilvl w:val="1"/>
          <w:numId w:val="30"/>
        </w:numPr>
        <w:spacing w:before="60"/>
        <w:ind w:left="1134" w:hanging="357"/>
        <w:rPr>
          <w:szCs w:val="23"/>
          <w:lang w:eastAsia="en-US"/>
        </w:rPr>
      </w:pPr>
      <w:r w:rsidRPr="00E92571">
        <w:rPr>
          <w:szCs w:val="23"/>
          <w:lang w:eastAsia="en-US"/>
        </w:rPr>
        <w:t xml:space="preserve">Designed and delivered </w:t>
      </w:r>
      <w:r w:rsidRPr="00E92571">
        <w:rPr>
          <w:rFonts w:cs="Arial"/>
          <w:iCs/>
          <w:szCs w:val="23"/>
          <w:lang w:eastAsia="en-US"/>
        </w:rPr>
        <w:t>Advanced Regional Training Team Curriculum Development / Programme Management Training</w:t>
      </w:r>
      <w:r w:rsidRPr="00E92571">
        <w:rPr>
          <w:szCs w:val="23"/>
          <w:lang w:eastAsia="en-US"/>
        </w:rPr>
        <w:t xml:space="preserve"> for 18</w:t>
      </w:r>
      <w:r w:rsidRPr="00E92571">
        <w:rPr>
          <w:bCs/>
          <w:szCs w:val="23"/>
          <w:lang w:eastAsia="en-US"/>
        </w:rPr>
        <w:t xml:space="preserve"> experienced RTT members.</w:t>
      </w:r>
    </w:p>
    <w:p w:rsidR="00A6008B" w:rsidRPr="00E92571" w:rsidRDefault="00A6008B" w:rsidP="00461666">
      <w:pPr>
        <w:numPr>
          <w:ilvl w:val="0"/>
          <w:numId w:val="28"/>
        </w:numPr>
        <w:spacing w:before="120"/>
        <w:ind w:left="714" w:hanging="357"/>
        <w:rPr>
          <w:szCs w:val="23"/>
          <w:lang w:eastAsia="en-US"/>
        </w:rPr>
      </w:pPr>
      <w:r w:rsidRPr="00E92571">
        <w:rPr>
          <w:i/>
          <w:szCs w:val="23"/>
          <w:lang w:eastAsia="en-US"/>
        </w:rPr>
        <w:t>Training-of-Trainers (ToT) Workshops (x5):</w:t>
      </w:r>
      <w:r w:rsidRPr="00E92571">
        <w:rPr>
          <w:szCs w:val="23"/>
          <w:lang w:eastAsia="en-US"/>
        </w:rPr>
        <w:t>have been designed and deliveredto train a total of 69 participants</w:t>
      </w:r>
      <w:r w:rsidRPr="00E92571">
        <w:rPr>
          <w:rStyle w:val="FootnoteReference"/>
          <w:szCs w:val="23"/>
          <w:lang w:eastAsia="en-US"/>
        </w:rPr>
        <w:footnoteReference w:id="6"/>
      </w:r>
      <w:r w:rsidRPr="00E92571">
        <w:rPr>
          <w:szCs w:val="23"/>
          <w:lang w:eastAsia="en-US"/>
        </w:rPr>
        <w:t>.  A new Pa</w:t>
      </w:r>
      <w:r w:rsidRPr="00E92571">
        <w:rPr>
          <w:rFonts w:cs="Tahoma"/>
          <w:color w:val="000000"/>
          <w:szCs w:val="23"/>
          <w:lang w:eastAsia="en-US"/>
        </w:rPr>
        <w:t>c</w:t>
      </w:r>
      <w:r w:rsidRPr="00E92571">
        <w:rPr>
          <w:szCs w:val="23"/>
          <w:lang w:eastAsia="en-US"/>
        </w:rPr>
        <w:t>ifi</w:t>
      </w:r>
      <w:r w:rsidRPr="00E92571">
        <w:rPr>
          <w:rFonts w:cs="Tahoma"/>
          <w:color w:val="000000"/>
          <w:szCs w:val="23"/>
          <w:lang w:eastAsia="en-US"/>
        </w:rPr>
        <w:t>c</w:t>
      </w:r>
      <w:r w:rsidRPr="00E92571">
        <w:rPr>
          <w:szCs w:val="23"/>
          <w:lang w:eastAsia="en-US"/>
        </w:rPr>
        <w:t>-spe</w:t>
      </w:r>
      <w:r w:rsidRPr="00E92571">
        <w:rPr>
          <w:rFonts w:cs="Tahoma"/>
          <w:color w:val="000000"/>
          <w:szCs w:val="23"/>
          <w:lang w:eastAsia="en-US"/>
        </w:rPr>
        <w:t>c</w:t>
      </w:r>
      <w:r w:rsidRPr="00E92571">
        <w:rPr>
          <w:szCs w:val="23"/>
          <w:lang w:eastAsia="en-US"/>
        </w:rPr>
        <w:t>ifi</w:t>
      </w:r>
      <w:r w:rsidRPr="00E92571">
        <w:rPr>
          <w:rFonts w:cs="Tahoma"/>
          <w:color w:val="000000"/>
          <w:szCs w:val="23"/>
          <w:lang w:eastAsia="en-US"/>
        </w:rPr>
        <w:t>c</w:t>
      </w:r>
      <w:r w:rsidRPr="00E92571">
        <w:rPr>
          <w:szCs w:val="23"/>
          <w:lang w:eastAsia="en-US"/>
        </w:rPr>
        <w:t xml:space="preserve"> ‘capacity-building’ course was also introduced and delivered twice.  Following these training </w:t>
      </w:r>
      <w:r w:rsidRPr="00E92571">
        <w:rPr>
          <w:rFonts w:cs="Tahoma"/>
          <w:color w:val="000000"/>
          <w:szCs w:val="23"/>
          <w:lang w:eastAsia="en-US"/>
        </w:rPr>
        <w:t>activities:</w:t>
      </w:r>
      <w:r w:rsidRPr="00E92571">
        <w:rPr>
          <w:szCs w:val="23"/>
          <w:lang w:eastAsia="en-US"/>
        </w:rPr>
        <w:t>19 participants received certification as Regional Trainers; and 28 participants received certification as National Trainers.  In total, there are currently 38 RTT members available across the region.</w:t>
      </w:r>
    </w:p>
    <w:p w:rsidR="00A6008B" w:rsidRPr="00E92571" w:rsidRDefault="00A6008B" w:rsidP="00461666">
      <w:pPr>
        <w:numPr>
          <w:ilvl w:val="0"/>
          <w:numId w:val="28"/>
        </w:numPr>
        <w:spacing w:before="120"/>
        <w:ind w:left="714" w:hanging="357"/>
        <w:rPr>
          <w:szCs w:val="23"/>
          <w:lang w:eastAsia="en-US"/>
        </w:rPr>
      </w:pPr>
      <w:r w:rsidRPr="00E92571">
        <w:rPr>
          <w:rFonts w:cs="Arial"/>
          <w:i/>
          <w:szCs w:val="23"/>
          <w:lang w:eastAsia="en-US"/>
        </w:rPr>
        <w:t>Responsive Fund:</w:t>
      </w:r>
      <w:r w:rsidRPr="00E92571">
        <w:rPr>
          <w:rFonts w:cs="Arial"/>
          <w:szCs w:val="23"/>
          <w:lang w:eastAsia="en-US"/>
        </w:rPr>
        <w:t xml:space="preserve">in addition to the 23 approved </w:t>
      </w:r>
      <w:r w:rsidRPr="00E92571">
        <w:rPr>
          <w:rFonts w:cs="Tahoma"/>
          <w:color w:val="000000"/>
          <w:szCs w:val="23"/>
          <w:lang w:eastAsia="en-US"/>
        </w:rPr>
        <w:t>activities completed</w:t>
      </w:r>
      <w:r w:rsidRPr="00E92571">
        <w:rPr>
          <w:rFonts w:cs="Arial"/>
          <w:szCs w:val="23"/>
          <w:lang w:eastAsia="en-US"/>
        </w:rPr>
        <w:t xml:space="preserve"> by the end of June 2012, a further 13 activities in six partner courts have been approved to-date during the 12-month Extension Period, totalling 36 activities, including:</w:t>
      </w:r>
    </w:p>
    <w:p w:rsidR="00A6008B" w:rsidRPr="00E92571" w:rsidRDefault="00A6008B" w:rsidP="00461666">
      <w:pPr>
        <w:numPr>
          <w:ilvl w:val="0"/>
          <w:numId w:val="29"/>
        </w:numPr>
        <w:spacing w:before="60"/>
        <w:ind w:left="1134" w:hanging="357"/>
        <w:rPr>
          <w:rFonts w:cs="Arial"/>
          <w:szCs w:val="23"/>
        </w:rPr>
      </w:pPr>
      <w:r w:rsidRPr="00E92571">
        <w:rPr>
          <w:rFonts w:cs="Arial"/>
          <w:bCs/>
          <w:i/>
          <w:szCs w:val="23"/>
        </w:rPr>
        <w:t xml:space="preserve">Cook Islands: </w:t>
      </w:r>
      <w:r w:rsidRPr="00E92571">
        <w:rPr>
          <w:rFonts w:cs="Arial"/>
          <w:szCs w:val="23"/>
        </w:rPr>
        <w:t>mentoring activity for Justices of the Peace (5 JPs in two separate appli</w:t>
      </w:r>
      <w:r w:rsidRPr="00E92571">
        <w:rPr>
          <w:rFonts w:cs="Tahoma"/>
          <w:color w:val="000000"/>
          <w:szCs w:val="23"/>
        </w:rPr>
        <w:t>cations</w:t>
      </w:r>
      <w:r w:rsidRPr="00E92571">
        <w:rPr>
          <w:rFonts w:cs="Arial"/>
          <w:szCs w:val="23"/>
        </w:rPr>
        <w:t>); and the purchase of technical resources ‘</w:t>
      </w:r>
      <w:r w:rsidRPr="00E92571">
        <w:rPr>
          <w:rFonts w:cs="Arial"/>
          <w:i/>
          <w:szCs w:val="23"/>
        </w:rPr>
        <w:t>Writing for the Court’</w:t>
      </w:r>
      <w:r w:rsidRPr="00E92571">
        <w:rPr>
          <w:rFonts w:cs="Arial"/>
          <w:szCs w:val="23"/>
        </w:rPr>
        <w:t>.</w:t>
      </w:r>
    </w:p>
    <w:p w:rsidR="00A6008B" w:rsidRPr="00E92571" w:rsidRDefault="00A6008B" w:rsidP="00461666">
      <w:pPr>
        <w:numPr>
          <w:ilvl w:val="0"/>
          <w:numId w:val="29"/>
        </w:numPr>
        <w:spacing w:before="60"/>
        <w:ind w:left="1134" w:hanging="357"/>
        <w:rPr>
          <w:rFonts w:cs="Arial"/>
          <w:szCs w:val="23"/>
        </w:rPr>
      </w:pPr>
      <w:r w:rsidRPr="00E92571">
        <w:rPr>
          <w:rFonts w:cs="Arial"/>
          <w:bCs/>
          <w:i/>
          <w:szCs w:val="23"/>
        </w:rPr>
        <w:t xml:space="preserve">FSM &amp; RMI (joint activity): </w:t>
      </w:r>
      <w:r w:rsidRPr="00E92571">
        <w:rPr>
          <w:rFonts w:cs="Arial"/>
          <w:szCs w:val="23"/>
        </w:rPr>
        <w:t>Sentencing Training for Judges and Probation Officers.</w:t>
      </w:r>
    </w:p>
    <w:p w:rsidR="00A6008B" w:rsidRPr="00E92571" w:rsidRDefault="00A6008B" w:rsidP="00461666">
      <w:pPr>
        <w:numPr>
          <w:ilvl w:val="0"/>
          <w:numId w:val="29"/>
        </w:numPr>
        <w:spacing w:before="60"/>
        <w:ind w:left="1134" w:hanging="357"/>
        <w:rPr>
          <w:rFonts w:cs="Arial"/>
          <w:szCs w:val="23"/>
        </w:rPr>
      </w:pPr>
      <w:r w:rsidRPr="00E92571">
        <w:rPr>
          <w:rFonts w:cs="Arial"/>
          <w:bCs/>
          <w:i/>
          <w:szCs w:val="23"/>
        </w:rPr>
        <w:t>Nauru:</w:t>
      </w:r>
      <w:r w:rsidRPr="00E92571">
        <w:rPr>
          <w:rFonts w:cs="Arial"/>
          <w:szCs w:val="23"/>
        </w:rPr>
        <w:t xml:space="preserve">Training for Legal Practitioners. </w:t>
      </w:r>
    </w:p>
    <w:p w:rsidR="00A6008B" w:rsidRPr="00E92571" w:rsidRDefault="00A6008B" w:rsidP="00461666">
      <w:pPr>
        <w:numPr>
          <w:ilvl w:val="0"/>
          <w:numId w:val="29"/>
        </w:numPr>
        <w:spacing w:before="60"/>
        <w:ind w:left="1134" w:hanging="357"/>
        <w:rPr>
          <w:rFonts w:cs="Arial"/>
          <w:szCs w:val="23"/>
        </w:rPr>
      </w:pPr>
      <w:r w:rsidRPr="00E92571">
        <w:rPr>
          <w:rFonts w:cs="Arial"/>
          <w:bCs/>
          <w:i/>
          <w:szCs w:val="23"/>
        </w:rPr>
        <w:t xml:space="preserve">Tonga: </w:t>
      </w:r>
      <w:r w:rsidRPr="00E92571">
        <w:rPr>
          <w:rFonts w:cs="Arial"/>
          <w:szCs w:val="23"/>
        </w:rPr>
        <w:t>Advanced Workshop for Court Sentencing Training; Bailiffs’ Training Workshop; and Computer Training.</w:t>
      </w:r>
    </w:p>
    <w:p w:rsidR="00A6008B" w:rsidRPr="00E92571" w:rsidRDefault="00A6008B" w:rsidP="00461666">
      <w:pPr>
        <w:numPr>
          <w:ilvl w:val="0"/>
          <w:numId w:val="29"/>
        </w:numPr>
        <w:spacing w:before="60"/>
        <w:ind w:left="1134" w:hanging="357"/>
        <w:rPr>
          <w:rFonts w:cs="Arial"/>
          <w:szCs w:val="23"/>
        </w:rPr>
      </w:pPr>
      <w:r w:rsidRPr="00E92571">
        <w:rPr>
          <w:rFonts w:cs="Arial"/>
          <w:bCs/>
          <w:i/>
          <w:szCs w:val="23"/>
        </w:rPr>
        <w:t>Vanuatu:</w:t>
      </w:r>
      <w:r w:rsidRPr="00E92571">
        <w:rPr>
          <w:rFonts w:cs="Arial"/>
          <w:szCs w:val="23"/>
        </w:rPr>
        <w:t>consultation forum towards finalising an Island Court Justices’ Manual; Clerk and Secretaries Workshop; Sheriffs’ Training/Placement; and Judicial Officers Training.</w:t>
      </w:r>
    </w:p>
    <w:p w:rsidR="00A6008B" w:rsidRPr="00461666" w:rsidRDefault="00A6008B" w:rsidP="00924A7A">
      <w:pPr>
        <w:rPr>
          <w:rFonts w:cs="Arial"/>
          <w:sz w:val="20"/>
          <w:szCs w:val="23"/>
        </w:rPr>
      </w:pPr>
    </w:p>
    <w:p w:rsidR="00A6008B" w:rsidRPr="00E92571" w:rsidRDefault="00A6008B" w:rsidP="00924A7A">
      <w:pPr>
        <w:rPr>
          <w:szCs w:val="23"/>
        </w:rPr>
      </w:pPr>
      <w:r w:rsidRPr="00E92571">
        <w:rPr>
          <w:szCs w:val="23"/>
        </w:rPr>
        <w:t>All other approved activities for the 12-month Extension Plan will be completed on-time and within budget by30 June 2013.</w:t>
      </w:r>
    </w:p>
    <w:p w:rsidR="00A6008B" w:rsidRPr="00E92571" w:rsidRDefault="00A6008B" w:rsidP="00C037A7">
      <w:pPr>
        <w:rPr>
          <w:szCs w:val="23"/>
        </w:rPr>
      </w:pPr>
    </w:p>
    <w:p w:rsidR="00A6008B" w:rsidRPr="00E92571" w:rsidRDefault="00A6008B" w:rsidP="00EF05E0">
      <w:pPr>
        <w:pStyle w:val="Heading1"/>
        <w:numPr>
          <w:ilvl w:val="0"/>
          <w:numId w:val="8"/>
        </w:numPr>
        <w:spacing w:before="120"/>
        <w:ind w:left="709" w:hanging="709"/>
        <w:rPr>
          <w:lang w:val="en-AU"/>
        </w:rPr>
      </w:pPr>
      <w:bookmarkStart w:id="38" w:name="_Toc354644450"/>
      <w:r w:rsidRPr="00E92571">
        <w:rPr>
          <w:lang w:val="en-AU"/>
        </w:rPr>
        <w:t>24-month Extension Plan</w:t>
      </w:r>
      <w:bookmarkEnd w:id="38"/>
    </w:p>
    <w:p w:rsidR="00A6008B" w:rsidRPr="00E92571" w:rsidRDefault="00A6008B" w:rsidP="00EF05E0">
      <w:pPr>
        <w:pStyle w:val="Heading2"/>
        <w:numPr>
          <w:ilvl w:val="0"/>
          <w:numId w:val="11"/>
        </w:numPr>
        <w:ind w:hanging="720"/>
      </w:pPr>
      <w:bookmarkStart w:id="39" w:name="_Toc354644451"/>
      <w:r w:rsidRPr="00E92571">
        <w:t>Approach to Developing the Plan - ‘Limited Design’</w:t>
      </w:r>
      <w:bookmarkEnd w:id="39"/>
    </w:p>
    <w:p w:rsidR="00A6008B" w:rsidRPr="00E92571" w:rsidRDefault="00A6008B" w:rsidP="008E18C2">
      <w:pPr>
        <w:rPr>
          <w:sz w:val="4"/>
        </w:rPr>
      </w:pPr>
    </w:p>
    <w:p w:rsidR="00A6008B" w:rsidRPr="00461666" w:rsidRDefault="00A6008B" w:rsidP="00B65803">
      <w:pPr>
        <w:rPr>
          <w:rFonts w:cs="Arial"/>
          <w:sz w:val="20"/>
          <w:szCs w:val="23"/>
          <w:lang w:eastAsia="en-US"/>
        </w:rPr>
      </w:pPr>
    </w:p>
    <w:p w:rsidR="00A6008B" w:rsidRPr="00E92571" w:rsidRDefault="00A6008B" w:rsidP="00B65803">
      <w:pPr>
        <w:rPr>
          <w:rFonts w:cs="Arial"/>
          <w:szCs w:val="23"/>
        </w:rPr>
      </w:pPr>
      <w:r w:rsidRPr="00E92571">
        <w:rPr>
          <w:rFonts w:cs="Arial"/>
          <w:szCs w:val="23"/>
          <w:lang w:eastAsia="en-US"/>
        </w:rPr>
        <w:t xml:space="preserve">The MSC was taskedto develop this 24-month Extension Plan Design by the Programme Executive Committee (PEC) at its meeting in </w:t>
      </w:r>
      <w:r w:rsidRPr="00E92571">
        <w:rPr>
          <w:rFonts w:cs="Arial"/>
          <w:szCs w:val="23"/>
        </w:rPr>
        <w:t>Honiara, Solomon Islands on 4-5 November, 2012, f</w:t>
      </w:r>
      <w:r w:rsidRPr="00E92571">
        <w:rPr>
          <w:rFonts w:cs="Arial"/>
          <w:szCs w:val="23"/>
          <w:lang w:eastAsia="en-US"/>
        </w:rPr>
        <w:t>ollowing the confirmation of MFAT that additional funding was approved.</w:t>
      </w:r>
    </w:p>
    <w:p w:rsidR="00A6008B" w:rsidRPr="00461666" w:rsidRDefault="00A6008B" w:rsidP="00B65803">
      <w:pPr>
        <w:rPr>
          <w:rFonts w:cs="Arial"/>
          <w:sz w:val="20"/>
          <w:szCs w:val="23"/>
        </w:rPr>
      </w:pPr>
    </w:p>
    <w:p w:rsidR="00A6008B" w:rsidRPr="00E92571" w:rsidRDefault="00A6008B" w:rsidP="00B65803">
      <w:pPr>
        <w:rPr>
          <w:szCs w:val="23"/>
          <w:lang w:eastAsia="en-US"/>
        </w:rPr>
      </w:pPr>
      <w:r w:rsidRPr="00E92571">
        <w:rPr>
          <w:rFonts w:cs="Arial"/>
          <w:szCs w:val="23"/>
        </w:rPr>
        <w:t>At that meeting, the PEC discussed the nature, scope and process of this design and tasked the MSC as follows: “</w:t>
      </w:r>
      <w:r w:rsidRPr="00E92571">
        <w:rPr>
          <w:rFonts w:cs="Arial"/>
          <w:i/>
          <w:szCs w:val="23"/>
        </w:rPr>
        <w:t>[t]</w:t>
      </w:r>
      <w:r w:rsidRPr="00E92571">
        <w:rPr>
          <w:rFonts w:cs="Arial"/>
          <w:i/>
          <w:szCs w:val="23"/>
          <w:lang w:eastAsia="en-US"/>
        </w:rPr>
        <w:t>he design will be framed by the strategic, component and activity framework of the existing approved 12-month Implementation Plan…</w:t>
      </w:r>
      <w:r w:rsidRPr="00E92571">
        <w:rPr>
          <w:rFonts w:cs="Arial"/>
          <w:szCs w:val="23"/>
          <w:lang w:eastAsia="en-US"/>
        </w:rPr>
        <w:t xml:space="preserve">”; and </w:t>
      </w:r>
      <w:r w:rsidRPr="00E92571">
        <w:rPr>
          <w:szCs w:val="23"/>
          <w:lang w:eastAsia="en-US"/>
        </w:rPr>
        <w:t>“</w:t>
      </w:r>
      <w:r w:rsidRPr="00E92571">
        <w:rPr>
          <w:i/>
          <w:szCs w:val="23"/>
          <w:lang w:eastAsia="en-US"/>
        </w:rPr>
        <w:t>…given the more limited timeframes and design scope, that this would necessarily limit the ability of the MSC to consult in detail with counterparts and address strategic considerations raised in the MCS’s Lessons Learnt Report and the MTA’s presentation.</w:t>
      </w:r>
      <w:r w:rsidRPr="00E92571">
        <w:rPr>
          <w:szCs w:val="23"/>
          <w:lang w:eastAsia="en-US"/>
        </w:rPr>
        <w:t>”</w:t>
      </w:r>
      <w:r w:rsidRPr="00E92571">
        <w:rPr>
          <w:rStyle w:val="FootnoteReference"/>
          <w:szCs w:val="23"/>
          <w:lang w:eastAsia="en-US"/>
        </w:rPr>
        <w:footnoteReference w:id="7"/>
      </w:r>
    </w:p>
    <w:p w:rsidR="00A6008B" w:rsidRPr="00461666" w:rsidRDefault="00A6008B" w:rsidP="00B65803">
      <w:pPr>
        <w:rPr>
          <w:rFonts w:cs="Arial"/>
          <w:sz w:val="20"/>
          <w:szCs w:val="23"/>
        </w:rPr>
      </w:pPr>
    </w:p>
    <w:p w:rsidR="00A6008B" w:rsidRPr="00E92571" w:rsidRDefault="00A6008B" w:rsidP="00B65803">
      <w:pPr>
        <w:rPr>
          <w:rFonts w:cs="Arial"/>
          <w:szCs w:val="23"/>
        </w:rPr>
      </w:pPr>
      <w:r w:rsidRPr="00E92571">
        <w:rPr>
          <w:rFonts w:cs="Arial"/>
          <w:szCs w:val="23"/>
        </w:rPr>
        <w:t xml:space="preserve">MFAT directed the MSC that its task is to connect and build on PJDP’s existing structure and activities.  Consequently, the </w:t>
      </w:r>
      <w:r w:rsidRPr="00E92571">
        <w:rPr>
          <w:rFonts w:cs="Arial"/>
          <w:szCs w:val="23"/>
          <w:lang w:eastAsia="en-US"/>
        </w:rPr>
        <w:t>24-month Extension Plan Design</w:t>
      </w:r>
      <w:r w:rsidRPr="00E92571">
        <w:rPr>
          <w:rFonts w:cs="Arial"/>
          <w:szCs w:val="23"/>
        </w:rPr>
        <w:t>does not constitute a ‘design’ as envisaged for any potential new phase (after July 2015), owing to tendering requirements that prohibit the Federal Court of Australia, as incumbent managing service contractor, from performing that design role.</w:t>
      </w:r>
    </w:p>
    <w:p w:rsidR="00A6008B" w:rsidRPr="00461666" w:rsidRDefault="00A6008B" w:rsidP="00B65803">
      <w:pPr>
        <w:rPr>
          <w:rFonts w:cs="Arial"/>
          <w:sz w:val="20"/>
          <w:szCs w:val="23"/>
        </w:rPr>
      </w:pPr>
    </w:p>
    <w:p w:rsidR="00A6008B" w:rsidRDefault="00A6008B" w:rsidP="00B65803">
      <w:pPr>
        <w:rPr>
          <w:rFonts w:cs="Arial"/>
          <w:szCs w:val="23"/>
        </w:rPr>
      </w:pPr>
      <w:r w:rsidRPr="00E92571">
        <w:rPr>
          <w:rFonts w:cs="Arial"/>
          <w:szCs w:val="23"/>
        </w:rPr>
        <w:t>The MSC agreed to undertake this ‘limited design’ on the basis that an independent evaluation would be undertaken (by Ms Beverley Turnbull) to inform potential future support and that any ‘full design’ for a potential new phase would be undertaken by MFAT in line with its procurement processes.</w:t>
      </w:r>
    </w:p>
    <w:p w:rsidR="00A6008B" w:rsidRPr="00461666" w:rsidRDefault="00A6008B" w:rsidP="00B65803">
      <w:pPr>
        <w:rPr>
          <w:rFonts w:cs="Arial"/>
          <w:sz w:val="20"/>
          <w:szCs w:val="23"/>
        </w:rPr>
      </w:pPr>
    </w:p>
    <w:p w:rsidR="00A6008B" w:rsidRPr="00E92571" w:rsidRDefault="00A6008B" w:rsidP="00B65803">
      <w:pPr>
        <w:rPr>
          <w:rFonts w:cs="Arial"/>
          <w:szCs w:val="23"/>
        </w:rPr>
      </w:pPr>
      <w:r w:rsidRPr="00E92571">
        <w:rPr>
          <w:rFonts w:cs="Arial"/>
          <w:szCs w:val="23"/>
        </w:rPr>
        <w:t>Under these circumstances, it was agreed that there would be no opportunity available to the MSC either to refresh its earlier needs assessment or to consult stakeholders in detail prior to submitting a draft proposal to the leadership meetings in Auckland in early March 2013.</w:t>
      </w:r>
    </w:p>
    <w:p w:rsidR="00A6008B" w:rsidRPr="00461666" w:rsidRDefault="00A6008B" w:rsidP="00B65803">
      <w:pPr>
        <w:rPr>
          <w:rFonts w:cs="Arial"/>
          <w:sz w:val="20"/>
          <w:szCs w:val="23"/>
        </w:rPr>
      </w:pPr>
    </w:p>
    <w:p w:rsidR="00A6008B" w:rsidRPr="00E92571" w:rsidRDefault="00A6008B" w:rsidP="00B65803">
      <w:pPr>
        <w:rPr>
          <w:lang w:eastAsia="en-US"/>
        </w:rPr>
      </w:pPr>
      <w:r w:rsidRPr="00E92571">
        <w:rPr>
          <w:lang w:eastAsia="en-US"/>
        </w:rPr>
        <w:t xml:space="preserve">This PEC direction to the MSC underpins the approach adopted in the development of this </w:t>
      </w:r>
      <w:r w:rsidRPr="00E92571">
        <w:rPr>
          <w:rFonts w:cs="Arial"/>
          <w:szCs w:val="23"/>
          <w:lang w:eastAsia="en-US"/>
        </w:rPr>
        <w:t xml:space="preserve">24-month Extension Plan, and the retention </w:t>
      </w:r>
      <w:r w:rsidRPr="00E92571">
        <w:rPr>
          <w:lang w:eastAsia="en-US"/>
        </w:rPr>
        <w:t>during this extension period</w:t>
      </w:r>
      <w:r w:rsidRPr="00E92571">
        <w:rPr>
          <w:rFonts w:cs="Arial"/>
          <w:szCs w:val="23"/>
          <w:lang w:eastAsia="en-US"/>
        </w:rPr>
        <w:t xml:space="preserve"> of the</w:t>
      </w:r>
      <w:r w:rsidRPr="00E92571">
        <w:rPr>
          <w:lang w:eastAsia="en-US"/>
        </w:rPr>
        <w:t xml:space="preserve"> previously-approved Programme goal, purpose, vision, components, and activities </w:t>
      </w:r>
      <w:r w:rsidRPr="00E92571">
        <w:t xml:space="preserve">approach </w:t>
      </w:r>
      <w:r w:rsidRPr="00E92571">
        <w:rPr>
          <w:lang w:eastAsia="en-US"/>
        </w:rPr>
        <w:t>outlined in the following sections.</w:t>
      </w:r>
    </w:p>
    <w:p w:rsidR="00A6008B" w:rsidRPr="00461666" w:rsidRDefault="00A6008B" w:rsidP="00C037A7">
      <w:pPr>
        <w:rPr>
          <w:szCs w:val="23"/>
          <w:lang w:eastAsia="en-US"/>
        </w:rPr>
      </w:pPr>
    </w:p>
    <w:p w:rsidR="00A6008B" w:rsidRPr="00E92571" w:rsidRDefault="00A6008B" w:rsidP="00852AA3">
      <w:pPr>
        <w:pStyle w:val="Heading3"/>
        <w:numPr>
          <w:ilvl w:val="0"/>
          <w:numId w:val="13"/>
        </w:numPr>
        <w:ind w:hanging="720"/>
        <w:rPr>
          <w:rFonts w:cs="Times New Roman"/>
          <w:szCs w:val="23"/>
          <w:lang w:val="en-AU"/>
        </w:rPr>
      </w:pPr>
      <w:bookmarkStart w:id="40" w:name="_Toc354644452"/>
      <w:r w:rsidRPr="00E92571">
        <w:rPr>
          <w:rFonts w:cs="Times New Roman"/>
          <w:szCs w:val="23"/>
          <w:lang w:val="en-AU"/>
        </w:rPr>
        <w:t>Theory of Change- Improving Responsiveness of Justice Services for Beneficiaries</w:t>
      </w:r>
      <w:bookmarkEnd w:id="40"/>
    </w:p>
    <w:p w:rsidR="00A6008B" w:rsidRPr="00E92571" w:rsidRDefault="00A6008B" w:rsidP="004B21D8">
      <w:r w:rsidRPr="00E92571">
        <w:t>This Plan continues to consolidate PJDP’s transition from its origins as a regional training project for judges and a capacity-building programme for courts, to a programme better informed by current local research to focus on beneficiaries’ actual needs on a more integrated basis.</w:t>
      </w:r>
    </w:p>
    <w:p w:rsidR="00A6008B" w:rsidRPr="00461666" w:rsidRDefault="00A6008B" w:rsidP="004B21D8">
      <w:pPr>
        <w:rPr>
          <w:sz w:val="20"/>
          <w:lang w:eastAsia="en-US"/>
        </w:rPr>
      </w:pPr>
    </w:p>
    <w:p w:rsidR="00A6008B" w:rsidRPr="00E92571" w:rsidRDefault="00A6008B" w:rsidP="004B21D8">
      <w:pPr>
        <w:rPr>
          <w:rFonts w:cs="Arial"/>
          <w:szCs w:val="23"/>
        </w:rPr>
      </w:pPr>
      <w:r w:rsidRPr="00E92571">
        <w:rPr>
          <w:lang w:eastAsia="en-US"/>
        </w:rPr>
        <w:t xml:space="preserve">Over the years, the theory of change for PJEP and PJDP has variously built on the core notion that providing technical assistance to improve the competence of judicial and court officers will in due course lead to improved judicial performance and service delivery </w:t>
      </w:r>
      <w:r w:rsidRPr="00E92571">
        <w:rPr>
          <w:szCs w:val="23"/>
          <w:lang w:eastAsia="en-US"/>
        </w:rPr>
        <w:t xml:space="preserve">and, thereby, enhanced access to justice. This theory underlies and defines the relationship between PJDP’s objectives, activities and outcomes, as articulated in the annexed Results Framework (see </w:t>
      </w:r>
      <w:r w:rsidRPr="00E92571">
        <w:rPr>
          <w:b/>
          <w:i/>
          <w:szCs w:val="23"/>
          <w:lang w:eastAsia="en-US"/>
        </w:rPr>
        <w:t>Annex One</w:t>
      </w:r>
      <w:r w:rsidRPr="00E92571">
        <w:rPr>
          <w:szCs w:val="23"/>
          <w:lang w:eastAsia="en-US"/>
        </w:rPr>
        <w:t xml:space="preserve">). During this period, PJDP’s theory of change may </w:t>
      </w:r>
      <w:r>
        <w:rPr>
          <w:szCs w:val="23"/>
          <w:lang w:eastAsia="en-US"/>
        </w:rPr>
        <w:t xml:space="preserve">have </w:t>
      </w:r>
      <w:r w:rsidRPr="00E92571">
        <w:rPr>
          <w:szCs w:val="23"/>
          <w:lang w:eastAsia="en-US"/>
        </w:rPr>
        <w:t>be</w:t>
      </w:r>
      <w:r>
        <w:rPr>
          <w:szCs w:val="23"/>
          <w:lang w:eastAsia="en-US"/>
        </w:rPr>
        <w:t>en</w:t>
      </w:r>
      <w:r w:rsidRPr="00E92571">
        <w:rPr>
          <w:szCs w:val="23"/>
          <w:lang w:eastAsia="en-US"/>
        </w:rPr>
        <w:t xml:space="preserve"> described as the notion that “</w:t>
      </w:r>
      <w:r w:rsidRPr="00E92571">
        <w:rPr>
          <w:i/>
          <w:szCs w:val="23"/>
          <w:lang w:eastAsia="en-US"/>
        </w:rPr>
        <w:t>...</w:t>
      </w:r>
      <w:r w:rsidRPr="00E92571">
        <w:rPr>
          <w:rFonts w:cs="Arial"/>
          <w:i/>
          <w:szCs w:val="23"/>
        </w:rPr>
        <w:t xml:space="preserve">institutional strengthening, through the development of management skills, </w:t>
      </w:r>
      <w:r w:rsidRPr="00E92571">
        <w:rPr>
          <w:rFonts w:cs="Courier New"/>
          <w:i/>
          <w:szCs w:val="23"/>
        </w:rPr>
        <w:t xml:space="preserve">and the increased availability of quality resources (in the form of technical assistance delivered regionally through capacity-building, leadership fora, toolkits and pilot projects, together with finance assistance delivered locally) will equip PICs to solve judicial development problems themselves, leading to improved service delivery and thereby </w:t>
      </w:r>
      <w:r w:rsidRPr="00E92571">
        <w:rPr>
          <w:rFonts w:cs="Arial"/>
          <w:i/>
          <w:szCs w:val="23"/>
        </w:rPr>
        <w:t>law and justice outcomes…</w:t>
      </w:r>
      <w:r w:rsidRPr="00E92571">
        <w:rPr>
          <w:rFonts w:cs="Arial"/>
          <w:szCs w:val="23"/>
        </w:rPr>
        <w:t xml:space="preserve">” at the regional, national and local levels.  Within this broad statement are nestled, as PJDP’s history indicates, a number of sub-theories of change, including: (a) strengthening judicial governance regionally will stimulate improved judicial leadership and lead into better court service delivery for beneficiaries within each PIC; and (b) providing technical assistance at the regional level will strengthen the competence of judicial institutions allowing them to improved court service delivery and improved access to justice for beneficiaries in each PIC. </w:t>
      </w:r>
    </w:p>
    <w:p w:rsidR="00A6008B" w:rsidRPr="00461666" w:rsidRDefault="00A6008B" w:rsidP="004B21D8">
      <w:pPr>
        <w:rPr>
          <w:sz w:val="20"/>
          <w:szCs w:val="23"/>
        </w:rPr>
      </w:pPr>
    </w:p>
    <w:p w:rsidR="00A6008B" w:rsidRPr="00E92571" w:rsidRDefault="00A6008B" w:rsidP="005F3A20">
      <w:pPr>
        <w:rPr>
          <w:szCs w:val="23"/>
        </w:rPr>
      </w:pPr>
      <w:r w:rsidRPr="00E92571">
        <w:rPr>
          <w:szCs w:val="23"/>
          <w:lang w:eastAsia="en-US"/>
        </w:rPr>
        <w:t>It is timely to observe that the foundations for regional judicial development have been laid over many years of work, first in PJEP, and more recently in the earlier phase of PJDP.  Within the span of the upcoming 24-month extension, which builds on the preceding 30-month implementation periods, there is a pragmatic need to recognise the very limited opportunity to deliver strategically substantial results and impact. Moreover, the present opportunity provided by this ‘limited design’ circumscribes any fundamental re-engineering of change management approach.Within this limited opportunity, however, it is possible for PJDP to consolidate its contribution to outcomes that are measurable in attaining the programme goals of strengthening governance and rule of law in PICs through enhanced access to justice and professional judicial officers who act independently according to legal principles.</w:t>
      </w:r>
      <w:r w:rsidRPr="00E92571">
        <w:rPr>
          <w:szCs w:val="23"/>
        </w:rPr>
        <w:t xml:space="preserve">Hence, PJDP will continue to apply this theory of change to consolidate the delivery of activities which produce outcomes that contribute to building regional and local capacity to improve beneficiaries’ access to reliably consistent, competent and efficient justice. </w:t>
      </w:r>
    </w:p>
    <w:p w:rsidR="00A6008B" w:rsidRPr="00461666" w:rsidRDefault="00A6008B" w:rsidP="005F3A20">
      <w:pPr>
        <w:rPr>
          <w:sz w:val="20"/>
          <w:szCs w:val="23"/>
        </w:rPr>
      </w:pPr>
    </w:p>
    <w:p w:rsidR="00A6008B" w:rsidRPr="00E92571" w:rsidRDefault="00A6008B" w:rsidP="005F3A20">
      <w:pPr>
        <w:rPr>
          <w:szCs w:val="23"/>
        </w:rPr>
      </w:pPr>
      <w:r w:rsidRPr="00E92571">
        <w:rPr>
          <w:szCs w:val="23"/>
        </w:rPr>
        <w:t xml:space="preserve">PJDP is however continuallyrefining its overarching approach, specifically, to </w:t>
      </w:r>
      <w:r w:rsidRPr="00E92571">
        <w:rPr>
          <w:i/>
          <w:szCs w:val="23"/>
        </w:rPr>
        <w:t xml:space="preserve">improving justice </w:t>
      </w:r>
      <w:r w:rsidRPr="00E92571">
        <w:rPr>
          <w:szCs w:val="23"/>
        </w:rPr>
        <w:t xml:space="preserve">during this extension period through managing changes that(a) focus on delivering services to </w:t>
      </w:r>
      <w:r w:rsidRPr="00E92571">
        <w:rPr>
          <w:i/>
          <w:szCs w:val="23"/>
        </w:rPr>
        <w:t>beneficiaries</w:t>
      </w:r>
      <w:r w:rsidRPr="00E92571">
        <w:rPr>
          <w:szCs w:val="23"/>
        </w:rPr>
        <w:t>, (b) support the ‘</w:t>
      </w:r>
      <w:r w:rsidRPr="00E92571">
        <w:rPr>
          <w:i/>
          <w:szCs w:val="23"/>
        </w:rPr>
        <w:t>demand’</w:t>
      </w:r>
      <w:r w:rsidRPr="00E92571">
        <w:rPr>
          <w:szCs w:val="23"/>
        </w:rPr>
        <w:t xml:space="preserve"> for justice services as much as their ‘supply’, and (c) develop the </w:t>
      </w:r>
      <w:r w:rsidRPr="00E92571">
        <w:rPr>
          <w:i/>
          <w:szCs w:val="23"/>
        </w:rPr>
        <w:t>responsiveness</w:t>
      </w:r>
      <w:r w:rsidRPr="00E92571">
        <w:rPr>
          <w:szCs w:val="23"/>
        </w:rPr>
        <w:t xml:space="preserve"> of service providers to addressing beneficiaries’ demands for service delivery.</w:t>
      </w:r>
    </w:p>
    <w:p w:rsidR="00A6008B" w:rsidRPr="00461666" w:rsidRDefault="00A6008B" w:rsidP="005F3A20">
      <w:pPr>
        <w:rPr>
          <w:sz w:val="20"/>
          <w:szCs w:val="23"/>
        </w:rPr>
      </w:pPr>
    </w:p>
    <w:p w:rsidR="00A6008B" w:rsidRPr="00E92571" w:rsidRDefault="00A6008B" w:rsidP="00D82131">
      <w:pPr>
        <w:shd w:val="clear" w:color="auto" w:fill="FFFFFF"/>
        <w:rPr>
          <w:rFonts w:cs="Arial"/>
          <w:bCs/>
          <w:color w:val="000000"/>
          <w:szCs w:val="23"/>
        </w:rPr>
      </w:pPr>
      <w:r w:rsidRPr="00E92571">
        <w:rPr>
          <w:rFonts w:cs="Arial"/>
          <w:bCs/>
          <w:color w:val="000000"/>
          <w:szCs w:val="23"/>
        </w:rPr>
        <w:t>Hence, PJDP’s theory of change continues to evolve and in essence may now be described as:-</w:t>
      </w:r>
    </w:p>
    <w:p w:rsidR="00A6008B" w:rsidRPr="00E92571" w:rsidRDefault="00A6008B" w:rsidP="00D82131">
      <w:pPr>
        <w:shd w:val="clear" w:color="auto" w:fill="FFFFFF"/>
        <w:rPr>
          <w:rFonts w:cs="Arial"/>
          <w:bCs/>
          <w:iCs/>
          <w:color w:val="000000"/>
          <w:szCs w:val="23"/>
        </w:rPr>
      </w:pPr>
      <w:r w:rsidRPr="00E92571">
        <w:rPr>
          <w:rFonts w:cs="Arial"/>
          <w:bCs/>
          <w:iCs/>
          <w:color w:val="000000"/>
          <w:szCs w:val="23"/>
        </w:rPr>
        <w:t>Judicial development and institutional strengthening (</w:t>
      </w:r>
      <w:r w:rsidRPr="00E92571">
        <w:rPr>
          <w:rFonts w:cs="Courier New"/>
          <w:bCs/>
          <w:iCs/>
          <w:color w:val="000000"/>
          <w:szCs w:val="23"/>
        </w:rPr>
        <w:t>in the form of technical assistance delivered through capacity-building, leadership fora, toolkits and pilot projects) linked to support for increased public awareness and access, will improve courts’ responsiveness to deliver services which enhance justice outcomes for beneficiaries</w:t>
      </w:r>
      <w:r w:rsidRPr="00E92571">
        <w:rPr>
          <w:rFonts w:cs="Arial"/>
          <w:bCs/>
          <w:iCs/>
          <w:color w:val="000000"/>
          <w:szCs w:val="23"/>
        </w:rPr>
        <w:t xml:space="preserve"> at the regional, national and local levels.</w:t>
      </w:r>
    </w:p>
    <w:p w:rsidR="00A6008B" w:rsidRPr="00461666" w:rsidRDefault="00A6008B" w:rsidP="00D82131">
      <w:pPr>
        <w:shd w:val="clear" w:color="auto" w:fill="FFFFFF"/>
        <w:rPr>
          <w:rFonts w:cs="Arial"/>
          <w:color w:val="000000"/>
          <w:szCs w:val="23"/>
        </w:rPr>
      </w:pPr>
    </w:p>
    <w:p w:rsidR="00A6008B" w:rsidRPr="00E92571" w:rsidRDefault="00A6008B" w:rsidP="00852AA3">
      <w:pPr>
        <w:pStyle w:val="Heading3"/>
        <w:numPr>
          <w:ilvl w:val="0"/>
          <w:numId w:val="13"/>
        </w:numPr>
        <w:ind w:hanging="720"/>
        <w:rPr>
          <w:rFonts w:cs="Times New Roman"/>
          <w:szCs w:val="23"/>
          <w:lang w:val="en-AU"/>
        </w:rPr>
      </w:pPr>
      <w:bookmarkStart w:id="41" w:name="_Toc354644453"/>
      <w:r w:rsidRPr="00E92571">
        <w:rPr>
          <w:lang w:val="en-AU"/>
        </w:rPr>
        <w:t>Stakeholder Driven Design, Planning &amp; Implementation</w:t>
      </w:r>
      <w:bookmarkEnd w:id="41"/>
    </w:p>
    <w:p w:rsidR="00A6008B" w:rsidRPr="00E92571" w:rsidRDefault="00A6008B" w:rsidP="00F91CA4">
      <w:r w:rsidRPr="00E92571">
        <w:t xml:space="preserve">The nature and content of this design is guided and informed by the leadership of PJDP’s stakeholders constituted in the PEC, and the leadership meetings of Chief Justices and National Coordinators. </w:t>
      </w:r>
    </w:p>
    <w:p w:rsidR="00A6008B" w:rsidRPr="00461666" w:rsidRDefault="00A6008B" w:rsidP="00F91CA4">
      <w:pPr>
        <w:rPr>
          <w:sz w:val="20"/>
        </w:rPr>
      </w:pPr>
    </w:p>
    <w:p w:rsidR="00A6008B" w:rsidRPr="00E92571" w:rsidRDefault="00A6008B" w:rsidP="00E24778">
      <w:pPr>
        <w:rPr>
          <w:lang w:eastAsia="en-US"/>
        </w:rPr>
      </w:pPr>
      <w:r w:rsidRPr="00E92571">
        <w:rPr>
          <w:lang w:eastAsia="en-US"/>
        </w:rPr>
        <w:t>As outlined earlier, this design builds on the:</w:t>
      </w:r>
    </w:p>
    <w:p w:rsidR="00A6008B" w:rsidRPr="00E92571" w:rsidRDefault="00A6008B" w:rsidP="00461666">
      <w:pPr>
        <w:pStyle w:val="ListParagraph"/>
        <w:numPr>
          <w:ilvl w:val="0"/>
          <w:numId w:val="14"/>
        </w:numPr>
        <w:spacing w:before="80"/>
        <w:ind w:left="714" w:hanging="357"/>
        <w:rPr>
          <w:szCs w:val="23"/>
          <w:lang/>
        </w:rPr>
      </w:pPr>
      <w:r w:rsidRPr="00E92571">
        <w:rPr>
          <w:szCs w:val="23"/>
          <w:lang/>
        </w:rPr>
        <w:t>Continuing relevance of the development needs assessment undertaken with local stakeholders from August-September 2010.</w:t>
      </w:r>
      <w:r w:rsidRPr="00E92571">
        <w:rPr>
          <w:rStyle w:val="FootnoteReference"/>
          <w:szCs w:val="23"/>
          <w:lang/>
        </w:rPr>
        <w:footnoteReference w:id="8"/>
      </w:r>
    </w:p>
    <w:p w:rsidR="00A6008B" w:rsidRPr="00E92571" w:rsidRDefault="00A6008B" w:rsidP="00461666">
      <w:pPr>
        <w:pStyle w:val="ListParagraph"/>
        <w:numPr>
          <w:ilvl w:val="0"/>
          <w:numId w:val="14"/>
        </w:numPr>
        <w:spacing w:before="80"/>
        <w:ind w:left="714" w:hanging="357"/>
        <w:rPr>
          <w:szCs w:val="23"/>
          <w:lang/>
        </w:rPr>
      </w:pPr>
      <w:r w:rsidRPr="00E92571">
        <w:rPr>
          <w:szCs w:val="23"/>
          <w:lang/>
        </w:rPr>
        <w:t>Outcomes of the three sub-regional stakeholder consultation workshops conducted in Polynesia (Apia), Melanesia (Port Vila) and Micronesia (Koror) during the Inception Period.</w:t>
      </w:r>
    </w:p>
    <w:p w:rsidR="00A6008B" w:rsidRPr="00E92571" w:rsidRDefault="00A6008B" w:rsidP="00461666">
      <w:pPr>
        <w:pStyle w:val="ListParagraph"/>
        <w:numPr>
          <w:ilvl w:val="0"/>
          <w:numId w:val="14"/>
        </w:numPr>
        <w:spacing w:before="80"/>
        <w:ind w:left="714" w:hanging="357"/>
        <w:rPr>
          <w:szCs w:val="23"/>
          <w:lang/>
        </w:rPr>
      </w:pPr>
      <w:r w:rsidRPr="00E92571">
        <w:rPr>
          <w:szCs w:val="23"/>
          <w:lang/>
        </w:rPr>
        <w:t>Continuous and ongoing consultations with the judicial leadership, key counterparts and stakeholders as part of in-country, regional training and leadership activities.</w:t>
      </w:r>
      <w:r w:rsidRPr="00E92571">
        <w:rPr>
          <w:rStyle w:val="FootnoteReference"/>
          <w:szCs w:val="23"/>
          <w:lang/>
        </w:rPr>
        <w:footnoteReference w:id="9"/>
      </w:r>
    </w:p>
    <w:p w:rsidR="00A6008B" w:rsidRPr="00E92571" w:rsidRDefault="00A6008B" w:rsidP="00461666">
      <w:pPr>
        <w:pStyle w:val="ListParagraph"/>
        <w:numPr>
          <w:ilvl w:val="0"/>
          <w:numId w:val="14"/>
        </w:numPr>
        <w:spacing w:before="80"/>
        <w:ind w:left="714" w:hanging="357"/>
        <w:rPr>
          <w:lang/>
        </w:rPr>
      </w:pPr>
      <w:r w:rsidRPr="00E92571">
        <w:rPr>
          <w:szCs w:val="23"/>
          <w:lang/>
        </w:rPr>
        <w:t xml:space="preserve">Ongoing consultations with PJDPs Technical Advisers along with senior judicial stakeholders in New Zealand and Australian </w:t>
      </w:r>
      <w:r w:rsidRPr="00E92571">
        <w:rPr>
          <w:rFonts w:cs="Tahoma"/>
          <w:color w:val="000000"/>
          <w:szCs w:val="23"/>
          <w:lang/>
        </w:rPr>
        <w:t>c</w:t>
      </w:r>
      <w:r w:rsidRPr="00E92571">
        <w:rPr>
          <w:szCs w:val="23"/>
          <w:lang/>
        </w:rPr>
        <w:t xml:space="preserve">ourts. </w:t>
      </w:r>
    </w:p>
    <w:p w:rsidR="00A6008B" w:rsidRPr="00461666" w:rsidRDefault="00A6008B" w:rsidP="00F91CA4">
      <w:pPr>
        <w:rPr>
          <w:sz w:val="20"/>
        </w:rPr>
      </w:pPr>
    </w:p>
    <w:p w:rsidR="00A6008B" w:rsidRPr="00E92571" w:rsidRDefault="00A6008B" w:rsidP="00F91CA4">
      <w:r w:rsidRPr="00E92571">
        <w:t>It is also guided and refined through the feedback of stakeholders as a continuous element of PJDP’s ongoing programme of activities and interaction. Additionally, over the past two years, the MSC has established and convened a National Coordinators Working Group (NCWG) for the purpose of strengthening local ownership and participation. Over the past two years, the NCWG has been involved in the ongoing design and implementation of PJDP activities.</w:t>
      </w:r>
    </w:p>
    <w:p w:rsidR="00A6008B" w:rsidRPr="00461666" w:rsidRDefault="00A6008B" w:rsidP="00F91CA4">
      <w:pPr>
        <w:rPr>
          <w:sz w:val="20"/>
        </w:rPr>
      </w:pPr>
    </w:p>
    <w:p w:rsidR="00A6008B" w:rsidRPr="00E92571" w:rsidRDefault="00A6008B" w:rsidP="00F91CA4">
      <w:pPr>
        <w:rPr>
          <w:szCs w:val="23"/>
        </w:rPr>
      </w:pPr>
      <w:r w:rsidRPr="00E92571">
        <w:rPr>
          <w:szCs w:val="23"/>
        </w:rPr>
        <w:t xml:space="preserve">As a part of its analysis of </w:t>
      </w:r>
      <w:r w:rsidRPr="00E92571">
        <w:rPr>
          <w:i/>
          <w:szCs w:val="23"/>
        </w:rPr>
        <w:t>lessons learned</w:t>
      </w:r>
      <w:r w:rsidRPr="00E92571">
        <w:rPr>
          <w:szCs w:val="23"/>
        </w:rPr>
        <w:t>, dated 5 October 2012, the MSC offered the following observations in relation to this NCWG:</w:t>
      </w:r>
    </w:p>
    <w:p w:rsidR="00A6008B" w:rsidRPr="00E92571" w:rsidRDefault="00A6008B" w:rsidP="00F91CA4">
      <w:pPr>
        <w:rPr>
          <w:sz w:val="8"/>
          <w:szCs w:val="23"/>
        </w:rPr>
      </w:pPr>
    </w:p>
    <w:p w:rsidR="00A6008B" w:rsidRPr="00E92571" w:rsidRDefault="00A6008B" w:rsidP="00B81E01">
      <w:pPr>
        <w:ind w:left="567" w:right="197"/>
        <w:rPr>
          <w:szCs w:val="23"/>
        </w:rPr>
      </w:pPr>
      <w:r w:rsidRPr="00E92571">
        <w:rPr>
          <w:i/>
          <w:szCs w:val="23"/>
        </w:rPr>
        <w:t>During the course of this phase, the MSC created the National Coordinators Working Group (NCWG) with the view to strengthening the representation and participation of NCs in both programme governance and management. While NCs have participated actively, this it has not yet been an unqualified success. The MSC has had to prime all activities of the NCWG, for example, in participating at NC workshops or in soliciting contributions to this report. On reflection, the ongoing nature of any role for the NCWG is probably best framed in the context of a programmatic review of the PJDP’sgovernance structure, discussed separately in this paper. Perhaps the lesson is that NCWG is overly optimistic as a mechanism for devolving regional coordination. The reality of how this experiment has played out might seem to militate against further devolution of judicial development to PICs at this stage</w:t>
      </w:r>
      <w:r w:rsidRPr="00E92571">
        <w:rPr>
          <w:szCs w:val="23"/>
        </w:rPr>
        <w:t>.</w:t>
      </w:r>
      <w:r w:rsidRPr="00E92571">
        <w:rPr>
          <w:rStyle w:val="FootnoteReference"/>
          <w:szCs w:val="23"/>
        </w:rPr>
        <w:footnoteReference w:id="10"/>
      </w:r>
    </w:p>
    <w:p w:rsidR="00A6008B" w:rsidRPr="00461666" w:rsidRDefault="00A6008B" w:rsidP="00F91CA4">
      <w:pPr>
        <w:rPr>
          <w:sz w:val="20"/>
        </w:rPr>
      </w:pPr>
    </w:p>
    <w:p w:rsidR="00A6008B" w:rsidRPr="00E92571" w:rsidRDefault="00A6008B" w:rsidP="00F91CA4">
      <w:r w:rsidRPr="00E92571">
        <w:t>As an integral element of the MSC’s commitment to continuous improvement, and having specific regard to this experience which was endorsed by the PEC at its last meeting in Honiara of 4-5 November 2012, the MSC re-consulted stakeholders at their leadership meetings in Auckland between 10-19 March 2013 for the purpose of reviewing/refining the NCWG and available means for further engendering ownership and participation on the ongoing design process.</w:t>
      </w:r>
      <w:r>
        <w:t xml:space="preserve"> At that meeting, stakeholders confirmed their ongoing ownership in this process and renewed their representation in the NCWG.</w:t>
      </w:r>
    </w:p>
    <w:p w:rsidR="00A6008B" w:rsidRPr="00461666" w:rsidRDefault="00A6008B" w:rsidP="00F91CA4">
      <w:pPr>
        <w:rPr>
          <w:sz w:val="20"/>
        </w:rPr>
      </w:pPr>
    </w:p>
    <w:p w:rsidR="00A6008B" w:rsidRPr="00E92571" w:rsidRDefault="00A6008B" w:rsidP="00F91CA4">
      <w:pPr>
        <w:rPr>
          <w:rFonts w:cs="Arial"/>
          <w:szCs w:val="23"/>
        </w:rPr>
      </w:pPr>
      <w:r w:rsidRPr="00E92571">
        <w:rPr>
          <w:szCs w:val="23"/>
        </w:rPr>
        <w:t xml:space="preserve">A major objective of the leadership meetings in March 2013 was toprovide key stakeholders with an ample and timely opportunity to </w:t>
      </w:r>
      <w:r w:rsidRPr="00E92571">
        <w:rPr>
          <w:rFonts w:cs="Arial"/>
          <w:szCs w:val="23"/>
        </w:rPr>
        <w:t>provide a participatory process for National Coordinators and Chief Justices to plan, coordinate, monitor and refine ongoing PJDP activities on a regional and bi-lateral basis. This specifically included thedesign for the upcoming 24-month extension (1 July 2013-30June 2015).The meeting of National Coordinators provided an opportunity of two days (being a half of this workshop); the meeting of Chief Justices provided an opportunity of one full-day (being a third of this workshop); and the meeting of the PEC provided an opportunity of a half-day (being a third of this meeting) for information, deliberation,feedback and direction on this design. Th</w:t>
      </w:r>
      <w:r>
        <w:rPr>
          <w:rFonts w:cs="Arial"/>
          <w:szCs w:val="23"/>
        </w:rPr>
        <w:t>isPlan</w:t>
      </w:r>
      <w:r w:rsidRPr="00E92571">
        <w:rPr>
          <w:rFonts w:cs="Arial"/>
          <w:szCs w:val="23"/>
        </w:rPr>
        <w:t>has now been settled to conform to the directions of the PEC as captured in its resolutions within the timeframe contracted by MFAT.</w:t>
      </w:r>
    </w:p>
    <w:p w:rsidR="00A6008B" w:rsidRPr="00461666" w:rsidRDefault="00A6008B" w:rsidP="00C037A7">
      <w:pPr>
        <w:rPr>
          <w:szCs w:val="23"/>
        </w:rPr>
      </w:pPr>
    </w:p>
    <w:p w:rsidR="00A6008B" w:rsidRPr="00E92571" w:rsidRDefault="00A6008B" w:rsidP="00852AA3">
      <w:pPr>
        <w:pStyle w:val="Heading3"/>
        <w:numPr>
          <w:ilvl w:val="0"/>
          <w:numId w:val="13"/>
        </w:numPr>
        <w:ind w:hanging="720"/>
        <w:rPr>
          <w:lang w:val="en-AU"/>
        </w:rPr>
      </w:pPr>
      <w:bookmarkStart w:id="42" w:name="_Toc354644454"/>
      <w:r w:rsidRPr="00E92571">
        <w:rPr>
          <w:lang w:val="en-AU"/>
        </w:rPr>
        <w:t>Refining PJDP’s Regional and LocalisedApproaches</w:t>
      </w:r>
      <w:bookmarkEnd w:id="42"/>
    </w:p>
    <w:p w:rsidR="00A6008B" w:rsidRPr="00E92571" w:rsidRDefault="00A6008B" w:rsidP="00AF1966">
      <w:r w:rsidRPr="00E92571">
        <w:rPr>
          <w:lang w:eastAsia="en-US"/>
        </w:rPr>
        <w:t>This</w:t>
      </w:r>
      <w:r>
        <w:rPr>
          <w:lang w:eastAsia="en-US"/>
        </w:rPr>
        <w:t>Plan</w:t>
      </w:r>
      <w:r w:rsidRPr="00E92571">
        <w:rPr>
          <w:lang w:eastAsia="en-US"/>
        </w:rPr>
        <w:t xml:space="preserve">consolidates PJDP’s refined approach to providing both regional and local services as endorsed by stakeholdersin their October 2011 and March / April 2012 meetings. At these meetings, stakeholders affirmed that: </w:t>
      </w:r>
    </w:p>
    <w:p w:rsidR="00A6008B" w:rsidRPr="00E92571" w:rsidRDefault="00A6008B" w:rsidP="00D0720B">
      <w:pPr>
        <w:spacing w:before="80"/>
        <w:ind w:left="567" w:right="992"/>
        <w:rPr>
          <w:bCs/>
          <w:i/>
          <w:szCs w:val="23"/>
          <w:lang w:eastAsia="en-US"/>
        </w:rPr>
      </w:pPr>
      <w:r w:rsidRPr="00E92571">
        <w:rPr>
          <w:rFonts w:cs="Arial"/>
          <w:i/>
          <w:szCs w:val="23"/>
          <w:lang w:eastAsia="en-US"/>
        </w:rPr>
        <w:t xml:space="preserve">“The ongoing </w:t>
      </w:r>
      <w:r w:rsidRPr="00E92571">
        <w:rPr>
          <w:i/>
          <w:szCs w:val="23"/>
          <w:lang w:eastAsia="en-US"/>
        </w:rPr>
        <w:t>emphasis of the PJDP should be to continue to provide a regional network    for discussions of problems and models, capacity building in strategic planning, and the development of pilot activities as models for the other PICs to apply...</w:t>
      </w:r>
      <w:r w:rsidRPr="00E92571">
        <w:rPr>
          <w:bCs/>
          <w:i/>
          <w:szCs w:val="23"/>
          <w:lang w:eastAsia="en-US"/>
        </w:rPr>
        <w:t>.”</w:t>
      </w:r>
      <w:r w:rsidRPr="00E92571">
        <w:rPr>
          <w:rStyle w:val="FootnoteReference"/>
          <w:bCs/>
          <w:i/>
          <w:szCs w:val="23"/>
          <w:lang w:eastAsia="en-US"/>
        </w:rPr>
        <w:footnoteReference w:id="11"/>
      </w:r>
    </w:p>
    <w:p w:rsidR="00A6008B" w:rsidRPr="00461666" w:rsidRDefault="00A6008B" w:rsidP="00AF1966">
      <w:pPr>
        <w:rPr>
          <w:sz w:val="20"/>
        </w:rPr>
      </w:pPr>
    </w:p>
    <w:p w:rsidR="00A6008B" w:rsidRPr="00E92571" w:rsidRDefault="00A6008B" w:rsidP="00AF1966">
      <w:r w:rsidRPr="00E92571">
        <w:t>Stakeholders also affirmed a refined emphasis on promoting sustainability in ongoing activities to:</w:t>
      </w:r>
    </w:p>
    <w:p w:rsidR="00A6008B" w:rsidRPr="00E92571" w:rsidRDefault="00A6008B" w:rsidP="00B81E01">
      <w:pPr>
        <w:pStyle w:val="ListParagraph"/>
        <w:numPr>
          <w:ilvl w:val="0"/>
          <w:numId w:val="15"/>
        </w:numPr>
        <w:spacing w:before="60"/>
        <w:ind w:left="714" w:hanging="357"/>
        <w:rPr>
          <w:szCs w:val="23"/>
          <w:lang/>
        </w:rPr>
      </w:pPr>
      <w:r w:rsidRPr="00E92571">
        <w:rPr>
          <w:i/>
          <w:szCs w:val="23"/>
          <w:lang/>
        </w:rPr>
        <w:t>develop regional judicial leadership</w:t>
      </w:r>
      <w:r w:rsidRPr="00E92571">
        <w:rPr>
          <w:szCs w:val="23"/>
          <w:lang/>
        </w:rPr>
        <w:t xml:space="preserve"> through face-to-face or virtual fora, meetings or networks to address shared issues, problems and solutions;  </w:t>
      </w:r>
    </w:p>
    <w:p w:rsidR="00A6008B" w:rsidRPr="00E92571" w:rsidRDefault="00A6008B" w:rsidP="00B81E01">
      <w:pPr>
        <w:pStyle w:val="ListParagraph"/>
        <w:numPr>
          <w:ilvl w:val="0"/>
          <w:numId w:val="15"/>
        </w:numPr>
        <w:spacing w:before="60"/>
        <w:ind w:left="714" w:hanging="357"/>
        <w:rPr>
          <w:szCs w:val="23"/>
          <w:lang/>
        </w:rPr>
      </w:pPr>
      <w:r w:rsidRPr="00E92571">
        <w:rPr>
          <w:i/>
          <w:szCs w:val="23"/>
          <w:lang/>
        </w:rPr>
        <w:t xml:space="preserve">develop, implement and assess ‘pilot projects’ </w:t>
      </w:r>
      <w:r w:rsidRPr="00E92571">
        <w:rPr>
          <w:szCs w:val="23"/>
          <w:lang/>
        </w:rPr>
        <w:t>that focus on the ‘how-to’ undertake activities in individual jurisdictions using local resources (replicable methodologies), rather than the full delivery of comprehensive projects to only a few countries that rely on external adviser inputs;</w:t>
      </w:r>
    </w:p>
    <w:p w:rsidR="00A6008B" w:rsidRPr="00E92571" w:rsidRDefault="00A6008B" w:rsidP="00B81E01">
      <w:pPr>
        <w:pStyle w:val="ListParagraph"/>
        <w:numPr>
          <w:ilvl w:val="0"/>
          <w:numId w:val="15"/>
        </w:numPr>
        <w:spacing w:before="60"/>
        <w:ind w:left="714" w:hanging="357"/>
        <w:rPr>
          <w:szCs w:val="23"/>
          <w:lang/>
        </w:rPr>
      </w:pPr>
      <w:r w:rsidRPr="00E92571">
        <w:rPr>
          <w:i/>
          <w:szCs w:val="23"/>
          <w:lang/>
        </w:rPr>
        <w:t>develop local capacity</w:t>
      </w:r>
      <w:r w:rsidRPr="00E92571">
        <w:rPr>
          <w:szCs w:val="23"/>
          <w:lang/>
        </w:rPr>
        <w:t xml:space="preserve"> to assess training needs, design and conduct training; and </w:t>
      </w:r>
    </w:p>
    <w:p w:rsidR="00A6008B" w:rsidRPr="00E92571" w:rsidRDefault="00A6008B" w:rsidP="00B81E01">
      <w:pPr>
        <w:pStyle w:val="ListParagraph"/>
        <w:numPr>
          <w:ilvl w:val="0"/>
          <w:numId w:val="15"/>
        </w:numPr>
        <w:spacing w:before="60"/>
        <w:ind w:left="714" w:hanging="357"/>
        <w:rPr>
          <w:szCs w:val="23"/>
          <w:lang/>
        </w:rPr>
      </w:pPr>
      <w:r w:rsidRPr="00E92571">
        <w:rPr>
          <w:i/>
          <w:szCs w:val="23"/>
          <w:lang/>
        </w:rPr>
        <w:t>develop ‘tools’ or ‘toolkits’</w:t>
      </w:r>
      <w:r w:rsidRPr="00E92571">
        <w:rPr>
          <w:szCs w:val="23"/>
          <w:lang/>
        </w:rPr>
        <w:t xml:space="preserve">, including the further development of survey </w:t>
      </w:r>
      <w:r w:rsidRPr="00E92571">
        <w:rPr>
          <w:i/>
          <w:szCs w:val="23"/>
          <w:lang/>
        </w:rPr>
        <w:t>instruments, methods and processe</w:t>
      </w:r>
      <w:r w:rsidRPr="00E92571">
        <w:rPr>
          <w:szCs w:val="23"/>
          <w:lang/>
        </w:rPr>
        <w:t>s which may be regional in focus but tailored to the needs and operating environments of each PIC.</w:t>
      </w:r>
      <w:r w:rsidRPr="00E92571">
        <w:rPr>
          <w:rStyle w:val="FootnoteReference"/>
          <w:szCs w:val="23"/>
          <w:lang/>
        </w:rPr>
        <w:footnoteReference w:id="12"/>
      </w:r>
    </w:p>
    <w:p w:rsidR="00A6008B" w:rsidRPr="00461666" w:rsidRDefault="00A6008B" w:rsidP="00AF1966">
      <w:pPr>
        <w:rPr>
          <w:sz w:val="20"/>
        </w:rPr>
      </w:pPr>
    </w:p>
    <w:p w:rsidR="00A6008B" w:rsidRPr="00E92571" w:rsidRDefault="00A6008B" w:rsidP="00AF1966">
      <w:r w:rsidRPr="00E92571">
        <w:t xml:space="preserve">During this 24-month period (2013-15), PJDP will increasingly build on the development of toolkits, undertaken during the preceding 12-month extension period (2012-13), by supporting the implementation of those toolkits at the local level in interested PICs. This will require PJDP to provide a new focus on systematically supporting for the application and locaIisation of these toolkits across the region, marking a significant extension in PJDP’s reach and relevance. </w:t>
      </w:r>
    </w:p>
    <w:p w:rsidR="00A6008B" w:rsidRPr="00461666" w:rsidRDefault="00A6008B" w:rsidP="00AF1966">
      <w:pPr>
        <w:rPr>
          <w:sz w:val="20"/>
        </w:rPr>
      </w:pPr>
    </w:p>
    <w:p w:rsidR="00A6008B" w:rsidRPr="00E92571" w:rsidRDefault="00A6008B" w:rsidP="00E44656">
      <w:pPr>
        <w:rPr>
          <w:szCs w:val="23"/>
        </w:rPr>
      </w:pPr>
      <w:r w:rsidRPr="00E92571">
        <w:t xml:space="preserve">This systematic localisation of toolkits </w:t>
      </w:r>
      <w:r w:rsidRPr="00E92571">
        <w:rPr>
          <w:szCs w:val="23"/>
        </w:rPr>
        <w:t>across the region will run in parallel with PJDP’s support for one-off country-specific activities for PICs which will continue to be supported by the Responsive Fund</w:t>
      </w:r>
      <w:r>
        <w:rPr>
          <w:szCs w:val="23"/>
        </w:rPr>
        <w:t xml:space="preserve"> (RF)</w:t>
      </w:r>
      <w:r w:rsidRPr="00E92571">
        <w:rPr>
          <w:szCs w:val="23"/>
        </w:rPr>
        <w:t xml:space="preserve">, and has resulted in a shift in the allocation of resources in this Extension Plan.  As graphically illustrated below, resourcing in this Extension Plan over against the approved 12-month Extension Plan has moved towards a more balanced allocation of funds between regional and local activities </w:t>
      </w:r>
      <w:r w:rsidRPr="00E92571">
        <w:rPr>
          <w:szCs w:val="23"/>
          <w:lang w:eastAsia="en-US"/>
        </w:rPr>
        <w:t xml:space="preserve">as shown overleaf:- </w:t>
      </w:r>
    </w:p>
    <w:p w:rsidR="00A6008B" w:rsidRPr="00E92571" w:rsidRDefault="00A6008B" w:rsidP="00AF1966">
      <w:pPr>
        <w:rPr>
          <w:sz w:val="8"/>
        </w:rPr>
      </w:pPr>
    </w:p>
    <w:p w:rsidR="00A6008B" w:rsidRPr="00C65D03" w:rsidRDefault="00A6008B" w:rsidP="001168EE">
      <w:pPr>
        <w:jc w:val="center"/>
      </w:pPr>
      <w:r w:rsidRPr="001E182E">
        <w:rPr>
          <w:noProof/>
        </w:rPr>
        <w:pict>
          <v:shape id="Chart 1" o:spid="_x0000_i1025" type="#_x0000_t75" style="width:351.75pt;height:198.75pt;visibility:visible">
            <v:imagedata r:id="rId13" o:title="" croptop="-1914f" cropbottom="-4226f" cropleft="-1782f" cropright="-1577f"/>
            <o:lock v:ext="edit" aspectratio="f"/>
          </v:shape>
        </w:pict>
      </w:r>
    </w:p>
    <w:p w:rsidR="00A6008B" w:rsidRPr="00C65D03" w:rsidRDefault="00A6008B" w:rsidP="001168EE">
      <w:pPr>
        <w:jc w:val="center"/>
        <w:rPr>
          <w:b/>
          <w:i/>
          <w:szCs w:val="23"/>
        </w:rPr>
      </w:pPr>
      <w:r w:rsidRPr="00C65D03">
        <w:rPr>
          <w:b/>
          <w:i/>
          <w:szCs w:val="23"/>
        </w:rPr>
        <w:t xml:space="preserve">Local vs. Regional: Comparative Expenditure </w:t>
      </w:r>
    </w:p>
    <w:p w:rsidR="00A6008B" w:rsidRPr="00C65D03" w:rsidRDefault="00A6008B" w:rsidP="001168EE">
      <w:pPr>
        <w:jc w:val="center"/>
        <w:rPr>
          <w:b/>
          <w:i/>
          <w:szCs w:val="23"/>
        </w:rPr>
      </w:pPr>
      <w:r w:rsidRPr="00C65D03">
        <w:rPr>
          <w:b/>
          <w:i/>
          <w:szCs w:val="23"/>
        </w:rPr>
        <w:t>underthe Four Technical Components</w:t>
      </w:r>
    </w:p>
    <w:p w:rsidR="00A6008B" w:rsidRPr="003B2C75" w:rsidRDefault="00A6008B" w:rsidP="00C037A7">
      <w:pPr>
        <w:rPr>
          <w:sz w:val="28"/>
          <w:szCs w:val="23"/>
        </w:rPr>
      </w:pPr>
    </w:p>
    <w:p w:rsidR="00A6008B" w:rsidRPr="00E92571" w:rsidRDefault="00A6008B" w:rsidP="00852AA3">
      <w:pPr>
        <w:pStyle w:val="Heading3"/>
        <w:numPr>
          <w:ilvl w:val="0"/>
          <w:numId w:val="13"/>
        </w:numPr>
        <w:ind w:hanging="720"/>
        <w:rPr>
          <w:lang w:val="en-AU"/>
        </w:rPr>
      </w:pPr>
      <w:bookmarkStart w:id="43" w:name="_Toc354644455"/>
      <w:r w:rsidRPr="00E92571">
        <w:rPr>
          <w:lang w:val="en-AU"/>
        </w:rPr>
        <w:t>Continuous Improvement - Lessons Learned</w:t>
      </w:r>
      <w:bookmarkEnd w:id="43"/>
    </w:p>
    <w:p w:rsidR="00A6008B" w:rsidRPr="00E92571" w:rsidRDefault="00A6008B" w:rsidP="00D8426E">
      <w:pPr>
        <w:rPr>
          <w:szCs w:val="23"/>
          <w:lang w:eastAsia="en-US"/>
        </w:rPr>
      </w:pPr>
      <w:r w:rsidRPr="00E92571">
        <w:rPr>
          <w:szCs w:val="23"/>
          <w:lang w:eastAsia="en-US"/>
        </w:rPr>
        <w:t xml:space="preserve">As part of the MSC’s commitment to continuous improvement, this design responds to and adopts a range of lessons learned by the MSC from its experience in managing the Programme over the preceding period of almost three years. </w:t>
      </w:r>
    </w:p>
    <w:p w:rsidR="00A6008B" w:rsidRPr="00461666" w:rsidRDefault="00A6008B" w:rsidP="00D8426E">
      <w:pPr>
        <w:rPr>
          <w:sz w:val="20"/>
          <w:szCs w:val="23"/>
          <w:lang w:eastAsia="en-US"/>
        </w:rPr>
      </w:pPr>
    </w:p>
    <w:p w:rsidR="00A6008B" w:rsidRPr="00E92571" w:rsidRDefault="00A6008B" w:rsidP="00D8426E">
      <w:pPr>
        <w:rPr>
          <w:szCs w:val="23"/>
          <w:lang w:eastAsia="en-US"/>
        </w:rPr>
      </w:pPr>
      <w:r w:rsidRPr="00E92571">
        <w:rPr>
          <w:szCs w:val="23"/>
          <w:lang w:eastAsia="en-US"/>
        </w:rPr>
        <w:t xml:space="preserve">These lessons, which were outlined in its report dated 5 October 2012, and the PEC noted at its meeting in Honiara on 4-5 November 2012 that </w:t>
      </w:r>
      <w:r w:rsidRPr="00E92571">
        <w:rPr>
          <w:szCs w:val="23"/>
        </w:rPr>
        <w:t>there would be some opportunity for the MSC to address strategic considerations raised in the MCS’s Lessons Learnt Report</w:t>
      </w:r>
      <w:r w:rsidRPr="00E92571">
        <w:rPr>
          <w:szCs w:val="23"/>
          <w:lang w:eastAsia="en-US"/>
        </w:rPr>
        <w:t>.In particular, therefore, two major thematic lessons identified in th</w:t>
      </w:r>
      <w:r>
        <w:rPr>
          <w:szCs w:val="23"/>
          <w:lang w:eastAsia="en-US"/>
        </w:rPr>
        <w:t>at</w:t>
      </w:r>
      <w:r w:rsidRPr="00E92571">
        <w:rPr>
          <w:szCs w:val="23"/>
          <w:lang w:eastAsia="en-US"/>
        </w:rPr>
        <w:t xml:space="preserve"> report inform this design, namely:</w:t>
      </w:r>
    </w:p>
    <w:p w:rsidR="00A6008B" w:rsidRPr="00E92571" w:rsidRDefault="00A6008B" w:rsidP="00D8426E">
      <w:pPr>
        <w:rPr>
          <w:sz w:val="8"/>
          <w:szCs w:val="23"/>
          <w:lang w:eastAsia="en-US"/>
        </w:rPr>
      </w:pPr>
    </w:p>
    <w:p w:rsidR="00A6008B" w:rsidRPr="00E92571" w:rsidRDefault="00A6008B" w:rsidP="00B81E01">
      <w:pPr>
        <w:ind w:left="567"/>
        <w:rPr>
          <w:i/>
          <w:szCs w:val="23"/>
          <w:lang w:eastAsia="en-US"/>
        </w:rPr>
      </w:pPr>
      <w:r w:rsidRPr="00E92571">
        <w:rPr>
          <w:i/>
          <w:szCs w:val="23"/>
          <w:lang w:eastAsia="en-US"/>
        </w:rPr>
        <w:t xml:space="preserve">“First, there is an overarching need for PJDP to refine its continuing relevance as a regional assistance process. This can be done in many ways which are outlined below and in this assessment.  In particular, the Programme should adopt a tighter focus to address specific problems that will improve the courts’ capacity, systems and procedures to deliver services that contribute improvements to the wellbeing of citizens and communities they serve locally and across the region. </w:t>
      </w:r>
    </w:p>
    <w:p w:rsidR="00A6008B" w:rsidRPr="00C91606" w:rsidRDefault="00A6008B" w:rsidP="00B81E01">
      <w:pPr>
        <w:ind w:left="567"/>
        <w:rPr>
          <w:i/>
          <w:sz w:val="12"/>
          <w:szCs w:val="23"/>
          <w:lang w:eastAsia="en-US"/>
        </w:rPr>
      </w:pPr>
    </w:p>
    <w:p w:rsidR="00A6008B" w:rsidRPr="00E92571" w:rsidRDefault="00A6008B" w:rsidP="00B81E01">
      <w:pPr>
        <w:ind w:left="567"/>
        <w:rPr>
          <w:szCs w:val="23"/>
          <w:lang w:eastAsia="en-US"/>
        </w:rPr>
      </w:pPr>
      <w:r w:rsidRPr="00E92571">
        <w:rPr>
          <w:i/>
          <w:szCs w:val="23"/>
          <w:lang w:eastAsia="en-US"/>
        </w:rPr>
        <w:t>Second, and of equal significance, there is the need to create the opportunities and incentives to enable and support stakeholders to more actively lead their own judicial development locally and regionally. The experience of the MSC simultaneously indicates that while there is consistent evidence of emerging capacity to manage judicial development, there also remain substantial needs for ongoing capacity-building support across the region. Specific regard must be made to actively developing an appropriate process to hasten the devolution and transfer of programme management responsibilities and functions wherever feasible in order to offset the perverse effects of further embedding dependence on donors for judicial development.</w:t>
      </w:r>
      <w:r w:rsidRPr="00E92571">
        <w:rPr>
          <w:szCs w:val="23"/>
          <w:lang w:eastAsia="en-US"/>
        </w:rPr>
        <w:t>”</w:t>
      </w:r>
    </w:p>
    <w:p w:rsidR="00A6008B" w:rsidRPr="00461666" w:rsidRDefault="00A6008B" w:rsidP="002A58FB">
      <w:pPr>
        <w:rPr>
          <w:sz w:val="20"/>
          <w:szCs w:val="23"/>
          <w:lang w:eastAsia="en-US"/>
        </w:rPr>
      </w:pPr>
    </w:p>
    <w:p w:rsidR="00A6008B" w:rsidRPr="00E92571" w:rsidRDefault="00A6008B" w:rsidP="005D3072">
      <w:pPr>
        <w:jc w:val="both"/>
        <w:rPr>
          <w:szCs w:val="23"/>
        </w:rPr>
      </w:pPr>
      <w:r w:rsidRPr="00E92571">
        <w:rPr>
          <w:bCs/>
          <w:szCs w:val="23"/>
        </w:rPr>
        <w:t>These lessons, which were articulated in nineteen recommendations regarding: (a) t</w:t>
      </w:r>
      <w:r w:rsidRPr="00E92571">
        <w:rPr>
          <w:szCs w:val="23"/>
        </w:rPr>
        <w:t xml:space="preserve">he effectiveness of the Programme’s theory of change; (b) stakeholders’ needs; (c) alternative implementation options; and (d) the capacity of local PIC project management mechanisms, are addressed and incorporated as appropriate in this </w:t>
      </w:r>
      <w:r>
        <w:rPr>
          <w:szCs w:val="23"/>
        </w:rPr>
        <w:t>Plan</w:t>
      </w:r>
      <w:r w:rsidRPr="00E92571">
        <w:rPr>
          <w:szCs w:val="23"/>
        </w:rPr>
        <w:t>.</w:t>
      </w:r>
      <w:r w:rsidRPr="00E92571">
        <w:rPr>
          <w:szCs w:val="23"/>
          <w:vertAlign w:val="superscript"/>
        </w:rPr>
        <w:footnoteReference w:id="13"/>
      </w:r>
    </w:p>
    <w:p w:rsidR="00A6008B" w:rsidRPr="00E92571" w:rsidRDefault="00A6008B" w:rsidP="00C037A7">
      <w:pPr>
        <w:rPr>
          <w:szCs w:val="23"/>
          <w:lang w:eastAsia="en-US"/>
        </w:rPr>
      </w:pPr>
    </w:p>
    <w:p w:rsidR="00A6008B" w:rsidRPr="00E92571" w:rsidRDefault="00A6008B" w:rsidP="00852AA3">
      <w:pPr>
        <w:pStyle w:val="Heading3"/>
        <w:numPr>
          <w:ilvl w:val="0"/>
          <w:numId w:val="13"/>
        </w:numPr>
        <w:ind w:hanging="720"/>
        <w:rPr>
          <w:lang w:val="en-AU"/>
        </w:rPr>
      </w:pPr>
      <w:bookmarkStart w:id="44" w:name="_Toc354644456"/>
      <w:r w:rsidRPr="00E92571">
        <w:rPr>
          <w:lang w:val="en-AU"/>
        </w:rPr>
        <w:t>Value for Money</w:t>
      </w:r>
      <w:bookmarkEnd w:id="44"/>
    </w:p>
    <w:p w:rsidR="00A6008B" w:rsidRPr="00E92571" w:rsidRDefault="00A6008B" w:rsidP="00AF1966">
      <w:pPr>
        <w:rPr>
          <w:rFonts w:cs="Arial Narrow"/>
          <w:szCs w:val="23"/>
        </w:rPr>
      </w:pPr>
      <w:r w:rsidRPr="00E92571">
        <w:t xml:space="preserve">The budget for the Extension Plan is within the funding allocation made available by MFAT.  The budget was framed by the need to ensure value for money and adherence to important principles </w:t>
      </w:r>
      <w:r w:rsidRPr="00E92571">
        <w:rPr>
          <w:rFonts w:cs="Arial Narrow"/>
          <w:szCs w:val="23"/>
        </w:rPr>
        <w:t>including: quality, sustainability, fitness for purpose, inherent risk, competency and capacity.</w:t>
      </w:r>
    </w:p>
    <w:p w:rsidR="00A6008B" w:rsidRPr="00461666" w:rsidRDefault="00A6008B" w:rsidP="00AF1966">
      <w:pPr>
        <w:rPr>
          <w:rFonts w:cs="Arial Narrow"/>
          <w:sz w:val="20"/>
          <w:szCs w:val="23"/>
        </w:rPr>
      </w:pPr>
    </w:p>
    <w:p w:rsidR="00A6008B" w:rsidRPr="00A7694C" w:rsidRDefault="00A6008B" w:rsidP="00AF1966">
      <w:pPr>
        <w:rPr>
          <w:rFonts w:cs="Arial"/>
          <w:szCs w:val="23"/>
        </w:rPr>
      </w:pPr>
      <w:r w:rsidRPr="00E92571">
        <w:rPr>
          <w:rFonts w:cs="Arial"/>
          <w:szCs w:val="23"/>
        </w:rPr>
        <w:t xml:space="preserve">Additionally, productivity has been increased over against the 12-month Extension Period, with a projected increase of more than </w:t>
      </w:r>
      <w:r>
        <w:rPr>
          <w:rFonts w:cs="Arial"/>
          <w:szCs w:val="23"/>
        </w:rPr>
        <w:t>32</w:t>
      </w:r>
      <w:r w:rsidRPr="00E92571">
        <w:rPr>
          <w:rFonts w:cs="Arial"/>
          <w:szCs w:val="23"/>
        </w:rPr>
        <w:t xml:space="preserve">% in activities for the same budget outlay, see </w:t>
      </w:r>
      <w:r w:rsidRPr="00E92571">
        <w:rPr>
          <w:b/>
          <w:i/>
        </w:rPr>
        <w:t>Annex Two</w:t>
      </w:r>
      <w:r w:rsidRPr="00E92571">
        <w:rPr>
          <w:rFonts w:cs="Arial Narrow"/>
          <w:szCs w:val="23"/>
        </w:rPr>
        <w:t>.</w:t>
      </w:r>
      <w:r w:rsidRPr="00E92571">
        <w:rPr>
          <w:rStyle w:val="FootnoteReference"/>
          <w:szCs w:val="23"/>
        </w:rPr>
        <w:footnoteReference w:id="14"/>
      </w:r>
    </w:p>
    <w:p w:rsidR="00A6008B" w:rsidRPr="00461666" w:rsidRDefault="00A6008B" w:rsidP="00AF1966">
      <w:pPr>
        <w:rPr>
          <w:rFonts w:cs="Arial Narrow"/>
          <w:sz w:val="20"/>
          <w:szCs w:val="23"/>
        </w:rPr>
      </w:pPr>
    </w:p>
    <w:p w:rsidR="00A6008B" w:rsidRPr="00E92571" w:rsidRDefault="00A6008B" w:rsidP="00AF1966">
      <w:r w:rsidRPr="00E92571">
        <w:rPr>
          <w:rFonts w:cs="Arial Narrow"/>
          <w:szCs w:val="23"/>
        </w:rPr>
        <w:t xml:space="preserve">To maximise cost effectiveness, adviser fee rates remain at the levels approved in the </w:t>
      </w:r>
      <w:r w:rsidRPr="00E92571">
        <w:t>18-Month Implementation Plan budget.In light of the MS</w:t>
      </w:r>
      <w:r w:rsidRPr="00E92571">
        <w:rPr>
          <w:rFonts w:cs="Arial Narrow"/>
          <w:szCs w:val="23"/>
        </w:rPr>
        <w:t>C’s</w:t>
      </w:r>
      <w:r w:rsidRPr="00E92571">
        <w:t>experie</w:t>
      </w:r>
      <w:r w:rsidRPr="00E92571">
        <w:rPr>
          <w:rFonts w:cs="Arial Narrow"/>
          <w:szCs w:val="23"/>
        </w:rPr>
        <w:t>n</w:t>
      </w:r>
      <w:r w:rsidRPr="00E92571">
        <w:t xml:space="preserve">ce to date, other costs have been reviewed. </w:t>
      </w:r>
    </w:p>
    <w:p w:rsidR="00A6008B" w:rsidRPr="00461666" w:rsidRDefault="00A6008B" w:rsidP="00AF1966">
      <w:pPr>
        <w:rPr>
          <w:sz w:val="20"/>
        </w:rPr>
      </w:pPr>
    </w:p>
    <w:p w:rsidR="00A6008B" w:rsidRPr="00E92571" w:rsidRDefault="00A6008B" w:rsidP="00AF1966">
      <w:pPr>
        <w:rPr>
          <w:rFonts w:cs="Arial Narrow"/>
          <w:szCs w:val="23"/>
        </w:rPr>
      </w:pPr>
      <w:r w:rsidRPr="00E92571">
        <w:t>The PJDP Team will continue to use its proven processes and procedures to ensure that a</w:t>
      </w:r>
      <w:r w:rsidRPr="00E92571">
        <w:rPr>
          <w:rFonts w:cs="Arial Narrow"/>
          <w:szCs w:val="23"/>
        </w:rPr>
        <w:t>ctivities are implemented at the lowest possible cost without compromising the integrity of quality of each activity.</w:t>
      </w:r>
    </w:p>
    <w:p w:rsidR="00A6008B" w:rsidRPr="00E92571" w:rsidRDefault="00A6008B" w:rsidP="00C037A7">
      <w:pPr>
        <w:rPr>
          <w:szCs w:val="23"/>
          <w:lang w:eastAsia="en-US"/>
        </w:rPr>
      </w:pPr>
    </w:p>
    <w:p w:rsidR="00A6008B" w:rsidRPr="00E92571" w:rsidRDefault="00A6008B" w:rsidP="00852AA3">
      <w:pPr>
        <w:pStyle w:val="Heading3"/>
        <w:numPr>
          <w:ilvl w:val="0"/>
          <w:numId w:val="13"/>
        </w:numPr>
        <w:ind w:hanging="720"/>
        <w:rPr>
          <w:lang w:val="en-AU"/>
        </w:rPr>
      </w:pPr>
      <w:bookmarkStart w:id="45" w:name="_Toc354644457"/>
      <w:r w:rsidRPr="00E92571">
        <w:rPr>
          <w:lang w:val="en-AU"/>
        </w:rPr>
        <w:t xml:space="preserve">Integration of Cross-cutting </w:t>
      </w:r>
      <w:r>
        <w:rPr>
          <w:lang w:val="en-AU"/>
        </w:rPr>
        <w:t>I</w:t>
      </w:r>
      <w:r w:rsidRPr="00E92571">
        <w:rPr>
          <w:lang w:val="en-AU"/>
        </w:rPr>
        <w:t>ssues</w:t>
      </w:r>
      <w:bookmarkEnd w:id="45"/>
    </w:p>
    <w:p w:rsidR="00A6008B" w:rsidRPr="00E92571" w:rsidRDefault="00A6008B" w:rsidP="00AF1966">
      <w:pPr>
        <w:rPr>
          <w:lang w:eastAsia="en-US"/>
        </w:rPr>
      </w:pPr>
      <w:r w:rsidRPr="00E92571">
        <w:rPr>
          <w:lang w:eastAsia="en-US"/>
        </w:rPr>
        <w:t xml:space="preserve">The Programme takes a holistic justice-focussed approach to concepts relating to human rights, gender equity/equality and sustainability as theyare fundamentalto the services and outcomesthat judiciaries provide. Cross-cutting issues will therefore continue to be integrated in relevant activities as outlined in the strategy papers developed and approved at the commencement of Phase 2. </w:t>
      </w:r>
    </w:p>
    <w:p w:rsidR="00A6008B" w:rsidRPr="00461666" w:rsidRDefault="00A6008B" w:rsidP="00AF1966">
      <w:pPr>
        <w:rPr>
          <w:sz w:val="20"/>
          <w:lang w:eastAsia="en-US"/>
        </w:rPr>
      </w:pPr>
    </w:p>
    <w:p w:rsidR="00A6008B" w:rsidRPr="00E92571" w:rsidRDefault="00A6008B" w:rsidP="00AF1966">
      <w:pPr>
        <w:rPr>
          <w:lang w:eastAsia="en-US"/>
        </w:rPr>
      </w:pPr>
      <w:r w:rsidRPr="00E92571">
        <w:rPr>
          <w:lang w:eastAsia="en-US"/>
        </w:rPr>
        <w:t>More specifically, the prominence of gender-related and domestic violence issues in the region is acknowledged and addressed by the continuation and substantial increase in the number of Family Violence and Youth Justice workshops to</w:t>
      </w:r>
      <w:r>
        <w:rPr>
          <w:lang w:eastAsia="en-US"/>
        </w:rPr>
        <w:t xml:space="preserve">a total of five workshops over the extension period, to </w:t>
      </w:r>
      <w:r w:rsidRPr="00E92571">
        <w:rPr>
          <w:szCs w:val="23"/>
        </w:rPr>
        <w:t xml:space="preserve">promote equal access to or responsiveness of the courts to unmet needs and to provide information to the public about their rights and how to access them. </w:t>
      </w:r>
    </w:p>
    <w:p w:rsidR="00A6008B" w:rsidRPr="00E92571" w:rsidRDefault="00A6008B" w:rsidP="00C037A7">
      <w:pPr>
        <w:rPr>
          <w:szCs w:val="23"/>
          <w:lang w:eastAsia="en-US"/>
        </w:rPr>
      </w:pPr>
    </w:p>
    <w:p w:rsidR="00A6008B" w:rsidRPr="00E92571" w:rsidRDefault="00A6008B" w:rsidP="00EF05E0">
      <w:pPr>
        <w:pStyle w:val="Heading2"/>
        <w:numPr>
          <w:ilvl w:val="0"/>
          <w:numId w:val="11"/>
        </w:numPr>
        <w:ind w:hanging="720"/>
      </w:pPr>
      <w:bookmarkStart w:id="46" w:name="_Toc354644458"/>
      <w:r w:rsidRPr="00E92571">
        <w:t>Components, Projects, Activities, Outputs and Outcomes</w:t>
      </w:r>
      <w:bookmarkEnd w:id="46"/>
    </w:p>
    <w:p w:rsidR="00A6008B" w:rsidRPr="00461666" w:rsidRDefault="00A6008B" w:rsidP="00F4600F">
      <w:pPr>
        <w:rPr>
          <w:sz w:val="20"/>
        </w:rPr>
      </w:pPr>
    </w:p>
    <w:p w:rsidR="00A6008B" w:rsidRPr="00E92571" w:rsidRDefault="00A6008B" w:rsidP="004F1528">
      <w:pPr>
        <w:rPr>
          <w:szCs w:val="23"/>
          <w:lang w:eastAsia="en-US"/>
        </w:rPr>
      </w:pPr>
      <w:r w:rsidRPr="00E92571">
        <w:t xml:space="preserve">The 24-month Extension Plan consolidates and builds on the foundations of the preceding implementation periods. </w:t>
      </w:r>
      <w:r w:rsidRPr="00E92571">
        <w:rPr>
          <w:rFonts w:cs="Calibri"/>
          <w:lang w:eastAsia="en-US"/>
        </w:rPr>
        <w:t xml:space="preserve"> It </w:t>
      </w:r>
      <w:r w:rsidRPr="00E92571">
        <w:t>will continue to be structured around the four thematic areas</w:t>
      </w:r>
      <w:r>
        <w:t>, or pillars,</w:t>
      </w:r>
      <w:r w:rsidRPr="00E92571">
        <w:t xml:space="preserve"> used in earlier Phases as per the direction of the PEC</w:t>
      </w:r>
      <w:r w:rsidRPr="00E92571">
        <w:rPr>
          <w:i/>
        </w:rPr>
        <w:t xml:space="preserve">.  </w:t>
      </w:r>
      <w:r w:rsidRPr="00E92571">
        <w:rPr>
          <w:lang w:eastAsia="en-US"/>
        </w:rPr>
        <w:t>Within the</w:t>
      </w:r>
      <w:r>
        <w:rPr>
          <w:lang w:eastAsia="en-US"/>
        </w:rPr>
        <w:t>se</w:t>
      </w:r>
      <w:r w:rsidRPr="00E92571">
        <w:rPr>
          <w:lang w:eastAsia="en-US"/>
        </w:rPr>
        <w:t xml:space="preserve"> substantive pillars, it is proposed that this Extension </w:t>
      </w:r>
      <w:r w:rsidRPr="00E92571">
        <w:rPr>
          <w:szCs w:val="23"/>
          <w:lang w:eastAsia="en-US"/>
        </w:rPr>
        <w:t>Plan will extend the delivery of support through 12 projects and a total of 7</w:t>
      </w:r>
      <w:r>
        <w:rPr>
          <w:szCs w:val="23"/>
          <w:lang w:eastAsia="en-US"/>
        </w:rPr>
        <w:t>7</w:t>
      </w:r>
      <w:r w:rsidRPr="00E92571">
        <w:rPr>
          <w:szCs w:val="23"/>
          <w:lang w:eastAsia="en-US"/>
        </w:rPr>
        <w:t xml:space="preserve">activities, as follows:- </w:t>
      </w:r>
    </w:p>
    <w:p w:rsidR="00A6008B" w:rsidRPr="00461666" w:rsidRDefault="00A6008B" w:rsidP="00135271">
      <w:pPr>
        <w:rPr>
          <w:sz w:val="20"/>
          <w:lang w:eastAsia="en-US"/>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2"/>
        <w:gridCol w:w="2217"/>
        <w:gridCol w:w="2391"/>
        <w:gridCol w:w="2243"/>
      </w:tblGrid>
      <w:tr w:rsidR="00A6008B" w:rsidRPr="00E92571" w:rsidTr="00CA7252">
        <w:trPr>
          <w:trHeight w:val="60"/>
          <w:tblHeader/>
          <w:jc w:val="center"/>
        </w:trPr>
        <w:tc>
          <w:tcPr>
            <w:tcW w:w="2268" w:type="dxa"/>
            <w:shd w:val="clear" w:color="auto" w:fill="D9D9D9"/>
            <w:vAlign w:val="center"/>
          </w:tcPr>
          <w:p w:rsidR="00A6008B" w:rsidRPr="00E92571" w:rsidRDefault="00A6008B" w:rsidP="00CA7252">
            <w:pPr>
              <w:spacing w:before="60"/>
              <w:jc w:val="center"/>
              <w:rPr>
                <w:b/>
                <w:caps/>
                <w:smallCaps/>
                <w:szCs w:val="23"/>
                <w:lang w:eastAsia="en-US"/>
              </w:rPr>
            </w:pPr>
            <w:r w:rsidRPr="00E92571">
              <w:rPr>
                <w:b/>
                <w:smallCaps/>
                <w:szCs w:val="23"/>
                <w:lang w:eastAsia="en-US"/>
              </w:rPr>
              <w:t>Component 1</w:t>
            </w:r>
          </w:p>
          <w:p w:rsidR="00A6008B" w:rsidRPr="00E92571" w:rsidRDefault="00A6008B" w:rsidP="00CA7252">
            <w:pPr>
              <w:spacing w:before="40" w:after="60"/>
              <w:jc w:val="center"/>
              <w:rPr>
                <w:b/>
                <w:caps/>
                <w:smallCaps/>
                <w:szCs w:val="23"/>
                <w:lang w:eastAsia="en-US"/>
              </w:rPr>
            </w:pPr>
            <w:r w:rsidRPr="00E92571">
              <w:rPr>
                <w:b/>
                <w:smallCaps/>
                <w:szCs w:val="23"/>
                <w:lang w:eastAsia="en-US"/>
              </w:rPr>
              <w:t>Access to Justice</w:t>
            </w:r>
          </w:p>
        </w:tc>
        <w:tc>
          <w:tcPr>
            <w:tcW w:w="2268" w:type="dxa"/>
            <w:shd w:val="clear" w:color="auto" w:fill="D9D9D9"/>
            <w:vAlign w:val="center"/>
          </w:tcPr>
          <w:p w:rsidR="00A6008B" w:rsidRPr="00E92571" w:rsidRDefault="00A6008B" w:rsidP="00CA7252">
            <w:pPr>
              <w:spacing w:before="60"/>
              <w:jc w:val="center"/>
              <w:rPr>
                <w:b/>
                <w:caps/>
                <w:smallCaps/>
                <w:szCs w:val="23"/>
                <w:lang w:eastAsia="en-US"/>
              </w:rPr>
            </w:pPr>
            <w:r w:rsidRPr="00E92571">
              <w:rPr>
                <w:b/>
                <w:smallCaps/>
                <w:szCs w:val="23"/>
                <w:lang w:eastAsia="en-US"/>
              </w:rPr>
              <w:t xml:space="preserve">Component 2 </w:t>
            </w:r>
          </w:p>
          <w:p w:rsidR="00A6008B" w:rsidRPr="00E92571" w:rsidRDefault="00A6008B" w:rsidP="00CA7252">
            <w:pPr>
              <w:spacing w:before="40" w:after="60"/>
              <w:jc w:val="center"/>
              <w:rPr>
                <w:b/>
                <w:caps/>
                <w:smallCaps/>
                <w:szCs w:val="23"/>
                <w:lang w:eastAsia="en-US"/>
              </w:rPr>
            </w:pPr>
            <w:r w:rsidRPr="00E92571">
              <w:rPr>
                <w:b/>
                <w:smallCaps/>
                <w:szCs w:val="23"/>
                <w:lang w:eastAsia="en-US"/>
              </w:rPr>
              <w:t>Governance</w:t>
            </w:r>
          </w:p>
        </w:tc>
        <w:tc>
          <w:tcPr>
            <w:tcW w:w="2268" w:type="dxa"/>
            <w:shd w:val="clear" w:color="auto" w:fill="D9D9D9"/>
            <w:vAlign w:val="center"/>
          </w:tcPr>
          <w:p w:rsidR="00A6008B" w:rsidRPr="00E92571" w:rsidRDefault="00A6008B" w:rsidP="00CA7252">
            <w:pPr>
              <w:spacing w:before="60"/>
              <w:jc w:val="center"/>
              <w:rPr>
                <w:b/>
                <w:caps/>
                <w:smallCaps/>
                <w:szCs w:val="23"/>
                <w:lang w:eastAsia="en-US"/>
              </w:rPr>
            </w:pPr>
            <w:r w:rsidRPr="00E92571">
              <w:rPr>
                <w:b/>
                <w:smallCaps/>
                <w:szCs w:val="23"/>
                <w:lang w:eastAsia="en-US"/>
              </w:rPr>
              <w:t>Component 3</w:t>
            </w:r>
          </w:p>
          <w:p w:rsidR="00A6008B" w:rsidRPr="00E92571" w:rsidRDefault="00A6008B" w:rsidP="00CA7252">
            <w:pPr>
              <w:spacing w:before="40" w:after="60"/>
              <w:jc w:val="center"/>
              <w:rPr>
                <w:b/>
                <w:caps/>
                <w:smallCaps/>
                <w:szCs w:val="23"/>
                <w:lang w:eastAsia="en-US"/>
              </w:rPr>
            </w:pPr>
            <w:r w:rsidRPr="00E92571">
              <w:rPr>
                <w:b/>
                <w:smallCaps/>
                <w:szCs w:val="23"/>
                <w:lang w:eastAsia="en-US"/>
              </w:rPr>
              <w:t>Systems and Processes</w:t>
            </w:r>
          </w:p>
        </w:tc>
        <w:tc>
          <w:tcPr>
            <w:tcW w:w="2269" w:type="dxa"/>
            <w:shd w:val="clear" w:color="auto" w:fill="D9D9D9"/>
            <w:vAlign w:val="center"/>
          </w:tcPr>
          <w:p w:rsidR="00A6008B" w:rsidRPr="00E92571" w:rsidRDefault="00A6008B" w:rsidP="00CA7252">
            <w:pPr>
              <w:spacing w:before="60"/>
              <w:jc w:val="center"/>
              <w:rPr>
                <w:b/>
                <w:caps/>
                <w:smallCaps/>
                <w:szCs w:val="23"/>
                <w:lang w:eastAsia="en-US"/>
              </w:rPr>
            </w:pPr>
            <w:r w:rsidRPr="00E92571">
              <w:rPr>
                <w:b/>
                <w:smallCaps/>
                <w:szCs w:val="23"/>
                <w:lang w:eastAsia="en-US"/>
              </w:rPr>
              <w:t>Component 4</w:t>
            </w:r>
          </w:p>
          <w:p w:rsidR="00A6008B" w:rsidRPr="00E92571" w:rsidRDefault="00A6008B" w:rsidP="00CA7252">
            <w:pPr>
              <w:spacing w:before="40" w:after="60"/>
              <w:jc w:val="center"/>
              <w:rPr>
                <w:b/>
                <w:caps/>
                <w:smallCaps/>
                <w:szCs w:val="23"/>
                <w:lang w:eastAsia="en-US"/>
              </w:rPr>
            </w:pPr>
            <w:r w:rsidRPr="00E92571">
              <w:rPr>
                <w:b/>
                <w:smallCaps/>
                <w:szCs w:val="23"/>
                <w:lang w:eastAsia="en-US"/>
              </w:rPr>
              <w:t>Professional Development</w:t>
            </w:r>
          </w:p>
        </w:tc>
      </w:tr>
      <w:tr w:rsidR="00A6008B" w:rsidRPr="00E92571" w:rsidTr="00CA7252">
        <w:trPr>
          <w:trHeight w:val="60"/>
          <w:jc w:val="center"/>
        </w:trPr>
        <w:tc>
          <w:tcPr>
            <w:tcW w:w="2268" w:type="dxa"/>
            <w:tcBorders>
              <w:bottom w:val="double" w:sz="4" w:space="0" w:color="auto"/>
            </w:tcBorders>
            <w:shd w:val="clear" w:color="auto" w:fill="D9D9D9"/>
            <w:vAlign w:val="center"/>
          </w:tcPr>
          <w:p w:rsidR="00A6008B" w:rsidRPr="00E92571" w:rsidRDefault="00A6008B" w:rsidP="00B81E01">
            <w:pPr>
              <w:spacing w:before="40"/>
              <w:jc w:val="center"/>
              <w:rPr>
                <w:i/>
                <w:szCs w:val="23"/>
                <w:lang w:eastAsia="en-US"/>
              </w:rPr>
            </w:pPr>
            <w:r w:rsidRPr="00E92571">
              <w:rPr>
                <w:i/>
                <w:szCs w:val="23"/>
                <w:lang w:eastAsia="en-US"/>
              </w:rPr>
              <w:t>Projects x 4</w:t>
            </w:r>
          </w:p>
          <w:p w:rsidR="00A6008B" w:rsidRPr="00E92571" w:rsidRDefault="00A6008B" w:rsidP="00172674">
            <w:pPr>
              <w:spacing w:after="40"/>
              <w:jc w:val="center"/>
              <w:rPr>
                <w:b/>
                <w:szCs w:val="23"/>
                <w:lang w:eastAsia="en-US"/>
              </w:rPr>
            </w:pPr>
            <w:r w:rsidRPr="00E92571">
              <w:rPr>
                <w:i/>
                <w:szCs w:val="23"/>
                <w:lang w:eastAsia="en-US"/>
              </w:rPr>
              <w:t xml:space="preserve">Activities x </w:t>
            </w:r>
            <w:r>
              <w:rPr>
                <w:i/>
                <w:szCs w:val="23"/>
                <w:lang w:eastAsia="en-US"/>
              </w:rPr>
              <w:t>14</w:t>
            </w:r>
          </w:p>
        </w:tc>
        <w:tc>
          <w:tcPr>
            <w:tcW w:w="2268" w:type="dxa"/>
            <w:tcBorders>
              <w:bottom w:val="double" w:sz="4" w:space="0" w:color="auto"/>
            </w:tcBorders>
            <w:shd w:val="clear" w:color="auto" w:fill="D9D9D9"/>
            <w:vAlign w:val="center"/>
          </w:tcPr>
          <w:p w:rsidR="00A6008B" w:rsidRPr="00E92571" w:rsidRDefault="00A6008B" w:rsidP="00B81E01">
            <w:pPr>
              <w:spacing w:before="40"/>
              <w:jc w:val="center"/>
              <w:rPr>
                <w:i/>
                <w:szCs w:val="23"/>
                <w:lang w:eastAsia="en-US"/>
              </w:rPr>
            </w:pPr>
            <w:r w:rsidRPr="00E92571">
              <w:rPr>
                <w:i/>
                <w:szCs w:val="23"/>
                <w:lang w:eastAsia="en-US"/>
              </w:rPr>
              <w:t>Projects x 4</w:t>
            </w:r>
          </w:p>
          <w:p w:rsidR="00A6008B" w:rsidRPr="00E92571" w:rsidRDefault="00A6008B" w:rsidP="00B81E01">
            <w:pPr>
              <w:spacing w:after="40"/>
              <w:jc w:val="center"/>
              <w:rPr>
                <w:b/>
                <w:szCs w:val="23"/>
                <w:lang w:eastAsia="en-US"/>
              </w:rPr>
            </w:pPr>
            <w:r w:rsidRPr="00E92571">
              <w:rPr>
                <w:i/>
                <w:szCs w:val="23"/>
                <w:lang w:eastAsia="en-US"/>
              </w:rPr>
              <w:t>Activities x 28</w:t>
            </w:r>
          </w:p>
        </w:tc>
        <w:tc>
          <w:tcPr>
            <w:tcW w:w="2268" w:type="dxa"/>
            <w:tcBorders>
              <w:bottom w:val="double" w:sz="4" w:space="0" w:color="auto"/>
            </w:tcBorders>
            <w:shd w:val="clear" w:color="auto" w:fill="D9D9D9"/>
            <w:vAlign w:val="center"/>
          </w:tcPr>
          <w:p w:rsidR="00A6008B" w:rsidRPr="00E92571" w:rsidRDefault="00A6008B" w:rsidP="00B81E01">
            <w:pPr>
              <w:spacing w:before="40"/>
              <w:jc w:val="center"/>
              <w:rPr>
                <w:i/>
                <w:szCs w:val="23"/>
                <w:lang w:eastAsia="en-US"/>
              </w:rPr>
            </w:pPr>
            <w:r w:rsidRPr="00E92571">
              <w:rPr>
                <w:i/>
                <w:szCs w:val="23"/>
                <w:lang w:eastAsia="en-US"/>
              </w:rPr>
              <w:t>Projects x 2</w:t>
            </w:r>
          </w:p>
          <w:p w:rsidR="00A6008B" w:rsidRPr="00E92571" w:rsidRDefault="00A6008B" w:rsidP="00B81E01">
            <w:pPr>
              <w:spacing w:after="40"/>
              <w:jc w:val="center"/>
              <w:rPr>
                <w:b/>
                <w:szCs w:val="23"/>
                <w:lang w:eastAsia="en-US"/>
              </w:rPr>
            </w:pPr>
            <w:r w:rsidRPr="00E92571">
              <w:rPr>
                <w:i/>
                <w:szCs w:val="23"/>
                <w:lang w:eastAsia="en-US"/>
              </w:rPr>
              <w:t>Activities x 27</w:t>
            </w:r>
          </w:p>
        </w:tc>
        <w:tc>
          <w:tcPr>
            <w:tcW w:w="2269" w:type="dxa"/>
            <w:tcBorders>
              <w:bottom w:val="double" w:sz="4" w:space="0" w:color="auto"/>
            </w:tcBorders>
            <w:shd w:val="clear" w:color="auto" w:fill="D9D9D9"/>
            <w:vAlign w:val="center"/>
          </w:tcPr>
          <w:p w:rsidR="00A6008B" w:rsidRPr="00E92571" w:rsidRDefault="00A6008B" w:rsidP="00B81E01">
            <w:pPr>
              <w:spacing w:before="40"/>
              <w:jc w:val="center"/>
              <w:rPr>
                <w:i/>
                <w:szCs w:val="23"/>
                <w:lang w:eastAsia="en-US"/>
              </w:rPr>
            </w:pPr>
            <w:r w:rsidRPr="00E92571">
              <w:rPr>
                <w:i/>
                <w:szCs w:val="23"/>
                <w:lang w:eastAsia="en-US"/>
              </w:rPr>
              <w:t>Projects x 2</w:t>
            </w:r>
          </w:p>
          <w:p w:rsidR="00A6008B" w:rsidRPr="00E92571" w:rsidRDefault="00A6008B" w:rsidP="00B81E01">
            <w:pPr>
              <w:spacing w:after="40"/>
              <w:jc w:val="center"/>
              <w:rPr>
                <w:b/>
                <w:szCs w:val="23"/>
                <w:lang w:eastAsia="en-US"/>
              </w:rPr>
            </w:pPr>
            <w:r w:rsidRPr="00E92571">
              <w:rPr>
                <w:i/>
                <w:szCs w:val="23"/>
                <w:lang w:eastAsia="en-US"/>
              </w:rPr>
              <w:t>Activities x 8</w:t>
            </w:r>
          </w:p>
        </w:tc>
      </w:tr>
      <w:tr w:rsidR="00A6008B" w:rsidRPr="00E92571" w:rsidTr="00EF2DD8">
        <w:trPr>
          <w:trHeight w:val="40"/>
          <w:jc w:val="center"/>
        </w:trPr>
        <w:tc>
          <w:tcPr>
            <w:tcW w:w="2268" w:type="dxa"/>
            <w:tcBorders>
              <w:top w:val="double" w:sz="4" w:space="0" w:color="auto"/>
            </w:tcBorders>
            <w:vAlign w:val="center"/>
          </w:tcPr>
          <w:p w:rsidR="00A6008B" w:rsidRPr="009A221A" w:rsidRDefault="00A6008B" w:rsidP="00CA7252">
            <w:pPr>
              <w:rPr>
                <w:rFonts w:cs="Arial"/>
                <w:sz w:val="24"/>
                <w:szCs w:val="22"/>
                <w:lang w:eastAsia="en-US"/>
              </w:rPr>
            </w:pPr>
            <w:r w:rsidRPr="00E92571">
              <w:rPr>
                <w:rFonts w:cs="Arial"/>
                <w:b/>
                <w:sz w:val="22"/>
                <w:szCs w:val="22"/>
                <w:lang w:eastAsia="en-US"/>
              </w:rPr>
              <w:t>Access to JusticeProject</w:t>
            </w:r>
            <w:r w:rsidRPr="00E92571">
              <w:rPr>
                <w:i/>
                <w:sz w:val="22"/>
                <w:szCs w:val="22"/>
                <w:lang w:eastAsia="en-US"/>
              </w:rPr>
              <w:t xml:space="preserve"> (formerly CDR)</w:t>
            </w:r>
            <w:r w:rsidRPr="00E92571">
              <w:rPr>
                <w:rFonts w:cs="Arial"/>
                <w:sz w:val="22"/>
                <w:szCs w:val="22"/>
                <w:lang w:eastAsia="en-US"/>
              </w:rPr>
              <w:t>:</w:t>
            </w:r>
          </w:p>
          <w:p w:rsidR="00A6008B" w:rsidRPr="009A221A" w:rsidRDefault="00A6008B" w:rsidP="00CA7252">
            <w:pPr>
              <w:numPr>
                <w:ilvl w:val="0"/>
                <w:numId w:val="36"/>
              </w:numPr>
              <w:ind w:left="227" w:hanging="227"/>
              <w:rPr>
                <w:i/>
                <w:sz w:val="20"/>
                <w:szCs w:val="22"/>
                <w:lang w:eastAsia="en-US"/>
              </w:rPr>
            </w:pPr>
            <w:r w:rsidRPr="00E92571">
              <w:rPr>
                <w:i/>
                <w:sz w:val="20"/>
                <w:szCs w:val="22"/>
                <w:lang w:eastAsia="en-US"/>
              </w:rPr>
              <w:t>Toolkit Implementation - via Responsive Fund</w:t>
            </w:r>
          </w:p>
        </w:tc>
        <w:tc>
          <w:tcPr>
            <w:tcW w:w="2268" w:type="dxa"/>
            <w:tcBorders>
              <w:top w:val="double" w:sz="4" w:space="0" w:color="auto"/>
            </w:tcBorders>
            <w:vAlign w:val="center"/>
          </w:tcPr>
          <w:p w:rsidR="00A6008B" w:rsidRPr="009A221A" w:rsidRDefault="00A6008B" w:rsidP="00CA7252">
            <w:pPr>
              <w:rPr>
                <w:sz w:val="24"/>
                <w:szCs w:val="22"/>
                <w:lang w:eastAsia="en-US"/>
              </w:rPr>
            </w:pPr>
            <w:r w:rsidRPr="00E92571">
              <w:rPr>
                <w:b/>
                <w:sz w:val="22"/>
                <w:szCs w:val="22"/>
                <w:lang w:eastAsia="en-US"/>
              </w:rPr>
              <w:t>Code of Judicial ConductProject</w:t>
            </w:r>
          </w:p>
          <w:p w:rsidR="00A6008B" w:rsidRPr="009A221A" w:rsidRDefault="00A6008B" w:rsidP="00424887">
            <w:pPr>
              <w:numPr>
                <w:ilvl w:val="0"/>
                <w:numId w:val="36"/>
              </w:numPr>
              <w:ind w:left="227" w:right="-57" w:hanging="227"/>
              <w:rPr>
                <w:i/>
                <w:sz w:val="24"/>
                <w:szCs w:val="22"/>
                <w:lang w:eastAsia="en-US"/>
              </w:rPr>
            </w:pPr>
            <w:r w:rsidRPr="00E92571">
              <w:rPr>
                <w:i/>
                <w:sz w:val="20"/>
                <w:szCs w:val="22"/>
                <w:lang w:eastAsia="en-US"/>
              </w:rPr>
              <w:t>CoJC and Complaints Handling Toolkit as an Additional Activity or via Responsive Fund (x1)</w:t>
            </w:r>
          </w:p>
        </w:tc>
        <w:tc>
          <w:tcPr>
            <w:tcW w:w="2268" w:type="dxa"/>
            <w:tcBorders>
              <w:top w:val="double" w:sz="4" w:space="0" w:color="auto"/>
            </w:tcBorders>
            <w:vAlign w:val="center"/>
          </w:tcPr>
          <w:p w:rsidR="00A6008B" w:rsidRPr="009A221A" w:rsidRDefault="00A6008B" w:rsidP="00AC0373">
            <w:pPr>
              <w:spacing w:before="80"/>
              <w:rPr>
                <w:rFonts w:cs="Arial"/>
                <w:sz w:val="24"/>
                <w:szCs w:val="22"/>
                <w:lang w:eastAsia="en-US"/>
              </w:rPr>
            </w:pPr>
            <w:r w:rsidRPr="00E92571">
              <w:rPr>
                <w:rFonts w:cs="Arial"/>
                <w:b/>
                <w:sz w:val="22"/>
                <w:szCs w:val="22"/>
                <w:lang w:eastAsia="en-US"/>
              </w:rPr>
              <w:t>Judicial AdministrationProject</w:t>
            </w:r>
          </w:p>
          <w:p w:rsidR="00A6008B" w:rsidRPr="009A221A" w:rsidRDefault="00A6008B" w:rsidP="00CA7252">
            <w:pPr>
              <w:numPr>
                <w:ilvl w:val="0"/>
                <w:numId w:val="36"/>
              </w:numPr>
              <w:ind w:left="227" w:hanging="227"/>
              <w:rPr>
                <w:i/>
                <w:sz w:val="20"/>
                <w:szCs w:val="22"/>
                <w:lang w:eastAsia="en-US"/>
              </w:rPr>
            </w:pPr>
            <w:r w:rsidRPr="00E92571">
              <w:rPr>
                <w:rFonts w:cs="Arial"/>
                <w:i/>
                <w:sz w:val="20"/>
                <w:szCs w:val="22"/>
                <w:lang w:eastAsia="en-US"/>
              </w:rPr>
              <w:t xml:space="preserve">Time Standards Toolkit </w:t>
            </w:r>
            <w:r w:rsidRPr="00E92571">
              <w:rPr>
                <w:i/>
                <w:sz w:val="20"/>
                <w:szCs w:val="22"/>
                <w:lang w:eastAsia="en-US"/>
              </w:rPr>
              <w:t>Implementation(x4)</w:t>
            </w:r>
          </w:p>
          <w:p w:rsidR="00A6008B" w:rsidRPr="009A221A" w:rsidRDefault="00A6008B" w:rsidP="00CA7252">
            <w:pPr>
              <w:numPr>
                <w:ilvl w:val="0"/>
                <w:numId w:val="36"/>
              </w:numPr>
              <w:ind w:left="227" w:hanging="227"/>
              <w:rPr>
                <w:i/>
                <w:sz w:val="20"/>
                <w:szCs w:val="22"/>
                <w:lang w:eastAsia="en-US"/>
              </w:rPr>
            </w:pPr>
            <w:r w:rsidRPr="00E92571">
              <w:rPr>
                <w:rFonts w:cs="Arial"/>
                <w:i/>
                <w:sz w:val="20"/>
                <w:szCs w:val="22"/>
                <w:lang w:eastAsia="en-US"/>
              </w:rPr>
              <w:t xml:space="preserve">Delay Reduction Pilot and Toolkit </w:t>
            </w:r>
            <w:r w:rsidRPr="00E92571">
              <w:rPr>
                <w:i/>
                <w:sz w:val="20"/>
                <w:szCs w:val="22"/>
                <w:lang w:eastAsia="en-US"/>
              </w:rPr>
              <w:t>(x2)</w:t>
            </w:r>
          </w:p>
          <w:p w:rsidR="00A6008B" w:rsidRPr="009A221A" w:rsidRDefault="00A6008B" w:rsidP="00CA7252">
            <w:pPr>
              <w:numPr>
                <w:ilvl w:val="0"/>
                <w:numId w:val="36"/>
              </w:numPr>
              <w:spacing w:after="120"/>
              <w:ind w:left="227" w:hanging="227"/>
              <w:rPr>
                <w:sz w:val="24"/>
                <w:szCs w:val="22"/>
                <w:lang w:eastAsia="en-US"/>
              </w:rPr>
            </w:pPr>
            <w:r w:rsidRPr="00E92571">
              <w:rPr>
                <w:rFonts w:cs="Arial"/>
                <w:i/>
                <w:sz w:val="20"/>
                <w:szCs w:val="22"/>
                <w:lang w:eastAsia="en-US"/>
              </w:rPr>
              <w:t xml:space="preserve">IT Administrators’ Network </w:t>
            </w:r>
            <w:r w:rsidRPr="00E92571">
              <w:rPr>
                <w:i/>
                <w:sz w:val="20"/>
                <w:szCs w:val="22"/>
                <w:lang w:eastAsia="en-US"/>
              </w:rPr>
              <w:t>(regional)</w:t>
            </w:r>
          </w:p>
        </w:tc>
        <w:tc>
          <w:tcPr>
            <w:tcW w:w="2269" w:type="dxa"/>
            <w:tcBorders>
              <w:top w:val="double" w:sz="4" w:space="0" w:color="auto"/>
            </w:tcBorders>
            <w:vAlign w:val="center"/>
          </w:tcPr>
          <w:p w:rsidR="00A6008B" w:rsidRPr="009A221A" w:rsidRDefault="00A6008B" w:rsidP="00AC0373">
            <w:pPr>
              <w:spacing w:before="80"/>
              <w:rPr>
                <w:sz w:val="24"/>
                <w:szCs w:val="22"/>
                <w:lang w:eastAsia="en-US"/>
              </w:rPr>
            </w:pPr>
            <w:r w:rsidRPr="00E92571">
              <w:rPr>
                <w:rFonts w:cs="Arial"/>
                <w:b/>
                <w:sz w:val="22"/>
                <w:szCs w:val="22"/>
                <w:lang w:eastAsia="en-US"/>
              </w:rPr>
              <w:t xml:space="preserve">Regional </w:t>
            </w:r>
            <w:r w:rsidRPr="00E92571">
              <w:rPr>
                <w:b/>
                <w:sz w:val="22"/>
                <w:szCs w:val="22"/>
                <w:lang w:eastAsia="en-US"/>
              </w:rPr>
              <w:t>Training CapacityProject</w:t>
            </w:r>
          </w:p>
          <w:p w:rsidR="00A6008B" w:rsidRPr="009A221A" w:rsidRDefault="00A6008B" w:rsidP="00CA7252">
            <w:pPr>
              <w:numPr>
                <w:ilvl w:val="0"/>
                <w:numId w:val="37"/>
              </w:numPr>
              <w:ind w:left="227" w:hanging="227"/>
              <w:rPr>
                <w:i/>
                <w:sz w:val="20"/>
                <w:szCs w:val="22"/>
                <w:lang w:eastAsia="en-US"/>
              </w:rPr>
            </w:pPr>
            <w:r w:rsidRPr="00E92571">
              <w:rPr>
                <w:i/>
                <w:sz w:val="20"/>
                <w:szCs w:val="22"/>
                <w:lang w:eastAsia="en-US"/>
              </w:rPr>
              <w:t>Certification ToT Workshop (x1 regional)</w:t>
            </w:r>
          </w:p>
          <w:p w:rsidR="00A6008B" w:rsidRPr="009A221A" w:rsidRDefault="00A6008B" w:rsidP="00CA7252">
            <w:pPr>
              <w:numPr>
                <w:ilvl w:val="0"/>
                <w:numId w:val="37"/>
              </w:numPr>
              <w:ind w:left="227" w:hanging="227"/>
              <w:rPr>
                <w:i/>
                <w:sz w:val="20"/>
                <w:szCs w:val="22"/>
                <w:lang w:eastAsia="en-US"/>
              </w:rPr>
            </w:pPr>
            <w:r w:rsidRPr="00E92571">
              <w:rPr>
                <w:i/>
                <w:sz w:val="20"/>
                <w:szCs w:val="22"/>
                <w:lang w:eastAsia="en-US"/>
              </w:rPr>
              <w:t>Advanced RTT CD/PM Workshop (x1 regional)</w:t>
            </w:r>
          </w:p>
          <w:p w:rsidR="00A6008B" w:rsidRPr="009A221A" w:rsidRDefault="00A6008B" w:rsidP="00CA7252">
            <w:pPr>
              <w:numPr>
                <w:ilvl w:val="0"/>
                <w:numId w:val="37"/>
              </w:numPr>
              <w:ind w:left="227" w:hanging="227"/>
              <w:rPr>
                <w:sz w:val="24"/>
                <w:szCs w:val="22"/>
                <w:lang w:eastAsia="en-US"/>
              </w:rPr>
            </w:pPr>
            <w:r w:rsidRPr="00E92571">
              <w:rPr>
                <w:i/>
                <w:sz w:val="20"/>
                <w:szCs w:val="22"/>
                <w:lang w:eastAsia="en-US"/>
              </w:rPr>
              <w:t xml:space="preserve">RTT Mentoring Network (regional) </w:t>
            </w:r>
          </w:p>
        </w:tc>
      </w:tr>
      <w:tr w:rsidR="00A6008B" w:rsidRPr="00E92571" w:rsidTr="00EF2DD8">
        <w:trPr>
          <w:trHeight w:val="40"/>
          <w:jc w:val="center"/>
        </w:trPr>
        <w:tc>
          <w:tcPr>
            <w:tcW w:w="2268" w:type="dxa"/>
            <w:tcBorders>
              <w:left w:val="nil"/>
              <w:bottom w:val="nil"/>
              <w:right w:val="nil"/>
            </w:tcBorders>
            <w:vAlign w:val="center"/>
          </w:tcPr>
          <w:p w:rsidR="00A6008B" w:rsidRPr="009A221A" w:rsidRDefault="00A6008B" w:rsidP="00CA7252">
            <w:pPr>
              <w:rPr>
                <w:rFonts w:cs="Arial"/>
                <w:b/>
                <w:sz w:val="22"/>
                <w:szCs w:val="22"/>
                <w:lang w:eastAsia="en-US"/>
              </w:rPr>
            </w:pPr>
          </w:p>
        </w:tc>
        <w:tc>
          <w:tcPr>
            <w:tcW w:w="2268" w:type="dxa"/>
            <w:tcBorders>
              <w:left w:val="nil"/>
              <w:bottom w:val="nil"/>
              <w:right w:val="nil"/>
            </w:tcBorders>
            <w:vAlign w:val="center"/>
          </w:tcPr>
          <w:p w:rsidR="00A6008B" w:rsidRPr="009A221A" w:rsidRDefault="00A6008B" w:rsidP="00CA7252">
            <w:pPr>
              <w:rPr>
                <w:b/>
                <w:sz w:val="22"/>
                <w:szCs w:val="22"/>
                <w:lang w:eastAsia="en-US"/>
              </w:rPr>
            </w:pPr>
          </w:p>
        </w:tc>
        <w:tc>
          <w:tcPr>
            <w:tcW w:w="2268" w:type="dxa"/>
            <w:tcBorders>
              <w:left w:val="nil"/>
              <w:bottom w:val="nil"/>
              <w:right w:val="nil"/>
            </w:tcBorders>
            <w:vAlign w:val="center"/>
          </w:tcPr>
          <w:p w:rsidR="00A6008B" w:rsidRPr="009A221A" w:rsidRDefault="00A6008B" w:rsidP="00CA7252">
            <w:pPr>
              <w:spacing w:before="120"/>
              <w:rPr>
                <w:rFonts w:cs="Arial"/>
                <w:b/>
                <w:sz w:val="22"/>
                <w:szCs w:val="22"/>
                <w:lang w:eastAsia="en-US"/>
              </w:rPr>
            </w:pPr>
          </w:p>
        </w:tc>
        <w:tc>
          <w:tcPr>
            <w:tcW w:w="2269" w:type="dxa"/>
            <w:tcBorders>
              <w:left w:val="nil"/>
              <w:bottom w:val="nil"/>
              <w:right w:val="nil"/>
            </w:tcBorders>
            <w:vAlign w:val="center"/>
          </w:tcPr>
          <w:p w:rsidR="00A6008B" w:rsidRPr="009A221A" w:rsidRDefault="00A6008B" w:rsidP="00CA7252">
            <w:pPr>
              <w:rPr>
                <w:rFonts w:cs="Arial"/>
                <w:b/>
                <w:sz w:val="22"/>
                <w:szCs w:val="22"/>
                <w:lang w:eastAsia="en-US"/>
              </w:rPr>
            </w:pPr>
          </w:p>
        </w:tc>
      </w:tr>
      <w:tr w:rsidR="00A6008B" w:rsidRPr="00E92571" w:rsidTr="00EF2DD8">
        <w:trPr>
          <w:trHeight w:val="60"/>
          <w:jc w:val="center"/>
        </w:trPr>
        <w:tc>
          <w:tcPr>
            <w:tcW w:w="2268" w:type="dxa"/>
            <w:tcBorders>
              <w:top w:val="nil"/>
            </w:tcBorders>
            <w:vAlign w:val="center"/>
          </w:tcPr>
          <w:p w:rsidR="00A6008B" w:rsidRPr="009A221A" w:rsidRDefault="00A6008B" w:rsidP="00CA7252">
            <w:pPr>
              <w:rPr>
                <w:rFonts w:cs="Arial"/>
                <w:b/>
                <w:sz w:val="22"/>
                <w:szCs w:val="22"/>
                <w:lang w:eastAsia="en-US"/>
              </w:rPr>
            </w:pPr>
          </w:p>
          <w:p w:rsidR="00A6008B" w:rsidRPr="009A221A" w:rsidRDefault="00A6008B" w:rsidP="00CA7252">
            <w:pPr>
              <w:spacing w:before="120"/>
              <w:rPr>
                <w:rFonts w:cs="Arial"/>
                <w:sz w:val="24"/>
                <w:szCs w:val="22"/>
                <w:lang w:eastAsia="en-US"/>
              </w:rPr>
            </w:pPr>
            <w:r w:rsidRPr="00595CE3">
              <w:rPr>
                <w:rFonts w:cs="Arial"/>
                <w:b/>
                <w:sz w:val="22"/>
                <w:szCs w:val="22"/>
                <w:lang w:eastAsia="en-US"/>
              </w:rPr>
              <w:t>Family Violence and Youth JusticeProject</w:t>
            </w:r>
          </w:p>
          <w:p w:rsidR="00A6008B" w:rsidRPr="009A221A" w:rsidRDefault="00A6008B" w:rsidP="00CA7252">
            <w:pPr>
              <w:numPr>
                <w:ilvl w:val="0"/>
                <w:numId w:val="36"/>
              </w:numPr>
              <w:ind w:left="227" w:hanging="227"/>
              <w:rPr>
                <w:i/>
                <w:sz w:val="20"/>
                <w:szCs w:val="22"/>
                <w:lang w:eastAsia="en-US"/>
              </w:rPr>
            </w:pPr>
            <w:r w:rsidRPr="00595CE3">
              <w:rPr>
                <w:rFonts w:cs="Arial"/>
                <w:i/>
                <w:sz w:val="20"/>
                <w:szCs w:val="22"/>
                <w:lang w:eastAsia="en-US"/>
              </w:rPr>
              <w:t xml:space="preserve">Toolkit </w:t>
            </w:r>
            <w:r w:rsidRPr="00595CE3">
              <w:rPr>
                <w:i/>
                <w:sz w:val="20"/>
                <w:szCs w:val="22"/>
                <w:lang w:eastAsia="en-US"/>
              </w:rPr>
              <w:t>Implementation(x5)</w:t>
            </w:r>
          </w:p>
          <w:p w:rsidR="00A6008B" w:rsidRPr="009A221A" w:rsidRDefault="00A6008B" w:rsidP="00D74088">
            <w:pPr>
              <w:numPr>
                <w:ilvl w:val="0"/>
                <w:numId w:val="36"/>
              </w:numPr>
              <w:ind w:left="227" w:hanging="227"/>
              <w:rPr>
                <w:i/>
                <w:sz w:val="20"/>
                <w:szCs w:val="22"/>
                <w:lang w:eastAsia="en-US"/>
              </w:rPr>
            </w:pPr>
            <w:r w:rsidRPr="00595CE3">
              <w:rPr>
                <w:i/>
                <w:sz w:val="20"/>
                <w:szCs w:val="23"/>
              </w:rPr>
              <w:t xml:space="preserve">In-country </w:t>
            </w:r>
            <w:r>
              <w:rPr>
                <w:i/>
                <w:sz w:val="20"/>
                <w:szCs w:val="23"/>
              </w:rPr>
              <w:t xml:space="preserve">follow-up / </w:t>
            </w:r>
            <w:r w:rsidRPr="00595CE3">
              <w:rPr>
                <w:i/>
                <w:sz w:val="20"/>
                <w:szCs w:val="23"/>
              </w:rPr>
              <w:t>monitoring visits (x5)</w:t>
            </w:r>
          </w:p>
          <w:p w:rsidR="00A6008B" w:rsidRPr="009A221A" w:rsidRDefault="00A6008B" w:rsidP="00D74088">
            <w:pPr>
              <w:numPr>
                <w:ilvl w:val="0"/>
                <w:numId w:val="36"/>
              </w:numPr>
              <w:ind w:left="227" w:hanging="227"/>
              <w:rPr>
                <w:i/>
                <w:sz w:val="20"/>
                <w:szCs w:val="22"/>
                <w:lang w:eastAsia="en-US"/>
              </w:rPr>
            </w:pPr>
            <w:r>
              <w:rPr>
                <w:i/>
                <w:sz w:val="20"/>
                <w:szCs w:val="23"/>
              </w:rPr>
              <w:t xml:space="preserve">Remote follow-up / </w:t>
            </w:r>
            <w:r w:rsidRPr="00595CE3">
              <w:rPr>
                <w:i/>
                <w:sz w:val="20"/>
                <w:szCs w:val="23"/>
              </w:rPr>
              <w:t>monitoring (x</w:t>
            </w:r>
            <w:r>
              <w:rPr>
                <w:i/>
                <w:sz w:val="20"/>
                <w:szCs w:val="23"/>
              </w:rPr>
              <w:t>2</w:t>
            </w:r>
            <w:r w:rsidRPr="00595CE3">
              <w:rPr>
                <w:i/>
                <w:sz w:val="20"/>
                <w:szCs w:val="23"/>
              </w:rPr>
              <w:t>)</w:t>
            </w:r>
          </w:p>
        </w:tc>
        <w:tc>
          <w:tcPr>
            <w:tcW w:w="2268" w:type="dxa"/>
            <w:tcBorders>
              <w:top w:val="nil"/>
            </w:tcBorders>
            <w:vAlign w:val="center"/>
          </w:tcPr>
          <w:p w:rsidR="00A6008B" w:rsidRPr="009A221A" w:rsidRDefault="00A6008B" w:rsidP="00CA7252">
            <w:pPr>
              <w:rPr>
                <w:sz w:val="24"/>
                <w:szCs w:val="22"/>
                <w:lang w:eastAsia="en-US"/>
              </w:rPr>
            </w:pPr>
            <w:r w:rsidRPr="00595CE3">
              <w:rPr>
                <w:b/>
                <w:sz w:val="22"/>
                <w:szCs w:val="22"/>
                <w:lang w:eastAsia="en-US"/>
              </w:rPr>
              <w:t>Regional Governance and Leadership Meetings</w:t>
            </w:r>
            <w:r w:rsidRPr="00595CE3">
              <w:rPr>
                <w:i/>
                <w:sz w:val="20"/>
                <w:szCs w:val="22"/>
                <w:lang w:eastAsia="en-US"/>
              </w:rPr>
              <w:t>(x9 regional)</w:t>
            </w:r>
          </w:p>
        </w:tc>
        <w:tc>
          <w:tcPr>
            <w:tcW w:w="2268" w:type="dxa"/>
            <w:tcBorders>
              <w:top w:val="nil"/>
            </w:tcBorders>
            <w:vAlign w:val="center"/>
          </w:tcPr>
          <w:p w:rsidR="00A6008B" w:rsidRPr="009A221A" w:rsidRDefault="00A6008B" w:rsidP="00CA7252">
            <w:pPr>
              <w:rPr>
                <w:rFonts w:cs="Arial"/>
                <w:i/>
                <w:sz w:val="24"/>
                <w:szCs w:val="22"/>
                <w:lang w:eastAsia="en-US"/>
              </w:rPr>
            </w:pPr>
            <w:r w:rsidRPr="00595CE3">
              <w:rPr>
                <w:rFonts w:cs="Arial"/>
                <w:b/>
                <w:sz w:val="22"/>
                <w:szCs w:val="22"/>
                <w:lang w:eastAsia="en-US"/>
              </w:rPr>
              <w:t>Court Annual ReportingProject</w:t>
            </w:r>
            <w:r w:rsidRPr="00595CE3">
              <w:rPr>
                <w:rFonts w:cs="Arial"/>
                <w:i/>
                <w:sz w:val="22"/>
                <w:szCs w:val="22"/>
                <w:lang w:eastAsia="en-US"/>
              </w:rPr>
              <w:t>(formerly PM&amp;E)</w:t>
            </w:r>
          </w:p>
          <w:p w:rsidR="00A6008B" w:rsidRPr="009A221A" w:rsidRDefault="00A6008B" w:rsidP="00CA7252">
            <w:pPr>
              <w:numPr>
                <w:ilvl w:val="0"/>
                <w:numId w:val="36"/>
              </w:numPr>
              <w:ind w:left="227" w:hanging="227"/>
              <w:rPr>
                <w:i/>
                <w:sz w:val="20"/>
                <w:szCs w:val="22"/>
                <w:lang w:eastAsia="en-US"/>
              </w:rPr>
            </w:pPr>
            <w:r w:rsidRPr="00595CE3">
              <w:rPr>
                <w:rFonts w:cs="Arial"/>
                <w:i/>
                <w:sz w:val="20"/>
                <w:szCs w:val="22"/>
                <w:lang w:eastAsia="en-US"/>
              </w:rPr>
              <w:t xml:space="preserve">Toolkit </w:t>
            </w:r>
            <w:r w:rsidRPr="00595CE3">
              <w:rPr>
                <w:i/>
                <w:sz w:val="20"/>
                <w:szCs w:val="22"/>
                <w:lang w:eastAsia="en-US"/>
              </w:rPr>
              <w:t xml:space="preserve">Implementation, including </w:t>
            </w:r>
            <w:r w:rsidRPr="00595CE3">
              <w:rPr>
                <w:rFonts w:cs="Arial"/>
                <w:i/>
                <w:sz w:val="20"/>
                <w:szCs w:val="22"/>
                <w:lang w:eastAsia="en-US"/>
              </w:rPr>
              <w:t>Survey (x6 + 14 for data collection and reporting)</w:t>
            </w:r>
          </w:p>
        </w:tc>
        <w:tc>
          <w:tcPr>
            <w:tcW w:w="2269" w:type="dxa"/>
            <w:tcBorders>
              <w:top w:val="nil"/>
            </w:tcBorders>
            <w:vAlign w:val="center"/>
          </w:tcPr>
          <w:p w:rsidR="00A6008B" w:rsidRPr="009A221A" w:rsidRDefault="00A6008B" w:rsidP="00AC0373">
            <w:pPr>
              <w:spacing w:before="80"/>
              <w:rPr>
                <w:sz w:val="24"/>
                <w:szCs w:val="22"/>
                <w:lang w:eastAsia="en-US"/>
              </w:rPr>
            </w:pPr>
            <w:r w:rsidRPr="00595CE3">
              <w:rPr>
                <w:rFonts w:cs="Arial"/>
                <w:b/>
                <w:sz w:val="22"/>
                <w:szCs w:val="22"/>
                <w:lang w:eastAsia="en-US"/>
              </w:rPr>
              <w:t>Core Judicial Development</w:t>
            </w:r>
            <w:r w:rsidRPr="00595CE3">
              <w:rPr>
                <w:b/>
                <w:sz w:val="22"/>
                <w:szCs w:val="22"/>
                <w:lang w:eastAsia="en-US"/>
              </w:rPr>
              <w:t>Project</w:t>
            </w:r>
            <w:r w:rsidRPr="00595CE3">
              <w:rPr>
                <w:sz w:val="22"/>
                <w:szCs w:val="22"/>
                <w:lang w:eastAsia="en-US"/>
              </w:rPr>
              <w:t xml:space="preserve">: </w:t>
            </w:r>
          </w:p>
          <w:p w:rsidR="00A6008B" w:rsidRPr="009A221A" w:rsidRDefault="00A6008B" w:rsidP="00CA7252">
            <w:pPr>
              <w:numPr>
                <w:ilvl w:val="0"/>
                <w:numId w:val="38"/>
              </w:numPr>
              <w:ind w:left="227" w:hanging="227"/>
              <w:rPr>
                <w:i/>
                <w:sz w:val="20"/>
                <w:szCs w:val="22"/>
                <w:lang w:eastAsia="en-US"/>
              </w:rPr>
            </w:pPr>
            <w:r w:rsidRPr="00595CE3">
              <w:rPr>
                <w:i/>
                <w:sz w:val="20"/>
                <w:szCs w:val="22"/>
                <w:lang w:eastAsia="en-US"/>
              </w:rPr>
              <w:t>Regional Orientation Workshop (x1)</w:t>
            </w:r>
          </w:p>
          <w:p w:rsidR="00A6008B" w:rsidRPr="009A221A" w:rsidRDefault="00A6008B" w:rsidP="00CA7252">
            <w:pPr>
              <w:numPr>
                <w:ilvl w:val="0"/>
                <w:numId w:val="38"/>
              </w:numPr>
              <w:ind w:left="227" w:hanging="227"/>
              <w:rPr>
                <w:i/>
                <w:sz w:val="20"/>
                <w:szCs w:val="22"/>
                <w:lang w:eastAsia="en-US"/>
              </w:rPr>
            </w:pPr>
            <w:r w:rsidRPr="00595CE3">
              <w:rPr>
                <w:i/>
                <w:sz w:val="20"/>
                <w:szCs w:val="22"/>
                <w:lang w:eastAsia="en-US"/>
              </w:rPr>
              <w:t>Local Orientation Training Pilot and Toolkit (x1)</w:t>
            </w:r>
          </w:p>
          <w:p w:rsidR="00A6008B" w:rsidRPr="009A221A" w:rsidRDefault="00A6008B" w:rsidP="00CA7252">
            <w:pPr>
              <w:numPr>
                <w:ilvl w:val="0"/>
                <w:numId w:val="38"/>
              </w:numPr>
              <w:ind w:left="227" w:hanging="227"/>
              <w:rPr>
                <w:i/>
                <w:sz w:val="20"/>
                <w:szCs w:val="22"/>
                <w:lang w:eastAsia="en-US"/>
              </w:rPr>
            </w:pPr>
            <w:r w:rsidRPr="00595CE3">
              <w:rPr>
                <w:i/>
                <w:sz w:val="20"/>
                <w:szCs w:val="22"/>
                <w:lang w:eastAsia="en-US"/>
              </w:rPr>
              <w:t>Regional Decision Making Workshops (x2)</w:t>
            </w:r>
          </w:p>
          <w:p w:rsidR="00A6008B" w:rsidRPr="009A221A" w:rsidRDefault="00A6008B" w:rsidP="00CA7252">
            <w:pPr>
              <w:numPr>
                <w:ilvl w:val="0"/>
                <w:numId w:val="38"/>
              </w:numPr>
              <w:spacing w:after="120"/>
              <w:ind w:left="227" w:right="-57" w:hanging="227"/>
              <w:rPr>
                <w:rFonts w:cs="Arial"/>
                <w:sz w:val="24"/>
                <w:szCs w:val="22"/>
                <w:lang w:eastAsia="en-US"/>
              </w:rPr>
            </w:pPr>
            <w:r w:rsidRPr="00595CE3">
              <w:rPr>
                <w:i/>
                <w:sz w:val="20"/>
                <w:szCs w:val="22"/>
                <w:lang w:eastAsia="en-US"/>
              </w:rPr>
              <w:t>Local Decision Making Pilot and Toolkit (x1)</w:t>
            </w:r>
          </w:p>
        </w:tc>
      </w:tr>
      <w:tr w:rsidR="00A6008B" w:rsidRPr="00E92571" w:rsidTr="00CA7252">
        <w:trPr>
          <w:trHeight w:val="60"/>
          <w:jc w:val="center"/>
        </w:trPr>
        <w:tc>
          <w:tcPr>
            <w:tcW w:w="2268" w:type="dxa"/>
            <w:vAlign w:val="center"/>
          </w:tcPr>
          <w:p w:rsidR="00A6008B" w:rsidRPr="009A221A" w:rsidRDefault="00A6008B" w:rsidP="00CA7252">
            <w:pPr>
              <w:spacing w:before="120"/>
              <w:rPr>
                <w:rFonts w:cs="Arial"/>
                <w:sz w:val="24"/>
                <w:szCs w:val="22"/>
                <w:lang w:eastAsia="en-US"/>
              </w:rPr>
            </w:pPr>
            <w:r w:rsidRPr="00E92571">
              <w:rPr>
                <w:rFonts w:cs="Arial"/>
                <w:b/>
                <w:sz w:val="22"/>
                <w:szCs w:val="22"/>
                <w:lang w:eastAsia="en-US"/>
              </w:rPr>
              <w:t>Public InformationProject</w:t>
            </w:r>
          </w:p>
          <w:p w:rsidR="00A6008B" w:rsidRPr="00E92571" w:rsidRDefault="00A6008B" w:rsidP="00CA7252">
            <w:pPr>
              <w:pStyle w:val="ListParagraph"/>
              <w:numPr>
                <w:ilvl w:val="0"/>
                <w:numId w:val="47"/>
              </w:numPr>
              <w:ind w:left="291" w:hanging="291"/>
              <w:rPr>
                <w:kern w:val="32"/>
                <w:lang w:eastAsia="en-US"/>
              </w:rPr>
            </w:pPr>
            <w:r w:rsidRPr="00E92571">
              <w:rPr>
                <w:i/>
                <w:sz w:val="20"/>
                <w:szCs w:val="22"/>
                <w:lang w:eastAsia="en-US"/>
              </w:rPr>
              <w:t>Pilot and Toolkit (x1)</w:t>
            </w:r>
          </w:p>
        </w:tc>
        <w:tc>
          <w:tcPr>
            <w:tcW w:w="2268" w:type="dxa"/>
            <w:vAlign w:val="center"/>
          </w:tcPr>
          <w:p w:rsidR="00A6008B" w:rsidRPr="009A221A" w:rsidRDefault="00A6008B" w:rsidP="00AC0373">
            <w:pPr>
              <w:spacing w:before="80"/>
              <w:rPr>
                <w:sz w:val="24"/>
                <w:szCs w:val="22"/>
                <w:lang w:eastAsia="en-US"/>
              </w:rPr>
            </w:pPr>
            <w:r w:rsidRPr="00E92571">
              <w:rPr>
                <w:rFonts w:cs="Arial"/>
                <w:b/>
                <w:sz w:val="22"/>
                <w:szCs w:val="22"/>
                <w:lang w:eastAsia="en-US"/>
              </w:rPr>
              <w:t>National Judicial Development CommitteeProject</w:t>
            </w:r>
          </w:p>
          <w:p w:rsidR="00A6008B" w:rsidRPr="00E92571" w:rsidRDefault="00A6008B" w:rsidP="00CA7252">
            <w:pPr>
              <w:pStyle w:val="ListParagraph"/>
              <w:numPr>
                <w:ilvl w:val="0"/>
                <w:numId w:val="47"/>
              </w:numPr>
              <w:spacing w:after="120"/>
              <w:ind w:left="289" w:hanging="357"/>
              <w:rPr>
                <w:kern w:val="32"/>
                <w:lang w:eastAsia="en-US"/>
              </w:rPr>
            </w:pPr>
            <w:r w:rsidRPr="00E92571">
              <w:rPr>
                <w:i/>
                <w:sz w:val="20"/>
                <w:szCs w:val="22"/>
                <w:lang w:eastAsia="en-US"/>
              </w:rPr>
              <w:t>Toolkit Implementation(x1)</w:t>
            </w:r>
          </w:p>
        </w:tc>
        <w:tc>
          <w:tcPr>
            <w:tcW w:w="2268" w:type="dxa"/>
            <w:tcBorders>
              <w:bottom w:val="nil"/>
              <w:right w:val="nil"/>
            </w:tcBorders>
            <w:vAlign w:val="center"/>
          </w:tcPr>
          <w:p w:rsidR="00A6008B" w:rsidRPr="009A221A" w:rsidRDefault="00A6008B" w:rsidP="00CA7252">
            <w:pPr>
              <w:rPr>
                <w:rFonts w:cs="Arial"/>
                <w:sz w:val="24"/>
                <w:szCs w:val="22"/>
                <w:lang w:eastAsia="en-US"/>
              </w:rPr>
            </w:pPr>
          </w:p>
        </w:tc>
        <w:tc>
          <w:tcPr>
            <w:tcW w:w="2269" w:type="dxa"/>
            <w:tcBorders>
              <w:left w:val="nil"/>
              <w:bottom w:val="nil"/>
              <w:right w:val="nil"/>
            </w:tcBorders>
            <w:vAlign w:val="center"/>
          </w:tcPr>
          <w:p w:rsidR="00A6008B" w:rsidRPr="009A221A" w:rsidRDefault="00A6008B" w:rsidP="00CA7252">
            <w:pPr>
              <w:rPr>
                <w:rFonts w:cs="Arial"/>
                <w:sz w:val="24"/>
                <w:szCs w:val="22"/>
                <w:lang w:eastAsia="en-US"/>
              </w:rPr>
            </w:pPr>
          </w:p>
        </w:tc>
      </w:tr>
      <w:tr w:rsidR="00A6008B" w:rsidRPr="00E92571" w:rsidTr="00CA7252">
        <w:trPr>
          <w:trHeight w:val="60"/>
          <w:jc w:val="center"/>
        </w:trPr>
        <w:tc>
          <w:tcPr>
            <w:tcW w:w="2268" w:type="dxa"/>
            <w:vAlign w:val="center"/>
          </w:tcPr>
          <w:p w:rsidR="00A6008B" w:rsidRPr="009A221A" w:rsidRDefault="00A6008B" w:rsidP="00AC0373">
            <w:pPr>
              <w:spacing w:before="80"/>
              <w:rPr>
                <w:rFonts w:cs="Arial"/>
                <w:sz w:val="24"/>
                <w:szCs w:val="22"/>
                <w:lang w:eastAsia="en-US"/>
              </w:rPr>
            </w:pPr>
            <w:r w:rsidRPr="00E92571">
              <w:rPr>
                <w:rFonts w:cs="Arial"/>
                <w:b/>
                <w:sz w:val="22"/>
                <w:szCs w:val="22"/>
                <w:lang w:eastAsia="en-US"/>
              </w:rPr>
              <w:t xml:space="preserve">Enabling Rights Project </w:t>
            </w:r>
          </w:p>
          <w:p w:rsidR="00A6008B" w:rsidRPr="009A221A" w:rsidRDefault="00A6008B" w:rsidP="00CA7252">
            <w:pPr>
              <w:numPr>
                <w:ilvl w:val="0"/>
                <w:numId w:val="36"/>
              </w:numPr>
              <w:ind w:left="227" w:hanging="227"/>
              <w:rPr>
                <w:i/>
                <w:sz w:val="20"/>
                <w:szCs w:val="22"/>
                <w:lang w:eastAsia="en-US"/>
              </w:rPr>
            </w:pPr>
            <w:r w:rsidRPr="00E92571">
              <w:rPr>
                <w:i/>
                <w:sz w:val="20"/>
                <w:szCs w:val="22"/>
                <w:lang w:eastAsia="en-US"/>
              </w:rPr>
              <w:t>Pilot and Toolkit (x1)</w:t>
            </w:r>
          </w:p>
        </w:tc>
        <w:tc>
          <w:tcPr>
            <w:tcW w:w="2268" w:type="dxa"/>
            <w:vAlign w:val="center"/>
          </w:tcPr>
          <w:p w:rsidR="00A6008B" w:rsidRPr="009A221A" w:rsidRDefault="00A6008B" w:rsidP="00CA7252">
            <w:pPr>
              <w:numPr>
                <w:ilvl w:val="0"/>
                <w:numId w:val="36"/>
              </w:numPr>
              <w:spacing w:after="120"/>
              <w:ind w:left="227" w:hanging="227"/>
              <w:rPr>
                <w:i/>
                <w:sz w:val="20"/>
                <w:szCs w:val="22"/>
                <w:lang w:eastAsia="en-US"/>
              </w:rPr>
            </w:pPr>
            <w:r w:rsidRPr="00E92571">
              <w:rPr>
                <w:b/>
                <w:sz w:val="22"/>
                <w:szCs w:val="22"/>
                <w:lang w:eastAsia="en-US"/>
              </w:rPr>
              <w:t xml:space="preserve">Responsive Fund </w:t>
            </w:r>
            <w:r w:rsidRPr="00E92571">
              <w:rPr>
                <w:i/>
                <w:sz w:val="20"/>
                <w:szCs w:val="22"/>
                <w:lang w:eastAsia="en-US"/>
              </w:rPr>
              <w:t xml:space="preserve"> (minimum x17)</w:t>
            </w:r>
          </w:p>
        </w:tc>
        <w:tc>
          <w:tcPr>
            <w:tcW w:w="2268" w:type="dxa"/>
            <w:tcBorders>
              <w:top w:val="nil"/>
              <w:bottom w:val="nil"/>
              <w:right w:val="nil"/>
            </w:tcBorders>
            <w:vAlign w:val="center"/>
          </w:tcPr>
          <w:p w:rsidR="00A6008B" w:rsidRPr="009A221A" w:rsidRDefault="00A6008B" w:rsidP="00CA7252">
            <w:pPr>
              <w:rPr>
                <w:rFonts w:cs="Arial"/>
                <w:sz w:val="24"/>
                <w:szCs w:val="22"/>
                <w:lang w:eastAsia="en-US"/>
              </w:rPr>
            </w:pPr>
          </w:p>
        </w:tc>
        <w:tc>
          <w:tcPr>
            <w:tcW w:w="2269" w:type="dxa"/>
            <w:tcBorders>
              <w:top w:val="nil"/>
              <w:left w:val="nil"/>
              <w:bottom w:val="nil"/>
              <w:right w:val="nil"/>
            </w:tcBorders>
            <w:vAlign w:val="center"/>
          </w:tcPr>
          <w:p w:rsidR="00A6008B" w:rsidRPr="009A221A" w:rsidRDefault="00A6008B" w:rsidP="00CA7252">
            <w:pPr>
              <w:rPr>
                <w:rFonts w:cs="Arial"/>
                <w:sz w:val="24"/>
                <w:szCs w:val="22"/>
                <w:lang w:eastAsia="en-US"/>
              </w:rPr>
            </w:pPr>
          </w:p>
        </w:tc>
      </w:tr>
    </w:tbl>
    <w:p w:rsidR="00A6008B" w:rsidRPr="00461666" w:rsidRDefault="00A6008B" w:rsidP="00B54A95">
      <w:pPr>
        <w:rPr>
          <w:sz w:val="20"/>
        </w:rPr>
      </w:pPr>
    </w:p>
    <w:p w:rsidR="00A6008B" w:rsidRPr="00C65D03" w:rsidRDefault="00A6008B" w:rsidP="002C35EC">
      <w:pPr>
        <w:rPr>
          <w:szCs w:val="23"/>
        </w:rPr>
      </w:pPr>
      <w:r w:rsidRPr="00E92571">
        <w:rPr>
          <w:szCs w:val="23"/>
        </w:rPr>
        <w:t xml:space="preserve">The above project and activity structure reflects </w:t>
      </w:r>
      <w:r w:rsidRPr="00E92571">
        <w:t xml:space="preserve">the refinement in the PJDP’s approach towards promotingincreased locaIisation of implementation and a stronger focus on strengthening the </w:t>
      </w:r>
      <w:r w:rsidRPr="00E92571">
        <w:rPr>
          <w:szCs w:val="23"/>
        </w:rPr>
        <w:t xml:space="preserve">delivering services to beneficiaries.  Thishas resulted in a shift in the allocation of resources. As graphically illustrated below, resourcing in this Extension Plan </w:t>
      </w:r>
      <w:r>
        <w:rPr>
          <w:szCs w:val="23"/>
        </w:rPr>
        <w:t>compared to</w:t>
      </w:r>
      <w:r w:rsidRPr="00E92571">
        <w:rPr>
          <w:szCs w:val="23"/>
        </w:rPr>
        <w:t xml:space="preserve"> the </w:t>
      </w:r>
      <w:r>
        <w:rPr>
          <w:szCs w:val="23"/>
        </w:rPr>
        <w:t>current</w:t>
      </w:r>
      <w:r w:rsidRPr="00E92571">
        <w:rPr>
          <w:szCs w:val="23"/>
        </w:rPr>
        <w:t xml:space="preserve"> 12-month Extension Plan has to some degree </w:t>
      </w:r>
      <w:r w:rsidRPr="00C65D03">
        <w:rPr>
          <w:szCs w:val="23"/>
        </w:rPr>
        <w:t>moved away from traditional training / professional development activities towards those projects that promote judicial and court development:</w:t>
      </w:r>
    </w:p>
    <w:p w:rsidR="00A6008B" w:rsidRPr="00C65D03" w:rsidRDefault="00A6008B" w:rsidP="00890594">
      <w:pPr>
        <w:rPr>
          <w:sz w:val="8"/>
          <w:szCs w:val="23"/>
        </w:rPr>
      </w:pPr>
    </w:p>
    <w:p w:rsidR="00A6008B" w:rsidRPr="00C65D03" w:rsidRDefault="00A6008B" w:rsidP="00805260">
      <w:pPr>
        <w:jc w:val="center"/>
        <w:rPr>
          <w:szCs w:val="23"/>
        </w:rPr>
      </w:pPr>
      <w:r w:rsidRPr="009A221A">
        <w:rPr>
          <w:noProof/>
          <w:szCs w:val="23"/>
        </w:rPr>
        <w:pict>
          <v:shape id="_x0000_i1026" type="#_x0000_t75" style="width:435pt;height:198.75pt;visibility:visible">
            <v:imagedata r:id="rId14" o:title="" croptop="-2621f" cropbottom="-4096f" cropleft="-1396f" cropright="-1181f"/>
            <o:lock v:ext="edit" aspectratio="f"/>
          </v:shape>
        </w:pict>
      </w:r>
    </w:p>
    <w:p w:rsidR="00A6008B" w:rsidRPr="00C65D03" w:rsidRDefault="00A6008B" w:rsidP="00FF7D63">
      <w:pPr>
        <w:jc w:val="center"/>
        <w:rPr>
          <w:b/>
          <w:i/>
          <w:szCs w:val="23"/>
        </w:rPr>
      </w:pPr>
      <w:r w:rsidRPr="00C65D03">
        <w:rPr>
          <w:b/>
          <w:i/>
          <w:szCs w:val="23"/>
        </w:rPr>
        <w:t>Expenditure as a Percentage of the Budget Allocated to the Four Technical Components</w:t>
      </w:r>
    </w:p>
    <w:p w:rsidR="00A6008B" w:rsidRPr="00C65D03" w:rsidRDefault="00A6008B" w:rsidP="00890594">
      <w:pPr>
        <w:rPr>
          <w:sz w:val="20"/>
          <w:szCs w:val="23"/>
        </w:rPr>
      </w:pPr>
    </w:p>
    <w:p w:rsidR="00A6008B" w:rsidRPr="00E92571" w:rsidRDefault="00A6008B" w:rsidP="00890594">
      <w:pPr>
        <w:rPr>
          <w:szCs w:val="23"/>
        </w:rPr>
      </w:pPr>
      <w:r w:rsidRPr="00C65D03">
        <w:rPr>
          <w:szCs w:val="23"/>
        </w:rPr>
        <w:t>The approach to locating the planned activities adopted earlier in the implementation of Phase 2 has again been adopted. This has entailed partner courts ‘self-selecting’ which bi-lateral projects are to be undertaken</w:t>
      </w:r>
      <w:r w:rsidRPr="00E92571">
        <w:rPr>
          <w:szCs w:val="23"/>
        </w:rPr>
        <w:t xml:space="preserve"> in each jurisdiction as part of the stakeholder </w:t>
      </w:r>
      <w:r w:rsidRPr="00E92571">
        <w:rPr>
          <w:iCs/>
          <w:szCs w:val="23"/>
        </w:rPr>
        <w:t>consultations at the leadership meetings in March 2013.</w:t>
      </w:r>
      <w:r w:rsidRPr="00E92571">
        <w:rPr>
          <w:szCs w:val="23"/>
        </w:rPr>
        <w:t xml:space="preserve">In this way, courts </w:t>
      </w:r>
      <w:r>
        <w:rPr>
          <w:szCs w:val="23"/>
        </w:rPr>
        <w:t xml:space="preserve">have </w:t>
      </w:r>
      <w:r w:rsidRPr="00E92571">
        <w:rPr>
          <w:szCs w:val="23"/>
        </w:rPr>
        <w:t>selected which activities best meet their priority development needs</w:t>
      </w:r>
      <w:r w:rsidRPr="00E92571">
        <w:rPr>
          <w:iCs/>
          <w:szCs w:val="23"/>
        </w:rPr>
        <w:t xml:space="preserve">, </w:t>
      </w:r>
      <w:r>
        <w:rPr>
          <w:iCs/>
          <w:szCs w:val="23"/>
        </w:rPr>
        <w:t>in order to tailor Programme support and maximise</w:t>
      </w:r>
      <w:r w:rsidRPr="00E92571">
        <w:rPr>
          <w:iCs/>
          <w:szCs w:val="23"/>
        </w:rPr>
        <w:t xml:space="preserve"> development outcomes</w:t>
      </w:r>
      <w:r w:rsidRPr="00E92571">
        <w:rPr>
          <w:szCs w:val="23"/>
        </w:rPr>
        <w:t xml:space="preserve">.  </w:t>
      </w:r>
    </w:p>
    <w:p w:rsidR="00A6008B" w:rsidRPr="00E92571" w:rsidRDefault="00A6008B" w:rsidP="00EF05E0">
      <w:pPr>
        <w:pStyle w:val="Heading2"/>
        <w:numPr>
          <w:ilvl w:val="0"/>
          <w:numId w:val="11"/>
        </w:numPr>
        <w:ind w:hanging="720"/>
      </w:pPr>
      <w:bookmarkStart w:id="47" w:name="_Toc354644459"/>
      <w:r w:rsidRPr="00E92571">
        <w:t>Activity and Output Summary</w:t>
      </w:r>
      <w:bookmarkEnd w:id="47"/>
    </w:p>
    <w:p w:rsidR="00A6008B" w:rsidRPr="00E92571" w:rsidRDefault="00A6008B" w:rsidP="00982571">
      <w:pPr>
        <w:rPr>
          <w:sz w:val="16"/>
          <w:szCs w:val="23"/>
        </w:rPr>
      </w:pPr>
    </w:p>
    <w:p w:rsidR="00A6008B" w:rsidRPr="00E92571" w:rsidRDefault="00A6008B" w:rsidP="00BB4A44">
      <w:pPr>
        <w:rPr>
          <w:szCs w:val="23"/>
        </w:rPr>
      </w:pPr>
      <w:r w:rsidRPr="00E92571">
        <w:rPr>
          <w:b/>
          <w:szCs w:val="23"/>
        </w:rPr>
        <w:t xml:space="preserve">Programme Goal - </w:t>
      </w:r>
      <w:r w:rsidRPr="00E92571">
        <w:rPr>
          <w:szCs w:val="23"/>
        </w:rPr>
        <w:t>Strengthened governance and rule of law in Pacific Island Countries through enhanced access to justice and professional judicial officers who act independently according to legal principles.</w:t>
      </w:r>
    </w:p>
    <w:p w:rsidR="00A6008B" w:rsidRPr="00E92571" w:rsidRDefault="00A6008B" w:rsidP="00BB4A44">
      <w:pPr>
        <w:rPr>
          <w:b/>
          <w:sz w:val="16"/>
          <w:szCs w:val="23"/>
        </w:rPr>
      </w:pPr>
    </w:p>
    <w:p w:rsidR="00A6008B" w:rsidRPr="00E92571" w:rsidRDefault="00A6008B" w:rsidP="00BB4A44">
      <w:pPr>
        <w:rPr>
          <w:rFonts w:cs="Arial"/>
          <w:b/>
          <w:bCs/>
          <w:i/>
          <w:szCs w:val="23"/>
        </w:rPr>
      </w:pPr>
      <w:r w:rsidRPr="00E92571">
        <w:rPr>
          <w:rFonts w:cs="Arial"/>
          <w:b/>
          <w:bCs/>
          <w:i/>
          <w:szCs w:val="23"/>
        </w:rPr>
        <w:t>Target / Outcome (as at June 2015) -</w:t>
      </w:r>
      <w:r w:rsidRPr="00E92571">
        <w:rPr>
          <w:rFonts w:cs="Arial"/>
          <w:szCs w:val="23"/>
        </w:rPr>
        <w:t>All PICs report a continuing positive trend in court performance, transparently accounting for performance and routinely using performance data to forward plan.</w:t>
      </w:r>
    </w:p>
    <w:p w:rsidR="00A6008B" w:rsidRPr="00E92571" w:rsidRDefault="00A6008B" w:rsidP="00BB4A44">
      <w:pPr>
        <w:rPr>
          <w:rFonts w:cs="Arial"/>
          <w:b/>
          <w:bCs/>
          <w:i/>
          <w:sz w:val="16"/>
          <w:szCs w:val="23"/>
        </w:rPr>
      </w:pPr>
    </w:p>
    <w:p w:rsidR="00A6008B" w:rsidRPr="00E92571" w:rsidRDefault="00A6008B" w:rsidP="00BB4A44">
      <w:pPr>
        <w:rPr>
          <w:rFonts w:cs="Arial"/>
          <w:b/>
          <w:bCs/>
          <w:i/>
          <w:szCs w:val="23"/>
        </w:rPr>
      </w:pPr>
      <w:r w:rsidRPr="00E92571">
        <w:rPr>
          <w:rFonts w:cs="Arial"/>
          <w:b/>
          <w:bCs/>
          <w:i/>
          <w:szCs w:val="23"/>
        </w:rPr>
        <w:t>Output(s) -</w:t>
      </w:r>
    </w:p>
    <w:p w:rsidR="00A6008B" w:rsidRPr="00E92571" w:rsidRDefault="00A6008B" w:rsidP="006209D7">
      <w:pPr>
        <w:pStyle w:val="ListParagraph"/>
        <w:numPr>
          <w:ilvl w:val="0"/>
          <w:numId w:val="22"/>
        </w:numPr>
        <w:rPr>
          <w:szCs w:val="23"/>
          <w:lang/>
        </w:rPr>
      </w:pPr>
      <w:r w:rsidRPr="00E92571">
        <w:rPr>
          <w:szCs w:val="23"/>
          <w:lang/>
        </w:rPr>
        <w:t>Participating PICs have qualitatively and quantitatively assessed court performance and judicial development and participated in self-improvement activities to strengthen governance, access to justice, judicial administration and professionalism.</w:t>
      </w:r>
    </w:p>
    <w:p w:rsidR="00A6008B" w:rsidRPr="00E92571" w:rsidRDefault="00A6008B" w:rsidP="006209D7">
      <w:pPr>
        <w:pStyle w:val="ListParagraph"/>
        <w:numPr>
          <w:ilvl w:val="0"/>
          <w:numId w:val="22"/>
        </w:numPr>
        <w:rPr>
          <w:szCs w:val="23"/>
          <w:lang/>
        </w:rPr>
      </w:pPr>
      <w:r w:rsidRPr="00E92571">
        <w:rPr>
          <w:szCs w:val="23"/>
          <w:lang/>
        </w:rPr>
        <w:t>Courts aware of what court users' needs are.</w:t>
      </w:r>
    </w:p>
    <w:p w:rsidR="00A6008B" w:rsidRPr="00E92571" w:rsidRDefault="00A6008B" w:rsidP="006209D7">
      <w:pPr>
        <w:pStyle w:val="ListParagraph"/>
        <w:numPr>
          <w:ilvl w:val="0"/>
          <w:numId w:val="22"/>
        </w:numPr>
        <w:rPr>
          <w:szCs w:val="23"/>
          <w:lang/>
        </w:rPr>
      </w:pPr>
      <w:r w:rsidRPr="00E92571">
        <w:rPr>
          <w:szCs w:val="23"/>
          <w:lang/>
        </w:rPr>
        <w:t>PICs provide year twoand four court performance data.</w:t>
      </w:r>
    </w:p>
    <w:p w:rsidR="00A6008B" w:rsidRPr="00E92571" w:rsidRDefault="00A6008B" w:rsidP="00BB4A44">
      <w:pPr>
        <w:rPr>
          <w:rFonts w:cs="Arial"/>
          <w:b/>
          <w:bCs/>
          <w:i/>
          <w:color w:val="FF0000"/>
          <w:sz w:val="16"/>
          <w:szCs w:val="23"/>
        </w:rPr>
      </w:pPr>
    </w:p>
    <w:p w:rsidR="00A6008B" w:rsidRPr="00E92571" w:rsidRDefault="00A6008B" w:rsidP="00BB4A44">
      <w:pPr>
        <w:rPr>
          <w:szCs w:val="23"/>
        </w:rPr>
      </w:pPr>
      <w:r w:rsidRPr="00E92571">
        <w:rPr>
          <w:b/>
          <w:szCs w:val="23"/>
        </w:rPr>
        <w:t xml:space="preserve">Programme Purpose - </w:t>
      </w:r>
      <w:r w:rsidRPr="00E92571">
        <w:rPr>
          <w:szCs w:val="23"/>
        </w:rPr>
        <w:t>To support PICs to enhance the professional competence of judicial officers and court officers, and the processes and systems that they use.</w:t>
      </w:r>
    </w:p>
    <w:p w:rsidR="00A6008B" w:rsidRPr="00E92571" w:rsidRDefault="00A6008B" w:rsidP="00BB4A44">
      <w:pPr>
        <w:rPr>
          <w:i/>
          <w:color w:val="FF0000"/>
          <w:sz w:val="16"/>
          <w:szCs w:val="23"/>
        </w:rPr>
      </w:pPr>
    </w:p>
    <w:p w:rsidR="00A6008B" w:rsidRPr="00E92571" w:rsidRDefault="00A6008B" w:rsidP="00BB4A44">
      <w:pPr>
        <w:rPr>
          <w:rFonts w:cs="Arial"/>
          <w:b/>
          <w:bCs/>
          <w:i/>
          <w:szCs w:val="23"/>
        </w:rPr>
      </w:pPr>
      <w:r w:rsidRPr="00E92571">
        <w:rPr>
          <w:rFonts w:cs="Arial"/>
          <w:b/>
          <w:bCs/>
          <w:i/>
          <w:szCs w:val="23"/>
        </w:rPr>
        <w:t>Target / Outcome (as at June 2015) -</w:t>
      </w:r>
      <w:r w:rsidRPr="00E92571">
        <w:rPr>
          <w:szCs w:val="23"/>
        </w:rPr>
        <w:t xml:space="preserve"> PICs are independently implementing tools and methodologies for continued self-improvement, with results shared between the region's Chief Justices.</w:t>
      </w:r>
    </w:p>
    <w:p w:rsidR="00A6008B" w:rsidRPr="00E92571" w:rsidRDefault="00A6008B" w:rsidP="00F55212">
      <w:pPr>
        <w:rPr>
          <w:rFonts w:cs="Arial"/>
          <w:b/>
          <w:bCs/>
          <w:sz w:val="16"/>
          <w:szCs w:val="23"/>
        </w:rPr>
      </w:pPr>
    </w:p>
    <w:p w:rsidR="00A6008B" w:rsidRPr="00E92571" w:rsidRDefault="00A6008B" w:rsidP="00F55212">
      <w:pPr>
        <w:rPr>
          <w:szCs w:val="23"/>
          <w:lang w:eastAsia="en-US"/>
        </w:rPr>
      </w:pPr>
      <w:r w:rsidRPr="00E92571">
        <w:rPr>
          <w:rFonts w:cs="Arial"/>
          <w:b/>
          <w:bCs/>
          <w:i/>
          <w:szCs w:val="23"/>
        </w:rPr>
        <w:t>Output(s) -</w:t>
      </w:r>
      <w:r w:rsidRPr="00E92571">
        <w:rPr>
          <w:szCs w:val="23"/>
        </w:rPr>
        <w:t xml:space="preserve"> Pilot PICs are developing, implementing or practising the use of tools and methodologies to continue self-improvement efforts.</w:t>
      </w:r>
    </w:p>
    <w:p w:rsidR="00A6008B" w:rsidRPr="00461666" w:rsidRDefault="00A6008B" w:rsidP="00F55212">
      <w:pPr>
        <w:rPr>
          <w:szCs w:val="23"/>
          <w:lang w:eastAsia="en-US"/>
        </w:rPr>
      </w:pPr>
    </w:p>
    <w:p w:rsidR="00A6008B" w:rsidRPr="00EF2DD8" w:rsidRDefault="00A6008B" w:rsidP="00F5693B">
      <w:pPr>
        <w:pStyle w:val="Heading3"/>
        <w:rPr>
          <w:caps/>
          <w:smallCaps/>
          <w:sz w:val="24"/>
          <w:szCs w:val="23"/>
          <w:lang w:val="en-AU"/>
        </w:rPr>
      </w:pPr>
      <w:bookmarkStart w:id="48" w:name="_Toc352068825"/>
      <w:bookmarkStart w:id="49" w:name="_Toc354487065"/>
      <w:bookmarkStart w:id="50" w:name="_Toc354644460"/>
      <w:r w:rsidRPr="00EF2DD8">
        <w:rPr>
          <w:smallCaps/>
          <w:sz w:val="24"/>
          <w:szCs w:val="23"/>
          <w:lang w:val="en-AU"/>
        </w:rPr>
        <w:t>Component 1.0   Access to Justice</w:t>
      </w:r>
      <w:bookmarkEnd w:id="48"/>
      <w:bookmarkEnd w:id="49"/>
      <w:bookmarkEnd w:id="50"/>
    </w:p>
    <w:p w:rsidR="00A6008B" w:rsidRPr="00E92571" w:rsidRDefault="00A6008B" w:rsidP="00AF1966">
      <w:pPr>
        <w:rPr>
          <w:szCs w:val="23"/>
          <w:lang w:eastAsia="en-US"/>
        </w:rPr>
      </w:pPr>
      <w:r w:rsidRPr="00E92571">
        <w:rPr>
          <w:szCs w:val="23"/>
          <w:lang w:eastAsia="en-US"/>
        </w:rPr>
        <w:t xml:space="preserve">In this component, it is proposed to deliver four projects: </w:t>
      </w:r>
      <w:r w:rsidRPr="00E92571">
        <w:rPr>
          <w:i/>
          <w:szCs w:val="23"/>
          <w:lang w:eastAsia="en-US"/>
        </w:rPr>
        <w:t xml:space="preserve">Access to Justice </w:t>
      </w:r>
      <w:r w:rsidRPr="00E92571">
        <w:rPr>
          <w:szCs w:val="23"/>
          <w:lang w:eastAsia="en-US"/>
        </w:rPr>
        <w:t>(formerly Customary Dispute Resolution)</w:t>
      </w:r>
      <w:r w:rsidRPr="00E92571">
        <w:rPr>
          <w:i/>
          <w:szCs w:val="23"/>
          <w:lang w:eastAsia="en-US"/>
        </w:rPr>
        <w:t>Project</w:t>
      </w:r>
      <w:r w:rsidRPr="00E92571">
        <w:rPr>
          <w:szCs w:val="23"/>
          <w:lang w:eastAsia="en-US"/>
        </w:rPr>
        <w:t xml:space="preserve">; and </w:t>
      </w:r>
      <w:r w:rsidRPr="00E92571">
        <w:rPr>
          <w:i/>
          <w:szCs w:val="23"/>
          <w:lang w:eastAsia="en-US"/>
        </w:rPr>
        <w:t>Family Violence and Youth Justice Project</w:t>
      </w:r>
      <w:r w:rsidRPr="00E92571">
        <w:rPr>
          <w:szCs w:val="23"/>
          <w:lang w:eastAsia="en-US"/>
        </w:rPr>
        <w:t xml:space="preserve"> (FVYJ), together with two new projects being: </w:t>
      </w:r>
      <w:r w:rsidRPr="00E92571">
        <w:rPr>
          <w:i/>
          <w:szCs w:val="23"/>
          <w:lang w:eastAsia="en-US"/>
        </w:rPr>
        <w:t>Enabling Rights Project</w:t>
      </w:r>
      <w:r w:rsidRPr="00E92571">
        <w:rPr>
          <w:szCs w:val="23"/>
          <w:lang w:eastAsia="en-US"/>
        </w:rPr>
        <w:t xml:space="preserve">, and </w:t>
      </w:r>
      <w:r w:rsidRPr="00E92571">
        <w:rPr>
          <w:i/>
          <w:szCs w:val="23"/>
          <w:lang w:eastAsia="en-US"/>
        </w:rPr>
        <w:t>Public InformationProject</w:t>
      </w:r>
      <w:r w:rsidRPr="00E92571">
        <w:rPr>
          <w:szCs w:val="23"/>
          <w:lang w:eastAsia="en-US"/>
        </w:rPr>
        <w:t>- comprisingnineactivities.</w:t>
      </w:r>
    </w:p>
    <w:p w:rsidR="00A6008B" w:rsidRPr="00E92571" w:rsidRDefault="00A6008B" w:rsidP="006C2260">
      <w:pPr>
        <w:rPr>
          <w:b/>
          <w:i/>
          <w:sz w:val="16"/>
          <w:szCs w:val="23"/>
        </w:rPr>
      </w:pPr>
    </w:p>
    <w:p w:rsidR="00A6008B" w:rsidRPr="00E92571" w:rsidRDefault="00A6008B" w:rsidP="003D2A39">
      <w:pPr>
        <w:rPr>
          <w:rFonts w:cs="Arial"/>
          <w:b/>
          <w:bCs/>
          <w:i/>
          <w:szCs w:val="23"/>
        </w:rPr>
      </w:pPr>
      <w:r w:rsidRPr="00E92571">
        <w:rPr>
          <w:rFonts w:cs="Arial"/>
          <w:b/>
          <w:bCs/>
          <w:i/>
          <w:szCs w:val="23"/>
        </w:rPr>
        <w:t>Target / Outcome (as at June 2015) -</w:t>
      </w:r>
      <w:r w:rsidRPr="00E92571">
        <w:rPr>
          <w:szCs w:val="23"/>
        </w:rPr>
        <w:t>Up to twoPICsbetter addressing broader justice needs, and up to five PICs responding more competently to family/ juvenile justice issues.</w:t>
      </w:r>
    </w:p>
    <w:p w:rsidR="00A6008B" w:rsidRPr="00E92571" w:rsidRDefault="00A6008B" w:rsidP="003D2A39">
      <w:pPr>
        <w:rPr>
          <w:b/>
          <w:i/>
          <w:sz w:val="16"/>
          <w:szCs w:val="23"/>
        </w:rPr>
      </w:pPr>
    </w:p>
    <w:p w:rsidR="00A6008B" w:rsidRPr="00E92571" w:rsidRDefault="00A6008B" w:rsidP="003D2A39">
      <w:pPr>
        <w:rPr>
          <w:szCs w:val="23"/>
          <w:lang w:eastAsia="en-US"/>
        </w:rPr>
      </w:pPr>
      <w:r w:rsidRPr="00E92571">
        <w:rPr>
          <w:rFonts w:cs="Arial"/>
          <w:b/>
          <w:bCs/>
          <w:i/>
          <w:szCs w:val="23"/>
        </w:rPr>
        <w:t>Output(s) -</w:t>
      </w:r>
      <w:r w:rsidRPr="00E92571">
        <w:rPr>
          <w:rFonts w:cs="Arial"/>
          <w:bCs/>
          <w:szCs w:val="23"/>
        </w:rPr>
        <w:t>Access to Justice plans developed in interested PICs enabling the integration of justice services; improved competence to respond to family / juvenile issues and other priority issues and improvements in public awareness of their rights/remedies and in judicial responses to priority justice needs.</w:t>
      </w:r>
    </w:p>
    <w:bookmarkEnd w:id="5"/>
    <w:p w:rsidR="00A6008B" w:rsidRPr="00461666" w:rsidRDefault="00A6008B" w:rsidP="00461666">
      <w:pPr>
        <w:rPr>
          <w:szCs w:val="23"/>
          <w:lang w:eastAsia="en-US"/>
        </w:rPr>
      </w:pPr>
    </w:p>
    <w:p w:rsidR="00A6008B" w:rsidRPr="00E92571" w:rsidRDefault="00A6008B" w:rsidP="006209D7">
      <w:pPr>
        <w:numPr>
          <w:ilvl w:val="1"/>
          <w:numId w:val="18"/>
        </w:numPr>
        <w:tabs>
          <w:tab w:val="clear" w:pos="720"/>
        </w:tabs>
        <w:ind w:left="0" w:firstLine="0"/>
        <w:rPr>
          <w:szCs w:val="23"/>
        </w:rPr>
      </w:pPr>
      <w:r w:rsidRPr="00E92571">
        <w:rPr>
          <w:b/>
          <w:i/>
          <w:szCs w:val="23"/>
          <w:lang w:eastAsia="en-US"/>
        </w:rPr>
        <w:t>Access to Justice (formerly Customary Dispute Resolution)</w:t>
      </w:r>
      <w:r w:rsidRPr="00E92571">
        <w:rPr>
          <w:rFonts w:cs="Arial"/>
          <w:b/>
          <w:i/>
          <w:szCs w:val="23"/>
          <w:lang w:eastAsia="en-US"/>
        </w:rPr>
        <w:t xml:space="preserve">Project </w:t>
      </w:r>
    </w:p>
    <w:p w:rsidR="00A6008B" w:rsidRPr="00E92571" w:rsidRDefault="00A6008B" w:rsidP="007E15AE">
      <w:pPr>
        <w:rPr>
          <w:sz w:val="16"/>
          <w:szCs w:val="23"/>
        </w:rPr>
      </w:pPr>
    </w:p>
    <w:p w:rsidR="00A6008B" w:rsidRPr="00E92571" w:rsidRDefault="00A6008B" w:rsidP="007E15AE">
      <w:pPr>
        <w:rPr>
          <w:szCs w:val="23"/>
        </w:rPr>
      </w:pPr>
      <w:r w:rsidRPr="00E92571">
        <w:rPr>
          <w:szCs w:val="23"/>
        </w:rPr>
        <w:t>During the earlier 12-month Extension Plan (1 July 2012-30 June 2013), the Access to Justice Adviser explored options to secure ongoing support from other funding sources for the (then) Customary Dispute Resolution Project.  As a result of this approved approach, this design proposes to continue support of the outcomes of this research and toolkit project as follows:</w:t>
      </w:r>
    </w:p>
    <w:p w:rsidR="00A6008B" w:rsidRPr="00E92571" w:rsidRDefault="00A6008B" w:rsidP="007E15AE">
      <w:pPr>
        <w:rPr>
          <w:b/>
          <w:i/>
          <w:sz w:val="16"/>
          <w:szCs w:val="23"/>
        </w:rPr>
      </w:pPr>
    </w:p>
    <w:p w:rsidR="00A6008B" w:rsidRPr="00E92571" w:rsidRDefault="00A6008B" w:rsidP="007E15AE">
      <w:pPr>
        <w:rPr>
          <w:szCs w:val="23"/>
        </w:rPr>
      </w:pPr>
      <w:r w:rsidRPr="00E92571">
        <w:rPr>
          <w:b/>
          <w:i/>
          <w:szCs w:val="23"/>
        </w:rPr>
        <w:t xml:space="preserve">Aim of the Project - </w:t>
      </w:r>
      <w:r w:rsidRPr="00E92571">
        <w:rPr>
          <w:szCs w:val="23"/>
        </w:rPr>
        <w:t>Better address community dispute resolution needs.</w:t>
      </w:r>
    </w:p>
    <w:p w:rsidR="00A6008B" w:rsidRPr="00E92571" w:rsidRDefault="00A6008B" w:rsidP="006628AE">
      <w:pPr>
        <w:rPr>
          <w:sz w:val="16"/>
          <w:szCs w:val="23"/>
        </w:rPr>
      </w:pPr>
    </w:p>
    <w:p w:rsidR="00A6008B" w:rsidRPr="00E92571" w:rsidRDefault="00A6008B" w:rsidP="006628AE">
      <w:pPr>
        <w:rPr>
          <w:szCs w:val="23"/>
        </w:rPr>
      </w:pPr>
      <w:r w:rsidRPr="00E92571">
        <w:rPr>
          <w:rFonts w:cs="Arial"/>
          <w:b/>
          <w:bCs/>
          <w:i/>
          <w:szCs w:val="23"/>
        </w:rPr>
        <w:t>Target / Outcome (as at June 2015) -</w:t>
      </w:r>
      <w:r w:rsidRPr="00E92571">
        <w:rPr>
          <w:szCs w:val="23"/>
        </w:rPr>
        <w:t>To support interested PICs tosystematically address community dispute resolution needs.</w:t>
      </w:r>
    </w:p>
    <w:p w:rsidR="00A6008B" w:rsidRPr="00E92571" w:rsidRDefault="00A6008B" w:rsidP="006628AE">
      <w:pPr>
        <w:rPr>
          <w:rFonts w:cs="Arial"/>
          <w:b/>
          <w:bCs/>
          <w:i/>
          <w:sz w:val="16"/>
          <w:szCs w:val="23"/>
        </w:rPr>
      </w:pPr>
    </w:p>
    <w:p w:rsidR="00A6008B" w:rsidRPr="00E92571" w:rsidRDefault="00A6008B" w:rsidP="006000DC">
      <w:pPr>
        <w:rPr>
          <w:rFonts w:cs="Arial"/>
          <w:b/>
          <w:bCs/>
          <w:i/>
          <w:szCs w:val="23"/>
        </w:rPr>
      </w:pPr>
      <w:r w:rsidRPr="00E92571">
        <w:rPr>
          <w:rFonts w:cs="Arial"/>
          <w:b/>
          <w:bCs/>
          <w:i/>
          <w:szCs w:val="23"/>
        </w:rPr>
        <w:t xml:space="preserve">Output(s) - </w:t>
      </w:r>
      <w:r w:rsidRPr="00E92571">
        <w:rPr>
          <w:szCs w:val="23"/>
        </w:rPr>
        <w:t xml:space="preserve">The </w:t>
      </w:r>
      <w:r w:rsidRPr="00E92571">
        <w:rPr>
          <w:i/>
          <w:szCs w:val="23"/>
        </w:rPr>
        <w:t>RegionalAccess to Justice PlanningToolkit</w:t>
      </w:r>
      <w:r w:rsidRPr="00E92571">
        <w:rPr>
          <w:rFonts w:cs="Arial"/>
          <w:szCs w:val="23"/>
        </w:rPr>
        <w:t>implemented in interested PICs using the Responsive Fund mechanism enabling Access to Justice Plans to be developed and implemented.</w:t>
      </w:r>
    </w:p>
    <w:p w:rsidR="00A6008B" w:rsidRPr="00E92571" w:rsidRDefault="00A6008B" w:rsidP="006628AE">
      <w:pPr>
        <w:rPr>
          <w:sz w:val="16"/>
          <w:szCs w:val="23"/>
        </w:rPr>
      </w:pPr>
    </w:p>
    <w:p w:rsidR="00A6008B" w:rsidRPr="00E92571" w:rsidRDefault="00A6008B" w:rsidP="00DC42F4">
      <w:pPr>
        <w:rPr>
          <w:rFonts w:cs="Arial Narrow"/>
          <w:szCs w:val="23"/>
          <w:lang w:eastAsia="en-US"/>
        </w:rPr>
      </w:pPr>
      <w:r w:rsidRPr="00E92571">
        <w:rPr>
          <w:b/>
          <w:i/>
          <w:szCs w:val="23"/>
        </w:rPr>
        <w:t xml:space="preserve">Inputs - </w:t>
      </w:r>
      <w:r w:rsidRPr="00E92571">
        <w:rPr>
          <w:szCs w:val="23"/>
        </w:rPr>
        <w:t>The Project will comprise:</w:t>
      </w:r>
    </w:p>
    <w:p w:rsidR="00A6008B" w:rsidRPr="00E92571" w:rsidRDefault="00A6008B" w:rsidP="006209D7">
      <w:pPr>
        <w:pStyle w:val="ListParagraph"/>
        <w:numPr>
          <w:ilvl w:val="0"/>
          <w:numId w:val="20"/>
        </w:numPr>
        <w:autoSpaceDE w:val="0"/>
        <w:autoSpaceDN w:val="0"/>
        <w:adjustRightInd w:val="0"/>
        <w:rPr>
          <w:rFonts w:cs="Arial Narrow"/>
          <w:szCs w:val="23"/>
          <w:lang/>
        </w:rPr>
      </w:pPr>
      <w:r w:rsidRPr="00E92571">
        <w:rPr>
          <w:rFonts w:cs="Arial Narrow"/>
          <w:szCs w:val="23"/>
          <w:lang/>
        </w:rPr>
        <w:t>Ongoing support to pilot PIC (Tuvalu) to implement the toolkit (as requested).</w:t>
      </w:r>
    </w:p>
    <w:p w:rsidR="00A6008B" w:rsidRDefault="00A6008B" w:rsidP="006209D7">
      <w:pPr>
        <w:pStyle w:val="ListParagraph"/>
        <w:numPr>
          <w:ilvl w:val="0"/>
          <w:numId w:val="20"/>
        </w:numPr>
        <w:autoSpaceDE w:val="0"/>
        <w:autoSpaceDN w:val="0"/>
        <w:adjustRightInd w:val="0"/>
        <w:rPr>
          <w:rFonts w:cs="Arial Narrow"/>
          <w:szCs w:val="23"/>
          <w:lang/>
        </w:rPr>
      </w:pPr>
      <w:r w:rsidRPr="00E92571">
        <w:rPr>
          <w:rFonts w:eastAsia="SymbolMT" w:cs="SymbolMT"/>
          <w:szCs w:val="23"/>
          <w:lang/>
        </w:rPr>
        <w:t>Implementation of</w:t>
      </w:r>
      <w:r w:rsidRPr="00E92571">
        <w:rPr>
          <w:rFonts w:cs="Arial Narrow"/>
          <w:szCs w:val="23"/>
          <w:lang/>
        </w:rPr>
        <w:t xml:space="preserve"> Regional Access to Justice Toolkit to PICs via applications made via the Responsive Fund mechanism.</w:t>
      </w:r>
    </w:p>
    <w:p w:rsidR="00A6008B" w:rsidRPr="00E92571" w:rsidRDefault="00A6008B" w:rsidP="006209D7">
      <w:pPr>
        <w:pStyle w:val="ListParagraph"/>
        <w:numPr>
          <w:ilvl w:val="1"/>
          <w:numId w:val="18"/>
        </w:numPr>
        <w:tabs>
          <w:tab w:val="clear" w:pos="720"/>
        </w:tabs>
        <w:spacing w:before="80"/>
        <w:ind w:left="0" w:firstLine="0"/>
        <w:rPr>
          <w:szCs w:val="23"/>
          <w:lang/>
        </w:rPr>
      </w:pPr>
      <w:r w:rsidRPr="00E92571">
        <w:rPr>
          <w:b/>
          <w:i/>
          <w:szCs w:val="23"/>
          <w:lang/>
        </w:rPr>
        <w:t xml:space="preserve">Enabling Rights Project </w:t>
      </w:r>
    </w:p>
    <w:p w:rsidR="00A6008B" w:rsidRPr="00C65D03" w:rsidRDefault="00A6008B" w:rsidP="00D4072B">
      <w:pPr>
        <w:rPr>
          <w:b/>
          <w:i/>
          <w:sz w:val="15"/>
          <w:szCs w:val="15"/>
        </w:rPr>
      </w:pPr>
    </w:p>
    <w:p w:rsidR="00A6008B" w:rsidRPr="00E92571" w:rsidRDefault="00A6008B" w:rsidP="00D4072B">
      <w:pPr>
        <w:rPr>
          <w:szCs w:val="23"/>
        </w:rPr>
      </w:pPr>
      <w:r w:rsidRPr="00E92571">
        <w:rPr>
          <w:b/>
          <w:i/>
          <w:szCs w:val="23"/>
        </w:rPr>
        <w:t xml:space="preserve">Aim of the Project - </w:t>
      </w:r>
      <w:r w:rsidRPr="00E92571">
        <w:rPr>
          <w:rFonts w:cs="Arial"/>
          <w:color w:val="000000"/>
          <w:szCs w:val="23"/>
        </w:rPr>
        <w:t>Improve the responsiveness of courts to address the needs of marginalised beneficiaries</w:t>
      </w:r>
      <w:r w:rsidRPr="00E92571">
        <w:rPr>
          <w:szCs w:val="23"/>
        </w:rPr>
        <w:t>.</w:t>
      </w:r>
    </w:p>
    <w:p w:rsidR="00A6008B" w:rsidRPr="00C65D03" w:rsidRDefault="00A6008B" w:rsidP="001A3D0F">
      <w:pPr>
        <w:rPr>
          <w:rFonts w:cs="Arial"/>
          <w:b/>
          <w:bCs/>
          <w:i/>
          <w:sz w:val="15"/>
          <w:szCs w:val="15"/>
        </w:rPr>
      </w:pPr>
    </w:p>
    <w:p w:rsidR="00A6008B" w:rsidRPr="00E92571" w:rsidRDefault="00A6008B" w:rsidP="00D4072B">
      <w:pPr>
        <w:rPr>
          <w:rFonts w:cs="Arial"/>
          <w:bCs/>
          <w:szCs w:val="23"/>
        </w:rPr>
      </w:pPr>
      <w:r w:rsidRPr="00E92571">
        <w:rPr>
          <w:rFonts w:cs="Arial"/>
          <w:b/>
          <w:bCs/>
          <w:i/>
          <w:szCs w:val="23"/>
        </w:rPr>
        <w:t>Target / Outcome (as at June 2015) -</w:t>
      </w:r>
      <w:r w:rsidRPr="00E92571">
        <w:rPr>
          <w:rFonts w:cs="Arial"/>
          <w:color w:val="000000"/>
          <w:szCs w:val="23"/>
          <w:shd w:val="clear" w:color="auto" w:fill="FFFFFF"/>
        </w:rPr>
        <w:t>Claim(s) of previously unmet legal needs arebrought before, and resolved by,the courts in at least one PIC</w:t>
      </w:r>
      <w:r w:rsidRPr="00E92571">
        <w:rPr>
          <w:rFonts w:cs="Arial"/>
          <w:bCs/>
          <w:szCs w:val="23"/>
        </w:rPr>
        <w:t>.</w:t>
      </w:r>
    </w:p>
    <w:p w:rsidR="00A6008B" w:rsidRPr="00C65D03" w:rsidRDefault="00A6008B" w:rsidP="00D4072B">
      <w:pPr>
        <w:rPr>
          <w:rFonts w:cs="Arial"/>
          <w:b/>
          <w:bCs/>
          <w:i/>
          <w:sz w:val="15"/>
          <w:szCs w:val="15"/>
        </w:rPr>
      </w:pPr>
    </w:p>
    <w:p w:rsidR="00A6008B" w:rsidRPr="00E92571" w:rsidRDefault="00A6008B" w:rsidP="00D4072B">
      <w:pPr>
        <w:pStyle w:val="CommentText"/>
        <w:rPr>
          <w:rFonts w:ascii="Arial Narrow" w:hAnsi="Arial Narrow"/>
          <w:sz w:val="23"/>
          <w:szCs w:val="23"/>
        </w:rPr>
      </w:pPr>
      <w:r w:rsidRPr="00E92571">
        <w:rPr>
          <w:rFonts w:ascii="Arial Narrow" w:hAnsi="Arial Narrow" w:cs="Arial"/>
          <w:b/>
          <w:bCs/>
          <w:i/>
          <w:sz w:val="23"/>
          <w:szCs w:val="23"/>
        </w:rPr>
        <w:t>Output(s) -</w:t>
      </w:r>
      <w:r w:rsidRPr="00E92571">
        <w:rPr>
          <w:rFonts w:ascii="Arial Narrow" w:hAnsi="Arial Narrow"/>
          <w:sz w:val="23"/>
          <w:szCs w:val="23"/>
        </w:rPr>
        <w:t>A methodology enabling those seeking justice to access available remedies</w:t>
      </w:r>
      <w:r w:rsidRPr="00E92571">
        <w:rPr>
          <w:rFonts w:ascii="Arial Narrow" w:hAnsi="Arial Narrow" w:cs="Arial"/>
          <w:bCs/>
          <w:sz w:val="23"/>
          <w:szCs w:val="23"/>
        </w:rPr>
        <w:t xml:space="preserve">is developed and piloted in one PIC.  </w:t>
      </w:r>
    </w:p>
    <w:p w:rsidR="00A6008B" w:rsidRPr="00C65D03" w:rsidRDefault="00A6008B" w:rsidP="00D4072B">
      <w:pPr>
        <w:rPr>
          <w:sz w:val="15"/>
          <w:szCs w:val="15"/>
        </w:rPr>
      </w:pPr>
    </w:p>
    <w:p w:rsidR="00A6008B" w:rsidRPr="00E92571" w:rsidRDefault="00A6008B" w:rsidP="00D4072B">
      <w:pPr>
        <w:rPr>
          <w:szCs w:val="23"/>
        </w:rPr>
      </w:pPr>
      <w:r w:rsidRPr="00E92571">
        <w:rPr>
          <w:b/>
          <w:i/>
          <w:szCs w:val="23"/>
        </w:rPr>
        <w:t xml:space="preserve">Inputs - </w:t>
      </w:r>
      <w:r w:rsidRPr="00E92571">
        <w:rPr>
          <w:szCs w:val="23"/>
        </w:rPr>
        <w:t>The Project will comprise:</w:t>
      </w:r>
    </w:p>
    <w:p w:rsidR="00A6008B" w:rsidRPr="00E92571" w:rsidRDefault="00A6008B" w:rsidP="006209D7">
      <w:pPr>
        <w:pStyle w:val="ListParagraph"/>
        <w:numPr>
          <w:ilvl w:val="0"/>
          <w:numId w:val="20"/>
        </w:numPr>
        <w:spacing w:before="40"/>
        <w:ind w:left="709" w:hanging="357"/>
        <w:rPr>
          <w:szCs w:val="23"/>
          <w:lang/>
        </w:rPr>
      </w:pPr>
      <w:r w:rsidRPr="00E92571">
        <w:rPr>
          <w:rFonts w:cs="Arial Narrow"/>
          <w:szCs w:val="23"/>
          <w:lang/>
        </w:rPr>
        <w:t>Develop a regional toolkit for promoting justice for marginalised beneficiaries.</w:t>
      </w:r>
    </w:p>
    <w:p w:rsidR="00A6008B" w:rsidRPr="00E92571" w:rsidRDefault="00A6008B" w:rsidP="006209D7">
      <w:pPr>
        <w:pStyle w:val="ListParagraph"/>
        <w:numPr>
          <w:ilvl w:val="0"/>
          <w:numId w:val="20"/>
        </w:numPr>
        <w:spacing w:before="40"/>
        <w:ind w:left="709" w:hanging="357"/>
        <w:rPr>
          <w:szCs w:val="23"/>
          <w:lang/>
        </w:rPr>
      </w:pPr>
      <w:r w:rsidRPr="00E92571">
        <w:rPr>
          <w:rFonts w:cs="Arial Narrow"/>
          <w:szCs w:val="23"/>
          <w:lang/>
        </w:rPr>
        <w:t xml:space="preserve">Piloting the regional toolkit in one PIC. </w:t>
      </w:r>
    </w:p>
    <w:p w:rsidR="00A6008B" w:rsidRPr="00E92571" w:rsidRDefault="00A6008B" w:rsidP="006209D7">
      <w:pPr>
        <w:pStyle w:val="ListParagraph"/>
        <w:numPr>
          <w:ilvl w:val="0"/>
          <w:numId w:val="20"/>
        </w:numPr>
        <w:spacing w:before="40"/>
        <w:ind w:left="709" w:hanging="357"/>
        <w:rPr>
          <w:szCs w:val="23"/>
          <w:lang/>
        </w:rPr>
      </w:pPr>
      <w:r w:rsidRPr="00E92571">
        <w:rPr>
          <w:rFonts w:cs="Arial Narrow"/>
          <w:szCs w:val="23"/>
          <w:lang/>
        </w:rPr>
        <w:t>Documenting and reflecting on the experience to refine the Regional Toolkit.</w:t>
      </w:r>
    </w:p>
    <w:p w:rsidR="00A6008B" w:rsidRPr="00E92571" w:rsidRDefault="00A6008B" w:rsidP="006209D7">
      <w:pPr>
        <w:pStyle w:val="ListParagraph"/>
        <w:numPr>
          <w:ilvl w:val="0"/>
          <w:numId w:val="20"/>
        </w:numPr>
        <w:spacing w:before="40"/>
        <w:ind w:left="709" w:hanging="357"/>
        <w:rPr>
          <w:szCs w:val="23"/>
          <w:lang/>
        </w:rPr>
      </w:pPr>
      <w:r w:rsidRPr="00E92571">
        <w:rPr>
          <w:rFonts w:cs="Arial Narrow"/>
          <w:szCs w:val="23"/>
          <w:lang/>
        </w:rPr>
        <w:t>Disseminating the Regional Toolkit to all PICs for local use.</w:t>
      </w:r>
    </w:p>
    <w:p w:rsidR="00A6008B" w:rsidRPr="00C65D03" w:rsidRDefault="00A6008B" w:rsidP="00461666">
      <w:pPr>
        <w:rPr>
          <w:sz w:val="22"/>
          <w:szCs w:val="22"/>
        </w:rPr>
      </w:pPr>
    </w:p>
    <w:p w:rsidR="00A6008B" w:rsidRPr="00E92571" w:rsidRDefault="00A6008B" w:rsidP="006209D7">
      <w:pPr>
        <w:pStyle w:val="ListParagraph"/>
        <w:numPr>
          <w:ilvl w:val="1"/>
          <w:numId w:val="18"/>
        </w:numPr>
        <w:tabs>
          <w:tab w:val="clear" w:pos="720"/>
        </w:tabs>
        <w:spacing w:before="80"/>
        <w:ind w:left="0" w:firstLine="0"/>
        <w:rPr>
          <w:szCs w:val="23"/>
          <w:lang/>
        </w:rPr>
      </w:pPr>
      <w:r w:rsidRPr="00E92571">
        <w:rPr>
          <w:b/>
          <w:i/>
          <w:szCs w:val="23"/>
          <w:lang/>
        </w:rPr>
        <w:t xml:space="preserve">Family Violence and Youth Justice Project </w:t>
      </w:r>
    </w:p>
    <w:p w:rsidR="00A6008B" w:rsidRPr="00C65D03" w:rsidRDefault="00A6008B" w:rsidP="006628AE">
      <w:pPr>
        <w:rPr>
          <w:sz w:val="15"/>
          <w:szCs w:val="15"/>
        </w:rPr>
      </w:pPr>
    </w:p>
    <w:p w:rsidR="00A6008B" w:rsidRPr="00E92571" w:rsidRDefault="00A6008B" w:rsidP="00042D8D">
      <w:pPr>
        <w:rPr>
          <w:rFonts w:cs="Courier New"/>
          <w:szCs w:val="23"/>
        </w:rPr>
      </w:pPr>
      <w:r w:rsidRPr="00E92571">
        <w:rPr>
          <w:b/>
          <w:i/>
          <w:szCs w:val="23"/>
        </w:rPr>
        <w:t xml:space="preserve">Aim of the Project - </w:t>
      </w:r>
      <w:r w:rsidRPr="00E92571">
        <w:rPr>
          <w:rFonts w:cs="Courier New"/>
          <w:szCs w:val="23"/>
        </w:rPr>
        <w:t>Achieve better outcomes for juvenile offenders and victims of Family Violence, in participating PICs.</w:t>
      </w:r>
    </w:p>
    <w:p w:rsidR="00A6008B" w:rsidRPr="00C65D03" w:rsidRDefault="00A6008B" w:rsidP="006628AE">
      <w:pPr>
        <w:rPr>
          <w:sz w:val="15"/>
          <w:szCs w:val="15"/>
        </w:rPr>
      </w:pPr>
    </w:p>
    <w:p w:rsidR="00A6008B" w:rsidRPr="00E92571" w:rsidRDefault="00A6008B" w:rsidP="006628AE">
      <w:r w:rsidRPr="00E92571">
        <w:rPr>
          <w:rFonts w:cs="Arial"/>
          <w:b/>
          <w:bCs/>
          <w:i/>
          <w:szCs w:val="23"/>
        </w:rPr>
        <w:t>Target / Outcome (as at June 2015) -</w:t>
      </w:r>
      <w:r w:rsidRPr="00E92571">
        <w:rPr>
          <w:szCs w:val="23"/>
        </w:rPr>
        <w:t xml:space="preserve">Up to five PICs responding more holistically and competently to family/juvenile justice </w:t>
      </w:r>
      <w:r w:rsidRPr="00E92571">
        <w:t>issues.</w:t>
      </w:r>
    </w:p>
    <w:p w:rsidR="00A6008B" w:rsidRPr="00C65D03" w:rsidRDefault="00A6008B" w:rsidP="006628AE">
      <w:pPr>
        <w:rPr>
          <w:rFonts w:cs="Arial"/>
          <w:b/>
          <w:bCs/>
          <w:i/>
          <w:sz w:val="15"/>
          <w:szCs w:val="15"/>
        </w:rPr>
      </w:pPr>
    </w:p>
    <w:p w:rsidR="00A6008B" w:rsidRPr="00E92571" w:rsidRDefault="00A6008B" w:rsidP="006628AE">
      <w:pPr>
        <w:rPr>
          <w:rFonts w:cs="Arial"/>
          <w:b/>
          <w:bCs/>
          <w:i/>
          <w:color w:val="FF0000"/>
          <w:szCs w:val="23"/>
        </w:rPr>
      </w:pPr>
      <w:r w:rsidRPr="00E92571">
        <w:rPr>
          <w:rFonts w:cs="Arial"/>
          <w:b/>
          <w:bCs/>
          <w:i/>
          <w:szCs w:val="23"/>
        </w:rPr>
        <w:t>Output(s) -</w:t>
      </w:r>
      <w:r w:rsidRPr="00E92571">
        <w:rPr>
          <w:szCs w:val="23"/>
        </w:rPr>
        <w:t xml:space="preserve"> Improvements in awareness, knowledge, skills, attitudes relating to relevant issues, law, contemporary practice and procedure in up to five additionalPICs and increased cooperation, coordination and collaboration between stakeholder agencies to address relevant issues.</w:t>
      </w:r>
    </w:p>
    <w:p w:rsidR="00A6008B" w:rsidRPr="00C65D03" w:rsidRDefault="00A6008B" w:rsidP="006628AE">
      <w:pPr>
        <w:rPr>
          <w:sz w:val="15"/>
          <w:szCs w:val="15"/>
        </w:rPr>
      </w:pPr>
    </w:p>
    <w:p w:rsidR="00A6008B" w:rsidRPr="00E92571" w:rsidRDefault="00A6008B" w:rsidP="006628AE">
      <w:pPr>
        <w:rPr>
          <w:szCs w:val="23"/>
        </w:rPr>
      </w:pPr>
      <w:r w:rsidRPr="00E92571">
        <w:rPr>
          <w:b/>
          <w:i/>
          <w:szCs w:val="23"/>
        </w:rPr>
        <w:t xml:space="preserve">Inputs - </w:t>
      </w:r>
      <w:r w:rsidRPr="00E92571">
        <w:rPr>
          <w:szCs w:val="23"/>
        </w:rPr>
        <w:t>The Project will comprise:</w:t>
      </w:r>
    </w:p>
    <w:p w:rsidR="00A6008B" w:rsidRPr="00E92571" w:rsidRDefault="00A6008B" w:rsidP="006209D7">
      <w:pPr>
        <w:pStyle w:val="ListParagraph"/>
        <w:numPr>
          <w:ilvl w:val="0"/>
          <w:numId w:val="20"/>
        </w:numPr>
        <w:spacing w:before="40"/>
        <w:ind w:left="709" w:hanging="357"/>
        <w:rPr>
          <w:szCs w:val="23"/>
          <w:lang/>
        </w:rPr>
      </w:pPr>
      <w:r w:rsidRPr="00E92571">
        <w:rPr>
          <w:rFonts w:cs="Arial Narrow"/>
          <w:szCs w:val="23"/>
          <w:lang/>
        </w:rPr>
        <w:t>Disseminating the Family Violence and Youth Justice toolkit to all PICs for local use.</w:t>
      </w:r>
    </w:p>
    <w:p w:rsidR="00A6008B" w:rsidRPr="00E92571" w:rsidRDefault="00A6008B" w:rsidP="006209D7">
      <w:pPr>
        <w:pStyle w:val="ListParagraph"/>
        <w:numPr>
          <w:ilvl w:val="0"/>
          <w:numId w:val="20"/>
        </w:numPr>
        <w:spacing w:before="40"/>
        <w:ind w:left="709" w:hanging="357"/>
        <w:rPr>
          <w:szCs w:val="23"/>
          <w:lang/>
        </w:rPr>
      </w:pPr>
      <w:r w:rsidRPr="00E92571">
        <w:rPr>
          <w:rFonts w:cs="Arial Narrow"/>
          <w:szCs w:val="23"/>
          <w:lang/>
        </w:rPr>
        <w:t xml:space="preserve">Implementation of the toolkit, comprising a 4-day workshop with materials and training resources, tothree PICs in year one, and two PICs in year two (x5), with the support of members of the Regional Training Team, with a sector-wide </w:t>
      </w:r>
      <w:r w:rsidRPr="00E92571">
        <w:rPr>
          <w:szCs w:val="23"/>
          <w:lang/>
        </w:rPr>
        <w:t>memorandum of understanding, strategy or similar document recording the result of each activity</w:t>
      </w:r>
      <w:r w:rsidRPr="00E92571">
        <w:rPr>
          <w:rFonts w:cs="Arial Narrow"/>
          <w:szCs w:val="23"/>
          <w:lang/>
        </w:rPr>
        <w:t>.</w:t>
      </w:r>
    </w:p>
    <w:p w:rsidR="00A6008B" w:rsidRPr="00E92571" w:rsidRDefault="00A6008B" w:rsidP="006209D7">
      <w:pPr>
        <w:pStyle w:val="ListParagraph"/>
        <w:numPr>
          <w:ilvl w:val="0"/>
          <w:numId w:val="20"/>
        </w:numPr>
        <w:spacing w:before="40"/>
        <w:ind w:left="709" w:hanging="357"/>
        <w:rPr>
          <w:szCs w:val="23"/>
          <w:lang/>
        </w:rPr>
      </w:pPr>
      <w:r w:rsidRPr="00E92571">
        <w:rPr>
          <w:szCs w:val="23"/>
          <w:lang/>
        </w:rPr>
        <w:t xml:space="preserve">Supporting </w:t>
      </w:r>
      <w:r>
        <w:rPr>
          <w:szCs w:val="23"/>
          <w:lang/>
        </w:rPr>
        <w:t xml:space="preserve">the identified </w:t>
      </w:r>
      <w:r w:rsidRPr="00E92571">
        <w:rPr>
          <w:szCs w:val="23"/>
          <w:lang/>
        </w:rPr>
        <w:t>PICs</w:t>
      </w:r>
      <w:r>
        <w:rPr>
          <w:szCs w:val="23"/>
          <w:lang/>
        </w:rPr>
        <w:t>in the</w:t>
      </w:r>
      <w:r w:rsidRPr="00E92571">
        <w:rPr>
          <w:szCs w:val="23"/>
          <w:lang/>
        </w:rPr>
        <w:t xml:space="preserve"> ongoing implementation of toolkit and workshop outcomes through</w:t>
      </w:r>
      <w:r>
        <w:rPr>
          <w:szCs w:val="23"/>
          <w:lang/>
        </w:rPr>
        <w:t xml:space="preserve"> likely</w:t>
      </w:r>
      <w:r w:rsidRPr="00E92571">
        <w:rPr>
          <w:szCs w:val="23"/>
          <w:lang/>
        </w:rPr>
        <w:t xml:space="preserve"> in-country </w:t>
      </w:r>
      <w:r>
        <w:rPr>
          <w:szCs w:val="23"/>
          <w:lang/>
        </w:rPr>
        <w:t xml:space="preserve">follow-up </w:t>
      </w:r>
      <w:r w:rsidRPr="00E92571">
        <w:rPr>
          <w:szCs w:val="23"/>
          <w:lang/>
        </w:rPr>
        <w:t>visits toPalau</w:t>
      </w:r>
      <w:r>
        <w:rPr>
          <w:szCs w:val="23"/>
          <w:lang/>
        </w:rPr>
        <w:t xml:space="preserve">, </w:t>
      </w:r>
      <w:r w:rsidRPr="00E92571">
        <w:rPr>
          <w:szCs w:val="23"/>
          <w:lang/>
        </w:rPr>
        <w:t>Vanuatu</w:t>
      </w:r>
      <w:r>
        <w:rPr>
          <w:szCs w:val="23"/>
          <w:lang/>
        </w:rPr>
        <w:t>, Tonga, Samoa and Cook Islands, and remote follow-upsupport to Niue and Nauru</w:t>
      </w:r>
      <w:r w:rsidRPr="00E92571">
        <w:rPr>
          <w:szCs w:val="23"/>
          <w:lang/>
        </w:rPr>
        <w:t>.</w:t>
      </w:r>
    </w:p>
    <w:p w:rsidR="00A6008B" w:rsidRPr="00C65D03" w:rsidRDefault="00A6008B" w:rsidP="00461666">
      <w:pPr>
        <w:rPr>
          <w:sz w:val="22"/>
          <w:szCs w:val="22"/>
        </w:rPr>
      </w:pPr>
    </w:p>
    <w:p w:rsidR="00A6008B" w:rsidRPr="00E92571" w:rsidRDefault="00A6008B" w:rsidP="006209D7">
      <w:pPr>
        <w:pStyle w:val="ListParagraph"/>
        <w:numPr>
          <w:ilvl w:val="1"/>
          <w:numId w:val="18"/>
        </w:numPr>
        <w:tabs>
          <w:tab w:val="clear" w:pos="720"/>
        </w:tabs>
        <w:spacing w:before="80"/>
        <w:ind w:left="0" w:firstLine="0"/>
        <w:rPr>
          <w:szCs w:val="23"/>
          <w:lang/>
        </w:rPr>
      </w:pPr>
      <w:r w:rsidRPr="00E92571">
        <w:rPr>
          <w:b/>
          <w:i/>
          <w:szCs w:val="23"/>
          <w:lang/>
        </w:rPr>
        <w:t>Public Information Project</w:t>
      </w:r>
    </w:p>
    <w:p w:rsidR="00A6008B" w:rsidRPr="00C65D03" w:rsidRDefault="00A6008B" w:rsidP="006628AE">
      <w:pPr>
        <w:rPr>
          <w:b/>
          <w:i/>
          <w:sz w:val="15"/>
          <w:szCs w:val="15"/>
        </w:rPr>
      </w:pPr>
    </w:p>
    <w:p w:rsidR="00A6008B" w:rsidRPr="00E92571" w:rsidRDefault="00A6008B" w:rsidP="006628AE">
      <w:pPr>
        <w:rPr>
          <w:rFonts w:cs="Arial"/>
          <w:bCs/>
          <w:szCs w:val="23"/>
        </w:rPr>
      </w:pPr>
      <w:r w:rsidRPr="00E92571">
        <w:rPr>
          <w:b/>
          <w:i/>
          <w:szCs w:val="23"/>
        </w:rPr>
        <w:t xml:space="preserve">Aim of the Project - </w:t>
      </w:r>
      <w:r w:rsidRPr="00E92571">
        <w:rPr>
          <w:rFonts w:cs="Arial"/>
          <w:bCs/>
          <w:szCs w:val="23"/>
        </w:rPr>
        <w:t>Inform and empower citizens to understand their legal rights/remedies and available court services.</w:t>
      </w:r>
    </w:p>
    <w:p w:rsidR="00A6008B" w:rsidRPr="00C65D03" w:rsidRDefault="00A6008B" w:rsidP="006628AE">
      <w:pPr>
        <w:rPr>
          <w:b/>
          <w:i/>
          <w:sz w:val="15"/>
          <w:szCs w:val="15"/>
        </w:rPr>
      </w:pPr>
    </w:p>
    <w:p w:rsidR="00A6008B" w:rsidRPr="00E92571" w:rsidRDefault="00A6008B" w:rsidP="001F65FD">
      <w:pPr>
        <w:spacing w:before="40"/>
        <w:rPr>
          <w:szCs w:val="23"/>
        </w:rPr>
      </w:pPr>
      <w:r w:rsidRPr="00E92571">
        <w:rPr>
          <w:rFonts w:cs="Arial"/>
          <w:b/>
          <w:bCs/>
          <w:i/>
          <w:szCs w:val="23"/>
        </w:rPr>
        <w:t xml:space="preserve">Target / Outcome (as at June 2015)- </w:t>
      </w:r>
      <w:r w:rsidRPr="00E92571">
        <w:rPr>
          <w:rFonts w:cs="Arial"/>
          <w:bCs/>
          <w:szCs w:val="23"/>
        </w:rPr>
        <w:t>A portfolio of public information resources developed piloted and disseminated in one PIC available for adaption across the region.</w:t>
      </w:r>
    </w:p>
    <w:p w:rsidR="00A6008B" w:rsidRPr="00C65D03" w:rsidRDefault="00A6008B" w:rsidP="006628AE">
      <w:pPr>
        <w:rPr>
          <w:rFonts w:cs="Arial"/>
          <w:b/>
          <w:bCs/>
          <w:i/>
          <w:sz w:val="15"/>
          <w:szCs w:val="15"/>
        </w:rPr>
      </w:pPr>
    </w:p>
    <w:p w:rsidR="00A6008B" w:rsidRPr="00E92571" w:rsidRDefault="00A6008B" w:rsidP="006628AE">
      <w:pPr>
        <w:rPr>
          <w:rFonts w:cs="Arial"/>
          <w:bCs/>
          <w:szCs w:val="23"/>
        </w:rPr>
      </w:pPr>
      <w:r w:rsidRPr="00E92571">
        <w:rPr>
          <w:rFonts w:cs="Arial"/>
          <w:b/>
          <w:bCs/>
          <w:i/>
          <w:szCs w:val="23"/>
        </w:rPr>
        <w:t xml:space="preserve">Output(s)- </w:t>
      </w:r>
      <w:r w:rsidRPr="00E92571">
        <w:rPr>
          <w:rFonts w:cs="Arial"/>
          <w:bCs/>
          <w:szCs w:val="23"/>
        </w:rPr>
        <w:t>Improved access to public information on legal rights/remedies and court services.</w:t>
      </w:r>
    </w:p>
    <w:p w:rsidR="00A6008B" w:rsidRPr="00C65D03" w:rsidRDefault="00A6008B" w:rsidP="000A03F3">
      <w:pPr>
        <w:tabs>
          <w:tab w:val="left" w:pos="2282"/>
        </w:tabs>
        <w:rPr>
          <w:sz w:val="15"/>
          <w:szCs w:val="15"/>
        </w:rPr>
      </w:pPr>
    </w:p>
    <w:p w:rsidR="00A6008B" w:rsidRPr="00E92571" w:rsidRDefault="00A6008B" w:rsidP="006628AE">
      <w:pPr>
        <w:rPr>
          <w:szCs w:val="23"/>
        </w:rPr>
      </w:pPr>
      <w:r w:rsidRPr="00E92571">
        <w:rPr>
          <w:b/>
          <w:i/>
          <w:szCs w:val="23"/>
        </w:rPr>
        <w:t xml:space="preserve">Inputs - </w:t>
      </w:r>
      <w:r w:rsidRPr="00E92571">
        <w:rPr>
          <w:szCs w:val="23"/>
        </w:rPr>
        <w:t>The Project will comprise:</w:t>
      </w:r>
    </w:p>
    <w:p w:rsidR="00A6008B" w:rsidRPr="00E92571" w:rsidRDefault="00A6008B" w:rsidP="006209D7">
      <w:pPr>
        <w:pStyle w:val="ListParagraph"/>
        <w:numPr>
          <w:ilvl w:val="0"/>
          <w:numId w:val="20"/>
        </w:numPr>
        <w:spacing w:before="40"/>
        <w:ind w:left="709" w:hanging="357"/>
        <w:rPr>
          <w:szCs w:val="23"/>
          <w:lang/>
        </w:rPr>
      </w:pPr>
      <w:r w:rsidRPr="00E92571">
        <w:rPr>
          <w:rFonts w:cs="Arial Narrow"/>
          <w:szCs w:val="23"/>
          <w:lang/>
        </w:rPr>
        <w:t xml:space="preserve">Develop a regional toolkit for brochures on legal rights/remedies and court services, including tools for developing: </w:t>
      </w:r>
      <w:r w:rsidRPr="00E92571">
        <w:rPr>
          <w:lang/>
        </w:rPr>
        <w:t>brochures and posters; newspaper and radio notices; community information presentations; and related training for court staff</w:t>
      </w:r>
      <w:r w:rsidRPr="00E92571">
        <w:rPr>
          <w:rFonts w:cs="Arial Narrow"/>
          <w:szCs w:val="23"/>
          <w:lang/>
        </w:rPr>
        <w:t>.</w:t>
      </w:r>
    </w:p>
    <w:p w:rsidR="00A6008B" w:rsidRPr="00E92571" w:rsidRDefault="00A6008B" w:rsidP="006209D7">
      <w:pPr>
        <w:pStyle w:val="ListParagraph"/>
        <w:numPr>
          <w:ilvl w:val="0"/>
          <w:numId w:val="20"/>
        </w:numPr>
        <w:spacing w:before="40"/>
        <w:ind w:left="709" w:hanging="357"/>
        <w:rPr>
          <w:szCs w:val="23"/>
          <w:lang/>
        </w:rPr>
      </w:pPr>
      <w:r w:rsidRPr="00E92571">
        <w:rPr>
          <w:rFonts w:cs="Arial Narrow"/>
          <w:szCs w:val="23"/>
          <w:lang/>
        </w:rPr>
        <w:t>Piloting the regional toolkit in one PIC.</w:t>
      </w:r>
    </w:p>
    <w:p w:rsidR="00A6008B" w:rsidRPr="00E92571" w:rsidRDefault="00A6008B" w:rsidP="006209D7">
      <w:pPr>
        <w:pStyle w:val="ListParagraph"/>
        <w:numPr>
          <w:ilvl w:val="0"/>
          <w:numId w:val="20"/>
        </w:numPr>
        <w:spacing w:before="40"/>
        <w:ind w:left="709" w:hanging="357"/>
        <w:rPr>
          <w:szCs w:val="23"/>
          <w:lang/>
        </w:rPr>
      </w:pPr>
      <w:r w:rsidRPr="00E92571">
        <w:rPr>
          <w:rFonts w:cs="Arial Narrow"/>
          <w:szCs w:val="23"/>
          <w:lang/>
        </w:rPr>
        <w:t>Documenting and reflecting on the experience to refine the Regional Toolkit.</w:t>
      </w:r>
    </w:p>
    <w:p w:rsidR="00A6008B" w:rsidRPr="00E92571" w:rsidRDefault="00A6008B" w:rsidP="006209D7">
      <w:pPr>
        <w:pStyle w:val="ListParagraph"/>
        <w:numPr>
          <w:ilvl w:val="0"/>
          <w:numId w:val="20"/>
        </w:numPr>
        <w:spacing w:before="40"/>
        <w:ind w:left="709" w:hanging="357"/>
        <w:rPr>
          <w:szCs w:val="23"/>
          <w:lang/>
        </w:rPr>
      </w:pPr>
      <w:r w:rsidRPr="00E92571">
        <w:rPr>
          <w:rFonts w:cs="Arial Narrow"/>
          <w:szCs w:val="23"/>
          <w:lang/>
        </w:rPr>
        <w:t>Disseminating the Regional Toolkit to all PICs for local use.</w:t>
      </w:r>
    </w:p>
    <w:p w:rsidR="00A6008B" w:rsidRPr="00E92571" w:rsidRDefault="00A6008B" w:rsidP="006209D7">
      <w:pPr>
        <w:pStyle w:val="ListParagraph"/>
        <w:numPr>
          <w:ilvl w:val="0"/>
          <w:numId w:val="20"/>
        </w:numPr>
        <w:spacing w:before="40"/>
        <w:ind w:left="709" w:hanging="357"/>
        <w:rPr>
          <w:szCs w:val="23"/>
          <w:lang/>
        </w:rPr>
      </w:pPr>
      <w:r w:rsidRPr="00E92571">
        <w:rPr>
          <w:rFonts w:eastAsia="SymbolMT" w:cs="SymbolMT"/>
          <w:szCs w:val="23"/>
          <w:lang/>
        </w:rPr>
        <w:t>Implementation of</w:t>
      </w:r>
      <w:r w:rsidRPr="00E92571">
        <w:rPr>
          <w:rFonts w:cs="Arial Narrow"/>
          <w:szCs w:val="23"/>
          <w:lang/>
        </w:rPr>
        <w:t xml:space="preserve"> Regional</w:t>
      </w:r>
      <w:r w:rsidRPr="00E92571">
        <w:rPr>
          <w:szCs w:val="23"/>
          <w:lang/>
        </w:rPr>
        <w:t xml:space="preserve"> Public Information Toolkit</w:t>
      </w:r>
      <w:r w:rsidRPr="00E92571">
        <w:rPr>
          <w:rFonts w:cs="Arial Narrow"/>
          <w:szCs w:val="23"/>
          <w:lang/>
        </w:rPr>
        <w:t xml:space="preserve"> to PICs via applications made via the Responsive Fund mechanism.</w:t>
      </w:r>
    </w:p>
    <w:p w:rsidR="00A6008B" w:rsidRPr="00461666" w:rsidRDefault="00A6008B" w:rsidP="00461666">
      <w:pPr>
        <w:rPr>
          <w:szCs w:val="23"/>
        </w:rPr>
      </w:pPr>
    </w:p>
    <w:p w:rsidR="00A6008B" w:rsidRPr="00AC0373" w:rsidRDefault="00A6008B" w:rsidP="006628AE">
      <w:pPr>
        <w:pStyle w:val="Heading3"/>
        <w:rPr>
          <w:caps/>
          <w:smallCaps/>
          <w:sz w:val="24"/>
          <w:szCs w:val="23"/>
          <w:lang w:val="en-AU"/>
        </w:rPr>
      </w:pPr>
      <w:bookmarkStart w:id="51" w:name="_Toc323387531"/>
      <w:bookmarkStart w:id="52" w:name="_Toc352068826"/>
      <w:bookmarkStart w:id="53" w:name="_Toc354487066"/>
      <w:bookmarkStart w:id="54" w:name="_Toc354644461"/>
      <w:r w:rsidRPr="00AC0373">
        <w:rPr>
          <w:smallCaps/>
          <w:sz w:val="24"/>
          <w:szCs w:val="23"/>
          <w:lang w:val="en-AU"/>
        </w:rPr>
        <w:t>Component 2.0:   Governance</w:t>
      </w:r>
      <w:bookmarkEnd w:id="51"/>
      <w:bookmarkEnd w:id="52"/>
      <w:bookmarkEnd w:id="53"/>
      <w:bookmarkEnd w:id="54"/>
    </w:p>
    <w:p w:rsidR="00A6008B" w:rsidRPr="00E92571" w:rsidRDefault="00A6008B" w:rsidP="006628AE">
      <w:pPr>
        <w:rPr>
          <w:szCs w:val="23"/>
          <w:lang w:eastAsia="en-US"/>
        </w:rPr>
      </w:pPr>
      <w:r w:rsidRPr="00E92571">
        <w:rPr>
          <w:szCs w:val="23"/>
          <w:lang w:eastAsia="en-US"/>
        </w:rPr>
        <w:t xml:space="preserve">In this component, it is proposed to deliver fourprojects: </w:t>
      </w:r>
      <w:r w:rsidRPr="00E92571">
        <w:rPr>
          <w:i/>
          <w:szCs w:val="23"/>
          <w:lang w:eastAsia="en-US"/>
        </w:rPr>
        <w:t>Codes of Judicial Conduct Project</w:t>
      </w:r>
      <w:r w:rsidRPr="00E92571">
        <w:rPr>
          <w:szCs w:val="23"/>
          <w:lang w:eastAsia="en-US"/>
        </w:rPr>
        <w:t xml:space="preserve"> (CoJC); </w:t>
      </w:r>
      <w:r w:rsidRPr="00E92571">
        <w:rPr>
          <w:i/>
          <w:szCs w:val="23"/>
          <w:lang w:eastAsia="en-US"/>
        </w:rPr>
        <w:t>Regional Governance and Leadership Meetings</w:t>
      </w:r>
      <w:r w:rsidRPr="00E92571">
        <w:rPr>
          <w:szCs w:val="23"/>
          <w:lang w:eastAsia="en-US"/>
        </w:rPr>
        <w:t xml:space="preserve">; the </w:t>
      </w:r>
      <w:r w:rsidRPr="00E92571">
        <w:rPr>
          <w:i/>
          <w:szCs w:val="23"/>
          <w:lang w:eastAsia="en-US"/>
        </w:rPr>
        <w:t>Responsive Fund (RF); National Judicial Development Committee (NJDC)Project</w:t>
      </w:r>
      <w:r w:rsidRPr="00E92571">
        <w:rPr>
          <w:szCs w:val="23"/>
          <w:lang w:eastAsia="en-US"/>
        </w:rPr>
        <w:t>, comprising a minimum of 27 activities.</w:t>
      </w:r>
    </w:p>
    <w:p w:rsidR="00A6008B" w:rsidRPr="00E92571" w:rsidRDefault="00A6008B" w:rsidP="006628AE">
      <w:pPr>
        <w:rPr>
          <w:sz w:val="16"/>
          <w:szCs w:val="23"/>
          <w:lang w:eastAsia="en-US"/>
        </w:rPr>
      </w:pPr>
    </w:p>
    <w:p w:rsidR="00A6008B" w:rsidRPr="00E92571" w:rsidRDefault="00A6008B" w:rsidP="00F33607">
      <w:pPr>
        <w:rPr>
          <w:szCs w:val="23"/>
        </w:rPr>
      </w:pPr>
      <w:r w:rsidRPr="00E92571">
        <w:rPr>
          <w:rFonts w:cs="Arial"/>
          <w:b/>
          <w:bCs/>
          <w:i/>
          <w:szCs w:val="23"/>
        </w:rPr>
        <w:t xml:space="preserve">Target / Outcome (as at June 2015) - </w:t>
      </w:r>
      <w:r w:rsidRPr="00E92571">
        <w:rPr>
          <w:szCs w:val="23"/>
        </w:rPr>
        <w:t>Greater judicial ownership of professional development across the region.</w:t>
      </w:r>
    </w:p>
    <w:p w:rsidR="00A6008B" w:rsidRPr="00E92571" w:rsidRDefault="00A6008B" w:rsidP="006628AE">
      <w:pPr>
        <w:rPr>
          <w:rFonts w:cs="Arial"/>
          <w:b/>
          <w:bCs/>
          <w:i/>
          <w:sz w:val="16"/>
          <w:szCs w:val="23"/>
        </w:rPr>
      </w:pPr>
    </w:p>
    <w:p w:rsidR="00A6008B" w:rsidRPr="00E92571" w:rsidRDefault="00A6008B" w:rsidP="006628AE">
      <w:pPr>
        <w:rPr>
          <w:szCs w:val="23"/>
          <w:lang w:eastAsia="en-US"/>
        </w:rPr>
      </w:pPr>
      <w:r w:rsidRPr="00E92571">
        <w:rPr>
          <w:rFonts w:cs="Arial"/>
          <w:b/>
          <w:bCs/>
          <w:i/>
          <w:szCs w:val="23"/>
        </w:rPr>
        <w:t>Output(s)-</w:t>
      </w:r>
      <w:r w:rsidRPr="00E92571">
        <w:rPr>
          <w:rFonts w:cs="Arial"/>
          <w:bCs/>
          <w:szCs w:val="23"/>
        </w:rPr>
        <w:t>Continued i</w:t>
      </w:r>
      <w:r w:rsidRPr="00E92571">
        <w:rPr>
          <w:szCs w:val="23"/>
        </w:rPr>
        <w:t>mprovements in standards of judicial leadership, conduct, programme management andimplementation of local judicial development activities.</w:t>
      </w:r>
    </w:p>
    <w:p w:rsidR="00A6008B" w:rsidRPr="00461666" w:rsidRDefault="00A6008B" w:rsidP="00461666">
      <w:pPr>
        <w:rPr>
          <w:szCs w:val="23"/>
        </w:rPr>
      </w:pPr>
    </w:p>
    <w:p w:rsidR="00A6008B" w:rsidRPr="00E92571" w:rsidRDefault="00A6008B" w:rsidP="006209D7">
      <w:pPr>
        <w:numPr>
          <w:ilvl w:val="1"/>
          <w:numId w:val="19"/>
        </w:numPr>
        <w:tabs>
          <w:tab w:val="clear" w:pos="360"/>
          <w:tab w:val="left" w:pos="567"/>
        </w:tabs>
        <w:spacing w:before="80"/>
        <w:ind w:left="0" w:firstLine="0"/>
        <w:rPr>
          <w:rFonts w:cs="Arial Narrow"/>
          <w:szCs w:val="23"/>
        </w:rPr>
      </w:pPr>
      <w:r w:rsidRPr="00E92571">
        <w:rPr>
          <w:rFonts w:cs="Arial"/>
          <w:b/>
          <w:i/>
          <w:szCs w:val="23"/>
          <w:lang w:eastAsia="en-US"/>
        </w:rPr>
        <w:t>Codes of Judicial Conduct (CoJC) Project</w:t>
      </w:r>
    </w:p>
    <w:p w:rsidR="00A6008B" w:rsidRPr="00E92571" w:rsidRDefault="00A6008B" w:rsidP="006628AE">
      <w:pPr>
        <w:rPr>
          <w:sz w:val="16"/>
          <w:szCs w:val="23"/>
        </w:rPr>
      </w:pPr>
    </w:p>
    <w:p w:rsidR="00A6008B" w:rsidRPr="00E92571" w:rsidRDefault="00A6008B" w:rsidP="006628AE">
      <w:pPr>
        <w:rPr>
          <w:rFonts w:cs="Arial"/>
          <w:bCs/>
          <w:szCs w:val="23"/>
        </w:rPr>
      </w:pPr>
      <w:r w:rsidRPr="00E92571">
        <w:rPr>
          <w:b/>
          <w:i/>
          <w:szCs w:val="23"/>
        </w:rPr>
        <w:t xml:space="preserve">Aim of the Project - </w:t>
      </w:r>
      <w:r w:rsidRPr="00E92571">
        <w:rPr>
          <w:szCs w:val="23"/>
        </w:rPr>
        <w:t xml:space="preserve">Strengthen and safeguard judicial independence </w:t>
      </w:r>
      <w:r w:rsidRPr="00E92571">
        <w:rPr>
          <w:rFonts w:cs="Arial"/>
          <w:bCs/>
          <w:szCs w:val="23"/>
        </w:rPr>
        <w:t>across the region by promoting judicial integrity.</w:t>
      </w:r>
    </w:p>
    <w:p w:rsidR="00A6008B" w:rsidRPr="00E92571" w:rsidRDefault="00A6008B" w:rsidP="006628AE">
      <w:pPr>
        <w:rPr>
          <w:sz w:val="16"/>
          <w:szCs w:val="23"/>
        </w:rPr>
      </w:pPr>
    </w:p>
    <w:p w:rsidR="00A6008B" w:rsidRPr="00E92571" w:rsidRDefault="00A6008B" w:rsidP="006628AE">
      <w:pPr>
        <w:rPr>
          <w:rFonts w:cs="Arial"/>
          <w:b/>
          <w:bCs/>
          <w:i/>
          <w:sz w:val="16"/>
          <w:szCs w:val="23"/>
        </w:rPr>
      </w:pPr>
      <w:r w:rsidRPr="00E92571">
        <w:rPr>
          <w:rFonts w:cs="Arial"/>
          <w:b/>
          <w:bCs/>
          <w:i/>
          <w:szCs w:val="23"/>
        </w:rPr>
        <w:t>Target / Outcome (as at June 2015) -</w:t>
      </w:r>
      <w:r w:rsidRPr="00E92571">
        <w:rPr>
          <w:szCs w:val="23"/>
        </w:rPr>
        <w:t>To support interested PICs to develop local statements regarding judicial integrity, appropriate judicial conduct, and strategies to address the growing demand for transparency and accountability; and establish procedures to receive, record, inquire into, and resolve complaints relating to judicial conduct.</w:t>
      </w:r>
    </w:p>
    <w:p w:rsidR="00A6008B" w:rsidRPr="00E92571" w:rsidRDefault="00A6008B" w:rsidP="006000DC">
      <w:pPr>
        <w:rPr>
          <w:rFonts w:cs="Arial"/>
          <w:b/>
          <w:bCs/>
          <w:sz w:val="16"/>
          <w:szCs w:val="23"/>
        </w:rPr>
      </w:pPr>
    </w:p>
    <w:p w:rsidR="00A6008B" w:rsidRPr="00E92571" w:rsidRDefault="00A6008B" w:rsidP="006000DC">
      <w:pPr>
        <w:rPr>
          <w:szCs w:val="23"/>
        </w:rPr>
      </w:pPr>
      <w:r w:rsidRPr="00E92571">
        <w:rPr>
          <w:rFonts w:cs="Arial"/>
          <w:b/>
          <w:bCs/>
          <w:i/>
          <w:szCs w:val="23"/>
        </w:rPr>
        <w:t>Output(s) -</w:t>
      </w:r>
      <w:r w:rsidRPr="00E92571">
        <w:rPr>
          <w:szCs w:val="23"/>
        </w:rPr>
        <w:t>The toolkit</w:t>
      </w:r>
      <w:r w:rsidRPr="00E92571">
        <w:rPr>
          <w:rFonts w:cs="Arial Narrow"/>
          <w:szCs w:val="23"/>
        </w:rPr>
        <w:t>implemented</w:t>
      </w:r>
      <w:r w:rsidRPr="00E92571">
        <w:rPr>
          <w:rFonts w:cs="Arial"/>
          <w:szCs w:val="23"/>
        </w:rPr>
        <w:t xml:space="preserve"> in interested PICs as an ‘Additional Activity’, or using the Responsive Fund mechanism, enabling interested </w:t>
      </w:r>
      <w:r w:rsidRPr="00E92571">
        <w:rPr>
          <w:rFonts w:cs="Arial"/>
          <w:bCs/>
          <w:szCs w:val="23"/>
        </w:rPr>
        <w:t>PICs to develop a</w:t>
      </w:r>
      <w:r w:rsidRPr="00E92571">
        <w:rPr>
          <w:szCs w:val="23"/>
        </w:rPr>
        <w:t xml:space="preserve">heightened awareness ofjudicial integrity, with the judiciary overall demonstratingadherence toappropriate standards of judicial conduct; complaints regarding judicial conduct are logged and dealt with in reasonable time. </w:t>
      </w:r>
    </w:p>
    <w:p w:rsidR="00A6008B" w:rsidRPr="00E92571" w:rsidRDefault="00A6008B" w:rsidP="006628AE">
      <w:pPr>
        <w:rPr>
          <w:sz w:val="16"/>
          <w:szCs w:val="23"/>
        </w:rPr>
      </w:pPr>
    </w:p>
    <w:p w:rsidR="00A6008B" w:rsidRPr="00E92571" w:rsidRDefault="00A6008B" w:rsidP="006628AE">
      <w:pPr>
        <w:rPr>
          <w:szCs w:val="23"/>
        </w:rPr>
      </w:pPr>
      <w:r w:rsidRPr="00E92571">
        <w:rPr>
          <w:b/>
          <w:i/>
          <w:szCs w:val="23"/>
        </w:rPr>
        <w:t xml:space="preserve">Inputs - </w:t>
      </w:r>
      <w:r w:rsidRPr="00E92571">
        <w:rPr>
          <w:szCs w:val="23"/>
        </w:rPr>
        <w:t xml:space="preserve">The Project will comprise: </w:t>
      </w:r>
    </w:p>
    <w:p w:rsidR="00A6008B" w:rsidRPr="00E92571" w:rsidRDefault="00A6008B" w:rsidP="006209D7">
      <w:pPr>
        <w:pStyle w:val="ListParagraph"/>
        <w:numPr>
          <w:ilvl w:val="0"/>
          <w:numId w:val="20"/>
        </w:numPr>
        <w:spacing w:before="40"/>
        <w:rPr>
          <w:szCs w:val="23"/>
          <w:lang/>
        </w:rPr>
      </w:pPr>
      <w:r w:rsidRPr="00E92571">
        <w:rPr>
          <w:szCs w:val="23"/>
          <w:lang/>
        </w:rPr>
        <w:t xml:space="preserve">Supporting pilot PICs (Samoa, Niue, Tuvalu and Kiribati) </w:t>
      </w:r>
      <w:r w:rsidRPr="00E92571">
        <w:rPr>
          <w:rFonts w:cs="Arial Narrow"/>
          <w:szCs w:val="23"/>
          <w:lang/>
        </w:rPr>
        <w:t xml:space="preserve">remotely and at one leadership meeting per year, </w:t>
      </w:r>
      <w:r w:rsidRPr="00E92571">
        <w:rPr>
          <w:szCs w:val="23"/>
          <w:lang/>
        </w:rPr>
        <w:t xml:space="preserve">in the ongoing implementation of toolkit. </w:t>
      </w:r>
    </w:p>
    <w:p w:rsidR="00A6008B" w:rsidRPr="00E92571" w:rsidRDefault="00A6008B" w:rsidP="006209D7">
      <w:pPr>
        <w:pStyle w:val="ListParagraph"/>
        <w:numPr>
          <w:ilvl w:val="0"/>
          <w:numId w:val="20"/>
        </w:numPr>
        <w:spacing w:before="40"/>
        <w:rPr>
          <w:szCs w:val="23"/>
          <w:lang/>
        </w:rPr>
      </w:pPr>
      <w:r w:rsidRPr="00E92571">
        <w:rPr>
          <w:szCs w:val="23"/>
          <w:lang/>
        </w:rPr>
        <w:t>Develop an additional section and/or separate toolkit on complaints handling processes</w:t>
      </w:r>
      <w:r w:rsidRPr="00E92571">
        <w:rPr>
          <w:rFonts w:eastAsia="SymbolMT" w:cs="SymbolMT"/>
          <w:szCs w:val="23"/>
          <w:lang/>
        </w:rPr>
        <w:t xml:space="preserve"> and pilot / </w:t>
      </w:r>
      <w:r w:rsidRPr="00E92571">
        <w:rPr>
          <w:rFonts w:cs="Arial Narrow"/>
          <w:szCs w:val="23"/>
          <w:lang/>
        </w:rPr>
        <w:t>implement the Toolkit (as required) to PICs via applications made through the Responsive Fund mechanism, or as an ‘Additional Activity’.</w:t>
      </w:r>
    </w:p>
    <w:p w:rsidR="00A6008B" w:rsidRPr="00461666" w:rsidRDefault="00A6008B" w:rsidP="00461666">
      <w:pPr>
        <w:rPr>
          <w:szCs w:val="23"/>
        </w:rPr>
      </w:pPr>
    </w:p>
    <w:p w:rsidR="00A6008B" w:rsidRPr="00E92571" w:rsidRDefault="00A6008B" w:rsidP="006628AE">
      <w:pPr>
        <w:tabs>
          <w:tab w:val="left" w:pos="567"/>
        </w:tabs>
        <w:rPr>
          <w:szCs w:val="23"/>
        </w:rPr>
      </w:pPr>
      <w:r w:rsidRPr="00E92571">
        <w:rPr>
          <w:rFonts w:cs="Arial"/>
          <w:b/>
          <w:i/>
          <w:szCs w:val="23"/>
          <w:lang w:eastAsia="en-US"/>
        </w:rPr>
        <w:t>2.2</w:t>
      </w:r>
      <w:r w:rsidRPr="00E92571">
        <w:rPr>
          <w:rFonts w:cs="Arial"/>
          <w:b/>
          <w:i/>
          <w:szCs w:val="23"/>
          <w:lang w:eastAsia="en-US"/>
        </w:rPr>
        <w:tab/>
        <w:t>Regional Governance and Leadership Meetings</w:t>
      </w:r>
    </w:p>
    <w:p w:rsidR="00A6008B" w:rsidRPr="00E92571" w:rsidRDefault="00A6008B" w:rsidP="006628AE">
      <w:pPr>
        <w:tabs>
          <w:tab w:val="left" w:pos="567"/>
        </w:tabs>
        <w:rPr>
          <w:sz w:val="16"/>
          <w:szCs w:val="23"/>
        </w:rPr>
      </w:pPr>
    </w:p>
    <w:p w:rsidR="00A6008B" w:rsidRPr="00E92571" w:rsidRDefault="00A6008B" w:rsidP="00FE4A0E">
      <w:pPr>
        <w:rPr>
          <w:rFonts w:cs="Arial"/>
          <w:bCs/>
          <w:szCs w:val="23"/>
        </w:rPr>
      </w:pPr>
      <w:r w:rsidRPr="00E92571">
        <w:rPr>
          <w:b/>
          <w:i/>
          <w:szCs w:val="23"/>
        </w:rPr>
        <w:t xml:space="preserve">Aim of the Project - </w:t>
      </w:r>
      <w:r w:rsidRPr="00E92571">
        <w:rPr>
          <w:rFonts w:cs="Arial"/>
          <w:bCs/>
          <w:szCs w:val="23"/>
        </w:rPr>
        <w:t xml:space="preserve">Strengthen good judicial governance through leadership. </w:t>
      </w:r>
    </w:p>
    <w:p w:rsidR="00A6008B" w:rsidRPr="00E92571" w:rsidRDefault="00A6008B" w:rsidP="006628AE">
      <w:pPr>
        <w:tabs>
          <w:tab w:val="left" w:pos="567"/>
        </w:tabs>
        <w:rPr>
          <w:sz w:val="16"/>
          <w:szCs w:val="23"/>
        </w:rPr>
      </w:pPr>
    </w:p>
    <w:p w:rsidR="00A6008B" w:rsidRPr="00E92571" w:rsidRDefault="00A6008B" w:rsidP="006628AE">
      <w:pPr>
        <w:rPr>
          <w:rFonts w:cs="Arial"/>
          <w:bCs/>
          <w:szCs w:val="23"/>
        </w:rPr>
      </w:pPr>
      <w:r w:rsidRPr="00E92571">
        <w:rPr>
          <w:rFonts w:cs="Arial"/>
          <w:b/>
          <w:bCs/>
          <w:i/>
          <w:szCs w:val="23"/>
        </w:rPr>
        <w:t>Target / Outcome (as at June 2015) -</w:t>
      </w:r>
      <w:r w:rsidRPr="00E92571">
        <w:rPr>
          <w:szCs w:val="23"/>
        </w:rPr>
        <w:t>Stakeholders increasingly activelyparticipate in and direct judicial development across the region</w:t>
      </w:r>
      <w:r w:rsidRPr="00E92571">
        <w:rPr>
          <w:rFonts w:cs="Arial"/>
          <w:bCs/>
          <w:szCs w:val="23"/>
        </w:rPr>
        <w:t>through ongoing support to networks of chief justices and their delegates for dialogue and sharing experience about thematically-focused aspects of judicial development, including programme management</w:t>
      </w:r>
      <w:r w:rsidRPr="00E92571">
        <w:rPr>
          <w:szCs w:val="23"/>
        </w:rPr>
        <w:t xml:space="preserve">. </w:t>
      </w:r>
    </w:p>
    <w:p w:rsidR="00A6008B" w:rsidRPr="00E92571" w:rsidRDefault="00A6008B" w:rsidP="006628AE">
      <w:pPr>
        <w:rPr>
          <w:rFonts w:cs="Arial"/>
          <w:b/>
          <w:bCs/>
          <w:i/>
          <w:sz w:val="16"/>
          <w:szCs w:val="23"/>
        </w:rPr>
      </w:pPr>
    </w:p>
    <w:p w:rsidR="00A6008B" w:rsidRPr="00E92571" w:rsidRDefault="00A6008B" w:rsidP="006628AE">
      <w:pPr>
        <w:rPr>
          <w:rFonts w:cs="Arial"/>
          <w:b/>
          <w:bCs/>
          <w:i/>
          <w:szCs w:val="23"/>
        </w:rPr>
      </w:pPr>
      <w:r w:rsidRPr="00E92571">
        <w:rPr>
          <w:rFonts w:cs="Arial"/>
          <w:b/>
          <w:bCs/>
          <w:i/>
          <w:szCs w:val="23"/>
        </w:rPr>
        <w:t>Output(s) -</w:t>
      </w:r>
      <w:r w:rsidRPr="00E92571">
        <w:rPr>
          <w:szCs w:val="23"/>
        </w:rPr>
        <w:t xml:space="preserve"> Adequate opportunities are provided for key stakeholders to lead, engage with and contributeinput and strategic direction to PJDP Projects.</w:t>
      </w:r>
    </w:p>
    <w:p w:rsidR="00A6008B" w:rsidRPr="00E92571" w:rsidRDefault="00A6008B" w:rsidP="006628AE">
      <w:pPr>
        <w:tabs>
          <w:tab w:val="left" w:pos="567"/>
        </w:tabs>
        <w:rPr>
          <w:sz w:val="16"/>
          <w:szCs w:val="23"/>
        </w:rPr>
      </w:pPr>
    </w:p>
    <w:p w:rsidR="00A6008B" w:rsidRPr="00E92571" w:rsidRDefault="00A6008B" w:rsidP="006628AE">
      <w:pPr>
        <w:tabs>
          <w:tab w:val="left" w:pos="567"/>
        </w:tabs>
        <w:rPr>
          <w:szCs w:val="23"/>
        </w:rPr>
      </w:pPr>
      <w:r w:rsidRPr="00E92571">
        <w:rPr>
          <w:b/>
          <w:i/>
          <w:szCs w:val="23"/>
        </w:rPr>
        <w:t xml:space="preserve">Inputs - </w:t>
      </w:r>
      <w:r w:rsidRPr="00E92571">
        <w:rPr>
          <w:szCs w:val="23"/>
        </w:rPr>
        <w:t xml:space="preserve">The Project will comprise: </w:t>
      </w:r>
    </w:p>
    <w:p w:rsidR="00A6008B" w:rsidRPr="00E92571" w:rsidRDefault="00A6008B" w:rsidP="006209D7">
      <w:pPr>
        <w:pStyle w:val="ListParagraph"/>
        <w:numPr>
          <w:ilvl w:val="0"/>
          <w:numId w:val="20"/>
        </w:numPr>
        <w:spacing w:before="40"/>
        <w:ind w:left="709" w:hanging="357"/>
        <w:rPr>
          <w:szCs w:val="23"/>
          <w:lang/>
        </w:rPr>
      </w:pPr>
      <w:r w:rsidRPr="00E92571">
        <w:rPr>
          <w:szCs w:val="23"/>
          <w:lang/>
        </w:rPr>
        <w:t xml:space="preserve">Completion of four PEC Meetings.  </w:t>
      </w:r>
    </w:p>
    <w:p w:rsidR="00A6008B" w:rsidRPr="00E92571" w:rsidRDefault="00A6008B" w:rsidP="006209D7">
      <w:pPr>
        <w:pStyle w:val="ListParagraph"/>
        <w:numPr>
          <w:ilvl w:val="0"/>
          <w:numId w:val="20"/>
        </w:numPr>
        <w:spacing w:before="40"/>
        <w:ind w:left="709" w:hanging="357"/>
        <w:rPr>
          <w:szCs w:val="23"/>
          <w:lang/>
        </w:rPr>
      </w:pPr>
      <w:r w:rsidRPr="00E92571">
        <w:rPr>
          <w:szCs w:val="23"/>
          <w:lang/>
        </w:rPr>
        <w:t>Completion of three leadership workshops for Chief Justices.</w:t>
      </w:r>
    </w:p>
    <w:p w:rsidR="00A6008B" w:rsidRDefault="00A6008B" w:rsidP="006209D7">
      <w:pPr>
        <w:pStyle w:val="ListParagraph"/>
        <w:numPr>
          <w:ilvl w:val="0"/>
          <w:numId w:val="20"/>
        </w:numPr>
        <w:spacing w:before="40"/>
        <w:ind w:left="709" w:hanging="357"/>
        <w:rPr>
          <w:szCs w:val="23"/>
          <w:lang/>
        </w:rPr>
      </w:pPr>
      <w:r w:rsidRPr="00E92571">
        <w:rPr>
          <w:szCs w:val="23"/>
          <w:lang/>
        </w:rPr>
        <w:t>Completion of two leadership workshop for National Coordinators.</w:t>
      </w:r>
    </w:p>
    <w:p w:rsidR="00A6008B" w:rsidRPr="0015395E" w:rsidRDefault="00A6008B" w:rsidP="0015395E">
      <w:pPr>
        <w:spacing w:before="40"/>
        <w:rPr>
          <w:szCs w:val="23"/>
        </w:rPr>
      </w:pPr>
    </w:p>
    <w:p w:rsidR="00A6008B" w:rsidRPr="00C65D03" w:rsidRDefault="00A6008B" w:rsidP="00461666">
      <w:pPr>
        <w:rPr>
          <w:sz w:val="7"/>
          <w:szCs w:val="23"/>
        </w:rPr>
      </w:pPr>
    </w:p>
    <w:p w:rsidR="00A6008B" w:rsidRPr="00E92571" w:rsidRDefault="00A6008B" w:rsidP="006628AE">
      <w:pPr>
        <w:tabs>
          <w:tab w:val="left" w:pos="567"/>
        </w:tabs>
        <w:rPr>
          <w:rFonts w:cs="Arial"/>
          <w:szCs w:val="23"/>
          <w:lang w:eastAsia="en-US"/>
        </w:rPr>
      </w:pPr>
      <w:r w:rsidRPr="00E92571">
        <w:rPr>
          <w:rFonts w:cs="Arial"/>
          <w:b/>
          <w:i/>
          <w:szCs w:val="23"/>
          <w:lang w:eastAsia="en-US"/>
        </w:rPr>
        <w:t>2.3</w:t>
      </w:r>
      <w:r w:rsidRPr="00E92571">
        <w:rPr>
          <w:rFonts w:cs="Arial"/>
          <w:b/>
          <w:i/>
          <w:szCs w:val="23"/>
          <w:lang w:eastAsia="en-US"/>
        </w:rPr>
        <w:tab/>
        <w:t>Responsive Fund</w:t>
      </w:r>
      <w:r>
        <w:rPr>
          <w:rFonts w:cs="Arial"/>
          <w:b/>
          <w:i/>
          <w:szCs w:val="23"/>
          <w:lang w:eastAsia="en-US"/>
        </w:rPr>
        <w:t xml:space="preserve"> (RF)</w:t>
      </w:r>
    </w:p>
    <w:p w:rsidR="00A6008B" w:rsidRPr="00E92571" w:rsidRDefault="00A6008B" w:rsidP="006628AE">
      <w:pPr>
        <w:tabs>
          <w:tab w:val="left" w:pos="567"/>
        </w:tabs>
        <w:rPr>
          <w:rFonts w:cs="Arial"/>
          <w:sz w:val="16"/>
          <w:szCs w:val="23"/>
          <w:lang w:eastAsia="en-US"/>
        </w:rPr>
      </w:pPr>
    </w:p>
    <w:p w:rsidR="00A6008B" w:rsidRPr="00E92571" w:rsidRDefault="00A6008B" w:rsidP="0057257E">
      <w:pPr>
        <w:rPr>
          <w:szCs w:val="23"/>
        </w:rPr>
      </w:pPr>
      <w:r w:rsidRPr="00E92571">
        <w:rPr>
          <w:b/>
          <w:i/>
          <w:szCs w:val="23"/>
        </w:rPr>
        <w:t>Aim of the Project -</w:t>
      </w:r>
      <w:r w:rsidRPr="00E92571">
        <w:rPr>
          <w:szCs w:val="23"/>
        </w:rPr>
        <w:t>Enable PICs to themselves address priorities identified in their court/judicial development plans.</w:t>
      </w:r>
    </w:p>
    <w:p w:rsidR="00A6008B" w:rsidRPr="00E92571" w:rsidRDefault="00A6008B" w:rsidP="006628AE">
      <w:pPr>
        <w:tabs>
          <w:tab w:val="left" w:pos="567"/>
        </w:tabs>
        <w:rPr>
          <w:rFonts w:cs="Arial"/>
          <w:sz w:val="16"/>
          <w:szCs w:val="23"/>
          <w:lang w:eastAsia="en-US"/>
        </w:rPr>
      </w:pPr>
    </w:p>
    <w:p w:rsidR="00A6008B" w:rsidRPr="00E92571" w:rsidRDefault="00A6008B" w:rsidP="006628AE">
      <w:pPr>
        <w:rPr>
          <w:rFonts w:cs="Arial"/>
          <w:b/>
          <w:bCs/>
          <w:i/>
          <w:szCs w:val="23"/>
        </w:rPr>
      </w:pPr>
      <w:r w:rsidRPr="00E92571">
        <w:rPr>
          <w:rFonts w:cs="Arial"/>
          <w:b/>
          <w:bCs/>
          <w:i/>
          <w:szCs w:val="23"/>
        </w:rPr>
        <w:t>Target / Outcome (as at June 2015) -</w:t>
      </w:r>
      <w:r w:rsidRPr="00E92571">
        <w:rPr>
          <w:szCs w:val="23"/>
        </w:rPr>
        <w:t xml:space="preserve">PICs increasingly manage their own locally-delivered development activities. </w:t>
      </w:r>
    </w:p>
    <w:p w:rsidR="00A6008B" w:rsidRPr="00E92571" w:rsidRDefault="00A6008B" w:rsidP="006628AE">
      <w:pPr>
        <w:rPr>
          <w:rFonts w:cs="Arial"/>
          <w:b/>
          <w:bCs/>
          <w:i/>
          <w:sz w:val="16"/>
          <w:szCs w:val="23"/>
        </w:rPr>
      </w:pPr>
    </w:p>
    <w:p w:rsidR="00A6008B" w:rsidRPr="00E92571" w:rsidRDefault="00A6008B" w:rsidP="006628AE">
      <w:pPr>
        <w:rPr>
          <w:rFonts w:cs="Arial"/>
          <w:b/>
          <w:bCs/>
          <w:i/>
          <w:szCs w:val="23"/>
        </w:rPr>
      </w:pPr>
      <w:r w:rsidRPr="00E92571">
        <w:rPr>
          <w:rFonts w:cs="Arial"/>
          <w:b/>
          <w:bCs/>
          <w:i/>
          <w:szCs w:val="23"/>
        </w:rPr>
        <w:t>Output(s) -</w:t>
      </w:r>
      <w:r w:rsidRPr="00E92571">
        <w:rPr>
          <w:szCs w:val="23"/>
        </w:rPr>
        <w:t xml:space="preserve"> All PICs successfully develop their capabilities to formulate cogent applications to support priority development activities and implement associated activities which achieve their aims.</w:t>
      </w:r>
    </w:p>
    <w:p w:rsidR="00A6008B" w:rsidRPr="00E92571" w:rsidRDefault="00A6008B" w:rsidP="006628AE">
      <w:pPr>
        <w:rPr>
          <w:sz w:val="16"/>
          <w:szCs w:val="23"/>
        </w:rPr>
      </w:pPr>
    </w:p>
    <w:p w:rsidR="00A6008B" w:rsidRPr="00E92571" w:rsidRDefault="00A6008B" w:rsidP="00931EC0">
      <w:pPr>
        <w:rPr>
          <w:rFonts w:cs="Arial"/>
          <w:b/>
          <w:bCs/>
          <w:i/>
          <w:iCs/>
          <w:szCs w:val="23"/>
          <w:lang w:eastAsia="ja-JP"/>
        </w:rPr>
      </w:pPr>
      <w:r w:rsidRPr="00E92571">
        <w:rPr>
          <w:rFonts w:cs="Arial"/>
          <w:b/>
          <w:bCs/>
          <w:i/>
          <w:szCs w:val="23"/>
        </w:rPr>
        <w:t xml:space="preserve">Input(s) / Structure of Mechanism </w:t>
      </w:r>
      <w:r w:rsidRPr="00E92571">
        <w:rPr>
          <w:rFonts w:cs="Arial"/>
          <w:b/>
          <w:i/>
          <w:szCs w:val="23"/>
        </w:rPr>
        <w:t>-</w:t>
      </w:r>
      <w:r w:rsidRPr="00E92571">
        <w:rPr>
          <w:rFonts w:cs="Arial"/>
          <w:szCs w:val="23"/>
        </w:rPr>
        <w:t>Funding is available fora minimum of one activity in each</w:t>
      </w:r>
      <w:r w:rsidRPr="00E92571">
        <w:rPr>
          <w:szCs w:val="23"/>
        </w:rPr>
        <w:t xml:space="preserve">PIC. For those PICs that receive only one bi-lateral activity, two responsive fund allocations will be available. A total budget of AUD </w:t>
      </w:r>
      <w:r w:rsidRPr="00E92571">
        <w:rPr>
          <w:rFonts w:cs="Arial"/>
          <w:bCs/>
          <w:iCs/>
          <w:szCs w:val="23"/>
          <w:lang w:eastAsia="ja-JP"/>
        </w:rPr>
        <w:t>242,857</w:t>
      </w:r>
      <w:r w:rsidRPr="00E92571">
        <w:rPr>
          <w:szCs w:val="23"/>
        </w:rPr>
        <w:t xml:space="preserve">being allocated, with each application allocated up to AUD 14,285. </w:t>
      </w:r>
    </w:p>
    <w:p w:rsidR="00A6008B" w:rsidRPr="00E92571" w:rsidRDefault="00A6008B" w:rsidP="00931EC0">
      <w:pPr>
        <w:spacing w:before="120"/>
      </w:pPr>
      <w:r w:rsidRPr="00E92571">
        <w:t xml:space="preserve">To allow for the efficient use of funds, the initial round of applications must be demonstrably aligned with the partner court’s national judicial development plan (or similar) where the partner court has such a plan, and be submitted by </w:t>
      </w:r>
      <w:r w:rsidRPr="00E92571">
        <w:rPr>
          <w:i/>
        </w:rPr>
        <w:t>30September, 2012</w:t>
      </w:r>
      <w:r w:rsidRPr="00E92571">
        <w:t xml:space="preserve">.  If applications in the required format are not received by this time, or the full allocation of funds is not expended by the applications receive by </w:t>
      </w:r>
      <w:r w:rsidRPr="00E92571">
        <w:rPr>
          <w:szCs w:val="23"/>
        </w:rPr>
        <w:t>the end of the initial application period, further round(s) of applications will be released to all PICs on a ‘first come, first served basis’.  All applications submitted following the close of the first round of applications</w:t>
      </w:r>
      <w:r w:rsidRPr="00E92571">
        <w:rPr>
          <w:i/>
        </w:rPr>
        <w:t xml:space="preserve">must be directly linked </w:t>
      </w:r>
      <w:r w:rsidRPr="00E92571">
        <w:t>to activities identified in partner court’s national judicial development plan for that calendar or financial year.</w:t>
      </w:r>
    </w:p>
    <w:p w:rsidR="00A6008B" w:rsidRPr="00461666" w:rsidRDefault="00A6008B" w:rsidP="00461666">
      <w:pPr>
        <w:rPr>
          <w:szCs w:val="23"/>
          <w:highlight w:val="green"/>
        </w:rPr>
      </w:pPr>
    </w:p>
    <w:p w:rsidR="00A6008B" w:rsidRPr="00E92571" w:rsidRDefault="00A6008B" w:rsidP="006628AE">
      <w:pPr>
        <w:tabs>
          <w:tab w:val="left" w:pos="567"/>
        </w:tabs>
        <w:rPr>
          <w:szCs w:val="23"/>
        </w:rPr>
      </w:pPr>
      <w:r w:rsidRPr="00E92571">
        <w:rPr>
          <w:rFonts w:cs="Arial"/>
          <w:b/>
          <w:i/>
          <w:szCs w:val="23"/>
          <w:lang w:eastAsia="en-US"/>
        </w:rPr>
        <w:t>2.4</w:t>
      </w:r>
      <w:r w:rsidRPr="00E92571">
        <w:rPr>
          <w:rFonts w:cs="Arial"/>
          <w:b/>
          <w:i/>
          <w:szCs w:val="23"/>
          <w:lang w:eastAsia="en-US"/>
        </w:rPr>
        <w:tab/>
        <w:t>National Judicial Development Committee (NJDC) Project</w:t>
      </w:r>
    </w:p>
    <w:p w:rsidR="00A6008B" w:rsidRPr="00E92571" w:rsidRDefault="00A6008B" w:rsidP="006628AE">
      <w:pPr>
        <w:tabs>
          <w:tab w:val="left" w:pos="567"/>
        </w:tabs>
        <w:rPr>
          <w:sz w:val="16"/>
          <w:szCs w:val="23"/>
        </w:rPr>
      </w:pPr>
    </w:p>
    <w:p w:rsidR="00A6008B" w:rsidRPr="00E92571" w:rsidRDefault="00A6008B" w:rsidP="00F33607">
      <w:pPr>
        <w:rPr>
          <w:szCs w:val="23"/>
        </w:rPr>
      </w:pPr>
      <w:r w:rsidRPr="00E92571">
        <w:rPr>
          <w:b/>
          <w:i/>
          <w:szCs w:val="23"/>
        </w:rPr>
        <w:t xml:space="preserve">Aim of the Project - </w:t>
      </w:r>
      <w:r w:rsidRPr="00E92571">
        <w:rPr>
          <w:rFonts w:cs="Arial Narrow"/>
          <w:szCs w:val="23"/>
          <w:lang w:eastAsia="en-US"/>
        </w:rPr>
        <w:t xml:space="preserve">Support or re-enliven National Judicial Development Committees (NJDCs) as a key mechanism for locally managed judicial development. </w:t>
      </w:r>
    </w:p>
    <w:p w:rsidR="00A6008B" w:rsidRPr="00E92571" w:rsidRDefault="00A6008B" w:rsidP="006628AE">
      <w:pPr>
        <w:tabs>
          <w:tab w:val="left" w:pos="567"/>
        </w:tabs>
        <w:rPr>
          <w:sz w:val="16"/>
          <w:szCs w:val="23"/>
        </w:rPr>
      </w:pPr>
    </w:p>
    <w:p w:rsidR="00A6008B" w:rsidRPr="00E92571" w:rsidRDefault="00A6008B" w:rsidP="006628AE">
      <w:pPr>
        <w:rPr>
          <w:szCs w:val="23"/>
        </w:rPr>
      </w:pPr>
      <w:r w:rsidRPr="00E92571">
        <w:rPr>
          <w:rFonts w:cs="Arial"/>
          <w:b/>
          <w:bCs/>
          <w:i/>
          <w:szCs w:val="23"/>
        </w:rPr>
        <w:t>Target / Outcome (as at June 2015) -</w:t>
      </w:r>
      <w:r w:rsidRPr="00E92571">
        <w:rPr>
          <w:szCs w:val="23"/>
        </w:rPr>
        <w:t xml:space="preserve">The capabilities of onePIC to strategically plan and manage local development are strengthened. </w:t>
      </w:r>
    </w:p>
    <w:p w:rsidR="00A6008B" w:rsidRPr="00E92571" w:rsidRDefault="00A6008B" w:rsidP="006628AE">
      <w:pPr>
        <w:rPr>
          <w:rFonts w:cs="Arial"/>
          <w:b/>
          <w:bCs/>
          <w:i/>
          <w:sz w:val="16"/>
          <w:szCs w:val="23"/>
        </w:rPr>
      </w:pPr>
    </w:p>
    <w:p w:rsidR="00A6008B" w:rsidRPr="00E92571" w:rsidRDefault="00A6008B" w:rsidP="006628AE">
      <w:pPr>
        <w:rPr>
          <w:rFonts w:cs="Arial"/>
          <w:b/>
          <w:bCs/>
          <w:i/>
          <w:szCs w:val="23"/>
        </w:rPr>
      </w:pPr>
      <w:r w:rsidRPr="00E92571">
        <w:rPr>
          <w:rFonts w:cs="Arial"/>
          <w:b/>
          <w:bCs/>
          <w:i/>
          <w:szCs w:val="23"/>
        </w:rPr>
        <w:t>Output(s)-</w:t>
      </w:r>
      <w:r w:rsidRPr="00E92571">
        <w:rPr>
          <w:szCs w:val="23"/>
        </w:rPr>
        <w:t>One PIC can strategically plan andmanage its local development programmes by operating development committees more effectively.</w:t>
      </w:r>
    </w:p>
    <w:p w:rsidR="00A6008B" w:rsidRPr="00E92571" w:rsidRDefault="00A6008B" w:rsidP="006628AE">
      <w:pPr>
        <w:rPr>
          <w:sz w:val="16"/>
          <w:szCs w:val="23"/>
        </w:rPr>
      </w:pPr>
    </w:p>
    <w:p w:rsidR="00A6008B" w:rsidRPr="00E92571" w:rsidRDefault="00A6008B" w:rsidP="006628AE">
      <w:pPr>
        <w:tabs>
          <w:tab w:val="left" w:pos="567"/>
        </w:tabs>
        <w:rPr>
          <w:rFonts w:cs="Arial"/>
          <w:szCs w:val="23"/>
          <w:lang w:eastAsia="en-US"/>
        </w:rPr>
      </w:pPr>
      <w:r w:rsidRPr="00E92571">
        <w:rPr>
          <w:b/>
          <w:i/>
          <w:szCs w:val="23"/>
        </w:rPr>
        <w:t xml:space="preserve">Inputs - </w:t>
      </w:r>
      <w:r w:rsidRPr="00E92571">
        <w:rPr>
          <w:szCs w:val="23"/>
        </w:rPr>
        <w:t xml:space="preserve">The Project will: </w:t>
      </w:r>
    </w:p>
    <w:p w:rsidR="00A6008B" w:rsidRPr="00E92571" w:rsidRDefault="00A6008B" w:rsidP="006209D7">
      <w:pPr>
        <w:pStyle w:val="ListParagraph"/>
        <w:numPr>
          <w:ilvl w:val="0"/>
          <w:numId w:val="21"/>
        </w:numPr>
        <w:spacing w:before="40"/>
        <w:rPr>
          <w:szCs w:val="23"/>
          <w:lang/>
        </w:rPr>
      </w:pPr>
      <w:r w:rsidRPr="00E92571">
        <w:rPr>
          <w:rFonts w:cs="Arial Narrow"/>
          <w:szCs w:val="23"/>
          <w:lang/>
        </w:rPr>
        <w:t>Disseminate the NJDC toolkit to all PICs for local use.</w:t>
      </w:r>
    </w:p>
    <w:p w:rsidR="00A6008B" w:rsidRPr="00E92571" w:rsidRDefault="00A6008B" w:rsidP="006209D7">
      <w:pPr>
        <w:pStyle w:val="ListParagraph"/>
        <w:numPr>
          <w:ilvl w:val="0"/>
          <w:numId w:val="21"/>
        </w:numPr>
        <w:spacing w:before="40"/>
        <w:rPr>
          <w:szCs w:val="23"/>
          <w:lang/>
        </w:rPr>
      </w:pPr>
      <w:r w:rsidRPr="00E92571">
        <w:rPr>
          <w:rFonts w:cs="Arial Narrow"/>
          <w:szCs w:val="23"/>
          <w:lang/>
        </w:rPr>
        <w:t xml:space="preserve">Implementation of toolkit </w:t>
      </w:r>
      <w:r w:rsidRPr="00E92571">
        <w:rPr>
          <w:szCs w:val="23"/>
          <w:lang/>
        </w:rPr>
        <w:t xml:space="preserve">in </w:t>
      </w:r>
      <w:r w:rsidRPr="00E92571">
        <w:rPr>
          <w:rFonts w:cs="Arial Narrow"/>
          <w:szCs w:val="23"/>
          <w:lang/>
        </w:rPr>
        <w:t>year one. (x1)</w:t>
      </w:r>
      <w:r w:rsidRPr="00E92571">
        <w:rPr>
          <w:szCs w:val="23"/>
          <w:lang/>
        </w:rPr>
        <w:t>Develop and provide training on the development of national court/judicial plans and project management in identified PIC.</w:t>
      </w:r>
    </w:p>
    <w:p w:rsidR="00A6008B" w:rsidRPr="00E92571" w:rsidRDefault="00A6008B" w:rsidP="00B17AC3">
      <w:pPr>
        <w:pStyle w:val="ListParagraph"/>
        <w:numPr>
          <w:ilvl w:val="0"/>
          <w:numId w:val="21"/>
        </w:numPr>
        <w:spacing w:before="40"/>
        <w:rPr>
          <w:szCs w:val="23"/>
          <w:lang/>
        </w:rPr>
      </w:pPr>
      <w:r w:rsidRPr="00E92571">
        <w:rPr>
          <w:szCs w:val="23"/>
          <w:lang/>
        </w:rPr>
        <w:t xml:space="preserve">Support the pilot PIC (Samoa) with support for ongoing implementation of toolkit. </w:t>
      </w:r>
    </w:p>
    <w:p w:rsidR="00A6008B" w:rsidRPr="00461666" w:rsidRDefault="00A6008B" w:rsidP="00461666">
      <w:pPr>
        <w:rPr>
          <w:szCs w:val="23"/>
        </w:rPr>
      </w:pPr>
    </w:p>
    <w:p w:rsidR="00A6008B" w:rsidRPr="00AC0373" w:rsidRDefault="00A6008B" w:rsidP="006628AE">
      <w:pPr>
        <w:pStyle w:val="Heading3"/>
        <w:rPr>
          <w:smallCaps/>
          <w:sz w:val="24"/>
          <w:szCs w:val="23"/>
          <w:lang w:val="en-AU"/>
        </w:rPr>
      </w:pPr>
      <w:bookmarkStart w:id="55" w:name="_Toc323387532"/>
      <w:bookmarkStart w:id="56" w:name="_Toc352068827"/>
      <w:bookmarkStart w:id="57" w:name="_Toc354487067"/>
      <w:bookmarkStart w:id="58" w:name="_Toc354644462"/>
      <w:r w:rsidRPr="00AC0373">
        <w:rPr>
          <w:smallCaps/>
          <w:sz w:val="24"/>
          <w:szCs w:val="23"/>
          <w:lang w:val="en-AU"/>
        </w:rPr>
        <w:t>Component 3.0:   Systems and Processes</w:t>
      </w:r>
      <w:bookmarkEnd w:id="55"/>
      <w:bookmarkEnd w:id="56"/>
      <w:bookmarkEnd w:id="57"/>
      <w:bookmarkEnd w:id="58"/>
    </w:p>
    <w:p w:rsidR="00A6008B" w:rsidRPr="00E92571" w:rsidRDefault="00A6008B" w:rsidP="006628AE">
      <w:pPr>
        <w:rPr>
          <w:szCs w:val="23"/>
          <w:lang w:eastAsia="en-US"/>
        </w:rPr>
      </w:pPr>
      <w:r w:rsidRPr="00E92571">
        <w:rPr>
          <w:szCs w:val="23"/>
          <w:lang w:eastAsia="en-US"/>
        </w:rPr>
        <w:t xml:space="preserve">In this component, twoprojects are proposed: (a) </w:t>
      </w:r>
      <w:r w:rsidRPr="00E92571">
        <w:rPr>
          <w:i/>
          <w:szCs w:val="23"/>
          <w:lang w:eastAsia="en-US"/>
        </w:rPr>
        <w:t>Judicial Administration</w:t>
      </w:r>
      <w:r w:rsidRPr="00E92571">
        <w:rPr>
          <w:szCs w:val="23"/>
          <w:lang w:eastAsia="en-US"/>
        </w:rPr>
        <w:t xml:space="preserve">Project:and (b) </w:t>
      </w:r>
      <w:r w:rsidRPr="00E92571">
        <w:rPr>
          <w:rFonts w:cs="Arial"/>
          <w:szCs w:val="23"/>
          <w:lang w:eastAsia="en-US"/>
        </w:rPr>
        <w:t>Court Annual Reporting (</w:t>
      </w:r>
      <w:r w:rsidRPr="00E92571">
        <w:rPr>
          <w:szCs w:val="23"/>
          <w:lang w:eastAsia="en-US"/>
        </w:rPr>
        <w:t xml:space="preserve">formerly the </w:t>
      </w:r>
      <w:r w:rsidRPr="00E92571">
        <w:t>Performance Monitoring and Evaluation</w:t>
      </w:r>
      <w:r w:rsidRPr="00E92571">
        <w:rPr>
          <w:rFonts w:cs="Arial"/>
          <w:szCs w:val="23"/>
          <w:lang w:eastAsia="en-US"/>
        </w:rPr>
        <w:t>) Project,</w:t>
      </w:r>
      <w:r w:rsidRPr="00E92571">
        <w:rPr>
          <w:szCs w:val="23"/>
          <w:lang w:eastAsia="en-US"/>
        </w:rPr>
        <w:t xml:space="preserve"> comprising 27activities.</w:t>
      </w:r>
    </w:p>
    <w:p w:rsidR="00A6008B" w:rsidRPr="00E92571" w:rsidRDefault="00A6008B" w:rsidP="006628AE">
      <w:pPr>
        <w:rPr>
          <w:sz w:val="16"/>
          <w:szCs w:val="23"/>
          <w:lang w:eastAsia="en-US"/>
        </w:rPr>
      </w:pPr>
    </w:p>
    <w:p w:rsidR="00A6008B" w:rsidRPr="00E92571" w:rsidRDefault="00A6008B" w:rsidP="00F33607">
      <w:pPr>
        <w:rPr>
          <w:szCs w:val="23"/>
        </w:rPr>
      </w:pPr>
      <w:r w:rsidRPr="00E92571">
        <w:rPr>
          <w:rFonts w:cs="Arial"/>
          <w:b/>
          <w:bCs/>
          <w:i/>
          <w:szCs w:val="23"/>
        </w:rPr>
        <w:t xml:space="preserve">Target / Outcome (as at June 2015) - </w:t>
      </w:r>
      <w:r w:rsidRPr="00E92571">
        <w:rPr>
          <w:szCs w:val="23"/>
        </w:rPr>
        <w:t xml:space="preserve">Courts’ capabilities to dispose of cases efficiently and their ability to regularly report on performance, is improved in up to 10 PICs. </w:t>
      </w:r>
    </w:p>
    <w:p w:rsidR="00A6008B" w:rsidRPr="00E92571" w:rsidRDefault="00A6008B" w:rsidP="006628AE">
      <w:pPr>
        <w:rPr>
          <w:rFonts w:cs="Arial"/>
          <w:b/>
          <w:bCs/>
          <w:i/>
          <w:sz w:val="16"/>
          <w:szCs w:val="23"/>
        </w:rPr>
      </w:pPr>
    </w:p>
    <w:p w:rsidR="00A6008B" w:rsidRDefault="00A6008B" w:rsidP="006628AE">
      <w:pPr>
        <w:rPr>
          <w:szCs w:val="23"/>
        </w:rPr>
      </w:pPr>
      <w:r w:rsidRPr="00E92571">
        <w:rPr>
          <w:rFonts w:cs="Arial"/>
          <w:b/>
          <w:bCs/>
          <w:i/>
          <w:szCs w:val="23"/>
        </w:rPr>
        <w:t>Output(s) -</w:t>
      </w:r>
      <w:r w:rsidRPr="00E92571">
        <w:rPr>
          <w:szCs w:val="23"/>
        </w:rPr>
        <w:t xml:space="preserve"> PICs better equipped to collect, use and report on judicial performance data and dispose of cases efficiently.</w:t>
      </w:r>
    </w:p>
    <w:p w:rsidR="00A6008B" w:rsidRDefault="00A6008B" w:rsidP="00461666">
      <w:pPr>
        <w:rPr>
          <w:szCs w:val="23"/>
          <w:lang w:eastAsia="en-US"/>
        </w:rPr>
      </w:pPr>
    </w:p>
    <w:p w:rsidR="00A6008B" w:rsidRDefault="00A6008B" w:rsidP="00461666">
      <w:pPr>
        <w:rPr>
          <w:szCs w:val="23"/>
          <w:lang w:eastAsia="en-US"/>
        </w:rPr>
      </w:pPr>
    </w:p>
    <w:p w:rsidR="00A6008B" w:rsidRPr="00461666" w:rsidRDefault="00A6008B" w:rsidP="00461666">
      <w:pPr>
        <w:rPr>
          <w:szCs w:val="23"/>
          <w:lang w:eastAsia="en-US"/>
        </w:rPr>
      </w:pPr>
    </w:p>
    <w:p w:rsidR="00A6008B" w:rsidRPr="00E92571" w:rsidRDefault="00A6008B" w:rsidP="006628AE">
      <w:pPr>
        <w:tabs>
          <w:tab w:val="left" w:pos="567"/>
        </w:tabs>
        <w:rPr>
          <w:szCs w:val="23"/>
        </w:rPr>
      </w:pPr>
      <w:r w:rsidRPr="00E92571">
        <w:rPr>
          <w:b/>
          <w:i/>
          <w:szCs w:val="23"/>
          <w:lang w:eastAsia="en-US"/>
        </w:rPr>
        <w:t>3.1</w:t>
      </w:r>
      <w:r w:rsidRPr="00E92571">
        <w:rPr>
          <w:b/>
          <w:i/>
          <w:szCs w:val="23"/>
          <w:lang w:eastAsia="en-US"/>
        </w:rPr>
        <w:tab/>
        <w:t xml:space="preserve">Judicial Administration Project </w:t>
      </w:r>
    </w:p>
    <w:p w:rsidR="00A6008B" w:rsidRPr="00E92571" w:rsidRDefault="00A6008B" w:rsidP="006628AE">
      <w:pPr>
        <w:rPr>
          <w:sz w:val="16"/>
          <w:szCs w:val="23"/>
        </w:rPr>
      </w:pPr>
    </w:p>
    <w:p w:rsidR="00A6008B" w:rsidRPr="00E92571" w:rsidRDefault="00A6008B" w:rsidP="00F33607">
      <w:pPr>
        <w:rPr>
          <w:szCs w:val="23"/>
        </w:rPr>
      </w:pPr>
      <w:r w:rsidRPr="00E92571">
        <w:rPr>
          <w:b/>
          <w:i/>
          <w:szCs w:val="23"/>
        </w:rPr>
        <w:t xml:space="preserve">Aim of the Project - </w:t>
      </w:r>
      <w:r w:rsidRPr="00E92571">
        <w:rPr>
          <w:rFonts w:cs="Arial"/>
          <w:bCs/>
          <w:szCs w:val="23"/>
        </w:rPr>
        <w:t>Introduce time standards and delay reduction practices in courts, and to facilitate the exchange of technical experience between IT administrators.</w:t>
      </w:r>
    </w:p>
    <w:p w:rsidR="00A6008B" w:rsidRPr="00E92571" w:rsidRDefault="00A6008B" w:rsidP="006628AE">
      <w:pPr>
        <w:rPr>
          <w:sz w:val="16"/>
          <w:szCs w:val="23"/>
        </w:rPr>
      </w:pPr>
    </w:p>
    <w:p w:rsidR="00A6008B" w:rsidRPr="00E92571" w:rsidRDefault="00A6008B" w:rsidP="006628AE">
      <w:pPr>
        <w:rPr>
          <w:szCs w:val="23"/>
        </w:rPr>
      </w:pPr>
      <w:r w:rsidRPr="00E92571">
        <w:rPr>
          <w:rFonts w:cs="Arial"/>
          <w:b/>
          <w:bCs/>
          <w:i/>
          <w:szCs w:val="23"/>
        </w:rPr>
        <w:t xml:space="preserve">Target / Outcome (as at June 2015)- </w:t>
      </w:r>
      <w:r w:rsidRPr="00E92571">
        <w:rPr>
          <w:szCs w:val="23"/>
        </w:rPr>
        <w:t>Courts’ capabilities to administer cases efficientlyand to manage court performance areimproved in up to six PICs.</w:t>
      </w:r>
    </w:p>
    <w:p w:rsidR="00A6008B" w:rsidRPr="00461666" w:rsidRDefault="00A6008B" w:rsidP="00461666">
      <w:pPr>
        <w:rPr>
          <w:szCs w:val="23"/>
        </w:rPr>
      </w:pPr>
    </w:p>
    <w:p w:rsidR="00A6008B" w:rsidRPr="00E92571" w:rsidRDefault="00A6008B" w:rsidP="006628AE">
      <w:pPr>
        <w:spacing w:before="40"/>
        <w:rPr>
          <w:b/>
          <w:i/>
          <w:szCs w:val="23"/>
        </w:rPr>
      </w:pPr>
      <w:r w:rsidRPr="00E92571">
        <w:rPr>
          <w:b/>
          <w:i/>
          <w:szCs w:val="23"/>
        </w:rPr>
        <w:t>3.1a</w:t>
      </w:r>
      <w:r w:rsidRPr="00E92571">
        <w:rPr>
          <w:b/>
          <w:i/>
          <w:szCs w:val="23"/>
        </w:rPr>
        <w:tab/>
        <w:t xml:space="preserve">Time StandardsToolkit Implementation </w:t>
      </w:r>
    </w:p>
    <w:p w:rsidR="00A6008B" w:rsidRPr="00E92571" w:rsidRDefault="00A6008B" w:rsidP="006628AE">
      <w:pPr>
        <w:spacing w:before="40"/>
        <w:rPr>
          <w:b/>
          <w:sz w:val="16"/>
          <w:szCs w:val="23"/>
        </w:rPr>
      </w:pPr>
    </w:p>
    <w:p w:rsidR="00A6008B" w:rsidRPr="00E92571" w:rsidRDefault="00A6008B" w:rsidP="007C0E80">
      <w:pPr>
        <w:rPr>
          <w:szCs w:val="23"/>
        </w:rPr>
      </w:pPr>
      <w:r w:rsidRPr="00E92571">
        <w:rPr>
          <w:b/>
          <w:i/>
          <w:szCs w:val="23"/>
        </w:rPr>
        <w:t xml:space="preserve">Aim of the Project - </w:t>
      </w:r>
      <w:r w:rsidRPr="00E92571">
        <w:rPr>
          <w:rFonts w:cs="Arial"/>
          <w:bCs/>
          <w:szCs w:val="23"/>
        </w:rPr>
        <w:t xml:space="preserve">Promote the timely disposal of cases according to promulgated time standards. </w:t>
      </w:r>
    </w:p>
    <w:p w:rsidR="00A6008B" w:rsidRPr="00E92571" w:rsidRDefault="00A6008B" w:rsidP="006628AE">
      <w:pPr>
        <w:spacing w:before="40"/>
        <w:rPr>
          <w:sz w:val="16"/>
          <w:szCs w:val="23"/>
        </w:rPr>
      </w:pPr>
    </w:p>
    <w:p w:rsidR="00A6008B" w:rsidRPr="00E92571" w:rsidRDefault="00A6008B" w:rsidP="00786A4A">
      <w:pPr>
        <w:rPr>
          <w:szCs w:val="23"/>
        </w:rPr>
      </w:pPr>
      <w:r w:rsidRPr="00E92571">
        <w:rPr>
          <w:rFonts w:cs="Arial"/>
          <w:b/>
          <w:bCs/>
          <w:i/>
          <w:szCs w:val="23"/>
        </w:rPr>
        <w:t xml:space="preserve">Target / Outcome (as at June 2015) - </w:t>
      </w:r>
      <w:r w:rsidRPr="00E92571">
        <w:rPr>
          <w:rStyle w:val="CommentReference"/>
          <w:sz w:val="23"/>
          <w:szCs w:val="23"/>
        </w:rPr>
        <w:t xml:space="preserve">Courts </w:t>
      </w:r>
      <w:r w:rsidRPr="00E92571">
        <w:rPr>
          <w:szCs w:val="23"/>
        </w:rPr>
        <w:t xml:space="preserve">in up to six PICs </w:t>
      </w:r>
      <w:r w:rsidRPr="00E92571">
        <w:rPr>
          <w:rStyle w:val="CommentReference"/>
          <w:sz w:val="23"/>
          <w:szCs w:val="23"/>
        </w:rPr>
        <w:t xml:space="preserve">start to report </w:t>
      </w:r>
      <w:r w:rsidRPr="00E92571">
        <w:rPr>
          <w:szCs w:val="23"/>
        </w:rPr>
        <w:t>the percentage of cases disposed of in promulgated time standards;an increase in the percentage of cases disposed of within the promulgated time standards and more efficient court management.</w:t>
      </w:r>
    </w:p>
    <w:p w:rsidR="00A6008B" w:rsidRPr="00E92571" w:rsidRDefault="00A6008B" w:rsidP="00786A4A">
      <w:pPr>
        <w:rPr>
          <w:sz w:val="16"/>
          <w:szCs w:val="23"/>
        </w:rPr>
      </w:pPr>
    </w:p>
    <w:p w:rsidR="00A6008B" w:rsidRPr="00E92571" w:rsidRDefault="00A6008B">
      <w:pPr>
        <w:rPr>
          <w:rFonts w:cs="Arial"/>
          <w:b/>
          <w:bCs/>
          <w:i/>
          <w:szCs w:val="23"/>
        </w:rPr>
      </w:pPr>
      <w:r w:rsidRPr="00E92571">
        <w:rPr>
          <w:rFonts w:cs="Arial"/>
          <w:b/>
          <w:bCs/>
          <w:i/>
          <w:szCs w:val="23"/>
        </w:rPr>
        <w:t>Output(s)</w:t>
      </w:r>
      <w:r w:rsidRPr="00E92571">
        <w:rPr>
          <w:szCs w:val="23"/>
        </w:rPr>
        <w:t xml:space="preserve"> - Courts in up to six PICs introduce time standards for cases and commence reporting on case disposal rates.</w:t>
      </w:r>
    </w:p>
    <w:p w:rsidR="00A6008B" w:rsidRPr="00E92571" w:rsidRDefault="00A6008B" w:rsidP="00FE4AD3">
      <w:pPr>
        <w:tabs>
          <w:tab w:val="left" w:pos="567"/>
        </w:tabs>
        <w:rPr>
          <w:sz w:val="16"/>
          <w:szCs w:val="23"/>
        </w:rPr>
      </w:pPr>
    </w:p>
    <w:p w:rsidR="00A6008B" w:rsidRPr="00E92571" w:rsidRDefault="00A6008B" w:rsidP="00FE4AD3">
      <w:pPr>
        <w:tabs>
          <w:tab w:val="left" w:pos="567"/>
        </w:tabs>
        <w:rPr>
          <w:szCs w:val="23"/>
        </w:rPr>
      </w:pPr>
      <w:r w:rsidRPr="00E92571">
        <w:rPr>
          <w:b/>
          <w:i/>
          <w:szCs w:val="23"/>
        </w:rPr>
        <w:t xml:space="preserve">Inputs - </w:t>
      </w:r>
      <w:r w:rsidRPr="00E92571">
        <w:rPr>
          <w:szCs w:val="23"/>
        </w:rPr>
        <w:t>The Project will comprise:</w:t>
      </w:r>
    </w:p>
    <w:p w:rsidR="00A6008B" w:rsidRPr="00E92571" w:rsidRDefault="00A6008B" w:rsidP="006209D7">
      <w:pPr>
        <w:pStyle w:val="ListParagraph"/>
        <w:numPr>
          <w:ilvl w:val="0"/>
          <w:numId w:val="23"/>
        </w:numPr>
        <w:spacing w:before="40"/>
        <w:rPr>
          <w:szCs w:val="23"/>
          <w:lang/>
        </w:rPr>
      </w:pPr>
      <w:r w:rsidRPr="00E92571">
        <w:rPr>
          <w:rFonts w:cs="Arial Narrow"/>
          <w:szCs w:val="23"/>
          <w:lang/>
        </w:rPr>
        <w:t>Disseminating the time standards toolkit to all PICs for local use.</w:t>
      </w:r>
    </w:p>
    <w:p w:rsidR="00A6008B" w:rsidRPr="00E92571" w:rsidRDefault="00A6008B" w:rsidP="006209D7">
      <w:pPr>
        <w:pStyle w:val="ListParagraph"/>
        <w:numPr>
          <w:ilvl w:val="0"/>
          <w:numId w:val="23"/>
        </w:numPr>
        <w:spacing w:before="40"/>
        <w:rPr>
          <w:lang/>
        </w:rPr>
      </w:pPr>
      <w:r w:rsidRPr="00E92571">
        <w:rPr>
          <w:szCs w:val="23"/>
          <w:lang/>
        </w:rPr>
        <w:t xml:space="preserve">Update the piloted </w:t>
      </w:r>
      <w:r w:rsidRPr="00E92571">
        <w:rPr>
          <w:lang/>
        </w:rPr>
        <w:t xml:space="preserve">time standards toolkit by refining the monthly case reporting frameworks developed in the Pilot PIC to incorporate additional key court performance information that relates to time standards. </w:t>
      </w:r>
    </w:p>
    <w:p w:rsidR="00A6008B" w:rsidRPr="00E92571" w:rsidRDefault="00A6008B" w:rsidP="006209D7">
      <w:pPr>
        <w:pStyle w:val="ListParagraph"/>
        <w:numPr>
          <w:ilvl w:val="0"/>
          <w:numId w:val="23"/>
        </w:numPr>
        <w:spacing w:before="40"/>
        <w:rPr>
          <w:szCs w:val="23"/>
          <w:lang/>
        </w:rPr>
      </w:pPr>
      <w:r w:rsidRPr="00E92571">
        <w:rPr>
          <w:rFonts w:cs="Arial Narrow"/>
          <w:szCs w:val="23"/>
          <w:lang/>
        </w:rPr>
        <w:t>Implementation of updated toolkit in up to twoPICs each year. (2x2 = 4)</w:t>
      </w:r>
    </w:p>
    <w:p w:rsidR="00A6008B" w:rsidRPr="00E92571" w:rsidRDefault="00A6008B" w:rsidP="006209D7">
      <w:pPr>
        <w:pStyle w:val="ListParagraph"/>
        <w:numPr>
          <w:ilvl w:val="0"/>
          <w:numId w:val="23"/>
        </w:numPr>
        <w:spacing w:before="40"/>
        <w:rPr>
          <w:szCs w:val="23"/>
          <w:lang/>
        </w:rPr>
      </w:pPr>
      <w:r w:rsidRPr="00E92571">
        <w:rPr>
          <w:szCs w:val="23"/>
          <w:lang/>
        </w:rPr>
        <w:t>Supporting pilot PIC (Kiribati) with support for ongoing implementation of toolkit.</w:t>
      </w:r>
    </w:p>
    <w:p w:rsidR="00A6008B" w:rsidRPr="00E92571" w:rsidRDefault="00A6008B" w:rsidP="006209D7">
      <w:pPr>
        <w:pStyle w:val="ListParagraph"/>
        <w:numPr>
          <w:ilvl w:val="0"/>
          <w:numId w:val="23"/>
        </w:numPr>
        <w:spacing w:before="40"/>
        <w:rPr>
          <w:szCs w:val="23"/>
          <w:lang/>
        </w:rPr>
      </w:pPr>
      <w:r w:rsidRPr="00E92571">
        <w:rPr>
          <w:szCs w:val="23"/>
          <w:lang/>
        </w:rPr>
        <w:t>Refine the Time Standards Toolkit in light of the experience gained in its implementation.</w:t>
      </w:r>
    </w:p>
    <w:p w:rsidR="00A6008B" w:rsidRPr="00461666" w:rsidRDefault="00A6008B" w:rsidP="00461666">
      <w:pPr>
        <w:rPr>
          <w:szCs w:val="23"/>
        </w:rPr>
      </w:pPr>
    </w:p>
    <w:p w:rsidR="00A6008B" w:rsidRPr="00E92571" w:rsidRDefault="00A6008B" w:rsidP="006628AE">
      <w:pPr>
        <w:spacing w:before="40"/>
        <w:rPr>
          <w:b/>
          <w:i/>
          <w:szCs w:val="23"/>
        </w:rPr>
      </w:pPr>
      <w:r w:rsidRPr="00E92571">
        <w:rPr>
          <w:b/>
          <w:i/>
          <w:szCs w:val="23"/>
        </w:rPr>
        <w:t>3.1b</w:t>
      </w:r>
      <w:r w:rsidRPr="00E92571">
        <w:rPr>
          <w:b/>
          <w:i/>
          <w:szCs w:val="23"/>
        </w:rPr>
        <w:tab/>
        <w:t>Delay Reduction Pilot and Toolkit</w:t>
      </w:r>
    </w:p>
    <w:p w:rsidR="00A6008B" w:rsidRPr="00E92571" w:rsidRDefault="00A6008B" w:rsidP="00200520">
      <w:pPr>
        <w:rPr>
          <w:sz w:val="16"/>
        </w:rPr>
      </w:pPr>
    </w:p>
    <w:p w:rsidR="00A6008B" w:rsidRPr="00E92571" w:rsidRDefault="00A6008B" w:rsidP="007C0E80">
      <w:pPr>
        <w:rPr>
          <w:szCs w:val="23"/>
        </w:rPr>
      </w:pPr>
      <w:r w:rsidRPr="00E92571">
        <w:rPr>
          <w:b/>
          <w:i/>
          <w:szCs w:val="23"/>
        </w:rPr>
        <w:t xml:space="preserve">Aim of the Project - </w:t>
      </w:r>
      <w:r w:rsidRPr="00E92571">
        <w:rPr>
          <w:rFonts w:cs="Arial"/>
          <w:bCs/>
          <w:szCs w:val="23"/>
        </w:rPr>
        <w:t>Reduce delay in the disposal of cases.</w:t>
      </w:r>
    </w:p>
    <w:p w:rsidR="00A6008B" w:rsidRPr="00E92571" w:rsidRDefault="00A6008B" w:rsidP="00200520">
      <w:pPr>
        <w:rPr>
          <w:sz w:val="16"/>
        </w:rPr>
      </w:pPr>
    </w:p>
    <w:p w:rsidR="00A6008B" w:rsidRPr="00E92571" w:rsidRDefault="00A6008B" w:rsidP="00786A4A">
      <w:pPr>
        <w:rPr>
          <w:szCs w:val="23"/>
        </w:rPr>
      </w:pPr>
      <w:r w:rsidRPr="00E92571">
        <w:rPr>
          <w:rFonts w:cs="Arial"/>
          <w:b/>
          <w:bCs/>
          <w:i/>
          <w:szCs w:val="23"/>
        </w:rPr>
        <w:t xml:space="preserve">Target / Outcome (as at June 2015)- </w:t>
      </w:r>
      <w:r w:rsidRPr="00E92571">
        <w:rPr>
          <w:szCs w:val="23"/>
        </w:rPr>
        <w:t>Courts in up to two PICsproactively start reducing delay.</w:t>
      </w:r>
    </w:p>
    <w:p w:rsidR="00A6008B" w:rsidRPr="00E92571" w:rsidRDefault="00A6008B" w:rsidP="00200520">
      <w:pPr>
        <w:rPr>
          <w:sz w:val="16"/>
        </w:rPr>
      </w:pPr>
    </w:p>
    <w:p w:rsidR="00A6008B" w:rsidRPr="00E92571" w:rsidRDefault="00A6008B" w:rsidP="007C0E80">
      <w:pPr>
        <w:rPr>
          <w:szCs w:val="23"/>
        </w:rPr>
      </w:pPr>
      <w:r w:rsidRPr="00E92571">
        <w:rPr>
          <w:rFonts w:cs="Arial"/>
          <w:b/>
          <w:bCs/>
          <w:i/>
          <w:szCs w:val="23"/>
        </w:rPr>
        <w:t>Output(s)-</w:t>
      </w:r>
      <w:r w:rsidRPr="00E92571">
        <w:rPr>
          <w:szCs w:val="23"/>
        </w:rPr>
        <w:t>Courts in up to two PICs introduce delayreduction practices and procedures.</w:t>
      </w:r>
    </w:p>
    <w:p w:rsidR="00A6008B" w:rsidRPr="00E92571" w:rsidRDefault="00A6008B" w:rsidP="001D045A">
      <w:pPr>
        <w:tabs>
          <w:tab w:val="left" w:pos="567"/>
        </w:tabs>
        <w:rPr>
          <w:sz w:val="16"/>
          <w:szCs w:val="23"/>
        </w:rPr>
      </w:pPr>
    </w:p>
    <w:p w:rsidR="00A6008B" w:rsidRPr="00E92571" w:rsidRDefault="00A6008B" w:rsidP="001D045A">
      <w:pPr>
        <w:tabs>
          <w:tab w:val="left" w:pos="567"/>
        </w:tabs>
        <w:rPr>
          <w:szCs w:val="23"/>
        </w:rPr>
      </w:pPr>
      <w:r w:rsidRPr="00E92571">
        <w:rPr>
          <w:b/>
          <w:i/>
          <w:szCs w:val="23"/>
        </w:rPr>
        <w:t xml:space="preserve">Inputs - </w:t>
      </w:r>
      <w:r w:rsidRPr="00E92571">
        <w:rPr>
          <w:szCs w:val="23"/>
        </w:rPr>
        <w:t>The Project will comprise:</w:t>
      </w:r>
    </w:p>
    <w:p w:rsidR="00A6008B" w:rsidRPr="00E92571" w:rsidRDefault="00A6008B" w:rsidP="006209D7">
      <w:pPr>
        <w:pStyle w:val="ListParagraph"/>
        <w:numPr>
          <w:ilvl w:val="0"/>
          <w:numId w:val="24"/>
        </w:numPr>
        <w:spacing w:before="40"/>
        <w:ind w:left="714" w:hanging="357"/>
        <w:rPr>
          <w:szCs w:val="23"/>
          <w:lang/>
        </w:rPr>
      </w:pPr>
      <w:r w:rsidRPr="00E92571">
        <w:rPr>
          <w:szCs w:val="23"/>
          <w:lang/>
        </w:rPr>
        <w:t>Delay reduction Toolkit developed.</w:t>
      </w:r>
    </w:p>
    <w:p w:rsidR="00A6008B" w:rsidRPr="00E92571" w:rsidRDefault="00A6008B" w:rsidP="006209D7">
      <w:pPr>
        <w:pStyle w:val="ListParagraph"/>
        <w:numPr>
          <w:ilvl w:val="0"/>
          <w:numId w:val="24"/>
        </w:numPr>
        <w:spacing w:before="40"/>
        <w:ind w:left="714" w:hanging="357"/>
        <w:rPr>
          <w:szCs w:val="23"/>
          <w:lang/>
        </w:rPr>
      </w:pPr>
      <w:r w:rsidRPr="00E92571">
        <w:rPr>
          <w:szCs w:val="23"/>
          <w:lang/>
        </w:rPr>
        <w:t>Regional Toolkit piloted, results assessed and disseminated to other PICs with the Toolkit.</w:t>
      </w:r>
    </w:p>
    <w:p w:rsidR="00A6008B" w:rsidRPr="00E92571" w:rsidRDefault="00A6008B" w:rsidP="006209D7">
      <w:pPr>
        <w:pStyle w:val="ListParagraph"/>
        <w:numPr>
          <w:ilvl w:val="0"/>
          <w:numId w:val="24"/>
        </w:numPr>
        <w:spacing w:before="40"/>
        <w:ind w:left="714" w:hanging="357"/>
        <w:rPr>
          <w:szCs w:val="23"/>
          <w:lang/>
        </w:rPr>
      </w:pPr>
      <w:r w:rsidRPr="00E92571">
        <w:rPr>
          <w:rFonts w:cs="Arial Narrow"/>
          <w:szCs w:val="23"/>
          <w:lang/>
        </w:rPr>
        <w:t>Implementation of toolkit in one other PIC.</w:t>
      </w:r>
    </w:p>
    <w:p w:rsidR="00A6008B" w:rsidRPr="00E92571" w:rsidRDefault="00A6008B" w:rsidP="006209D7">
      <w:pPr>
        <w:pStyle w:val="ListParagraph"/>
        <w:numPr>
          <w:ilvl w:val="0"/>
          <w:numId w:val="24"/>
        </w:numPr>
        <w:spacing w:before="40"/>
        <w:rPr>
          <w:szCs w:val="23"/>
          <w:lang/>
        </w:rPr>
      </w:pPr>
      <w:r w:rsidRPr="00E92571">
        <w:rPr>
          <w:szCs w:val="23"/>
          <w:lang/>
        </w:rPr>
        <w:t>Supporting pilot PIC with support for ongoing implementation of toolkit.</w:t>
      </w:r>
    </w:p>
    <w:p w:rsidR="00A6008B" w:rsidRPr="00E92571" w:rsidRDefault="00A6008B" w:rsidP="006209D7">
      <w:pPr>
        <w:pStyle w:val="ListParagraph"/>
        <w:numPr>
          <w:ilvl w:val="0"/>
          <w:numId w:val="24"/>
        </w:numPr>
        <w:spacing w:before="40"/>
        <w:rPr>
          <w:szCs w:val="23"/>
          <w:lang/>
        </w:rPr>
      </w:pPr>
      <w:r w:rsidRPr="00E92571">
        <w:rPr>
          <w:szCs w:val="23"/>
          <w:lang/>
        </w:rPr>
        <w:t>Support for introduction and collection of gender disaggregated court dat</w:t>
      </w:r>
      <w:r w:rsidRPr="00E92571">
        <w:rPr>
          <w:lang/>
        </w:rPr>
        <w:t>a as it relates to the Delay Reduction Toolkit and the piloted PIC’s where appropriate and feasible (supported</w:t>
      </w:r>
      <w:r w:rsidRPr="00E92571">
        <w:rPr>
          <w:rFonts w:cs="Arial Narrow"/>
          <w:szCs w:val="23"/>
          <w:lang/>
        </w:rPr>
        <w:t xml:space="preserve"> by PM&amp;E project).</w:t>
      </w:r>
    </w:p>
    <w:p w:rsidR="00A6008B" w:rsidRPr="00461666" w:rsidRDefault="00A6008B" w:rsidP="00461666">
      <w:pPr>
        <w:rPr>
          <w:szCs w:val="23"/>
        </w:rPr>
      </w:pPr>
    </w:p>
    <w:p w:rsidR="00A6008B" w:rsidRPr="00E92571" w:rsidRDefault="00A6008B" w:rsidP="006628AE">
      <w:pPr>
        <w:spacing w:before="40"/>
        <w:rPr>
          <w:b/>
          <w:i/>
          <w:szCs w:val="23"/>
        </w:rPr>
      </w:pPr>
      <w:r w:rsidRPr="00E92571">
        <w:rPr>
          <w:b/>
          <w:i/>
          <w:szCs w:val="23"/>
        </w:rPr>
        <w:t>3.1c</w:t>
      </w:r>
      <w:r w:rsidRPr="00E92571">
        <w:rPr>
          <w:b/>
          <w:i/>
          <w:szCs w:val="23"/>
        </w:rPr>
        <w:tab/>
        <w:t>IT Administrators’ Network</w:t>
      </w:r>
    </w:p>
    <w:p w:rsidR="00A6008B" w:rsidRPr="00E92571" w:rsidRDefault="00A6008B" w:rsidP="00200520">
      <w:pPr>
        <w:rPr>
          <w:sz w:val="16"/>
        </w:rPr>
      </w:pPr>
    </w:p>
    <w:p w:rsidR="00A6008B" w:rsidRPr="00E92571" w:rsidRDefault="00A6008B" w:rsidP="007C0E80">
      <w:pPr>
        <w:rPr>
          <w:szCs w:val="23"/>
        </w:rPr>
      </w:pPr>
      <w:r w:rsidRPr="00E92571">
        <w:rPr>
          <w:b/>
          <w:i/>
          <w:szCs w:val="23"/>
        </w:rPr>
        <w:t>Aim of the Pro</w:t>
      </w:r>
      <w:r w:rsidRPr="00E92571">
        <w:rPr>
          <w:rFonts w:cs="Arial Narrow"/>
          <w:b/>
          <w:i/>
          <w:szCs w:val="23"/>
        </w:rPr>
        <w:t xml:space="preserve">ject - </w:t>
      </w:r>
      <w:r w:rsidRPr="00E92571">
        <w:rPr>
          <w:rFonts w:cs="Arial Narrow"/>
          <w:bCs/>
          <w:szCs w:val="23"/>
        </w:rPr>
        <w:t>Improve PIC</w:t>
      </w:r>
      <w:r w:rsidRPr="00E92571">
        <w:rPr>
          <w:rFonts w:cs="Arial"/>
          <w:bCs/>
          <w:szCs w:val="23"/>
        </w:rPr>
        <w:t>s IT capabilities by providing technical support remotely to facilitate the exchange of experience and problem-solving between IT administrators across the region.</w:t>
      </w:r>
    </w:p>
    <w:p w:rsidR="00A6008B" w:rsidRPr="00E92571" w:rsidRDefault="00A6008B" w:rsidP="00200520">
      <w:pPr>
        <w:rPr>
          <w:sz w:val="16"/>
        </w:rPr>
      </w:pPr>
    </w:p>
    <w:p w:rsidR="00A6008B" w:rsidRPr="00E92571" w:rsidRDefault="00A6008B" w:rsidP="00786A4A">
      <w:pPr>
        <w:rPr>
          <w:szCs w:val="23"/>
        </w:rPr>
      </w:pPr>
      <w:r w:rsidRPr="00E92571">
        <w:rPr>
          <w:rFonts w:cs="Arial"/>
          <w:b/>
          <w:bCs/>
          <w:i/>
          <w:szCs w:val="23"/>
        </w:rPr>
        <w:t>Target / Outcome (as at June 2015) -</w:t>
      </w:r>
      <w:r w:rsidRPr="00E92571">
        <w:rPr>
          <w:szCs w:val="23"/>
        </w:rPr>
        <w:t>The IT capabilities of participating PICs to support judicial administration requirements; specifically relating to time standards and delay reduction, is enhanced.</w:t>
      </w:r>
    </w:p>
    <w:p w:rsidR="00A6008B" w:rsidRPr="00E92571" w:rsidRDefault="00A6008B" w:rsidP="00200520">
      <w:pPr>
        <w:rPr>
          <w:sz w:val="16"/>
        </w:rPr>
      </w:pPr>
    </w:p>
    <w:p w:rsidR="00A6008B" w:rsidRPr="00E92571" w:rsidRDefault="00A6008B" w:rsidP="007C0E80">
      <w:pPr>
        <w:rPr>
          <w:szCs w:val="23"/>
        </w:rPr>
      </w:pPr>
      <w:r w:rsidRPr="00E92571">
        <w:rPr>
          <w:rFonts w:cs="Arial"/>
          <w:b/>
          <w:bCs/>
          <w:i/>
          <w:szCs w:val="23"/>
        </w:rPr>
        <w:t xml:space="preserve">Output(s) - </w:t>
      </w:r>
      <w:r w:rsidRPr="00E92571">
        <w:rPr>
          <w:szCs w:val="23"/>
        </w:rPr>
        <w:t>A regional network of IT administrators established and supported.</w:t>
      </w:r>
    </w:p>
    <w:p w:rsidR="00A6008B" w:rsidRPr="00E92571" w:rsidRDefault="00A6008B" w:rsidP="00200520">
      <w:pPr>
        <w:rPr>
          <w:sz w:val="16"/>
        </w:rPr>
      </w:pPr>
    </w:p>
    <w:p w:rsidR="00A6008B" w:rsidRPr="00E92571" w:rsidRDefault="00A6008B" w:rsidP="007C0E80">
      <w:pPr>
        <w:tabs>
          <w:tab w:val="left" w:pos="567"/>
        </w:tabs>
        <w:rPr>
          <w:szCs w:val="23"/>
        </w:rPr>
      </w:pPr>
      <w:r w:rsidRPr="00E92571">
        <w:rPr>
          <w:b/>
          <w:i/>
          <w:szCs w:val="23"/>
        </w:rPr>
        <w:t xml:space="preserve">Inputs - </w:t>
      </w:r>
      <w:r w:rsidRPr="00E92571">
        <w:rPr>
          <w:szCs w:val="23"/>
        </w:rPr>
        <w:t>The Project will compriseemail and other remote network support for and between IT administrators.</w:t>
      </w:r>
    </w:p>
    <w:p w:rsidR="00A6008B" w:rsidRPr="00461666" w:rsidRDefault="00A6008B" w:rsidP="00461666">
      <w:pPr>
        <w:rPr>
          <w:szCs w:val="23"/>
        </w:rPr>
      </w:pPr>
    </w:p>
    <w:p w:rsidR="00A6008B" w:rsidRPr="00E92571" w:rsidRDefault="00A6008B" w:rsidP="007F6653">
      <w:pPr>
        <w:tabs>
          <w:tab w:val="left" w:pos="567"/>
        </w:tabs>
        <w:ind w:left="567" w:hanging="567"/>
        <w:rPr>
          <w:szCs w:val="23"/>
        </w:rPr>
      </w:pPr>
      <w:r w:rsidRPr="00E92571">
        <w:rPr>
          <w:rFonts w:cs="Arial"/>
          <w:b/>
          <w:i/>
          <w:szCs w:val="23"/>
          <w:lang w:eastAsia="en-US"/>
        </w:rPr>
        <w:t>3.2</w:t>
      </w:r>
      <w:r w:rsidRPr="00E92571">
        <w:rPr>
          <w:rFonts w:cs="Arial"/>
          <w:b/>
          <w:i/>
          <w:szCs w:val="23"/>
          <w:lang w:eastAsia="en-US"/>
        </w:rPr>
        <w:tab/>
        <w:t>CourtAnnual Reporting (formerly the Performance Monitoring and Evaluation) Project</w:t>
      </w:r>
    </w:p>
    <w:p w:rsidR="00A6008B" w:rsidRPr="00E92571" w:rsidRDefault="00A6008B" w:rsidP="00200520">
      <w:pPr>
        <w:rPr>
          <w:sz w:val="16"/>
        </w:rPr>
      </w:pPr>
    </w:p>
    <w:p w:rsidR="00A6008B" w:rsidRPr="00E92571" w:rsidRDefault="00A6008B" w:rsidP="006628AE">
      <w:pPr>
        <w:rPr>
          <w:rFonts w:cs="Arial"/>
          <w:bCs/>
          <w:szCs w:val="23"/>
        </w:rPr>
      </w:pPr>
      <w:r w:rsidRPr="00E92571">
        <w:rPr>
          <w:b/>
          <w:i/>
          <w:szCs w:val="23"/>
        </w:rPr>
        <w:t xml:space="preserve">Aim of the Project - </w:t>
      </w:r>
      <w:r w:rsidRPr="00E92571">
        <w:rPr>
          <w:rFonts w:cs="Arial"/>
          <w:bCs/>
          <w:szCs w:val="23"/>
        </w:rPr>
        <w:t>Support the collection and publication of court performance information.</w:t>
      </w:r>
    </w:p>
    <w:p w:rsidR="00A6008B" w:rsidRPr="00E92571" w:rsidRDefault="00A6008B" w:rsidP="00200520">
      <w:pPr>
        <w:rPr>
          <w:sz w:val="16"/>
        </w:rPr>
      </w:pPr>
    </w:p>
    <w:p w:rsidR="00A6008B" w:rsidRPr="00E92571" w:rsidRDefault="00A6008B" w:rsidP="007C27EA">
      <w:pPr>
        <w:rPr>
          <w:rFonts w:cs="Arial"/>
          <w:b/>
          <w:bCs/>
          <w:i/>
          <w:szCs w:val="23"/>
        </w:rPr>
      </w:pPr>
      <w:r w:rsidRPr="00E92571">
        <w:rPr>
          <w:rFonts w:cs="Arial"/>
          <w:b/>
          <w:bCs/>
          <w:i/>
          <w:szCs w:val="23"/>
        </w:rPr>
        <w:t xml:space="preserve">Target / Outcome (as at June 2015) - </w:t>
      </w:r>
      <w:r w:rsidRPr="00E92571">
        <w:rPr>
          <w:szCs w:val="23"/>
        </w:rPr>
        <w:t xml:space="preserve">Courts </w:t>
      </w:r>
      <w:r w:rsidRPr="00E92571">
        <w:rPr>
          <w:rFonts w:cs="Tahoma"/>
          <w:szCs w:val="23"/>
        </w:rPr>
        <w:t xml:space="preserve">publicly </w:t>
      </w:r>
      <w:r w:rsidRPr="00E92571">
        <w:rPr>
          <w:szCs w:val="23"/>
        </w:rPr>
        <w:t>reporting on performance across the region.</w:t>
      </w:r>
    </w:p>
    <w:p w:rsidR="00A6008B" w:rsidRPr="00E92571" w:rsidRDefault="00A6008B" w:rsidP="00200520">
      <w:pPr>
        <w:rPr>
          <w:sz w:val="16"/>
        </w:rPr>
      </w:pPr>
    </w:p>
    <w:p w:rsidR="00A6008B" w:rsidRPr="00E92571" w:rsidRDefault="00A6008B" w:rsidP="00E82A89">
      <w:pPr>
        <w:rPr>
          <w:rFonts w:cs="Arial"/>
          <w:b/>
          <w:bCs/>
          <w:i/>
          <w:szCs w:val="23"/>
        </w:rPr>
      </w:pPr>
      <w:r w:rsidRPr="00E92571">
        <w:rPr>
          <w:rFonts w:cs="Arial"/>
          <w:b/>
          <w:bCs/>
          <w:i/>
          <w:szCs w:val="23"/>
        </w:rPr>
        <w:t>Output(s)-</w:t>
      </w:r>
    </w:p>
    <w:p w:rsidR="00A6008B" w:rsidRPr="00E92571" w:rsidRDefault="00A6008B" w:rsidP="006209D7">
      <w:pPr>
        <w:pStyle w:val="ListParagraph"/>
        <w:numPr>
          <w:ilvl w:val="0"/>
          <w:numId w:val="32"/>
        </w:numPr>
        <w:rPr>
          <w:rFonts w:cs="Arial"/>
          <w:bCs/>
          <w:szCs w:val="23"/>
          <w:lang/>
        </w:rPr>
      </w:pPr>
      <w:r w:rsidRPr="00E92571">
        <w:rPr>
          <w:rFonts w:cs="Arial"/>
          <w:bCs/>
          <w:szCs w:val="23"/>
          <w:lang/>
        </w:rPr>
        <w:t xml:space="preserve">Timely, accurate and comprehensive annual court reports published </w:t>
      </w:r>
      <w:r w:rsidRPr="00E92571">
        <w:rPr>
          <w:szCs w:val="23"/>
          <w:lang/>
        </w:rPr>
        <w:t>in up to six</w:t>
      </w:r>
      <w:r w:rsidRPr="00E92571">
        <w:rPr>
          <w:rFonts w:cs="Arial"/>
          <w:bCs/>
          <w:szCs w:val="23"/>
          <w:lang/>
        </w:rPr>
        <w:t xml:space="preserve">PICsthat include relevant court data as well as court user feedback on </w:t>
      </w:r>
      <w:r w:rsidRPr="00E92571">
        <w:rPr>
          <w:szCs w:val="23"/>
          <w:lang/>
        </w:rPr>
        <w:t>barriers to accessing, satisfaction with, and confidence in the courts.</w:t>
      </w:r>
    </w:p>
    <w:p w:rsidR="00A6008B" w:rsidRPr="00E92571" w:rsidRDefault="00A6008B" w:rsidP="006209D7">
      <w:pPr>
        <w:pStyle w:val="ListParagraph"/>
        <w:numPr>
          <w:ilvl w:val="0"/>
          <w:numId w:val="32"/>
        </w:numPr>
        <w:rPr>
          <w:rFonts w:cs="Arial"/>
          <w:bCs/>
          <w:szCs w:val="23"/>
          <w:lang/>
        </w:rPr>
      </w:pPr>
      <w:r w:rsidRPr="00E92571">
        <w:rPr>
          <w:rFonts w:cs="Arial"/>
          <w:szCs w:val="23"/>
          <w:lang/>
        </w:rPr>
        <w:t>Year twoand four court performance data and trends reported on regionally.</w:t>
      </w:r>
    </w:p>
    <w:p w:rsidR="00A6008B" w:rsidRPr="00E92571" w:rsidRDefault="00A6008B" w:rsidP="00200520">
      <w:pPr>
        <w:rPr>
          <w:sz w:val="16"/>
        </w:rPr>
      </w:pPr>
    </w:p>
    <w:p w:rsidR="00A6008B" w:rsidRPr="00E92571" w:rsidRDefault="00A6008B" w:rsidP="007C27EA">
      <w:pPr>
        <w:tabs>
          <w:tab w:val="left" w:pos="567"/>
        </w:tabs>
        <w:rPr>
          <w:szCs w:val="23"/>
        </w:rPr>
      </w:pPr>
      <w:r w:rsidRPr="00E92571">
        <w:rPr>
          <w:b/>
          <w:i/>
          <w:szCs w:val="23"/>
        </w:rPr>
        <w:t xml:space="preserve">Inputs - </w:t>
      </w:r>
      <w:r w:rsidRPr="00E92571">
        <w:rPr>
          <w:szCs w:val="23"/>
        </w:rPr>
        <w:t>The Project will comprise:</w:t>
      </w:r>
    </w:p>
    <w:p w:rsidR="00A6008B" w:rsidRPr="00E92571" w:rsidRDefault="00A6008B" w:rsidP="006209D7">
      <w:pPr>
        <w:pStyle w:val="ListParagraph"/>
        <w:numPr>
          <w:ilvl w:val="0"/>
          <w:numId w:val="23"/>
        </w:numPr>
        <w:spacing w:before="40"/>
        <w:rPr>
          <w:szCs w:val="23"/>
          <w:lang/>
        </w:rPr>
      </w:pPr>
      <w:r w:rsidRPr="00E92571">
        <w:rPr>
          <w:szCs w:val="23"/>
          <w:lang/>
        </w:rPr>
        <w:t>Refinement of the piloted court reporting toolkit to include support for implementing, collating, and analysing court user surveys on barriers to accessing, satisfaction with, and confidence in the courts.</w:t>
      </w:r>
    </w:p>
    <w:p w:rsidR="00A6008B" w:rsidRPr="00E92571" w:rsidRDefault="00A6008B" w:rsidP="006209D7">
      <w:pPr>
        <w:pStyle w:val="ListParagraph"/>
        <w:numPr>
          <w:ilvl w:val="0"/>
          <w:numId w:val="23"/>
        </w:numPr>
        <w:spacing w:before="40"/>
        <w:rPr>
          <w:szCs w:val="23"/>
          <w:lang/>
        </w:rPr>
      </w:pPr>
      <w:r w:rsidRPr="00E92571">
        <w:rPr>
          <w:rFonts w:cs="Arial Narrow"/>
          <w:szCs w:val="23"/>
          <w:lang/>
        </w:rPr>
        <w:t>Implementation of annual reporting toolkit in six PICs and follow-up to support to these PICs to publish annual court reports.</w:t>
      </w:r>
      <w:r w:rsidRPr="00E92571">
        <w:rPr>
          <w:rFonts w:cs="Arial Narrow"/>
          <w:i/>
          <w:szCs w:val="23"/>
          <w:lang/>
        </w:rPr>
        <w:t>Note:</w:t>
      </w:r>
      <w:r w:rsidRPr="00E92571">
        <w:rPr>
          <w:rFonts w:cs="Arial Narrow"/>
          <w:szCs w:val="23"/>
          <w:lang/>
        </w:rPr>
        <w:t>once the toolkit has been implemented in a PIC, if further support is sought to develop a second annual report, an application for funding for this work will need to be made via the responsive fund. (3+3=6)</w:t>
      </w:r>
    </w:p>
    <w:p w:rsidR="00A6008B" w:rsidRPr="00E92571" w:rsidRDefault="00A6008B" w:rsidP="006209D7">
      <w:pPr>
        <w:pStyle w:val="ListParagraph"/>
        <w:numPr>
          <w:ilvl w:val="0"/>
          <w:numId w:val="23"/>
        </w:numPr>
        <w:spacing w:before="40"/>
        <w:rPr>
          <w:szCs w:val="23"/>
          <w:lang/>
        </w:rPr>
      </w:pPr>
      <w:r w:rsidRPr="00E92571">
        <w:rPr>
          <w:szCs w:val="23"/>
          <w:lang/>
        </w:rPr>
        <w:t xml:space="preserve">Production of regional report on </w:t>
      </w:r>
      <w:r w:rsidRPr="00E92571">
        <w:rPr>
          <w:rFonts w:cs="Arial Narrow"/>
          <w:szCs w:val="23"/>
          <w:lang/>
        </w:rPr>
        <w:t>court</w:t>
      </w:r>
      <w:r w:rsidRPr="00E92571">
        <w:rPr>
          <w:szCs w:val="23"/>
          <w:lang/>
        </w:rPr>
        <w:t xml:space="preserve"> reporting for </w:t>
      </w:r>
      <w:r w:rsidRPr="00E92571">
        <w:rPr>
          <w:rFonts w:cs="Arial Narrow"/>
          <w:szCs w:val="23"/>
          <w:lang/>
        </w:rPr>
        <w:t>Year</w:t>
      </w:r>
      <w:r w:rsidRPr="00E92571">
        <w:rPr>
          <w:szCs w:val="23"/>
          <w:lang/>
        </w:rPr>
        <w:t xml:space="preserve"> 2 (2012 </w:t>
      </w:r>
      <w:r w:rsidRPr="00E92571">
        <w:rPr>
          <w:rFonts w:cs="Arial Narrow"/>
          <w:szCs w:val="23"/>
          <w:lang/>
        </w:rPr>
        <w:t>Trend Report published in</w:t>
      </w:r>
      <w:r w:rsidRPr="00E92571">
        <w:rPr>
          <w:szCs w:val="23"/>
          <w:lang/>
        </w:rPr>
        <w:t xml:space="preserve"> 2013).</w:t>
      </w:r>
    </w:p>
    <w:p w:rsidR="00A6008B" w:rsidRPr="00E92571" w:rsidRDefault="00A6008B" w:rsidP="006209D7">
      <w:pPr>
        <w:pStyle w:val="ListParagraph"/>
        <w:numPr>
          <w:ilvl w:val="0"/>
          <w:numId w:val="23"/>
        </w:numPr>
        <w:spacing w:before="40"/>
        <w:rPr>
          <w:szCs w:val="23"/>
          <w:lang/>
        </w:rPr>
      </w:pPr>
      <w:r w:rsidRPr="00E92571">
        <w:rPr>
          <w:rFonts w:cs="Arial Narrow"/>
          <w:szCs w:val="23"/>
          <w:lang/>
        </w:rPr>
        <w:t>Interaction with 14 PICs remotely and at one leadership meeting per year, to collect court performance data and the production of regional trend analysis report incorporating up to 4 years of court data:2011-2014 (2014 Trend Report published in 2015).</w:t>
      </w:r>
    </w:p>
    <w:p w:rsidR="00A6008B" w:rsidRPr="00E92571" w:rsidRDefault="00A6008B" w:rsidP="006209D7">
      <w:pPr>
        <w:pStyle w:val="ListParagraph"/>
        <w:numPr>
          <w:ilvl w:val="0"/>
          <w:numId w:val="23"/>
        </w:numPr>
        <w:spacing w:before="40"/>
        <w:rPr>
          <w:szCs w:val="23"/>
          <w:lang/>
        </w:rPr>
      </w:pPr>
      <w:r w:rsidRPr="00E92571">
        <w:rPr>
          <w:rFonts w:cs="Arial Narrow"/>
          <w:szCs w:val="23"/>
          <w:lang/>
        </w:rPr>
        <w:t>Support (to Judicial Administration Project’sDelay Reduction Toolkit Pilot Project) for introduction of gender disaggregated court data.</w:t>
      </w:r>
    </w:p>
    <w:p w:rsidR="00A6008B" w:rsidRPr="00461666" w:rsidRDefault="00A6008B" w:rsidP="00461666">
      <w:pPr>
        <w:rPr>
          <w:szCs w:val="23"/>
        </w:rPr>
      </w:pPr>
    </w:p>
    <w:p w:rsidR="00A6008B" w:rsidRPr="00AC0373" w:rsidRDefault="00A6008B" w:rsidP="006628AE">
      <w:pPr>
        <w:pStyle w:val="Heading3"/>
        <w:rPr>
          <w:smallCaps/>
          <w:sz w:val="24"/>
          <w:szCs w:val="23"/>
          <w:lang w:val="en-AU"/>
        </w:rPr>
      </w:pPr>
      <w:bookmarkStart w:id="59" w:name="_Toc323387533"/>
      <w:bookmarkStart w:id="60" w:name="_Toc352068828"/>
      <w:bookmarkStart w:id="61" w:name="_Toc354487068"/>
      <w:bookmarkStart w:id="62" w:name="_Toc354644463"/>
      <w:r w:rsidRPr="00AC0373">
        <w:rPr>
          <w:smallCaps/>
          <w:sz w:val="24"/>
          <w:szCs w:val="23"/>
          <w:lang w:val="en-AU"/>
        </w:rPr>
        <w:t>Component 4.0:   Professional Development</w:t>
      </w:r>
      <w:bookmarkEnd w:id="59"/>
      <w:bookmarkEnd w:id="60"/>
      <w:bookmarkEnd w:id="61"/>
      <w:bookmarkEnd w:id="62"/>
    </w:p>
    <w:p w:rsidR="00A6008B" w:rsidRPr="00E92571" w:rsidRDefault="00A6008B" w:rsidP="006628AE">
      <w:pPr>
        <w:rPr>
          <w:szCs w:val="23"/>
          <w:lang w:eastAsia="en-US"/>
        </w:rPr>
      </w:pPr>
      <w:r w:rsidRPr="00E92571">
        <w:rPr>
          <w:szCs w:val="23"/>
          <w:lang w:eastAsia="en-US"/>
        </w:rPr>
        <w:t xml:space="preserve">In this component, it is proposed to deliver two projects: the </w:t>
      </w:r>
      <w:r w:rsidRPr="00E92571">
        <w:rPr>
          <w:i/>
          <w:szCs w:val="23"/>
          <w:lang w:eastAsia="en-US"/>
        </w:rPr>
        <w:t>Regional Training Capacity Project</w:t>
      </w:r>
      <w:r w:rsidRPr="00E92571">
        <w:rPr>
          <w:szCs w:val="23"/>
          <w:lang w:eastAsia="en-US"/>
        </w:rPr>
        <w:t xml:space="preserve">; and </w:t>
      </w:r>
      <w:r w:rsidRPr="00E92571">
        <w:rPr>
          <w:i/>
          <w:szCs w:val="23"/>
          <w:lang w:eastAsia="en-US"/>
        </w:rPr>
        <w:t>Core Judicial Development Projec</w:t>
      </w:r>
      <w:r w:rsidRPr="00E92571">
        <w:rPr>
          <w:szCs w:val="23"/>
          <w:lang w:eastAsia="en-US"/>
        </w:rPr>
        <w:t>t, comprisingeightactivities.</w:t>
      </w:r>
    </w:p>
    <w:p w:rsidR="00A6008B" w:rsidRPr="00E92571" w:rsidRDefault="00A6008B" w:rsidP="006628AE">
      <w:pPr>
        <w:rPr>
          <w:rFonts w:cs="Arial"/>
          <w:b/>
          <w:bCs/>
          <w:i/>
          <w:color w:val="FF0000"/>
          <w:sz w:val="16"/>
          <w:szCs w:val="23"/>
        </w:rPr>
      </w:pPr>
    </w:p>
    <w:p w:rsidR="00A6008B" w:rsidRPr="00E92571" w:rsidRDefault="00A6008B" w:rsidP="00BC2558">
      <w:pPr>
        <w:rPr>
          <w:szCs w:val="23"/>
        </w:rPr>
      </w:pPr>
      <w:r w:rsidRPr="00E92571">
        <w:rPr>
          <w:rFonts w:cs="Arial"/>
          <w:b/>
          <w:bCs/>
          <w:i/>
          <w:szCs w:val="23"/>
        </w:rPr>
        <w:t xml:space="preserve">Target / Outcome (as at June 2015) - </w:t>
      </w:r>
      <w:r w:rsidRPr="00E92571">
        <w:rPr>
          <w:szCs w:val="23"/>
        </w:rPr>
        <w:t>Enhanced capability within the region to build professional competence.</w:t>
      </w:r>
    </w:p>
    <w:p w:rsidR="00A6008B" w:rsidRPr="00E92571" w:rsidRDefault="00A6008B" w:rsidP="006628AE">
      <w:pPr>
        <w:rPr>
          <w:rFonts w:cs="Arial"/>
          <w:b/>
          <w:bCs/>
          <w:i/>
          <w:sz w:val="16"/>
          <w:szCs w:val="23"/>
        </w:rPr>
      </w:pPr>
    </w:p>
    <w:p w:rsidR="00A6008B" w:rsidRPr="00E92571" w:rsidRDefault="00A6008B" w:rsidP="006628AE">
      <w:pPr>
        <w:rPr>
          <w:szCs w:val="23"/>
        </w:rPr>
      </w:pPr>
      <w:r w:rsidRPr="00E92571">
        <w:rPr>
          <w:rFonts w:cs="Arial"/>
          <w:b/>
          <w:bCs/>
          <w:i/>
          <w:szCs w:val="23"/>
        </w:rPr>
        <w:t>Output(s) -</w:t>
      </w:r>
      <w:r w:rsidRPr="00E92571">
        <w:rPr>
          <w:szCs w:val="23"/>
        </w:rPr>
        <w:t xml:space="preserve"> PICs have greater capacity and ability to deliver their own professional development training locally and regionally.</w:t>
      </w:r>
    </w:p>
    <w:p w:rsidR="00A6008B" w:rsidRPr="00461666" w:rsidRDefault="00A6008B" w:rsidP="00461666">
      <w:pPr>
        <w:rPr>
          <w:szCs w:val="23"/>
          <w:lang w:eastAsia="en-US"/>
        </w:rPr>
      </w:pPr>
    </w:p>
    <w:p w:rsidR="00A6008B" w:rsidRPr="00E92571" w:rsidRDefault="00A6008B" w:rsidP="006628AE">
      <w:pPr>
        <w:tabs>
          <w:tab w:val="left" w:pos="567"/>
        </w:tabs>
        <w:rPr>
          <w:szCs w:val="23"/>
        </w:rPr>
      </w:pPr>
      <w:r w:rsidRPr="00E92571">
        <w:rPr>
          <w:b/>
          <w:i/>
          <w:szCs w:val="23"/>
          <w:lang w:eastAsia="en-US"/>
        </w:rPr>
        <w:t>4.1</w:t>
      </w:r>
      <w:r w:rsidRPr="00E92571">
        <w:rPr>
          <w:b/>
          <w:i/>
          <w:szCs w:val="23"/>
          <w:lang w:eastAsia="en-US"/>
        </w:rPr>
        <w:tab/>
        <w:t>Regional Training Capacity Project</w:t>
      </w:r>
      <w:r w:rsidRPr="00E92571">
        <w:rPr>
          <w:rFonts w:cs="Arial"/>
          <w:b/>
          <w:i/>
          <w:szCs w:val="23"/>
          <w:lang w:eastAsia="en-US"/>
        </w:rPr>
        <w:t xml:space="preserve">- </w:t>
      </w:r>
      <w:r w:rsidRPr="00E92571">
        <w:rPr>
          <w:rFonts w:cs="Arial"/>
          <w:szCs w:val="23"/>
          <w:lang w:eastAsia="en-US"/>
        </w:rPr>
        <w:t>will include</w:t>
      </w:r>
      <w:r w:rsidRPr="00E92571">
        <w:rPr>
          <w:szCs w:val="23"/>
        </w:rPr>
        <w:t xml:space="preserve">: regional </w:t>
      </w:r>
      <w:r w:rsidRPr="00E92571">
        <w:rPr>
          <w:szCs w:val="23"/>
          <w:lang w:eastAsia="en-US"/>
        </w:rPr>
        <w:t>Certification-level Training-of-Trainers (ToT)</w:t>
      </w:r>
      <w:r w:rsidRPr="00E92571">
        <w:rPr>
          <w:szCs w:val="23"/>
        </w:rPr>
        <w:t xml:space="preserve">; and regional </w:t>
      </w:r>
      <w:r w:rsidRPr="00E92571">
        <w:rPr>
          <w:szCs w:val="23"/>
          <w:lang w:eastAsia="en-US"/>
        </w:rPr>
        <w:t>Advanced RTT Curriculum Development and Programme Management (CD/PM) Workshop</w:t>
      </w:r>
      <w:r w:rsidRPr="00E92571">
        <w:rPr>
          <w:rFonts w:cs="Arial"/>
          <w:szCs w:val="23"/>
          <w:lang w:eastAsia="en-US"/>
        </w:rPr>
        <w:t>, comprising two activities in all.</w:t>
      </w:r>
    </w:p>
    <w:p w:rsidR="00A6008B" w:rsidRPr="00E92571" w:rsidRDefault="00A6008B" w:rsidP="006628AE">
      <w:pPr>
        <w:tabs>
          <w:tab w:val="left" w:pos="567"/>
        </w:tabs>
        <w:rPr>
          <w:sz w:val="16"/>
          <w:szCs w:val="23"/>
        </w:rPr>
      </w:pPr>
    </w:p>
    <w:p w:rsidR="00A6008B" w:rsidRPr="00E92571" w:rsidRDefault="00A6008B" w:rsidP="006628AE">
      <w:pPr>
        <w:rPr>
          <w:szCs w:val="23"/>
        </w:rPr>
      </w:pPr>
      <w:r w:rsidRPr="00E92571">
        <w:rPr>
          <w:b/>
          <w:i/>
          <w:szCs w:val="23"/>
        </w:rPr>
        <w:t xml:space="preserve">Aim of the project - </w:t>
      </w:r>
      <w:r w:rsidRPr="00E92571">
        <w:rPr>
          <w:szCs w:val="23"/>
        </w:rPr>
        <w:t>I</w:t>
      </w:r>
      <w:r w:rsidRPr="00E92571">
        <w:rPr>
          <w:szCs w:val="23"/>
          <w:lang w:eastAsia="en-US"/>
        </w:rPr>
        <w:t xml:space="preserve">mprove the access of </w:t>
      </w:r>
      <w:r w:rsidRPr="00E92571">
        <w:rPr>
          <w:szCs w:val="23"/>
        </w:rPr>
        <w:t xml:space="preserve">PICs to trainers equipped with the knowledge, skills, attitudes and resources required to competently assess needs, design, present, manage, assess, and evaluate training programmes that will build capacity in their own country and/or region.  </w:t>
      </w:r>
    </w:p>
    <w:p w:rsidR="00A6008B" w:rsidRPr="00E92571" w:rsidRDefault="00A6008B" w:rsidP="006628AE">
      <w:pPr>
        <w:rPr>
          <w:sz w:val="16"/>
          <w:szCs w:val="23"/>
        </w:rPr>
      </w:pPr>
    </w:p>
    <w:p w:rsidR="00A6008B" w:rsidRPr="00E92571" w:rsidRDefault="00A6008B" w:rsidP="006628AE">
      <w:pPr>
        <w:rPr>
          <w:szCs w:val="23"/>
        </w:rPr>
      </w:pPr>
      <w:r w:rsidRPr="00E92571">
        <w:rPr>
          <w:rFonts w:cs="Arial"/>
          <w:b/>
          <w:bCs/>
          <w:i/>
          <w:szCs w:val="23"/>
        </w:rPr>
        <w:t xml:space="preserve">Target / Outcome (as at June 2015) - </w:t>
      </w:r>
      <w:r w:rsidRPr="00E92571">
        <w:rPr>
          <w:szCs w:val="23"/>
        </w:rPr>
        <w:t>Enhanced regional and local capability to deliver training.</w:t>
      </w:r>
    </w:p>
    <w:p w:rsidR="00A6008B" w:rsidRPr="00E92571" w:rsidRDefault="00A6008B" w:rsidP="006628AE">
      <w:pPr>
        <w:rPr>
          <w:rFonts w:cs="Arial"/>
          <w:b/>
          <w:bCs/>
          <w:i/>
          <w:sz w:val="16"/>
          <w:szCs w:val="23"/>
        </w:rPr>
      </w:pPr>
    </w:p>
    <w:p w:rsidR="00A6008B" w:rsidRDefault="00A6008B" w:rsidP="006628AE">
      <w:pPr>
        <w:rPr>
          <w:szCs w:val="23"/>
        </w:rPr>
      </w:pPr>
      <w:r w:rsidRPr="00E92571">
        <w:rPr>
          <w:rFonts w:cs="Arial"/>
          <w:b/>
          <w:bCs/>
          <w:i/>
          <w:szCs w:val="23"/>
        </w:rPr>
        <w:t xml:space="preserve">Output(s) - </w:t>
      </w:r>
      <w:r w:rsidRPr="00E92571">
        <w:rPr>
          <w:szCs w:val="23"/>
        </w:rPr>
        <w:t>Capacity of Regional Training Team (RTT) built through certification and advanced Training-of-Trainers, and support network.</w:t>
      </w:r>
    </w:p>
    <w:p w:rsidR="00A6008B" w:rsidRPr="00E92571" w:rsidRDefault="00A6008B" w:rsidP="006628AE">
      <w:pPr>
        <w:tabs>
          <w:tab w:val="left" w:pos="567"/>
        </w:tabs>
        <w:rPr>
          <w:szCs w:val="23"/>
          <w:lang w:eastAsia="en-US"/>
        </w:rPr>
      </w:pPr>
      <w:r w:rsidRPr="00E92571">
        <w:rPr>
          <w:b/>
          <w:i/>
          <w:szCs w:val="23"/>
          <w:lang w:eastAsia="en-US"/>
        </w:rPr>
        <w:t>4.1a</w:t>
      </w:r>
      <w:r w:rsidRPr="00E92571">
        <w:rPr>
          <w:b/>
          <w:i/>
          <w:szCs w:val="23"/>
          <w:lang w:eastAsia="en-US"/>
        </w:rPr>
        <w:tab/>
        <w:t>Certification-level (Capacity Building) Training-of-Trainers</w:t>
      </w:r>
    </w:p>
    <w:p w:rsidR="00A6008B" w:rsidRPr="00E92571" w:rsidRDefault="00A6008B" w:rsidP="006628AE">
      <w:pPr>
        <w:tabs>
          <w:tab w:val="left" w:pos="567"/>
        </w:tabs>
        <w:rPr>
          <w:sz w:val="16"/>
          <w:szCs w:val="23"/>
          <w:lang w:eastAsia="en-US"/>
        </w:rPr>
      </w:pPr>
    </w:p>
    <w:p w:rsidR="00A6008B" w:rsidRPr="00E92571" w:rsidRDefault="00A6008B" w:rsidP="00F12760">
      <w:pPr>
        <w:rPr>
          <w:szCs w:val="23"/>
          <w:lang w:eastAsia="en-US"/>
        </w:rPr>
      </w:pPr>
      <w:r w:rsidRPr="00E92571">
        <w:rPr>
          <w:b/>
          <w:bCs/>
          <w:i/>
          <w:szCs w:val="23"/>
        </w:rPr>
        <w:t xml:space="preserve">Aim of course - </w:t>
      </w:r>
      <w:r w:rsidRPr="00E92571">
        <w:rPr>
          <w:szCs w:val="23"/>
          <w:lang w:eastAsia="en-US"/>
        </w:rPr>
        <w:t xml:space="preserve">Induct new members into the RTT and the </w:t>
      </w:r>
      <w:r w:rsidRPr="00E92571">
        <w:t>possible establishment of National Training Team(s) (NTTs) at the local level to work in conjunction with the RTT</w:t>
      </w:r>
      <w:r w:rsidRPr="00E92571">
        <w:rPr>
          <w:szCs w:val="23"/>
          <w:lang w:eastAsia="en-US"/>
        </w:rPr>
        <w:t>.</w:t>
      </w:r>
    </w:p>
    <w:p w:rsidR="00A6008B" w:rsidRPr="00E92571" w:rsidRDefault="00A6008B" w:rsidP="006628AE">
      <w:pPr>
        <w:tabs>
          <w:tab w:val="left" w:pos="567"/>
        </w:tabs>
        <w:rPr>
          <w:sz w:val="16"/>
          <w:szCs w:val="23"/>
          <w:lang w:eastAsia="en-US"/>
        </w:rPr>
      </w:pPr>
    </w:p>
    <w:p w:rsidR="00A6008B" w:rsidRPr="00E92571" w:rsidRDefault="00A6008B" w:rsidP="001F2023">
      <w:pPr>
        <w:rPr>
          <w:szCs w:val="23"/>
        </w:rPr>
      </w:pPr>
      <w:r w:rsidRPr="00E92571">
        <w:rPr>
          <w:rFonts w:cs="Arial"/>
          <w:b/>
          <w:bCs/>
          <w:i/>
          <w:szCs w:val="23"/>
        </w:rPr>
        <w:t xml:space="preserve">Output(s) - </w:t>
      </w:r>
      <w:r w:rsidRPr="00E92571">
        <w:rPr>
          <w:szCs w:val="23"/>
        </w:rPr>
        <w:t>The RTT is replenished with qualified trainers.</w:t>
      </w:r>
    </w:p>
    <w:p w:rsidR="00A6008B" w:rsidRPr="00BF6486" w:rsidRDefault="00A6008B" w:rsidP="006628AE">
      <w:pPr>
        <w:rPr>
          <w:sz w:val="16"/>
          <w:szCs w:val="23"/>
        </w:rPr>
      </w:pPr>
    </w:p>
    <w:p w:rsidR="00A6008B" w:rsidRPr="00E92571" w:rsidRDefault="00A6008B" w:rsidP="00BC2558">
      <w:pPr>
        <w:rPr>
          <w:szCs w:val="23"/>
        </w:rPr>
      </w:pPr>
      <w:r w:rsidRPr="00E92571">
        <w:rPr>
          <w:b/>
          <w:i/>
          <w:szCs w:val="23"/>
        </w:rPr>
        <w:t xml:space="preserve">Inputs - </w:t>
      </w:r>
      <w:r w:rsidRPr="00E92571">
        <w:rPr>
          <w:szCs w:val="23"/>
        </w:rPr>
        <w:t>The Project will comprise one induction-level ToT conducted.</w:t>
      </w:r>
    </w:p>
    <w:p w:rsidR="00A6008B" w:rsidRPr="00461666" w:rsidRDefault="00A6008B" w:rsidP="00461666">
      <w:pPr>
        <w:rPr>
          <w:szCs w:val="23"/>
        </w:rPr>
      </w:pPr>
    </w:p>
    <w:p w:rsidR="00A6008B" w:rsidRPr="00E92571" w:rsidRDefault="00A6008B" w:rsidP="006628AE">
      <w:pPr>
        <w:tabs>
          <w:tab w:val="left" w:pos="567"/>
        </w:tabs>
        <w:rPr>
          <w:szCs w:val="23"/>
        </w:rPr>
      </w:pPr>
      <w:r w:rsidRPr="00E92571">
        <w:rPr>
          <w:b/>
          <w:i/>
          <w:szCs w:val="23"/>
          <w:lang w:eastAsia="en-US"/>
        </w:rPr>
        <w:t>4.1b</w:t>
      </w:r>
      <w:r w:rsidRPr="00E92571">
        <w:rPr>
          <w:b/>
          <w:i/>
          <w:szCs w:val="23"/>
          <w:lang w:eastAsia="en-US"/>
        </w:rPr>
        <w:tab/>
        <w:t xml:space="preserve">Advanced-levelRTT Curriculum Development and Programme Management Workshop </w:t>
      </w:r>
    </w:p>
    <w:p w:rsidR="00A6008B" w:rsidRPr="00E92571" w:rsidRDefault="00A6008B" w:rsidP="006628AE">
      <w:pPr>
        <w:tabs>
          <w:tab w:val="left" w:pos="567"/>
        </w:tabs>
        <w:rPr>
          <w:sz w:val="16"/>
          <w:szCs w:val="23"/>
          <w:lang w:eastAsia="en-US"/>
        </w:rPr>
      </w:pPr>
    </w:p>
    <w:p w:rsidR="00A6008B" w:rsidRPr="00E92571" w:rsidRDefault="00A6008B" w:rsidP="00E545C4">
      <w:pPr>
        <w:rPr>
          <w:szCs w:val="23"/>
          <w:lang w:eastAsia="en-US"/>
        </w:rPr>
      </w:pPr>
      <w:r w:rsidRPr="00E92571">
        <w:rPr>
          <w:rFonts w:cs="Arial"/>
          <w:b/>
          <w:bCs/>
          <w:i/>
          <w:szCs w:val="23"/>
        </w:rPr>
        <w:t xml:space="preserve">Aim of course - </w:t>
      </w:r>
      <w:r w:rsidRPr="00E92571">
        <w:rPr>
          <w:szCs w:val="23"/>
          <w:lang w:eastAsia="en-US"/>
        </w:rPr>
        <w:t>Consolidate and build the capacity of existing members of the RTT in (a) course design, presentation,and assessment skills, and (b) programme and project management skills</w:t>
      </w:r>
      <w:r w:rsidRPr="00E92571">
        <w:rPr>
          <w:rFonts w:cs="Courier New"/>
          <w:szCs w:val="23"/>
        </w:rPr>
        <w:t>.</w:t>
      </w:r>
    </w:p>
    <w:p w:rsidR="00A6008B" w:rsidRPr="00E92571" w:rsidRDefault="00A6008B" w:rsidP="006628AE">
      <w:pPr>
        <w:tabs>
          <w:tab w:val="left" w:pos="567"/>
        </w:tabs>
        <w:rPr>
          <w:sz w:val="16"/>
          <w:szCs w:val="23"/>
          <w:lang w:eastAsia="en-US"/>
        </w:rPr>
      </w:pPr>
    </w:p>
    <w:p w:rsidR="00A6008B" w:rsidRPr="00E92571" w:rsidRDefault="00A6008B" w:rsidP="00E02AA9">
      <w:pPr>
        <w:rPr>
          <w:rFonts w:cs="Arial"/>
          <w:b/>
          <w:bCs/>
          <w:i/>
          <w:szCs w:val="23"/>
        </w:rPr>
      </w:pPr>
      <w:r w:rsidRPr="00E92571">
        <w:rPr>
          <w:rFonts w:cs="Arial"/>
          <w:b/>
          <w:bCs/>
          <w:i/>
          <w:szCs w:val="23"/>
        </w:rPr>
        <w:t xml:space="preserve">Output(s) - </w:t>
      </w:r>
    </w:p>
    <w:p w:rsidR="00A6008B" w:rsidRPr="00E92571" w:rsidRDefault="00A6008B" w:rsidP="006209D7">
      <w:pPr>
        <w:pStyle w:val="ListParagraph"/>
        <w:numPr>
          <w:ilvl w:val="0"/>
          <w:numId w:val="33"/>
        </w:numPr>
        <w:rPr>
          <w:lang/>
        </w:rPr>
      </w:pPr>
      <w:r w:rsidRPr="00E92571">
        <w:rPr>
          <w:lang/>
        </w:rPr>
        <w:t>Capacity of the RTT to manage and conduct regional and local training is built.</w:t>
      </w:r>
    </w:p>
    <w:p w:rsidR="00A6008B" w:rsidRPr="00E92571" w:rsidRDefault="00A6008B" w:rsidP="006209D7">
      <w:pPr>
        <w:pStyle w:val="ListParagraph"/>
        <w:numPr>
          <w:ilvl w:val="0"/>
          <w:numId w:val="33"/>
        </w:numPr>
        <w:rPr>
          <w:lang/>
        </w:rPr>
      </w:pPr>
      <w:r w:rsidRPr="00E92571">
        <w:rPr>
          <w:lang/>
        </w:rPr>
        <w:t>RTT members have an opportunity to share training resources and methodologies.</w:t>
      </w:r>
    </w:p>
    <w:p w:rsidR="00A6008B" w:rsidRPr="00E92571" w:rsidRDefault="00A6008B" w:rsidP="006628AE">
      <w:pPr>
        <w:rPr>
          <w:sz w:val="16"/>
          <w:szCs w:val="23"/>
        </w:rPr>
      </w:pPr>
    </w:p>
    <w:p w:rsidR="00A6008B" w:rsidRPr="00E92571" w:rsidRDefault="00A6008B" w:rsidP="00E02AA9">
      <w:pPr>
        <w:rPr>
          <w:szCs w:val="23"/>
        </w:rPr>
      </w:pPr>
      <w:r w:rsidRPr="00E92571">
        <w:rPr>
          <w:b/>
          <w:i/>
          <w:szCs w:val="23"/>
        </w:rPr>
        <w:t xml:space="preserve">Inputs - </w:t>
      </w:r>
      <w:r w:rsidRPr="00E92571">
        <w:rPr>
          <w:szCs w:val="23"/>
        </w:rPr>
        <w:t>One advanced-level ToT conducted.</w:t>
      </w:r>
    </w:p>
    <w:p w:rsidR="00A6008B" w:rsidRPr="00461666" w:rsidRDefault="00A6008B" w:rsidP="00461666">
      <w:pPr>
        <w:rPr>
          <w:szCs w:val="23"/>
        </w:rPr>
      </w:pPr>
    </w:p>
    <w:p w:rsidR="00A6008B" w:rsidRPr="00E92571" w:rsidRDefault="00A6008B" w:rsidP="006628AE">
      <w:pPr>
        <w:tabs>
          <w:tab w:val="left" w:pos="567"/>
        </w:tabs>
        <w:rPr>
          <w:szCs w:val="23"/>
          <w:lang w:eastAsia="en-US"/>
        </w:rPr>
      </w:pPr>
      <w:r w:rsidRPr="00E92571">
        <w:rPr>
          <w:b/>
          <w:i/>
          <w:szCs w:val="23"/>
          <w:lang w:eastAsia="en-US"/>
        </w:rPr>
        <w:t>4.1c</w:t>
      </w:r>
      <w:r w:rsidRPr="00E92571">
        <w:rPr>
          <w:b/>
          <w:i/>
          <w:szCs w:val="23"/>
          <w:lang w:eastAsia="en-US"/>
        </w:rPr>
        <w:tab/>
        <w:t>RTT Mentoring Network Project</w:t>
      </w:r>
    </w:p>
    <w:p w:rsidR="00A6008B" w:rsidRPr="00E92571" w:rsidRDefault="00A6008B" w:rsidP="006628AE">
      <w:pPr>
        <w:tabs>
          <w:tab w:val="left" w:pos="567"/>
        </w:tabs>
        <w:rPr>
          <w:sz w:val="16"/>
          <w:szCs w:val="23"/>
        </w:rPr>
      </w:pPr>
    </w:p>
    <w:p w:rsidR="00A6008B" w:rsidRPr="00E92571" w:rsidRDefault="00A6008B" w:rsidP="006628AE">
      <w:pPr>
        <w:rPr>
          <w:rFonts w:cs="Arial"/>
          <w:bCs/>
          <w:szCs w:val="23"/>
        </w:rPr>
      </w:pPr>
      <w:r w:rsidRPr="00E92571">
        <w:rPr>
          <w:b/>
          <w:i/>
          <w:szCs w:val="23"/>
        </w:rPr>
        <w:t xml:space="preserve">Aim of project - </w:t>
      </w:r>
      <w:r w:rsidRPr="00E92571">
        <w:rPr>
          <w:rFonts w:cs="Arial"/>
          <w:bCs/>
          <w:szCs w:val="23"/>
        </w:rPr>
        <w:t>Establish a network to mentor and support members of the RTT remotely.</w:t>
      </w:r>
    </w:p>
    <w:p w:rsidR="00A6008B" w:rsidRPr="00E92571" w:rsidRDefault="00A6008B" w:rsidP="006628AE">
      <w:pPr>
        <w:rPr>
          <w:rFonts w:cs="Arial"/>
          <w:b/>
          <w:bCs/>
          <w:i/>
          <w:sz w:val="16"/>
          <w:szCs w:val="23"/>
        </w:rPr>
      </w:pPr>
    </w:p>
    <w:p w:rsidR="00A6008B" w:rsidRPr="00E92571" w:rsidRDefault="00A6008B" w:rsidP="006628AE">
      <w:pPr>
        <w:rPr>
          <w:rFonts w:cs="Arial"/>
          <w:b/>
          <w:bCs/>
          <w:i/>
          <w:szCs w:val="23"/>
        </w:rPr>
      </w:pPr>
      <w:r w:rsidRPr="00E92571">
        <w:rPr>
          <w:rFonts w:cs="Arial"/>
          <w:b/>
          <w:bCs/>
          <w:i/>
          <w:szCs w:val="23"/>
        </w:rPr>
        <w:t>Output(s) -</w:t>
      </w:r>
    </w:p>
    <w:p w:rsidR="00A6008B" w:rsidRPr="00E92571" w:rsidRDefault="00A6008B" w:rsidP="006209D7">
      <w:pPr>
        <w:pStyle w:val="ListParagraph"/>
        <w:numPr>
          <w:ilvl w:val="0"/>
          <w:numId w:val="26"/>
        </w:numPr>
        <w:rPr>
          <w:szCs w:val="23"/>
          <w:lang/>
        </w:rPr>
      </w:pPr>
      <w:r w:rsidRPr="00E92571">
        <w:rPr>
          <w:szCs w:val="23"/>
          <w:lang/>
        </w:rPr>
        <w:t>A regional network of RTT members established and supported.</w:t>
      </w:r>
    </w:p>
    <w:p w:rsidR="00A6008B" w:rsidRPr="00E92571" w:rsidRDefault="00A6008B" w:rsidP="006209D7">
      <w:pPr>
        <w:pStyle w:val="ListParagraph"/>
        <w:numPr>
          <w:ilvl w:val="0"/>
          <w:numId w:val="26"/>
        </w:numPr>
        <w:rPr>
          <w:rFonts w:cs="Arial"/>
          <w:bCs/>
          <w:szCs w:val="23"/>
          <w:lang/>
        </w:rPr>
      </w:pPr>
      <w:r w:rsidRPr="00E92571">
        <w:rPr>
          <w:rFonts w:cs="Arial"/>
          <w:bCs/>
          <w:szCs w:val="23"/>
          <w:lang/>
        </w:rPr>
        <w:t>RTT members more confidently disposed and able to deliver training locally.</w:t>
      </w:r>
    </w:p>
    <w:p w:rsidR="00A6008B" w:rsidRPr="00E92571" w:rsidRDefault="00A6008B" w:rsidP="006209D7">
      <w:pPr>
        <w:pStyle w:val="ListParagraph"/>
        <w:numPr>
          <w:ilvl w:val="0"/>
          <w:numId w:val="26"/>
        </w:numPr>
        <w:rPr>
          <w:rFonts w:cs="Arial"/>
          <w:bCs/>
          <w:szCs w:val="23"/>
          <w:lang/>
        </w:rPr>
      </w:pPr>
      <w:r w:rsidRPr="00E92571">
        <w:rPr>
          <w:lang/>
        </w:rPr>
        <w:t>RTT members have an opportunity to share training resources and methodologies.</w:t>
      </w:r>
    </w:p>
    <w:p w:rsidR="00A6008B" w:rsidRPr="00E92571" w:rsidRDefault="00A6008B" w:rsidP="006628AE">
      <w:pPr>
        <w:rPr>
          <w:b/>
          <w:i/>
          <w:sz w:val="16"/>
          <w:szCs w:val="23"/>
        </w:rPr>
      </w:pPr>
    </w:p>
    <w:p w:rsidR="00A6008B" w:rsidRPr="00E92571" w:rsidRDefault="00A6008B" w:rsidP="006628AE">
      <w:pPr>
        <w:rPr>
          <w:szCs w:val="23"/>
        </w:rPr>
      </w:pPr>
      <w:r w:rsidRPr="00E92571">
        <w:rPr>
          <w:b/>
          <w:i/>
          <w:szCs w:val="23"/>
        </w:rPr>
        <w:t xml:space="preserve">Inputs - </w:t>
      </w:r>
      <w:r w:rsidRPr="00E92571">
        <w:rPr>
          <w:szCs w:val="23"/>
        </w:rPr>
        <w:t>The Project will comprise:</w:t>
      </w:r>
    </w:p>
    <w:p w:rsidR="00A6008B" w:rsidRPr="00E92571" w:rsidRDefault="00A6008B" w:rsidP="006209D7">
      <w:pPr>
        <w:pStyle w:val="ListParagraph"/>
        <w:numPr>
          <w:ilvl w:val="0"/>
          <w:numId w:val="26"/>
        </w:numPr>
        <w:rPr>
          <w:szCs w:val="23"/>
          <w:lang/>
        </w:rPr>
      </w:pPr>
      <w:r w:rsidRPr="00E92571">
        <w:rPr>
          <w:szCs w:val="23"/>
          <w:lang/>
        </w:rPr>
        <w:t>Email and other remote network support for and between RTT members.</w:t>
      </w:r>
    </w:p>
    <w:p w:rsidR="00A6008B" w:rsidRPr="00E92571" w:rsidRDefault="00A6008B" w:rsidP="006209D7">
      <w:pPr>
        <w:pStyle w:val="ListParagraph"/>
        <w:numPr>
          <w:ilvl w:val="0"/>
          <w:numId w:val="26"/>
        </w:numPr>
        <w:rPr>
          <w:szCs w:val="23"/>
          <w:lang/>
        </w:rPr>
      </w:pPr>
      <w:r w:rsidRPr="00E92571">
        <w:rPr>
          <w:szCs w:val="23"/>
          <w:lang/>
        </w:rPr>
        <w:t>Collection of data with respect to the quantity and quality of training delivered by RTT members.</w:t>
      </w:r>
    </w:p>
    <w:p w:rsidR="00A6008B" w:rsidRPr="00E92571" w:rsidRDefault="00A6008B" w:rsidP="006209D7">
      <w:pPr>
        <w:pStyle w:val="ListParagraph"/>
        <w:numPr>
          <w:ilvl w:val="0"/>
          <w:numId w:val="26"/>
        </w:numPr>
        <w:rPr>
          <w:szCs w:val="23"/>
          <w:lang/>
        </w:rPr>
      </w:pPr>
      <w:r w:rsidRPr="00E92571">
        <w:rPr>
          <w:szCs w:val="23"/>
          <w:lang/>
        </w:rPr>
        <w:t>Assistance by NJDCs to support their RTT members in the planning, delivery, assessment and evaluation of training conducted.</w:t>
      </w:r>
    </w:p>
    <w:p w:rsidR="00A6008B" w:rsidRPr="00461666" w:rsidRDefault="00A6008B" w:rsidP="00461666">
      <w:pPr>
        <w:rPr>
          <w:szCs w:val="23"/>
        </w:rPr>
      </w:pPr>
    </w:p>
    <w:p w:rsidR="00A6008B" w:rsidRPr="00E92571" w:rsidRDefault="00A6008B" w:rsidP="006628AE">
      <w:pPr>
        <w:tabs>
          <w:tab w:val="left" w:pos="567"/>
        </w:tabs>
        <w:rPr>
          <w:rFonts w:cs="Arial"/>
          <w:szCs w:val="23"/>
          <w:lang w:eastAsia="en-US"/>
        </w:rPr>
      </w:pPr>
      <w:r w:rsidRPr="00E92571">
        <w:rPr>
          <w:rFonts w:cs="Arial"/>
          <w:b/>
          <w:i/>
          <w:szCs w:val="23"/>
          <w:lang w:eastAsia="en-US"/>
        </w:rPr>
        <w:t>4.2</w:t>
      </w:r>
      <w:r w:rsidRPr="00E92571">
        <w:rPr>
          <w:rFonts w:cs="Arial"/>
          <w:b/>
          <w:i/>
          <w:szCs w:val="23"/>
          <w:lang w:eastAsia="en-US"/>
        </w:rPr>
        <w:tab/>
        <w:t xml:space="preserve">Core Judicial Development Project - </w:t>
      </w:r>
      <w:r w:rsidRPr="00E92571">
        <w:rPr>
          <w:rFonts w:cs="Arial"/>
          <w:szCs w:val="23"/>
          <w:lang w:eastAsia="en-US"/>
        </w:rPr>
        <w:t>will include</w:t>
      </w:r>
      <w:r w:rsidRPr="00E92571">
        <w:rPr>
          <w:szCs w:val="23"/>
        </w:rPr>
        <w:t>: Orientation for Lay Judicial Officers (regional and local); and Decision-Making Workshop for Law-Trained and Lay Judicial Officers (regional and local)</w:t>
      </w:r>
      <w:r w:rsidRPr="00E92571">
        <w:rPr>
          <w:rFonts w:cs="Arial"/>
          <w:szCs w:val="23"/>
          <w:lang w:eastAsia="en-US"/>
        </w:rPr>
        <w:t>, comprising six activities in all.</w:t>
      </w:r>
    </w:p>
    <w:p w:rsidR="00A6008B" w:rsidRPr="00E92571" w:rsidRDefault="00A6008B" w:rsidP="006628AE">
      <w:pPr>
        <w:rPr>
          <w:b/>
          <w:i/>
          <w:sz w:val="16"/>
          <w:szCs w:val="23"/>
        </w:rPr>
      </w:pPr>
    </w:p>
    <w:p w:rsidR="00A6008B" w:rsidRPr="00E92571" w:rsidRDefault="00A6008B" w:rsidP="00E545C4">
      <w:pPr>
        <w:rPr>
          <w:szCs w:val="23"/>
        </w:rPr>
      </w:pPr>
      <w:r w:rsidRPr="00E92571">
        <w:rPr>
          <w:b/>
          <w:i/>
          <w:szCs w:val="23"/>
        </w:rPr>
        <w:t xml:space="preserve">Aim of the Project - </w:t>
      </w:r>
      <w:r w:rsidRPr="00E92571">
        <w:rPr>
          <w:rFonts w:cs="Arial"/>
          <w:bCs/>
          <w:szCs w:val="23"/>
        </w:rPr>
        <w:t>Support the delivery of core (perennial) training courses to judicial and court officers by RTT members regionally and locally.</w:t>
      </w:r>
    </w:p>
    <w:p w:rsidR="00A6008B" w:rsidRPr="00E92571" w:rsidRDefault="00A6008B" w:rsidP="006628AE">
      <w:pPr>
        <w:rPr>
          <w:b/>
          <w:i/>
          <w:sz w:val="16"/>
          <w:szCs w:val="23"/>
        </w:rPr>
      </w:pPr>
    </w:p>
    <w:p w:rsidR="00A6008B" w:rsidRPr="00E92571" w:rsidRDefault="00A6008B" w:rsidP="006628AE">
      <w:pPr>
        <w:rPr>
          <w:szCs w:val="23"/>
        </w:rPr>
      </w:pPr>
      <w:r w:rsidRPr="00E92571">
        <w:rPr>
          <w:rFonts w:cs="Arial"/>
          <w:b/>
          <w:bCs/>
          <w:i/>
          <w:szCs w:val="23"/>
        </w:rPr>
        <w:t>Target / Outcomes (as at June 2015) -</w:t>
      </w:r>
      <w:r w:rsidRPr="00E92571">
        <w:rPr>
          <w:rFonts w:cs="Arial"/>
          <w:bCs/>
          <w:szCs w:val="23"/>
        </w:rPr>
        <w:t>Judicial officers are more competent, and R</w:t>
      </w:r>
      <w:r w:rsidRPr="00E92571">
        <w:rPr>
          <w:szCs w:val="23"/>
        </w:rPr>
        <w:t>TT members are more experienced and able to deliver training regionally and locally.</w:t>
      </w:r>
    </w:p>
    <w:p w:rsidR="00A6008B" w:rsidRPr="00E92571" w:rsidRDefault="00A6008B" w:rsidP="006628AE">
      <w:pPr>
        <w:rPr>
          <w:rFonts w:cs="Arial"/>
          <w:b/>
          <w:bCs/>
          <w:i/>
          <w:sz w:val="16"/>
          <w:szCs w:val="23"/>
        </w:rPr>
      </w:pPr>
    </w:p>
    <w:p w:rsidR="00A6008B" w:rsidRPr="00E92571" w:rsidRDefault="00A6008B" w:rsidP="006628AE">
      <w:pPr>
        <w:rPr>
          <w:rFonts w:cs="Arial"/>
          <w:b/>
          <w:bCs/>
          <w:i/>
          <w:szCs w:val="23"/>
        </w:rPr>
      </w:pPr>
      <w:r w:rsidRPr="00E92571">
        <w:rPr>
          <w:rFonts w:cs="Arial"/>
          <w:b/>
          <w:bCs/>
          <w:i/>
          <w:szCs w:val="23"/>
        </w:rPr>
        <w:t xml:space="preserve">Output(s) - </w:t>
      </w:r>
    </w:p>
    <w:p w:rsidR="00A6008B" w:rsidRPr="00E92571" w:rsidRDefault="00A6008B" w:rsidP="006209D7">
      <w:pPr>
        <w:pStyle w:val="ListParagraph"/>
        <w:numPr>
          <w:ilvl w:val="0"/>
          <w:numId w:val="25"/>
        </w:numPr>
        <w:rPr>
          <w:szCs w:val="23"/>
          <w:lang/>
        </w:rPr>
      </w:pPr>
      <w:r w:rsidRPr="00E92571">
        <w:rPr>
          <w:szCs w:val="23"/>
          <w:lang/>
        </w:rPr>
        <w:t>Capacity of participating judicial officers is built through training.</w:t>
      </w:r>
    </w:p>
    <w:p w:rsidR="00A6008B" w:rsidRPr="00E92571" w:rsidRDefault="00A6008B" w:rsidP="006209D7">
      <w:pPr>
        <w:pStyle w:val="ListParagraph"/>
        <w:numPr>
          <w:ilvl w:val="0"/>
          <w:numId w:val="25"/>
        </w:numPr>
        <w:rPr>
          <w:szCs w:val="23"/>
          <w:lang/>
        </w:rPr>
      </w:pPr>
      <w:r w:rsidRPr="00E92571">
        <w:rPr>
          <w:szCs w:val="23"/>
          <w:lang/>
        </w:rPr>
        <w:t>Capacity of RTT members is built through experience delivering training at the regional level.</w:t>
      </w:r>
    </w:p>
    <w:p w:rsidR="00A6008B" w:rsidRPr="00E92571" w:rsidRDefault="00A6008B" w:rsidP="006209D7">
      <w:pPr>
        <w:pStyle w:val="ListParagraph"/>
        <w:numPr>
          <w:ilvl w:val="0"/>
          <w:numId w:val="25"/>
        </w:numPr>
        <w:rPr>
          <w:szCs w:val="23"/>
          <w:lang/>
        </w:rPr>
      </w:pPr>
      <w:r w:rsidRPr="00E92571">
        <w:rPr>
          <w:szCs w:val="23"/>
          <w:lang/>
        </w:rPr>
        <w:t>Capacity of RTT members is built to deliver core training at the local level.</w:t>
      </w:r>
    </w:p>
    <w:p w:rsidR="00A6008B" w:rsidRPr="00461666" w:rsidRDefault="00A6008B" w:rsidP="00461666">
      <w:pPr>
        <w:rPr>
          <w:szCs w:val="23"/>
          <w:lang w:eastAsia="en-US"/>
        </w:rPr>
      </w:pPr>
    </w:p>
    <w:p w:rsidR="00A6008B" w:rsidRPr="00E92571" w:rsidRDefault="00A6008B" w:rsidP="006628AE">
      <w:pPr>
        <w:tabs>
          <w:tab w:val="left" w:pos="567"/>
        </w:tabs>
        <w:rPr>
          <w:i/>
          <w:szCs w:val="23"/>
        </w:rPr>
      </w:pPr>
      <w:r w:rsidRPr="00E92571">
        <w:rPr>
          <w:b/>
          <w:i/>
          <w:szCs w:val="23"/>
          <w:lang w:eastAsia="en-US"/>
        </w:rPr>
        <w:t>4.2a</w:t>
      </w:r>
      <w:r w:rsidRPr="00E92571">
        <w:rPr>
          <w:b/>
          <w:i/>
          <w:szCs w:val="23"/>
          <w:lang w:eastAsia="en-US"/>
        </w:rPr>
        <w:tab/>
        <w:t xml:space="preserve">Regional </w:t>
      </w:r>
      <w:r w:rsidRPr="00E92571">
        <w:rPr>
          <w:b/>
          <w:i/>
          <w:szCs w:val="23"/>
        </w:rPr>
        <w:t xml:space="preserve">Orientation Workshop for Lay Judicial Officers </w:t>
      </w:r>
    </w:p>
    <w:p w:rsidR="00A6008B" w:rsidRPr="00E92571" w:rsidRDefault="00A6008B" w:rsidP="006628AE">
      <w:pPr>
        <w:tabs>
          <w:tab w:val="left" w:pos="567"/>
        </w:tabs>
        <w:rPr>
          <w:i/>
          <w:sz w:val="16"/>
          <w:szCs w:val="23"/>
        </w:rPr>
      </w:pPr>
    </w:p>
    <w:p w:rsidR="00A6008B" w:rsidRPr="00E92571" w:rsidRDefault="00A6008B" w:rsidP="00E545C4">
      <w:pPr>
        <w:rPr>
          <w:b/>
          <w:i/>
          <w:szCs w:val="23"/>
        </w:rPr>
      </w:pPr>
      <w:r w:rsidRPr="00E92571">
        <w:rPr>
          <w:b/>
          <w:i/>
          <w:szCs w:val="23"/>
        </w:rPr>
        <w:t xml:space="preserve">Aim of the course - </w:t>
      </w:r>
      <w:r w:rsidRPr="00E92571">
        <w:rPr>
          <w:szCs w:val="23"/>
        </w:rPr>
        <w:t>Provide orientation training for newly-appointed lay judicial officers to support building their knowledge, skills and attitudes to levels of competence.</w:t>
      </w:r>
    </w:p>
    <w:p w:rsidR="00A6008B" w:rsidRPr="00E92571" w:rsidRDefault="00A6008B" w:rsidP="006628AE">
      <w:pPr>
        <w:tabs>
          <w:tab w:val="left" w:pos="567"/>
        </w:tabs>
        <w:rPr>
          <w:i/>
          <w:sz w:val="16"/>
          <w:szCs w:val="23"/>
        </w:rPr>
      </w:pPr>
    </w:p>
    <w:p w:rsidR="00A6008B" w:rsidRDefault="00A6008B" w:rsidP="00E545C4">
      <w:pPr>
        <w:rPr>
          <w:rFonts w:cs="Arial"/>
          <w:bCs/>
          <w:szCs w:val="23"/>
        </w:rPr>
      </w:pPr>
      <w:r w:rsidRPr="00E92571">
        <w:rPr>
          <w:rFonts w:cs="Arial"/>
          <w:b/>
          <w:bCs/>
          <w:i/>
          <w:szCs w:val="23"/>
        </w:rPr>
        <w:t xml:space="preserve">Output(s) - </w:t>
      </w:r>
      <w:r w:rsidRPr="00E92571">
        <w:rPr>
          <w:rFonts w:cs="Arial"/>
          <w:bCs/>
          <w:szCs w:val="23"/>
        </w:rPr>
        <w:t>Enhanced competence of 20-30 newly-appointed lay judicial officers.</w:t>
      </w:r>
    </w:p>
    <w:p w:rsidR="00A6008B" w:rsidRPr="00DE2750" w:rsidRDefault="00A6008B" w:rsidP="00E545C4">
      <w:pPr>
        <w:rPr>
          <w:rFonts w:cs="Arial"/>
          <w:bCs/>
          <w:sz w:val="7"/>
          <w:szCs w:val="23"/>
        </w:rPr>
      </w:pPr>
    </w:p>
    <w:p w:rsidR="00A6008B" w:rsidRPr="00E92571" w:rsidRDefault="00A6008B" w:rsidP="00EB4B01">
      <w:pPr>
        <w:rPr>
          <w:szCs w:val="23"/>
        </w:rPr>
      </w:pPr>
      <w:r w:rsidRPr="00E92571">
        <w:rPr>
          <w:b/>
          <w:i/>
          <w:szCs w:val="23"/>
        </w:rPr>
        <w:t xml:space="preserve">Inputs - </w:t>
      </w:r>
      <w:r w:rsidRPr="00E92571">
        <w:rPr>
          <w:szCs w:val="23"/>
        </w:rPr>
        <w:t xml:space="preserve">One intensive five-day regional orientation course for </w:t>
      </w:r>
      <w:r w:rsidRPr="00E92571">
        <w:rPr>
          <w:rFonts w:cs="Arial"/>
          <w:bCs/>
          <w:szCs w:val="23"/>
        </w:rPr>
        <w:t xml:space="preserve">20-30 </w:t>
      </w:r>
      <w:r w:rsidRPr="00E92571">
        <w:rPr>
          <w:szCs w:val="23"/>
        </w:rPr>
        <w:t>newly appointed lay judicial officers, delivered by members of the RTT</w:t>
      </w:r>
      <w:r>
        <w:rPr>
          <w:szCs w:val="23"/>
        </w:rPr>
        <w:t>and international resource persons,</w:t>
      </w:r>
      <w:r w:rsidRPr="00E92571">
        <w:rPr>
          <w:szCs w:val="23"/>
        </w:rPr>
        <w:t>and follow up with those having undertaken the PJDP training previously to assess improvements in competence.</w:t>
      </w:r>
    </w:p>
    <w:p w:rsidR="00A6008B" w:rsidRPr="00461666" w:rsidRDefault="00A6008B" w:rsidP="00461666">
      <w:pPr>
        <w:rPr>
          <w:szCs w:val="23"/>
        </w:rPr>
      </w:pPr>
    </w:p>
    <w:p w:rsidR="00A6008B" w:rsidRPr="00E92571" w:rsidRDefault="00A6008B" w:rsidP="006628AE">
      <w:pPr>
        <w:tabs>
          <w:tab w:val="left" w:pos="567"/>
        </w:tabs>
        <w:rPr>
          <w:i/>
          <w:szCs w:val="23"/>
        </w:rPr>
      </w:pPr>
      <w:r w:rsidRPr="00E92571">
        <w:rPr>
          <w:b/>
          <w:i/>
          <w:szCs w:val="23"/>
          <w:lang w:eastAsia="en-US"/>
        </w:rPr>
        <w:t>4.2b</w:t>
      </w:r>
      <w:r w:rsidRPr="00E92571">
        <w:rPr>
          <w:b/>
          <w:i/>
          <w:szCs w:val="23"/>
          <w:lang w:eastAsia="en-US"/>
        </w:rPr>
        <w:tab/>
        <w:t xml:space="preserve">Local </w:t>
      </w:r>
      <w:r w:rsidRPr="00E92571">
        <w:rPr>
          <w:b/>
          <w:i/>
          <w:szCs w:val="23"/>
        </w:rPr>
        <w:t>Orientation Training Pilot and Toolkit</w:t>
      </w:r>
    </w:p>
    <w:p w:rsidR="00A6008B" w:rsidRPr="00E92571" w:rsidRDefault="00A6008B" w:rsidP="006628AE">
      <w:pPr>
        <w:tabs>
          <w:tab w:val="left" w:pos="567"/>
        </w:tabs>
        <w:rPr>
          <w:i/>
          <w:sz w:val="16"/>
          <w:szCs w:val="23"/>
        </w:rPr>
      </w:pPr>
    </w:p>
    <w:p w:rsidR="00A6008B" w:rsidRPr="00E92571" w:rsidRDefault="00A6008B" w:rsidP="006628AE">
      <w:pPr>
        <w:rPr>
          <w:rFonts w:cs="Arial"/>
          <w:bCs/>
          <w:szCs w:val="23"/>
        </w:rPr>
      </w:pPr>
      <w:r w:rsidRPr="00E92571">
        <w:rPr>
          <w:b/>
          <w:i/>
          <w:szCs w:val="23"/>
        </w:rPr>
        <w:t xml:space="preserve">Aim of the Project - </w:t>
      </w:r>
      <w:r w:rsidRPr="00E92571">
        <w:rPr>
          <w:rFonts w:cs="Arial"/>
          <w:bCs/>
          <w:szCs w:val="23"/>
        </w:rPr>
        <w:t>Build the capability of RTT members to deliver orientation training locally.</w:t>
      </w:r>
    </w:p>
    <w:p w:rsidR="00A6008B" w:rsidRPr="00E92571" w:rsidRDefault="00A6008B" w:rsidP="006628AE">
      <w:pPr>
        <w:rPr>
          <w:rFonts w:cs="Arial"/>
          <w:b/>
          <w:bCs/>
          <w:i/>
          <w:sz w:val="16"/>
          <w:szCs w:val="23"/>
        </w:rPr>
      </w:pPr>
    </w:p>
    <w:p w:rsidR="00A6008B" w:rsidRPr="00E92571" w:rsidRDefault="00A6008B" w:rsidP="00EB4B01">
      <w:pPr>
        <w:rPr>
          <w:rFonts w:cs="Arial"/>
          <w:bCs/>
          <w:szCs w:val="23"/>
        </w:rPr>
      </w:pPr>
      <w:r w:rsidRPr="00E92571">
        <w:rPr>
          <w:rFonts w:cs="Arial"/>
          <w:b/>
          <w:bCs/>
          <w:i/>
          <w:szCs w:val="23"/>
        </w:rPr>
        <w:t xml:space="preserve">Output(s) - </w:t>
      </w:r>
      <w:r w:rsidRPr="00E92571">
        <w:rPr>
          <w:rFonts w:cs="Arial"/>
          <w:bCs/>
          <w:szCs w:val="23"/>
        </w:rPr>
        <w:t>RTT members more confidently disposed and able to deliver orientation training locally.</w:t>
      </w:r>
    </w:p>
    <w:p w:rsidR="00A6008B" w:rsidRPr="00E92571" w:rsidRDefault="00A6008B" w:rsidP="006628AE">
      <w:pPr>
        <w:rPr>
          <w:b/>
          <w:i/>
          <w:sz w:val="16"/>
          <w:szCs w:val="23"/>
        </w:rPr>
      </w:pPr>
    </w:p>
    <w:p w:rsidR="00A6008B" w:rsidRPr="00E92571" w:rsidRDefault="00A6008B" w:rsidP="006628AE">
      <w:pPr>
        <w:rPr>
          <w:szCs w:val="23"/>
        </w:rPr>
      </w:pPr>
      <w:r w:rsidRPr="00E92571">
        <w:rPr>
          <w:b/>
          <w:i/>
          <w:szCs w:val="23"/>
        </w:rPr>
        <w:t xml:space="preserve">Inputs - </w:t>
      </w:r>
      <w:r w:rsidRPr="00E92571">
        <w:rPr>
          <w:szCs w:val="23"/>
        </w:rPr>
        <w:t>The Project will comprise:</w:t>
      </w:r>
    </w:p>
    <w:p w:rsidR="00A6008B" w:rsidRPr="00E92571" w:rsidRDefault="00A6008B" w:rsidP="006209D7">
      <w:pPr>
        <w:pStyle w:val="ListParagraph"/>
        <w:numPr>
          <w:ilvl w:val="0"/>
          <w:numId w:val="20"/>
        </w:numPr>
        <w:spacing w:before="40"/>
        <w:ind w:left="714" w:hanging="357"/>
        <w:rPr>
          <w:szCs w:val="23"/>
          <w:lang/>
        </w:rPr>
      </w:pPr>
      <w:r w:rsidRPr="00E92571">
        <w:rPr>
          <w:szCs w:val="23"/>
          <w:lang/>
        </w:rPr>
        <w:t>Orientation Course Toolkit developed.</w:t>
      </w:r>
    </w:p>
    <w:p w:rsidR="00A6008B" w:rsidRPr="00E92571" w:rsidRDefault="00A6008B" w:rsidP="006209D7">
      <w:pPr>
        <w:pStyle w:val="ListParagraph"/>
        <w:numPr>
          <w:ilvl w:val="0"/>
          <w:numId w:val="20"/>
        </w:numPr>
        <w:spacing w:before="40"/>
        <w:ind w:left="714" w:hanging="357"/>
        <w:rPr>
          <w:szCs w:val="23"/>
          <w:lang/>
        </w:rPr>
      </w:pPr>
      <w:r w:rsidRPr="00E92571">
        <w:rPr>
          <w:szCs w:val="23"/>
          <w:lang/>
        </w:rPr>
        <w:t>Regional Toolkit piloted, results assessed and disseminated to other PICs with the Toolkit. Supporting pilot PIC with support for ongoing implementation of toolkit.</w:t>
      </w:r>
    </w:p>
    <w:p w:rsidR="00A6008B" w:rsidRPr="00461666" w:rsidRDefault="00A6008B" w:rsidP="00461666">
      <w:pPr>
        <w:rPr>
          <w:szCs w:val="23"/>
        </w:rPr>
      </w:pPr>
    </w:p>
    <w:p w:rsidR="00A6008B" w:rsidRPr="00E92571" w:rsidRDefault="00A6008B" w:rsidP="006628AE">
      <w:pPr>
        <w:tabs>
          <w:tab w:val="left" w:pos="567"/>
        </w:tabs>
        <w:rPr>
          <w:szCs w:val="23"/>
          <w:lang w:eastAsia="en-US"/>
        </w:rPr>
      </w:pPr>
      <w:r w:rsidRPr="00E92571">
        <w:rPr>
          <w:b/>
          <w:i/>
          <w:szCs w:val="23"/>
          <w:lang w:eastAsia="en-US"/>
        </w:rPr>
        <w:t>4.2c</w:t>
      </w:r>
      <w:r w:rsidRPr="00E92571">
        <w:rPr>
          <w:b/>
          <w:i/>
          <w:szCs w:val="23"/>
          <w:lang w:eastAsia="en-US"/>
        </w:rPr>
        <w:tab/>
      </w:r>
      <w:r w:rsidRPr="00E92571">
        <w:rPr>
          <w:b/>
          <w:i/>
          <w:szCs w:val="23"/>
        </w:rPr>
        <w:t xml:space="preserve">Regional Decision-Making Workshops for Law-trained and Lay Judicial Officers </w:t>
      </w:r>
    </w:p>
    <w:p w:rsidR="00A6008B" w:rsidRPr="00E92571" w:rsidRDefault="00A6008B" w:rsidP="006628AE">
      <w:pPr>
        <w:tabs>
          <w:tab w:val="left" w:pos="567"/>
        </w:tabs>
        <w:rPr>
          <w:sz w:val="16"/>
          <w:szCs w:val="23"/>
          <w:lang w:eastAsia="en-US"/>
        </w:rPr>
      </w:pPr>
    </w:p>
    <w:p w:rsidR="00A6008B" w:rsidRPr="00E92571" w:rsidRDefault="00A6008B" w:rsidP="00E545C4">
      <w:pPr>
        <w:rPr>
          <w:szCs w:val="23"/>
        </w:rPr>
      </w:pPr>
      <w:r w:rsidRPr="00E92571">
        <w:rPr>
          <w:b/>
          <w:i/>
          <w:szCs w:val="23"/>
        </w:rPr>
        <w:t xml:space="preserve">Aim of the project - </w:t>
      </w:r>
      <w:r w:rsidRPr="00E92571">
        <w:rPr>
          <w:szCs w:val="23"/>
          <w:lang w:eastAsia="en-US"/>
        </w:rPr>
        <w:t>D</w:t>
      </w:r>
      <w:r w:rsidRPr="00E92571">
        <w:rPr>
          <w:szCs w:val="23"/>
        </w:rPr>
        <w:t>evelop the capacity and skills of (i) law-trained and lay judicial officers to make sound judicial decisions and to deliver judgments (whether orally or in writing), and to (ii) RTT members to provide peer-based support and training in decision-making.</w:t>
      </w:r>
    </w:p>
    <w:p w:rsidR="00A6008B" w:rsidRPr="00E92571" w:rsidRDefault="00A6008B" w:rsidP="006628AE">
      <w:pPr>
        <w:tabs>
          <w:tab w:val="left" w:pos="567"/>
        </w:tabs>
        <w:rPr>
          <w:sz w:val="16"/>
          <w:szCs w:val="23"/>
        </w:rPr>
      </w:pPr>
    </w:p>
    <w:p w:rsidR="00A6008B" w:rsidRPr="00E92571" w:rsidRDefault="00A6008B" w:rsidP="006628AE">
      <w:pPr>
        <w:rPr>
          <w:rFonts w:cs="Arial"/>
          <w:b/>
          <w:bCs/>
          <w:i/>
          <w:szCs w:val="23"/>
        </w:rPr>
      </w:pPr>
      <w:r w:rsidRPr="00E92571">
        <w:rPr>
          <w:rFonts w:cs="Arial"/>
          <w:b/>
          <w:bCs/>
          <w:i/>
          <w:szCs w:val="23"/>
        </w:rPr>
        <w:t>Output(s)</w:t>
      </w:r>
    </w:p>
    <w:p w:rsidR="00A6008B" w:rsidRPr="00E92571" w:rsidRDefault="00A6008B" w:rsidP="006209D7">
      <w:pPr>
        <w:pStyle w:val="ListParagraph"/>
        <w:numPr>
          <w:ilvl w:val="0"/>
          <w:numId w:val="27"/>
        </w:numPr>
        <w:rPr>
          <w:szCs w:val="23"/>
          <w:lang/>
        </w:rPr>
      </w:pPr>
      <w:r w:rsidRPr="00E92571">
        <w:rPr>
          <w:szCs w:val="23"/>
          <w:lang/>
        </w:rPr>
        <w:t>Capacity ofup to 30law-trained and layjudicial officers built by participating in two separatedecision-making workshops.</w:t>
      </w:r>
    </w:p>
    <w:p w:rsidR="00A6008B" w:rsidRPr="00E92571" w:rsidRDefault="00A6008B" w:rsidP="006209D7">
      <w:pPr>
        <w:pStyle w:val="ListParagraph"/>
        <w:numPr>
          <w:ilvl w:val="0"/>
          <w:numId w:val="27"/>
        </w:numPr>
        <w:rPr>
          <w:szCs w:val="23"/>
          <w:lang/>
        </w:rPr>
      </w:pPr>
      <w:r w:rsidRPr="00E92571">
        <w:rPr>
          <w:szCs w:val="23"/>
          <w:lang/>
        </w:rPr>
        <w:t>Capacity of RTT members built through experience delivering peer-based support and training in decision-making at the regional level.</w:t>
      </w:r>
    </w:p>
    <w:p w:rsidR="00A6008B" w:rsidRPr="00E92571" w:rsidRDefault="00A6008B" w:rsidP="006209D7">
      <w:pPr>
        <w:pStyle w:val="ListParagraph"/>
        <w:numPr>
          <w:ilvl w:val="0"/>
          <w:numId w:val="27"/>
        </w:numPr>
        <w:rPr>
          <w:rFonts w:cs="Arial"/>
          <w:bCs/>
          <w:szCs w:val="23"/>
          <w:lang/>
        </w:rPr>
      </w:pPr>
      <w:r w:rsidRPr="00E92571">
        <w:rPr>
          <w:rFonts w:cs="Arial"/>
          <w:bCs/>
          <w:szCs w:val="23"/>
          <w:lang/>
        </w:rPr>
        <w:t>RTT members more confidently disposed and able to provide peer-based support and training in decision-making at the local level.</w:t>
      </w:r>
    </w:p>
    <w:p w:rsidR="00A6008B" w:rsidRPr="00E92571" w:rsidRDefault="00A6008B" w:rsidP="006628AE">
      <w:pPr>
        <w:rPr>
          <w:sz w:val="16"/>
          <w:szCs w:val="23"/>
        </w:rPr>
      </w:pPr>
    </w:p>
    <w:p w:rsidR="00A6008B" w:rsidRPr="00E92571" w:rsidRDefault="00A6008B" w:rsidP="008B0227">
      <w:pPr>
        <w:rPr>
          <w:color w:val="FF0000"/>
          <w:szCs w:val="23"/>
        </w:rPr>
      </w:pPr>
      <w:r w:rsidRPr="00E92571">
        <w:rPr>
          <w:b/>
          <w:i/>
          <w:szCs w:val="23"/>
        </w:rPr>
        <w:t xml:space="preserve">Inputs - </w:t>
      </w:r>
      <w:r w:rsidRPr="00E92571">
        <w:rPr>
          <w:szCs w:val="23"/>
        </w:rPr>
        <w:t>Two regional in-service decision-making workshops: one for law-trained judicial officers; and one for lay judicial officers, co-facilitated by RTT members.</w:t>
      </w:r>
    </w:p>
    <w:p w:rsidR="00A6008B" w:rsidRPr="00461666" w:rsidRDefault="00A6008B" w:rsidP="00461666">
      <w:pPr>
        <w:rPr>
          <w:szCs w:val="23"/>
        </w:rPr>
      </w:pPr>
    </w:p>
    <w:p w:rsidR="00A6008B" w:rsidRPr="00E92571" w:rsidRDefault="00A6008B" w:rsidP="006628AE">
      <w:pPr>
        <w:spacing w:before="40"/>
        <w:rPr>
          <w:b/>
          <w:i/>
          <w:szCs w:val="23"/>
        </w:rPr>
      </w:pPr>
      <w:r w:rsidRPr="00E92571">
        <w:rPr>
          <w:b/>
          <w:i/>
          <w:szCs w:val="23"/>
        </w:rPr>
        <w:t>4.2d</w:t>
      </w:r>
      <w:r w:rsidRPr="00E92571">
        <w:rPr>
          <w:b/>
          <w:i/>
          <w:szCs w:val="23"/>
        </w:rPr>
        <w:tab/>
        <w:t xml:space="preserve">Local Decision-Making Pilot and Toolkit </w:t>
      </w:r>
    </w:p>
    <w:p w:rsidR="00A6008B" w:rsidRPr="00E92571" w:rsidRDefault="00A6008B" w:rsidP="008B0227">
      <w:pPr>
        <w:rPr>
          <w:sz w:val="16"/>
        </w:rPr>
      </w:pPr>
    </w:p>
    <w:p w:rsidR="00A6008B" w:rsidRPr="00E92571" w:rsidRDefault="00A6008B" w:rsidP="007C0E80">
      <w:pPr>
        <w:rPr>
          <w:b/>
          <w:i/>
          <w:szCs w:val="23"/>
        </w:rPr>
      </w:pPr>
      <w:r w:rsidRPr="00E92571">
        <w:rPr>
          <w:b/>
          <w:i/>
          <w:szCs w:val="23"/>
        </w:rPr>
        <w:t xml:space="preserve">Aim of the project - </w:t>
      </w:r>
      <w:r w:rsidRPr="00E92571">
        <w:rPr>
          <w:szCs w:val="23"/>
          <w:lang w:eastAsia="en-US"/>
        </w:rPr>
        <w:t>The purpose of this project is to build the capacity of RTT members to provide peer-based support and training on decision-making at the local level.</w:t>
      </w:r>
    </w:p>
    <w:p w:rsidR="00A6008B" w:rsidRPr="00F84321" w:rsidRDefault="00A6008B" w:rsidP="00F84321">
      <w:pPr>
        <w:rPr>
          <w:sz w:val="16"/>
        </w:rPr>
      </w:pPr>
    </w:p>
    <w:p w:rsidR="00A6008B" w:rsidRPr="00E92571" w:rsidRDefault="00A6008B" w:rsidP="007C0E80">
      <w:pPr>
        <w:rPr>
          <w:rFonts w:cs="Arial"/>
          <w:bCs/>
          <w:szCs w:val="23"/>
        </w:rPr>
      </w:pPr>
      <w:r w:rsidRPr="00E92571">
        <w:rPr>
          <w:rFonts w:cs="Arial"/>
          <w:b/>
          <w:bCs/>
          <w:i/>
          <w:szCs w:val="23"/>
        </w:rPr>
        <w:t xml:space="preserve">Output(s) - </w:t>
      </w:r>
      <w:r w:rsidRPr="00E92571">
        <w:rPr>
          <w:szCs w:val="23"/>
        </w:rPr>
        <w:t xml:space="preserve">Members of the RTT are </w:t>
      </w:r>
      <w:r w:rsidRPr="00E92571">
        <w:rPr>
          <w:rFonts w:cs="Arial"/>
          <w:bCs/>
          <w:szCs w:val="23"/>
        </w:rPr>
        <w:t>more confidently disposed and able to deliver peer-based support and training on decision-making training locally.</w:t>
      </w:r>
    </w:p>
    <w:p w:rsidR="00A6008B" w:rsidRPr="00E92571" w:rsidRDefault="00A6008B" w:rsidP="00485A61">
      <w:pPr>
        <w:pStyle w:val="ListParagraph"/>
        <w:rPr>
          <w:sz w:val="16"/>
          <w:szCs w:val="23"/>
          <w:lang/>
        </w:rPr>
      </w:pPr>
    </w:p>
    <w:p w:rsidR="00A6008B" w:rsidRPr="00E92571" w:rsidRDefault="00A6008B" w:rsidP="00AB250F">
      <w:pPr>
        <w:rPr>
          <w:szCs w:val="23"/>
        </w:rPr>
      </w:pPr>
      <w:r w:rsidRPr="00E92571">
        <w:rPr>
          <w:b/>
          <w:i/>
          <w:szCs w:val="23"/>
        </w:rPr>
        <w:t xml:space="preserve">Inputs - </w:t>
      </w:r>
      <w:r w:rsidRPr="00E92571">
        <w:rPr>
          <w:szCs w:val="23"/>
        </w:rPr>
        <w:t>The Project will comprise:</w:t>
      </w:r>
    </w:p>
    <w:p w:rsidR="00A6008B" w:rsidRPr="00E92571" w:rsidRDefault="00A6008B" w:rsidP="006209D7">
      <w:pPr>
        <w:pStyle w:val="ListParagraph"/>
        <w:numPr>
          <w:ilvl w:val="0"/>
          <w:numId w:val="24"/>
        </w:numPr>
        <w:spacing w:before="40"/>
        <w:ind w:left="714" w:hanging="357"/>
        <w:rPr>
          <w:szCs w:val="23"/>
          <w:lang/>
        </w:rPr>
      </w:pPr>
      <w:r w:rsidRPr="00E92571">
        <w:rPr>
          <w:szCs w:val="23"/>
          <w:lang/>
        </w:rPr>
        <w:t>Decision-Making Toolkit developed.</w:t>
      </w:r>
    </w:p>
    <w:p w:rsidR="00A6008B" w:rsidRPr="00E92571" w:rsidRDefault="00A6008B" w:rsidP="006209D7">
      <w:pPr>
        <w:pStyle w:val="ListParagraph"/>
        <w:numPr>
          <w:ilvl w:val="0"/>
          <w:numId w:val="24"/>
        </w:numPr>
        <w:spacing w:before="40"/>
        <w:ind w:left="714" w:hanging="357"/>
        <w:rPr>
          <w:szCs w:val="23"/>
          <w:lang/>
        </w:rPr>
      </w:pPr>
      <w:r w:rsidRPr="00E92571">
        <w:rPr>
          <w:szCs w:val="23"/>
          <w:lang/>
        </w:rPr>
        <w:t>Regional Toolkit piloted (in parallel with Regional Decision Making Workshops), results assessed and disseminated to other PICs with the Toolkits.</w:t>
      </w:r>
    </w:p>
    <w:p w:rsidR="00A6008B" w:rsidRPr="00E92571" w:rsidRDefault="00A6008B" w:rsidP="006209D7">
      <w:pPr>
        <w:pStyle w:val="ListParagraph"/>
        <w:numPr>
          <w:ilvl w:val="0"/>
          <w:numId w:val="24"/>
        </w:numPr>
        <w:spacing w:before="40"/>
        <w:ind w:left="714" w:hanging="357"/>
        <w:rPr>
          <w:szCs w:val="23"/>
          <w:lang/>
        </w:rPr>
      </w:pPr>
      <w:r w:rsidRPr="00E92571">
        <w:rPr>
          <w:rFonts w:cs="Arial Narrow"/>
          <w:szCs w:val="23"/>
          <w:lang/>
        </w:rPr>
        <w:t>Implementation of toolkit in onePIC.</w:t>
      </w:r>
    </w:p>
    <w:p w:rsidR="00A6008B" w:rsidRPr="00E92571" w:rsidRDefault="00A6008B" w:rsidP="006209D7">
      <w:pPr>
        <w:pStyle w:val="ListParagraph"/>
        <w:numPr>
          <w:ilvl w:val="0"/>
          <w:numId w:val="24"/>
        </w:numPr>
        <w:spacing w:before="40"/>
        <w:ind w:left="714" w:hanging="357"/>
        <w:rPr>
          <w:szCs w:val="23"/>
          <w:lang/>
        </w:rPr>
      </w:pPr>
      <w:r w:rsidRPr="00E92571">
        <w:rPr>
          <w:szCs w:val="23"/>
          <w:lang/>
        </w:rPr>
        <w:t>Supporting pilot PIC with ongoing implementation of toolkit, as required.</w:t>
      </w:r>
    </w:p>
    <w:p w:rsidR="00A6008B" w:rsidRPr="00E92571" w:rsidRDefault="00A6008B" w:rsidP="00C037A7">
      <w:pPr>
        <w:rPr>
          <w:szCs w:val="23"/>
        </w:rPr>
      </w:pPr>
    </w:p>
    <w:p w:rsidR="00A6008B" w:rsidRPr="00E92571" w:rsidRDefault="00A6008B" w:rsidP="00527D6D">
      <w:pPr>
        <w:pStyle w:val="Heading2"/>
        <w:numPr>
          <w:ilvl w:val="0"/>
          <w:numId w:val="11"/>
        </w:numPr>
        <w:ind w:hanging="720"/>
      </w:pPr>
      <w:bookmarkStart w:id="63" w:name="_Toc354644464"/>
      <w:r w:rsidRPr="00E92571">
        <w:rPr>
          <w:rFonts w:cs="Arial"/>
          <w:lang w:eastAsia="en-US"/>
        </w:rPr>
        <w:t>Additional Activities</w:t>
      </w:r>
      <w:r w:rsidRPr="00E92571">
        <w:t xml:space="preserve"> for Approval</w:t>
      </w:r>
      <w:bookmarkEnd w:id="63"/>
    </w:p>
    <w:p w:rsidR="00A6008B" w:rsidRPr="00F84321" w:rsidRDefault="00A6008B" w:rsidP="00527D6D">
      <w:pPr>
        <w:rPr>
          <w:sz w:val="20"/>
          <w:szCs w:val="23"/>
        </w:rPr>
      </w:pPr>
    </w:p>
    <w:p w:rsidR="00A6008B" w:rsidRDefault="00A6008B" w:rsidP="00413CCF">
      <w:pPr>
        <w:tabs>
          <w:tab w:val="left" w:pos="567"/>
        </w:tabs>
        <w:rPr>
          <w:szCs w:val="23"/>
        </w:rPr>
      </w:pPr>
      <w:r w:rsidRPr="00E92571">
        <w:rPr>
          <w:szCs w:val="22"/>
        </w:rPr>
        <w:t xml:space="preserve">In addition to the above activities, the MSC has developed a number of costed activities for the approval of the PEC and MFAT.  These activities have been developed further to discussions at the most recent PEC Meeting, where discussions noted that </w:t>
      </w:r>
      <w:r>
        <w:rPr>
          <w:szCs w:val="23"/>
        </w:rPr>
        <w:t>the:-</w:t>
      </w:r>
    </w:p>
    <w:p w:rsidR="00A6008B" w:rsidRPr="00BF6486" w:rsidRDefault="00A6008B" w:rsidP="00413CCF">
      <w:pPr>
        <w:tabs>
          <w:tab w:val="left" w:pos="567"/>
        </w:tabs>
        <w:rPr>
          <w:sz w:val="10"/>
          <w:szCs w:val="23"/>
        </w:rPr>
      </w:pPr>
    </w:p>
    <w:p w:rsidR="00A6008B" w:rsidRPr="00DE2750" w:rsidRDefault="00A6008B" w:rsidP="00DE2750">
      <w:pPr>
        <w:tabs>
          <w:tab w:val="left" w:pos="567"/>
        </w:tabs>
        <w:ind w:left="567"/>
        <w:rPr>
          <w:i/>
          <w:szCs w:val="23"/>
        </w:rPr>
      </w:pPr>
      <w:r w:rsidRPr="00E92571">
        <w:rPr>
          <w:szCs w:val="23"/>
        </w:rPr>
        <w:t>“</w:t>
      </w:r>
      <w:r w:rsidRPr="00E92571">
        <w:rPr>
          <w:i/>
          <w:szCs w:val="23"/>
        </w:rPr>
        <w:t>...MSC should plan and budget for additional activities in advance so that these can be approvedahead of time.  Such planning may include developing additional costed activities as part of the24-month Extension Plan.  Such approved additional activities, while beyond the initial budget, might subsequently be implemented following a Limited Impact Variation or a formal substantive variation in line with the International Development Groups’ Business Policy should an underspend occur during the extension period.</w:t>
      </w:r>
      <w:r w:rsidRPr="00E92571">
        <w:rPr>
          <w:szCs w:val="23"/>
        </w:rPr>
        <w:t>”</w:t>
      </w:r>
      <w:r w:rsidRPr="00E92571">
        <w:rPr>
          <w:rStyle w:val="FootnoteReference"/>
          <w:szCs w:val="23"/>
        </w:rPr>
        <w:footnoteReference w:id="15"/>
      </w:r>
    </w:p>
    <w:p w:rsidR="00A6008B" w:rsidRPr="00F84321" w:rsidRDefault="00A6008B" w:rsidP="00413CCF">
      <w:pPr>
        <w:tabs>
          <w:tab w:val="left" w:pos="567"/>
        </w:tabs>
        <w:rPr>
          <w:sz w:val="20"/>
          <w:szCs w:val="22"/>
        </w:rPr>
      </w:pPr>
    </w:p>
    <w:p w:rsidR="00A6008B" w:rsidRPr="00E92571" w:rsidRDefault="00A6008B" w:rsidP="00413CCF">
      <w:pPr>
        <w:tabs>
          <w:tab w:val="left" w:pos="567"/>
        </w:tabs>
        <w:rPr>
          <w:szCs w:val="22"/>
        </w:rPr>
      </w:pPr>
      <w:r w:rsidRPr="00E92571">
        <w:rPr>
          <w:szCs w:val="22"/>
        </w:rPr>
        <w:t>Any additional activities may be undertaken will be based on the demand from PIC(s) for a specific activity or type of activity.  Implementation will be subject to the availability of sufficient funds.  The following additional activity-types are proposed and indicative budgets developed:</w:t>
      </w:r>
    </w:p>
    <w:p w:rsidR="00A6008B" w:rsidRPr="00F84321" w:rsidRDefault="00A6008B" w:rsidP="00754EA3">
      <w:pPr>
        <w:tabs>
          <w:tab w:val="left" w:pos="567"/>
        </w:tabs>
        <w:rPr>
          <w:sz w:val="20"/>
          <w:szCs w:val="22"/>
        </w:rPr>
      </w:pPr>
    </w:p>
    <w:p w:rsidR="00A6008B" w:rsidRPr="00E92571" w:rsidRDefault="00A6008B" w:rsidP="00EF181E">
      <w:pPr>
        <w:pStyle w:val="ListParagraph"/>
        <w:numPr>
          <w:ilvl w:val="0"/>
          <w:numId w:val="46"/>
        </w:numPr>
        <w:ind w:left="284" w:hanging="284"/>
        <w:rPr>
          <w:szCs w:val="22"/>
          <w:lang/>
        </w:rPr>
      </w:pPr>
      <w:r w:rsidRPr="00E92571">
        <w:rPr>
          <w:b/>
          <w:i/>
          <w:szCs w:val="22"/>
          <w:lang/>
        </w:rPr>
        <w:t>Additional Toolkit Implementation -</w:t>
      </w:r>
      <w:r w:rsidRPr="00E92571">
        <w:rPr>
          <w:szCs w:val="22"/>
          <w:lang/>
        </w:rPr>
        <w:t xml:space="preserve"> specific types of toolkit activities include:</w:t>
      </w:r>
    </w:p>
    <w:p w:rsidR="00A6008B" w:rsidRPr="00E92571" w:rsidRDefault="00A6008B" w:rsidP="00312406">
      <w:pPr>
        <w:pStyle w:val="ListParagraph"/>
        <w:numPr>
          <w:ilvl w:val="0"/>
          <w:numId w:val="31"/>
        </w:numPr>
        <w:spacing w:before="20"/>
        <w:ind w:left="714" w:hanging="357"/>
        <w:rPr>
          <w:lang/>
        </w:rPr>
      </w:pPr>
      <w:r w:rsidRPr="00E92571">
        <w:rPr>
          <w:lang/>
        </w:rPr>
        <w:t xml:space="preserve">Access to Justice Project (formerly CDR) Toolkit Implementation(see </w:t>
      </w:r>
      <w:r w:rsidRPr="00E92571">
        <w:rPr>
          <w:b/>
          <w:i/>
          <w:lang/>
        </w:rPr>
        <w:t>Annex Three-A1</w:t>
      </w:r>
      <w:r w:rsidRPr="00E92571">
        <w:rPr>
          <w:lang/>
        </w:rPr>
        <w:t>).</w:t>
      </w:r>
    </w:p>
    <w:p w:rsidR="00A6008B" w:rsidRPr="00E92571" w:rsidRDefault="00A6008B" w:rsidP="00312406">
      <w:pPr>
        <w:pStyle w:val="ListParagraph"/>
        <w:numPr>
          <w:ilvl w:val="0"/>
          <w:numId w:val="31"/>
        </w:numPr>
        <w:spacing w:before="20"/>
        <w:ind w:left="714" w:hanging="357"/>
        <w:rPr>
          <w:lang/>
        </w:rPr>
      </w:pPr>
      <w:r w:rsidRPr="00E92571">
        <w:rPr>
          <w:lang/>
        </w:rPr>
        <w:t xml:space="preserve">Codes of Judicial Conduct Toolkit and Complaints Handling Toolkit Development / Implementation (see </w:t>
      </w:r>
      <w:r w:rsidRPr="00E92571">
        <w:rPr>
          <w:b/>
          <w:i/>
          <w:lang/>
        </w:rPr>
        <w:t>Annex Three-A1</w:t>
      </w:r>
      <w:r w:rsidRPr="00E92571">
        <w:rPr>
          <w:lang/>
        </w:rPr>
        <w:t>).</w:t>
      </w:r>
    </w:p>
    <w:p w:rsidR="00A6008B" w:rsidRPr="00E92571" w:rsidRDefault="00A6008B" w:rsidP="005016D1">
      <w:pPr>
        <w:pStyle w:val="ListParagraph"/>
        <w:numPr>
          <w:ilvl w:val="0"/>
          <w:numId w:val="31"/>
        </w:numPr>
        <w:spacing w:before="20"/>
        <w:ind w:left="714" w:hanging="357"/>
        <w:rPr>
          <w:lang/>
        </w:rPr>
      </w:pPr>
      <w:r w:rsidRPr="00E92571">
        <w:rPr>
          <w:lang/>
        </w:rPr>
        <w:t xml:space="preserve">NJDC Toolkit Implementation(see </w:t>
      </w:r>
      <w:r w:rsidRPr="00E92571">
        <w:rPr>
          <w:b/>
          <w:i/>
          <w:lang/>
        </w:rPr>
        <w:t>Annex Three-A1</w:t>
      </w:r>
      <w:r w:rsidRPr="00E92571">
        <w:rPr>
          <w:lang/>
        </w:rPr>
        <w:t>).</w:t>
      </w:r>
    </w:p>
    <w:p w:rsidR="00A6008B" w:rsidRPr="00E92571" w:rsidRDefault="00A6008B" w:rsidP="005016D1">
      <w:pPr>
        <w:pStyle w:val="ListParagraph"/>
        <w:numPr>
          <w:ilvl w:val="0"/>
          <w:numId w:val="31"/>
        </w:numPr>
        <w:spacing w:before="20"/>
        <w:ind w:left="714" w:hanging="357"/>
        <w:rPr>
          <w:lang/>
        </w:rPr>
      </w:pPr>
      <w:r w:rsidRPr="00E92571">
        <w:rPr>
          <w:lang/>
        </w:rPr>
        <w:t xml:space="preserve">Time Standards Toolkit Implementation(see </w:t>
      </w:r>
      <w:r w:rsidRPr="00E92571">
        <w:rPr>
          <w:b/>
          <w:i/>
          <w:lang/>
        </w:rPr>
        <w:t>Annex Three-A1</w:t>
      </w:r>
      <w:r w:rsidRPr="00E92571">
        <w:rPr>
          <w:lang/>
        </w:rPr>
        <w:t>).</w:t>
      </w:r>
    </w:p>
    <w:p w:rsidR="00A6008B" w:rsidRPr="00E92571" w:rsidRDefault="00A6008B" w:rsidP="005016D1">
      <w:pPr>
        <w:pStyle w:val="ListParagraph"/>
        <w:numPr>
          <w:ilvl w:val="0"/>
          <w:numId w:val="31"/>
        </w:numPr>
        <w:spacing w:before="20"/>
        <w:ind w:left="714" w:hanging="357"/>
        <w:rPr>
          <w:lang/>
        </w:rPr>
      </w:pPr>
      <w:r w:rsidRPr="00E92571">
        <w:rPr>
          <w:lang/>
        </w:rPr>
        <w:t xml:space="preserve">Delay Reduction Toolkit Implementation(see </w:t>
      </w:r>
      <w:r w:rsidRPr="00E92571">
        <w:rPr>
          <w:b/>
          <w:i/>
          <w:lang/>
        </w:rPr>
        <w:t>Annex Three-A1</w:t>
      </w:r>
      <w:r w:rsidRPr="00E92571">
        <w:rPr>
          <w:lang/>
        </w:rPr>
        <w:t>).</w:t>
      </w:r>
    </w:p>
    <w:p w:rsidR="00A6008B" w:rsidRPr="00E92571" w:rsidRDefault="00A6008B" w:rsidP="003A218B">
      <w:pPr>
        <w:pStyle w:val="ListParagraph"/>
        <w:numPr>
          <w:ilvl w:val="0"/>
          <w:numId w:val="31"/>
        </w:numPr>
        <w:spacing w:before="20"/>
        <w:ind w:left="714" w:hanging="357"/>
        <w:rPr>
          <w:lang/>
        </w:rPr>
      </w:pPr>
      <w:r w:rsidRPr="00E92571">
        <w:rPr>
          <w:lang/>
        </w:rPr>
        <w:t xml:space="preserve">Local Decision Making Toolkit Implementation(see </w:t>
      </w:r>
      <w:r w:rsidRPr="00E92571">
        <w:rPr>
          <w:b/>
          <w:i/>
          <w:lang/>
        </w:rPr>
        <w:t>Annex Three-A1</w:t>
      </w:r>
      <w:r w:rsidRPr="00E92571">
        <w:rPr>
          <w:lang/>
        </w:rPr>
        <w:t>).</w:t>
      </w:r>
    </w:p>
    <w:p w:rsidR="00A6008B" w:rsidRPr="00E92571" w:rsidRDefault="00A6008B" w:rsidP="00EF181E">
      <w:pPr>
        <w:pStyle w:val="ListParagraph"/>
        <w:numPr>
          <w:ilvl w:val="0"/>
          <w:numId w:val="31"/>
        </w:numPr>
        <w:spacing w:before="20"/>
        <w:ind w:left="714" w:hanging="357"/>
        <w:rPr>
          <w:lang/>
        </w:rPr>
      </w:pPr>
      <w:r w:rsidRPr="00E92571">
        <w:rPr>
          <w:lang/>
        </w:rPr>
        <w:t xml:space="preserve">Family Violence / Youth Justice Project Toolkit / Workshop Implementation(see </w:t>
      </w:r>
      <w:r w:rsidRPr="00E92571">
        <w:rPr>
          <w:b/>
          <w:i/>
          <w:lang/>
        </w:rPr>
        <w:t>Annex Three-A2</w:t>
      </w:r>
      <w:r w:rsidRPr="00E92571">
        <w:rPr>
          <w:lang/>
        </w:rPr>
        <w:t>).</w:t>
      </w:r>
    </w:p>
    <w:p w:rsidR="00A6008B" w:rsidRPr="00E92571" w:rsidRDefault="00A6008B" w:rsidP="00312406">
      <w:pPr>
        <w:pStyle w:val="ListParagraph"/>
        <w:numPr>
          <w:ilvl w:val="0"/>
          <w:numId w:val="31"/>
        </w:numPr>
        <w:spacing w:before="20"/>
        <w:ind w:left="714" w:hanging="357"/>
        <w:rPr>
          <w:lang/>
        </w:rPr>
      </w:pPr>
      <w:r w:rsidRPr="00E92571">
        <w:rPr>
          <w:lang/>
        </w:rPr>
        <w:t xml:space="preserve">EnablingRights Project Toolkit Implementation(see </w:t>
      </w:r>
      <w:r w:rsidRPr="00E92571">
        <w:rPr>
          <w:b/>
          <w:i/>
          <w:lang/>
        </w:rPr>
        <w:t>Annex Three-A3</w:t>
      </w:r>
      <w:r w:rsidRPr="00E92571">
        <w:rPr>
          <w:lang/>
        </w:rPr>
        <w:t>).</w:t>
      </w:r>
    </w:p>
    <w:p w:rsidR="00A6008B" w:rsidRPr="00E92571" w:rsidRDefault="00A6008B" w:rsidP="00EF181E">
      <w:pPr>
        <w:pStyle w:val="ListParagraph"/>
        <w:numPr>
          <w:ilvl w:val="0"/>
          <w:numId w:val="31"/>
        </w:numPr>
        <w:spacing w:before="20"/>
        <w:ind w:left="714" w:hanging="357"/>
        <w:rPr>
          <w:lang/>
        </w:rPr>
      </w:pPr>
      <w:r w:rsidRPr="00E92571">
        <w:rPr>
          <w:lang/>
        </w:rPr>
        <w:t xml:space="preserve">Local Orientation Training Toolkit Implementation(see </w:t>
      </w:r>
      <w:r w:rsidRPr="00E92571">
        <w:rPr>
          <w:b/>
          <w:i/>
          <w:lang/>
        </w:rPr>
        <w:t>Annex Three-A4</w:t>
      </w:r>
      <w:r w:rsidRPr="00E92571">
        <w:rPr>
          <w:lang/>
        </w:rPr>
        <w:t>).</w:t>
      </w:r>
    </w:p>
    <w:p w:rsidR="00A6008B" w:rsidRPr="00E92571" w:rsidRDefault="00A6008B" w:rsidP="00312406">
      <w:pPr>
        <w:pStyle w:val="ListParagraph"/>
        <w:numPr>
          <w:ilvl w:val="0"/>
          <w:numId w:val="31"/>
        </w:numPr>
        <w:spacing w:before="20"/>
        <w:ind w:left="714" w:hanging="357"/>
        <w:rPr>
          <w:lang/>
        </w:rPr>
      </w:pPr>
      <w:r w:rsidRPr="00E92571">
        <w:rPr>
          <w:lang/>
        </w:rPr>
        <w:t xml:space="preserve">Public Information Project Toolkit Implementation(see </w:t>
      </w:r>
      <w:r w:rsidRPr="00E92571">
        <w:rPr>
          <w:b/>
          <w:i/>
          <w:lang/>
        </w:rPr>
        <w:t>Annex Three-A5</w:t>
      </w:r>
      <w:r w:rsidRPr="00E92571">
        <w:rPr>
          <w:lang/>
        </w:rPr>
        <w:t>).</w:t>
      </w:r>
    </w:p>
    <w:p w:rsidR="00A6008B" w:rsidRPr="00E92571" w:rsidRDefault="00A6008B" w:rsidP="003A218B">
      <w:pPr>
        <w:pStyle w:val="ListParagraph"/>
        <w:numPr>
          <w:ilvl w:val="0"/>
          <w:numId w:val="31"/>
        </w:numPr>
        <w:spacing w:before="20"/>
        <w:ind w:left="714" w:hanging="357"/>
        <w:rPr>
          <w:lang/>
        </w:rPr>
      </w:pPr>
      <w:r w:rsidRPr="00E92571">
        <w:rPr>
          <w:lang/>
        </w:rPr>
        <w:t xml:space="preserve">Court Annual Reporting Project Toolkit Implementation(see </w:t>
      </w:r>
      <w:r w:rsidRPr="00E92571">
        <w:rPr>
          <w:b/>
          <w:i/>
          <w:lang/>
        </w:rPr>
        <w:t>Annex Three-A5</w:t>
      </w:r>
      <w:r w:rsidRPr="00E92571">
        <w:rPr>
          <w:lang/>
        </w:rPr>
        <w:t>).</w:t>
      </w:r>
    </w:p>
    <w:p w:rsidR="00A6008B" w:rsidRPr="00F84321" w:rsidRDefault="00A6008B" w:rsidP="00514820">
      <w:pPr>
        <w:rPr>
          <w:sz w:val="20"/>
        </w:rPr>
      </w:pPr>
    </w:p>
    <w:p w:rsidR="00A6008B" w:rsidRPr="00E92571" w:rsidRDefault="00A6008B" w:rsidP="00EF181E">
      <w:pPr>
        <w:pStyle w:val="ListParagraph"/>
        <w:numPr>
          <w:ilvl w:val="0"/>
          <w:numId w:val="46"/>
        </w:numPr>
        <w:ind w:left="284" w:hanging="284"/>
        <w:rPr>
          <w:szCs w:val="22"/>
          <w:lang/>
        </w:rPr>
      </w:pPr>
      <w:r w:rsidRPr="00E92571">
        <w:rPr>
          <w:b/>
          <w:i/>
          <w:szCs w:val="22"/>
          <w:lang/>
        </w:rPr>
        <w:t>Additional Regional Workshops and Meetings -</w:t>
      </w:r>
      <w:r w:rsidRPr="00E92571">
        <w:rPr>
          <w:szCs w:val="22"/>
          <w:lang/>
        </w:rPr>
        <w:t xml:space="preserve"> specific types of activities include:</w:t>
      </w:r>
    </w:p>
    <w:p w:rsidR="00A6008B" w:rsidRPr="00E92571" w:rsidRDefault="00A6008B" w:rsidP="00312406">
      <w:pPr>
        <w:pStyle w:val="ListParagraph"/>
        <w:numPr>
          <w:ilvl w:val="0"/>
          <w:numId w:val="31"/>
        </w:numPr>
        <w:spacing w:before="20"/>
        <w:ind w:left="714" w:hanging="357"/>
        <w:rPr>
          <w:lang/>
        </w:rPr>
      </w:pPr>
      <w:r w:rsidRPr="00E92571">
        <w:rPr>
          <w:lang/>
        </w:rPr>
        <w:t xml:space="preserve">Regional Governance and Leadership Meetings - PEC Meeting and Chief Justices’ Leadership Workshop (see </w:t>
      </w:r>
      <w:r w:rsidRPr="00E92571">
        <w:rPr>
          <w:b/>
          <w:i/>
          <w:lang/>
        </w:rPr>
        <w:t>Annex Three-B1</w:t>
      </w:r>
      <w:r w:rsidRPr="00E92571">
        <w:rPr>
          <w:lang/>
        </w:rPr>
        <w:t>).</w:t>
      </w:r>
    </w:p>
    <w:p w:rsidR="00A6008B" w:rsidRPr="00E92571" w:rsidRDefault="00A6008B" w:rsidP="00ED7D92">
      <w:pPr>
        <w:pStyle w:val="ListParagraph"/>
        <w:numPr>
          <w:ilvl w:val="0"/>
          <w:numId w:val="31"/>
        </w:numPr>
        <w:spacing w:before="20"/>
        <w:ind w:left="714" w:hanging="357"/>
        <w:rPr>
          <w:lang/>
        </w:rPr>
      </w:pPr>
      <w:r w:rsidRPr="00E92571">
        <w:rPr>
          <w:lang/>
        </w:rPr>
        <w:t xml:space="preserve">Regional Governance and Leadership Meetings - National Coordinators’ Leadership Workshop (see </w:t>
      </w:r>
      <w:r w:rsidRPr="00E92571">
        <w:rPr>
          <w:b/>
          <w:i/>
          <w:lang/>
        </w:rPr>
        <w:t>Annex Three-B2</w:t>
      </w:r>
      <w:r w:rsidRPr="00E92571">
        <w:rPr>
          <w:lang/>
        </w:rPr>
        <w:t>).</w:t>
      </w:r>
    </w:p>
    <w:p w:rsidR="00A6008B" w:rsidRPr="00E92571" w:rsidRDefault="00A6008B" w:rsidP="006C237A">
      <w:pPr>
        <w:pStyle w:val="ListParagraph"/>
        <w:numPr>
          <w:ilvl w:val="0"/>
          <w:numId w:val="31"/>
        </w:numPr>
        <w:spacing w:before="20"/>
        <w:ind w:left="714" w:hanging="357"/>
        <w:rPr>
          <w:lang/>
        </w:rPr>
      </w:pPr>
      <w:r w:rsidRPr="00E92571">
        <w:rPr>
          <w:lang/>
        </w:rPr>
        <w:t xml:space="preserve">Advanced RTT CD/PM Workshop (see </w:t>
      </w:r>
      <w:r w:rsidRPr="00E92571">
        <w:rPr>
          <w:b/>
          <w:i/>
          <w:lang/>
        </w:rPr>
        <w:t>Annex Three-B3</w:t>
      </w:r>
      <w:r w:rsidRPr="00E92571">
        <w:rPr>
          <w:lang/>
        </w:rPr>
        <w:t>).</w:t>
      </w:r>
    </w:p>
    <w:p w:rsidR="00A6008B" w:rsidRPr="00E92571" w:rsidRDefault="00A6008B" w:rsidP="00916254">
      <w:pPr>
        <w:pStyle w:val="ListParagraph"/>
        <w:numPr>
          <w:ilvl w:val="0"/>
          <w:numId w:val="31"/>
        </w:numPr>
        <w:spacing w:before="20"/>
        <w:ind w:left="714" w:hanging="357"/>
        <w:rPr>
          <w:lang/>
        </w:rPr>
      </w:pPr>
      <w:r w:rsidRPr="00E92571">
        <w:rPr>
          <w:lang/>
        </w:rPr>
        <w:t xml:space="preserve">Regional Law-trained Judicial and Court Officer Decision Making Workshop (see </w:t>
      </w:r>
      <w:r w:rsidRPr="00E92571">
        <w:rPr>
          <w:b/>
          <w:i/>
          <w:lang/>
        </w:rPr>
        <w:t>Annex Three-B</w:t>
      </w:r>
      <w:r>
        <w:rPr>
          <w:b/>
          <w:i/>
          <w:lang/>
        </w:rPr>
        <w:t>6</w:t>
      </w:r>
      <w:r w:rsidRPr="00E92571">
        <w:rPr>
          <w:lang/>
        </w:rPr>
        <w:t>).</w:t>
      </w:r>
    </w:p>
    <w:p w:rsidR="00A6008B" w:rsidRPr="00E92571" w:rsidRDefault="00A6008B" w:rsidP="00916254">
      <w:pPr>
        <w:pStyle w:val="ListParagraph"/>
        <w:numPr>
          <w:ilvl w:val="0"/>
          <w:numId w:val="31"/>
        </w:numPr>
        <w:spacing w:before="20"/>
        <w:ind w:left="714" w:hanging="357"/>
        <w:rPr>
          <w:lang/>
        </w:rPr>
      </w:pPr>
      <w:r w:rsidRPr="00E92571">
        <w:rPr>
          <w:lang/>
        </w:rPr>
        <w:t xml:space="preserve">Regional Lay Judicial and Court Officer Decision Making Workshops (see </w:t>
      </w:r>
      <w:r w:rsidRPr="00E92571">
        <w:rPr>
          <w:b/>
          <w:i/>
          <w:lang/>
        </w:rPr>
        <w:t>Annex Three-B3</w:t>
      </w:r>
      <w:r w:rsidRPr="00E92571">
        <w:rPr>
          <w:lang/>
        </w:rPr>
        <w:t>).</w:t>
      </w:r>
    </w:p>
    <w:p w:rsidR="00A6008B" w:rsidRPr="00E92571" w:rsidRDefault="00A6008B" w:rsidP="00063185">
      <w:pPr>
        <w:pStyle w:val="ListParagraph"/>
        <w:numPr>
          <w:ilvl w:val="0"/>
          <w:numId w:val="31"/>
        </w:numPr>
        <w:spacing w:before="20"/>
        <w:ind w:left="714" w:hanging="357"/>
        <w:rPr>
          <w:lang/>
        </w:rPr>
      </w:pPr>
      <w:r w:rsidRPr="00E92571">
        <w:rPr>
          <w:lang/>
        </w:rPr>
        <w:t xml:space="preserve">Certification ToT Workshop (see </w:t>
      </w:r>
      <w:r w:rsidRPr="00E92571">
        <w:rPr>
          <w:b/>
          <w:i/>
          <w:lang/>
        </w:rPr>
        <w:t>Annex Three-B4</w:t>
      </w:r>
      <w:r w:rsidRPr="00E92571">
        <w:rPr>
          <w:lang/>
        </w:rPr>
        <w:t>).</w:t>
      </w:r>
    </w:p>
    <w:p w:rsidR="00A6008B" w:rsidRPr="00E92571" w:rsidRDefault="00A6008B" w:rsidP="00312406">
      <w:pPr>
        <w:pStyle w:val="ListParagraph"/>
        <w:numPr>
          <w:ilvl w:val="0"/>
          <w:numId w:val="31"/>
        </w:numPr>
        <w:spacing w:before="20"/>
        <w:ind w:left="714" w:hanging="357"/>
        <w:rPr>
          <w:lang/>
        </w:rPr>
      </w:pPr>
      <w:r w:rsidRPr="00E92571">
        <w:rPr>
          <w:lang/>
        </w:rPr>
        <w:t xml:space="preserve">Regional Lay Judicial Officer Orientation Workshop (see </w:t>
      </w:r>
      <w:r w:rsidRPr="00E92571">
        <w:rPr>
          <w:b/>
          <w:i/>
          <w:lang/>
        </w:rPr>
        <w:t>Annex Three-B5</w:t>
      </w:r>
      <w:r w:rsidRPr="00E92571">
        <w:rPr>
          <w:lang/>
        </w:rPr>
        <w:t>).</w:t>
      </w:r>
    </w:p>
    <w:p w:rsidR="00A6008B" w:rsidRPr="00F84321" w:rsidRDefault="00A6008B" w:rsidP="00514820">
      <w:pPr>
        <w:rPr>
          <w:sz w:val="20"/>
        </w:rPr>
      </w:pPr>
    </w:p>
    <w:p w:rsidR="00A6008B" w:rsidRPr="00E92571" w:rsidRDefault="00A6008B" w:rsidP="00EF181E">
      <w:pPr>
        <w:pStyle w:val="ListParagraph"/>
        <w:numPr>
          <w:ilvl w:val="0"/>
          <w:numId w:val="46"/>
        </w:numPr>
        <w:ind w:left="284" w:hanging="284"/>
        <w:rPr>
          <w:szCs w:val="22"/>
          <w:lang/>
        </w:rPr>
      </w:pPr>
      <w:r w:rsidRPr="00E92571">
        <w:rPr>
          <w:b/>
          <w:i/>
          <w:szCs w:val="22"/>
          <w:lang/>
        </w:rPr>
        <w:t xml:space="preserve">Additional Responsive Fund activities - </w:t>
      </w:r>
      <w:r w:rsidRPr="00E92571">
        <w:rPr>
          <w:szCs w:val="22"/>
          <w:lang/>
        </w:rPr>
        <w:t xml:space="preserve">additional applications </w:t>
      </w:r>
      <w:r w:rsidRPr="00E92571">
        <w:rPr>
          <w:lang/>
        </w:rPr>
        <w:t xml:space="preserve">(utilising underspends) </w:t>
      </w:r>
      <w:r w:rsidRPr="00E92571">
        <w:rPr>
          <w:szCs w:val="22"/>
          <w:lang/>
        </w:rPr>
        <w:t xml:space="preserve">will be received and processed </w:t>
      </w:r>
      <w:r w:rsidRPr="00E92571">
        <w:rPr>
          <w:lang/>
        </w:rPr>
        <w:t xml:space="preserve">progressively </w:t>
      </w:r>
      <w:r w:rsidRPr="00E92571">
        <w:rPr>
          <w:szCs w:val="22"/>
          <w:lang/>
        </w:rPr>
        <w:t>in line with the approach discussed, above</w:t>
      </w:r>
      <w:r w:rsidRPr="00E92571">
        <w:rPr>
          <w:lang/>
        </w:rPr>
        <w:t xml:space="preserve"> (see </w:t>
      </w:r>
      <w:r w:rsidRPr="00E92571">
        <w:rPr>
          <w:b/>
          <w:i/>
          <w:lang/>
        </w:rPr>
        <w:t>Annex Three-C1</w:t>
      </w:r>
      <w:r w:rsidRPr="00E92571">
        <w:rPr>
          <w:lang/>
        </w:rPr>
        <w:t>).</w:t>
      </w:r>
    </w:p>
    <w:p w:rsidR="00A6008B" w:rsidRPr="00F84321" w:rsidRDefault="00A6008B" w:rsidP="00514820">
      <w:pPr>
        <w:spacing w:before="60"/>
        <w:rPr>
          <w:sz w:val="20"/>
          <w:szCs w:val="22"/>
        </w:rPr>
      </w:pPr>
    </w:p>
    <w:p w:rsidR="00A6008B" w:rsidRPr="00E92571" w:rsidRDefault="00A6008B" w:rsidP="00EF181E">
      <w:pPr>
        <w:pStyle w:val="ListParagraph"/>
        <w:numPr>
          <w:ilvl w:val="0"/>
          <w:numId w:val="46"/>
        </w:numPr>
        <w:ind w:left="284" w:hanging="284"/>
        <w:rPr>
          <w:szCs w:val="22"/>
          <w:lang/>
        </w:rPr>
      </w:pPr>
      <w:r w:rsidRPr="00E92571">
        <w:rPr>
          <w:b/>
          <w:i/>
          <w:szCs w:val="22"/>
          <w:lang/>
        </w:rPr>
        <w:t xml:space="preserve">Additional Network Development and Support activities - </w:t>
      </w:r>
      <w:r w:rsidRPr="00E92571">
        <w:rPr>
          <w:szCs w:val="22"/>
          <w:lang/>
        </w:rPr>
        <w:t>specific types of activities include:</w:t>
      </w:r>
    </w:p>
    <w:p w:rsidR="00A6008B" w:rsidRPr="00E92571" w:rsidRDefault="00A6008B" w:rsidP="00312406">
      <w:pPr>
        <w:pStyle w:val="ListParagraph"/>
        <w:numPr>
          <w:ilvl w:val="0"/>
          <w:numId w:val="31"/>
        </w:numPr>
        <w:spacing w:before="20"/>
        <w:ind w:left="714" w:hanging="357"/>
        <w:rPr>
          <w:lang/>
        </w:rPr>
      </w:pPr>
      <w:r w:rsidRPr="00E92571">
        <w:rPr>
          <w:lang/>
        </w:rPr>
        <w:t xml:space="preserve">Additional support to the IT Administrators’ Network (see </w:t>
      </w:r>
      <w:r w:rsidRPr="00E92571">
        <w:rPr>
          <w:b/>
          <w:i/>
          <w:lang/>
        </w:rPr>
        <w:t>Annex Three-D1</w:t>
      </w:r>
      <w:r w:rsidRPr="00E92571">
        <w:rPr>
          <w:lang/>
        </w:rPr>
        <w:t>).</w:t>
      </w:r>
    </w:p>
    <w:p w:rsidR="00A6008B" w:rsidRPr="00E92571" w:rsidRDefault="00A6008B" w:rsidP="00312406">
      <w:pPr>
        <w:pStyle w:val="ListParagraph"/>
        <w:numPr>
          <w:ilvl w:val="0"/>
          <w:numId w:val="31"/>
        </w:numPr>
        <w:spacing w:before="20"/>
        <w:ind w:left="714" w:hanging="357"/>
        <w:rPr>
          <w:lang/>
        </w:rPr>
      </w:pPr>
      <w:r w:rsidRPr="00E92571">
        <w:rPr>
          <w:lang/>
        </w:rPr>
        <w:t xml:space="preserve">RTT Mentoring Network (regional) (see </w:t>
      </w:r>
      <w:r w:rsidRPr="00E92571">
        <w:rPr>
          <w:b/>
          <w:i/>
          <w:lang/>
        </w:rPr>
        <w:t>Annex Three-D1</w:t>
      </w:r>
      <w:r w:rsidRPr="00E92571">
        <w:rPr>
          <w:lang/>
        </w:rPr>
        <w:t>).</w:t>
      </w:r>
    </w:p>
    <w:p w:rsidR="00A6008B" w:rsidRPr="00F84321" w:rsidRDefault="00A6008B" w:rsidP="00514820">
      <w:pPr>
        <w:tabs>
          <w:tab w:val="left" w:pos="567"/>
        </w:tabs>
        <w:rPr>
          <w:sz w:val="20"/>
          <w:szCs w:val="22"/>
        </w:rPr>
      </w:pPr>
    </w:p>
    <w:p w:rsidR="00A6008B" w:rsidRPr="00E92571" w:rsidRDefault="00A6008B" w:rsidP="00413CCF">
      <w:pPr>
        <w:tabs>
          <w:tab w:val="left" w:pos="567"/>
        </w:tabs>
        <w:rPr>
          <w:szCs w:val="22"/>
        </w:rPr>
      </w:pPr>
      <w:r w:rsidRPr="00E92571">
        <w:rPr>
          <w:i/>
          <w:szCs w:val="22"/>
        </w:rPr>
        <w:t>Note:</w:t>
      </w:r>
      <w:r w:rsidRPr="00E92571">
        <w:rPr>
          <w:szCs w:val="22"/>
        </w:rPr>
        <w:t xml:space="preserve">the indicativebudgets developed for the above activity-typesdefine the maximum cost for each activity.  All foreseeable costs with relation to developing, mobilising, implementing, managing and administering these activities have been captured in the annexed budgets.  </w:t>
      </w:r>
    </w:p>
    <w:p w:rsidR="00A6008B" w:rsidRPr="00F84321" w:rsidRDefault="00A6008B" w:rsidP="00413CCF">
      <w:pPr>
        <w:tabs>
          <w:tab w:val="left" w:pos="567"/>
        </w:tabs>
        <w:rPr>
          <w:sz w:val="20"/>
          <w:szCs w:val="22"/>
        </w:rPr>
      </w:pPr>
    </w:p>
    <w:p w:rsidR="00A6008B" w:rsidRPr="000E55AC" w:rsidRDefault="00A6008B" w:rsidP="00413CCF">
      <w:pPr>
        <w:tabs>
          <w:tab w:val="left" w:pos="567"/>
        </w:tabs>
        <w:rPr>
          <w:szCs w:val="22"/>
        </w:rPr>
      </w:pPr>
      <w:r w:rsidRPr="00E92571">
        <w:rPr>
          <w:szCs w:val="22"/>
        </w:rPr>
        <w:t>These Additional Activities and budgets are submitted as part of this Plan for approval of the PEC and MFAT.  With the above Additional Activities approved, the MSC can now implement one or more of theseactivities (</w:t>
      </w:r>
      <w:r w:rsidRPr="00E92571">
        <w:rPr>
          <w:szCs w:val="23"/>
        </w:rPr>
        <w:t>should an underspend occur</w:t>
      </w:r>
      <w:r w:rsidRPr="000E55AC">
        <w:rPr>
          <w:szCs w:val="23"/>
        </w:rPr>
        <w:t>during the 24-month extension period</w:t>
      </w:r>
      <w:r w:rsidRPr="000E55AC">
        <w:rPr>
          <w:szCs w:val="22"/>
        </w:rPr>
        <w:t xml:space="preserve">) </w:t>
      </w:r>
      <w:r w:rsidRPr="000E55AC">
        <w:rPr>
          <w:szCs w:val="23"/>
        </w:rPr>
        <w:t>- via a Limited Impact Variation or a formal substantive variation in line with MFAT’s International Development Group business policy.</w:t>
      </w:r>
    </w:p>
    <w:p w:rsidR="00A6008B" w:rsidRPr="000E55AC" w:rsidRDefault="00A6008B" w:rsidP="00C037A7">
      <w:pPr>
        <w:rPr>
          <w:szCs w:val="23"/>
        </w:rPr>
      </w:pPr>
    </w:p>
    <w:p w:rsidR="00A6008B" w:rsidRPr="000E55AC" w:rsidRDefault="00A6008B" w:rsidP="003421C5">
      <w:pPr>
        <w:pStyle w:val="Heading2"/>
        <w:numPr>
          <w:ilvl w:val="0"/>
          <w:numId w:val="11"/>
        </w:numPr>
        <w:ind w:hanging="720"/>
      </w:pPr>
      <w:bookmarkStart w:id="64" w:name="_Toc354644465"/>
      <w:r w:rsidRPr="000E55AC">
        <w:t>Component 5.0:   Programme Management</w:t>
      </w:r>
      <w:bookmarkEnd w:id="64"/>
    </w:p>
    <w:p w:rsidR="00A6008B" w:rsidRPr="000E55AC" w:rsidRDefault="00A6008B" w:rsidP="00BE6C36">
      <w:pPr>
        <w:rPr>
          <w:sz w:val="20"/>
          <w:lang w:eastAsia="en-US"/>
        </w:rPr>
      </w:pPr>
    </w:p>
    <w:p w:rsidR="00A6008B" w:rsidRPr="00E92571" w:rsidRDefault="00A6008B" w:rsidP="00BE6C36">
      <w:pPr>
        <w:rPr>
          <w:szCs w:val="23"/>
        </w:rPr>
      </w:pPr>
      <w:r w:rsidRPr="000E55AC">
        <w:rPr>
          <w:rFonts w:cs="Arial"/>
          <w:b/>
          <w:bCs/>
          <w:i/>
          <w:szCs w:val="23"/>
        </w:rPr>
        <w:t>Target / O</w:t>
      </w:r>
      <w:bookmarkStart w:id="65" w:name="_GoBack"/>
      <w:bookmarkEnd w:id="65"/>
      <w:r w:rsidRPr="000E55AC">
        <w:rPr>
          <w:rFonts w:cs="Arial"/>
          <w:b/>
          <w:bCs/>
          <w:i/>
          <w:szCs w:val="23"/>
        </w:rPr>
        <w:t>utcome (as at June 2015)</w:t>
      </w:r>
      <w:r w:rsidRPr="000E55AC">
        <w:rPr>
          <w:szCs w:val="23"/>
        </w:rPr>
        <w:t xml:space="preserve"> All PJDP</w:t>
      </w:r>
      <w:r w:rsidRPr="00E92571">
        <w:rPr>
          <w:szCs w:val="23"/>
        </w:rPr>
        <w:t xml:space="preserve"> activities are delivered and +90% of funds expended</w:t>
      </w:r>
    </w:p>
    <w:p w:rsidR="00A6008B" w:rsidRPr="00F84321" w:rsidRDefault="00A6008B" w:rsidP="00BE6C36">
      <w:pPr>
        <w:rPr>
          <w:rFonts w:cs="Arial"/>
          <w:b/>
          <w:bCs/>
          <w:i/>
          <w:sz w:val="20"/>
          <w:szCs w:val="23"/>
        </w:rPr>
      </w:pPr>
    </w:p>
    <w:p w:rsidR="00A6008B" w:rsidRPr="00E92571" w:rsidRDefault="00A6008B" w:rsidP="00BE6C36">
      <w:pPr>
        <w:rPr>
          <w:rFonts w:cs="Arial"/>
          <w:b/>
          <w:bCs/>
          <w:i/>
          <w:szCs w:val="23"/>
        </w:rPr>
      </w:pPr>
      <w:r w:rsidRPr="00E92571">
        <w:rPr>
          <w:rFonts w:cs="Arial"/>
          <w:b/>
          <w:bCs/>
          <w:i/>
          <w:szCs w:val="23"/>
        </w:rPr>
        <w:t>Output(s):</w:t>
      </w:r>
      <w:r w:rsidRPr="00E92571">
        <w:rPr>
          <w:szCs w:val="23"/>
        </w:rPr>
        <w:t xml:space="preserve"> Effective management of all aspects of the PJDP; the promotion of collaborative and responsive programming and implementation; effective and efficient monitoring, analysis and quality reporting; and the transparent administration of PJDP resources.</w:t>
      </w:r>
    </w:p>
    <w:p w:rsidR="00A6008B" w:rsidRPr="00F84321" w:rsidRDefault="00A6008B" w:rsidP="00413CCF">
      <w:pPr>
        <w:rPr>
          <w:sz w:val="20"/>
          <w:lang w:eastAsia="en-US"/>
        </w:rPr>
      </w:pPr>
    </w:p>
    <w:p w:rsidR="00A6008B" w:rsidRPr="00E92571" w:rsidRDefault="00A6008B" w:rsidP="001431CA">
      <w:pPr>
        <w:rPr>
          <w:lang w:eastAsia="en-US"/>
        </w:rPr>
      </w:pPr>
      <w:r w:rsidRPr="00E92571">
        <w:rPr>
          <w:lang w:eastAsia="en-US"/>
        </w:rPr>
        <w:t xml:space="preserve">Efficient </w:t>
      </w:r>
      <w:r w:rsidRPr="00E92571">
        <w:rPr>
          <w:b/>
          <w:i/>
          <w:lang w:eastAsia="en-US"/>
        </w:rPr>
        <w:t>planning and scheduling of interventions</w:t>
      </w:r>
      <w:r w:rsidRPr="00E92571">
        <w:rPr>
          <w:lang w:eastAsia="en-US"/>
        </w:rPr>
        <w:t xml:space="preserve"> will continue to be critical to enable efficient management of PJDP activities.  Planning will continue to be undertaken collaboratively on an ongoing basis with counterparts and beneficiaries, particularly through the regional leadership workshops and the PEC. Iterative planning allows PJDP to evolve and maximise its responsiveness and necessitates a level of flexibility regarding the definition, scope and resourcing of the activities defined in this Plan.  </w:t>
      </w:r>
    </w:p>
    <w:p w:rsidR="00A6008B" w:rsidRPr="00F84321" w:rsidRDefault="00A6008B" w:rsidP="001431CA">
      <w:pPr>
        <w:rPr>
          <w:sz w:val="20"/>
          <w:lang w:eastAsia="en-US"/>
        </w:rPr>
      </w:pPr>
    </w:p>
    <w:p w:rsidR="00A6008B" w:rsidRPr="00E92571" w:rsidRDefault="00A6008B" w:rsidP="001431CA">
      <w:pPr>
        <w:rPr>
          <w:lang w:eastAsia="en-US"/>
        </w:rPr>
      </w:pPr>
      <w:r w:rsidRPr="00E92571">
        <w:rPr>
          <w:lang w:eastAsia="en-US"/>
        </w:rPr>
        <w:t xml:space="preserve">Efficient planning and implementation requires </w:t>
      </w:r>
      <w:r w:rsidRPr="00E92571">
        <w:rPr>
          <w:b/>
          <w:i/>
          <w:lang w:eastAsia="en-US"/>
        </w:rPr>
        <w:t>streamlined management processes</w:t>
      </w:r>
      <w:r w:rsidRPr="00E92571">
        <w:rPr>
          <w:lang w:eastAsia="en-US"/>
        </w:rPr>
        <w:t>. Experience dictates that there continues to be a need for long lead-times to receive communication/information from regional counterparts. Some streamlining of processes relating to the administration of activities has already been undertaken and operationalised.  Over the course of the 24-month Extension Period, the MSC will continue seek to identify further ways in which administrative arrangements can be streamlined.</w:t>
      </w:r>
    </w:p>
    <w:p w:rsidR="00A6008B" w:rsidRPr="00F84321" w:rsidRDefault="00A6008B" w:rsidP="001431CA">
      <w:pPr>
        <w:rPr>
          <w:sz w:val="20"/>
          <w:lang w:eastAsia="en-US"/>
        </w:rPr>
      </w:pPr>
    </w:p>
    <w:p w:rsidR="00A6008B" w:rsidRPr="00E92571" w:rsidRDefault="00A6008B" w:rsidP="00E71A5E">
      <w:r w:rsidRPr="00E92571">
        <w:rPr>
          <w:b/>
          <w:i/>
          <w:lang w:eastAsia="en-US"/>
        </w:rPr>
        <w:t xml:space="preserve">Transparency and accountability </w:t>
      </w:r>
      <w:r w:rsidRPr="00E92571">
        <w:rPr>
          <w:lang w:eastAsia="en-US"/>
        </w:rPr>
        <w:t xml:space="preserve">will be provided to stakeholders and client; the approach developed to-date will be continued and, where possible, strengthened.  </w:t>
      </w:r>
      <w:r w:rsidRPr="00E92571">
        <w:t xml:space="preserve">The approach is based on collaborative planning including ongoing remote engagement with Chief Justices and National Coordinators, and physically with these counterparts at key leadership workshops and meetings.  This will result in iterative and responsive planning that is guided by, and accountable to, the regional leadership.  </w:t>
      </w:r>
    </w:p>
    <w:p w:rsidR="00A6008B" w:rsidRPr="00F84321" w:rsidRDefault="00A6008B" w:rsidP="00E71A5E">
      <w:pPr>
        <w:rPr>
          <w:sz w:val="20"/>
        </w:rPr>
      </w:pPr>
    </w:p>
    <w:p w:rsidR="00A6008B" w:rsidRPr="00E92571" w:rsidRDefault="00A6008B" w:rsidP="00EA11C0">
      <w:pPr>
        <w:rPr>
          <w:szCs w:val="23"/>
          <w:lang w:eastAsia="en-US"/>
        </w:rPr>
      </w:pPr>
      <w:r w:rsidRPr="00E92571">
        <w:rPr>
          <w:szCs w:val="23"/>
        </w:rPr>
        <w:t xml:space="preserve">With respect to </w:t>
      </w:r>
      <w:r w:rsidRPr="00E92571">
        <w:rPr>
          <w:szCs w:val="23"/>
          <w:lang w:eastAsia="en-US"/>
        </w:rPr>
        <w:t xml:space="preserve">management accountability and transparency of administrative processes; ongoing monitoring will be undertaken and linked closely with accurate and timely reporting on progress, risks and expenditure (discussed in detail in </w:t>
      </w:r>
      <w:r w:rsidRPr="00E92571">
        <w:rPr>
          <w:b/>
          <w:i/>
          <w:szCs w:val="23"/>
          <w:lang w:eastAsia="en-US"/>
        </w:rPr>
        <w:t>Section 4.0</w:t>
      </w:r>
      <w:r w:rsidRPr="00E92571">
        <w:rPr>
          <w:szCs w:val="23"/>
          <w:lang w:eastAsia="en-US"/>
        </w:rPr>
        <w:t xml:space="preserve">).  This will ensure that counterparts remain appraised of Programme activities, progress and achievements.  Further, implementation of the Programme will continue to use the management/administrative, financial, and reporting systems used to-date.  Financial management reporting will continue to </w:t>
      </w:r>
      <w:r w:rsidRPr="00E92571">
        <w:rPr>
          <w:szCs w:val="23"/>
          <w:lang w:eastAsia="en-US" w:bidi="ar-DZ"/>
        </w:rPr>
        <w:t>provide summary information of the Programmes’ financial position at a given point in time against approved budget allocations/sub-projects.  The Programme will also continue to provide the PEC and MFAT: projected expenditure for the remaining contract period; estimated invoice amounts per month for the remaining contract period; and total anticipated expenditure estimates (actual expenditure to-date plus projected remaining expenditure) for the contract period as part of quarterly financial reporting.</w:t>
      </w:r>
    </w:p>
    <w:p w:rsidR="00A6008B" w:rsidRPr="00F84321" w:rsidRDefault="00A6008B" w:rsidP="00E71A5E">
      <w:pPr>
        <w:rPr>
          <w:sz w:val="20"/>
          <w:lang w:eastAsia="en-US"/>
        </w:rPr>
      </w:pPr>
    </w:p>
    <w:p w:rsidR="00A6008B" w:rsidRPr="00E92571" w:rsidRDefault="00A6008B" w:rsidP="00E71A5E">
      <w:pPr>
        <w:rPr>
          <w:lang w:eastAsia="en-US"/>
        </w:rPr>
      </w:pPr>
      <w:r w:rsidRPr="00E92571">
        <w:rPr>
          <w:lang w:eastAsia="en-US"/>
        </w:rPr>
        <w:t>These systems are documented in the Programmes Procedure Manual, and meet government procurement, auditing and accountability requirements.</w:t>
      </w:r>
    </w:p>
    <w:p w:rsidR="00A6008B" w:rsidRPr="00F84321" w:rsidRDefault="00A6008B" w:rsidP="00E71A5E">
      <w:pPr>
        <w:rPr>
          <w:sz w:val="20"/>
          <w:lang w:eastAsia="en-US"/>
        </w:rPr>
      </w:pPr>
    </w:p>
    <w:p w:rsidR="00A6008B" w:rsidRPr="00E92571" w:rsidRDefault="00A6008B" w:rsidP="00363680">
      <w:pPr>
        <w:rPr>
          <w:lang w:eastAsia="en-US"/>
        </w:rPr>
      </w:pPr>
      <w:r w:rsidRPr="00E92571">
        <w:rPr>
          <w:b/>
          <w:i/>
          <w:lang w:eastAsia="en-US"/>
        </w:rPr>
        <w:t>Quality technical assistance</w:t>
      </w:r>
      <w:r w:rsidRPr="00E92571">
        <w:rPr>
          <w:lang w:eastAsia="en-US"/>
        </w:rPr>
        <w:t xml:space="preserve"> will continue to be a crucial element in achieving Programme outcomes. As noted the discussion on proposed </w:t>
      </w:r>
      <w:r w:rsidRPr="00E92571">
        <w:t>projects and activities</w:t>
      </w:r>
      <w:r w:rsidRPr="00E92571">
        <w:rPr>
          <w:lang w:eastAsia="en-US"/>
        </w:rPr>
        <w:t xml:space="preserve">(see </w:t>
      </w:r>
      <w:r w:rsidRPr="00E92571">
        <w:rPr>
          <w:b/>
          <w:i/>
          <w:lang w:eastAsia="en-US"/>
        </w:rPr>
        <w:t xml:space="preserve">section 3.2, </w:t>
      </w:r>
      <w:r w:rsidRPr="00E92571">
        <w:rPr>
          <w:lang w:eastAsia="en-US"/>
        </w:rPr>
        <w:t xml:space="preserve">above), adviser roles have been refined as part of the 24-month Extension Plan with piloted toolkits now providing a mechanism to </w:t>
      </w:r>
      <w:r w:rsidRPr="00E92571">
        <w:rPr>
          <w:rFonts w:cs="Courier New"/>
          <w:szCs w:val="23"/>
        </w:rPr>
        <w:t>equip PICs to solve judicial development problems themselves, leading to improved service delivery and a refinement in the nature of advisers’ roles and inputs</w:t>
      </w:r>
      <w:r w:rsidRPr="00E92571">
        <w:rPr>
          <w:lang w:eastAsia="en-US"/>
        </w:rPr>
        <w:t>.  Despite this refinement in adviser resourcing, it is not anticipated that recruitment of new advisers will be needed during the 24-month extension period.  However, should the need arise to identify additional adviser personnel, this process will be undertaken in line with the approved recruitment process adopted by the PJDP at the commencement of the 18-month implementation period.</w:t>
      </w:r>
    </w:p>
    <w:p w:rsidR="00A6008B" w:rsidRPr="00DE2750" w:rsidRDefault="00A6008B" w:rsidP="00E71A5E">
      <w:pPr>
        <w:rPr>
          <w:sz w:val="12"/>
          <w:lang w:eastAsia="en-US"/>
        </w:rPr>
      </w:pPr>
    </w:p>
    <w:p w:rsidR="00A6008B" w:rsidRPr="00E92571" w:rsidRDefault="00A6008B" w:rsidP="000724BA">
      <w:pPr>
        <w:rPr>
          <w:lang w:eastAsia="en-US"/>
        </w:rPr>
      </w:pPr>
      <w:r w:rsidRPr="00E92571">
        <w:t>Effective administration of PJDP</w:t>
      </w:r>
      <w:r w:rsidRPr="00E92571">
        <w:rPr>
          <w:b/>
          <w:i/>
        </w:rPr>
        <w:t xml:space="preserve"> management resources </w:t>
      </w:r>
      <w:r w:rsidRPr="00E92571">
        <w:t xml:space="preserve">will be critical to the efficient implementation of the Programme.  </w:t>
      </w:r>
      <w:r w:rsidRPr="00E92571">
        <w:rPr>
          <w:lang w:eastAsia="en-US"/>
        </w:rPr>
        <w:t>The level of proposed Core PJDP Team inputs has been determined to:</w:t>
      </w:r>
    </w:p>
    <w:p w:rsidR="00A6008B" w:rsidRPr="00E92571" w:rsidRDefault="00A6008B" w:rsidP="006209D7">
      <w:pPr>
        <w:pStyle w:val="ListParagraph"/>
        <w:numPr>
          <w:ilvl w:val="0"/>
          <w:numId w:val="16"/>
        </w:numPr>
        <w:spacing w:before="80"/>
        <w:ind w:left="714" w:hanging="357"/>
        <w:rPr>
          <w:szCs w:val="23"/>
          <w:lang/>
        </w:rPr>
      </w:pPr>
      <w:r w:rsidRPr="00E92571">
        <w:rPr>
          <w:szCs w:val="23"/>
          <w:lang/>
        </w:rPr>
        <w:t>enable effective and efficient management and administration of all proposed activities under this Plan based on approved resourcing levels required to implement the 12-month Extension Plan; and</w:t>
      </w:r>
    </w:p>
    <w:p w:rsidR="00A6008B" w:rsidRPr="00E92571" w:rsidRDefault="00A6008B" w:rsidP="006209D7">
      <w:pPr>
        <w:pStyle w:val="ListParagraph"/>
        <w:numPr>
          <w:ilvl w:val="0"/>
          <w:numId w:val="16"/>
        </w:numPr>
        <w:spacing w:before="80"/>
        <w:ind w:left="714" w:hanging="357"/>
        <w:rPr>
          <w:szCs w:val="23"/>
          <w:lang/>
        </w:rPr>
      </w:pPr>
      <w:r w:rsidRPr="00E92571">
        <w:rPr>
          <w:szCs w:val="23"/>
          <w:lang/>
        </w:rPr>
        <w:t>promote the quality of PJDP outcomes so that technical and strategic considerations are addressed in a coherent manner.</w:t>
      </w:r>
    </w:p>
    <w:p w:rsidR="00A6008B" w:rsidRPr="00F84321" w:rsidRDefault="00A6008B" w:rsidP="000724BA">
      <w:pPr>
        <w:rPr>
          <w:sz w:val="20"/>
          <w:lang w:eastAsia="en-US"/>
        </w:rPr>
      </w:pPr>
    </w:p>
    <w:p w:rsidR="00A6008B" w:rsidRPr="00E92571" w:rsidRDefault="00A6008B" w:rsidP="001431CA">
      <w:pPr>
        <w:rPr>
          <w:lang w:eastAsia="en-US"/>
        </w:rPr>
      </w:pPr>
      <w:r w:rsidRPr="00E92571">
        <w:rPr>
          <w:lang w:eastAsia="en-US"/>
        </w:rPr>
        <w:t xml:space="preserve">Given the number of proposed projects and sub-activities during the 24-month Extension Period,a substantial number of activities are inter-linked and will be undertaken concurrently. As illustrated in the indicative work plan (see </w:t>
      </w:r>
      <w:r w:rsidRPr="00E92571">
        <w:rPr>
          <w:b/>
          <w:i/>
          <w:lang w:eastAsia="en-US"/>
        </w:rPr>
        <w:t>Annex Four</w:t>
      </w:r>
      <w:r w:rsidRPr="00E92571">
        <w:rPr>
          <w:lang w:eastAsia="en-US"/>
        </w:rPr>
        <w:t xml:space="preserve">), a number of separate activities will be undertaken in parallel in multiple PICs and/or regionally.  Furthermore, additional workloads will be generated once Responsive Fund applications are received and mobilised.   </w:t>
      </w:r>
    </w:p>
    <w:p w:rsidR="00A6008B" w:rsidRPr="00F84321" w:rsidRDefault="00A6008B" w:rsidP="001431CA">
      <w:pPr>
        <w:rPr>
          <w:sz w:val="20"/>
          <w:lang w:eastAsia="en-US"/>
        </w:rPr>
      </w:pPr>
    </w:p>
    <w:p w:rsidR="00A6008B" w:rsidRPr="00E92571" w:rsidRDefault="00A6008B" w:rsidP="00162B40">
      <w:pPr>
        <w:rPr>
          <w:lang w:eastAsia="en-US"/>
        </w:rPr>
      </w:pPr>
      <w:r w:rsidRPr="00E92571">
        <w:rPr>
          <w:lang w:eastAsia="en-US"/>
        </w:rPr>
        <w:t>To address the above considerations, and informed by an assessment of the management and administrative personnel needs from implementation to-date, management and administrative resources have been allocated in component 5 as follows:</w:t>
      </w:r>
    </w:p>
    <w:p w:rsidR="00A6008B" w:rsidRPr="00E92571" w:rsidRDefault="00A6008B" w:rsidP="001431CA">
      <w:pPr>
        <w:rPr>
          <w:sz w:val="16"/>
          <w:lang w:eastAsia="en-US"/>
        </w:rPr>
      </w:pPr>
    </w:p>
    <w:tbl>
      <w:tblPr>
        <w:tblW w:w="6221" w:type="dxa"/>
        <w:jc w:val="center"/>
        <w:tblLook w:val="00A0"/>
      </w:tblPr>
      <w:tblGrid>
        <w:gridCol w:w="4385"/>
        <w:gridCol w:w="1836"/>
      </w:tblGrid>
      <w:tr w:rsidR="00A6008B" w:rsidRPr="00E92571" w:rsidTr="005B0751">
        <w:trPr>
          <w:trHeight w:val="64"/>
          <w:jc w:val="center"/>
        </w:trPr>
        <w:tc>
          <w:tcPr>
            <w:tcW w:w="4385" w:type="dxa"/>
            <w:tcBorders>
              <w:top w:val="single" w:sz="4" w:space="0" w:color="auto"/>
              <w:left w:val="nil"/>
              <w:bottom w:val="single" w:sz="4" w:space="0" w:color="auto"/>
              <w:right w:val="single" w:sz="4" w:space="0" w:color="auto"/>
            </w:tcBorders>
            <w:shd w:val="clear" w:color="000000" w:fill="D9D9D9"/>
            <w:noWrap/>
            <w:vAlign w:val="center"/>
          </w:tcPr>
          <w:p w:rsidR="00A6008B" w:rsidRPr="009A221A" w:rsidRDefault="00A6008B" w:rsidP="00E804EA">
            <w:pPr>
              <w:spacing w:before="120" w:after="120"/>
              <w:rPr>
                <w:b/>
                <w:sz w:val="22"/>
                <w:szCs w:val="22"/>
              </w:rPr>
            </w:pPr>
            <w:r w:rsidRPr="00E92571">
              <w:rPr>
                <w:b/>
                <w:sz w:val="22"/>
                <w:szCs w:val="22"/>
              </w:rPr>
              <w:t> PJDP Core Management Inputs</w:t>
            </w:r>
          </w:p>
        </w:tc>
        <w:tc>
          <w:tcPr>
            <w:tcW w:w="1836" w:type="dxa"/>
            <w:tcBorders>
              <w:top w:val="single" w:sz="4" w:space="0" w:color="auto"/>
              <w:left w:val="nil"/>
              <w:bottom w:val="single" w:sz="4" w:space="0" w:color="auto"/>
            </w:tcBorders>
            <w:shd w:val="clear" w:color="000000" w:fill="D9D9D9"/>
            <w:noWrap/>
            <w:vAlign w:val="center"/>
          </w:tcPr>
          <w:p w:rsidR="00A6008B" w:rsidRPr="009A221A" w:rsidRDefault="00A6008B" w:rsidP="005B0751">
            <w:pPr>
              <w:spacing w:before="120" w:after="120"/>
              <w:jc w:val="center"/>
              <w:rPr>
                <w:b/>
                <w:sz w:val="22"/>
                <w:szCs w:val="22"/>
              </w:rPr>
            </w:pPr>
            <w:r w:rsidRPr="00E92571">
              <w:rPr>
                <w:b/>
                <w:sz w:val="22"/>
                <w:szCs w:val="22"/>
              </w:rPr>
              <w:t>Inputs                                 (over 24 Months)</w:t>
            </w:r>
          </w:p>
        </w:tc>
      </w:tr>
      <w:tr w:rsidR="00A6008B" w:rsidRPr="00E92571" w:rsidTr="005B0751">
        <w:trPr>
          <w:trHeight w:val="284"/>
          <w:jc w:val="center"/>
        </w:trPr>
        <w:tc>
          <w:tcPr>
            <w:tcW w:w="4385" w:type="dxa"/>
            <w:tcBorders>
              <w:top w:val="single" w:sz="4" w:space="0" w:color="auto"/>
              <w:bottom w:val="dotted" w:sz="4" w:space="0" w:color="auto"/>
              <w:right w:val="dotted" w:sz="4" w:space="0" w:color="auto"/>
            </w:tcBorders>
            <w:noWrap/>
            <w:vAlign w:val="center"/>
          </w:tcPr>
          <w:p w:rsidR="00A6008B" w:rsidRPr="009A221A" w:rsidRDefault="00A6008B" w:rsidP="001431CA">
            <w:pPr>
              <w:spacing w:before="60" w:after="60"/>
              <w:rPr>
                <w:sz w:val="21"/>
                <w:szCs w:val="22"/>
              </w:rPr>
            </w:pPr>
            <w:r w:rsidRPr="009A221A">
              <w:rPr>
                <w:sz w:val="21"/>
                <w:szCs w:val="22"/>
              </w:rPr>
              <w:t>Team Leader / Judicial Development Specialist</w:t>
            </w:r>
          </w:p>
        </w:tc>
        <w:tc>
          <w:tcPr>
            <w:tcW w:w="1836" w:type="dxa"/>
            <w:tcBorders>
              <w:top w:val="single" w:sz="4" w:space="0" w:color="auto"/>
              <w:left w:val="dotted" w:sz="4" w:space="0" w:color="auto"/>
              <w:bottom w:val="dotted" w:sz="4" w:space="0" w:color="auto"/>
            </w:tcBorders>
            <w:noWrap/>
            <w:vAlign w:val="center"/>
          </w:tcPr>
          <w:p w:rsidR="00A6008B" w:rsidRPr="009A221A" w:rsidRDefault="00A6008B" w:rsidP="00372C99">
            <w:pPr>
              <w:spacing w:before="60" w:after="60"/>
              <w:jc w:val="center"/>
              <w:rPr>
                <w:sz w:val="21"/>
                <w:szCs w:val="22"/>
              </w:rPr>
            </w:pPr>
            <w:r w:rsidRPr="009A221A">
              <w:rPr>
                <w:sz w:val="21"/>
                <w:szCs w:val="22"/>
              </w:rPr>
              <w:t>234input-days</w:t>
            </w:r>
          </w:p>
        </w:tc>
      </w:tr>
      <w:tr w:rsidR="00A6008B" w:rsidRPr="00E92571" w:rsidTr="005B0751">
        <w:trPr>
          <w:trHeight w:val="284"/>
          <w:jc w:val="center"/>
        </w:trPr>
        <w:tc>
          <w:tcPr>
            <w:tcW w:w="4385" w:type="dxa"/>
            <w:tcBorders>
              <w:top w:val="dotted" w:sz="4" w:space="0" w:color="auto"/>
              <w:bottom w:val="dotted" w:sz="4" w:space="0" w:color="auto"/>
              <w:right w:val="dotted" w:sz="4" w:space="0" w:color="auto"/>
            </w:tcBorders>
            <w:noWrap/>
            <w:vAlign w:val="center"/>
          </w:tcPr>
          <w:p w:rsidR="00A6008B" w:rsidRPr="009A221A" w:rsidRDefault="00A6008B" w:rsidP="001431CA">
            <w:pPr>
              <w:spacing w:before="60" w:after="60"/>
              <w:rPr>
                <w:sz w:val="21"/>
                <w:szCs w:val="22"/>
              </w:rPr>
            </w:pPr>
            <w:r w:rsidRPr="009A221A">
              <w:rPr>
                <w:sz w:val="21"/>
                <w:szCs w:val="22"/>
              </w:rPr>
              <w:t xml:space="preserve">International Programmes Manager </w:t>
            </w:r>
          </w:p>
        </w:tc>
        <w:tc>
          <w:tcPr>
            <w:tcW w:w="1836" w:type="dxa"/>
            <w:tcBorders>
              <w:top w:val="dotted" w:sz="4" w:space="0" w:color="auto"/>
              <w:left w:val="dotted" w:sz="4" w:space="0" w:color="auto"/>
              <w:bottom w:val="dotted" w:sz="4" w:space="0" w:color="auto"/>
            </w:tcBorders>
            <w:noWrap/>
            <w:vAlign w:val="center"/>
          </w:tcPr>
          <w:p w:rsidR="00A6008B" w:rsidRPr="009A221A" w:rsidRDefault="00A6008B" w:rsidP="001431CA">
            <w:pPr>
              <w:spacing w:before="60" w:after="60"/>
              <w:jc w:val="center"/>
              <w:rPr>
                <w:sz w:val="21"/>
                <w:szCs w:val="22"/>
              </w:rPr>
            </w:pPr>
            <w:r w:rsidRPr="009A221A">
              <w:rPr>
                <w:sz w:val="21"/>
                <w:szCs w:val="22"/>
              </w:rPr>
              <w:t>476input-days</w:t>
            </w:r>
          </w:p>
        </w:tc>
      </w:tr>
      <w:tr w:rsidR="00A6008B" w:rsidRPr="00E92571" w:rsidTr="005B0751">
        <w:trPr>
          <w:trHeight w:val="284"/>
          <w:jc w:val="center"/>
        </w:trPr>
        <w:tc>
          <w:tcPr>
            <w:tcW w:w="4385" w:type="dxa"/>
            <w:tcBorders>
              <w:top w:val="dotted" w:sz="4" w:space="0" w:color="auto"/>
              <w:bottom w:val="dotted" w:sz="4" w:space="0" w:color="auto"/>
              <w:right w:val="dotted" w:sz="4" w:space="0" w:color="auto"/>
            </w:tcBorders>
            <w:noWrap/>
            <w:vAlign w:val="center"/>
          </w:tcPr>
          <w:p w:rsidR="00A6008B" w:rsidRPr="009A221A" w:rsidRDefault="00A6008B" w:rsidP="001431CA">
            <w:pPr>
              <w:spacing w:before="60" w:after="60"/>
              <w:rPr>
                <w:sz w:val="21"/>
                <w:szCs w:val="22"/>
              </w:rPr>
            </w:pPr>
            <w:r w:rsidRPr="009A221A">
              <w:rPr>
                <w:sz w:val="21"/>
                <w:szCs w:val="22"/>
              </w:rPr>
              <w:t xml:space="preserve">Contracts Manager </w:t>
            </w:r>
          </w:p>
        </w:tc>
        <w:tc>
          <w:tcPr>
            <w:tcW w:w="1836" w:type="dxa"/>
            <w:tcBorders>
              <w:top w:val="dotted" w:sz="4" w:space="0" w:color="auto"/>
              <w:left w:val="dotted" w:sz="4" w:space="0" w:color="auto"/>
              <w:bottom w:val="dotted" w:sz="4" w:space="0" w:color="auto"/>
            </w:tcBorders>
            <w:noWrap/>
            <w:vAlign w:val="center"/>
          </w:tcPr>
          <w:p w:rsidR="00A6008B" w:rsidRPr="009A221A" w:rsidRDefault="00A6008B" w:rsidP="001431CA">
            <w:pPr>
              <w:spacing w:before="60" w:after="60"/>
              <w:jc w:val="center"/>
              <w:rPr>
                <w:sz w:val="21"/>
                <w:szCs w:val="22"/>
              </w:rPr>
            </w:pPr>
            <w:r w:rsidRPr="009A221A">
              <w:rPr>
                <w:sz w:val="21"/>
                <w:szCs w:val="22"/>
              </w:rPr>
              <w:t>200input-days</w:t>
            </w:r>
          </w:p>
        </w:tc>
      </w:tr>
      <w:tr w:rsidR="00A6008B" w:rsidRPr="00E92571" w:rsidTr="005B0751">
        <w:trPr>
          <w:trHeight w:val="284"/>
          <w:jc w:val="center"/>
        </w:trPr>
        <w:tc>
          <w:tcPr>
            <w:tcW w:w="4385" w:type="dxa"/>
            <w:tcBorders>
              <w:top w:val="dotted" w:sz="4" w:space="0" w:color="auto"/>
              <w:bottom w:val="dotted" w:sz="4" w:space="0" w:color="auto"/>
              <w:right w:val="dotted" w:sz="4" w:space="0" w:color="auto"/>
            </w:tcBorders>
            <w:noWrap/>
          </w:tcPr>
          <w:p w:rsidR="00A6008B" w:rsidRPr="009A221A" w:rsidRDefault="00A6008B" w:rsidP="005B0751">
            <w:pPr>
              <w:spacing w:before="60" w:after="60"/>
              <w:rPr>
                <w:sz w:val="21"/>
                <w:szCs w:val="22"/>
              </w:rPr>
            </w:pPr>
            <w:r w:rsidRPr="009A221A">
              <w:rPr>
                <w:sz w:val="21"/>
                <w:szCs w:val="22"/>
              </w:rPr>
              <w:t>Project Coordinators (3 full-time equivalent positions)</w:t>
            </w:r>
          </w:p>
        </w:tc>
        <w:tc>
          <w:tcPr>
            <w:tcW w:w="1836" w:type="dxa"/>
            <w:tcBorders>
              <w:top w:val="dotted" w:sz="4" w:space="0" w:color="auto"/>
              <w:left w:val="dotted" w:sz="4" w:space="0" w:color="auto"/>
              <w:bottom w:val="dotted" w:sz="4" w:space="0" w:color="auto"/>
            </w:tcBorders>
            <w:noWrap/>
          </w:tcPr>
          <w:p w:rsidR="00A6008B" w:rsidRPr="009A221A" w:rsidRDefault="00A6008B" w:rsidP="001431CA">
            <w:pPr>
              <w:spacing w:before="60" w:after="60"/>
              <w:jc w:val="center"/>
              <w:rPr>
                <w:sz w:val="21"/>
                <w:szCs w:val="22"/>
              </w:rPr>
            </w:pPr>
            <w:r w:rsidRPr="009A221A">
              <w:rPr>
                <w:sz w:val="21"/>
                <w:szCs w:val="22"/>
              </w:rPr>
              <w:t>72input-months</w:t>
            </w:r>
          </w:p>
        </w:tc>
      </w:tr>
      <w:tr w:rsidR="00A6008B" w:rsidRPr="00E92571" w:rsidTr="005B0751">
        <w:trPr>
          <w:trHeight w:val="284"/>
          <w:jc w:val="center"/>
        </w:trPr>
        <w:tc>
          <w:tcPr>
            <w:tcW w:w="4385" w:type="dxa"/>
            <w:tcBorders>
              <w:top w:val="dotted" w:sz="4" w:space="0" w:color="auto"/>
              <w:bottom w:val="single" w:sz="4" w:space="0" w:color="auto"/>
              <w:right w:val="dotted" w:sz="4" w:space="0" w:color="auto"/>
            </w:tcBorders>
            <w:noWrap/>
          </w:tcPr>
          <w:p w:rsidR="00A6008B" w:rsidRPr="009A221A" w:rsidRDefault="00A6008B" w:rsidP="008F7037">
            <w:pPr>
              <w:spacing w:before="60" w:after="60"/>
              <w:rPr>
                <w:sz w:val="21"/>
                <w:szCs w:val="22"/>
              </w:rPr>
            </w:pPr>
            <w:r w:rsidRPr="009A221A">
              <w:rPr>
                <w:sz w:val="21"/>
                <w:szCs w:val="22"/>
              </w:rPr>
              <w:t>Finance Officer (1 full-time equivalent position)</w:t>
            </w:r>
          </w:p>
        </w:tc>
        <w:tc>
          <w:tcPr>
            <w:tcW w:w="1836" w:type="dxa"/>
            <w:tcBorders>
              <w:top w:val="dotted" w:sz="4" w:space="0" w:color="auto"/>
              <w:left w:val="dotted" w:sz="4" w:space="0" w:color="auto"/>
              <w:bottom w:val="single" w:sz="4" w:space="0" w:color="auto"/>
            </w:tcBorders>
            <w:noWrap/>
          </w:tcPr>
          <w:p w:rsidR="00A6008B" w:rsidRPr="009A221A" w:rsidRDefault="00A6008B" w:rsidP="00F34896">
            <w:pPr>
              <w:spacing w:before="60" w:after="60"/>
              <w:jc w:val="center"/>
              <w:rPr>
                <w:sz w:val="21"/>
                <w:szCs w:val="22"/>
              </w:rPr>
            </w:pPr>
            <w:r w:rsidRPr="009A221A">
              <w:rPr>
                <w:sz w:val="21"/>
                <w:szCs w:val="22"/>
              </w:rPr>
              <w:t>24input-months</w:t>
            </w:r>
          </w:p>
        </w:tc>
      </w:tr>
    </w:tbl>
    <w:p w:rsidR="00A6008B" w:rsidRPr="00E92571" w:rsidRDefault="00A6008B" w:rsidP="00C037A7">
      <w:pPr>
        <w:rPr>
          <w:szCs w:val="23"/>
        </w:rPr>
      </w:pPr>
    </w:p>
    <w:p w:rsidR="00A6008B" w:rsidRPr="00E92571" w:rsidRDefault="00A6008B" w:rsidP="00EF05E0">
      <w:pPr>
        <w:pStyle w:val="Heading1"/>
        <w:numPr>
          <w:ilvl w:val="0"/>
          <w:numId w:val="8"/>
        </w:numPr>
        <w:spacing w:before="120"/>
        <w:ind w:left="709" w:hanging="709"/>
        <w:rPr>
          <w:lang w:val="en-AU"/>
        </w:rPr>
      </w:pPr>
      <w:bookmarkStart w:id="66" w:name="_Toc354644466"/>
      <w:r w:rsidRPr="00E92571">
        <w:rPr>
          <w:lang w:val="en-AU"/>
        </w:rPr>
        <w:t>Monitoring and Evaluation</w:t>
      </w:r>
      <w:bookmarkEnd w:id="66"/>
    </w:p>
    <w:p w:rsidR="00A6008B" w:rsidRPr="00F84321" w:rsidRDefault="00A6008B" w:rsidP="00B42994">
      <w:pPr>
        <w:rPr>
          <w:sz w:val="20"/>
          <w:highlight w:val="green"/>
        </w:rPr>
      </w:pPr>
    </w:p>
    <w:p w:rsidR="00A6008B" w:rsidRPr="00E92571" w:rsidRDefault="00A6008B" w:rsidP="00C63657">
      <w:pPr>
        <w:rPr>
          <w:lang w:eastAsia="en-US"/>
        </w:rPr>
      </w:pPr>
      <w:r w:rsidRPr="00E92571">
        <w:t xml:space="preserve">The PJDP will be </w:t>
      </w:r>
      <w:r w:rsidRPr="00E92571">
        <w:rPr>
          <w:lang w:eastAsia="en-US"/>
        </w:rPr>
        <w:t xml:space="preserve">monitored and evaluated (M&amp;E) by reference to a Results Framework. The Framework builds on that developed and approved for the 12-month Extension Plan (1 July 2012-30 June 2013) to focus on progress made towards the achievement of the end of year targets and the extent to which they contribute to longer term goals.  </w:t>
      </w:r>
    </w:p>
    <w:p w:rsidR="00A6008B" w:rsidRPr="00F84321" w:rsidRDefault="00A6008B" w:rsidP="00C63657">
      <w:pPr>
        <w:rPr>
          <w:sz w:val="20"/>
          <w:lang w:eastAsia="en-US"/>
        </w:rPr>
      </w:pPr>
    </w:p>
    <w:p w:rsidR="00A6008B" w:rsidRPr="00E92571" w:rsidRDefault="00A6008B" w:rsidP="00C63657">
      <w:pPr>
        <w:rPr>
          <w:szCs w:val="23"/>
          <w:lang w:eastAsia="en-US"/>
        </w:rPr>
      </w:pPr>
      <w:r w:rsidRPr="00E92571">
        <w:rPr>
          <w:lang w:eastAsia="en-US"/>
        </w:rPr>
        <w:t xml:space="preserve">The </w:t>
      </w:r>
      <w:r w:rsidRPr="00E92571">
        <w:rPr>
          <w:szCs w:val="23"/>
          <w:lang w:eastAsia="en-US"/>
        </w:rPr>
        <w:t xml:space="preserve">Framework is complemented by the ongoing collection and assessment of court performance data from all PICs pursuant to the Annual Court Reporting Project.  Base-line and second year court performance data has been collected and reported, but is not yet available across all indicators from all PICs.  A third and fourth year of court performance data will be collected during the 24-month Extension Period allowing trends in judicial and court performance to be identified while also establishing more comprehensive M&amp;E of PJDP and other judicial and court development activities to be undertaken in the future.  </w:t>
      </w:r>
    </w:p>
    <w:p w:rsidR="00A6008B" w:rsidRPr="00E92571" w:rsidRDefault="00A6008B" w:rsidP="00C63657">
      <w:pPr>
        <w:rPr>
          <w:sz w:val="16"/>
          <w:szCs w:val="23"/>
          <w:lang w:eastAsia="en-US"/>
        </w:rPr>
      </w:pPr>
    </w:p>
    <w:p w:rsidR="00A6008B" w:rsidRPr="00E92571" w:rsidRDefault="00A6008B" w:rsidP="00EF05E0">
      <w:pPr>
        <w:pStyle w:val="Heading2"/>
        <w:numPr>
          <w:ilvl w:val="0"/>
          <w:numId w:val="12"/>
        </w:numPr>
        <w:ind w:hanging="720"/>
      </w:pPr>
      <w:bookmarkStart w:id="67" w:name="_Toc354644467"/>
      <w:r w:rsidRPr="00E92571">
        <w:t>Reporting and Milestones</w:t>
      </w:r>
      <w:bookmarkEnd w:id="67"/>
    </w:p>
    <w:p w:rsidR="00A6008B" w:rsidRPr="00F84321" w:rsidRDefault="00A6008B" w:rsidP="00B42994">
      <w:pPr>
        <w:rPr>
          <w:sz w:val="20"/>
        </w:rPr>
      </w:pPr>
    </w:p>
    <w:p w:rsidR="00A6008B" w:rsidRDefault="00A6008B" w:rsidP="00D377AD">
      <w:pPr>
        <w:rPr>
          <w:lang w:eastAsia="en-US"/>
        </w:rPr>
      </w:pPr>
      <w:r w:rsidRPr="00E92571">
        <w:rPr>
          <w:lang w:eastAsia="en-US"/>
        </w:rPr>
        <w:t>The approach to reporting aims to maximise accountability and effective communication with the PEC.  Milestone reporting will continueon a monthly basis, with a series of ‘critical’ quarterly progress milestone reports to besubmitted throughout the 24-month Extension Period, as follows:</w:t>
      </w:r>
      <w:r>
        <w:rPr>
          <w:lang w:eastAsia="en-US"/>
        </w:rPr>
        <w:t>-</w:t>
      </w:r>
      <w:r w:rsidRPr="00E92571">
        <w:rPr>
          <w:rStyle w:val="FootnoteReference"/>
          <w:lang w:eastAsia="en-US"/>
        </w:rPr>
        <w:footnoteReference w:id="16"/>
      </w:r>
    </w:p>
    <w:p w:rsidR="00A6008B" w:rsidRPr="00E92571" w:rsidRDefault="00A6008B" w:rsidP="006209D7">
      <w:pPr>
        <w:pStyle w:val="ListParagraph"/>
        <w:numPr>
          <w:ilvl w:val="0"/>
          <w:numId w:val="17"/>
        </w:numPr>
        <w:spacing w:before="80"/>
        <w:ind w:left="714" w:hanging="357"/>
        <w:rPr>
          <w:szCs w:val="23"/>
          <w:lang/>
        </w:rPr>
      </w:pPr>
      <w:r w:rsidRPr="00E92571">
        <w:rPr>
          <w:szCs w:val="23"/>
          <w:lang/>
        </w:rPr>
        <w:t>Milestone 33: Quarterly Report to the PEC (July-September 2013)</w:t>
      </w:r>
    </w:p>
    <w:p w:rsidR="00A6008B" w:rsidRPr="00E92571" w:rsidRDefault="00A6008B" w:rsidP="006209D7">
      <w:pPr>
        <w:pStyle w:val="ListParagraph"/>
        <w:numPr>
          <w:ilvl w:val="0"/>
          <w:numId w:val="17"/>
        </w:numPr>
        <w:spacing w:before="80"/>
        <w:ind w:left="714" w:hanging="357"/>
        <w:rPr>
          <w:szCs w:val="23"/>
          <w:lang/>
        </w:rPr>
      </w:pPr>
      <w:r w:rsidRPr="00E92571">
        <w:rPr>
          <w:szCs w:val="23"/>
          <w:lang/>
        </w:rPr>
        <w:t>Milestone 37: Annual Report to the PEC (January-December 2013)</w:t>
      </w:r>
    </w:p>
    <w:p w:rsidR="00A6008B" w:rsidRPr="00E92571" w:rsidRDefault="00A6008B" w:rsidP="006209D7">
      <w:pPr>
        <w:pStyle w:val="ListParagraph"/>
        <w:numPr>
          <w:ilvl w:val="0"/>
          <w:numId w:val="17"/>
        </w:numPr>
        <w:spacing w:before="80"/>
        <w:ind w:left="714" w:hanging="357"/>
        <w:rPr>
          <w:szCs w:val="23"/>
          <w:lang/>
        </w:rPr>
      </w:pPr>
      <w:r w:rsidRPr="00E92571">
        <w:rPr>
          <w:szCs w:val="23"/>
          <w:lang/>
        </w:rPr>
        <w:t>Milestone 39:Quarterly Report to the PEC (January-March 2014)</w:t>
      </w:r>
    </w:p>
    <w:p w:rsidR="00A6008B" w:rsidRPr="00E92571" w:rsidRDefault="00A6008B" w:rsidP="006209D7">
      <w:pPr>
        <w:pStyle w:val="ListParagraph"/>
        <w:numPr>
          <w:ilvl w:val="0"/>
          <w:numId w:val="17"/>
        </w:numPr>
        <w:spacing w:before="80"/>
        <w:ind w:left="714" w:hanging="357"/>
        <w:rPr>
          <w:szCs w:val="23"/>
          <w:lang/>
        </w:rPr>
      </w:pPr>
      <w:r w:rsidRPr="00E92571">
        <w:rPr>
          <w:szCs w:val="23"/>
          <w:lang/>
        </w:rPr>
        <w:t>Milestone 42: Six-monthly Report to the PEC ( April-June 2014)</w:t>
      </w:r>
    </w:p>
    <w:p w:rsidR="00A6008B" w:rsidRPr="00E92571" w:rsidRDefault="00A6008B" w:rsidP="006209D7">
      <w:pPr>
        <w:pStyle w:val="ListParagraph"/>
        <w:numPr>
          <w:ilvl w:val="0"/>
          <w:numId w:val="17"/>
        </w:numPr>
        <w:spacing w:before="80"/>
        <w:ind w:left="714" w:hanging="357"/>
        <w:rPr>
          <w:szCs w:val="23"/>
          <w:lang/>
        </w:rPr>
      </w:pPr>
      <w:r w:rsidRPr="00E92571">
        <w:rPr>
          <w:szCs w:val="23"/>
          <w:lang/>
        </w:rPr>
        <w:t>Milestone 45:Quarterly Report to the PEC (July-September 2014)</w:t>
      </w:r>
    </w:p>
    <w:p w:rsidR="00A6008B" w:rsidRPr="00E92571" w:rsidRDefault="00A6008B" w:rsidP="006209D7">
      <w:pPr>
        <w:pStyle w:val="ListParagraph"/>
        <w:numPr>
          <w:ilvl w:val="0"/>
          <w:numId w:val="17"/>
        </w:numPr>
        <w:spacing w:before="80"/>
        <w:ind w:left="714" w:hanging="357"/>
        <w:rPr>
          <w:szCs w:val="23"/>
          <w:lang/>
        </w:rPr>
      </w:pPr>
      <w:r w:rsidRPr="00E92571">
        <w:rPr>
          <w:szCs w:val="23"/>
          <w:lang/>
        </w:rPr>
        <w:t>Milestone 49: Annual Report to the PEC (January-December 2014)</w:t>
      </w:r>
    </w:p>
    <w:p w:rsidR="00A6008B" w:rsidRPr="00E92571" w:rsidRDefault="00A6008B" w:rsidP="006209D7">
      <w:pPr>
        <w:pStyle w:val="ListParagraph"/>
        <w:numPr>
          <w:ilvl w:val="0"/>
          <w:numId w:val="17"/>
        </w:numPr>
        <w:spacing w:before="80"/>
        <w:ind w:left="714" w:hanging="357"/>
        <w:rPr>
          <w:szCs w:val="23"/>
          <w:lang/>
        </w:rPr>
      </w:pPr>
      <w:r w:rsidRPr="00E92571">
        <w:rPr>
          <w:szCs w:val="23"/>
          <w:lang/>
        </w:rPr>
        <w:t>Milestone 51: Quarterly Report to the PEC (January-March 2015)</w:t>
      </w:r>
    </w:p>
    <w:p w:rsidR="00A6008B" w:rsidRPr="00E92571" w:rsidRDefault="00A6008B" w:rsidP="006209D7">
      <w:pPr>
        <w:pStyle w:val="ListParagraph"/>
        <w:numPr>
          <w:ilvl w:val="0"/>
          <w:numId w:val="17"/>
        </w:numPr>
        <w:spacing w:before="80"/>
        <w:ind w:left="714" w:hanging="357"/>
        <w:rPr>
          <w:szCs w:val="23"/>
          <w:lang/>
        </w:rPr>
      </w:pPr>
      <w:r w:rsidRPr="00E92571">
        <w:rPr>
          <w:lang/>
        </w:rPr>
        <w:t xml:space="preserve">Milestone </w:t>
      </w:r>
      <w:r w:rsidRPr="00E92571">
        <w:rPr>
          <w:szCs w:val="23"/>
          <w:lang/>
        </w:rPr>
        <w:t>54</w:t>
      </w:r>
      <w:r w:rsidRPr="00E92571">
        <w:rPr>
          <w:lang/>
        </w:rPr>
        <w:t xml:space="preserve">: </w:t>
      </w:r>
      <w:r w:rsidRPr="00E92571">
        <w:rPr>
          <w:rFonts w:cs="Calibri"/>
          <w:szCs w:val="23"/>
          <w:lang/>
        </w:rPr>
        <w:t>Project Completion</w:t>
      </w:r>
      <w:r w:rsidRPr="00E92571">
        <w:rPr>
          <w:lang/>
        </w:rPr>
        <w:t>Report</w:t>
      </w:r>
      <w:r w:rsidRPr="00E92571">
        <w:rPr>
          <w:szCs w:val="23"/>
          <w:lang/>
        </w:rPr>
        <w:t xml:space="preserve"> to the PEC (</w:t>
      </w:r>
      <w:r w:rsidRPr="00E92571">
        <w:rPr>
          <w:lang/>
        </w:rPr>
        <w:t xml:space="preserve">30 </w:t>
      </w:r>
      <w:r w:rsidRPr="00E92571">
        <w:rPr>
          <w:szCs w:val="23"/>
          <w:lang/>
        </w:rPr>
        <w:t>June 2015)</w:t>
      </w:r>
      <w:r w:rsidRPr="00E92571">
        <w:rPr>
          <w:rStyle w:val="FootnoteReference"/>
          <w:szCs w:val="23"/>
          <w:lang/>
        </w:rPr>
        <w:footnoteReference w:id="17"/>
      </w:r>
    </w:p>
    <w:p w:rsidR="00A6008B" w:rsidRPr="00F84321" w:rsidRDefault="00A6008B" w:rsidP="00D377AD">
      <w:pPr>
        <w:rPr>
          <w:sz w:val="20"/>
        </w:rPr>
      </w:pPr>
    </w:p>
    <w:p w:rsidR="00A6008B" w:rsidRPr="00E92571" w:rsidRDefault="00A6008B" w:rsidP="00D377AD">
      <w:r w:rsidRPr="00E92571">
        <w:t>In addition, at the completion of each project, a Project Completion Report will be submitted by each Adviser to the PJDP Team.  All completion reports will be made available to the PEC as required and will be used to report progress against the Results Framework.  Furthermore, Exception Reports will be submitted to the PEC should any exceptional circumstances arise that impact upon the achievement of PJDP objectives.</w:t>
      </w:r>
    </w:p>
    <w:p w:rsidR="00A6008B" w:rsidRPr="00E92571" w:rsidRDefault="00A6008B" w:rsidP="00C037A7">
      <w:pPr>
        <w:rPr>
          <w:szCs w:val="23"/>
          <w:highlight w:val="yellow"/>
          <w:lang w:eastAsia="en-US"/>
        </w:rPr>
      </w:pPr>
    </w:p>
    <w:p w:rsidR="00A6008B" w:rsidRPr="00E92571" w:rsidRDefault="00A6008B" w:rsidP="00EF05E0">
      <w:pPr>
        <w:pStyle w:val="Heading2"/>
        <w:numPr>
          <w:ilvl w:val="0"/>
          <w:numId w:val="12"/>
        </w:numPr>
        <w:ind w:hanging="720"/>
      </w:pPr>
      <w:bookmarkStart w:id="68" w:name="_Toc354644468"/>
      <w:r w:rsidRPr="00E92571">
        <w:t>Risk Analysis and Management</w:t>
      </w:r>
      <w:bookmarkEnd w:id="68"/>
    </w:p>
    <w:p w:rsidR="00A6008B" w:rsidRPr="00F84321" w:rsidRDefault="00A6008B" w:rsidP="00055F97">
      <w:pPr>
        <w:rPr>
          <w:sz w:val="20"/>
        </w:rPr>
      </w:pPr>
    </w:p>
    <w:p w:rsidR="00A6008B" w:rsidRPr="00E92571" w:rsidRDefault="00A6008B" w:rsidP="00055F97">
      <w:pPr>
        <w:rPr>
          <w:lang w:eastAsia="en-US"/>
        </w:rPr>
      </w:pPr>
      <w:r w:rsidRPr="00E92571">
        <w:rPr>
          <w:lang w:eastAsia="en-US"/>
        </w:rPr>
        <w:t xml:space="preserve">Four material risks have been identified along with the strategies to manage, respond to and ameliorate them (see table below).  The PJDP Team will continue to actively manage risks by consulting with local stakeholders and Advisers to identify and mitigate risks progressively over the course of the Extension Phase.  This ongoing assessment of risks will be reported on as part of periodic reports outlined above. </w:t>
      </w:r>
    </w:p>
    <w:p w:rsidR="00A6008B" w:rsidRPr="00F84321" w:rsidRDefault="00A6008B" w:rsidP="00055F97">
      <w:pPr>
        <w:rPr>
          <w:sz w:val="20"/>
          <w:highlight w:val="green"/>
        </w:rPr>
      </w:pPr>
    </w:p>
    <w:tbl>
      <w:tblPr>
        <w:tblW w:w="0" w:type="auto"/>
        <w:tblBorders>
          <w:top w:val="single" w:sz="4" w:space="0" w:color="auto"/>
          <w:bottom w:val="single" w:sz="4" w:space="0" w:color="auto"/>
          <w:insideH w:val="dotted" w:sz="4" w:space="0" w:color="auto"/>
          <w:insideV w:val="dotted" w:sz="4" w:space="0" w:color="auto"/>
        </w:tblBorders>
        <w:tblLook w:val="00A0"/>
      </w:tblPr>
      <w:tblGrid>
        <w:gridCol w:w="2591"/>
        <w:gridCol w:w="2575"/>
        <w:gridCol w:w="4178"/>
      </w:tblGrid>
      <w:tr w:rsidR="00A6008B" w:rsidRPr="00E92571" w:rsidTr="009A221A">
        <w:trPr>
          <w:tblHeader/>
        </w:trPr>
        <w:tc>
          <w:tcPr>
            <w:tcW w:w="2591" w:type="dxa"/>
            <w:tcBorders>
              <w:top w:val="single" w:sz="4" w:space="0" w:color="auto"/>
              <w:bottom w:val="single" w:sz="4" w:space="0" w:color="auto"/>
              <w:right w:val="single" w:sz="4" w:space="0" w:color="auto"/>
            </w:tcBorders>
            <w:shd w:val="clear" w:color="auto" w:fill="BFBFBF"/>
          </w:tcPr>
          <w:p w:rsidR="00A6008B" w:rsidRPr="009A221A" w:rsidRDefault="00A6008B" w:rsidP="009A221A">
            <w:pPr>
              <w:spacing w:before="40" w:after="40"/>
              <w:jc w:val="center"/>
              <w:rPr>
                <w:b/>
              </w:rPr>
            </w:pPr>
            <w:r w:rsidRPr="009A221A">
              <w:rPr>
                <w:b/>
              </w:rPr>
              <w:t>Risk</w:t>
            </w:r>
          </w:p>
        </w:tc>
        <w:tc>
          <w:tcPr>
            <w:tcW w:w="2575" w:type="dxa"/>
            <w:tcBorders>
              <w:top w:val="single" w:sz="4" w:space="0" w:color="auto"/>
              <w:left w:val="single" w:sz="4" w:space="0" w:color="auto"/>
              <w:bottom w:val="single" w:sz="4" w:space="0" w:color="auto"/>
              <w:right w:val="single" w:sz="4" w:space="0" w:color="auto"/>
            </w:tcBorders>
            <w:shd w:val="clear" w:color="auto" w:fill="BFBFBF"/>
          </w:tcPr>
          <w:p w:rsidR="00A6008B" w:rsidRPr="009A221A" w:rsidRDefault="00A6008B" w:rsidP="009A221A">
            <w:pPr>
              <w:spacing w:before="40" w:after="40"/>
              <w:jc w:val="center"/>
              <w:rPr>
                <w:b/>
              </w:rPr>
            </w:pPr>
            <w:r w:rsidRPr="009A221A">
              <w:rPr>
                <w:b/>
              </w:rPr>
              <w:t>Result</w:t>
            </w:r>
          </w:p>
        </w:tc>
        <w:tc>
          <w:tcPr>
            <w:tcW w:w="4178" w:type="dxa"/>
            <w:tcBorders>
              <w:top w:val="single" w:sz="4" w:space="0" w:color="auto"/>
              <w:left w:val="single" w:sz="4" w:space="0" w:color="auto"/>
              <w:bottom w:val="single" w:sz="4" w:space="0" w:color="auto"/>
            </w:tcBorders>
            <w:shd w:val="clear" w:color="auto" w:fill="BFBFBF"/>
          </w:tcPr>
          <w:p w:rsidR="00A6008B" w:rsidRPr="009A221A" w:rsidRDefault="00A6008B" w:rsidP="009A221A">
            <w:pPr>
              <w:spacing w:before="40" w:after="40"/>
              <w:jc w:val="center"/>
              <w:rPr>
                <w:b/>
              </w:rPr>
            </w:pPr>
            <w:r w:rsidRPr="009A221A">
              <w:rPr>
                <w:b/>
              </w:rPr>
              <w:t>How Risk will be Addressed</w:t>
            </w:r>
          </w:p>
        </w:tc>
      </w:tr>
      <w:tr w:rsidR="00A6008B" w:rsidRPr="00E92571" w:rsidTr="009A221A">
        <w:tc>
          <w:tcPr>
            <w:tcW w:w="2591" w:type="dxa"/>
            <w:tcBorders>
              <w:top w:val="single" w:sz="4" w:space="0" w:color="auto"/>
            </w:tcBorders>
          </w:tcPr>
          <w:p w:rsidR="00A6008B" w:rsidRPr="009A221A" w:rsidRDefault="00A6008B" w:rsidP="009A221A">
            <w:pPr>
              <w:spacing w:before="80"/>
              <w:rPr>
                <w:sz w:val="22"/>
              </w:rPr>
            </w:pPr>
            <w:r w:rsidRPr="009A221A">
              <w:rPr>
                <w:sz w:val="22"/>
                <w:szCs w:val="22"/>
              </w:rPr>
              <w:t>PICs do not commit sufficient or appropriate resources to lead, manage, facilitate or participate in PJDP activities.</w:t>
            </w:r>
          </w:p>
        </w:tc>
        <w:tc>
          <w:tcPr>
            <w:tcW w:w="2575" w:type="dxa"/>
            <w:tcBorders>
              <w:top w:val="single" w:sz="4" w:space="0" w:color="auto"/>
            </w:tcBorders>
          </w:tcPr>
          <w:p w:rsidR="00A6008B" w:rsidRPr="009A221A" w:rsidRDefault="00A6008B" w:rsidP="009A221A">
            <w:pPr>
              <w:spacing w:before="80"/>
              <w:rPr>
                <w:sz w:val="22"/>
              </w:rPr>
            </w:pPr>
            <w:r w:rsidRPr="009A221A">
              <w:rPr>
                <w:sz w:val="22"/>
                <w:szCs w:val="22"/>
              </w:rPr>
              <w:t xml:space="preserve">Activity/project outcomes will be undermined / unachievable and it will not be possible to devolve implementation to local actors thereby maintaining external dependence.  </w:t>
            </w:r>
          </w:p>
        </w:tc>
        <w:tc>
          <w:tcPr>
            <w:tcW w:w="4178" w:type="dxa"/>
            <w:tcBorders>
              <w:top w:val="single" w:sz="4" w:space="0" w:color="auto"/>
            </w:tcBorders>
          </w:tcPr>
          <w:p w:rsidR="00A6008B" w:rsidRPr="009A221A" w:rsidRDefault="00A6008B" w:rsidP="009A221A">
            <w:pPr>
              <w:spacing w:before="80"/>
              <w:rPr>
                <w:sz w:val="22"/>
              </w:rPr>
            </w:pPr>
            <w:r w:rsidRPr="009A221A">
              <w:rPr>
                <w:sz w:val="22"/>
                <w:szCs w:val="22"/>
              </w:rPr>
              <w:t xml:space="preserve">The PJDP will provide each Chief Justice and National Coordinator with a detailed outline of what each activity involves including a clear articulation of respective roles and responsibilities. This will include a commitment by those involved to taking some action to progress related developments/reforms following the activity.  PJDP will seek explicit agreement from Chief Justices that they can allow judicial and court officers’ sufficient time away from their other functions to complete the necessary work within normal working hours. </w:t>
            </w:r>
          </w:p>
        </w:tc>
      </w:tr>
      <w:tr w:rsidR="00A6008B" w:rsidRPr="00E92571" w:rsidTr="009A221A">
        <w:tc>
          <w:tcPr>
            <w:tcW w:w="2591" w:type="dxa"/>
          </w:tcPr>
          <w:p w:rsidR="00A6008B" w:rsidRPr="009A221A" w:rsidRDefault="00A6008B" w:rsidP="009A221A">
            <w:pPr>
              <w:spacing w:before="80"/>
              <w:rPr>
                <w:sz w:val="22"/>
              </w:rPr>
            </w:pPr>
            <w:r w:rsidRPr="009A221A">
              <w:rPr>
                <w:rFonts w:cs="Arial"/>
                <w:sz w:val="22"/>
                <w:szCs w:val="22"/>
              </w:rPr>
              <w:t>Accredited educators and members of the RTT cannot access ongoing/refresher training after the cessation of PJDP and/or do not conduct training locally.</w:t>
            </w:r>
          </w:p>
        </w:tc>
        <w:tc>
          <w:tcPr>
            <w:tcW w:w="2575" w:type="dxa"/>
          </w:tcPr>
          <w:p w:rsidR="00A6008B" w:rsidRPr="009A221A" w:rsidRDefault="00A6008B" w:rsidP="009A221A">
            <w:pPr>
              <w:spacing w:before="80"/>
              <w:rPr>
                <w:sz w:val="22"/>
              </w:rPr>
            </w:pPr>
            <w:r w:rsidRPr="009A221A">
              <w:rPr>
                <w:sz w:val="22"/>
                <w:szCs w:val="22"/>
              </w:rPr>
              <w:t>Local training capacity/motivation will diminish over time as will the quality and quantity of the training they deliver.  This will impact the competence of judicial and court officers and as a result the justice they administer.</w:t>
            </w:r>
          </w:p>
        </w:tc>
        <w:tc>
          <w:tcPr>
            <w:tcW w:w="4178" w:type="dxa"/>
          </w:tcPr>
          <w:p w:rsidR="00A6008B" w:rsidRPr="009A221A" w:rsidRDefault="00A6008B" w:rsidP="009A221A">
            <w:pPr>
              <w:spacing w:before="80"/>
              <w:rPr>
                <w:sz w:val="22"/>
              </w:rPr>
            </w:pPr>
            <w:r w:rsidRPr="009A221A">
              <w:rPr>
                <w:rFonts w:cs="Arial"/>
                <w:sz w:val="22"/>
                <w:szCs w:val="22"/>
              </w:rPr>
              <w:t>The PJDP will seek to promote sustainability in ongoing judicial and court development within the region over the course of the 24-month Extension Period. PJDP plays a key role in facilitating this through greater localisation of support, direct mentoring, network, curriculum development and programme management support to RTT and National Trainers, and the provision of a suite of resources (toolkits) to be usedto support ongoing judicial and court development at the local level.</w:t>
            </w:r>
          </w:p>
        </w:tc>
      </w:tr>
      <w:tr w:rsidR="00A6008B" w:rsidRPr="00E92571" w:rsidTr="009A221A">
        <w:tc>
          <w:tcPr>
            <w:tcW w:w="2591" w:type="dxa"/>
          </w:tcPr>
          <w:p w:rsidR="00A6008B" w:rsidRPr="009A221A" w:rsidRDefault="00A6008B" w:rsidP="009A221A">
            <w:pPr>
              <w:spacing w:before="80"/>
              <w:rPr>
                <w:rFonts w:cs="Arial"/>
                <w:sz w:val="22"/>
              </w:rPr>
            </w:pPr>
            <w:r w:rsidRPr="009A221A">
              <w:rPr>
                <w:sz w:val="22"/>
                <w:szCs w:val="22"/>
              </w:rPr>
              <w:t>PJDP attempts to address too many problems across too many thematic areas, spreading itself too thinly.</w:t>
            </w:r>
          </w:p>
        </w:tc>
        <w:tc>
          <w:tcPr>
            <w:tcW w:w="2575" w:type="dxa"/>
          </w:tcPr>
          <w:p w:rsidR="00A6008B" w:rsidRPr="009A221A" w:rsidRDefault="00A6008B" w:rsidP="009A221A">
            <w:pPr>
              <w:spacing w:before="80"/>
              <w:rPr>
                <w:sz w:val="22"/>
              </w:rPr>
            </w:pPr>
            <w:r w:rsidRPr="009A221A">
              <w:rPr>
                <w:sz w:val="22"/>
                <w:szCs w:val="22"/>
              </w:rPr>
              <w:t>PJDPs ability to deliver meaningful change in any area is reduced.</w:t>
            </w:r>
          </w:p>
        </w:tc>
        <w:tc>
          <w:tcPr>
            <w:tcW w:w="4178" w:type="dxa"/>
          </w:tcPr>
          <w:p w:rsidR="00A6008B" w:rsidRPr="009A221A" w:rsidRDefault="00A6008B" w:rsidP="009A221A">
            <w:pPr>
              <w:spacing w:before="80"/>
              <w:rPr>
                <w:sz w:val="22"/>
              </w:rPr>
            </w:pPr>
            <w:r w:rsidRPr="009A221A">
              <w:rPr>
                <w:sz w:val="22"/>
                <w:szCs w:val="22"/>
              </w:rPr>
              <w:t xml:space="preserve">The 24 Month Extension Plan adopts a tighter focus to address specific problems that will improve the courts’ capacity, systems and procedures to deliver services that contribute improvements to the wellbeing of citizens and communities they serve locally and across the region. </w:t>
            </w:r>
          </w:p>
        </w:tc>
      </w:tr>
      <w:tr w:rsidR="00A6008B" w:rsidRPr="00E92571" w:rsidTr="009A221A">
        <w:tc>
          <w:tcPr>
            <w:tcW w:w="2591" w:type="dxa"/>
            <w:tcBorders>
              <w:top w:val="nil"/>
            </w:tcBorders>
          </w:tcPr>
          <w:p w:rsidR="00A6008B" w:rsidRPr="009A221A" w:rsidRDefault="00A6008B" w:rsidP="009A221A">
            <w:pPr>
              <w:spacing w:before="80"/>
              <w:rPr>
                <w:sz w:val="22"/>
              </w:rPr>
            </w:pPr>
            <w:r w:rsidRPr="009A221A">
              <w:rPr>
                <w:sz w:val="22"/>
                <w:szCs w:val="22"/>
              </w:rPr>
              <w:t>Substantial ongoing capacity-building support across the region is required to enable devolution and transfer of programme management responsibilities and functions locally</w:t>
            </w:r>
          </w:p>
        </w:tc>
        <w:tc>
          <w:tcPr>
            <w:tcW w:w="2575" w:type="dxa"/>
            <w:tcBorders>
              <w:top w:val="nil"/>
            </w:tcBorders>
          </w:tcPr>
          <w:p w:rsidR="00A6008B" w:rsidRPr="009A221A" w:rsidRDefault="00A6008B" w:rsidP="009A221A">
            <w:pPr>
              <w:spacing w:before="80"/>
              <w:rPr>
                <w:sz w:val="22"/>
              </w:rPr>
            </w:pPr>
            <w:r w:rsidRPr="009A221A">
              <w:rPr>
                <w:sz w:val="22"/>
                <w:szCs w:val="22"/>
              </w:rPr>
              <w:t>PICs will remain dependent on external providers to address their development needs, which inherently foster donor dependence and undermine motivation to lead change locally.</w:t>
            </w:r>
          </w:p>
        </w:tc>
        <w:tc>
          <w:tcPr>
            <w:tcW w:w="4178" w:type="dxa"/>
            <w:tcBorders>
              <w:top w:val="nil"/>
            </w:tcBorders>
          </w:tcPr>
          <w:p w:rsidR="00A6008B" w:rsidRPr="009A221A" w:rsidRDefault="00A6008B" w:rsidP="009A221A">
            <w:pPr>
              <w:spacing w:before="80"/>
              <w:rPr>
                <w:sz w:val="22"/>
              </w:rPr>
            </w:pPr>
            <w:r w:rsidRPr="009A221A">
              <w:rPr>
                <w:sz w:val="22"/>
                <w:szCs w:val="22"/>
              </w:rPr>
              <w:t xml:space="preserve">The 24 Month Extension Plan focuses more than before in PJEP/PJDPs history on building the capacity and motivation of those who will manage, lead and deliver change locally.  </w:t>
            </w:r>
          </w:p>
        </w:tc>
      </w:tr>
      <w:tr w:rsidR="00A6008B" w:rsidRPr="00E92571" w:rsidTr="009A221A">
        <w:tc>
          <w:tcPr>
            <w:tcW w:w="2591" w:type="dxa"/>
            <w:tcBorders>
              <w:bottom w:val="single" w:sz="4" w:space="0" w:color="auto"/>
            </w:tcBorders>
          </w:tcPr>
          <w:p w:rsidR="00A6008B" w:rsidRPr="009A221A" w:rsidRDefault="00A6008B" w:rsidP="009A221A">
            <w:pPr>
              <w:spacing w:before="80"/>
              <w:rPr>
                <w:sz w:val="22"/>
                <w:szCs w:val="22"/>
              </w:rPr>
            </w:pPr>
            <w:r w:rsidRPr="009A221A">
              <w:rPr>
                <w:sz w:val="22"/>
                <w:szCs w:val="22"/>
              </w:rPr>
              <w:t>Lack of motivation / capacity by in-country stakeholders to undertake the work required to monitor progress and/or achieve identified PJDP outcomes.</w:t>
            </w:r>
          </w:p>
        </w:tc>
        <w:tc>
          <w:tcPr>
            <w:tcW w:w="2575" w:type="dxa"/>
            <w:tcBorders>
              <w:bottom w:val="single" w:sz="4" w:space="0" w:color="auto"/>
            </w:tcBorders>
          </w:tcPr>
          <w:p w:rsidR="00A6008B" w:rsidRPr="009A221A" w:rsidRDefault="00A6008B" w:rsidP="009A221A">
            <w:pPr>
              <w:spacing w:before="80"/>
              <w:rPr>
                <w:sz w:val="22"/>
              </w:rPr>
            </w:pPr>
            <w:r w:rsidRPr="009A221A">
              <w:rPr>
                <w:sz w:val="22"/>
                <w:szCs w:val="22"/>
              </w:rPr>
              <w:t xml:space="preserve">Activities will not improve performance or governance at the local level and PICs will not achieve the outcomes they seek and PJDP will not be able to achieve identified outputs / outcomes </w:t>
            </w:r>
          </w:p>
          <w:p w:rsidR="00A6008B" w:rsidRPr="009A221A" w:rsidRDefault="00A6008B" w:rsidP="009A221A">
            <w:pPr>
              <w:spacing w:before="80"/>
              <w:rPr>
                <w:sz w:val="22"/>
              </w:rPr>
            </w:pPr>
          </w:p>
        </w:tc>
        <w:tc>
          <w:tcPr>
            <w:tcW w:w="4178" w:type="dxa"/>
            <w:tcBorders>
              <w:bottom w:val="single" w:sz="4" w:space="0" w:color="auto"/>
            </w:tcBorders>
          </w:tcPr>
          <w:p w:rsidR="00A6008B" w:rsidRPr="009A221A" w:rsidRDefault="00A6008B" w:rsidP="009A221A">
            <w:pPr>
              <w:spacing w:before="80"/>
              <w:rPr>
                <w:sz w:val="22"/>
              </w:rPr>
            </w:pPr>
            <w:r w:rsidRPr="009A221A">
              <w:rPr>
                <w:sz w:val="22"/>
                <w:szCs w:val="22"/>
              </w:rPr>
              <w:t xml:space="preserve">1. Consultation throughout implementation to further refine activities (in particular through the Responsive Fund mechanism) to promote relevance of intervention and provide motivation for PICs to engage with the Programme.  </w:t>
            </w:r>
          </w:p>
          <w:p w:rsidR="00A6008B" w:rsidRPr="009A221A" w:rsidRDefault="00A6008B" w:rsidP="009A221A">
            <w:pPr>
              <w:spacing w:before="40"/>
              <w:rPr>
                <w:sz w:val="22"/>
              </w:rPr>
            </w:pPr>
            <w:r w:rsidRPr="009A221A">
              <w:rPr>
                <w:sz w:val="22"/>
                <w:szCs w:val="22"/>
              </w:rPr>
              <w:t xml:space="preserve">2.  CJs/NCs will be requested to sign letters of exchange defining activity-related responsibilities, acknowledging the local court’s ability to mobilise the necessary resources to support or undertake the proposed activity and the commitment of senior leaders to provide necessary motivation to other stakeholders. </w:t>
            </w:r>
          </w:p>
          <w:p w:rsidR="00A6008B" w:rsidRPr="009A221A" w:rsidRDefault="00A6008B" w:rsidP="009A221A">
            <w:pPr>
              <w:spacing w:before="40"/>
              <w:rPr>
                <w:sz w:val="22"/>
              </w:rPr>
            </w:pPr>
            <w:r w:rsidRPr="009A221A">
              <w:rPr>
                <w:sz w:val="22"/>
                <w:szCs w:val="22"/>
              </w:rPr>
              <w:t xml:space="preserve">3.  During activities, ownership and accountability for outcomes will be promoted by sharing frameworks amongst leaders to demonstrate how focus areas can be dealt with at a local level. </w:t>
            </w:r>
          </w:p>
          <w:p w:rsidR="00A6008B" w:rsidRPr="009A221A" w:rsidRDefault="00A6008B" w:rsidP="009A221A">
            <w:pPr>
              <w:spacing w:before="40"/>
              <w:rPr>
                <w:sz w:val="22"/>
              </w:rPr>
            </w:pPr>
            <w:r w:rsidRPr="009A221A">
              <w:rPr>
                <w:sz w:val="22"/>
                <w:szCs w:val="22"/>
              </w:rPr>
              <w:t>4.  Ongoing technical and management support will be provided to stakeholders along with additional funding opportunities (the Responsive Fund mechanism or other donor resources) to support the localisation of regional activities.</w:t>
            </w:r>
          </w:p>
          <w:p w:rsidR="00A6008B" w:rsidRPr="009A221A" w:rsidRDefault="00A6008B" w:rsidP="009A221A">
            <w:pPr>
              <w:spacing w:before="40"/>
              <w:rPr>
                <w:sz w:val="22"/>
              </w:rPr>
            </w:pPr>
            <w:r w:rsidRPr="009A221A">
              <w:rPr>
                <w:sz w:val="22"/>
                <w:szCs w:val="22"/>
              </w:rPr>
              <w:t>5.  PIC stakeholders, particularly NCs will be guided and supported to monitor, evaluate and report on activities/projects to ensure that this useful data can be collected and analysed by the Programme.</w:t>
            </w:r>
          </w:p>
        </w:tc>
      </w:tr>
    </w:tbl>
    <w:p w:rsidR="00A6008B" w:rsidRPr="00E92571" w:rsidRDefault="00A6008B" w:rsidP="00C037A7">
      <w:pPr>
        <w:rPr>
          <w:szCs w:val="23"/>
        </w:rPr>
      </w:pPr>
    </w:p>
    <w:p w:rsidR="00A6008B" w:rsidRPr="00E92571" w:rsidRDefault="00A6008B" w:rsidP="00EF05E0">
      <w:pPr>
        <w:pStyle w:val="Heading1"/>
        <w:numPr>
          <w:ilvl w:val="0"/>
          <w:numId w:val="8"/>
        </w:numPr>
        <w:spacing w:before="120"/>
        <w:ind w:left="709" w:hanging="709"/>
        <w:rPr>
          <w:lang w:val="en-AU"/>
        </w:rPr>
      </w:pPr>
      <w:bookmarkStart w:id="69" w:name="_Toc354644469"/>
      <w:r w:rsidRPr="00E92571">
        <w:rPr>
          <w:lang w:val="en-AU"/>
        </w:rPr>
        <w:t>Expenditure Summary</w:t>
      </w:r>
      <w:bookmarkEnd w:id="69"/>
    </w:p>
    <w:p w:rsidR="00A6008B" w:rsidRPr="00F84321" w:rsidRDefault="00A6008B" w:rsidP="0071111E">
      <w:pPr>
        <w:rPr>
          <w:sz w:val="20"/>
          <w:lang w:eastAsia="en-US"/>
        </w:rPr>
      </w:pPr>
    </w:p>
    <w:p w:rsidR="00A6008B" w:rsidRPr="00A91E9E" w:rsidRDefault="00A6008B" w:rsidP="00DF3855">
      <w:pPr>
        <w:rPr>
          <w:rFonts w:cs="Arial"/>
          <w:b/>
          <w:bCs/>
          <w:i/>
          <w:iCs/>
          <w:sz w:val="26"/>
          <w:szCs w:val="26"/>
          <w:lang w:eastAsia="ja-JP"/>
        </w:rPr>
      </w:pPr>
      <w:r w:rsidRPr="00E92571">
        <w:rPr>
          <w:szCs w:val="23"/>
          <w:lang w:eastAsia="en-US"/>
        </w:rPr>
        <w:t xml:space="preserve">The budget for the 24-month Implementation Plan is </w:t>
      </w:r>
      <w:r w:rsidRPr="00E92571">
        <w:rPr>
          <w:szCs w:val="23"/>
        </w:rPr>
        <w:t>AUD 3.8 million.  In addition, in-line with discussions with MFAT, u</w:t>
      </w:r>
      <w:r>
        <w:rPr>
          <w:szCs w:val="23"/>
        </w:rPr>
        <w:t>n</w:t>
      </w:r>
      <w:r w:rsidRPr="00E92571">
        <w:rPr>
          <w:szCs w:val="23"/>
        </w:rPr>
        <w:t>spen</w:t>
      </w:r>
      <w:r>
        <w:rPr>
          <w:szCs w:val="23"/>
        </w:rPr>
        <w:t>t funds</w:t>
      </w:r>
      <w:r w:rsidRPr="00E92571">
        <w:rPr>
          <w:szCs w:val="23"/>
        </w:rPr>
        <w:t xml:space="preserve"> from the 12-month Extension Period </w:t>
      </w:r>
      <w:r>
        <w:rPr>
          <w:szCs w:val="23"/>
        </w:rPr>
        <w:t>will</w:t>
      </w:r>
      <w:r w:rsidRPr="00E92571">
        <w:rPr>
          <w:szCs w:val="23"/>
        </w:rPr>
        <w:t xml:space="preserve"> be rolled-over into the 24-month Extension Plan budget</w:t>
      </w:r>
      <w:r w:rsidRPr="009864A9">
        <w:rPr>
          <w:szCs w:val="23"/>
        </w:rPr>
        <w:t xml:space="preserve">.  </w:t>
      </w:r>
      <w:r>
        <w:rPr>
          <w:szCs w:val="23"/>
        </w:rPr>
        <w:t>The rolled-over amount totals AUD 90,000.</w:t>
      </w:r>
      <w:r w:rsidRPr="00E92571">
        <w:rPr>
          <w:rStyle w:val="FootnoteReference"/>
          <w:szCs w:val="23"/>
        </w:rPr>
        <w:footnoteReference w:id="18"/>
      </w:r>
      <w:r w:rsidRPr="00E92571">
        <w:rPr>
          <w:szCs w:val="23"/>
        </w:rPr>
        <w:t>The total available budget</w:t>
      </w:r>
      <w:r>
        <w:rPr>
          <w:szCs w:val="23"/>
        </w:rPr>
        <w:t xml:space="preserve"> is</w:t>
      </w:r>
      <w:r w:rsidRPr="00E92571">
        <w:rPr>
          <w:szCs w:val="23"/>
        </w:rPr>
        <w:t xml:space="preserve"> thereforeAUD </w:t>
      </w:r>
      <w:r>
        <w:rPr>
          <w:szCs w:val="23"/>
        </w:rPr>
        <w:t>3.89 m</w:t>
      </w:r>
      <w:r w:rsidRPr="00E92571">
        <w:rPr>
          <w:szCs w:val="23"/>
        </w:rPr>
        <w:t xml:space="preserve">illion. </w:t>
      </w:r>
      <w:r>
        <w:rPr>
          <w:szCs w:val="23"/>
        </w:rPr>
        <w:t>Following the addition of: 5 further Family Violence and Youth Justice follow-up activities; and additional</w:t>
      </w:r>
      <w:r w:rsidRPr="00652E3D">
        <w:rPr>
          <w:szCs w:val="23"/>
        </w:rPr>
        <w:t xml:space="preserve">NZ Judicial </w:t>
      </w:r>
      <w:r w:rsidRPr="00C85CEF">
        <w:rPr>
          <w:szCs w:val="23"/>
        </w:rPr>
        <w:t>engagement and liaison support-related costs, the budgeted expenditure for the 24-month Extension Plan is AUD</w:t>
      </w:r>
      <w:r w:rsidRPr="00C85CEF">
        <w:rPr>
          <w:rFonts w:cs="Arial"/>
          <w:bCs/>
          <w:szCs w:val="23"/>
          <w:lang w:eastAsia="ja-JP"/>
        </w:rPr>
        <w:t>3,964,859.33</w:t>
      </w:r>
      <w:r w:rsidRPr="00C85CEF">
        <w:rPr>
          <w:szCs w:val="23"/>
        </w:rPr>
        <w:t>which</w:t>
      </w:r>
      <w:r>
        <w:rPr>
          <w:szCs w:val="23"/>
        </w:rPr>
        <w:t xml:space="preserve">, means that the PJDP budget is approximatelyAUD </w:t>
      </w:r>
      <w:r w:rsidRPr="00A91E9E">
        <w:rPr>
          <w:rFonts w:cs="Arial"/>
          <w:bCs/>
          <w:iCs/>
          <w:szCs w:val="23"/>
          <w:lang w:eastAsia="ja-JP"/>
        </w:rPr>
        <w:t xml:space="preserve"> 7</w:t>
      </w:r>
      <w:r>
        <w:rPr>
          <w:rFonts w:cs="Arial"/>
          <w:bCs/>
          <w:iCs/>
          <w:szCs w:val="23"/>
          <w:lang w:eastAsia="ja-JP"/>
        </w:rPr>
        <w:t>5</w:t>
      </w:r>
      <w:r w:rsidRPr="00A91E9E">
        <w:rPr>
          <w:rFonts w:cs="Arial"/>
          <w:bCs/>
          <w:iCs/>
          <w:szCs w:val="23"/>
          <w:lang w:eastAsia="ja-JP"/>
        </w:rPr>
        <w:t>,</w:t>
      </w:r>
      <w:r>
        <w:rPr>
          <w:rFonts w:cs="Arial"/>
          <w:bCs/>
          <w:iCs/>
          <w:szCs w:val="23"/>
          <w:lang w:eastAsia="ja-JP"/>
        </w:rPr>
        <w:t>000</w:t>
      </w:r>
      <w:r>
        <w:rPr>
          <w:szCs w:val="23"/>
        </w:rPr>
        <w:t>over budget.</w:t>
      </w:r>
    </w:p>
    <w:p w:rsidR="00A6008B" w:rsidRPr="00805782" w:rsidRDefault="00A6008B" w:rsidP="00805782"/>
    <w:p w:rsidR="00A6008B" w:rsidRPr="00E92571" w:rsidRDefault="00A6008B" w:rsidP="00DF3855">
      <w:pPr>
        <w:rPr>
          <w:szCs w:val="23"/>
        </w:rPr>
      </w:pPr>
      <w:r w:rsidRPr="00E92571">
        <w:rPr>
          <w:szCs w:val="23"/>
        </w:rPr>
        <w:t xml:space="preserve">Further to the recent stakeholder consultations, the activity balance in the final Plan shifted over against the indicative activity allocations made in the draft Plan.  This resulted in changesto the budget. </w:t>
      </w:r>
    </w:p>
    <w:p w:rsidR="00A6008B" w:rsidRDefault="00A6008B" w:rsidP="0071111E">
      <w:pPr>
        <w:rPr>
          <w:szCs w:val="23"/>
          <w:lang w:eastAsia="en-US"/>
        </w:rPr>
      </w:pPr>
      <w:r w:rsidRPr="00E92571">
        <w:rPr>
          <w:szCs w:val="23"/>
        </w:rPr>
        <w:t xml:space="preserve">The budget, broken down by component, is as </w:t>
      </w:r>
      <w:r w:rsidRPr="00E92571">
        <w:rPr>
          <w:szCs w:val="23"/>
          <w:lang w:eastAsia="en-US"/>
        </w:rPr>
        <w:t xml:space="preserve">outlined </w:t>
      </w:r>
      <w:r>
        <w:rPr>
          <w:szCs w:val="23"/>
          <w:lang w:eastAsia="en-US"/>
        </w:rPr>
        <w:t>below</w:t>
      </w:r>
      <w:r w:rsidRPr="00E92571">
        <w:rPr>
          <w:szCs w:val="23"/>
          <w:lang w:eastAsia="en-US"/>
        </w:rPr>
        <w:t>:-</w:t>
      </w:r>
    </w:p>
    <w:p w:rsidR="00A6008B" w:rsidRPr="00E92571" w:rsidRDefault="00A6008B" w:rsidP="008047BD">
      <w:pPr>
        <w:rPr>
          <w:sz w:val="16"/>
        </w:rPr>
      </w:pPr>
    </w:p>
    <w:tbl>
      <w:tblPr>
        <w:tblW w:w="6647" w:type="dxa"/>
        <w:jc w:val="center"/>
        <w:tblLook w:val="00A0"/>
      </w:tblPr>
      <w:tblGrid>
        <w:gridCol w:w="4646"/>
        <w:gridCol w:w="2001"/>
      </w:tblGrid>
      <w:tr w:rsidR="00A6008B" w:rsidRPr="00E92571" w:rsidTr="008047BD">
        <w:trPr>
          <w:trHeight w:val="64"/>
          <w:jc w:val="center"/>
        </w:trPr>
        <w:tc>
          <w:tcPr>
            <w:tcW w:w="4646" w:type="dxa"/>
            <w:tcBorders>
              <w:top w:val="single" w:sz="4" w:space="0" w:color="auto"/>
              <w:left w:val="nil"/>
              <w:bottom w:val="single" w:sz="4" w:space="0" w:color="auto"/>
              <w:right w:val="single" w:sz="4" w:space="0" w:color="auto"/>
            </w:tcBorders>
            <w:shd w:val="clear" w:color="000000" w:fill="D9D9D9"/>
            <w:vAlign w:val="center"/>
          </w:tcPr>
          <w:p w:rsidR="00A6008B" w:rsidRPr="009A221A" w:rsidRDefault="00A6008B" w:rsidP="0065791A">
            <w:pPr>
              <w:spacing w:before="80" w:after="80"/>
              <w:rPr>
                <w:b/>
                <w:sz w:val="22"/>
                <w:szCs w:val="22"/>
              </w:rPr>
            </w:pPr>
            <w:r w:rsidRPr="00E92571">
              <w:rPr>
                <w:b/>
                <w:sz w:val="22"/>
                <w:szCs w:val="22"/>
              </w:rPr>
              <w:t>PJDP Component / Pillar</w:t>
            </w:r>
          </w:p>
        </w:tc>
        <w:tc>
          <w:tcPr>
            <w:tcW w:w="2001" w:type="dxa"/>
            <w:tcBorders>
              <w:top w:val="single" w:sz="4" w:space="0" w:color="auto"/>
              <w:left w:val="nil"/>
              <w:bottom w:val="single" w:sz="4" w:space="0" w:color="auto"/>
            </w:tcBorders>
            <w:shd w:val="clear" w:color="000000" w:fill="D9D9D9"/>
            <w:vAlign w:val="center"/>
          </w:tcPr>
          <w:p w:rsidR="00A6008B" w:rsidRPr="009A221A" w:rsidRDefault="00A6008B" w:rsidP="0065791A">
            <w:pPr>
              <w:spacing w:before="80" w:after="80"/>
              <w:jc w:val="center"/>
              <w:rPr>
                <w:b/>
                <w:sz w:val="22"/>
                <w:szCs w:val="22"/>
              </w:rPr>
            </w:pPr>
            <w:r w:rsidRPr="00E92571">
              <w:rPr>
                <w:b/>
                <w:sz w:val="22"/>
                <w:szCs w:val="22"/>
              </w:rPr>
              <w:t>Total                                       (AUD)</w:t>
            </w:r>
          </w:p>
        </w:tc>
      </w:tr>
      <w:tr w:rsidR="00A6008B" w:rsidRPr="00E92571" w:rsidTr="008047BD">
        <w:trPr>
          <w:trHeight w:val="284"/>
          <w:jc w:val="center"/>
        </w:trPr>
        <w:tc>
          <w:tcPr>
            <w:tcW w:w="4646" w:type="dxa"/>
            <w:tcBorders>
              <w:top w:val="single" w:sz="4" w:space="0" w:color="auto"/>
              <w:bottom w:val="dotted" w:sz="4" w:space="0" w:color="auto"/>
              <w:right w:val="dotted" w:sz="4" w:space="0" w:color="auto"/>
            </w:tcBorders>
            <w:vAlign w:val="center"/>
          </w:tcPr>
          <w:p w:rsidR="00A6008B" w:rsidRPr="009A221A" w:rsidRDefault="00A6008B" w:rsidP="0065791A">
            <w:pPr>
              <w:spacing w:before="40" w:after="40"/>
              <w:ind w:left="144"/>
              <w:rPr>
                <w:sz w:val="22"/>
                <w:szCs w:val="22"/>
              </w:rPr>
            </w:pPr>
            <w:r w:rsidRPr="00E92571">
              <w:rPr>
                <w:sz w:val="22"/>
                <w:szCs w:val="22"/>
              </w:rPr>
              <w:t>1.0:  Component One - Access to Justice</w:t>
            </w:r>
          </w:p>
        </w:tc>
        <w:tc>
          <w:tcPr>
            <w:tcW w:w="2001" w:type="dxa"/>
            <w:tcBorders>
              <w:top w:val="single" w:sz="4" w:space="0" w:color="auto"/>
              <w:bottom w:val="dotted" w:sz="4" w:space="0" w:color="auto"/>
            </w:tcBorders>
            <w:vAlign w:val="center"/>
          </w:tcPr>
          <w:p w:rsidR="00A6008B" w:rsidRPr="009A221A" w:rsidRDefault="00A6008B" w:rsidP="00A6008B">
            <w:pPr>
              <w:ind w:right="124" w:firstLineChars="100" w:firstLine="31680"/>
              <w:jc w:val="right"/>
              <w:rPr>
                <w:rFonts w:cs="Arial"/>
                <w:sz w:val="22"/>
                <w:szCs w:val="22"/>
              </w:rPr>
              <w:pPrChange w:id="70" w:author="" w:date="2013-07-24T11:42:00Z">
                <w:pPr>
                  <w:ind w:right="124" w:firstLineChars="100" w:firstLine="31680"/>
                  <w:jc w:val="right"/>
                </w:pPr>
              </w:pPrChange>
            </w:pPr>
            <w:r>
              <w:rPr>
                <w:rFonts w:cs="Arial"/>
                <w:sz w:val="22"/>
              </w:rPr>
              <w:t>AUD 412,029.37</w:t>
            </w:r>
          </w:p>
        </w:tc>
      </w:tr>
      <w:tr w:rsidR="00A6008B" w:rsidRPr="00E92571" w:rsidTr="008047BD">
        <w:trPr>
          <w:trHeight w:val="284"/>
          <w:jc w:val="center"/>
        </w:trPr>
        <w:tc>
          <w:tcPr>
            <w:tcW w:w="4646" w:type="dxa"/>
            <w:tcBorders>
              <w:top w:val="dotted" w:sz="4" w:space="0" w:color="auto"/>
              <w:bottom w:val="dotted" w:sz="4" w:space="0" w:color="auto"/>
              <w:right w:val="dotted" w:sz="4" w:space="0" w:color="auto"/>
            </w:tcBorders>
            <w:vAlign w:val="center"/>
          </w:tcPr>
          <w:p w:rsidR="00A6008B" w:rsidRPr="009A221A" w:rsidRDefault="00A6008B" w:rsidP="0065791A">
            <w:pPr>
              <w:spacing w:before="40" w:after="40"/>
              <w:ind w:left="144"/>
              <w:rPr>
                <w:sz w:val="22"/>
                <w:szCs w:val="22"/>
              </w:rPr>
            </w:pPr>
            <w:r w:rsidRPr="00E92571">
              <w:rPr>
                <w:sz w:val="22"/>
                <w:szCs w:val="22"/>
              </w:rPr>
              <w:t>2.0:  Component Two - Governance</w:t>
            </w:r>
          </w:p>
        </w:tc>
        <w:tc>
          <w:tcPr>
            <w:tcW w:w="2001" w:type="dxa"/>
            <w:tcBorders>
              <w:top w:val="dotted" w:sz="4" w:space="0" w:color="auto"/>
              <w:bottom w:val="dotted" w:sz="4" w:space="0" w:color="auto"/>
            </w:tcBorders>
            <w:vAlign w:val="center"/>
          </w:tcPr>
          <w:p w:rsidR="00A6008B" w:rsidRPr="009A221A" w:rsidRDefault="00A6008B" w:rsidP="00A6008B">
            <w:pPr>
              <w:ind w:right="124" w:firstLineChars="100" w:firstLine="31680"/>
              <w:jc w:val="right"/>
              <w:rPr>
                <w:rFonts w:cs="Arial"/>
                <w:sz w:val="22"/>
                <w:szCs w:val="22"/>
              </w:rPr>
              <w:pPrChange w:id="71" w:author="" w:date="2013-07-24T11:42:00Z">
                <w:pPr>
                  <w:ind w:right="124" w:firstLineChars="100" w:firstLine="31680"/>
                  <w:jc w:val="right"/>
                </w:pPr>
              </w:pPrChange>
            </w:pPr>
            <w:r>
              <w:rPr>
                <w:rFonts w:cs="Arial"/>
                <w:sz w:val="22"/>
              </w:rPr>
              <w:t>AUD 842,020.24</w:t>
            </w:r>
          </w:p>
        </w:tc>
      </w:tr>
      <w:tr w:rsidR="00A6008B" w:rsidRPr="00E92571" w:rsidTr="008047BD">
        <w:trPr>
          <w:trHeight w:val="284"/>
          <w:jc w:val="center"/>
        </w:trPr>
        <w:tc>
          <w:tcPr>
            <w:tcW w:w="4646" w:type="dxa"/>
            <w:tcBorders>
              <w:top w:val="dotted" w:sz="4" w:space="0" w:color="auto"/>
              <w:bottom w:val="dotted" w:sz="4" w:space="0" w:color="auto"/>
              <w:right w:val="dotted" w:sz="4" w:space="0" w:color="auto"/>
            </w:tcBorders>
            <w:vAlign w:val="center"/>
          </w:tcPr>
          <w:p w:rsidR="00A6008B" w:rsidRPr="009A221A" w:rsidRDefault="00A6008B" w:rsidP="0065791A">
            <w:pPr>
              <w:spacing w:before="40" w:after="40"/>
              <w:ind w:left="144"/>
              <w:rPr>
                <w:sz w:val="22"/>
                <w:szCs w:val="22"/>
              </w:rPr>
            </w:pPr>
            <w:r w:rsidRPr="00E92571">
              <w:rPr>
                <w:sz w:val="22"/>
                <w:szCs w:val="22"/>
              </w:rPr>
              <w:t>3.0:  Component Three - Systems and Processes</w:t>
            </w:r>
          </w:p>
        </w:tc>
        <w:tc>
          <w:tcPr>
            <w:tcW w:w="2001" w:type="dxa"/>
            <w:tcBorders>
              <w:top w:val="dotted" w:sz="4" w:space="0" w:color="auto"/>
              <w:bottom w:val="dotted" w:sz="4" w:space="0" w:color="auto"/>
            </w:tcBorders>
            <w:vAlign w:val="center"/>
          </w:tcPr>
          <w:p w:rsidR="00A6008B" w:rsidRPr="009A221A" w:rsidRDefault="00A6008B" w:rsidP="00A6008B">
            <w:pPr>
              <w:ind w:right="124" w:firstLineChars="100" w:firstLine="31680"/>
              <w:jc w:val="right"/>
              <w:rPr>
                <w:rFonts w:cs="Arial"/>
                <w:sz w:val="22"/>
                <w:szCs w:val="22"/>
              </w:rPr>
              <w:pPrChange w:id="72" w:author="" w:date="2013-07-24T11:42:00Z">
                <w:pPr>
                  <w:ind w:right="124" w:firstLineChars="100" w:firstLine="31680"/>
                  <w:jc w:val="right"/>
                </w:pPr>
              </w:pPrChange>
            </w:pPr>
            <w:r>
              <w:rPr>
                <w:rFonts w:cs="Arial"/>
                <w:sz w:val="22"/>
              </w:rPr>
              <w:t>AUD 442,350.27</w:t>
            </w:r>
          </w:p>
        </w:tc>
      </w:tr>
      <w:tr w:rsidR="00A6008B" w:rsidRPr="00E92571" w:rsidTr="008047BD">
        <w:trPr>
          <w:trHeight w:val="284"/>
          <w:jc w:val="center"/>
        </w:trPr>
        <w:tc>
          <w:tcPr>
            <w:tcW w:w="4646" w:type="dxa"/>
            <w:tcBorders>
              <w:top w:val="dotted" w:sz="4" w:space="0" w:color="auto"/>
              <w:bottom w:val="dotted" w:sz="4" w:space="0" w:color="auto"/>
              <w:right w:val="dotted" w:sz="4" w:space="0" w:color="auto"/>
            </w:tcBorders>
            <w:vAlign w:val="center"/>
          </w:tcPr>
          <w:p w:rsidR="00A6008B" w:rsidRPr="009A221A" w:rsidRDefault="00A6008B" w:rsidP="0065791A">
            <w:pPr>
              <w:spacing w:before="40" w:after="40"/>
              <w:ind w:left="144"/>
              <w:rPr>
                <w:sz w:val="22"/>
                <w:szCs w:val="22"/>
              </w:rPr>
            </w:pPr>
            <w:r w:rsidRPr="00E92571">
              <w:rPr>
                <w:sz w:val="22"/>
                <w:szCs w:val="22"/>
              </w:rPr>
              <w:t>4.0:  Component Four - Professional Development</w:t>
            </w:r>
          </w:p>
        </w:tc>
        <w:tc>
          <w:tcPr>
            <w:tcW w:w="2001" w:type="dxa"/>
            <w:tcBorders>
              <w:top w:val="dotted" w:sz="4" w:space="0" w:color="auto"/>
              <w:bottom w:val="dotted" w:sz="4" w:space="0" w:color="auto"/>
            </w:tcBorders>
            <w:vAlign w:val="center"/>
          </w:tcPr>
          <w:p w:rsidR="00A6008B" w:rsidRPr="009A221A" w:rsidRDefault="00A6008B" w:rsidP="00A6008B">
            <w:pPr>
              <w:ind w:right="124" w:firstLineChars="100" w:firstLine="31680"/>
              <w:jc w:val="right"/>
              <w:rPr>
                <w:rFonts w:cs="Arial"/>
                <w:sz w:val="22"/>
                <w:szCs w:val="22"/>
              </w:rPr>
              <w:pPrChange w:id="73" w:author="" w:date="2013-07-24T11:42:00Z">
                <w:pPr>
                  <w:ind w:right="124" w:firstLineChars="100" w:firstLine="31680"/>
                  <w:jc w:val="right"/>
                </w:pPr>
              </w:pPrChange>
            </w:pPr>
            <w:r>
              <w:rPr>
                <w:rFonts w:cs="Arial"/>
                <w:sz w:val="22"/>
              </w:rPr>
              <w:t>AUD 915,381.51</w:t>
            </w:r>
          </w:p>
        </w:tc>
      </w:tr>
      <w:tr w:rsidR="00A6008B" w:rsidRPr="00E92571" w:rsidTr="008047BD">
        <w:trPr>
          <w:trHeight w:val="284"/>
          <w:jc w:val="center"/>
        </w:trPr>
        <w:tc>
          <w:tcPr>
            <w:tcW w:w="4646" w:type="dxa"/>
            <w:tcBorders>
              <w:top w:val="dotted" w:sz="4" w:space="0" w:color="auto"/>
              <w:bottom w:val="single" w:sz="6" w:space="0" w:color="auto"/>
              <w:right w:val="dotted" w:sz="4" w:space="0" w:color="auto"/>
            </w:tcBorders>
            <w:vAlign w:val="center"/>
          </w:tcPr>
          <w:p w:rsidR="00A6008B" w:rsidRPr="009A221A" w:rsidRDefault="00A6008B" w:rsidP="005B3167">
            <w:pPr>
              <w:spacing w:before="40" w:after="40"/>
              <w:ind w:left="144"/>
              <w:rPr>
                <w:sz w:val="22"/>
                <w:szCs w:val="22"/>
              </w:rPr>
            </w:pPr>
            <w:r w:rsidRPr="00E92571">
              <w:rPr>
                <w:sz w:val="22"/>
                <w:szCs w:val="22"/>
              </w:rPr>
              <w:t>5.0:  Component Five - Programme Operations</w:t>
            </w:r>
          </w:p>
        </w:tc>
        <w:tc>
          <w:tcPr>
            <w:tcW w:w="2001" w:type="dxa"/>
            <w:tcBorders>
              <w:top w:val="dotted" w:sz="4" w:space="0" w:color="auto"/>
              <w:bottom w:val="single" w:sz="6" w:space="0" w:color="auto"/>
            </w:tcBorders>
            <w:vAlign w:val="center"/>
          </w:tcPr>
          <w:p w:rsidR="00A6008B" w:rsidRPr="009A221A" w:rsidRDefault="00A6008B" w:rsidP="00295006">
            <w:pPr>
              <w:ind w:right="124"/>
              <w:jc w:val="right"/>
              <w:rPr>
                <w:rFonts w:cs="Arial"/>
                <w:sz w:val="22"/>
                <w:szCs w:val="22"/>
              </w:rPr>
            </w:pPr>
            <w:r>
              <w:rPr>
                <w:rFonts w:cs="Arial"/>
                <w:sz w:val="22"/>
                <w:szCs w:val="22"/>
              </w:rPr>
              <w:t>AUD 1,353,077.93</w:t>
            </w:r>
          </w:p>
        </w:tc>
      </w:tr>
      <w:tr w:rsidR="00A6008B" w:rsidRPr="000211D2" w:rsidTr="008047BD">
        <w:trPr>
          <w:trHeight w:val="329"/>
          <w:jc w:val="center"/>
        </w:trPr>
        <w:tc>
          <w:tcPr>
            <w:tcW w:w="4646" w:type="dxa"/>
            <w:tcBorders>
              <w:top w:val="single" w:sz="6" w:space="0" w:color="auto"/>
              <w:bottom w:val="single" w:sz="4" w:space="0" w:color="auto"/>
              <w:right w:val="dotted" w:sz="4" w:space="0" w:color="auto"/>
            </w:tcBorders>
            <w:vAlign w:val="center"/>
          </w:tcPr>
          <w:p w:rsidR="00A6008B" w:rsidRPr="000211D2" w:rsidRDefault="00A6008B" w:rsidP="00690B45">
            <w:pPr>
              <w:spacing w:before="60" w:after="60"/>
              <w:rPr>
                <w:b/>
                <w:szCs w:val="23"/>
              </w:rPr>
            </w:pPr>
            <w:r w:rsidRPr="000211D2">
              <w:rPr>
                <w:b/>
                <w:szCs w:val="23"/>
              </w:rPr>
              <w:t>Total 24-month Extension Plan Budget:</w:t>
            </w:r>
          </w:p>
        </w:tc>
        <w:tc>
          <w:tcPr>
            <w:tcW w:w="2001" w:type="dxa"/>
            <w:tcBorders>
              <w:top w:val="single" w:sz="6" w:space="0" w:color="auto"/>
              <w:bottom w:val="single" w:sz="4" w:space="0" w:color="auto"/>
            </w:tcBorders>
            <w:vAlign w:val="center"/>
          </w:tcPr>
          <w:p w:rsidR="00A6008B" w:rsidRPr="000211D2" w:rsidRDefault="00A6008B" w:rsidP="00274B8A">
            <w:pPr>
              <w:jc w:val="right"/>
              <w:rPr>
                <w:rFonts w:cs="Arial"/>
                <w:b/>
                <w:bCs/>
                <w:i/>
                <w:iCs/>
                <w:szCs w:val="23"/>
              </w:rPr>
            </w:pPr>
            <w:r>
              <w:rPr>
                <w:rFonts w:cs="Arial"/>
                <w:b/>
                <w:bCs/>
                <w:i/>
                <w:iCs/>
                <w:szCs w:val="23"/>
              </w:rPr>
              <w:t>AUD 3,964,859.33</w:t>
            </w:r>
          </w:p>
        </w:tc>
      </w:tr>
    </w:tbl>
    <w:p w:rsidR="00A6008B" w:rsidRPr="000211D2" w:rsidRDefault="00A6008B" w:rsidP="000830F1">
      <w:pPr>
        <w:rPr>
          <w:sz w:val="24"/>
          <w:lang w:eastAsia="en-US"/>
        </w:rPr>
      </w:pPr>
    </w:p>
    <w:p w:rsidR="00A6008B" w:rsidRPr="000211D2" w:rsidRDefault="00A6008B" w:rsidP="00A04723">
      <w:r w:rsidRPr="000211D2">
        <w:t>As earlier indicated, the activities budget is allocated between components as follows:-</w:t>
      </w:r>
    </w:p>
    <w:p w:rsidR="00A6008B" w:rsidRPr="000211D2" w:rsidRDefault="00A6008B" w:rsidP="00A04723">
      <w:pPr>
        <w:rPr>
          <w:sz w:val="10"/>
        </w:rPr>
      </w:pPr>
    </w:p>
    <w:p w:rsidR="00A6008B" w:rsidRPr="000211D2" w:rsidRDefault="00A6008B" w:rsidP="00697C9F">
      <w:pPr>
        <w:jc w:val="center"/>
        <w:rPr>
          <w:szCs w:val="23"/>
        </w:rPr>
      </w:pPr>
      <w:r w:rsidRPr="009A221A">
        <w:rPr>
          <w:noProof/>
          <w:szCs w:val="23"/>
        </w:rPr>
        <w:pict>
          <v:shape id="_x0000_i1027" type="#_x0000_t75" style="width:435pt;height:198.75pt;visibility:visible">
            <v:imagedata r:id="rId14" o:title="" croptop="-2621f" cropbottom="-4096f" cropleft="-1396f" cropright="-1181f"/>
            <o:lock v:ext="edit" aspectratio="f"/>
          </v:shape>
        </w:pict>
      </w:r>
    </w:p>
    <w:p w:rsidR="00A6008B" w:rsidRPr="000211D2" w:rsidRDefault="00A6008B" w:rsidP="007728BE">
      <w:pPr>
        <w:spacing w:before="60"/>
        <w:jc w:val="center"/>
        <w:rPr>
          <w:b/>
          <w:i/>
          <w:szCs w:val="23"/>
        </w:rPr>
      </w:pPr>
      <w:r w:rsidRPr="000211D2">
        <w:rPr>
          <w:b/>
          <w:i/>
          <w:szCs w:val="23"/>
        </w:rPr>
        <w:t>Expenditure as a Percentage of the Budget Allocated to the Four Technical Components</w:t>
      </w:r>
    </w:p>
    <w:p w:rsidR="00A6008B" w:rsidRPr="000211D2" w:rsidRDefault="00A6008B" w:rsidP="00A04723">
      <w:pPr>
        <w:rPr>
          <w:sz w:val="28"/>
        </w:rPr>
      </w:pPr>
    </w:p>
    <w:p w:rsidR="00A6008B" w:rsidRPr="00E92571" w:rsidRDefault="00A6008B" w:rsidP="00A04723">
      <w:r w:rsidRPr="000211D2">
        <w:t xml:space="preserve">A more detailed summary of budget allocations is found in </w:t>
      </w:r>
      <w:r w:rsidRPr="000211D2">
        <w:rPr>
          <w:b/>
          <w:i/>
        </w:rPr>
        <w:t xml:space="preserve">Annex </w:t>
      </w:r>
      <w:r w:rsidRPr="000211D2">
        <w:rPr>
          <w:b/>
        </w:rPr>
        <w:t>Five</w:t>
      </w:r>
      <w:r w:rsidRPr="000211D2">
        <w:t>.  Some key information, however, is</w:t>
      </w:r>
      <w:r w:rsidRPr="00E92571">
        <w:t xml:space="preserve"> presented graphically below:</w:t>
      </w:r>
      <w:r>
        <w:t>-</w:t>
      </w:r>
    </w:p>
    <w:p w:rsidR="00A6008B" w:rsidRPr="00E92571" w:rsidRDefault="00A6008B" w:rsidP="000830F1">
      <w:pPr>
        <w:rPr>
          <w:sz w:val="28"/>
        </w:rPr>
      </w:pPr>
    </w:p>
    <w:p w:rsidR="00A6008B" w:rsidRPr="00E92571" w:rsidRDefault="00A6008B" w:rsidP="0065791A">
      <w:pPr>
        <w:spacing w:before="120"/>
        <w:jc w:val="center"/>
        <w:rPr>
          <w:b/>
          <w:i/>
        </w:rPr>
      </w:pPr>
      <w:r w:rsidRPr="00E92571">
        <w:rPr>
          <w:b/>
          <w:i/>
        </w:rPr>
        <w:t>Allocation by Technical Component (Components 1-4)</w:t>
      </w:r>
    </w:p>
    <w:p w:rsidR="00A6008B" w:rsidRPr="00E92571" w:rsidRDefault="00A6008B" w:rsidP="000830F1">
      <w:pPr>
        <w:rPr>
          <w:sz w:val="16"/>
        </w:rPr>
      </w:pPr>
    </w:p>
    <w:p w:rsidR="00A6008B" w:rsidRPr="008E3E14" w:rsidRDefault="00A6008B" w:rsidP="00A37629">
      <w:pPr>
        <w:ind w:left="-709"/>
        <w:rPr>
          <w:sz w:val="8"/>
          <w:highlight w:val="yellow"/>
        </w:rPr>
      </w:pPr>
      <w:r w:rsidRPr="009A221A">
        <w:rPr>
          <w:noProof/>
          <w:sz w:val="8"/>
        </w:rPr>
        <w:pict>
          <v:shape id="Chart 5" o:spid="_x0000_i1028" type="#_x0000_t75" style="width:543.75pt;height:141.75pt;visibility:visible">
            <v:imagedata r:id="rId15" o:title="" cropbottom="-302f" cropright="-12f"/>
            <o:lock v:ext="edit" aspectratio="f"/>
          </v:shape>
        </w:pict>
      </w:r>
    </w:p>
    <w:p w:rsidR="00A6008B" w:rsidRPr="008E3E14" w:rsidRDefault="00A6008B" w:rsidP="003C62B3">
      <w:pPr>
        <w:rPr>
          <w:sz w:val="28"/>
          <w:highlight w:val="yellow"/>
        </w:rPr>
      </w:pPr>
    </w:p>
    <w:p w:rsidR="00A6008B" w:rsidRPr="008E3E14" w:rsidRDefault="00A6008B" w:rsidP="003C62B3">
      <w:pPr>
        <w:rPr>
          <w:sz w:val="8"/>
          <w:highlight w:val="yellow"/>
        </w:rPr>
      </w:pPr>
    </w:p>
    <w:p w:rsidR="00A6008B" w:rsidRPr="008E3E14" w:rsidRDefault="00A6008B" w:rsidP="007341AC">
      <w:pPr>
        <w:rPr>
          <w:sz w:val="8"/>
          <w:highlight w:val="yellow"/>
        </w:rPr>
      </w:pPr>
    </w:p>
    <w:p w:rsidR="00A6008B" w:rsidRPr="00E53C5F" w:rsidRDefault="00A6008B" w:rsidP="00557CE1">
      <w:pPr>
        <w:spacing w:before="120"/>
        <w:jc w:val="center"/>
        <w:rPr>
          <w:b/>
          <w:i/>
        </w:rPr>
      </w:pPr>
      <w:r w:rsidRPr="00E53C5F">
        <w:rPr>
          <w:b/>
          <w:i/>
        </w:rPr>
        <w:t>Breakdown of Costs - Management Billings (Milestones) against                                                           Technical Components (Reimbursables)</w:t>
      </w:r>
      <w:r w:rsidRPr="00E53C5F">
        <w:rPr>
          <w:rStyle w:val="FootnoteReference"/>
          <w:sz w:val="22"/>
          <w:szCs w:val="22"/>
        </w:rPr>
        <w:footnoteReference w:id="19"/>
      </w:r>
    </w:p>
    <w:p w:rsidR="00A6008B" w:rsidRPr="00E53C5F" w:rsidRDefault="00A6008B" w:rsidP="00557CE1">
      <w:pPr>
        <w:rPr>
          <w:sz w:val="16"/>
        </w:rPr>
      </w:pPr>
    </w:p>
    <w:p w:rsidR="00A6008B" w:rsidRPr="00E53C5F" w:rsidRDefault="00A6008B" w:rsidP="00557CE1">
      <w:r>
        <w:rPr>
          <w:noProof/>
        </w:rPr>
        <w:pict>
          <v:shapetype id="_x0000_t202" coordsize="21600,21600" o:spt="202" path="m,l,21600r21600,l21600,xe">
            <v:stroke joinstyle="miter"/>
            <v:path gradientshapeok="t" o:connecttype="rect"/>
          </v:shapetype>
          <v:shape id="Text Box 3" o:spid="_x0000_s1031" type="#_x0000_t202" style="position:absolute;margin-left:91.5pt;margin-top:.9pt;width:356.6pt;height:19.8pt;z-index:251658240;visibility:visible" filled="f" stroked="f">
            <v:textbox style="mso-fit-shape-to-text:t">
              <w:txbxContent>
                <w:p w:rsidR="00A6008B" w:rsidRPr="00ED2515" w:rsidRDefault="00A6008B" w:rsidP="00557CE1">
                  <w:pPr>
                    <w:rPr>
                      <w:sz w:val="22"/>
                      <w:szCs w:val="22"/>
                    </w:rPr>
                  </w:pPr>
                  <w:r w:rsidRPr="00ED2515">
                    <w:rPr>
                      <w:sz w:val="22"/>
                      <w:szCs w:val="22"/>
                      <w:lang w:val="en-US"/>
                    </w:rPr>
                    <w:t>Programme Operations</w:t>
                  </w:r>
                  <w:r w:rsidRPr="00ED2515">
                    <w:rPr>
                      <w:sz w:val="22"/>
                      <w:szCs w:val="22"/>
                      <w:lang w:val="en-US"/>
                    </w:rPr>
                    <w:tab/>
                    <w:t xml:space="preserve">   Other Components </w:t>
                  </w:r>
                </w:p>
              </w:txbxContent>
            </v:textbox>
          </v:shape>
        </w:pict>
      </w:r>
    </w:p>
    <w:p w:rsidR="00A6008B" w:rsidRPr="00E53C5F" w:rsidRDefault="00A6008B" w:rsidP="00557CE1">
      <w:pPr>
        <w:ind w:right="56"/>
        <w:jc w:val="right"/>
      </w:pPr>
      <w:r>
        <w:rPr>
          <w:noProof/>
        </w:rPr>
        <w:pict>
          <v:shape id="Text Box 2" o:spid="_x0000_s1032" type="#_x0000_t202" style="position:absolute;left:0;text-align:left;margin-left:91.1pt;margin-top:83.4pt;width:387pt;height:19.8pt;z-index:251657216;visibility:visible" filled="f" stroked="f">
            <v:textbox style="mso-fit-shape-to-text:t">
              <w:txbxContent>
                <w:p w:rsidR="00A6008B" w:rsidRPr="00ED2515" w:rsidRDefault="00A6008B" w:rsidP="00557CE1">
                  <w:pPr>
                    <w:rPr>
                      <w:sz w:val="22"/>
                      <w:szCs w:val="22"/>
                    </w:rPr>
                  </w:pPr>
                  <w:r w:rsidRPr="00ED2515">
                    <w:rPr>
                      <w:sz w:val="22"/>
                      <w:szCs w:val="22"/>
                    </w:rPr>
                    <w:t>$0.0</w:t>
                  </w:r>
                  <w:r w:rsidRPr="00ED2515">
                    <w:rPr>
                      <w:sz w:val="22"/>
                      <w:szCs w:val="22"/>
                    </w:rPr>
                    <w:tab/>
                    <w:t xml:space="preserve">    $1.0m                 $2.0m               $3.0m               $4.0m</w:t>
                  </w:r>
                </w:p>
              </w:txbxContent>
            </v:textbox>
          </v:shape>
        </w:pict>
      </w:r>
      <w:r w:rsidRPr="001E182E">
        <w:rPr>
          <w:noProof/>
        </w:rPr>
        <w:pict>
          <v:shape id="Chart 8" o:spid="_x0000_i1029" type="#_x0000_t75" style="width:350.25pt;height:96.75pt;visibility:visible">
            <v:imagedata r:id="rId16" o:title="" croptop="-36251f" cropbottom="-35398f" cropleft="-13342f" cropright="-30467f"/>
            <o:lock v:ext="edit" aspectratio="f"/>
          </v:shape>
        </w:pict>
      </w:r>
      <w:r>
        <w:rPr>
          <w:noProof/>
        </w:rPr>
        <w:pict>
          <v:shape id="Text Box 9" o:spid="_x0000_s1033" type="#_x0000_t202" style="position:absolute;left:0;text-align:left;margin-left:-50.65pt;margin-top:14.25pt;width:159pt;height:62.75pt;z-index:251659264;visibility:visible;mso-position-horizontal-relative:text;mso-position-vertical-relative:text" filled="f" stroked="f">
            <v:textbox>
              <w:txbxContent>
                <w:p w:rsidR="00A6008B" w:rsidRPr="00BD23E2" w:rsidRDefault="00A6008B" w:rsidP="00557CE1">
                  <w:pPr>
                    <w:jc w:val="right"/>
                    <w:rPr>
                      <w:rFonts w:cs="Arial"/>
                      <w:bCs/>
                      <w:iCs/>
                      <w:sz w:val="22"/>
                      <w:szCs w:val="22"/>
                    </w:rPr>
                  </w:pPr>
                  <w:r w:rsidRPr="005652D6">
                    <w:rPr>
                      <w:rFonts w:cs="Arial"/>
                      <w:bCs/>
                      <w:iCs/>
                      <w:sz w:val="22"/>
                      <w:szCs w:val="22"/>
                    </w:rPr>
                    <w:t xml:space="preserve">12-mth Budget </w:t>
                  </w:r>
                  <w:r w:rsidRPr="00BD23E2">
                    <w:rPr>
                      <w:rFonts w:cs="Arial"/>
                      <w:bCs/>
                      <w:iCs/>
                      <w:sz w:val="22"/>
                      <w:szCs w:val="22"/>
                    </w:rPr>
                    <w:t>as per LoV10</w:t>
                  </w:r>
                </w:p>
                <w:p w:rsidR="00A6008B" w:rsidRPr="00BD23E2" w:rsidRDefault="00A6008B" w:rsidP="00557CE1">
                  <w:pPr>
                    <w:jc w:val="right"/>
                    <w:rPr>
                      <w:rFonts w:cs="Arial"/>
                      <w:bCs/>
                      <w:i/>
                      <w:iCs/>
                      <w:sz w:val="21"/>
                      <w:szCs w:val="21"/>
                    </w:rPr>
                  </w:pPr>
                  <w:r w:rsidRPr="005652D6">
                    <w:rPr>
                      <w:rFonts w:cs="Arial"/>
                      <w:bCs/>
                      <w:i/>
                      <w:iCs/>
                      <w:sz w:val="21"/>
                      <w:szCs w:val="21"/>
                    </w:rPr>
                    <w:t>(24-mth Equivalent LoV10)</w:t>
                  </w:r>
                </w:p>
                <w:p w:rsidR="00A6008B" w:rsidRPr="003E4555" w:rsidRDefault="00A6008B" w:rsidP="00557CE1">
                  <w:pPr>
                    <w:jc w:val="right"/>
                    <w:rPr>
                      <w:rFonts w:cs="Arial"/>
                      <w:bCs/>
                      <w:i/>
                      <w:iCs/>
                      <w:sz w:val="26"/>
                      <w:szCs w:val="22"/>
                    </w:rPr>
                  </w:pPr>
                </w:p>
                <w:p w:rsidR="00A6008B" w:rsidRPr="00BD23E2" w:rsidRDefault="00A6008B" w:rsidP="00557CE1">
                  <w:pPr>
                    <w:jc w:val="right"/>
                    <w:rPr>
                      <w:sz w:val="22"/>
                      <w:szCs w:val="22"/>
                    </w:rPr>
                  </w:pPr>
                  <w:r w:rsidRPr="005652D6">
                    <w:rPr>
                      <w:rFonts w:cs="Arial"/>
                      <w:bCs/>
                      <w:iCs/>
                      <w:sz w:val="22"/>
                      <w:szCs w:val="22"/>
                    </w:rPr>
                    <w:t>24-mth Budget</w:t>
                  </w:r>
                </w:p>
              </w:txbxContent>
            </v:textbox>
          </v:shape>
        </w:pict>
      </w:r>
    </w:p>
    <w:p w:rsidR="00A6008B" w:rsidRPr="00E53C5F" w:rsidRDefault="00A6008B" w:rsidP="003C62B3">
      <w:pPr>
        <w:rPr>
          <w:sz w:val="8"/>
        </w:rPr>
      </w:pPr>
    </w:p>
    <w:p w:rsidR="00A6008B" w:rsidRPr="00E53C5F" w:rsidRDefault="00A6008B" w:rsidP="003C62B3">
      <w:pPr>
        <w:rPr>
          <w:sz w:val="28"/>
        </w:rPr>
      </w:pPr>
    </w:p>
    <w:p w:rsidR="00A6008B" w:rsidRPr="00E53C5F" w:rsidRDefault="00A6008B" w:rsidP="009D626F">
      <w:pPr>
        <w:jc w:val="right"/>
        <w:rPr>
          <w:sz w:val="28"/>
        </w:rPr>
      </w:pPr>
    </w:p>
    <w:p w:rsidR="00A6008B" w:rsidRPr="00A67ED1" w:rsidRDefault="00A6008B" w:rsidP="0065791A">
      <w:pPr>
        <w:spacing w:before="120"/>
        <w:jc w:val="center"/>
        <w:rPr>
          <w:b/>
          <w:i/>
        </w:rPr>
      </w:pPr>
      <w:r w:rsidRPr="00A67ED1">
        <w:rPr>
          <w:b/>
          <w:i/>
        </w:rPr>
        <w:t>Breakdown of Costs - Programme Operationsagainst Technical Components</w:t>
      </w:r>
    </w:p>
    <w:p w:rsidR="00A6008B" w:rsidRPr="00A67ED1" w:rsidRDefault="00A6008B" w:rsidP="002E39F2">
      <w:pPr>
        <w:rPr>
          <w:sz w:val="16"/>
        </w:rPr>
      </w:pPr>
    </w:p>
    <w:p w:rsidR="00A6008B" w:rsidRPr="00A67ED1" w:rsidRDefault="00A6008B" w:rsidP="00A37629">
      <w:pPr>
        <w:ind w:left="-567"/>
      </w:pPr>
      <w:r w:rsidRPr="001E182E">
        <w:rPr>
          <w:noProof/>
        </w:rPr>
        <w:pict>
          <v:shape id="Chart 7" o:spid="_x0000_i1030" type="#_x0000_t75" style="width:543pt;height:141.75pt;visibility:visible">
            <v:imagedata r:id="rId17" o:title="" cropbottom="-302f"/>
            <o:lock v:ext="edit" aspectratio="f"/>
          </v:shape>
        </w:pict>
      </w:r>
    </w:p>
    <w:p w:rsidR="00A6008B" w:rsidRPr="00A67ED1" w:rsidRDefault="00A6008B" w:rsidP="00830770">
      <w:pPr>
        <w:rPr>
          <w:sz w:val="8"/>
        </w:rPr>
      </w:pPr>
    </w:p>
    <w:p w:rsidR="00A6008B" w:rsidRPr="00A67ED1" w:rsidRDefault="00A6008B" w:rsidP="00830770">
      <w:pPr>
        <w:rPr>
          <w:sz w:val="28"/>
        </w:rPr>
      </w:pPr>
    </w:p>
    <w:p w:rsidR="00A6008B" w:rsidRPr="00A67ED1" w:rsidRDefault="00A6008B" w:rsidP="00830770">
      <w:pPr>
        <w:rPr>
          <w:sz w:val="28"/>
        </w:rPr>
      </w:pPr>
    </w:p>
    <w:p w:rsidR="00A6008B" w:rsidRPr="00A67ED1" w:rsidRDefault="00A6008B" w:rsidP="000B28AD">
      <w:pPr>
        <w:spacing w:before="120"/>
        <w:jc w:val="center"/>
        <w:rPr>
          <w:b/>
          <w:i/>
        </w:rPr>
      </w:pPr>
      <w:r w:rsidRPr="00A67ED1">
        <w:rPr>
          <w:b/>
          <w:i/>
        </w:rPr>
        <w:t>Breakdown of Costs - Local against Regional Activities (excluding Management costs)</w:t>
      </w:r>
    </w:p>
    <w:p w:rsidR="00A6008B" w:rsidRPr="00A67ED1" w:rsidRDefault="00A6008B" w:rsidP="000B28AD">
      <w:pPr>
        <w:rPr>
          <w:sz w:val="16"/>
        </w:rPr>
      </w:pPr>
    </w:p>
    <w:p w:rsidR="00A6008B" w:rsidRPr="00E92571" w:rsidRDefault="00A6008B" w:rsidP="00163EA4">
      <w:pPr>
        <w:spacing w:before="120"/>
        <w:ind w:left="142"/>
        <w:jc w:val="center"/>
        <w:rPr>
          <w:b/>
          <w:i/>
        </w:rPr>
      </w:pPr>
      <w:r w:rsidRPr="009A221A">
        <w:rPr>
          <w:b/>
          <w:i/>
          <w:noProof/>
        </w:rPr>
        <w:pict>
          <v:shape id="Chart 2" o:spid="_x0000_i1031" type="#_x0000_t75" style="width:506.25pt;height:141.75pt;visibility:visible">
            <v:imagedata r:id="rId18" o:title="" cropbottom="-302f" cropright="-6f"/>
            <o:lock v:ext="edit" aspectratio="f"/>
          </v:shape>
        </w:pict>
      </w:r>
    </w:p>
    <w:p w:rsidR="00A6008B" w:rsidRPr="00E92571" w:rsidRDefault="00A6008B" w:rsidP="000B28AD">
      <w:pPr>
        <w:rPr>
          <w:sz w:val="28"/>
        </w:rPr>
      </w:pPr>
    </w:p>
    <w:p w:rsidR="00A6008B" w:rsidRPr="00E92571" w:rsidRDefault="00A6008B" w:rsidP="005652D6">
      <w:pPr>
        <w:rPr>
          <w:szCs w:val="23"/>
          <w:lang w:eastAsia="en-US"/>
        </w:rPr>
      </w:pPr>
    </w:p>
    <w:p w:rsidR="00A6008B" w:rsidRPr="00E92571" w:rsidRDefault="00A6008B" w:rsidP="005652D6">
      <w:pPr>
        <w:rPr>
          <w:szCs w:val="23"/>
          <w:lang w:eastAsia="en-US"/>
        </w:rPr>
        <w:sectPr w:rsidR="00A6008B" w:rsidRPr="00E92571" w:rsidSect="000A6E40">
          <w:footerReference w:type="default" r:id="rId19"/>
          <w:pgSz w:w="11907" w:h="16840" w:code="9"/>
          <w:pgMar w:top="1361" w:right="1361" w:bottom="1361" w:left="1418" w:header="397" w:footer="680" w:gutter="0"/>
          <w:pgNumType w:start="1"/>
          <w:cols w:space="708"/>
          <w:docGrid w:linePitch="360"/>
        </w:sectPr>
      </w:pPr>
    </w:p>
    <w:p w:rsidR="00A6008B" w:rsidRPr="00E92571" w:rsidRDefault="00A6008B" w:rsidP="00D200DC">
      <w:pPr>
        <w:pStyle w:val="Heading1"/>
        <w:spacing w:before="120"/>
        <w:rPr>
          <w:lang w:val="en-AU"/>
        </w:rPr>
      </w:pPr>
      <w:bookmarkStart w:id="74" w:name="_Toc354644470"/>
      <w:r w:rsidRPr="00E92571">
        <w:rPr>
          <w:lang w:val="en-AU"/>
        </w:rPr>
        <w:t>Annexes</w:t>
      </w:r>
      <w:bookmarkEnd w:id="74"/>
    </w:p>
    <w:p w:rsidR="00A6008B" w:rsidRPr="00E92571" w:rsidRDefault="00A6008B" w:rsidP="00E94BEE">
      <w:pPr>
        <w:spacing w:before="120" w:after="120"/>
        <w:rPr>
          <w:lang w:eastAsia="en-US"/>
        </w:rPr>
      </w:pPr>
    </w:p>
    <w:p w:rsidR="00A6008B" w:rsidRPr="00E92571" w:rsidRDefault="00A6008B" w:rsidP="00E94BEE">
      <w:pPr>
        <w:spacing w:before="120" w:after="120"/>
        <w:rPr>
          <w:lang w:eastAsia="en-US"/>
        </w:rPr>
      </w:pPr>
    </w:p>
    <w:p w:rsidR="00A6008B" w:rsidRPr="00E92571" w:rsidRDefault="00A6008B" w:rsidP="00E94BEE">
      <w:pPr>
        <w:spacing w:before="120" w:after="120"/>
        <w:rPr>
          <w:lang w:eastAsia="en-US"/>
        </w:rPr>
      </w:pPr>
    </w:p>
    <w:p w:rsidR="00A6008B" w:rsidRPr="00E92571" w:rsidRDefault="00A6008B" w:rsidP="00E94BEE">
      <w:pPr>
        <w:spacing w:before="120" w:after="120"/>
        <w:rPr>
          <w:lang w:eastAsia="en-US"/>
        </w:rPr>
        <w:sectPr w:rsidR="00A6008B" w:rsidRPr="00E92571" w:rsidSect="000A6E40">
          <w:footerReference w:type="default" r:id="rId20"/>
          <w:pgSz w:w="11907" w:h="16840" w:code="9"/>
          <w:pgMar w:top="1361" w:right="1361" w:bottom="1361" w:left="1418" w:header="397" w:footer="680" w:gutter="0"/>
          <w:pgNumType w:start="1"/>
          <w:cols w:space="708"/>
          <w:docGrid w:linePitch="360"/>
        </w:sectPr>
      </w:pPr>
    </w:p>
    <w:p w:rsidR="00A6008B" w:rsidRPr="00E92571" w:rsidRDefault="00A6008B" w:rsidP="00890061">
      <w:pPr>
        <w:pStyle w:val="Heading1"/>
        <w:spacing w:before="120"/>
        <w:rPr>
          <w:lang w:val="en-AU"/>
        </w:rPr>
      </w:pPr>
      <w:bookmarkStart w:id="75" w:name="_Toc354644471"/>
      <w:r w:rsidRPr="00E92571">
        <w:rPr>
          <w:szCs w:val="26"/>
          <w:lang w:val="en-AU"/>
        </w:rPr>
        <w:t xml:space="preserve">Annex One </w:t>
      </w:r>
      <w:r w:rsidRPr="00E92571">
        <w:rPr>
          <w:lang w:val="en-AU"/>
        </w:rPr>
        <w:t>- Indicative Results Diagram and Framework</w:t>
      </w:r>
      <w:bookmarkEnd w:id="75"/>
    </w:p>
    <w:p w:rsidR="00A6008B" w:rsidRPr="00E92571" w:rsidRDefault="00A6008B" w:rsidP="00890061">
      <w:pPr>
        <w:pStyle w:val="CommentText"/>
        <w:rPr>
          <w:sz w:val="28"/>
          <w:highlight w:val="cyan"/>
          <w:lang w:eastAsia="en-US"/>
        </w:rPr>
      </w:pPr>
    </w:p>
    <w:p w:rsidR="00A6008B" w:rsidRPr="00E92571" w:rsidRDefault="00A6008B">
      <w:pPr>
        <w:pStyle w:val="CommentText"/>
        <w:ind w:left="-567"/>
        <w:jc w:val="center"/>
        <w:rPr>
          <w:rFonts w:ascii="Arial Narrow" w:hAnsi="Arial Narrow"/>
          <w:i/>
          <w:sz w:val="24"/>
          <w:highlight w:val="cyan"/>
        </w:rPr>
      </w:pPr>
      <w:r w:rsidRPr="009A221A">
        <w:rPr>
          <w:rFonts w:ascii="Arial Narrow" w:hAnsi="Arial Narrow"/>
          <w:i/>
          <w:noProof/>
          <w:sz w:val="24"/>
        </w:rPr>
        <w:pict>
          <v:shape id="Picture 26" o:spid="_x0000_i1032" type="#_x0000_t75" alt="Annex 1 - Results Diagram - FINAL.tif" style="width:702.75pt;height:228.75pt;visibility:visible">
            <v:imagedata r:id="rId21" o:title=""/>
          </v:shape>
        </w:pict>
      </w:r>
    </w:p>
    <w:p w:rsidR="00A6008B" w:rsidRPr="00E92571" w:rsidRDefault="00A6008B" w:rsidP="00890061">
      <w:pPr>
        <w:rPr>
          <w:highlight w:val="cyan"/>
          <w:lang w:eastAsia="en-US"/>
        </w:rPr>
      </w:pPr>
    </w:p>
    <w:p w:rsidR="00A6008B" w:rsidRPr="00E92571" w:rsidRDefault="00A6008B" w:rsidP="00890061">
      <w:pPr>
        <w:ind w:left="-284"/>
        <w:jc w:val="center"/>
        <w:rPr>
          <w:highlight w:val="cyan"/>
          <w:lang w:eastAsia="en-US"/>
        </w:rPr>
      </w:pPr>
    </w:p>
    <w:p w:rsidR="00A6008B" w:rsidRPr="00E92571" w:rsidRDefault="00A6008B" w:rsidP="00890061">
      <w:pPr>
        <w:ind w:left="-709"/>
        <w:jc w:val="center"/>
        <w:rPr>
          <w:highlight w:val="cyan"/>
          <w:lang w:eastAsia="en-US"/>
        </w:rPr>
      </w:pPr>
    </w:p>
    <w:p w:rsidR="00A6008B" w:rsidRPr="00E92571" w:rsidRDefault="00A6008B" w:rsidP="00890061">
      <w:pPr>
        <w:ind w:left="-709"/>
        <w:jc w:val="center"/>
        <w:rPr>
          <w:highlight w:val="green"/>
          <w:lang w:eastAsia="en-US"/>
        </w:rPr>
      </w:pPr>
    </w:p>
    <w:p w:rsidR="00A6008B" w:rsidRPr="00E92571" w:rsidRDefault="00A6008B" w:rsidP="00890061">
      <w:pPr>
        <w:ind w:left="-709"/>
        <w:jc w:val="center"/>
        <w:rPr>
          <w:highlight w:val="green"/>
          <w:lang w:eastAsia="en-US"/>
        </w:rPr>
        <w:sectPr w:rsidR="00A6008B" w:rsidRPr="00E92571" w:rsidSect="008247AA">
          <w:headerReference w:type="default" r:id="rId22"/>
          <w:footerReference w:type="default" r:id="rId23"/>
          <w:pgSz w:w="16840" w:h="11907" w:code="9"/>
          <w:pgMar w:top="1361" w:right="1361" w:bottom="1418" w:left="1361" w:header="397" w:footer="680" w:gutter="0"/>
          <w:pgNumType w:start="1"/>
          <w:cols w:space="708"/>
          <w:docGrid w:linePitch="360"/>
        </w:sectPr>
      </w:pPr>
    </w:p>
    <w:tbl>
      <w:tblPr>
        <w:tblW w:w="15660" w:type="dxa"/>
        <w:jc w:val="center"/>
        <w:tblLayout w:type="fixed"/>
        <w:tblLook w:val="00A0"/>
      </w:tblPr>
      <w:tblGrid>
        <w:gridCol w:w="1604"/>
        <w:gridCol w:w="1701"/>
        <w:gridCol w:w="1984"/>
        <w:gridCol w:w="3402"/>
        <w:gridCol w:w="2131"/>
        <w:gridCol w:w="2385"/>
        <w:gridCol w:w="1541"/>
        <w:gridCol w:w="14"/>
        <w:gridCol w:w="898"/>
      </w:tblGrid>
      <w:tr w:rsidR="00A6008B" w:rsidRPr="00E92571" w:rsidTr="0015609F">
        <w:trPr>
          <w:trHeight w:val="255"/>
          <w:tblHeader/>
          <w:jc w:val="center"/>
        </w:trPr>
        <w:tc>
          <w:tcPr>
            <w:tcW w:w="1604" w:type="dxa"/>
            <w:tcBorders>
              <w:top w:val="single" w:sz="4" w:space="0" w:color="auto"/>
              <w:left w:val="single" w:sz="4" w:space="0" w:color="auto"/>
              <w:bottom w:val="single" w:sz="4" w:space="0" w:color="auto"/>
              <w:right w:val="single" w:sz="4" w:space="0" w:color="auto"/>
            </w:tcBorders>
            <w:shd w:val="clear" w:color="auto" w:fill="BFBFBF"/>
            <w:vAlign w:val="center"/>
          </w:tcPr>
          <w:p w:rsidR="00A6008B" w:rsidRPr="00E92571" w:rsidRDefault="00A6008B" w:rsidP="003468F7">
            <w:pPr>
              <w:jc w:val="center"/>
              <w:rPr>
                <w:rFonts w:cs="Arial"/>
                <w:b/>
                <w:bCs/>
                <w:szCs w:val="23"/>
              </w:rPr>
            </w:pPr>
            <w:r w:rsidRPr="00E92571">
              <w:rPr>
                <w:rFonts w:cs="Arial"/>
                <w:b/>
                <w:bCs/>
                <w:szCs w:val="23"/>
              </w:rPr>
              <w:t xml:space="preserve">24-month EP: </w:t>
            </w:r>
          </w:p>
          <w:p w:rsidR="00A6008B" w:rsidRPr="00E92571" w:rsidRDefault="00A6008B" w:rsidP="003800DD">
            <w:pPr>
              <w:ind w:left="-57" w:right="-57"/>
              <w:jc w:val="center"/>
              <w:rPr>
                <w:rFonts w:cs="Arial"/>
                <w:b/>
                <w:bCs/>
                <w:szCs w:val="23"/>
              </w:rPr>
            </w:pPr>
            <w:r w:rsidRPr="00E92571">
              <w:rPr>
                <w:rFonts w:cs="Arial"/>
                <w:b/>
                <w:bCs/>
                <w:szCs w:val="23"/>
              </w:rPr>
              <w:t xml:space="preserve">Year 4.5Target        </w:t>
            </w:r>
            <w:r w:rsidRPr="00E92571">
              <w:rPr>
                <w:rFonts w:cs="Arial"/>
                <w:bCs/>
                <w:i/>
                <w:szCs w:val="23"/>
              </w:rPr>
              <w:t>(June 2015)</w:t>
            </w:r>
          </w:p>
        </w:tc>
        <w:tc>
          <w:tcPr>
            <w:tcW w:w="1701" w:type="dxa"/>
            <w:tcBorders>
              <w:top w:val="single" w:sz="4" w:space="0" w:color="auto"/>
              <w:left w:val="nil"/>
              <w:bottom w:val="single" w:sz="4" w:space="0" w:color="auto"/>
              <w:right w:val="single" w:sz="4" w:space="0" w:color="auto"/>
            </w:tcBorders>
            <w:shd w:val="clear" w:color="auto" w:fill="BFBFBF"/>
            <w:vAlign w:val="center"/>
          </w:tcPr>
          <w:p w:rsidR="00A6008B" w:rsidRPr="00E92571" w:rsidRDefault="00A6008B" w:rsidP="003800DD">
            <w:pPr>
              <w:ind w:left="-57" w:right="-57"/>
              <w:jc w:val="center"/>
              <w:rPr>
                <w:rFonts w:cs="Arial"/>
                <w:b/>
                <w:bCs/>
                <w:szCs w:val="23"/>
              </w:rPr>
            </w:pPr>
            <w:r w:rsidRPr="00E92571">
              <w:rPr>
                <w:rFonts w:cs="Arial"/>
                <w:b/>
                <w:bCs/>
                <w:szCs w:val="23"/>
              </w:rPr>
              <w:t xml:space="preserve">18-mth Plan + 12-mth EP: </w:t>
            </w:r>
          </w:p>
          <w:p w:rsidR="00A6008B" w:rsidRPr="00E92571" w:rsidRDefault="00A6008B" w:rsidP="003800DD">
            <w:pPr>
              <w:ind w:left="-57" w:right="-57"/>
              <w:jc w:val="center"/>
              <w:rPr>
                <w:rFonts w:cs="Arial"/>
                <w:b/>
                <w:bCs/>
                <w:szCs w:val="23"/>
              </w:rPr>
            </w:pPr>
            <w:r w:rsidRPr="00E92571">
              <w:rPr>
                <w:rFonts w:cs="Arial"/>
                <w:b/>
                <w:bCs/>
                <w:szCs w:val="23"/>
              </w:rPr>
              <w:t xml:space="preserve">Year 2.5Target                  </w:t>
            </w:r>
            <w:r w:rsidRPr="00E92571">
              <w:rPr>
                <w:rFonts w:cs="Arial"/>
                <w:bCs/>
                <w:i/>
                <w:szCs w:val="23"/>
              </w:rPr>
              <w:t>(June 2013)</w:t>
            </w:r>
          </w:p>
        </w:tc>
        <w:tc>
          <w:tcPr>
            <w:tcW w:w="1984" w:type="dxa"/>
            <w:tcBorders>
              <w:top w:val="single" w:sz="4" w:space="0" w:color="auto"/>
              <w:left w:val="nil"/>
              <w:bottom w:val="single" w:sz="4" w:space="0" w:color="auto"/>
              <w:right w:val="single" w:sz="4" w:space="0" w:color="auto"/>
            </w:tcBorders>
            <w:shd w:val="clear" w:color="auto" w:fill="BFBFBF"/>
            <w:vAlign w:val="center"/>
          </w:tcPr>
          <w:p w:rsidR="00A6008B" w:rsidRPr="00E92571" w:rsidRDefault="00A6008B" w:rsidP="003468F7">
            <w:pPr>
              <w:jc w:val="center"/>
              <w:rPr>
                <w:rFonts w:cs="Arial"/>
                <w:b/>
                <w:bCs/>
                <w:szCs w:val="23"/>
              </w:rPr>
            </w:pPr>
            <w:r w:rsidRPr="00E92571">
              <w:rPr>
                <w:rFonts w:cs="Arial"/>
                <w:b/>
                <w:bCs/>
                <w:szCs w:val="23"/>
              </w:rPr>
              <w:t>Baseline 2010</w:t>
            </w:r>
          </w:p>
        </w:tc>
        <w:tc>
          <w:tcPr>
            <w:tcW w:w="3402" w:type="dxa"/>
            <w:tcBorders>
              <w:top w:val="single" w:sz="4" w:space="0" w:color="auto"/>
              <w:left w:val="nil"/>
              <w:bottom w:val="single" w:sz="4" w:space="0" w:color="auto"/>
              <w:right w:val="single" w:sz="4" w:space="0" w:color="auto"/>
            </w:tcBorders>
            <w:shd w:val="clear" w:color="auto" w:fill="BFBFBF"/>
            <w:vAlign w:val="center"/>
          </w:tcPr>
          <w:p w:rsidR="00A6008B" w:rsidRPr="00E92571" w:rsidRDefault="00A6008B" w:rsidP="003468F7">
            <w:pPr>
              <w:jc w:val="center"/>
              <w:rPr>
                <w:rFonts w:cs="Arial"/>
                <w:b/>
                <w:bCs/>
                <w:szCs w:val="23"/>
              </w:rPr>
            </w:pPr>
            <w:r w:rsidRPr="00E92571">
              <w:rPr>
                <w:rFonts w:cs="Arial"/>
                <w:b/>
                <w:bCs/>
                <w:szCs w:val="23"/>
              </w:rPr>
              <w:t>Progress against baseline to March 2013</w:t>
            </w:r>
          </w:p>
        </w:tc>
        <w:tc>
          <w:tcPr>
            <w:tcW w:w="2131" w:type="dxa"/>
            <w:tcBorders>
              <w:top w:val="single" w:sz="4" w:space="0" w:color="auto"/>
              <w:left w:val="nil"/>
              <w:bottom w:val="single" w:sz="4" w:space="0" w:color="auto"/>
              <w:right w:val="single" w:sz="4" w:space="0" w:color="auto"/>
            </w:tcBorders>
            <w:shd w:val="clear" w:color="auto" w:fill="BFBFBF"/>
            <w:vAlign w:val="center"/>
          </w:tcPr>
          <w:p w:rsidR="00A6008B" w:rsidRPr="00E92571" w:rsidRDefault="00A6008B" w:rsidP="003468F7">
            <w:pPr>
              <w:jc w:val="center"/>
              <w:rPr>
                <w:rFonts w:cs="Arial"/>
                <w:b/>
                <w:bCs/>
                <w:szCs w:val="23"/>
              </w:rPr>
            </w:pPr>
            <w:r w:rsidRPr="00E92571">
              <w:rPr>
                <w:rFonts w:cs="Arial"/>
                <w:b/>
                <w:bCs/>
                <w:szCs w:val="23"/>
              </w:rPr>
              <w:t>Output(s)</w:t>
            </w:r>
          </w:p>
          <w:p w:rsidR="00A6008B" w:rsidRPr="00E92571" w:rsidRDefault="00A6008B" w:rsidP="003468F7">
            <w:pPr>
              <w:jc w:val="center"/>
              <w:rPr>
                <w:rFonts w:cs="Arial"/>
                <w:b/>
                <w:bCs/>
                <w:szCs w:val="23"/>
              </w:rPr>
            </w:pPr>
            <w:r w:rsidRPr="00E92571">
              <w:rPr>
                <w:rFonts w:cs="Arial"/>
                <w:b/>
                <w:bCs/>
                <w:szCs w:val="23"/>
              </w:rPr>
              <w:t>(for 24-mth EP)</w:t>
            </w:r>
          </w:p>
        </w:tc>
        <w:tc>
          <w:tcPr>
            <w:tcW w:w="2385" w:type="dxa"/>
            <w:tcBorders>
              <w:top w:val="single" w:sz="4" w:space="0" w:color="auto"/>
              <w:left w:val="nil"/>
              <w:bottom w:val="single" w:sz="4" w:space="0" w:color="auto"/>
              <w:right w:val="single" w:sz="4" w:space="0" w:color="auto"/>
            </w:tcBorders>
            <w:shd w:val="clear" w:color="auto" w:fill="BFBFBF"/>
            <w:vAlign w:val="center"/>
          </w:tcPr>
          <w:p w:rsidR="00A6008B" w:rsidRPr="00E92571" w:rsidRDefault="00A6008B" w:rsidP="003468F7">
            <w:pPr>
              <w:jc w:val="center"/>
              <w:rPr>
                <w:rFonts w:cs="Arial"/>
                <w:b/>
                <w:bCs/>
                <w:szCs w:val="23"/>
              </w:rPr>
            </w:pPr>
            <w:r w:rsidRPr="00E92571">
              <w:rPr>
                <w:rFonts w:cs="Arial"/>
                <w:b/>
                <w:bCs/>
                <w:szCs w:val="23"/>
              </w:rPr>
              <w:t>Indicator</w:t>
            </w:r>
          </w:p>
        </w:tc>
        <w:tc>
          <w:tcPr>
            <w:tcW w:w="1541" w:type="dxa"/>
            <w:tcBorders>
              <w:top w:val="single" w:sz="4" w:space="0" w:color="auto"/>
              <w:left w:val="nil"/>
              <w:bottom w:val="single" w:sz="4" w:space="0" w:color="auto"/>
              <w:right w:val="single" w:sz="4" w:space="0" w:color="auto"/>
            </w:tcBorders>
            <w:shd w:val="clear" w:color="auto" w:fill="BFBFBF"/>
            <w:vAlign w:val="center"/>
          </w:tcPr>
          <w:p w:rsidR="00A6008B" w:rsidRPr="00E92571" w:rsidRDefault="00A6008B" w:rsidP="003468F7">
            <w:pPr>
              <w:jc w:val="center"/>
              <w:rPr>
                <w:rFonts w:cs="Arial"/>
                <w:b/>
                <w:bCs/>
                <w:szCs w:val="23"/>
              </w:rPr>
            </w:pPr>
            <w:r w:rsidRPr="00E92571">
              <w:rPr>
                <w:rFonts w:cs="Arial"/>
                <w:b/>
                <w:bCs/>
                <w:szCs w:val="23"/>
              </w:rPr>
              <w:t>Verification / Source</w:t>
            </w:r>
          </w:p>
        </w:tc>
        <w:tc>
          <w:tcPr>
            <w:tcW w:w="912" w:type="dxa"/>
            <w:gridSpan w:val="2"/>
            <w:tcBorders>
              <w:top w:val="single" w:sz="4" w:space="0" w:color="auto"/>
              <w:left w:val="nil"/>
              <w:bottom w:val="single" w:sz="4" w:space="0" w:color="auto"/>
              <w:right w:val="single" w:sz="4" w:space="0" w:color="auto"/>
            </w:tcBorders>
            <w:shd w:val="clear" w:color="auto" w:fill="BFBFBF"/>
            <w:vAlign w:val="center"/>
          </w:tcPr>
          <w:p w:rsidR="00A6008B" w:rsidRPr="00E92571" w:rsidRDefault="00A6008B" w:rsidP="003468F7">
            <w:pPr>
              <w:jc w:val="center"/>
              <w:rPr>
                <w:rFonts w:cs="Arial"/>
                <w:b/>
                <w:bCs/>
                <w:szCs w:val="23"/>
              </w:rPr>
            </w:pPr>
            <w:r w:rsidRPr="00E92571">
              <w:rPr>
                <w:rFonts w:cs="Arial"/>
                <w:b/>
                <w:bCs/>
                <w:szCs w:val="23"/>
              </w:rPr>
              <w:t>Who</w:t>
            </w:r>
          </w:p>
        </w:tc>
      </w:tr>
      <w:tr w:rsidR="00A6008B" w:rsidRPr="00E92571" w:rsidTr="0015609F">
        <w:tblPrEx>
          <w:tblBorders>
            <w:left w:val="single" w:sz="4" w:space="0" w:color="auto"/>
            <w:bottom w:val="single" w:sz="4" w:space="0" w:color="auto"/>
            <w:right w:val="single" w:sz="4" w:space="0" w:color="auto"/>
            <w:insideH w:val="single" w:sz="4" w:space="0" w:color="auto"/>
            <w:insideV w:val="single" w:sz="4" w:space="0" w:color="auto"/>
          </w:tblBorders>
        </w:tblPrEx>
        <w:trPr>
          <w:trHeight w:val="85"/>
          <w:jc w:val="center"/>
        </w:trPr>
        <w:tc>
          <w:tcPr>
            <w:tcW w:w="15660" w:type="dxa"/>
            <w:gridSpan w:val="9"/>
            <w:tcBorders>
              <w:bottom w:val="nil"/>
            </w:tcBorders>
            <w:vAlign w:val="center"/>
          </w:tcPr>
          <w:p w:rsidR="00A6008B" w:rsidRPr="00E92571" w:rsidRDefault="00A6008B" w:rsidP="003468F7">
            <w:pPr>
              <w:spacing w:before="120"/>
              <w:rPr>
                <w:rFonts w:cs="Arial"/>
                <w:sz w:val="22"/>
                <w:szCs w:val="20"/>
              </w:rPr>
            </w:pPr>
            <w:r w:rsidRPr="009A221A">
              <w:rPr>
                <w:rFonts w:cs="Arial"/>
                <w:b/>
                <w:bCs/>
                <w:sz w:val="22"/>
                <w:szCs w:val="22"/>
              </w:rPr>
              <w:t>Programme Goal: Strengthened governance and rule of law in Pacific Island Countries through enhanced access to justice and professional judicial officers who act independently according to legal principles</w:t>
            </w:r>
          </w:p>
        </w:tc>
      </w:tr>
      <w:tr w:rsidR="00A6008B" w:rsidRPr="00E92571" w:rsidTr="0015609F">
        <w:tblPrEx>
          <w:tblBorders>
            <w:left w:val="single" w:sz="4" w:space="0" w:color="auto"/>
            <w:bottom w:val="single" w:sz="4" w:space="0" w:color="auto"/>
            <w:right w:val="single" w:sz="4" w:space="0" w:color="auto"/>
            <w:insideH w:val="single" w:sz="4" w:space="0" w:color="auto"/>
            <w:insideV w:val="single" w:sz="4" w:space="0" w:color="auto"/>
          </w:tblBorders>
        </w:tblPrEx>
        <w:trPr>
          <w:trHeight w:val="527"/>
          <w:jc w:val="center"/>
        </w:trPr>
        <w:tc>
          <w:tcPr>
            <w:tcW w:w="1604" w:type="dxa"/>
            <w:vMerge w:val="restart"/>
            <w:tcBorders>
              <w:top w:val="nil"/>
            </w:tcBorders>
            <w:vAlign w:val="center"/>
          </w:tcPr>
          <w:p w:rsidR="00A6008B" w:rsidRPr="00E92571" w:rsidRDefault="00A6008B" w:rsidP="003468F7">
            <w:pPr>
              <w:rPr>
                <w:rFonts w:cs="Arial"/>
                <w:sz w:val="20"/>
                <w:szCs w:val="20"/>
              </w:rPr>
            </w:pPr>
            <w:r w:rsidRPr="00E92571">
              <w:rPr>
                <w:rFonts w:cs="Arial"/>
                <w:sz w:val="20"/>
                <w:szCs w:val="20"/>
              </w:rPr>
              <w:t>All PICs report a continuing positive trend in court performance, transparently accounting for performance and routinely using performance data to forward plan.</w:t>
            </w:r>
          </w:p>
        </w:tc>
        <w:tc>
          <w:tcPr>
            <w:tcW w:w="1701" w:type="dxa"/>
            <w:vMerge w:val="restart"/>
            <w:tcBorders>
              <w:top w:val="nil"/>
            </w:tcBorders>
            <w:vAlign w:val="center"/>
          </w:tcPr>
          <w:p w:rsidR="00A6008B" w:rsidRPr="00E92571" w:rsidRDefault="00A6008B" w:rsidP="003468F7">
            <w:pPr>
              <w:rPr>
                <w:rFonts w:cs="Arial"/>
                <w:sz w:val="20"/>
                <w:szCs w:val="20"/>
              </w:rPr>
            </w:pPr>
            <w:r w:rsidRPr="00E92571">
              <w:rPr>
                <w:rFonts w:cs="Arial"/>
                <w:sz w:val="20"/>
                <w:szCs w:val="20"/>
              </w:rPr>
              <w:t>All PICs have court and judicial performance feedback from court users and demonstrate a positive trend in internal court performance data.</w:t>
            </w:r>
          </w:p>
        </w:tc>
        <w:tc>
          <w:tcPr>
            <w:tcW w:w="1984" w:type="dxa"/>
            <w:vMerge w:val="restart"/>
            <w:tcBorders>
              <w:top w:val="nil"/>
            </w:tcBorders>
            <w:vAlign w:val="center"/>
          </w:tcPr>
          <w:p w:rsidR="00A6008B" w:rsidRPr="00E92571" w:rsidRDefault="00A6008B" w:rsidP="003468F7">
            <w:pPr>
              <w:rPr>
                <w:rFonts w:cs="Arial"/>
                <w:color w:val="000000"/>
                <w:sz w:val="20"/>
                <w:szCs w:val="20"/>
              </w:rPr>
            </w:pPr>
            <w:r w:rsidRPr="00E92571">
              <w:rPr>
                <w:rFonts w:cs="Arial"/>
                <w:color w:val="000000"/>
                <w:sz w:val="20"/>
                <w:szCs w:val="20"/>
              </w:rPr>
              <w:t>PICs have: no common set of indicators to assess court performance or performance enhancement models to transpose, no regional governance mechanisms to institutionalise judicial development or manage internal governance / ethics, an unquantified number of marginalised prospective court users and a significant number of lay judicial officers.</w:t>
            </w:r>
          </w:p>
        </w:tc>
        <w:tc>
          <w:tcPr>
            <w:tcW w:w="3402" w:type="dxa"/>
            <w:vMerge w:val="restart"/>
            <w:tcBorders>
              <w:top w:val="nil"/>
            </w:tcBorders>
            <w:vAlign w:val="center"/>
          </w:tcPr>
          <w:p w:rsidR="00A6008B" w:rsidRPr="00E92571" w:rsidRDefault="00A6008B" w:rsidP="003468F7">
            <w:pPr>
              <w:rPr>
                <w:rFonts w:cs="Arial"/>
                <w:sz w:val="20"/>
                <w:szCs w:val="20"/>
              </w:rPr>
            </w:pPr>
            <w:r w:rsidRPr="00E92571">
              <w:rPr>
                <w:rFonts w:cs="Arial"/>
                <w:sz w:val="20"/>
                <w:szCs w:val="20"/>
              </w:rPr>
              <w:t xml:space="preserve">There is a regionally accepted approach to institutionalising judicial development. </w:t>
            </w:r>
          </w:p>
          <w:p w:rsidR="00A6008B" w:rsidRPr="00E92571" w:rsidRDefault="00A6008B" w:rsidP="003468F7">
            <w:pPr>
              <w:rPr>
                <w:rFonts w:cs="Arial"/>
                <w:sz w:val="20"/>
                <w:szCs w:val="20"/>
              </w:rPr>
            </w:pPr>
          </w:p>
          <w:p w:rsidR="00A6008B" w:rsidRPr="00E92571" w:rsidRDefault="00A6008B" w:rsidP="003468F7">
            <w:pPr>
              <w:rPr>
                <w:rFonts w:cs="Arial"/>
                <w:sz w:val="20"/>
                <w:szCs w:val="20"/>
              </w:rPr>
            </w:pPr>
            <w:r w:rsidRPr="00E92571">
              <w:rPr>
                <w:rFonts w:cs="Arial"/>
                <w:sz w:val="20"/>
                <w:szCs w:val="20"/>
              </w:rPr>
              <w:t>Three PICs have codes to manage internal governance/ethics; two of which have trained their judges on the code and a toolkit of resources for future revision/drafted of codes has been developed for piloting in 1 PIC.</w:t>
            </w:r>
          </w:p>
          <w:p w:rsidR="00A6008B" w:rsidRPr="00E92571" w:rsidRDefault="00A6008B" w:rsidP="003468F7">
            <w:pPr>
              <w:rPr>
                <w:rFonts w:cs="Arial"/>
                <w:sz w:val="20"/>
                <w:szCs w:val="20"/>
              </w:rPr>
            </w:pPr>
          </w:p>
          <w:p w:rsidR="00A6008B" w:rsidRPr="00E92571" w:rsidRDefault="00A6008B" w:rsidP="003468F7">
            <w:pPr>
              <w:rPr>
                <w:rFonts w:cs="Arial"/>
                <w:sz w:val="20"/>
                <w:szCs w:val="20"/>
              </w:rPr>
            </w:pPr>
            <w:r w:rsidRPr="00E92571">
              <w:rPr>
                <w:rFonts w:cs="Arial"/>
                <w:sz w:val="20"/>
                <w:szCs w:val="20"/>
              </w:rPr>
              <w:t>There remain an unquantified number of marginalised prospective court users although needs in Tuvalu are being addressed through the pilot Access to Justice project.  The toolkit produced by the pilot will be available to all PICs.</w:t>
            </w:r>
          </w:p>
          <w:p w:rsidR="00A6008B" w:rsidRPr="00E92571" w:rsidRDefault="00A6008B" w:rsidP="003468F7">
            <w:pPr>
              <w:rPr>
                <w:rFonts w:cs="Arial"/>
                <w:sz w:val="20"/>
                <w:szCs w:val="20"/>
              </w:rPr>
            </w:pPr>
          </w:p>
          <w:p w:rsidR="00A6008B" w:rsidRPr="009A221A" w:rsidRDefault="00A6008B" w:rsidP="003468F7">
            <w:pPr>
              <w:rPr>
                <w:smallCaps/>
                <w:szCs w:val="22"/>
              </w:rPr>
            </w:pPr>
            <w:r w:rsidRPr="00E92571">
              <w:rPr>
                <w:rFonts w:cs="Arial"/>
                <w:sz w:val="20"/>
                <w:szCs w:val="20"/>
              </w:rPr>
              <w:t>A large number of judicial and court officers in all PICs have, and are continuing to receive training in a broad range of legal and procedural areas according to their individual needs.  45 local trainers and RTT members have designed, facilitated and/or co-facilitated a significant amount of this training.</w:t>
            </w:r>
          </w:p>
        </w:tc>
        <w:tc>
          <w:tcPr>
            <w:tcW w:w="2131" w:type="dxa"/>
            <w:tcBorders>
              <w:top w:val="nil"/>
            </w:tcBorders>
            <w:vAlign w:val="center"/>
          </w:tcPr>
          <w:p w:rsidR="00A6008B" w:rsidRPr="00E92571" w:rsidRDefault="00A6008B" w:rsidP="00592485">
            <w:pPr>
              <w:rPr>
                <w:rFonts w:cs="Arial"/>
                <w:sz w:val="20"/>
                <w:szCs w:val="20"/>
              </w:rPr>
            </w:pPr>
            <w:r w:rsidRPr="00E92571">
              <w:rPr>
                <w:rFonts w:cs="Arial"/>
                <w:sz w:val="20"/>
                <w:szCs w:val="20"/>
              </w:rPr>
              <w:t>PICs provide year twoand four court performance data.</w:t>
            </w:r>
          </w:p>
        </w:tc>
        <w:tc>
          <w:tcPr>
            <w:tcW w:w="2385" w:type="dxa"/>
            <w:vMerge w:val="restart"/>
            <w:tcBorders>
              <w:top w:val="nil"/>
            </w:tcBorders>
            <w:vAlign w:val="center"/>
          </w:tcPr>
          <w:p w:rsidR="00A6008B" w:rsidRPr="00E92571" w:rsidRDefault="00A6008B" w:rsidP="003468F7">
            <w:pPr>
              <w:rPr>
                <w:rFonts w:cs="Arial"/>
                <w:sz w:val="20"/>
                <w:szCs w:val="20"/>
              </w:rPr>
            </w:pPr>
            <w:r w:rsidRPr="00E92571">
              <w:rPr>
                <w:rFonts w:cs="Arial"/>
                <w:sz w:val="20"/>
                <w:szCs w:val="20"/>
              </w:rPr>
              <w:t>Perceptions of quality, professionalism, accessibility, efficiency and reliability of judicial services.</w:t>
            </w:r>
          </w:p>
        </w:tc>
        <w:tc>
          <w:tcPr>
            <w:tcW w:w="1541" w:type="dxa"/>
            <w:vMerge w:val="restart"/>
            <w:tcBorders>
              <w:top w:val="nil"/>
            </w:tcBorders>
            <w:vAlign w:val="center"/>
          </w:tcPr>
          <w:p w:rsidR="00A6008B" w:rsidRPr="00E92571" w:rsidRDefault="00A6008B" w:rsidP="003468F7">
            <w:pPr>
              <w:rPr>
                <w:rFonts w:cs="Arial"/>
                <w:sz w:val="20"/>
                <w:szCs w:val="20"/>
              </w:rPr>
            </w:pPr>
            <w:r w:rsidRPr="00E92571">
              <w:rPr>
                <w:rFonts w:cs="Arial"/>
                <w:sz w:val="20"/>
                <w:szCs w:val="20"/>
              </w:rPr>
              <w:t>PIC courts and court users’ surveys.</w:t>
            </w:r>
          </w:p>
        </w:tc>
        <w:tc>
          <w:tcPr>
            <w:tcW w:w="912" w:type="dxa"/>
            <w:gridSpan w:val="2"/>
            <w:vMerge w:val="restart"/>
            <w:tcBorders>
              <w:top w:val="nil"/>
            </w:tcBorders>
            <w:vAlign w:val="center"/>
          </w:tcPr>
          <w:p w:rsidR="00A6008B" w:rsidRPr="00E92571" w:rsidRDefault="00A6008B" w:rsidP="003468F7">
            <w:pPr>
              <w:rPr>
                <w:rFonts w:cs="Arial"/>
                <w:sz w:val="20"/>
                <w:szCs w:val="20"/>
              </w:rPr>
            </w:pPr>
            <w:r w:rsidRPr="00E92571">
              <w:rPr>
                <w:rFonts w:cs="Arial"/>
                <w:sz w:val="20"/>
                <w:szCs w:val="20"/>
              </w:rPr>
              <w:t>TA</w:t>
            </w:r>
          </w:p>
        </w:tc>
      </w:tr>
      <w:tr w:rsidR="00A6008B" w:rsidRPr="00E92571" w:rsidTr="00AD50E1">
        <w:tblPrEx>
          <w:tblBorders>
            <w:left w:val="single" w:sz="4" w:space="0" w:color="auto"/>
            <w:bottom w:val="single" w:sz="4" w:space="0" w:color="auto"/>
            <w:right w:val="single" w:sz="4" w:space="0" w:color="auto"/>
            <w:insideH w:val="single" w:sz="4" w:space="0" w:color="auto"/>
            <w:insideV w:val="single" w:sz="4" w:space="0" w:color="auto"/>
          </w:tblBorders>
        </w:tblPrEx>
        <w:trPr>
          <w:trHeight w:val="85"/>
          <w:jc w:val="center"/>
        </w:trPr>
        <w:tc>
          <w:tcPr>
            <w:tcW w:w="1604" w:type="dxa"/>
            <w:vMerge/>
            <w:vAlign w:val="center"/>
          </w:tcPr>
          <w:p w:rsidR="00A6008B" w:rsidRPr="00E92571" w:rsidRDefault="00A6008B" w:rsidP="003468F7">
            <w:pPr>
              <w:rPr>
                <w:rFonts w:cs="Arial"/>
                <w:sz w:val="20"/>
                <w:szCs w:val="20"/>
              </w:rPr>
            </w:pPr>
          </w:p>
        </w:tc>
        <w:tc>
          <w:tcPr>
            <w:tcW w:w="1701" w:type="dxa"/>
            <w:vMerge/>
            <w:vAlign w:val="center"/>
          </w:tcPr>
          <w:p w:rsidR="00A6008B" w:rsidRPr="00E92571" w:rsidRDefault="00A6008B" w:rsidP="003468F7">
            <w:pPr>
              <w:rPr>
                <w:rFonts w:cs="Arial"/>
                <w:sz w:val="20"/>
                <w:szCs w:val="20"/>
              </w:rPr>
            </w:pPr>
          </w:p>
        </w:tc>
        <w:tc>
          <w:tcPr>
            <w:tcW w:w="1984" w:type="dxa"/>
            <w:vMerge/>
            <w:vAlign w:val="center"/>
          </w:tcPr>
          <w:p w:rsidR="00A6008B" w:rsidRPr="00E92571" w:rsidRDefault="00A6008B" w:rsidP="003468F7">
            <w:pPr>
              <w:rPr>
                <w:rFonts w:cs="Arial"/>
                <w:color w:val="000000"/>
                <w:sz w:val="20"/>
                <w:szCs w:val="20"/>
              </w:rPr>
            </w:pPr>
          </w:p>
        </w:tc>
        <w:tc>
          <w:tcPr>
            <w:tcW w:w="3402" w:type="dxa"/>
            <w:vMerge/>
            <w:vAlign w:val="center"/>
          </w:tcPr>
          <w:p w:rsidR="00A6008B" w:rsidRPr="00E92571" w:rsidRDefault="00A6008B" w:rsidP="003468F7">
            <w:pPr>
              <w:rPr>
                <w:rFonts w:cs="Arial"/>
                <w:sz w:val="20"/>
                <w:szCs w:val="20"/>
              </w:rPr>
            </w:pPr>
          </w:p>
        </w:tc>
        <w:tc>
          <w:tcPr>
            <w:tcW w:w="2131" w:type="dxa"/>
            <w:vAlign w:val="center"/>
          </w:tcPr>
          <w:p w:rsidR="00A6008B" w:rsidRPr="00E92571" w:rsidRDefault="00A6008B" w:rsidP="003468F7">
            <w:pPr>
              <w:rPr>
                <w:rFonts w:cs="Arial"/>
                <w:sz w:val="20"/>
                <w:szCs w:val="20"/>
              </w:rPr>
            </w:pPr>
            <w:r w:rsidRPr="00E92571">
              <w:rPr>
                <w:rFonts w:cs="Arial"/>
                <w:sz w:val="20"/>
                <w:szCs w:val="20"/>
              </w:rPr>
              <w:t>Courts aware of what court users' needs are.</w:t>
            </w:r>
          </w:p>
        </w:tc>
        <w:tc>
          <w:tcPr>
            <w:tcW w:w="2385" w:type="dxa"/>
            <w:vMerge/>
            <w:vAlign w:val="center"/>
          </w:tcPr>
          <w:p w:rsidR="00A6008B" w:rsidRPr="00E92571" w:rsidRDefault="00A6008B" w:rsidP="003468F7">
            <w:pPr>
              <w:rPr>
                <w:rFonts w:cs="Arial"/>
                <w:sz w:val="20"/>
                <w:szCs w:val="20"/>
              </w:rPr>
            </w:pPr>
          </w:p>
        </w:tc>
        <w:tc>
          <w:tcPr>
            <w:tcW w:w="1541" w:type="dxa"/>
            <w:vMerge/>
            <w:vAlign w:val="center"/>
          </w:tcPr>
          <w:p w:rsidR="00A6008B" w:rsidRPr="00E92571" w:rsidRDefault="00A6008B" w:rsidP="003468F7">
            <w:pPr>
              <w:rPr>
                <w:rFonts w:cs="Arial"/>
                <w:sz w:val="20"/>
                <w:szCs w:val="20"/>
              </w:rPr>
            </w:pPr>
          </w:p>
        </w:tc>
        <w:tc>
          <w:tcPr>
            <w:tcW w:w="912" w:type="dxa"/>
            <w:gridSpan w:val="2"/>
            <w:vMerge/>
            <w:vAlign w:val="center"/>
          </w:tcPr>
          <w:p w:rsidR="00A6008B" w:rsidRPr="00E92571" w:rsidRDefault="00A6008B" w:rsidP="003468F7">
            <w:pPr>
              <w:rPr>
                <w:rFonts w:cs="Arial"/>
                <w:sz w:val="20"/>
                <w:szCs w:val="20"/>
              </w:rPr>
            </w:pPr>
          </w:p>
        </w:tc>
      </w:tr>
      <w:tr w:rsidR="00A6008B" w:rsidRPr="00E92571" w:rsidTr="00AD50E1">
        <w:tblPrEx>
          <w:tblBorders>
            <w:left w:val="single" w:sz="4" w:space="0" w:color="auto"/>
            <w:bottom w:val="single" w:sz="4" w:space="0" w:color="auto"/>
            <w:right w:val="single" w:sz="4" w:space="0" w:color="auto"/>
            <w:insideH w:val="single" w:sz="4" w:space="0" w:color="auto"/>
            <w:insideV w:val="single" w:sz="4" w:space="0" w:color="auto"/>
          </w:tblBorders>
        </w:tblPrEx>
        <w:trPr>
          <w:trHeight w:val="1030"/>
          <w:jc w:val="center"/>
        </w:trPr>
        <w:tc>
          <w:tcPr>
            <w:tcW w:w="1604" w:type="dxa"/>
            <w:vMerge/>
            <w:vAlign w:val="center"/>
          </w:tcPr>
          <w:p w:rsidR="00A6008B" w:rsidRPr="00E92571" w:rsidRDefault="00A6008B" w:rsidP="003468F7">
            <w:pPr>
              <w:rPr>
                <w:rFonts w:cs="Arial"/>
                <w:sz w:val="20"/>
                <w:szCs w:val="20"/>
              </w:rPr>
            </w:pPr>
          </w:p>
        </w:tc>
        <w:tc>
          <w:tcPr>
            <w:tcW w:w="1701" w:type="dxa"/>
            <w:vMerge/>
            <w:vAlign w:val="center"/>
          </w:tcPr>
          <w:p w:rsidR="00A6008B" w:rsidRPr="00E92571" w:rsidRDefault="00A6008B" w:rsidP="003468F7">
            <w:pPr>
              <w:rPr>
                <w:rFonts w:cs="Arial"/>
                <w:sz w:val="20"/>
                <w:szCs w:val="20"/>
              </w:rPr>
            </w:pPr>
          </w:p>
        </w:tc>
        <w:tc>
          <w:tcPr>
            <w:tcW w:w="1984" w:type="dxa"/>
            <w:vMerge/>
            <w:vAlign w:val="center"/>
          </w:tcPr>
          <w:p w:rsidR="00A6008B" w:rsidRPr="00E92571" w:rsidRDefault="00A6008B" w:rsidP="003468F7">
            <w:pPr>
              <w:rPr>
                <w:rFonts w:cs="Arial"/>
                <w:color w:val="000000"/>
                <w:sz w:val="20"/>
                <w:szCs w:val="20"/>
              </w:rPr>
            </w:pPr>
          </w:p>
        </w:tc>
        <w:tc>
          <w:tcPr>
            <w:tcW w:w="3402" w:type="dxa"/>
            <w:vMerge/>
            <w:vAlign w:val="center"/>
          </w:tcPr>
          <w:p w:rsidR="00A6008B" w:rsidRPr="00E92571" w:rsidRDefault="00A6008B" w:rsidP="003468F7">
            <w:pPr>
              <w:rPr>
                <w:rFonts w:cs="Arial"/>
                <w:sz w:val="20"/>
                <w:szCs w:val="20"/>
              </w:rPr>
            </w:pPr>
          </w:p>
        </w:tc>
        <w:tc>
          <w:tcPr>
            <w:tcW w:w="2131" w:type="dxa"/>
            <w:vMerge w:val="restart"/>
            <w:vAlign w:val="center"/>
          </w:tcPr>
          <w:p w:rsidR="00A6008B" w:rsidRPr="00E92571" w:rsidRDefault="00A6008B" w:rsidP="003468F7">
            <w:pPr>
              <w:rPr>
                <w:rFonts w:cs="Arial"/>
                <w:sz w:val="20"/>
                <w:szCs w:val="20"/>
              </w:rPr>
            </w:pPr>
            <w:r w:rsidRPr="00E92571">
              <w:rPr>
                <w:rFonts w:cs="Arial"/>
                <w:sz w:val="20"/>
                <w:szCs w:val="20"/>
              </w:rPr>
              <w:t>Participating PICs have qualitatively and quantitatively assessed court performance and judicial development and participated in self-improvement activities to strengthen governance, access to justice, judicial administration and professionalism.</w:t>
            </w:r>
          </w:p>
        </w:tc>
        <w:tc>
          <w:tcPr>
            <w:tcW w:w="2385" w:type="dxa"/>
            <w:vMerge w:val="restart"/>
            <w:vAlign w:val="center"/>
          </w:tcPr>
          <w:p w:rsidR="00A6008B" w:rsidRPr="00E92571" w:rsidRDefault="00A6008B" w:rsidP="003468F7">
            <w:pPr>
              <w:rPr>
                <w:rFonts w:cs="Arial"/>
                <w:sz w:val="20"/>
                <w:szCs w:val="20"/>
              </w:rPr>
            </w:pPr>
            <w:r w:rsidRPr="00E92571">
              <w:rPr>
                <w:rFonts w:cs="Arial"/>
                <w:sz w:val="20"/>
                <w:szCs w:val="20"/>
              </w:rPr>
              <w:t>Evidence of progress against judicial development and court performance goals in each PIC.</w:t>
            </w:r>
          </w:p>
        </w:tc>
        <w:tc>
          <w:tcPr>
            <w:tcW w:w="1541" w:type="dxa"/>
            <w:vAlign w:val="center"/>
          </w:tcPr>
          <w:p w:rsidR="00A6008B" w:rsidRPr="00E92571" w:rsidRDefault="00A6008B" w:rsidP="003468F7">
            <w:pPr>
              <w:rPr>
                <w:rFonts w:cs="Arial"/>
                <w:sz w:val="20"/>
                <w:szCs w:val="20"/>
              </w:rPr>
            </w:pPr>
            <w:r w:rsidRPr="00E92571">
              <w:rPr>
                <w:rFonts w:cs="Arial"/>
                <w:sz w:val="20"/>
                <w:szCs w:val="20"/>
              </w:rPr>
              <w:t xml:space="preserve">Statistical data collected by PIC courts. </w:t>
            </w:r>
          </w:p>
        </w:tc>
        <w:tc>
          <w:tcPr>
            <w:tcW w:w="912" w:type="dxa"/>
            <w:gridSpan w:val="2"/>
            <w:vMerge/>
            <w:vAlign w:val="center"/>
          </w:tcPr>
          <w:p w:rsidR="00A6008B" w:rsidRPr="00E92571" w:rsidRDefault="00A6008B" w:rsidP="003468F7">
            <w:pPr>
              <w:rPr>
                <w:rFonts w:cs="Arial"/>
                <w:sz w:val="20"/>
                <w:szCs w:val="20"/>
              </w:rPr>
            </w:pPr>
          </w:p>
        </w:tc>
      </w:tr>
      <w:tr w:rsidR="00A6008B" w:rsidRPr="00E92571" w:rsidTr="0015609F">
        <w:tblPrEx>
          <w:tblBorders>
            <w:left w:val="single" w:sz="4" w:space="0" w:color="auto"/>
            <w:bottom w:val="single" w:sz="4" w:space="0" w:color="auto"/>
            <w:right w:val="single" w:sz="4" w:space="0" w:color="auto"/>
            <w:insideH w:val="single" w:sz="4" w:space="0" w:color="auto"/>
            <w:insideV w:val="single" w:sz="4" w:space="0" w:color="auto"/>
          </w:tblBorders>
        </w:tblPrEx>
        <w:trPr>
          <w:trHeight w:val="1030"/>
          <w:jc w:val="center"/>
        </w:trPr>
        <w:tc>
          <w:tcPr>
            <w:tcW w:w="1604" w:type="dxa"/>
            <w:vMerge/>
            <w:vAlign w:val="center"/>
          </w:tcPr>
          <w:p w:rsidR="00A6008B" w:rsidRPr="00E92571" w:rsidRDefault="00A6008B" w:rsidP="003468F7">
            <w:pPr>
              <w:rPr>
                <w:rFonts w:cs="Arial"/>
                <w:sz w:val="20"/>
                <w:szCs w:val="20"/>
              </w:rPr>
            </w:pPr>
          </w:p>
        </w:tc>
        <w:tc>
          <w:tcPr>
            <w:tcW w:w="1701" w:type="dxa"/>
            <w:vMerge/>
            <w:vAlign w:val="center"/>
          </w:tcPr>
          <w:p w:rsidR="00A6008B" w:rsidRPr="00E92571" w:rsidRDefault="00A6008B" w:rsidP="003468F7">
            <w:pPr>
              <w:rPr>
                <w:rFonts w:cs="Arial"/>
                <w:sz w:val="20"/>
                <w:szCs w:val="20"/>
              </w:rPr>
            </w:pPr>
          </w:p>
        </w:tc>
        <w:tc>
          <w:tcPr>
            <w:tcW w:w="1984" w:type="dxa"/>
            <w:vMerge/>
            <w:vAlign w:val="center"/>
          </w:tcPr>
          <w:p w:rsidR="00A6008B" w:rsidRPr="00E92571" w:rsidRDefault="00A6008B" w:rsidP="003468F7">
            <w:pPr>
              <w:rPr>
                <w:rFonts w:cs="Arial"/>
                <w:color w:val="000000"/>
                <w:sz w:val="20"/>
                <w:szCs w:val="20"/>
              </w:rPr>
            </w:pPr>
          </w:p>
        </w:tc>
        <w:tc>
          <w:tcPr>
            <w:tcW w:w="3402" w:type="dxa"/>
            <w:vMerge/>
            <w:vAlign w:val="center"/>
          </w:tcPr>
          <w:p w:rsidR="00A6008B" w:rsidRPr="00E92571" w:rsidRDefault="00A6008B" w:rsidP="003468F7">
            <w:pPr>
              <w:rPr>
                <w:rFonts w:cs="Arial"/>
                <w:sz w:val="20"/>
                <w:szCs w:val="20"/>
              </w:rPr>
            </w:pPr>
          </w:p>
        </w:tc>
        <w:tc>
          <w:tcPr>
            <w:tcW w:w="2131" w:type="dxa"/>
            <w:vMerge/>
            <w:vAlign w:val="center"/>
          </w:tcPr>
          <w:p w:rsidR="00A6008B" w:rsidRPr="00E92571" w:rsidRDefault="00A6008B" w:rsidP="003468F7">
            <w:pPr>
              <w:rPr>
                <w:rFonts w:cs="Arial"/>
                <w:sz w:val="20"/>
                <w:szCs w:val="20"/>
              </w:rPr>
            </w:pPr>
          </w:p>
        </w:tc>
        <w:tc>
          <w:tcPr>
            <w:tcW w:w="2385" w:type="dxa"/>
            <w:vMerge/>
            <w:vAlign w:val="center"/>
          </w:tcPr>
          <w:p w:rsidR="00A6008B" w:rsidRPr="00E92571" w:rsidRDefault="00A6008B" w:rsidP="003468F7">
            <w:pPr>
              <w:rPr>
                <w:rFonts w:cs="Arial"/>
                <w:sz w:val="20"/>
                <w:szCs w:val="20"/>
              </w:rPr>
            </w:pPr>
          </w:p>
        </w:tc>
        <w:tc>
          <w:tcPr>
            <w:tcW w:w="1541" w:type="dxa"/>
            <w:vAlign w:val="center"/>
          </w:tcPr>
          <w:p w:rsidR="00A6008B" w:rsidRPr="00E92571" w:rsidRDefault="00A6008B" w:rsidP="003468F7">
            <w:pPr>
              <w:rPr>
                <w:rFonts w:cs="Arial"/>
                <w:sz w:val="20"/>
                <w:szCs w:val="20"/>
              </w:rPr>
            </w:pPr>
            <w:r w:rsidRPr="00E92571">
              <w:rPr>
                <w:rFonts w:cs="Arial"/>
                <w:sz w:val="20"/>
                <w:szCs w:val="20"/>
              </w:rPr>
              <w:t>Needs Assessment survey / regional discussions at CJ/ NC meetings.</w:t>
            </w:r>
          </w:p>
        </w:tc>
        <w:tc>
          <w:tcPr>
            <w:tcW w:w="912" w:type="dxa"/>
            <w:gridSpan w:val="2"/>
            <w:vAlign w:val="center"/>
          </w:tcPr>
          <w:p w:rsidR="00A6008B" w:rsidRPr="00E92571" w:rsidRDefault="00A6008B" w:rsidP="003468F7">
            <w:pPr>
              <w:rPr>
                <w:rFonts w:cs="Arial"/>
                <w:sz w:val="20"/>
                <w:szCs w:val="20"/>
              </w:rPr>
            </w:pPr>
            <w:r w:rsidRPr="00E92571">
              <w:rPr>
                <w:rFonts w:cs="Arial"/>
                <w:sz w:val="20"/>
                <w:szCs w:val="20"/>
              </w:rPr>
              <w:t>MSC</w:t>
            </w:r>
          </w:p>
        </w:tc>
      </w:tr>
      <w:tr w:rsidR="00A6008B" w:rsidRPr="00E92571" w:rsidTr="0015609F">
        <w:tblPrEx>
          <w:tblBorders>
            <w:left w:val="single" w:sz="4" w:space="0" w:color="auto"/>
            <w:bottom w:val="single" w:sz="4" w:space="0" w:color="auto"/>
            <w:right w:val="single" w:sz="4" w:space="0" w:color="auto"/>
            <w:insideH w:val="single" w:sz="4" w:space="0" w:color="auto"/>
            <w:insideV w:val="single" w:sz="4" w:space="0" w:color="auto"/>
          </w:tblBorders>
        </w:tblPrEx>
        <w:trPr>
          <w:trHeight w:val="85"/>
          <w:jc w:val="center"/>
        </w:trPr>
        <w:tc>
          <w:tcPr>
            <w:tcW w:w="15660" w:type="dxa"/>
            <w:gridSpan w:val="9"/>
            <w:tcBorders>
              <w:bottom w:val="nil"/>
            </w:tcBorders>
            <w:vAlign w:val="center"/>
          </w:tcPr>
          <w:p w:rsidR="00A6008B" w:rsidRPr="00E92571" w:rsidRDefault="00A6008B" w:rsidP="003468F7">
            <w:pPr>
              <w:spacing w:before="120"/>
              <w:rPr>
                <w:rFonts w:cs="Arial"/>
                <w:sz w:val="22"/>
                <w:szCs w:val="20"/>
              </w:rPr>
            </w:pPr>
            <w:r w:rsidRPr="009A221A">
              <w:rPr>
                <w:rFonts w:cs="Arial"/>
                <w:b/>
                <w:bCs/>
                <w:sz w:val="22"/>
                <w:szCs w:val="22"/>
              </w:rPr>
              <w:t>Programme Purpose: To support PICs to enhance the professional competence of judicial officers and court officers, and the processes and systems that they use.</w:t>
            </w:r>
          </w:p>
        </w:tc>
      </w:tr>
      <w:tr w:rsidR="00A6008B" w:rsidRPr="00E92571" w:rsidTr="0015609F">
        <w:tblPrEx>
          <w:tblBorders>
            <w:left w:val="single" w:sz="4" w:space="0" w:color="auto"/>
            <w:bottom w:val="single" w:sz="4" w:space="0" w:color="auto"/>
            <w:right w:val="single" w:sz="4" w:space="0" w:color="auto"/>
            <w:insideH w:val="single" w:sz="4" w:space="0" w:color="auto"/>
            <w:insideV w:val="single" w:sz="4" w:space="0" w:color="auto"/>
          </w:tblBorders>
        </w:tblPrEx>
        <w:trPr>
          <w:trHeight w:val="85"/>
          <w:jc w:val="center"/>
        </w:trPr>
        <w:tc>
          <w:tcPr>
            <w:tcW w:w="1604" w:type="dxa"/>
            <w:tcBorders>
              <w:top w:val="nil"/>
            </w:tcBorders>
            <w:vAlign w:val="center"/>
          </w:tcPr>
          <w:p w:rsidR="00A6008B" w:rsidRPr="009A221A" w:rsidRDefault="00A6008B" w:rsidP="003468F7">
            <w:pPr>
              <w:rPr>
                <w:sz w:val="20"/>
                <w:szCs w:val="22"/>
              </w:rPr>
            </w:pPr>
            <w:r w:rsidRPr="009A221A">
              <w:rPr>
                <w:sz w:val="20"/>
                <w:szCs w:val="22"/>
              </w:rPr>
              <w:t>PICs are independently implementing tools and methodologies for continued self-improvement, with results shared between the region's Chief Justices.</w:t>
            </w:r>
          </w:p>
        </w:tc>
        <w:tc>
          <w:tcPr>
            <w:tcW w:w="1701" w:type="dxa"/>
            <w:tcBorders>
              <w:top w:val="nil"/>
            </w:tcBorders>
            <w:vAlign w:val="center"/>
          </w:tcPr>
          <w:p w:rsidR="00A6008B" w:rsidRPr="009A221A" w:rsidRDefault="00A6008B" w:rsidP="003468F7">
            <w:pPr>
              <w:rPr>
                <w:sz w:val="20"/>
                <w:szCs w:val="22"/>
              </w:rPr>
            </w:pPr>
            <w:r w:rsidRPr="009A221A">
              <w:rPr>
                <w:sz w:val="20"/>
                <w:szCs w:val="22"/>
              </w:rPr>
              <w:t>PICs have tools and methodologies to continue self-improvement and preliminary results are presented to the PEC.</w:t>
            </w:r>
          </w:p>
        </w:tc>
        <w:tc>
          <w:tcPr>
            <w:tcW w:w="1984" w:type="dxa"/>
            <w:tcBorders>
              <w:top w:val="nil"/>
            </w:tcBorders>
            <w:vAlign w:val="center"/>
          </w:tcPr>
          <w:p w:rsidR="00A6008B" w:rsidRPr="00E92571" w:rsidRDefault="00A6008B" w:rsidP="003468F7">
            <w:pPr>
              <w:rPr>
                <w:rFonts w:cs="Arial"/>
                <w:color w:val="000000"/>
                <w:sz w:val="20"/>
                <w:szCs w:val="20"/>
              </w:rPr>
            </w:pPr>
            <w:r w:rsidRPr="009A221A">
              <w:rPr>
                <w:color w:val="000000"/>
                <w:sz w:val="20"/>
                <w:szCs w:val="22"/>
              </w:rPr>
              <w:t>PICs have: no common set of indicators to assess court performance or performance enhancement models to transpose, no regional governance mechanisms to institutionalise judicial development or manage internal governance / ethics, an unquantified number of marginalised prospective court users and a significant number of lay judicial officers.</w:t>
            </w:r>
          </w:p>
        </w:tc>
        <w:tc>
          <w:tcPr>
            <w:tcW w:w="3402" w:type="dxa"/>
            <w:tcBorders>
              <w:top w:val="nil"/>
            </w:tcBorders>
            <w:vAlign w:val="center"/>
          </w:tcPr>
          <w:p w:rsidR="00A6008B" w:rsidRPr="009A221A" w:rsidRDefault="00A6008B" w:rsidP="00592485">
            <w:pPr>
              <w:rPr>
                <w:sz w:val="20"/>
                <w:szCs w:val="22"/>
              </w:rPr>
            </w:pPr>
            <w:r w:rsidRPr="009A221A">
              <w:rPr>
                <w:sz w:val="20"/>
                <w:szCs w:val="22"/>
              </w:rPr>
              <w:t>PICs have a common set of indicators to assess court performance and a regional approach to institutionalise judicial development. threePICs have codes to manage internal governance/ethics.  There remain an unquantified number of marginalised prospective court users and some of the significant number of lay judicial officers has received training.</w:t>
            </w:r>
          </w:p>
        </w:tc>
        <w:tc>
          <w:tcPr>
            <w:tcW w:w="2131" w:type="dxa"/>
            <w:tcBorders>
              <w:top w:val="nil"/>
            </w:tcBorders>
            <w:vAlign w:val="center"/>
          </w:tcPr>
          <w:p w:rsidR="00A6008B" w:rsidRPr="009A221A" w:rsidRDefault="00A6008B" w:rsidP="003468F7">
            <w:pPr>
              <w:rPr>
                <w:sz w:val="20"/>
                <w:szCs w:val="22"/>
              </w:rPr>
            </w:pPr>
            <w:r w:rsidRPr="009A221A">
              <w:rPr>
                <w:sz w:val="20"/>
                <w:szCs w:val="22"/>
              </w:rPr>
              <w:t>Pilot PICs are developing, implementing or practising the use of tools and methodologies to continue self-improvement efforts.</w:t>
            </w:r>
          </w:p>
        </w:tc>
        <w:tc>
          <w:tcPr>
            <w:tcW w:w="2385" w:type="dxa"/>
            <w:tcBorders>
              <w:top w:val="nil"/>
            </w:tcBorders>
            <w:vAlign w:val="center"/>
          </w:tcPr>
          <w:p w:rsidR="00A6008B" w:rsidRPr="009A221A" w:rsidRDefault="00A6008B">
            <w:pPr>
              <w:ind w:right="-57"/>
              <w:rPr>
                <w:sz w:val="20"/>
                <w:szCs w:val="22"/>
              </w:rPr>
            </w:pPr>
            <w:r w:rsidRPr="009A221A">
              <w:rPr>
                <w:sz w:val="20"/>
                <w:szCs w:val="22"/>
              </w:rPr>
              <w:t>Quality/perceptions of benefit of:</w:t>
            </w:r>
            <w:r w:rsidRPr="009A221A">
              <w:rPr>
                <w:sz w:val="20"/>
                <w:szCs w:val="22"/>
              </w:rPr>
              <w:br/>
              <w:t>1. PIC court coordinating with informal justice systems.</w:t>
            </w:r>
            <w:r w:rsidRPr="009A221A">
              <w:rPr>
                <w:sz w:val="20"/>
                <w:szCs w:val="22"/>
              </w:rPr>
              <w:br/>
              <w:t>2. Communication and sharing of experience with other PICs through PJDP activities.</w:t>
            </w:r>
            <w:r w:rsidRPr="009A221A">
              <w:rPr>
                <w:sz w:val="20"/>
                <w:szCs w:val="22"/>
              </w:rPr>
              <w:br/>
              <w:t>3. Judicial conduct structures.</w:t>
            </w:r>
            <w:r w:rsidRPr="009A221A">
              <w:rPr>
                <w:sz w:val="20"/>
                <w:szCs w:val="22"/>
              </w:rPr>
              <w:br/>
              <w:t>4. Performance monitoring and programming actions to improve performance.</w:t>
            </w:r>
            <w:r w:rsidRPr="009A221A">
              <w:rPr>
                <w:sz w:val="20"/>
                <w:szCs w:val="22"/>
              </w:rPr>
              <w:br/>
              <w:t>5. Case process re-engineering and documentation of process.</w:t>
            </w:r>
            <w:r w:rsidRPr="009A221A">
              <w:rPr>
                <w:sz w:val="20"/>
                <w:szCs w:val="22"/>
              </w:rPr>
              <w:br/>
              <w:t>6. Planning and delivery by local actors of needs-based training and provision of resources.</w:t>
            </w:r>
          </w:p>
        </w:tc>
        <w:tc>
          <w:tcPr>
            <w:tcW w:w="1541" w:type="dxa"/>
            <w:tcBorders>
              <w:top w:val="nil"/>
            </w:tcBorders>
            <w:vAlign w:val="center"/>
          </w:tcPr>
          <w:p w:rsidR="00A6008B" w:rsidRPr="009A221A" w:rsidRDefault="00A6008B" w:rsidP="003468F7">
            <w:pPr>
              <w:rPr>
                <w:sz w:val="20"/>
                <w:szCs w:val="22"/>
              </w:rPr>
            </w:pPr>
            <w:r w:rsidRPr="009A221A">
              <w:rPr>
                <w:sz w:val="20"/>
                <w:szCs w:val="22"/>
              </w:rPr>
              <w:t>Stakeholders' surveys / interviews conducted by NCs.</w:t>
            </w:r>
          </w:p>
        </w:tc>
        <w:tc>
          <w:tcPr>
            <w:tcW w:w="912" w:type="dxa"/>
            <w:gridSpan w:val="2"/>
            <w:tcBorders>
              <w:top w:val="nil"/>
            </w:tcBorders>
            <w:vAlign w:val="center"/>
          </w:tcPr>
          <w:p w:rsidR="00A6008B" w:rsidRPr="009A221A" w:rsidRDefault="00A6008B" w:rsidP="003468F7">
            <w:pPr>
              <w:rPr>
                <w:sz w:val="20"/>
                <w:szCs w:val="22"/>
              </w:rPr>
            </w:pPr>
            <w:r w:rsidRPr="009A221A">
              <w:rPr>
                <w:sz w:val="20"/>
                <w:szCs w:val="22"/>
              </w:rPr>
              <w:t>MSC</w:t>
            </w:r>
          </w:p>
        </w:tc>
      </w:tr>
      <w:tr w:rsidR="00A6008B" w:rsidRPr="00E92571" w:rsidTr="002E4D33">
        <w:trPr>
          <w:trHeight w:val="315"/>
          <w:jc w:val="center"/>
        </w:trPr>
        <w:tc>
          <w:tcPr>
            <w:tcW w:w="15660" w:type="dxa"/>
            <w:gridSpan w:val="9"/>
            <w:tcBorders>
              <w:top w:val="single" w:sz="4" w:space="0" w:color="auto"/>
              <w:left w:val="single" w:sz="4" w:space="0" w:color="auto"/>
              <w:bottom w:val="single" w:sz="4" w:space="0" w:color="auto"/>
              <w:right w:val="single" w:sz="4" w:space="0" w:color="auto"/>
            </w:tcBorders>
            <w:shd w:val="clear" w:color="auto" w:fill="CCCCCC"/>
            <w:vAlign w:val="center"/>
          </w:tcPr>
          <w:p w:rsidR="00A6008B" w:rsidRPr="00E92571" w:rsidRDefault="00A6008B" w:rsidP="003468F7">
            <w:pPr>
              <w:spacing w:before="120"/>
              <w:rPr>
                <w:rFonts w:cs="Arial"/>
                <w:b/>
                <w:bCs/>
                <w:szCs w:val="23"/>
              </w:rPr>
            </w:pPr>
            <w:r w:rsidRPr="00E92571">
              <w:rPr>
                <w:rFonts w:cs="Arial"/>
                <w:b/>
                <w:bCs/>
                <w:szCs w:val="23"/>
              </w:rPr>
              <w:t>1.0 Access to Justice</w:t>
            </w:r>
          </w:p>
        </w:tc>
      </w:tr>
      <w:tr w:rsidR="00A6008B" w:rsidRPr="00E92571" w:rsidTr="0015609F">
        <w:tblPrEx>
          <w:tblBorders>
            <w:left w:val="single" w:sz="4" w:space="0" w:color="auto"/>
            <w:bottom w:val="single" w:sz="4" w:space="0" w:color="auto"/>
            <w:right w:val="single" w:sz="4" w:space="0" w:color="auto"/>
            <w:insideH w:val="single" w:sz="4" w:space="0" w:color="auto"/>
            <w:insideV w:val="single" w:sz="4" w:space="0" w:color="auto"/>
          </w:tblBorders>
        </w:tblPrEx>
        <w:trPr>
          <w:trHeight w:val="85"/>
          <w:jc w:val="center"/>
        </w:trPr>
        <w:tc>
          <w:tcPr>
            <w:tcW w:w="1604" w:type="dxa"/>
            <w:vAlign w:val="center"/>
          </w:tcPr>
          <w:p w:rsidR="00A6008B" w:rsidRPr="009A221A" w:rsidRDefault="00A6008B" w:rsidP="009D6283">
            <w:pPr>
              <w:spacing w:before="120"/>
              <w:rPr>
                <w:rFonts w:cs="Arial"/>
                <w:bCs/>
                <w:sz w:val="20"/>
                <w:szCs w:val="22"/>
              </w:rPr>
            </w:pPr>
            <w:r w:rsidRPr="00E92571">
              <w:rPr>
                <w:rFonts w:cs="Arial"/>
                <w:bCs/>
                <w:sz w:val="20"/>
                <w:szCs w:val="22"/>
              </w:rPr>
              <w:t>Up to two PICs better addressing broader justice needs, and up to five PICs responding more competently to family/ juvenile justice issues</w:t>
            </w:r>
          </w:p>
        </w:tc>
        <w:tc>
          <w:tcPr>
            <w:tcW w:w="1701" w:type="dxa"/>
            <w:vAlign w:val="center"/>
          </w:tcPr>
          <w:p w:rsidR="00A6008B" w:rsidRPr="009A221A" w:rsidRDefault="00A6008B" w:rsidP="003468F7">
            <w:pPr>
              <w:spacing w:before="120"/>
              <w:rPr>
                <w:rFonts w:cs="Arial"/>
                <w:bCs/>
                <w:sz w:val="20"/>
                <w:szCs w:val="22"/>
              </w:rPr>
            </w:pPr>
            <w:r w:rsidRPr="009A221A">
              <w:rPr>
                <w:rFonts w:cs="Arial"/>
                <w:bCs/>
                <w:sz w:val="20"/>
                <w:szCs w:val="22"/>
              </w:rPr>
              <w:t>Preliminary results in at least one PIC about: strengthened planning for improving accessibility of justice and improved competence to manage family/ juvenile cases</w:t>
            </w:r>
          </w:p>
        </w:tc>
        <w:tc>
          <w:tcPr>
            <w:tcW w:w="1984" w:type="dxa"/>
            <w:vAlign w:val="center"/>
          </w:tcPr>
          <w:p w:rsidR="00A6008B" w:rsidRPr="009A221A" w:rsidRDefault="00A6008B" w:rsidP="003468F7">
            <w:pPr>
              <w:spacing w:before="120"/>
              <w:rPr>
                <w:rFonts w:cs="Arial"/>
                <w:bCs/>
                <w:sz w:val="20"/>
                <w:szCs w:val="22"/>
              </w:rPr>
            </w:pPr>
            <w:r w:rsidRPr="009A221A">
              <w:rPr>
                <w:rFonts w:cs="Arial"/>
                <w:bCs/>
                <w:sz w:val="20"/>
                <w:szCs w:val="22"/>
              </w:rPr>
              <w:t>Inadequate data about informal justice service providers (and low levels of know-how) to enable judicial leadership to assess, plan and direct an integrated process of in/formal justice services.  There is disharmony between in/formal justice systems in the region</w:t>
            </w:r>
          </w:p>
          <w:p w:rsidR="00A6008B" w:rsidRPr="009A221A" w:rsidRDefault="00A6008B" w:rsidP="003468F7">
            <w:pPr>
              <w:spacing w:before="120"/>
              <w:rPr>
                <w:rFonts w:cs="Arial"/>
                <w:bCs/>
                <w:sz w:val="20"/>
                <w:szCs w:val="22"/>
              </w:rPr>
            </w:pPr>
            <w:r w:rsidRPr="009A221A">
              <w:rPr>
                <w:rFonts w:cs="Arial"/>
                <w:bCs/>
                <w:sz w:val="20"/>
                <w:szCs w:val="22"/>
              </w:rPr>
              <w:t>2012 Baseline: Judicial officers are not aware of and/ or not appropriately responding to family violence and juvenile justice issues which are pervasive across the region. A poor response to these issues undermines appropriate access to justice for vulnerable groups</w:t>
            </w:r>
          </w:p>
        </w:tc>
        <w:tc>
          <w:tcPr>
            <w:tcW w:w="3402" w:type="dxa"/>
            <w:vAlign w:val="center"/>
          </w:tcPr>
          <w:p w:rsidR="00A6008B" w:rsidRPr="009A221A" w:rsidRDefault="00A6008B" w:rsidP="00592485">
            <w:pPr>
              <w:spacing w:before="120"/>
              <w:rPr>
                <w:rFonts w:cs="Arial"/>
                <w:bCs/>
                <w:sz w:val="20"/>
                <w:szCs w:val="22"/>
              </w:rPr>
            </w:pPr>
            <w:r w:rsidRPr="009A221A">
              <w:rPr>
                <w:rFonts w:cs="Arial"/>
                <w:bCs/>
                <w:sz w:val="20"/>
                <w:szCs w:val="22"/>
              </w:rPr>
              <w:t>Data is known about informal justice service providers in three PICs but otherwise, low levels of know-how to enable judicial leadership to assess, plan and direct an integrated process for improving access to justice is being addressed in Tuvalu with the development of an Access to Justice plan.  From this experience, a toolkit of resources will be developed and made available to all PICs enabling them to improve access to justice. There continues to be disharmony between in/formal justice systems in the region, but this is being addressed with the Tuvalu pilot and can be addressed in all PICs when the Access to Justice Toolkit is disseminated.</w:t>
            </w:r>
          </w:p>
        </w:tc>
        <w:tc>
          <w:tcPr>
            <w:tcW w:w="2131" w:type="dxa"/>
            <w:vAlign w:val="center"/>
          </w:tcPr>
          <w:p w:rsidR="00A6008B" w:rsidRPr="00E92571" w:rsidRDefault="00A6008B" w:rsidP="00C00DC5">
            <w:pPr>
              <w:spacing w:before="120"/>
              <w:rPr>
                <w:rFonts w:cs="Arial"/>
                <w:bCs/>
                <w:sz w:val="20"/>
                <w:szCs w:val="20"/>
              </w:rPr>
            </w:pPr>
            <w:r w:rsidRPr="00E92571">
              <w:rPr>
                <w:rFonts w:cs="Arial"/>
                <w:bCs/>
                <w:sz w:val="20"/>
                <w:szCs w:val="20"/>
              </w:rPr>
              <w:t>Access to Justice plan developed in selected PICs (based on demand via the Responsive Fund) enabling the integration of justice services; improved competence to respond to family / juvenile issues and other priority issues and improvements in public awareness of rights/remedies and in judicial responses to priority justice needs.</w:t>
            </w:r>
          </w:p>
        </w:tc>
        <w:tc>
          <w:tcPr>
            <w:tcW w:w="2385" w:type="dxa"/>
            <w:vAlign w:val="center"/>
          </w:tcPr>
          <w:p w:rsidR="00A6008B" w:rsidRPr="009A221A" w:rsidRDefault="00A6008B" w:rsidP="008523FD">
            <w:pPr>
              <w:spacing w:before="120"/>
              <w:rPr>
                <w:rFonts w:cs="Arial"/>
                <w:bCs/>
                <w:sz w:val="20"/>
                <w:szCs w:val="22"/>
              </w:rPr>
            </w:pPr>
            <w:r w:rsidRPr="009A221A">
              <w:rPr>
                <w:rFonts w:cs="Arial"/>
                <w:bCs/>
                <w:sz w:val="20"/>
                <w:szCs w:val="22"/>
              </w:rPr>
              <w:t>Number and quality of Access to Justice Plans; quality of toolkit and number of PICs it is implemented in; perceived improvements in competence to respond to family violence, youth justice and other priority justice needs.</w:t>
            </w:r>
          </w:p>
        </w:tc>
        <w:tc>
          <w:tcPr>
            <w:tcW w:w="1541" w:type="dxa"/>
            <w:vAlign w:val="center"/>
          </w:tcPr>
          <w:p w:rsidR="00A6008B" w:rsidRPr="009A221A" w:rsidRDefault="00A6008B" w:rsidP="003468F7">
            <w:pPr>
              <w:spacing w:before="120"/>
              <w:rPr>
                <w:rFonts w:cs="Arial"/>
                <w:bCs/>
                <w:sz w:val="20"/>
                <w:szCs w:val="22"/>
              </w:rPr>
            </w:pPr>
            <w:r w:rsidRPr="009A221A">
              <w:rPr>
                <w:rFonts w:cs="Arial"/>
                <w:bCs/>
                <w:sz w:val="20"/>
                <w:szCs w:val="22"/>
              </w:rPr>
              <w:t>Access to Justice Plan.</w:t>
            </w:r>
          </w:p>
        </w:tc>
        <w:tc>
          <w:tcPr>
            <w:tcW w:w="912" w:type="dxa"/>
            <w:gridSpan w:val="2"/>
            <w:vAlign w:val="center"/>
          </w:tcPr>
          <w:p w:rsidR="00A6008B" w:rsidRPr="009A221A" w:rsidRDefault="00A6008B" w:rsidP="003468F7">
            <w:pPr>
              <w:spacing w:before="120"/>
              <w:rPr>
                <w:rFonts w:cs="Arial"/>
                <w:bCs/>
                <w:sz w:val="20"/>
                <w:szCs w:val="22"/>
              </w:rPr>
            </w:pPr>
            <w:r w:rsidRPr="009A221A">
              <w:rPr>
                <w:rFonts w:cs="Arial"/>
                <w:bCs/>
                <w:sz w:val="20"/>
                <w:szCs w:val="22"/>
              </w:rPr>
              <w:t>TA</w:t>
            </w:r>
          </w:p>
        </w:tc>
      </w:tr>
      <w:tr w:rsidR="00A6008B" w:rsidRPr="00E92571" w:rsidTr="0015609F">
        <w:trPr>
          <w:trHeight w:val="190"/>
          <w:jc w:val="center"/>
        </w:trPr>
        <w:tc>
          <w:tcPr>
            <w:tcW w:w="15660" w:type="dxa"/>
            <w:gridSpan w:val="9"/>
            <w:tcBorders>
              <w:top w:val="single" w:sz="4" w:space="0" w:color="auto"/>
              <w:left w:val="single" w:sz="4" w:space="0" w:color="auto"/>
              <w:right w:val="single" w:sz="4" w:space="0" w:color="auto"/>
            </w:tcBorders>
            <w:vAlign w:val="center"/>
          </w:tcPr>
          <w:p w:rsidR="00A6008B" w:rsidRPr="009A221A" w:rsidRDefault="00A6008B" w:rsidP="003468F7">
            <w:pPr>
              <w:spacing w:before="120"/>
              <w:rPr>
                <w:rFonts w:cs="Arial"/>
                <w:b/>
                <w:bCs/>
                <w:sz w:val="22"/>
                <w:szCs w:val="22"/>
              </w:rPr>
            </w:pPr>
            <w:r w:rsidRPr="00E92571">
              <w:rPr>
                <w:rFonts w:cs="Arial"/>
                <w:b/>
                <w:bCs/>
                <w:sz w:val="22"/>
                <w:szCs w:val="22"/>
              </w:rPr>
              <w:t>1.1 Access to Justice (formerly Customary Dispute Resolution) Project</w:t>
            </w:r>
          </w:p>
        </w:tc>
      </w:tr>
      <w:tr w:rsidR="00A6008B" w:rsidRPr="00E92571" w:rsidTr="0015609F">
        <w:trPr>
          <w:trHeight w:val="765"/>
          <w:jc w:val="center"/>
        </w:trPr>
        <w:tc>
          <w:tcPr>
            <w:tcW w:w="1604" w:type="dxa"/>
            <w:vMerge w:val="restart"/>
            <w:tcBorders>
              <w:left w:val="single" w:sz="4" w:space="0" w:color="auto"/>
              <w:bottom w:val="single" w:sz="4" w:space="0" w:color="auto"/>
              <w:right w:val="single" w:sz="4" w:space="0" w:color="auto"/>
            </w:tcBorders>
            <w:vAlign w:val="center"/>
          </w:tcPr>
          <w:p w:rsidR="00A6008B" w:rsidRPr="00E92571" w:rsidRDefault="00A6008B" w:rsidP="00F366F8">
            <w:pPr>
              <w:rPr>
                <w:rFonts w:cs="Arial"/>
                <w:sz w:val="20"/>
                <w:szCs w:val="20"/>
              </w:rPr>
            </w:pPr>
            <w:r w:rsidRPr="00E92571">
              <w:rPr>
                <w:sz w:val="20"/>
                <w:szCs w:val="20"/>
              </w:rPr>
              <w:t>To support at selected PICs to systematically address community dispute resolution needs.</w:t>
            </w:r>
          </w:p>
        </w:tc>
        <w:tc>
          <w:tcPr>
            <w:tcW w:w="1701" w:type="dxa"/>
            <w:vMerge w:val="restart"/>
            <w:tcBorders>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One integrated in/formal justice system planning workshop conducted using preliminary research data and providing technical inputs into integrated planning.</w:t>
            </w:r>
          </w:p>
        </w:tc>
        <w:tc>
          <w:tcPr>
            <w:tcW w:w="1984" w:type="dxa"/>
            <w:vMerge w:val="restart"/>
            <w:tcBorders>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No evidence-based strategy exists to integrate in/formal justice systems in the region.</w:t>
            </w:r>
          </w:p>
        </w:tc>
        <w:tc>
          <w:tcPr>
            <w:tcW w:w="3402" w:type="dxa"/>
            <w:vMerge w:val="restart"/>
            <w:tcBorders>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An evidence-based strategy exists which articulates the benefits to governance and the rule of law of stronger linkages between in/formal justice systems in the region. The strategy has been developed by PJDP and approved by the PEC.</w:t>
            </w:r>
          </w:p>
          <w:p w:rsidR="00A6008B" w:rsidRPr="00E92571" w:rsidRDefault="00A6008B" w:rsidP="003468F7">
            <w:pPr>
              <w:rPr>
                <w:rFonts w:cs="Arial"/>
                <w:sz w:val="20"/>
                <w:szCs w:val="20"/>
              </w:rPr>
            </w:pPr>
          </w:p>
          <w:p w:rsidR="00A6008B" w:rsidRPr="00E92571" w:rsidRDefault="00A6008B" w:rsidP="004340E4">
            <w:pPr>
              <w:rPr>
                <w:rFonts w:cs="Arial"/>
                <w:sz w:val="20"/>
                <w:szCs w:val="20"/>
              </w:rPr>
            </w:pPr>
            <w:r w:rsidRPr="00E92571">
              <w:rPr>
                <w:rFonts w:cs="Arial"/>
                <w:sz w:val="20"/>
                <w:szCs w:val="20"/>
              </w:rPr>
              <w:t>The Access to Justice plan and toolkit enabling other PICs to forge stronger links with informal dispute resolution actors and improve access to justice (the strategy) is being piloted in Tuvalu.  The results will be available for PIC (Tuvalu) before June 2013.</w:t>
            </w:r>
          </w:p>
        </w:tc>
        <w:tc>
          <w:tcPr>
            <w:tcW w:w="2131" w:type="dxa"/>
            <w:vMerge w:val="restart"/>
            <w:tcBorders>
              <w:left w:val="single" w:sz="4" w:space="0" w:color="auto"/>
              <w:right w:val="single" w:sz="4" w:space="0" w:color="auto"/>
            </w:tcBorders>
            <w:vAlign w:val="center"/>
          </w:tcPr>
          <w:p w:rsidR="00A6008B" w:rsidRPr="00E92571" w:rsidRDefault="00A6008B" w:rsidP="008523FD">
            <w:pPr>
              <w:rPr>
                <w:rFonts w:cs="Arial"/>
                <w:sz w:val="20"/>
                <w:szCs w:val="20"/>
              </w:rPr>
            </w:pPr>
            <w:r w:rsidRPr="00E92571">
              <w:rPr>
                <w:sz w:val="20"/>
                <w:szCs w:val="20"/>
              </w:rPr>
              <w:t xml:space="preserve">The </w:t>
            </w:r>
            <w:r w:rsidRPr="00E92571">
              <w:rPr>
                <w:i/>
                <w:sz w:val="20"/>
                <w:szCs w:val="20"/>
              </w:rPr>
              <w:t>RegionalAccess to Justice PlanningToolkit</w:t>
            </w:r>
            <w:r w:rsidRPr="00E92571">
              <w:rPr>
                <w:rFonts w:cs="Arial"/>
                <w:sz w:val="20"/>
                <w:szCs w:val="20"/>
              </w:rPr>
              <w:t>implemented in interested PICs using the Responsive Fund mechanism enabling Access to Justice Plans to be developed and implemented.</w:t>
            </w:r>
          </w:p>
        </w:tc>
        <w:tc>
          <w:tcPr>
            <w:tcW w:w="2385" w:type="dxa"/>
            <w:tcBorders>
              <w:left w:val="nil"/>
              <w:bottom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Quality of Access to Justice Plan particularly their incorporation of community dispute resolution needs.</w:t>
            </w:r>
          </w:p>
        </w:tc>
        <w:tc>
          <w:tcPr>
            <w:tcW w:w="1541" w:type="dxa"/>
            <w:vMerge w:val="restart"/>
            <w:tcBorders>
              <w:left w:val="single" w:sz="4" w:space="0" w:color="auto"/>
              <w:bottom w:val="single" w:sz="4" w:space="0" w:color="auto"/>
              <w:right w:val="single" w:sz="4" w:space="0" w:color="auto"/>
            </w:tcBorders>
            <w:vAlign w:val="center"/>
          </w:tcPr>
          <w:p w:rsidR="00A6008B" w:rsidRPr="00E92571" w:rsidRDefault="00A6008B" w:rsidP="008E035F">
            <w:pPr>
              <w:rPr>
                <w:rFonts w:cs="Arial"/>
                <w:sz w:val="20"/>
                <w:szCs w:val="20"/>
              </w:rPr>
            </w:pPr>
            <w:r w:rsidRPr="00E92571">
              <w:rPr>
                <w:rFonts w:cs="Arial"/>
                <w:sz w:val="20"/>
                <w:szCs w:val="20"/>
              </w:rPr>
              <w:t>Access to Justice Plans / RF reports.</w:t>
            </w:r>
          </w:p>
        </w:tc>
        <w:tc>
          <w:tcPr>
            <w:tcW w:w="912" w:type="dxa"/>
            <w:gridSpan w:val="2"/>
            <w:vMerge w:val="restart"/>
            <w:tcBorders>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TA</w:t>
            </w:r>
          </w:p>
        </w:tc>
      </w:tr>
      <w:tr w:rsidR="00A6008B" w:rsidRPr="00E92571" w:rsidTr="0015609F">
        <w:trPr>
          <w:trHeight w:val="1958"/>
          <w:jc w:val="center"/>
        </w:trPr>
        <w:tc>
          <w:tcPr>
            <w:tcW w:w="1604" w:type="dxa"/>
            <w:vMerge/>
            <w:tcBorders>
              <w:top w:val="single" w:sz="4" w:space="0" w:color="auto"/>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p>
        </w:tc>
        <w:tc>
          <w:tcPr>
            <w:tcW w:w="2131" w:type="dxa"/>
            <w:vMerge/>
            <w:tcBorders>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p>
        </w:tc>
        <w:tc>
          <w:tcPr>
            <w:tcW w:w="2385" w:type="dxa"/>
            <w:tcBorders>
              <w:top w:val="single" w:sz="4" w:space="0" w:color="auto"/>
              <w:left w:val="nil"/>
              <w:bottom w:val="single" w:sz="4" w:space="0" w:color="auto"/>
              <w:right w:val="single" w:sz="4" w:space="0" w:color="auto"/>
            </w:tcBorders>
            <w:vAlign w:val="center"/>
          </w:tcPr>
          <w:p w:rsidR="00A6008B" w:rsidRPr="00E92571" w:rsidRDefault="00A6008B" w:rsidP="008523FD">
            <w:pPr>
              <w:rPr>
                <w:rFonts w:cs="Arial"/>
                <w:sz w:val="20"/>
                <w:szCs w:val="20"/>
              </w:rPr>
            </w:pPr>
            <w:r w:rsidRPr="00E92571">
              <w:rPr>
                <w:rFonts w:cs="Arial"/>
                <w:sz w:val="20"/>
                <w:szCs w:val="20"/>
              </w:rPr>
              <w:t>Number of PICs the Toolkit is implemented to.</w:t>
            </w:r>
          </w:p>
        </w:tc>
        <w:tc>
          <w:tcPr>
            <w:tcW w:w="1541" w:type="dxa"/>
            <w:vMerge/>
            <w:tcBorders>
              <w:top w:val="single" w:sz="4" w:space="0" w:color="auto"/>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p>
        </w:tc>
        <w:tc>
          <w:tcPr>
            <w:tcW w:w="912" w:type="dxa"/>
            <w:gridSpan w:val="2"/>
            <w:vMerge/>
            <w:tcBorders>
              <w:top w:val="single" w:sz="4" w:space="0" w:color="auto"/>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p>
        </w:tc>
      </w:tr>
      <w:tr w:rsidR="00A6008B" w:rsidRPr="00E92571" w:rsidTr="0015609F">
        <w:trPr>
          <w:trHeight w:val="368"/>
          <w:jc w:val="center"/>
        </w:trPr>
        <w:tc>
          <w:tcPr>
            <w:tcW w:w="15660" w:type="dxa"/>
            <w:gridSpan w:val="9"/>
            <w:tcBorders>
              <w:top w:val="single" w:sz="4" w:space="0" w:color="auto"/>
              <w:left w:val="single" w:sz="4" w:space="0" w:color="auto"/>
              <w:right w:val="single" w:sz="4" w:space="0" w:color="auto"/>
            </w:tcBorders>
            <w:vAlign w:val="center"/>
          </w:tcPr>
          <w:p w:rsidR="00A6008B" w:rsidRPr="009A221A" w:rsidRDefault="00A6008B" w:rsidP="003A28D7">
            <w:pPr>
              <w:spacing w:before="120"/>
              <w:rPr>
                <w:rFonts w:cs="Arial"/>
                <w:b/>
                <w:sz w:val="22"/>
                <w:szCs w:val="22"/>
              </w:rPr>
            </w:pPr>
            <w:r w:rsidRPr="00E92571">
              <w:rPr>
                <w:rFonts w:cs="Arial"/>
                <w:b/>
                <w:sz w:val="22"/>
                <w:szCs w:val="22"/>
              </w:rPr>
              <w:t>1.2  Enabling Rights Project</w:t>
            </w:r>
          </w:p>
        </w:tc>
      </w:tr>
      <w:tr w:rsidR="00A6008B" w:rsidRPr="00E92571" w:rsidTr="0015609F">
        <w:trPr>
          <w:trHeight w:val="510"/>
          <w:jc w:val="center"/>
        </w:trPr>
        <w:tc>
          <w:tcPr>
            <w:tcW w:w="1604" w:type="dxa"/>
            <w:vMerge w:val="restart"/>
            <w:tcBorders>
              <w:left w:val="single" w:sz="4" w:space="0" w:color="auto"/>
              <w:right w:val="single" w:sz="4" w:space="0" w:color="auto"/>
            </w:tcBorders>
            <w:vAlign w:val="center"/>
          </w:tcPr>
          <w:p w:rsidR="00A6008B" w:rsidRPr="00E92571" w:rsidRDefault="00A6008B" w:rsidP="00F6780B">
            <w:pPr>
              <w:rPr>
                <w:rFonts w:cs="Arial"/>
                <w:bCs/>
                <w:sz w:val="20"/>
                <w:szCs w:val="20"/>
              </w:rPr>
            </w:pPr>
            <w:r w:rsidRPr="00E92571">
              <w:rPr>
                <w:rFonts w:cs="Arial"/>
                <w:color w:val="000000"/>
                <w:sz w:val="20"/>
                <w:szCs w:val="20"/>
                <w:shd w:val="clear" w:color="auto" w:fill="FFFFFF"/>
              </w:rPr>
              <w:t>Claim(s) of previously unmet legal needs are brought to, and resolved by, the courts in at least one PIC</w:t>
            </w:r>
            <w:r w:rsidRPr="00E92571">
              <w:rPr>
                <w:rFonts w:cs="Arial"/>
                <w:bCs/>
                <w:sz w:val="20"/>
                <w:szCs w:val="20"/>
              </w:rPr>
              <w:t>.</w:t>
            </w:r>
          </w:p>
        </w:tc>
        <w:tc>
          <w:tcPr>
            <w:tcW w:w="1701" w:type="dxa"/>
            <w:vMerge w:val="restart"/>
            <w:tcBorders>
              <w:left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NA</w:t>
            </w:r>
          </w:p>
        </w:tc>
        <w:tc>
          <w:tcPr>
            <w:tcW w:w="1984" w:type="dxa"/>
            <w:vMerge w:val="restart"/>
            <w:tcBorders>
              <w:left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Baseline 2013: courts do not promote equal access to or focus on being responsive to the needs of the citizens they serve.  As a result, there is a plethora of unmet justice needs within the community.</w:t>
            </w:r>
          </w:p>
        </w:tc>
        <w:tc>
          <w:tcPr>
            <w:tcW w:w="3402" w:type="dxa"/>
            <w:vMerge w:val="restart"/>
            <w:tcBorders>
              <w:left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NA</w:t>
            </w:r>
          </w:p>
        </w:tc>
        <w:tc>
          <w:tcPr>
            <w:tcW w:w="2131" w:type="dxa"/>
            <w:vMerge w:val="restart"/>
            <w:tcBorders>
              <w:left w:val="nil"/>
              <w:right w:val="single" w:sz="4" w:space="0" w:color="auto"/>
            </w:tcBorders>
            <w:vAlign w:val="center"/>
          </w:tcPr>
          <w:p w:rsidR="00A6008B" w:rsidRPr="00E92571" w:rsidDel="00785258" w:rsidRDefault="00A6008B" w:rsidP="003468F7">
            <w:pPr>
              <w:rPr>
                <w:rFonts w:cs="Arial"/>
                <w:sz w:val="20"/>
                <w:szCs w:val="20"/>
              </w:rPr>
            </w:pPr>
            <w:r w:rsidRPr="00E92571">
              <w:rPr>
                <w:sz w:val="20"/>
                <w:szCs w:val="20"/>
              </w:rPr>
              <w:t>A methodology enabling those seeking justice to access available remedies</w:t>
            </w:r>
            <w:r w:rsidRPr="00E92571">
              <w:rPr>
                <w:rFonts w:cs="Arial"/>
                <w:bCs/>
                <w:sz w:val="20"/>
                <w:szCs w:val="20"/>
              </w:rPr>
              <w:t xml:space="preserve"> is developed, piloted and adopted in one PIC.  </w:t>
            </w:r>
          </w:p>
        </w:tc>
        <w:tc>
          <w:tcPr>
            <w:tcW w:w="2385" w:type="dxa"/>
            <w:tcBorders>
              <w:left w:val="nil"/>
              <w:bottom w:val="single" w:sz="4" w:space="0" w:color="auto"/>
              <w:right w:val="single" w:sz="4" w:space="0" w:color="auto"/>
            </w:tcBorders>
            <w:vAlign w:val="center"/>
          </w:tcPr>
          <w:p w:rsidR="00A6008B" w:rsidRPr="00E92571" w:rsidDel="00785258" w:rsidRDefault="00A6008B" w:rsidP="003468F7">
            <w:pPr>
              <w:rPr>
                <w:rFonts w:cs="Arial"/>
                <w:sz w:val="20"/>
                <w:szCs w:val="20"/>
              </w:rPr>
            </w:pPr>
            <w:r w:rsidRPr="00E92571">
              <w:rPr>
                <w:rFonts w:cs="Arial"/>
                <w:sz w:val="20"/>
                <w:szCs w:val="20"/>
              </w:rPr>
              <w:t>Quality of toolkit for promoting justice for beneficiaries.</w:t>
            </w:r>
          </w:p>
        </w:tc>
        <w:tc>
          <w:tcPr>
            <w:tcW w:w="1541" w:type="dxa"/>
            <w:vMerge w:val="restart"/>
            <w:tcBorders>
              <w:left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Toolkit and TA/PIC reports.</w:t>
            </w:r>
          </w:p>
        </w:tc>
        <w:tc>
          <w:tcPr>
            <w:tcW w:w="912" w:type="dxa"/>
            <w:gridSpan w:val="2"/>
            <w:vMerge w:val="restart"/>
            <w:tcBorders>
              <w:left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TA/PIC</w:t>
            </w:r>
          </w:p>
        </w:tc>
      </w:tr>
      <w:tr w:rsidR="00A6008B" w:rsidRPr="00E92571" w:rsidTr="0015609F">
        <w:trPr>
          <w:trHeight w:val="510"/>
          <w:jc w:val="center"/>
        </w:trPr>
        <w:tc>
          <w:tcPr>
            <w:tcW w:w="1604" w:type="dxa"/>
            <w:vMerge/>
            <w:tcBorders>
              <w:left w:val="single" w:sz="4" w:space="0" w:color="auto"/>
              <w:bottom w:val="single" w:sz="4" w:space="0" w:color="auto"/>
              <w:right w:val="single" w:sz="4" w:space="0" w:color="auto"/>
            </w:tcBorders>
            <w:vAlign w:val="center"/>
          </w:tcPr>
          <w:p w:rsidR="00A6008B" w:rsidRPr="00E92571" w:rsidRDefault="00A6008B" w:rsidP="003468F7">
            <w:pPr>
              <w:rPr>
                <w:sz w:val="20"/>
                <w:szCs w:val="20"/>
              </w:rPr>
            </w:pPr>
          </w:p>
        </w:tc>
        <w:tc>
          <w:tcPr>
            <w:tcW w:w="1701" w:type="dxa"/>
            <w:vMerge/>
            <w:tcBorders>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p>
        </w:tc>
        <w:tc>
          <w:tcPr>
            <w:tcW w:w="1984" w:type="dxa"/>
            <w:vMerge/>
            <w:tcBorders>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p>
        </w:tc>
        <w:tc>
          <w:tcPr>
            <w:tcW w:w="3402" w:type="dxa"/>
            <w:vMerge/>
            <w:tcBorders>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p>
        </w:tc>
        <w:tc>
          <w:tcPr>
            <w:tcW w:w="2131" w:type="dxa"/>
            <w:vMerge/>
            <w:tcBorders>
              <w:left w:val="nil"/>
              <w:bottom w:val="single" w:sz="4" w:space="0" w:color="auto"/>
              <w:right w:val="single" w:sz="4" w:space="0" w:color="auto"/>
            </w:tcBorders>
            <w:vAlign w:val="center"/>
          </w:tcPr>
          <w:p w:rsidR="00A6008B" w:rsidRPr="00E92571" w:rsidRDefault="00A6008B" w:rsidP="003468F7">
            <w:pPr>
              <w:rPr>
                <w:szCs w:val="23"/>
              </w:rPr>
            </w:pPr>
          </w:p>
        </w:tc>
        <w:tc>
          <w:tcPr>
            <w:tcW w:w="2385" w:type="dxa"/>
            <w:tcBorders>
              <w:top w:val="single" w:sz="4" w:space="0" w:color="auto"/>
              <w:left w:val="nil"/>
              <w:bottom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Percentage increase in claims made to courts for remedies focussed on during the pilot.</w:t>
            </w:r>
          </w:p>
        </w:tc>
        <w:tc>
          <w:tcPr>
            <w:tcW w:w="1541" w:type="dxa"/>
            <w:vMerge/>
            <w:tcBorders>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p>
        </w:tc>
        <w:tc>
          <w:tcPr>
            <w:tcW w:w="912" w:type="dxa"/>
            <w:gridSpan w:val="2"/>
            <w:vMerge/>
            <w:tcBorders>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p>
        </w:tc>
      </w:tr>
      <w:tr w:rsidR="00A6008B" w:rsidRPr="00E92571" w:rsidTr="0015609F">
        <w:trPr>
          <w:trHeight w:val="255"/>
          <w:jc w:val="center"/>
        </w:trPr>
        <w:tc>
          <w:tcPr>
            <w:tcW w:w="15660" w:type="dxa"/>
            <w:gridSpan w:val="9"/>
            <w:tcBorders>
              <w:top w:val="single" w:sz="4" w:space="0" w:color="auto"/>
              <w:left w:val="single" w:sz="4" w:space="0" w:color="auto"/>
              <w:right w:val="single" w:sz="4" w:space="0" w:color="auto"/>
            </w:tcBorders>
            <w:vAlign w:val="center"/>
          </w:tcPr>
          <w:p w:rsidR="00A6008B" w:rsidRPr="00E92571" w:rsidRDefault="00A6008B" w:rsidP="003468F7">
            <w:pPr>
              <w:spacing w:before="120"/>
              <w:rPr>
                <w:rFonts w:cs="Arial"/>
                <w:b/>
                <w:bCs/>
                <w:szCs w:val="23"/>
              </w:rPr>
            </w:pPr>
            <w:r w:rsidRPr="00E92571">
              <w:rPr>
                <w:rFonts w:cs="Arial"/>
                <w:b/>
                <w:bCs/>
                <w:szCs w:val="23"/>
              </w:rPr>
              <w:t>1.3 Family Violence and Juvenile Justice Project</w:t>
            </w:r>
          </w:p>
        </w:tc>
      </w:tr>
      <w:tr w:rsidR="00A6008B" w:rsidRPr="00E92571" w:rsidTr="0015609F">
        <w:trPr>
          <w:trHeight w:val="328"/>
          <w:jc w:val="center"/>
        </w:trPr>
        <w:tc>
          <w:tcPr>
            <w:tcW w:w="1604" w:type="dxa"/>
            <w:tcBorders>
              <w:left w:val="single" w:sz="4" w:space="0" w:color="auto"/>
              <w:bottom w:val="single" w:sz="4" w:space="0" w:color="auto"/>
              <w:right w:val="single" w:sz="4" w:space="0" w:color="auto"/>
            </w:tcBorders>
            <w:vAlign w:val="center"/>
          </w:tcPr>
          <w:p w:rsidR="00A6008B" w:rsidRPr="00E92571" w:rsidRDefault="00A6008B" w:rsidP="003468F7">
            <w:pPr>
              <w:rPr>
                <w:sz w:val="20"/>
                <w:szCs w:val="20"/>
              </w:rPr>
            </w:pPr>
            <w:r w:rsidRPr="00E92571">
              <w:rPr>
                <w:sz w:val="20"/>
                <w:szCs w:val="20"/>
              </w:rPr>
              <w:t>Up to five PICs responding as a sector, more holistically and competently to family/juvenile justice issues.</w:t>
            </w:r>
          </w:p>
          <w:p w:rsidR="00A6008B" w:rsidRPr="00E92571" w:rsidRDefault="00A6008B" w:rsidP="003468F7">
            <w:pPr>
              <w:rPr>
                <w:rFonts w:cs="Arial"/>
                <w:sz w:val="20"/>
                <w:szCs w:val="20"/>
              </w:rPr>
            </w:pPr>
          </w:p>
        </w:tc>
        <w:tc>
          <w:tcPr>
            <w:tcW w:w="1701" w:type="dxa"/>
            <w:tcBorders>
              <w:left w:val="nil"/>
              <w:bottom w:val="single" w:sz="4" w:space="0" w:color="auto"/>
              <w:right w:val="single" w:sz="4" w:space="0" w:color="auto"/>
            </w:tcBorders>
            <w:vAlign w:val="center"/>
          </w:tcPr>
          <w:p w:rsidR="00A6008B" w:rsidRPr="00E92571" w:rsidRDefault="00A6008B" w:rsidP="00187EE0">
            <w:pPr>
              <w:rPr>
                <w:rFonts w:cs="Arial"/>
                <w:sz w:val="20"/>
                <w:szCs w:val="20"/>
              </w:rPr>
            </w:pPr>
            <w:r w:rsidRPr="00E92571">
              <w:rPr>
                <w:rFonts w:cs="Arial"/>
                <w:sz w:val="20"/>
                <w:szCs w:val="20"/>
              </w:rPr>
              <w:t>Improvements in competence to manage family/juvenile issues in two PICs.</w:t>
            </w:r>
          </w:p>
        </w:tc>
        <w:tc>
          <w:tcPr>
            <w:tcW w:w="1984" w:type="dxa"/>
            <w:tcBorders>
              <w:left w:val="nil"/>
              <w:bottom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 xml:space="preserve">2012 Baseline: Judicial and court officers are not aware of and/or not appropriately responding to family violence and juvenile justice issues which are pervasive across the region and the poor responses to these issues undermines appropriate access to justice for vulnerable groups. </w:t>
            </w:r>
          </w:p>
        </w:tc>
        <w:tc>
          <w:tcPr>
            <w:tcW w:w="3402" w:type="dxa"/>
            <w:tcBorders>
              <w:left w:val="nil"/>
              <w:bottom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40 participants attended a workshop in Palau and 35 attended a workshop in Vanuatu, both of which were reportedly high quality, practical, relevant and useful.  Participants assessed improvements in awareness, knowledge, skills and attitudes related to relevant issues, law, contemporary practice and procedure and inter-agency MOUs were signed at the conclusion of both workshops to promote improvements in family / domestic violence law, practice and procedure and commitment made to develop diversionary processes for juveniles.</w:t>
            </w:r>
          </w:p>
        </w:tc>
        <w:tc>
          <w:tcPr>
            <w:tcW w:w="2131" w:type="dxa"/>
            <w:tcBorders>
              <w:left w:val="nil"/>
              <w:bottom w:val="single" w:sz="4" w:space="0" w:color="auto"/>
              <w:right w:val="single" w:sz="4" w:space="0" w:color="auto"/>
            </w:tcBorders>
            <w:vAlign w:val="center"/>
          </w:tcPr>
          <w:p w:rsidR="00A6008B" w:rsidRPr="00E92571" w:rsidRDefault="00A6008B" w:rsidP="00592485">
            <w:pPr>
              <w:rPr>
                <w:sz w:val="20"/>
                <w:szCs w:val="20"/>
              </w:rPr>
            </w:pPr>
            <w:r w:rsidRPr="00E92571">
              <w:rPr>
                <w:sz w:val="20"/>
                <w:szCs w:val="20"/>
              </w:rPr>
              <w:t>Improvements in awareness, knowledge, skills, attitudes relating to relevant issues, law, contemporary practice and procedure in up to two additional PICs and increased cooperation, coordination and collaboration between stakeholder agencies to address relevant issues.</w:t>
            </w:r>
          </w:p>
        </w:tc>
        <w:tc>
          <w:tcPr>
            <w:tcW w:w="2385" w:type="dxa"/>
            <w:tcBorders>
              <w:left w:val="nil"/>
              <w:bottom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Number of judicial officers trained and quality of training, including relevance, usefulness, skills and knowledge gained.</w:t>
            </w:r>
          </w:p>
        </w:tc>
        <w:tc>
          <w:tcPr>
            <w:tcW w:w="1541" w:type="dxa"/>
            <w:tcBorders>
              <w:left w:val="nil"/>
              <w:bottom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Pre/post-workshop participant self-assessments.</w:t>
            </w:r>
          </w:p>
        </w:tc>
        <w:tc>
          <w:tcPr>
            <w:tcW w:w="912" w:type="dxa"/>
            <w:gridSpan w:val="2"/>
            <w:tcBorders>
              <w:left w:val="nil"/>
              <w:bottom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TA</w:t>
            </w:r>
          </w:p>
        </w:tc>
      </w:tr>
      <w:tr w:rsidR="00A6008B" w:rsidRPr="00E92571" w:rsidTr="0015609F">
        <w:trPr>
          <w:trHeight w:val="328"/>
          <w:jc w:val="center"/>
        </w:trPr>
        <w:tc>
          <w:tcPr>
            <w:tcW w:w="15660" w:type="dxa"/>
            <w:gridSpan w:val="9"/>
            <w:tcBorders>
              <w:top w:val="single" w:sz="4" w:space="0" w:color="auto"/>
              <w:left w:val="single" w:sz="4" w:space="0" w:color="auto"/>
              <w:right w:val="single" w:sz="4" w:space="0" w:color="auto"/>
            </w:tcBorders>
            <w:vAlign w:val="center"/>
          </w:tcPr>
          <w:p w:rsidR="00A6008B" w:rsidRPr="00E92571" w:rsidRDefault="00A6008B" w:rsidP="00126D53">
            <w:pPr>
              <w:rPr>
                <w:rFonts w:cs="Arial"/>
                <w:b/>
                <w:szCs w:val="23"/>
              </w:rPr>
            </w:pPr>
            <w:r w:rsidRPr="00E92571">
              <w:rPr>
                <w:rFonts w:cs="Arial"/>
                <w:b/>
                <w:szCs w:val="23"/>
              </w:rPr>
              <w:t>1.4 Public Information Project</w:t>
            </w:r>
          </w:p>
        </w:tc>
      </w:tr>
      <w:tr w:rsidR="00A6008B" w:rsidRPr="00E92571" w:rsidTr="0015609F">
        <w:trPr>
          <w:trHeight w:val="328"/>
          <w:jc w:val="center"/>
        </w:trPr>
        <w:tc>
          <w:tcPr>
            <w:tcW w:w="1604" w:type="dxa"/>
            <w:tcBorders>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bCs/>
                <w:sz w:val="20"/>
                <w:szCs w:val="20"/>
              </w:rPr>
              <w:t>A portfolio of public information resources developed piloted and disseminated in one PIC available for adaption across the region.</w:t>
            </w:r>
          </w:p>
        </w:tc>
        <w:tc>
          <w:tcPr>
            <w:tcW w:w="1701" w:type="dxa"/>
            <w:tcBorders>
              <w:left w:val="nil"/>
              <w:bottom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NA</w:t>
            </w:r>
          </w:p>
        </w:tc>
        <w:tc>
          <w:tcPr>
            <w:tcW w:w="1984" w:type="dxa"/>
            <w:tcBorders>
              <w:left w:val="nil"/>
              <w:bottom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NA</w:t>
            </w:r>
          </w:p>
        </w:tc>
        <w:tc>
          <w:tcPr>
            <w:tcW w:w="3402" w:type="dxa"/>
            <w:tcBorders>
              <w:left w:val="nil"/>
              <w:bottom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Baseline 2013: in most PICs no information is readily available to/accessible by the public about their legal rights/remedies and available court services; thereby preventing them from fully pursuing their rights/remedies and justice.</w:t>
            </w:r>
          </w:p>
        </w:tc>
        <w:tc>
          <w:tcPr>
            <w:tcW w:w="2131" w:type="dxa"/>
            <w:tcBorders>
              <w:left w:val="nil"/>
              <w:bottom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bCs/>
                <w:sz w:val="20"/>
                <w:szCs w:val="20"/>
              </w:rPr>
              <w:t xml:space="preserve">Improved access to public information on legal rights/remedies and court services. </w:t>
            </w:r>
          </w:p>
        </w:tc>
        <w:tc>
          <w:tcPr>
            <w:tcW w:w="2385" w:type="dxa"/>
            <w:tcBorders>
              <w:left w:val="nil"/>
              <w:bottom w:val="single" w:sz="4" w:space="0" w:color="auto"/>
              <w:right w:val="single" w:sz="4" w:space="0" w:color="auto"/>
            </w:tcBorders>
            <w:vAlign w:val="center"/>
          </w:tcPr>
          <w:p w:rsidR="00A6008B" w:rsidRPr="00E92571" w:rsidRDefault="00A6008B" w:rsidP="003468F7">
            <w:pPr>
              <w:rPr>
                <w:sz w:val="20"/>
                <w:szCs w:val="20"/>
              </w:rPr>
            </w:pPr>
            <w:r w:rsidRPr="00E92571">
              <w:rPr>
                <w:rFonts w:cs="Arial"/>
                <w:sz w:val="20"/>
                <w:szCs w:val="20"/>
              </w:rPr>
              <w:t xml:space="preserve">The quality of the toolkit developed including </w:t>
            </w:r>
            <w:r w:rsidRPr="00E92571">
              <w:rPr>
                <w:rFonts w:cs="Arial Narrow"/>
                <w:sz w:val="20"/>
                <w:szCs w:val="20"/>
              </w:rPr>
              <w:t xml:space="preserve">brochures on legal rights/remedies and court services, tools for developing </w:t>
            </w:r>
            <w:r w:rsidRPr="00E92571">
              <w:rPr>
                <w:sz w:val="20"/>
                <w:szCs w:val="20"/>
              </w:rPr>
              <w:t>brochures and posters; newspaper and radio notices; community information presentations; and related training for court staff.</w:t>
            </w:r>
          </w:p>
          <w:p w:rsidR="00A6008B" w:rsidRPr="00E92571" w:rsidRDefault="00A6008B" w:rsidP="00F01D7B">
            <w:pPr>
              <w:rPr>
                <w:sz w:val="8"/>
                <w:szCs w:val="20"/>
              </w:rPr>
            </w:pPr>
          </w:p>
          <w:p w:rsidR="00A6008B" w:rsidRPr="00E92571" w:rsidRDefault="00A6008B" w:rsidP="00F01D7B">
            <w:pPr>
              <w:rPr>
                <w:sz w:val="20"/>
                <w:szCs w:val="20"/>
              </w:rPr>
            </w:pPr>
            <w:r w:rsidRPr="00E92571">
              <w:rPr>
                <w:sz w:val="20"/>
                <w:szCs w:val="20"/>
              </w:rPr>
              <w:t xml:space="preserve">The MSC ensures that this initiative does </w:t>
            </w:r>
            <w:r w:rsidRPr="00E92571">
              <w:rPr>
                <w:b/>
                <w:sz w:val="20"/>
                <w:szCs w:val="20"/>
              </w:rPr>
              <w:t>not</w:t>
            </w:r>
            <w:r w:rsidRPr="00E92571">
              <w:rPr>
                <w:sz w:val="20"/>
                <w:szCs w:val="20"/>
              </w:rPr>
              <w:t xml:space="preserve"> duplicate the work of other initiatives (eg RRRT).</w:t>
            </w:r>
          </w:p>
          <w:p w:rsidR="00A6008B" w:rsidRPr="00E92571" w:rsidRDefault="00A6008B" w:rsidP="00F01D7B">
            <w:pPr>
              <w:rPr>
                <w:sz w:val="8"/>
                <w:szCs w:val="20"/>
              </w:rPr>
            </w:pPr>
          </w:p>
          <w:p w:rsidR="00A6008B" w:rsidRPr="00E92571" w:rsidRDefault="00A6008B" w:rsidP="00F01D7B">
            <w:pPr>
              <w:rPr>
                <w:rFonts w:cs="Arial"/>
                <w:sz w:val="20"/>
                <w:szCs w:val="20"/>
              </w:rPr>
            </w:pPr>
            <w:r w:rsidRPr="00E92571">
              <w:rPr>
                <w:sz w:val="20"/>
                <w:szCs w:val="20"/>
              </w:rPr>
              <w:t>In its approach to implementation, the MSC will explore the possibility of adapting resources developed by other initiatives where appropriate rather than re-inventing the wheel to ensure cost-effectiveness and value for money.</w:t>
            </w:r>
          </w:p>
        </w:tc>
        <w:tc>
          <w:tcPr>
            <w:tcW w:w="1541" w:type="dxa"/>
            <w:tcBorders>
              <w:left w:val="nil"/>
              <w:bottom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Toolkit.</w:t>
            </w:r>
          </w:p>
        </w:tc>
        <w:tc>
          <w:tcPr>
            <w:tcW w:w="912" w:type="dxa"/>
            <w:gridSpan w:val="2"/>
            <w:tcBorders>
              <w:left w:val="nil"/>
              <w:bottom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TA</w:t>
            </w:r>
          </w:p>
        </w:tc>
      </w:tr>
      <w:tr w:rsidR="00A6008B" w:rsidRPr="00E92571" w:rsidTr="002E4D33">
        <w:trPr>
          <w:trHeight w:val="190"/>
          <w:jc w:val="center"/>
        </w:trPr>
        <w:tc>
          <w:tcPr>
            <w:tcW w:w="15660" w:type="dxa"/>
            <w:gridSpan w:val="9"/>
            <w:tcBorders>
              <w:top w:val="single" w:sz="4" w:space="0" w:color="auto"/>
              <w:left w:val="single" w:sz="4" w:space="0" w:color="auto"/>
              <w:bottom w:val="single" w:sz="4" w:space="0" w:color="auto"/>
              <w:right w:val="single" w:sz="4" w:space="0" w:color="auto"/>
            </w:tcBorders>
            <w:shd w:val="clear" w:color="auto" w:fill="CCCCCC"/>
            <w:vAlign w:val="center"/>
          </w:tcPr>
          <w:p w:rsidR="00A6008B" w:rsidRPr="00E92571" w:rsidRDefault="00A6008B" w:rsidP="003468F7">
            <w:pPr>
              <w:spacing w:before="120"/>
              <w:rPr>
                <w:rFonts w:cs="Arial"/>
                <w:b/>
                <w:bCs/>
                <w:szCs w:val="23"/>
              </w:rPr>
            </w:pPr>
            <w:r w:rsidRPr="00E92571">
              <w:rPr>
                <w:rFonts w:cs="Arial"/>
                <w:b/>
                <w:bCs/>
                <w:szCs w:val="23"/>
              </w:rPr>
              <w:t>2.0 Governance</w:t>
            </w:r>
          </w:p>
        </w:tc>
      </w:tr>
      <w:tr w:rsidR="00A6008B" w:rsidRPr="00E92571" w:rsidTr="002E4D33">
        <w:trPr>
          <w:trHeight w:val="860"/>
          <w:jc w:val="center"/>
        </w:trPr>
        <w:tc>
          <w:tcPr>
            <w:tcW w:w="1604" w:type="dxa"/>
            <w:vMerge w:val="restart"/>
            <w:tcBorders>
              <w:top w:val="single" w:sz="4" w:space="0" w:color="auto"/>
              <w:left w:val="single" w:sz="4" w:space="0" w:color="auto"/>
              <w:right w:val="single" w:sz="4" w:space="0" w:color="auto"/>
            </w:tcBorders>
            <w:vAlign w:val="center"/>
          </w:tcPr>
          <w:p w:rsidR="00A6008B" w:rsidRPr="00E92571" w:rsidRDefault="00A6008B" w:rsidP="003468F7">
            <w:pPr>
              <w:rPr>
                <w:rFonts w:cs="Arial"/>
                <w:b/>
                <w:bCs/>
                <w:szCs w:val="23"/>
              </w:rPr>
            </w:pPr>
            <w:r w:rsidRPr="00E92571">
              <w:rPr>
                <w:sz w:val="20"/>
                <w:szCs w:val="20"/>
              </w:rPr>
              <w:t>Greater judicial ownership of professional development across the region.</w:t>
            </w:r>
          </w:p>
        </w:tc>
        <w:tc>
          <w:tcPr>
            <w:tcW w:w="1701" w:type="dxa"/>
            <w:vMerge w:val="restart"/>
            <w:tcBorders>
              <w:top w:val="single" w:sz="4" w:space="0" w:color="auto"/>
              <w:left w:val="single" w:sz="4" w:space="0" w:color="auto"/>
              <w:right w:val="single" w:sz="4" w:space="0" w:color="auto"/>
            </w:tcBorders>
            <w:vAlign w:val="center"/>
          </w:tcPr>
          <w:p w:rsidR="00A6008B" w:rsidRPr="00E92571" w:rsidRDefault="00A6008B" w:rsidP="0046227B">
            <w:pPr>
              <w:spacing w:before="120"/>
              <w:rPr>
                <w:rFonts w:cs="Arial"/>
                <w:b/>
                <w:bCs/>
                <w:szCs w:val="23"/>
              </w:rPr>
            </w:pPr>
            <w:r w:rsidRPr="00E92571">
              <w:rPr>
                <w:rFonts w:cs="Arial"/>
                <w:sz w:val="20"/>
                <w:szCs w:val="20"/>
              </w:rPr>
              <w:t>Improvements in: judicial conduct and leadership; and local management and implementation of judicial development activities in up to four PICs.</w:t>
            </w:r>
          </w:p>
        </w:tc>
        <w:tc>
          <w:tcPr>
            <w:tcW w:w="1984" w:type="dxa"/>
            <w:vMerge w:val="restart"/>
            <w:tcBorders>
              <w:top w:val="single" w:sz="4" w:space="0" w:color="auto"/>
              <w:left w:val="single" w:sz="4" w:space="0" w:color="auto"/>
              <w:right w:val="single" w:sz="4" w:space="0" w:color="auto"/>
            </w:tcBorders>
            <w:vAlign w:val="center"/>
          </w:tcPr>
          <w:p w:rsidR="00A6008B" w:rsidRPr="00E92571" w:rsidRDefault="00A6008B" w:rsidP="003468F7">
            <w:pPr>
              <w:spacing w:before="120"/>
              <w:rPr>
                <w:rFonts w:cs="Arial"/>
                <w:b/>
                <w:bCs/>
                <w:szCs w:val="23"/>
              </w:rPr>
            </w:pPr>
            <w:r w:rsidRPr="00E92571">
              <w:rPr>
                <w:rFonts w:cs="Arial"/>
                <w:sz w:val="20"/>
                <w:szCs w:val="20"/>
              </w:rPr>
              <w:t>No CoJCs exist in the region based on and adapted from internationally recognised principles.  No PIC driven or regionally coordinated options exist to enable ongoing judicial development regionally or lead/implement activities locally.</w:t>
            </w:r>
          </w:p>
        </w:tc>
        <w:tc>
          <w:tcPr>
            <w:tcW w:w="3402" w:type="dxa"/>
            <w:vMerge w:val="restart"/>
            <w:tcBorders>
              <w:top w:val="single" w:sz="4" w:space="0" w:color="auto"/>
              <w:left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 xml:space="preserve">Three CoJC exist in the region based on internationally recognised principles and a toolkit has been developed for other PICs to develop/revise codes.  The toolkit is currently being piloted in one PIC.  Improvements in judicial conducts are being assessed in 3 PICs; the results will be presented to the PEC by June 2013. </w:t>
            </w:r>
          </w:p>
          <w:p w:rsidR="00A6008B" w:rsidRPr="00E92571" w:rsidRDefault="00A6008B" w:rsidP="003468F7">
            <w:pPr>
              <w:rPr>
                <w:rFonts w:cs="Arial"/>
                <w:sz w:val="16"/>
                <w:szCs w:val="20"/>
              </w:rPr>
            </w:pPr>
          </w:p>
          <w:p w:rsidR="00A6008B" w:rsidRPr="00E92571" w:rsidRDefault="00A6008B" w:rsidP="003468F7">
            <w:pPr>
              <w:rPr>
                <w:rFonts w:cs="Arial"/>
                <w:sz w:val="20"/>
                <w:szCs w:val="20"/>
              </w:rPr>
            </w:pPr>
            <w:r w:rsidRPr="00E92571">
              <w:rPr>
                <w:rFonts w:cs="Arial"/>
                <w:sz w:val="20"/>
                <w:szCs w:val="20"/>
              </w:rPr>
              <w:t>PIC driven and regionally coordinated options to institutionalise judicial development have been developed and endorsed by the PEC.  The MSC has analysed its experience implementing the PJDP and produced a lessons learned report which has been approved by the PEC.</w:t>
            </w:r>
          </w:p>
          <w:p w:rsidR="00A6008B" w:rsidRPr="00E92571" w:rsidRDefault="00A6008B" w:rsidP="003468F7">
            <w:pPr>
              <w:rPr>
                <w:rFonts w:cs="Arial"/>
                <w:sz w:val="16"/>
                <w:szCs w:val="20"/>
              </w:rPr>
            </w:pPr>
          </w:p>
          <w:p w:rsidR="00A6008B" w:rsidRPr="00E92571" w:rsidRDefault="00A6008B" w:rsidP="0046227B">
            <w:pPr>
              <w:rPr>
                <w:rFonts w:cs="Arial"/>
                <w:sz w:val="20"/>
                <w:szCs w:val="20"/>
              </w:rPr>
            </w:pPr>
            <w:r w:rsidRPr="00E92571">
              <w:rPr>
                <w:rFonts w:cs="Arial"/>
                <w:sz w:val="20"/>
                <w:szCs w:val="20"/>
              </w:rPr>
              <w:t>Evident through feedback, engagement and 33 approved Responsive Fund activities; is increasing levels of leadership / implementation of local activities.  One set of PEC, CJ and NC meetings have been held since July 2012.</w:t>
            </w:r>
          </w:p>
        </w:tc>
        <w:tc>
          <w:tcPr>
            <w:tcW w:w="2131" w:type="dxa"/>
            <w:vMerge w:val="restart"/>
            <w:tcBorders>
              <w:top w:val="single" w:sz="4" w:space="0" w:color="auto"/>
              <w:left w:val="single" w:sz="4" w:space="0" w:color="auto"/>
              <w:right w:val="single" w:sz="4" w:space="0" w:color="auto"/>
            </w:tcBorders>
            <w:vAlign w:val="center"/>
          </w:tcPr>
          <w:p w:rsidR="00A6008B" w:rsidRPr="00E92571" w:rsidRDefault="00A6008B" w:rsidP="00CC6A63">
            <w:pPr>
              <w:rPr>
                <w:rFonts w:cs="Arial"/>
                <w:sz w:val="20"/>
                <w:szCs w:val="20"/>
              </w:rPr>
            </w:pPr>
            <w:r w:rsidRPr="00E92571">
              <w:rPr>
                <w:rFonts w:cs="Arial"/>
                <w:sz w:val="20"/>
                <w:szCs w:val="20"/>
              </w:rPr>
              <w:t>Continued improvements in s</w:t>
            </w:r>
            <w:r w:rsidRPr="00E92571">
              <w:rPr>
                <w:sz w:val="20"/>
                <w:szCs w:val="20"/>
              </w:rPr>
              <w:t>tandards of judicial leadership, integrity, programme management andimplementation of local judicial development activities.</w:t>
            </w:r>
          </w:p>
        </w:tc>
        <w:tc>
          <w:tcPr>
            <w:tcW w:w="2385" w:type="dxa"/>
            <w:tcBorders>
              <w:top w:val="single" w:sz="4" w:space="0" w:color="auto"/>
              <w:left w:val="single" w:sz="4" w:space="0" w:color="auto"/>
              <w:right w:val="single" w:sz="4" w:space="0" w:color="auto"/>
            </w:tcBorders>
            <w:vAlign w:val="center"/>
          </w:tcPr>
          <w:p w:rsidR="00A6008B" w:rsidRPr="00E92571" w:rsidRDefault="00A6008B" w:rsidP="003468F7">
            <w:pPr>
              <w:spacing w:before="120"/>
              <w:rPr>
                <w:rFonts w:cs="Arial"/>
                <w:b/>
                <w:bCs/>
                <w:szCs w:val="23"/>
              </w:rPr>
            </w:pPr>
            <w:r w:rsidRPr="00E92571">
              <w:rPr>
                <w:rFonts w:cs="Arial"/>
                <w:sz w:val="20"/>
                <w:szCs w:val="20"/>
              </w:rPr>
              <w:t>Level of improvement in judicial conduct.</w:t>
            </w:r>
          </w:p>
        </w:tc>
        <w:tc>
          <w:tcPr>
            <w:tcW w:w="1555" w:type="dxa"/>
            <w:gridSpan w:val="2"/>
            <w:tcBorders>
              <w:top w:val="single" w:sz="4" w:space="0" w:color="auto"/>
              <w:left w:val="single" w:sz="4" w:space="0" w:color="auto"/>
              <w:bottom w:val="single" w:sz="4" w:space="0" w:color="auto"/>
              <w:right w:val="single" w:sz="4" w:space="0" w:color="auto"/>
            </w:tcBorders>
            <w:vAlign w:val="center"/>
          </w:tcPr>
          <w:p w:rsidR="00A6008B" w:rsidRPr="00E92571" w:rsidRDefault="00A6008B" w:rsidP="003468F7">
            <w:pPr>
              <w:spacing w:before="120"/>
              <w:rPr>
                <w:rFonts w:cs="Arial"/>
                <w:b/>
                <w:bCs/>
                <w:szCs w:val="23"/>
              </w:rPr>
            </w:pPr>
            <w:r w:rsidRPr="00E92571">
              <w:rPr>
                <w:rFonts w:cs="Arial"/>
                <w:sz w:val="20"/>
                <w:szCs w:val="20"/>
              </w:rPr>
              <w:t>Self-assessment by JO and CO user surveys.</w:t>
            </w:r>
          </w:p>
        </w:tc>
        <w:tc>
          <w:tcPr>
            <w:tcW w:w="898" w:type="dxa"/>
            <w:tcBorders>
              <w:top w:val="single" w:sz="4" w:space="0" w:color="auto"/>
              <w:left w:val="single" w:sz="4" w:space="0" w:color="auto"/>
              <w:bottom w:val="single" w:sz="4" w:space="0" w:color="auto"/>
              <w:right w:val="single" w:sz="4" w:space="0" w:color="auto"/>
            </w:tcBorders>
            <w:vAlign w:val="center"/>
          </w:tcPr>
          <w:p w:rsidR="00A6008B" w:rsidRPr="00E92571" w:rsidRDefault="00A6008B" w:rsidP="003468F7">
            <w:pPr>
              <w:spacing w:before="120"/>
              <w:rPr>
                <w:rFonts w:cs="Arial"/>
                <w:sz w:val="20"/>
                <w:szCs w:val="20"/>
              </w:rPr>
            </w:pPr>
            <w:r w:rsidRPr="00E92571">
              <w:rPr>
                <w:rFonts w:cs="Arial"/>
                <w:sz w:val="20"/>
                <w:szCs w:val="20"/>
              </w:rPr>
              <w:t>NC</w:t>
            </w:r>
          </w:p>
        </w:tc>
      </w:tr>
      <w:tr w:rsidR="00A6008B" w:rsidRPr="00E92571" w:rsidTr="00AD50E1">
        <w:trPr>
          <w:trHeight w:val="70"/>
          <w:jc w:val="center"/>
        </w:trPr>
        <w:tc>
          <w:tcPr>
            <w:tcW w:w="1604" w:type="dxa"/>
            <w:vMerge/>
            <w:tcBorders>
              <w:left w:val="single" w:sz="4" w:space="0" w:color="auto"/>
              <w:right w:val="single" w:sz="4" w:space="0" w:color="auto"/>
            </w:tcBorders>
            <w:vAlign w:val="center"/>
          </w:tcPr>
          <w:p w:rsidR="00A6008B" w:rsidRPr="00E92571" w:rsidRDefault="00A6008B" w:rsidP="003468F7">
            <w:pPr>
              <w:rPr>
                <w:rFonts w:cs="Arial"/>
                <w:sz w:val="20"/>
                <w:szCs w:val="20"/>
              </w:rPr>
            </w:pPr>
          </w:p>
        </w:tc>
        <w:tc>
          <w:tcPr>
            <w:tcW w:w="1701" w:type="dxa"/>
            <w:vMerge/>
            <w:tcBorders>
              <w:left w:val="single" w:sz="4" w:space="0" w:color="auto"/>
              <w:right w:val="single" w:sz="4" w:space="0" w:color="auto"/>
            </w:tcBorders>
            <w:vAlign w:val="center"/>
          </w:tcPr>
          <w:p w:rsidR="00A6008B" w:rsidRPr="00E92571" w:rsidRDefault="00A6008B" w:rsidP="003468F7">
            <w:pPr>
              <w:spacing w:before="120"/>
              <w:rPr>
                <w:rFonts w:cs="Arial"/>
                <w:sz w:val="20"/>
                <w:szCs w:val="20"/>
              </w:rPr>
            </w:pPr>
          </w:p>
        </w:tc>
        <w:tc>
          <w:tcPr>
            <w:tcW w:w="1984" w:type="dxa"/>
            <w:vMerge/>
            <w:tcBorders>
              <w:left w:val="single" w:sz="4" w:space="0" w:color="auto"/>
              <w:right w:val="single" w:sz="4" w:space="0" w:color="auto"/>
            </w:tcBorders>
            <w:vAlign w:val="center"/>
          </w:tcPr>
          <w:p w:rsidR="00A6008B" w:rsidRPr="00E92571" w:rsidRDefault="00A6008B" w:rsidP="003468F7">
            <w:pPr>
              <w:spacing w:before="120"/>
              <w:rPr>
                <w:rFonts w:cs="Arial"/>
                <w:sz w:val="20"/>
                <w:szCs w:val="20"/>
              </w:rPr>
            </w:pPr>
          </w:p>
        </w:tc>
        <w:tc>
          <w:tcPr>
            <w:tcW w:w="3402" w:type="dxa"/>
            <w:vMerge/>
            <w:tcBorders>
              <w:left w:val="single" w:sz="4" w:space="0" w:color="auto"/>
              <w:right w:val="single" w:sz="4" w:space="0" w:color="auto"/>
            </w:tcBorders>
            <w:vAlign w:val="center"/>
          </w:tcPr>
          <w:p w:rsidR="00A6008B" w:rsidRPr="00E92571" w:rsidRDefault="00A6008B" w:rsidP="003468F7">
            <w:pPr>
              <w:rPr>
                <w:rFonts w:cs="Arial"/>
                <w:sz w:val="20"/>
                <w:szCs w:val="20"/>
              </w:rPr>
            </w:pPr>
          </w:p>
        </w:tc>
        <w:tc>
          <w:tcPr>
            <w:tcW w:w="2131" w:type="dxa"/>
            <w:vMerge/>
            <w:tcBorders>
              <w:left w:val="single" w:sz="4" w:space="0" w:color="auto"/>
              <w:right w:val="single" w:sz="4" w:space="0" w:color="auto"/>
            </w:tcBorders>
            <w:vAlign w:val="center"/>
          </w:tcPr>
          <w:p w:rsidR="00A6008B" w:rsidRPr="00E92571" w:rsidRDefault="00A6008B" w:rsidP="003468F7">
            <w:pPr>
              <w:rPr>
                <w:rFonts w:cs="Arial"/>
                <w:sz w:val="20"/>
                <w:szCs w:val="20"/>
              </w:rPr>
            </w:pPr>
          </w:p>
        </w:tc>
        <w:tc>
          <w:tcPr>
            <w:tcW w:w="2385" w:type="dxa"/>
            <w:tcBorders>
              <w:top w:val="single" w:sz="4" w:space="0" w:color="auto"/>
              <w:left w:val="single" w:sz="4" w:space="0" w:color="auto"/>
              <w:right w:val="single" w:sz="4" w:space="0" w:color="auto"/>
            </w:tcBorders>
            <w:vAlign w:val="center"/>
          </w:tcPr>
          <w:p w:rsidR="00A6008B" w:rsidRPr="00E92571" w:rsidRDefault="00A6008B" w:rsidP="0046227B">
            <w:pPr>
              <w:spacing w:before="120"/>
              <w:rPr>
                <w:rFonts w:cs="Arial"/>
                <w:b/>
                <w:bCs/>
                <w:szCs w:val="23"/>
              </w:rPr>
            </w:pPr>
            <w:r w:rsidRPr="00E92571">
              <w:rPr>
                <w:rFonts w:cs="Arial"/>
                <w:sz w:val="20"/>
                <w:szCs w:val="20"/>
              </w:rPr>
              <w:t>fourPEC, three CJs and two NC  meetings held, perceptions of quality of engagement by key stakeholders.</w:t>
            </w:r>
          </w:p>
        </w:tc>
        <w:tc>
          <w:tcPr>
            <w:tcW w:w="1555" w:type="dxa"/>
            <w:gridSpan w:val="2"/>
            <w:tcBorders>
              <w:top w:val="single" w:sz="4" w:space="0" w:color="auto"/>
              <w:left w:val="single" w:sz="4" w:space="0" w:color="auto"/>
              <w:bottom w:val="single" w:sz="4" w:space="0" w:color="auto"/>
              <w:right w:val="single" w:sz="4" w:space="0" w:color="auto"/>
            </w:tcBorders>
            <w:vAlign w:val="center"/>
          </w:tcPr>
          <w:p w:rsidR="00A6008B" w:rsidRPr="00E92571" w:rsidRDefault="00A6008B" w:rsidP="003468F7">
            <w:pPr>
              <w:spacing w:before="120"/>
              <w:rPr>
                <w:rFonts w:cs="Arial"/>
                <w:b/>
                <w:bCs/>
                <w:szCs w:val="23"/>
              </w:rPr>
            </w:pPr>
            <w:r w:rsidRPr="00E92571">
              <w:rPr>
                <w:rFonts w:cs="Arial"/>
                <w:sz w:val="20"/>
                <w:szCs w:val="20"/>
              </w:rPr>
              <w:t>Meeting reports and feedback.</w:t>
            </w:r>
          </w:p>
        </w:tc>
        <w:tc>
          <w:tcPr>
            <w:tcW w:w="898" w:type="dxa"/>
            <w:tcBorders>
              <w:top w:val="single" w:sz="4" w:space="0" w:color="auto"/>
              <w:left w:val="single" w:sz="4" w:space="0" w:color="auto"/>
              <w:bottom w:val="single" w:sz="4" w:space="0" w:color="auto"/>
              <w:right w:val="single" w:sz="4" w:space="0" w:color="auto"/>
            </w:tcBorders>
            <w:vAlign w:val="center"/>
          </w:tcPr>
          <w:p w:rsidR="00A6008B" w:rsidRPr="00E92571" w:rsidRDefault="00A6008B" w:rsidP="003468F7">
            <w:pPr>
              <w:spacing w:before="120"/>
              <w:rPr>
                <w:rFonts w:cs="Arial"/>
                <w:sz w:val="20"/>
                <w:szCs w:val="20"/>
              </w:rPr>
            </w:pPr>
            <w:r w:rsidRPr="00E92571">
              <w:rPr>
                <w:rFonts w:cs="Arial"/>
                <w:sz w:val="20"/>
                <w:szCs w:val="20"/>
              </w:rPr>
              <w:t>MSC</w:t>
            </w:r>
          </w:p>
        </w:tc>
      </w:tr>
      <w:tr w:rsidR="00A6008B" w:rsidRPr="00E92571" w:rsidTr="0015609F">
        <w:trPr>
          <w:trHeight w:val="860"/>
          <w:jc w:val="center"/>
        </w:trPr>
        <w:tc>
          <w:tcPr>
            <w:tcW w:w="1604" w:type="dxa"/>
            <w:vMerge/>
            <w:tcBorders>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p>
        </w:tc>
        <w:tc>
          <w:tcPr>
            <w:tcW w:w="1701" w:type="dxa"/>
            <w:vMerge/>
            <w:tcBorders>
              <w:left w:val="single" w:sz="4" w:space="0" w:color="auto"/>
              <w:bottom w:val="single" w:sz="4" w:space="0" w:color="auto"/>
              <w:right w:val="single" w:sz="4" w:space="0" w:color="auto"/>
            </w:tcBorders>
            <w:vAlign w:val="center"/>
          </w:tcPr>
          <w:p w:rsidR="00A6008B" w:rsidRPr="00E92571" w:rsidRDefault="00A6008B" w:rsidP="003468F7">
            <w:pPr>
              <w:spacing w:before="120"/>
              <w:rPr>
                <w:rFonts w:cs="Arial"/>
                <w:sz w:val="20"/>
                <w:szCs w:val="20"/>
              </w:rPr>
            </w:pPr>
          </w:p>
        </w:tc>
        <w:tc>
          <w:tcPr>
            <w:tcW w:w="1984" w:type="dxa"/>
            <w:vMerge/>
            <w:tcBorders>
              <w:left w:val="single" w:sz="4" w:space="0" w:color="auto"/>
              <w:bottom w:val="single" w:sz="4" w:space="0" w:color="auto"/>
              <w:right w:val="single" w:sz="4" w:space="0" w:color="auto"/>
            </w:tcBorders>
            <w:vAlign w:val="center"/>
          </w:tcPr>
          <w:p w:rsidR="00A6008B" w:rsidRPr="00E92571" w:rsidRDefault="00A6008B" w:rsidP="003468F7">
            <w:pPr>
              <w:spacing w:before="120"/>
              <w:rPr>
                <w:rFonts w:cs="Arial"/>
                <w:sz w:val="20"/>
                <w:szCs w:val="20"/>
              </w:rPr>
            </w:pPr>
          </w:p>
        </w:tc>
        <w:tc>
          <w:tcPr>
            <w:tcW w:w="3402" w:type="dxa"/>
            <w:vMerge/>
            <w:tcBorders>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p>
        </w:tc>
        <w:tc>
          <w:tcPr>
            <w:tcW w:w="2131" w:type="dxa"/>
            <w:vMerge/>
            <w:tcBorders>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p>
        </w:tc>
        <w:tc>
          <w:tcPr>
            <w:tcW w:w="2385" w:type="dxa"/>
            <w:tcBorders>
              <w:top w:val="single" w:sz="4" w:space="0" w:color="auto"/>
              <w:left w:val="single" w:sz="4" w:space="0" w:color="auto"/>
              <w:bottom w:val="single" w:sz="4" w:space="0" w:color="auto"/>
              <w:right w:val="single" w:sz="4" w:space="0" w:color="auto"/>
            </w:tcBorders>
            <w:vAlign w:val="center"/>
          </w:tcPr>
          <w:p w:rsidR="00A6008B" w:rsidRPr="00E92571" w:rsidRDefault="00A6008B" w:rsidP="003468F7">
            <w:pPr>
              <w:spacing w:before="120"/>
              <w:rPr>
                <w:rFonts w:cs="Arial"/>
                <w:b/>
                <w:bCs/>
                <w:szCs w:val="23"/>
              </w:rPr>
            </w:pPr>
            <w:r w:rsidRPr="00E92571">
              <w:rPr>
                <w:rFonts w:cs="Arial"/>
                <w:sz w:val="20"/>
                <w:szCs w:val="20"/>
              </w:rPr>
              <w:t>All approved Responsive Fund activities achieve their objectives; are implemented on time and within budget with minimal assistance from the PJDP Team.</w:t>
            </w:r>
          </w:p>
        </w:tc>
        <w:tc>
          <w:tcPr>
            <w:tcW w:w="1555" w:type="dxa"/>
            <w:gridSpan w:val="2"/>
            <w:tcBorders>
              <w:top w:val="single" w:sz="4" w:space="0" w:color="auto"/>
              <w:left w:val="single" w:sz="4" w:space="0" w:color="auto"/>
              <w:bottom w:val="single" w:sz="4" w:space="0" w:color="auto"/>
              <w:right w:val="single" w:sz="4" w:space="0" w:color="auto"/>
            </w:tcBorders>
            <w:vAlign w:val="center"/>
          </w:tcPr>
          <w:p w:rsidR="00A6008B" w:rsidRPr="00E92571" w:rsidRDefault="00A6008B" w:rsidP="003468F7">
            <w:pPr>
              <w:spacing w:before="120"/>
              <w:rPr>
                <w:rFonts w:cs="Arial"/>
                <w:b/>
                <w:bCs/>
                <w:szCs w:val="23"/>
              </w:rPr>
            </w:pPr>
            <w:r w:rsidRPr="00E92571">
              <w:rPr>
                <w:rFonts w:cs="Arial"/>
                <w:sz w:val="20"/>
                <w:szCs w:val="20"/>
              </w:rPr>
              <w:t>NC reports and MSC confirmation.</w:t>
            </w:r>
          </w:p>
        </w:tc>
        <w:tc>
          <w:tcPr>
            <w:tcW w:w="898" w:type="dxa"/>
            <w:tcBorders>
              <w:top w:val="single" w:sz="4" w:space="0" w:color="auto"/>
              <w:left w:val="single" w:sz="4" w:space="0" w:color="auto"/>
              <w:bottom w:val="single" w:sz="4" w:space="0" w:color="auto"/>
              <w:right w:val="single" w:sz="4" w:space="0" w:color="auto"/>
            </w:tcBorders>
            <w:vAlign w:val="center"/>
          </w:tcPr>
          <w:p w:rsidR="00A6008B" w:rsidRPr="00E92571" w:rsidRDefault="00A6008B" w:rsidP="003468F7">
            <w:pPr>
              <w:spacing w:before="120"/>
              <w:rPr>
                <w:rFonts w:cs="Arial"/>
                <w:sz w:val="20"/>
                <w:szCs w:val="20"/>
              </w:rPr>
            </w:pPr>
            <w:r w:rsidRPr="00E92571">
              <w:rPr>
                <w:rFonts w:cs="Arial"/>
                <w:sz w:val="20"/>
                <w:szCs w:val="20"/>
              </w:rPr>
              <w:t>NC/MSC</w:t>
            </w:r>
          </w:p>
        </w:tc>
      </w:tr>
      <w:tr w:rsidR="00A6008B" w:rsidRPr="00E92571" w:rsidTr="0015609F">
        <w:trPr>
          <w:trHeight w:val="255"/>
          <w:jc w:val="center"/>
        </w:trPr>
        <w:tc>
          <w:tcPr>
            <w:tcW w:w="15660" w:type="dxa"/>
            <w:gridSpan w:val="9"/>
            <w:tcBorders>
              <w:top w:val="single" w:sz="4" w:space="0" w:color="auto"/>
              <w:left w:val="single" w:sz="4" w:space="0" w:color="auto"/>
              <w:right w:val="single" w:sz="4" w:space="0" w:color="auto"/>
            </w:tcBorders>
            <w:vAlign w:val="center"/>
          </w:tcPr>
          <w:p w:rsidR="00A6008B" w:rsidRPr="009A221A" w:rsidRDefault="00A6008B" w:rsidP="00DB25C8">
            <w:pPr>
              <w:spacing w:before="120"/>
              <w:rPr>
                <w:rFonts w:cs="Arial"/>
                <w:b/>
                <w:bCs/>
                <w:sz w:val="22"/>
                <w:szCs w:val="22"/>
              </w:rPr>
            </w:pPr>
            <w:r w:rsidRPr="00E92571">
              <w:rPr>
                <w:rFonts w:cs="Arial"/>
                <w:b/>
                <w:bCs/>
                <w:sz w:val="22"/>
                <w:szCs w:val="22"/>
              </w:rPr>
              <w:t>2.1 Codes of Judicial Conduct Project</w:t>
            </w:r>
          </w:p>
        </w:tc>
      </w:tr>
      <w:tr w:rsidR="00A6008B" w:rsidRPr="00E92571" w:rsidTr="0015609F">
        <w:trPr>
          <w:trHeight w:val="1247"/>
          <w:jc w:val="center"/>
        </w:trPr>
        <w:tc>
          <w:tcPr>
            <w:tcW w:w="1604" w:type="dxa"/>
            <w:vMerge w:val="restart"/>
            <w:tcBorders>
              <w:left w:val="single" w:sz="4" w:space="0" w:color="auto"/>
              <w:bottom w:val="single" w:sz="4" w:space="0" w:color="auto"/>
              <w:right w:val="single" w:sz="4" w:space="0" w:color="auto"/>
            </w:tcBorders>
            <w:vAlign w:val="center"/>
          </w:tcPr>
          <w:p w:rsidR="00A6008B" w:rsidRPr="00E92571" w:rsidRDefault="00A6008B" w:rsidP="009D6283">
            <w:pPr>
              <w:rPr>
                <w:sz w:val="20"/>
                <w:szCs w:val="20"/>
              </w:rPr>
            </w:pPr>
            <w:r w:rsidRPr="00E92571">
              <w:rPr>
                <w:sz w:val="20"/>
                <w:szCs w:val="23"/>
              </w:rPr>
              <w:t>Interested PICs develop local statements regarding judicial integrity, appropriate judicial conduct, and strategies to address the growing demand for transparency and accountability; and establish procedures to receive, record, inquire into, and resolve complaints relating to judicial conduct.</w:t>
            </w:r>
          </w:p>
        </w:tc>
        <w:tc>
          <w:tcPr>
            <w:tcW w:w="1701" w:type="dxa"/>
            <w:vMerge w:val="restart"/>
            <w:tcBorders>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Improvements in judicial conduct emerging  in 4 PICs attributable to the existence and use of a CoJC</w:t>
            </w:r>
          </w:p>
        </w:tc>
        <w:tc>
          <w:tcPr>
            <w:tcW w:w="1984" w:type="dxa"/>
            <w:vMerge w:val="restart"/>
            <w:tcBorders>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No CoJCs exist in the region that are based on and adapted from internationally recognised principles such as the Bangalore principles of judicial conduct.</w:t>
            </w:r>
          </w:p>
        </w:tc>
        <w:tc>
          <w:tcPr>
            <w:tcW w:w="3402" w:type="dxa"/>
            <w:vMerge w:val="restart"/>
            <w:tcBorders>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 xml:space="preserve">Three CoJC exist in the region based on internationally recognised principles. Improvements in judicial conduct in those PICs is being assessed, the results of which will be presented to the PEC by June 2013.  </w:t>
            </w:r>
          </w:p>
          <w:p w:rsidR="00A6008B" w:rsidRPr="00E92571" w:rsidRDefault="00A6008B" w:rsidP="003468F7">
            <w:pPr>
              <w:rPr>
                <w:rFonts w:cs="Arial"/>
                <w:sz w:val="20"/>
                <w:szCs w:val="20"/>
              </w:rPr>
            </w:pPr>
          </w:p>
          <w:p w:rsidR="00A6008B" w:rsidRPr="00E92571" w:rsidRDefault="00A6008B" w:rsidP="003468F7">
            <w:pPr>
              <w:rPr>
                <w:rFonts w:cs="Arial"/>
                <w:sz w:val="20"/>
                <w:szCs w:val="20"/>
              </w:rPr>
            </w:pPr>
            <w:r w:rsidRPr="00E92571">
              <w:rPr>
                <w:rFonts w:cs="Arial"/>
                <w:sz w:val="20"/>
                <w:szCs w:val="20"/>
              </w:rPr>
              <w:t>During the 18 month implementation phase, the CoJC TA recommended that it would be disadvantageous to develop a regional strategy for the development of harmonised CoJC, but instead provide a pathway, means and capacity for each PIC to develop its own CoJC based on local realities/ needs. This pathway has been developed and is being piloted in 1 PIC.  The outcome will be a new CoJC in that PIC and a finalised toolkit which will be disseminated to all PICs.</w:t>
            </w:r>
          </w:p>
        </w:tc>
        <w:tc>
          <w:tcPr>
            <w:tcW w:w="2131" w:type="dxa"/>
            <w:vMerge w:val="restart"/>
            <w:tcBorders>
              <w:left w:val="nil"/>
              <w:bottom w:val="nil"/>
              <w:right w:val="single" w:sz="4" w:space="0" w:color="auto"/>
            </w:tcBorders>
            <w:vAlign w:val="center"/>
          </w:tcPr>
          <w:p w:rsidR="00A6008B" w:rsidRPr="00E92571" w:rsidRDefault="00A6008B" w:rsidP="009C6517">
            <w:pPr>
              <w:rPr>
                <w:rFonts w:cs="Arial"/>
                <w:sz w:val="20"/>
                <w:szCs w:val="20"/>
              </w:rPr>
            </w:pPr>
            <w:r w:rsidRPr="00E92571">
              <w:rPr>
                <w:rFonts w:cs="Arial"/>
                <w:bCs/>
                <w:sz w:val="20"/>
                <w:szCs w:val="23"/>
              </w:rPr>
              <w:t>Up to four PICs have a</w:t>
            </w:r>
            <w:r w:rsidRPr="00E92571">
              <w:rPr>
                <w:sz w:val="20"/>
                <w:szCs w:val="20"/>
              </w:rPr>
              <w:t xml:space="preserve">heightened awareness of </w:t>
            </w:r>
            <w:r w:rsidRPr="00E92571">
              <w:rPr>
                <w:sz w:val="20"/>
                <w:szCs w:val="23"/>
              </w:rPr>
              <w:t xml:space="preserve">judicial integrity, with the judiciary overall demonstrating </w:t>
            </w:r>
            <w:r w:rsidRPr="00E92571">
              <w:rPr>
                <w:sz w:val="20"/>
                <w:szCs w:val="20"/>
              </w:rPr>
              <w:t xml:space="preserve">adherence to </w:t>
            </w:r>
            <w:r w:rsidRPr="00E92571">
              <w:rPr>
                <w:sz w:val="20"/>
                <w:szCs w:val="23"/>
              </w:rPr>
              <w:t>appropriate</w:t>
            </w:r>
            <w:r w:rsidRPr="00E92571">
              <w:rPr>
                <w:sz w:val="20"/>
                <w:szCs w:val="20"/>
              </w:rPr>
              <w:t xml:space="preserve">standards of judicial </w:t>
            </w:r>
            <w:r w:rsidRPr="00E92571">
              <w:rPr>
                <w:sz w:val="20"/>
                <w:szCs w:val="23"/>
              </w:rPr>
              <w:t>conduct; complaints regarding judicial conduct are logged and dealt with in reasonable time. In-country records identify the number of complaints received, the broad nature of the complaint, time taken between receipt and final resolution, outcome and action taken.</w:t>
            </w:r>
          </w:p>
        </w:tc>
        <w:tc>
          <w:tcPr>
            <w:tcW w:w="2385" w:type="dxa"/>
            <w:tcBorders>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Quality of CoJC and of local participation in their development.</w:t>
            </w:r>
          </w:p>
        </w:tc>
        <w:tc>
          <w:tcPr>
            <w:tcW w:w="1541" w:type="dxa"/>
            <w:tcBorders>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CoJC TA report &amp; PEC/CJ assessment minuted.</w:t>
            </w:r>
          </w:p>
        </w:tc>
        <w:tc>
          <w:tcPr>
            <w:tcW w:w="912" w:type="dxa"/>
            <w:gridSpan w:val="2"/>
            <w:tcBorders>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CoJC TA / MSC</w:t>
            </w:r>
          </w:p>
        </w:tc>
      </w:tr>
      <w:tr w:rsidR="00A6008B" w:rsidRPr="00E92571" w:rsidTr="0015609F">
        <w:trPr>
          <w:trHeight w:val="765"/>
          <w:jc w:val="center"/>
        </w:trPr>
        <w:tc>
          <w:tcPr>
            <w:tcW w:w="1604" w:type="dxa"/>
            <w:vMerge/>
            <w:tcBorders>
              <w:top w:val="single" w:sz="4" w:space="0" w:color="auto"/>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p>
        </w:tc>
        <w:tc>
          <w:tcPr>
            <w:tcW w:w="2131" w:type="dxa"/>
            <w:vMerge/>
            <w:tcBorders>
              <w:left w:val="nil"/>
              <w:bottom w:val="single" w:sz="4" w:space="0" w:color="auto"/>
              <w:right w:val="single" w:sz="4" w:space="0" w:color="auto"/>
            </w:tcBorders>
            <w:vAlign w:val="center"/>
          </w:tcPr>
          <w:p w:rsidR="00A6008B" w:rsidRPr="00E92571" w:rsidRDefault="00A6008B" w:rsidP="003468F7">
            <w:pPr>
              <w:rPr>
                <w:rFonts w:cs="Arial"/>
                <w:sz w:val="20"/>
                <w:szCs w:val="20"/>
              </w:rPr>
            </w:pPr>
          </w:p>
        </w:tc>
        <w:tc>
          <w:tcPr>
            <w:tcW w:w="2385" w:type="dxa"/>
            <w:tcBorders>
              <w:top w:val="single" w:sz="4" w:space="0" w:color="auto"/>
              <w:left w:val="nil"/>
              <w:bottom w:val="single" w:sz="4" w:space="0" w:color="auto"/>
              <w:right w:val="single" w:sz="4" w:space="0" w:color="auto"/>
            </w:tcBorders>
            <w:vAlign w:val="center"/>
          </w:tcPr>
          <w:p w:rsidR="00A6008B" w:rsidRPr="00E92571" w:rsidRDefault="00A6008B" w:rsidP="00A73EE4">
            <w:pPr>
              <w:rPr>
                <w:sz w:val="20"/>
                <w:szCs w:val="23"/>
              </w:rPr>
            </w:pPr>
            <w:r w:rsidRPr="00E92571">
              <w:rPr>
                <w:sz w:val="20"/>
                <w:szCs w:val="23"/>
              </w:rPr>
              <w:t xml:space="preserve">Heightened awareness of judicial integrity, and </w:t>
            </w:r>
          </w:p>
          <w:p w:rsidR="00A6008B" w:rsidRPr="00E92571" w:rsidRDefault="00A6008B" w:rsidP="00A73EE4">
            <w:pPr>
              <w:rPr>
                <w:rFonts w:cs="Arial"/>
                <w:sz w:val="20"/>
                <w:szCs w:val="20"/>
              </w:rPr>
            </w:pPr>
            <w:r w:rsidRPr="00E92571">
              <w:rPr>
                <w:sz w:val="20"/>
                <w:szCs w:val="23"/>
              </w:rPr>
              <w:t>complaints regarding judicial conduct are logged and dealt with in reasonable time.</w:t>
            </w:r>
          </w:p>
        </w:tc>
        <w:tc>
          <w:tcPr>
            <w:tcW w:w="1541" w:type="dxa"/>
            <w:tcBorders>
              <w:top w:val="single" w:sz="4" w:space="0" w:color="auto"/>
              <w:left w:val="nil"/>
              <w:bottom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Self-assessment by JO and CO user surveys.</w:t>
            </w:r>
          </w:p>
        </w:tc>
        <w:tc>
          <w:tcPr>
            <w:tcW w:w="912" w:type="dxa"/>
            <w:gridSpan w:val="2"/>
            <w:tcBorders>
              <w:top w:val="single" w:sz="4" w:space="0" w:color="auto"/>
              <w:left w:val="nil"/>
              <w:bottom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NC</w:t>
            </w:r>
          </w:p>
        </w:tc>
      </w:tr>
      <w:tr w:rsidR="00A6008B" w:rsidRPr="00E92571" w:rsidTr="0015609F">
        <w:trPr>
          <w:trHeight w:val="255"/>
          <w:jc w:val="center"/>
        </w:trPr>
        <w:tc>
          <w:tcPr>
            <w:tcW w:w="15660" w:type="dxa"/>
            <w:gridSpan w:val="9"/>
            <w:tcBorders>
              <w:top w:val="single" w:sz="4" w:space="0" w:color="auto"/>
              <w:left w:val="single" w:sz="4" w:space="0" w:color="auto"/>
              <w:right w:val="single" w:sz="4" w:space="0" w:color="auto"/>
            </w:tcBorders>
            <w:vAlign w:val="center"/>
          </w:tcPr>
          <w:p w:rsidR="00A6008B" w:rsidRPr="009A221A" w:rsidRDefault="00A6008B" w:rsidP="0046227B">
            <w:pPr>
              <w:spacing w:before="120"/>
              <w:rPr>
                <w:rFonts w:cs="Arial"/>
                <w:b/>
                <w:bCs/>
                <w:sz w:val="22"/>
                <w:szCs w:val="22"/>
              </w:rPr>
            </w:pPr>
            <w:r w:rsidRPr="00E92571">
              <w:rPr>
                <w:rFonts w:cs="Arial"/>
                <w:b/>
                <w:bCs/>
                <w:sz w:val="22"/>
                <w:szCs w:val="22"/>
              </w:rPr>
              <w:t>2.2 Regional Governance and Leadership Meetings</w:t>
            </w:r>
          </w:p>
        </w:tc>
      </w:tr>
      <w:tr w:rsidR="00A6008B" w:rsidRPr="00E92571" w:rsidTr="0015609F">
        <w:trPr>
          <w:trHeight w:val="255"/>
          <w:jc w:val="center"/>
        </w:trPr>
        <w:tc>
          <w:tcPr>
            <w:tcW w:w="1604" w:type="dxa"/>
            <w:vMerge w:val="restart"/>
            <w:tcBorders>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r w:rsidRPr="00E92571">
              <w:rPr>
                <w:sz w:val="20"/>
                <w:szCs w:val="20"/>
              </w:rPr>
              <w:t xml:space="preserve">Stakeholders increasingly actively participate in and direct judicial development across the region </w:t>
            </w:r>
            <w:r w:rsidRPr="00E92571">
              <w:rPr>
                <w:rFonts w:cs="Arial"/>
                <w:bCs/>
                <w:sz w:val="20"/>
                <w:szCs w:val="20"/>
              </w:rPr>
              <w:t>through ongoing support to networks of chief justices and their delegates for dialogue and sharing experience about thematically-focused aspects of judicial development, including programme management</w:t>
            </w:r>
            <w:r w:rsidRPr="00E92571">
              <w:rPr>
                <w:sz w:val="20"/>
                <w:szCs w:val="20"/>
              </w:rPr>
              <w:t>.</w:t>
            </w:r>
          </w:p>
        </w:tc>
        <w:tc>
          <w:tcPr>
            <w:tcW w:w="1701" w:type="dxa"/>
            <w:vMerge w:val="restart"/>
            <w:tcBorders>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80% of key stakeholders engage with PJDP, consider it relevant  to the development needs of their court and that it facilitates sharing solutions to common challenges</w:t>
            </w:r>
          </w:p>
        </w:tc>
        <w:tc>
          <w:tcPr>
            <w:tcW w:w="1984" w:type="dxa"/>
            <w:vMerge w:val="restart"/>
            <w:tcBorders>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Low levels of judicial leadership of development on national and regional levels.</w:t>
            </w:r>
          </w:p>
        </w:tc>
        <w:tc>
          <w:tcPr>
            <w:tcW w:w="3402" w:type="dxa"/>
            <w:vMerge w:val="restart"/>
            <w:tcBorders>
              <w:left w:val="single" w:sz="4" w:space="0" w:color="auto"/>
              <w:bottom w:val="single" w:sz="4" w:space="0" w:color="auto"/>
              <w:right w:val="single" w:sz="4" w:space="0" w:color="auto"/>
            </w:tcBorders>
            <w:vAlign w:val="center"/>
          </w:tcPr>
          <w:p w:rsidR="00A6008B" w:rsidRPr="00E92571" w:rsidRDefault="00A6008B" w:rsidP="0047622F">
            <w:pPr>
              <w:rPr>
                <w:rFonts w:cs="Arial"/>
                <w:sz w:val="20"/>
                <w:szCs w:val="20"/>
              </w:rPr>
            </w:pPr>
            <w:r w:rsidRPr="00E92571">
              <w:rPr>
                <w:rFonts w:cs="Arial"/>
                <w:sz w:val="20"/>
                <w:szCs w:val="20"/>
              </w:rPr>
              <w:t>Increasing levels of judicial leadership of development at national/regional levels as indicated by the nature of feedback provided and levels of engagement at five regional leadership meetings and 33 approved Responsive Fund activities.</w:t>
            </w:r>
          </w:p>
        </w:tc>
        <w:tc>
          <w:tcPr>
            <w:tcW w:w="2131" w:type="dxa"/>
            <w:vMerge w:val="restart"/>
            <w:tcBorders>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Adequate opportunities are provided for key stakeholders to lead, engage with, and contribute input and strategic direction to PJDP Projects.</w:t>
            </w:r>
          </w:p>
        </w:tc>
        <w:tc>
          <w:tcPr>
            <w:tcW w:w="2385" w:type="dxa"/>
            <w:tcBorders>
              <w:left w:val="nil"/>
              <w:bottom w:val="single" w:sz="4" w:space="0" w:color="auto"/>
              <w:right w:val="single" w:sz="4" w:space="0" w:color="auto"/>
            </w:tcBorders>
            <w:vAlign w:val="center"/>
          </w:tcPr>
          <w:p w:rsidR="00A6008B" w:rsidRPr="00E92571" w:rsidRDefault="00A6008B" w:rsidP="0046227B">
            <w:pPr>
              <w:rPr>
                <w:rFonts w:cs="Arial"/>
                <w:sz w:val="20"/>
                <w:szCs w:val="20"/>
              </w:rPr>
            </w:pPr>
            <w:r w:rsidRPr="00E92571">
              <w:rPr>
                <w:rFonts w:cs="Arial"/>
                <w:sz w:val="20"/>
                <w:szCs w:val="20"/>
              </w:rPr>
              <w:t>Number of meetings conducted (scheduled: four PEC, three CJ, twoNC).</w:t>
            </w:r>
          </w:p>
        </w:tc>
        <w:tc>
          <w:tcPr>
            <w:tcW w:w="1541" w:type="dxa"/>
            <w:vMerge w:val="restart"/>
            <w:tcBorders>
              <w:left w:val="single" w:sz="4" w:space="0" w:color="auto"/>
              <w:bottom w:val="single" w:sz="4" w:space="0" w:color="auto"/>
              <w:right w:val="single" w:sz="4" w:space="0" w:color="auto"/>
            </w:tcBorders>
            <w:vAlign w:val="center"/>
          </w:tcPr>
          <w:p w:rsidR="00A6008B" w:rsidRPr="00E92571" w:rsidRDefault="00A6008B" w:rsidP="0046227B">
            <w:pPr>
              <w:rPr>
                <w:rFonts w:cs="Arial"/>
                <w:sz w:val="20"/>
                <w:szCs w:val="20"/>
              </w:rPr>
            </w:pPr>
            <w:r w:rsidRPr="00E92571">
              <w:rPr>
                <w:rFonts w:cs="Arial"/>
                <w:sz w:val="20"/>
                <w:szCs w:val="20"/>
              </w:rPr>
              <w:t>Reports including participants' evaluations x nine.</w:t>
            </w:r>
          </w:p>
        </w:tc>
        <w:tc>
          <w:tcPr>
            <w:tcW w:w="912" w:type="dxa"/>
            <w:gridSpan w:val="2"/>
            <w:vMerge w:val="restart"/>
            <w:tcBorders>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MSC</w:t>
            </w:r>
          </w:p>
        </w:tc>
      </w:tr>
      <w:tr w:rsidR="00A6008B" w:rsidRPr="00E92571" w:rsidTr="0015609F">
        <w:trPr>
          <w:trHeight w:val="1020"/>
          <w:jc w:val="center"/>
        </w:trPr>
        <w:tc>
          <w:tcPr>
            <w:tcW w:w="1604" w:type="dxa"/>
            <w:vMerge/>
            <w:tcBorders>
              <w:top w:val="single" w:sz="4" w:space="0" w:color="auto"/>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p>
        </w:tc>
        <w:tc>
          <w:tcPr>
            <w:tcW w:w="2385" w:type="dxa"/>
            <w:tcBorders>
              <w:top w:val="single" w:sz="4" w:space="0" w:color="auto"/>
              <w:left w:val="nil"/>
              <w:bottom w:val="single" w:sz="4" w:space="0" w:color="auto"/>
              <w:right w:val="single" w:sz="4" w:space="0" w:color="auto"/>
            </w:tcBorders>
            <w:vAlign w:val="center"/>
          </w:tcPr>
          <w:p w:rsidR="00A6008B" w:rsidRPr="00E92571" w:rsidRDefault="00A6008B" w:rsidP="008E035F">
            <w:pPr>
              <w:rPr>
                <w:rFonts w:cs="Arial"/>
                <w:sz w:val="20"/>
                <w:szCs w:val="20"/>
              </w:rPr>
            </w:pPr>
            <w:r w:rsidRPr="00E92571">
              <w:rPr>
                <w:rFonts w:cs="Arial"/>
                <w:sz w:val="20"/>
                <w:szCs w:val="20"/>
              </w:rPr>
              <w:t>Participants' perceptions of the quality of the workshop and engagement with PJDP and regional counterparts.</w:t>
            </w:r>
          </w:p>
        </w:tc>
        <w:tc>
          <w:tcPr>
            <w:tcW w:w="1541" w:type="dxa"/>
            <w:vMerge/>
            <w:tcBorders>
              <w:top w:val="single" w:sz="4" w:space="0" w:color="auto"/>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p>
        </w:tc>
        <w:tc>
          <w:tcPr>
            <w:tcW w:w="912" w:type="dxa"/>
            <w:gridSpan w:val="2"/>
            <w:vMerge/>
            <w:tcBorders>
              <w:top w:val="single" w:sz="4" w:space="0" w:color="auto"/>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p>
        </w:tc>
      </w:tr>
      <w:tr w:rsidR="00A6008B" w:rsidRPr="00E92571" w:rsidTr="0015609F">
        <w:trPr>
          <w:trHeight w:val="255"/>
          <w:jc w:val="center"/>
        </w:trPr>
        <w:tc>
          <w:tcPr>
            <w:tcW w:w="15660" w:type="dxa"/>
            <w:gridSpan w:val="9"/>
            <w:tcBorders>
              <w:top w:val="single" w:sz="4" w:space="0" w:color="auto"/>
              <w:left w:val="single" w:sz="4" w:space="0" w:color="auto"/>
              <w:right w:val="single" w:sz="4" w:space="0" w:color="auto"/>
            </w:tcBorders>
            <w:vAlign w:val="center"/>
          </w:tcPr>
          <w:p w:rsidR="00A6008B" w:rsidRPr="009A221A" w:rsidRDefault="00A6008B" w:rsidP="003468F7">
            <w:pPr>
              <w:spacing w:before="120"/>
              <w:rPr>
                <w:rFonts w:cs="Arial"/>
                <w:b/>
                <w:bCs/>
                <w:sz w:val="22"/>
                <w:szCs w:val="22"/>
              </w:rPr>
            </w:pPr>
            <w:r w:rsidRPr="00E92571">
              <w:rPr>
                <w:rFonts w:cs="Arial"/>
                <w:b/>
                <w:bCs/>
                <w:sz w:val="22"/>
                <w:szCs w:val="22"/>
              </w:rPr>
              <w:t>2.3 Responsive Fund</w:t>
            </w:r>
          </w:p>
        </w:tc>
      </w:tr>
      <w:tr w:rsidR="00A6008B" w:rsidRPr="00E92571" w:rsidTr="0015609F">
        <w:trPr>
          <w:trHeight w:val="85"/>
          <w:jc w:val="center"/>
        </w:trPr>
        <w:tc>
          <w:tcPr>
            <w:tcW w:w="1604" w:type="dxa"/>
            <w:tcBorders>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r w:rsidRPr="00E92571">
              <w:rPr>
                <w:sz w:val="20"/>
                <w:szCs w:val="20"/>
              </w:rPr>
              <w:t>PICs increasingly manage their own locally-delivered development activities.</w:t>
            </w:r>
          </w:p>
        </w:tc>
        <w:tc>
          <w:tcPr>
            <w:tcW w:w="1701" w:type="dxa"/>
            <w:tcBorders>
              <w:left w:val="nil"/>
              <w:bottom w:val="single" w:sz="4" w:space="0" w:color="auto"/>
              <w:right w:val="single" w:sz="4" w:space="0" w:color="auto"/>
            </w:tcBorders>
            <w:vAlign w:val="center"/>
          </w:tcPr>
          <w:p w:rsidR="00A6008B" w:rsidRPr="00E92571" w:rsidRDefault="00A6008B" w:rsidP="0004156C">
            <w:pPr>
              <w:rPr>
                <w:rFonts w:cs="Arial"/>
                <w:sz w:val="20"/>
                <w:szCs w:val="20"/>
              </w:rPr>
            </w:pPr>
            <w:r w:rsidRPr="00E92571">
              <w:rPr>
                <w:rFonts w:cs="Arial"/>
                <w:sz w:val="20"/>
                <w:szCs w:val="20"/>
              </w:rPr>
              <w:t>90% of Responsive Fund allocated in LoV9 expended, 70% of activities achieve their aims and with less support from the PJDP Team.</w:t>
            </w:r>
          </w:p>
        </w:tc>
        <w:tc>
          <w:tcPr>
            <w:tcW w:w="1984" w:type="dxa"/>
            <w:tcBorders>
              <w:left w:val="nil"/>
              <w:bottom w:val="single" w:sz="4" w:space="0" w:color="auto"/>
              <w:right w:val="single" w:sz="4" w:space="0" w:color="auto"/>
            </w:tcBorders>
            <w:vAlign w:val="center"/>
          </w:tcPr>
          <w:p w:rsidR="00A6008B" w:rsidRPr="00E92571" w:rsidRDefault="00A6008B" w:rsidP="002F745A">
            <w:pPr>
              <w:rPr>
                <w:rFonts w:cs="Arial"/>
                <w:sz w:val="20"/>
                <w:szCs w:val="20"/>
              </w:rPr>
            </w:pPr>
            <w:r w:rsidRPr="00E92571">
              <w:rPr>
                <w:rFonts w:cs="Arial"/>
                <w:sz w:val="20"/>
                <w:szCs w:val="20"/>
              </w:rPr>
              <w:t xml:space="preserve">No RF activities implemented. </w:t>
            </w:r>
          </w:p>
        </w:tc>
        <w:tc>
          <w:tcPr>
            <w:tcW w:w="3402" w:type="dxa"/>
            <w:tcBorders>
              <w:left w:val="nil"/>
              <w:bottom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19 RF activities were successfully completed by June 2012 in 12 PICs and 13 more applications have been approved since July 2012.  All activities will be completed by June 2013.</w:t>
            </w:r>
          </w:p>
        </w:tc>
        <w:tc>
          <w:tcPr>
            <w:tcW w:w="2131" w:type="dxa"/>
            <w:tcBorders>
              <w:left w:val="nil"/>
              <w:bottom w:val="single" w:sz="4" w:space="0" w:color="auto"/>
              <w:right w:val="single" w:sz="4" w:space="0" w:color="auto"/>
            </w:tcBorders>
            <w:vAlign w:val="center"/>
          </w:tcPr>
          <w:p w:rsidR="00A6008B" w:rsidRPr="00E92571" w:rsidRDefault="00A6008B" w:rsidP="003468F7">
            <w:pPr>
              <w:rPr>
                <w:rFonts w:cs="Arial"/>
                <w:sz w:val="20"/>
                <w:szCs w:val="20"/>
              </w:rPr>
            </w:pPr>
            <w:r w:rsidRPr="00E92571">
              <w:rPr>
                <w:sz w:val="20"/>
                <w:szCs w:val="20"/>
              </w:rPr>
              <w:t>All PICs successfully develop their capabilities to formulate cogent applications to support priority development activities and implement associated activities which achieve their aims.</w:t>
            </w:r>
          </w:p>
        </w:tc>
        <w:tc>
          <w:tcPr>
            <w:tcW w:w="2385" w:type="dxa"/>
            <w:tcBorders>
              <w:left w:val="nil"/>
              <w:bottom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Number of Responsive Fund applications successfully delivered with minimal assistance from the PJDP Team.</w:t>
            </w:r>
          </w:p>
          <w:p w:rsidR="00A6008B" w:rsidRPr="00E92571" w:rsidRDefault="00A6008B" w:rsidP="003468F7">
            <w:pPr>
              <w:rPr>
                <w:rFonts w:cs="Arial"/>
                <w:sz w:val="8"/>
                <w:szCs w:val="20"/>
              </w:rPr>
            </w:pPr>
          </w:p>
          <w:p w:rsidR="00A6008B" w:rsidRPr="00E92571" w:rsidRDefault="00A6008B" w:rsidP="003468F7">
            <w:pPr>
              <w:rPr>
                <w:rFonts w:cs="Arial"/>
                <w:sz w:val="20"/>
                <w:szCs w:val="20"/>
              </w:rPr>
            </w:pPr>
            <w:r w:rsidRPr="00E92571">
              <w:rPr>
                <w:rFonts w:cs="Arial"/>
                <w:sz w:val="20"/>
                <w:szCs w:val="20"/>
              </w:rPr>
              <w:t>The Responsive Fund managed effectively and efficiently (including financial expenditure) by the MSC.</w:t>
            </w:r>
          </w:p>
        </w:tc>
        <w:tc>
          <w:tcPr>
            <w:tcW w:w="1541" w:type="dxa"/>
            <w:tcBorders>
              <w:left w:val="nil"/>
              <w:bottom w:val="single" w:sz="4" w:space="0" w:color="auto"/>
              <w:right w:val="single" w:sz="4" w:space="0" w:color="auto"/>
            </w:tcBorders>
            <w:vAlign w:val="center"/>
          </w:tcPr>
          <w:p w:rsidR="00A6008B" w:rsidRPr="00E92571" w:rsidRDefault="00A6008B" w:rsidP="0004156C">
            <w:pPr>
              <w:rPr>
                <w:rFonts w:cs="Arial"/>
                <w:sz w:val="20"/>
                <w:szCs w:val="20"/>
              </w:rPr>
            </w:pPr>
            <w:r w:rsidRPr="00E92571">
              <w:rPr>
                <w:rFonts w:cs="Arial"/>
                <w:sz w:val="20"/>
                <w:szCs w:val="20"/>
              </w:rPr>
              <w:t>NC reports / MSC confirmation.</w:t>
            </w:r>
          </w:p>
          <w:p w:rsidR="00A6008B" w:rsidRPr="00E92571" w:rsidRDefault="00A6008B" w:rsidP="0004156C">
            <w:pPr>
              <w:rPr>
                <w:rFonts w:cs="Arial"/>
                <w:sz w:val="8"/>
                <w:szCs w:val="20"/>
              </w:rPr>
            </w:pPr>
          </w:p>
          <w:p w:rsidR="00A6008B" w:rsidRPr="00E92571" w:rsidRDefault="00A6008B" w:rsidP="0004156C">
            <w:pPr>
              <w:rPr>
                <w:rFonts w:cs="Arial"/>
                <w:sz w:val="20"/>
                <w:szCs w:val="20"/>
              </w:rPr>
            </w:pPr>
            <w:r w:rsidRPr="00E92571">
              <w:rPr>
                <w:rFonts w:cs="Arial"/>
                <w:sz w:val="20"/>
                <w:szCs w:val="20"/>
              </w:rPr>
              <w:t>MSC 6-monthly and annual progress reports.</w:t>
            </w:r>
          </w:p>
        </w:tc>
        <w:tc>
          <w:tcPr>
            <w:tcW w:w="912" w:type="dxa"/>
            <w:gridSpan w:val="2"/>
            <w:tcBorders>
              <w:left w:val="nil"/>
              <w:bottom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NC / MSC</w:t>
            </w:r>
          </w:p>
        </w:tc>
      </w:tr>
      <w:tr w:rsidR="00A6008B" w:rsidRPr="00E92571" w:rsidTr="0015609F">
        <w:trPr>
          <w:trHeight w:val="190"/>
          <w:jc w:val="center"/>
        </w:trPr>
        <w:tc>
          <w:tcPr>
            <w:tcW w:w="15660" w:type="dxa"/>
            <w:gridSpan w:val="9"/>
            <w:tcBorders>
              <w:top w:val="single" w:sz="4" w:space="0" w:color="auto"/>
              <w:left w:val="single" w:sz="4" w:space="0" w:color="auto"/>
              <w:right w:val="single" w:sz="4" w:space="0" w:color="auto"/>
            </w:tcBorders>
            <w:vAlign w:val="center"/>
          </w:tcPr>
          <w:p w:rsidR="00A6008B" w:rsidRPr="009A221A" w:rsidRDefault="00A6008B" w:rsidP="003468F7">
            <w:pPr>
              <w:spacing w:before="120"/>
              <w:rPr>
                <w:rFonts w:cs="Arial"/>
                <w:b/>
                <w:bCs/>
                <w:sz w:val="22"/>
                <w:szCs w:val="22"/>
              </w:rPr>
            </w:pPr>
            <w:r w:rsidRPr="00E92571">
              <w:rPr>
                <w:rFonts w:cs="Arial"/>
                <w:b/>
                <w:bCs/>
                <w:sz w:val="22"/>
                <w:szCs w:val="22"/>
              </w:rPr>
              <w:t>2.4 National Judicial Development Committee (NJDC) Project</w:t>
            </w:r>
          </w:p>
        </w:tc>
      </w:tr>
      <w:tr w:rsidR="00A6008B" w:rsidRPr="00E92571" w:rsidTr="0015609F">
        <w:trPr>
          <w:trHeight w:val="190"/>
          <w:jc w:val="center"/>
        </w:trPr>
        <w:tc>
          <w:tcPr>
            <w:tcW w:w="1604" w:type="dxa"/>
            <w:tcBorders>
              <w:left w:val="single" w:sz="4" w:space="0" w:color="auto"/>
              <w:bottom w:val="single" w:sz="4" w:space="0" w:color="auto"/>
              <w:right w:val="single" w:sz="4" w:space="0" w:color="auto"/>
            </w:tcBorders>
            <w:vAlign w:val="center"/>
          </w:tcPr>
          <w:p w:rsidR="00A6008B" w:rsidRPr="00E92571" w:rsidRDefault="00A6008B" w:rsidP="00BB7C05">
            <w:pPr>
              <w:spacing w:before="120"/>
              <w:rPr>
                <w:rFonts w:cs="Arial"/>
                <w:b/>
                <w:bCs/>
                <w:szCs w:val="23"/>
              </w:rPr>
            </w:pPr>
            <w:r w:rsidRPr="00E92571">
              <w:rPr>
                <w:sz w:val="20"/>
                <w:szCs w:val="20"/>
              </w:rPr>
              <w:t>The capabilities of one PIC to strategically plan and manage local development arestrengthened.</w:t>
            </w:r>
          </w:p>
        </w:tc>
        <w:tc>
          <w:tcPr>
            <w:tcW w:w="1701" w:type="dxa"/>
            <w:tcBorders>
              <w:left w:val="single" w:sz="4" w:space="0" w:color="auto"/>
              <w:bottom w:val="single" w:sz="4" w:space="0" w:color="auto"/>
              <w:right w:val="single" w:sz="4" w:space="0" w:color="auto"/>
            </w:tcBorders>
            <w:vAlign w:val="center"/>
          </w:tcPr>
          <w:p w:rsidR="00A6008B" w:rsidRPr="00E92571" w:rsidRDefault="00A6008B" w:rsidP="00F10660">
            <w:pPr>
              <w:spacing w:before="120"/>
              <w:rPr>
                <w:rFonts w:cs="Arial"/>
                <w:b/>
                <w:bCs/>
                <w:szCs w:val="23"/>
              </w:rPr>
            </w:pPr>
            <w:r w:rsidRPr="00E92571">
              <w:rPr>
                <w:rFonts w:cs="Arial"/>
                <w:sz w:val="20"/>
                <w:szCs w:val="20"/>
              </w:rPr>
              <w:t>One PIC has established NJDCs as a local mechanism to plan; assess, prioritise; and direct / lead local judicial development activities.</w:t>
            </w:r>
          </w:p>
        </w:tc>
        <w:tc>
          <w:tcPr>
            <w:tcW w:w="1984" w:type="dxa"/>
            <w:tcBorders>
              <w:left w:val="single" w:sz="4" w:space="0" w:color="auto"/>
              <w:bottom w:val="single" w:sz="4" w:space="0" w:color="auto"/>
              <w:right w:val="single" w:sz="4" w:space="0" w:color="auto"/>
            </w:tcBorders>
            <w:vAlign w:val="center"/>
          </w:tcPr>
          <w:p w:rsidR="00A6008B" w:rsidRPr="00E92571" w:rsidRDefault="00A6008B" w:rsidP="003468F7">
            <w:pPr>
              <w:spacing w:before="120"/>
              <w:rPr>
                <w:rFonts w:cs="Arial"/>
                <w:b/>
                <w:bCs/>
                <w:szCs w:val="23"/>
              </w:rPr>
            </w:pPr>
            <w:r w:rsidRPr="00E92571">
              <w:rPr>
                <w:rFonts w:cs="Arial"/>
                <w:sz w:val="20"/>
                <w:szCs w:val="20"/>
              </w:rPr>
              <w:t>NJDCs exist in some but not all PICs with varying membership, roles, focus and levels of engagement in local judicial development.</w:t>
            </w:r>
          </w:p>
        </w:tc>
        <w:tc>
          <w:tcPr>
            <w:tcW w:w="3402" w:type="dxa"/>
            <w:tcBorders>
              <w:left w:val="single" w:sz="4" w:space="0" w:color="auto"/>
              <w:bottom w:val="single" w:sz="4" w:space="0" w:color="auto"/>
              <w:right w:val="single" w:sz="4" w:space="0" w:color="auto"/>
            </w:tcBorders>
            <w:vAlign w:val="center"/>
          </w:tcPr>
          <w:p w:rsidR="00A6008B" w:rsidRPr="00E92571" w:rsidRDefault="00A6008B" w:rsidP="003468F7">
            <w:pPr>
              <w:spacing w:before="120"/>
              <w:rPr>
                <w:rFonts w:cs="Arial"/>
                <w:b/>
                <w:bCs/>
                <w:szCs w:val="23"/>
              </w:rPr>
            </w:pPr>
            <w:r w:rsidRPr="00E92571">
              <w:rPr>
                <w:rFonts w:cs="Arial"/>
                <w:sz w:val="20"/>
                <w:szCs w:val="20"/>
              </w:rPr>
              <w:t>A</w:t>
            </w:r>
            <w:r w:rsidRPr="00E92571">
              <w:rPr>
                <w:sz w:val="20"/>
                <w:szCs w:val="20"/>
              </w:rPr>
              <w:t xml:space="preserve">Regional NJDC toolkit is currently being developed and will be piloted in Samoa.  The toolkit will provide a comprehensive framework, guidance, and support to all PICs seeking to </w:t>
            </w:r>
            <w:r w:rsidRPr="00E92571">
              <w:rPr>
                <w:rFonts w:cs="Calibri"/>
                <w:iCs/>
                <w:sz w:val="20"/>
                <w:szCs w:val="20"/>
              </w:rPr>
              <w:t xml:space="preserve">re-enliven / further develop their </w:t>
            </w:r>
            <w:r w:rsidRPr="00E92571">
              <w:rPr>
                <w:sz w:val="20"/>
                <w:szCs w:val="20"/>
              </w:rPr>
              <w:t>NJDC and to more effectively plan for ongoing judicial and court development.</w:t>
            </w:r>
          </w:p>
        </w:tc>
        <w:tc>
          <w:tcPr>
            <w:tcW w:w="2131" w:type="dxa"/>
            <w:tcBorders>
              <w:left w:val="single" w:sz="4" w:space="0" w:color="auto"/>
              <w:bottom w:val="single" w:sz="4" w:space="0" w:color="auto"/>
              <w:right w:val="single" w:sz="4" w:space="0" w:color="auto"/>
            </w:tcBorders>
            <w:vAlign w:val="center"/>
          </w:tcPr>
          <w:p w:rsidR="00A6008B" w:rsidRPr="00E92571" w:rsidRDefault="00A6008B" w:rsidP="003468F7">
            <w:pPr>
              <w:rPr>
                <w:rFonts w:cs="Arial"/>
                <w:b/>
                <w:bCs/>
                <w:i/>
                <w:color w:val="FF0000"/>
                <w:sz w:val="20"/>
                <w:szCs w:val="20"/>
              </w:rPr>
            </w:pPr>
            <w:r>
              <w:rPr>
                <w:rFonts w:cs="Arial"/>
                <w:bCs/>
                <w:sz w:val="20"/>
                <w:szCs w:val="20"/>
              </w:rPr>
              <w:t>A</w:t>
            </w:r>
            <w:r w:rsidRPr="00E92571">
              <w:rPr>
                <w:sz w:val="20"/>
                <w:szCs w:val="20"/>
              </w:rPr>
              <w:t>PIC can strategically plan and manage their local development programmes by operating development committees more effectively.</w:t>
            </w:r>
          </w:p>
          <w:p w:rsidR="00A6008B" w:rsidRPr="00E92571" w:rsidRDefault="00A6008B" w:rsidP="003468F7">
            <w:pPr>
              <w:spacing w:before="120"/>
              <w:rPr>
                <w:rFonts w:cs="Arial"/>
                <w:b/>
                <w:bCs/>
                <w:sz w:val="20"/>
                <w:szCs w:val="20"/>
              </w:rPr>
            </w:pPr>
          </w:p>
        </w:tc>
        <w:tc>
          <w:tcPr>
            <w:tcW w:w="2385" w:type="dxa"/>
            <w:tcBorders>
              <w:left w:val="single" w:sz="4" w:space="0" w:color="auto"/>
              <w:bottom w:val="single" w:sz="4" w:space="0" w:color="auto"/>
              <w:right w:val="single" w:sz="4" w:space="0" w:color="auto"/>
            </w:tcBorders>
            <w:vAlign w:val="center"/>
          </w:tcPr>
          <w:p w:rsidR="00A6008B" w:rsidRPr="00E92571" w:rsidRDefault="00A6008B" w:rsidP="0004156C">
            <w:pPr>
              <w:spacing w:before="120"/>
              <w:rPr>
                <w:rFonts w:cs="Arial"/>
                <w:sz w:val="20"/>
                <w:szCs w:val="20"/>
              </w:rPr>
            </w:pPr>
            <w:r w:rsidRPr="00E92571">
              <w:rPr>
                <w:rFonts w:cs="Arial"/>
                <w:sz w:val="20"/>
                <w:szCs w:val="20"/>
              </w:rPr>
              <w:t>MSC assistance to strengthen NJDCs is tailored to local context and needs.</w:t>
            </w:r>
          </w:p>
          <w:p w:rsidR="00A6008B" w:rsidRPr="00E92571" w:rsidRDefault="00A6008B" w:rsidP="003468F7">
            <w:pPr>
              <w:spacing w:before="120"/>
              <w:rPr>
                <w:rFonts w:cs="Arial"/>
                <w:b/>
                <w:bCs/>
                <w:szCs w:val="23"/>
              </w:rPr>
            </w:pPr>
            <w:r w:rsidRPr="00E92571">
              <w:rPr>
                <w:rFonts w:cs="Arial"/>
                <w:sz w:val="20"/>
                <w:szCs w:val="20"/>
              </w:rPr>
              <w:t>The number NJDCs operating and the quality of their contribution as key mechanisms for locally managed judicial development.</w:t>
            </w:r>
          </w:p>
        </w:tc>
        <w:tc>
          <w:tcPr>
            <w:tcW w:w="1555" w:type="dxa"/>
            <w:gridSpan w:val="2"/>
            <w:tcBorders>
              <w:left w:val="single" w:sz="4" w:space="0" w:color="auto"/>
              <w:bottom w:val="single" w:sz="4" w:space="0" w:color="auto"/>
              <w:right w:val="single" w:sz="4" w:space="0" w:color="auto"/>
            </w:tcBorders>
            <w:vAlign w:val="center"/>
          </w:tcPr>
          <w:p w:rsidR="00A6008B" w:rsidRPr="00E92571" w:rsidRDefault="00A6008B" w:rsidP="003468F7">
            <w:pPr>
              <w:spacing w:before="120"/>
              <w:rPr>
                <w:rFonts w:cs="Arial"/>
                <w:b/>
                <w:bCs/>
                <w:szCs w:val="23"/>
              </w:rPr>
            </w:pPr>
            <w:r w:rsidRPr="00E92571">
              <w:rPr>
                <w:rFonts w:cs="Arial"/>
                <w:sz w:val="20"/>
                <w:szCs w:val="20"/>
              </w:rPr>
              <w:t>TA reports.</w:t>
            </w:r>
          </w:p>
        </w:tc>
        <w:tc>
          <w:tcPr>
            <w:tcW w:w="898" w:type="dxa"/>
            <w:tcBorders>
              <w:left w:val="single" w:sz="4" w:space="0" w:color="auto"/>
              <w:bottom w:val="single" w:sz="4" w:space="0" w:color="auto"/>
              <w:right w:val="single" w:sz="4" w:space="0" w:color="auto"/>
            </w:tcBorders>
            <w:vAlign w:val="center"/>
          </w:tcPr>
          <w:p w:rsidR="00A6008B" w:rsidRPr="00E92571" w:rsidRDefault="00A6008B" w:rsidP="003468F7">
            <w:pPr>
              <w:spacing w:before="120"/>
              <w:rPr>
                <w:rFonts w:cs="Arial"/>
                <w:b/>
                <w:bCs/>
                <w:szCs w:val="23"/>
              </w:rPr>
            </w:pPr>
            <w:r w:rsidRPr="00E92571">
              <w:rPr>
                <w:rFonts w:cs="Arial"/>
                <w:sz w:val="20"/>
                <w:szCs w:val="20"/>
              </w:rPr>
              <w:t>TA</w:t>
            </w:r>
          </w:p>
        </w:tc>
      </w:tr>
      <w:tr w:rsidR="00A6008B" w:rsidRPr="00E92571" w:rsidTr="002E4D33">
        <w:trPr>
          <w:trHeight w:val="190"/>
          <w:jc w:val="center"/>
        </w:trPr>
        <w:tc>
          <w:tcPr>
            <w:tcW w:w="15660" w:type="dxa"/>
            <w:gridSpan w:val="9"/>
            <w:tcBorders>
              <w:top w:val="single" w:sz="4" w:space="0" w:color="auto"/>
              <w:left w:val="single" w:sz="4" w:space="0" w:color="auto"/>
              <w:bottom w:val="single" w:sz="4" w:space="0" w:color="auto"/>
              <w:right w:val="single" w:sz="4" w:space="0" w:color="auto"/>
            </w:tcBorders>
            <w:shd w:val="clear" w:color="auto" w:fill="CCCCCC"/>
            <w:vAlign w:val="center"/>
          </w:tcPr>
          <w:p w:rsidR="00A6008B" w:rsidRPr="00E92571" w:rsidRDefault="00A6008B" w:rsidP="003468F7">
            <w:pPr>
              <w:spacing w:before="120"/>
              <w:rPr>
                <w:rFonts w:cs="Arial"/>
                <w:b/>
                <w:bCs/>
                <w:szCs w:val="23"/>
              </w:rPr>
            </w:pPr>
            <w:r w:rsidRPr="00E92571">
              <w:rPr>
                <w:rFonts w:cs="Arial"/>
                <w:b/>
                <w:bCs/>
                <w:szCs w:val="23"/>
              </w:rPr>
              <w:t>3.0 Systems and Processes</w:t>
            </w:r>
          </w:p>
        </w:tc>
      </w:tr>
      <w:tr w:rsidR="00A6008B" w:rsidRPr="00E92571" w:rsidTr="002E4D33">
        <w:trPr>
          <w:trHeight w:val="668"/>
          <w:jc w:val="center"/>
        </w:trPr>
        <w:tc>
          <w:tcPr>
            <w:tcW w:w="1604" w:type="dxa"/>
            <w:vMerge w:val="restart"/>
            <w:tcBorders>
              <w:top w:val="single" w:sz="4" w:space="0" w:color="auto"/>
              <w:left w:val="single" w:sz="4" w:space="0" w:color="auto"/>
              <w:right w:val="single" w:sz="4" w:space="0" w:color="auto"/>
            </w:tcBorders>
            <w:vAlign w:val="center"/>
          </w:tcPr>
          <w:p w:rsidR="00A6008B" w:rsidRPr="00E92571" w:rsidRDefault="00A6008B" w:rsidP="003468F7">
            <w:pPr>
              <w:spacing w:before="120"/>
              <w:rPr>
                <w:sz w:val="20"/>
                <w:szCs w:val="20"/>
              </w:rPr>
            </w:pPr>
            <w:r w:rsidRPr="00E92571">
              <w:rPr>
                <w:sz w:val="20"/>
                <w:szCs w:val="20"/>
              </w:rPr>
              <w:t>Courts’ capabilities to dispose of cases efficiently are improved in up to six PICs, and their ability to regularly report on performance is improved in up to six PICs.</w:t>
            </w:r>
          </w:p>
          <w:p w:rsidR="00A6008B" w:rsidRPr="00E92571" w:rsidRDefault="00A6008B" w:rsidP="003468F7">
            <w:pPr>
              <w:spacing w:before="120"/>
              <w:rPr>
                <w:sz w:val="20"/>
                <w:szCs w:val="20"/>
              </w:rPr>
            </w:pPr>
          </w:p>
          <w:p w:rsidR="00A6008B" w:rsidRPr="00E92571" w:rsidRDefault="00A6008B" w:rsidP="003468F7">
            <w:pPr>
              <w:spacing w:before="120"/>
              <w:rPr>
                <w:rFonts w:cs="Arial"/>
                <w:b/>
                <w:bCs/>
                <w:sz w:val="20"/>
                <w:szCs w:val="20"/>
              </w:rPr>
            </w:pPr>
          </w:p>
        </w:tc>
        <w:tc>
          <w:tcPr>
            <w:tcW w:w="1701" w:type="dxa"/>
            <w:vMerge w:val="restart"/>
            <w:tcBorders>
              <w:top w:val="single" w:sz="4" w:space="0" w:color="auto"/>
              <w:left w:val="single" w:sz="4" w:space="0" w:color="auto"/>
              <w:right w:val="single" w:sz="4" w:space="0" w:color="auto"/>
            </w:tcBorders>
            <w:vAlign w:val="center"/>
          </w:tcPr>
          <w:p w:rsidR="00A6008B" w:rsidRPr="00E92571" w:rsidRDefault="00A6008B" w:rsidP="003468F7">
            <w:pPr>
              <w:spacing w:before="120"/>
              <w:rPr>
                <w:rFonts w:cs="Arial"/>
                <w:b/>
                <w:bCs/>
                <w:szCs w:val="23"/>
              </w:rPr>
            </w:pPr>
            <w:r w:rsidRPr="00E92571">
              <w:rPr>
                <w:rFonts w:cs="Arial"/>
                <w:sz w:val="20"/>
                <w:szCs w:val="20"/>
              </w:rPr>
              <w:t>Two PICs are using PJDP facilitated Registry / Court plans developed to undertake reforms.  All PICs have: increased capacity to assess court performance; and have access to the tools need to  enable them to increase transparency and accountability through the development of Annual Court Reports</w:t>
            </w:r>
          </w:p>
        </w:tc>
        <w:tc>
          <w:tcPr>
            <w:tcW w:w="1984" w:type="dxa"/>
            <w:vMerge w:val="restart"/>
            <w:tcBorders>
              <w:top w:val="single" w:sz="4" w:space="0" w:color="auto"/>
              <w:left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Approaches to collecting and using judicial and court administration data for diagnosis (problem identification) and treatment (local development plans) are inconsistent across the region.  There is no judicial and court baseline data utilising a common set of indicators, regional strategy or local development plans in PICs to improve court operations (including registry systems and processes).</w:t>
            </w:r>
          </w:p>
          <w:p w:rsidR="00A6008B" w:rsidRPr="00E92571" w:rsidRDefault="00A6008B" w:rsidP="003468F7">
            <w:pPr>
              <w:spacing w:before="120"/>
              <w:rPr>
                <w:rFonts w:cs="Arial"/>
                <w:b/>
                <w:bCs/>
                <w:szCs w:val="23"/>
              </w:rPr>
            </w:pPr>
          </w:p>
        </w:tc>
        <w:tc>
          <w:tcPr>
            <w:tcW w:w="3402" w:type="dxa"/>
            <w:vMerge w:val="restart"/>
            <w:tcBorders>
              <w:top w:val="single" w:sz="4" w:space="0" w:color="auto"/>
              <w:left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 xml:space="preserve">A diagnosis of court administration </w:t>
            </w:r>
            <w:r w:rsidRPr="00E92571">
              <w:rPr>
                <w:rFonts w:cs="Calibri"/>
                <w:spacing w:val="1"/>
                <w:sz w:val="20"/>
                <w:szCs w:val="20"/>
              </w:rPr>
              <w:t>n</w:t>
            </w:r>
            <w:r w:rsidRPr="00E92571">
              <w:rPr>
                <w:rFonts w:cs="Calibri"/>
                <w:sz w:val="20"/>
                <w:szCs w:val="20"/>
              </w:rPr>
              <w:t xml:space="preserve">eeds for </w:t>
            </w:r>
            <w:r w:rsidRPr="00E92571">
              <w:rPr>
                <w:rFonts w:cs="Arial"/>
                <w:sz w:val="20"/>
                <w:szCs w:val="20"/>
              </w:rPr>
              <w:t xml:space="preserve">was completed in three PICs to inform a regional strategy which identifies shortcomings. Based thereon, local development plans were developed and approved in those 3 PICs including strategies to address identified shortcomings. Vanuatu is of its own volition progressing to implement its reform plan, with separate assistance from the MSC. </w:t>
            </w:r>
          </w:p>
          <w:p w:rsidR="00A6008B" w:rsidRPr="00E92571" w:rsidRDefault="00A6008B" w:rsidP="003468F7">
            <w:pPr>
              <w:rPr>
                <w:rFonts w:cs="Arial"/>
                <w:sz w:val="16"/>
                <w:szCs w:val="20"/>
              </w:rPr>
            </w:pPr>
          </w:p>
          <w:p w:rsidR="00A6008B" w:rsidRPr="00E92571" w:rsidRDefault="00A6008B" w:rsidP="003468F7">
            <w:pPr>
              <w:rPr>
                <w:rFonts w:cs="Arial"/>
                <w:sz w:val="20"/>
                <w:szCs w:val="20"/>
              </w:rPr>
            </w:pPr>
            <w:r w:rsidRPr="00E92571">
              <w:rPr>
                <w:rFonts w:cs="Arial"/>
                <w:sz w:val="20"/>
                <w:szCs w:val="20"/>
              </w:rPr>
              <w:t>Based on the most pressing need common to the diagnoses undertaken, a toolkit has been developed and is being piloted in one PIC to establish efficient case disposal time standards.  When finalised, the toolkit will be disseminated to all PICs.</w:t>
            </w:r>
          </w:p>
          <w:p w:rsidR="00A6008B" w:rsidRPr="00E92571" w:rsidRDefault="00A6008B" w:rsidP="003468F7">
            <w:pPr>
              <w:spacing w:before="120"/>
              <w:rPr>
                <w:rFonts w:cs="Arial"/>
                <w:sz w:val="20"/>
                <w:szCs w:val="20"/>
              </w:rPr>
            </w:pPr>
            <w:r w:rsidRPr="00E92571">
              <w:rPr>
                <w:rFonts w:cs="Arial"/>
                <w:sz w:val="20"/>
                <w:szCs w:val="20"/>
              </w:rPr>
              <w:t>Annual judicial and court baseline data was and is again being collected in 14 PICs using a common set of 14 indicators developed for PJDP. The framework was approved by the PEC.  There is now clarity as to the status quo of court performance across the region with second year trend data to be presented to the PEC by June 2013.  In addition a toolkit has been developed and has been piloted in Tokelau to publish performance data among other information in annual court reports.  When final, the toolkit will be disseminated to all PICs.</w:t>
            </w:r>
          </w:p>
        </w:tc>
        <w:tc>
          <w:tcPr>
            <w:tcW w:w="2131" w:type="dxa"/>
            <w:vMerge w:val="restart"/>
            <w:tcBorders>
              <w:top w:val="single" w:sz="4" w:space="0" w:color="auto"/>
              <w:left w:val="single" w:sz="4" w:space="0" w:color="auto"/>
              <w:right w:val="single" w:sz="4" w:space="0" w:color="auto"/>
            </w:tcBorders>
            <w:vAlign w:val="center"/>
          </w:tcPr>
          <w:p w:rsidR="00A6008B" w:rsidRPr="00E92571" w:rsidRDefault="00A6008B" w:rsidP="003468F7">
            <w:pPr>
              <w:rPr>
                <w:sz w:val="20"/>
                <w:szCs w:val="20"/>
                <w:lang w:eastAsia="en-US"/>
              </w:rPr>
            </w:pPr>
            <w:r w:rsidRPr="00E92571">
              <w:rPr>
                <w:sz w:val="20"/>
                <w:szCs w:val="20"/>
              </w:rPr>
              <w:t>PICs better equipped to collect, use and report on judicial performance data and dispose of cases efficiently.</w:t>
            </w:r>
          </w:p>
          <w:p w:rsidR="00A6008B" w:rsidRPr="00E92571" w:rsidRDefault="00A6008B" w:rsidP="003468F7">
            <w:pPr>
              <w:spacing w:before="120"/>
              <w:rPr>
                <w:rFonts w:cs="Arial"/>
                <w:b/>
                <w:bCs/>
                <w:szCs w:val="23"/>
              </w:rPr>
            </w:pPr>
          </w:p>
        </w:tc>
        <w:tc>
          <w:tcPr>
            <w:tcW w:w="2385" w:type="dxa"/>
            <w:tcBorders>
              <w:top w:val="single" w:sz="4" w:space="0" w:color="auto"/>
              <w:left w:val="single" w:sz="4" w:space="0" w:color="auto"/>
              <w:bottom w:val="single" w:sz="4" w:space="0" w:color="auto"/>
              <w:right w:val="single" w:sz="4" w:space="0" w:color="auto"/>
            </w:tcBorders>
            <w:vAlign w:val="center"/>
          </w:tcPr>
          <w:p w:rsidR="00A6008B" w:rsidRPr="00E92571" w:rsidRDefault="00A6008B" w:rsidP="00E67A7B">
            <w:pPr>
              <w:spacing w:before="120"/>
              <w:rPr>
                <w:rFonts w:cs="Arial"/>
                <w:b/>
                <w:bCs/>
                <w:szCs w:val="23"/>
              </w:rPr>
            </w:pPr>
            <w:r w:rsidRPr="00E92571">
              <w:rPr>
                <w:rFonts w:cs="Arial"/>
                <w:sz w:val="20"/>
                <w:szCs w:val="20"/>
              </w:rPr>
              <w:t>The level of progress made by up to three PICs implementing their development plans.</w:t>
            </w:r>
          </w:p>
        </w:tc>
        <w:tc>
          <w:tcPr>
            <w:tcW w:w="1555" w:type="dxa"/>
            <w:gridSpan w:val="2"/>
            <w:vMerge w:val="restart"/>
            <w:tcBorders>
              <w:top w:val="single" w:sz="4" w:space="0" w:color="auto"/>
              <w:left w:val="single" w:sz="4" w:space="0" w:color="auto"/>
              <w:right w:val="single" w:sz="4" w:space="0" w:color="auto"/>
            </w:tcBorders>
            <w:vAlign w:val="center"/>
          </w:tcPr>
          <w:p w:rsidR="00A6008B" w:rsidRPr="00E92571" w:rsidRDefault="00A6008B" w:rsidP="003468F7">
            <w:pPr>
              <w:spacing w:before="120"/>
              <w:rPr>
                <w:rFonts w:cs="Arial"/>
                <w:b/>
                <w:bCs/>
                <w:szCs w:val="23"/>
              </w:rPr>
            </w:pPr>
            <w:r w:rsidRPr="00E92571">
              <w:rPr>
                <w:rFonts w:cs="Arial"/>
                <w:sz w:val="20"/>
                <w:szCs w:val="20"/>
              </w:rPr>
              <w:t>TA reports.</w:t>
            </w:r>
          </w:p>
        </w:tc>
        <w:tc>
          <w:tcPr>
            <w:tcW w:w="898" w:type="dxa"/>
            <w:vMerge w:val="restart"/>
            <w:tcBorders>
              <w:top w:val="single" w:sz="4" w:space="0" w:color="auto"/>
              <w:left w:val="single" w:sz="4" w:space="0" w:color="auto"/>
              <w:right w:val="single" w:sz="4" w:space="0" w:color="auto"/>
            </w:tcBorders>
            <w:vAlign w:val="center"/>
          </w:tcPr>
          <w:p w:rsidR="00A6008B" w:rsidRPr="00E92571" w:rsidRDefault="00A6008B" w:rsidP="003468F7">
            <w:pPr>
              <w:spacing w:before="120"/>
              <w:rPr>
                <w:rFonts w:cs="Arial"/>
                <w:b/>
                <w:bCs/>
                <w:szCs w:val="23"/>
              </w:rPr>
            </w:pPr>
            <w:r w:rsidRPr="00E92571">
              <w:rPr>
                <w:rFonts w:cs="Arial"/>
                <w:sz w:val="20"/>
                <w:szCs w:val="20"/>
              </w:rPr>
              <w:t>TAs</w:t>
            </w:r>
          </w:p>
        </w:tc>
      </w:tr>
      <w:tr w:rsidR="00A6008B" w:rsidRPr="00E92571" w:rsidTr="00AD50E1">
        <w:trPr>
          <w:trHeight w:val="3255"/>
          <w:jc w:val="center"/>
        </w:trPr>
        <w:tc>
          <w:tcPr>
            <w:tcW w:w="1604" w:type="dxa"/>
            <w:vMerge/>
            <w:tcBorders>
              <w:left w:val="single" w:sz="4" w:space="0" w:color="auto"/>
              <w:right w:val="single" w:sz="4" w:space="0" w:color="auto"/>
            </w:tcBorders>
            <w:vAlign w:val="center"/>
          </w:tcPr>
          <w:p w:rsidR="00A6008B" w:rsidRPr="00E92571" w:rsidRDefault="00A6008B" w:rsidP="003468F7">
            <w:pPr>
              <w:spacing w:before="120"/>
              <w:rPr>
                <w:sz w:val="20"/>
                <w:szCs w:val="20"/>
              </w:rPr>
            </w:pPr>
          </w:p>
        </w:tc>
        <w:tc>
          <w:tcPr>
            <w:tcW w:w="1701" w:type="dxa"/>
            <w:vMerge/>
            <w:tcBorders>
              <w:left w:val="single" w:sz="4" w:space="0" w:color="auto"/>
              <w:right w:val="single" w:sz="4" w:space="0" w:color="auto"/>
            </w:tcBorders>
            <w:vAlign w:val="center"/>
          </w:tcPr>
          <w:p w:rsidR="00A6008B" w:rsidRPr="00E92571" w:rsidRDefault="00A6008B" w:rsidP="003468F7">
            <w:pPr>
              <w:spacing w:before="120"/>
              <w:rPr>
                <w:rFonts w:cs="Arial"/>
                <w:sz w:val="20"/>
                <w:szCs w:val="20"/>
              </w:rPr>
            </w:pPr>
          </w:p>
        </w:tc>
        <w:tc>
          <w:tcPr>
            <w:tcW w:w="1984" w:type="dxa"/>
            <w:vMerge/>
            <w:tcBorders>
              <w:left w:val="single" w:sz="4" w:space="0" w:color="auto"/>
              <w:right w:val="single" w:sz="4" w:space="0" w:color="auto"/>
            </w:tcBorders>
            <w:vAlign w:val="center"/>
          </w:tcPr>
          <w:p w:rsidR="00A6008B" w:rsidRPr="00E92571" w:rsidRDefault="00A6008B" w:rsidP="003468F7">
            <w:pPr>
              <w:rPr>
                <w:rFonts w:cs="Arial"/>
                <w:sz w:val="20"/>
                <w:szCs w:val="20"/>
              </w:rPr>
            </w:pPr>
          </w:p>
        </w:tc>
        <w:tc>
          <w:tcPr>
            <w:tcW w:w="3402" w:type="dxa"/>
            <w:vMerge/>
            <w:tcBorders>
              <w:left w:val="single" w:sz="4" w:space="0" w:color="auto"/>
              <w:right w:val="single" w:sz="4" w:space="0" w:color="auto"/>
            </w:tcBorders>
            <w:vAlign w:val="center"/>
          </w:tcPr>
          <w:p w:rsidR="00A6008B" w:rsidRPr="00E92571" w:rsidRDefault="00A6008B" w:rsidP="003468F7">
            <w:pPr>
              <w:rPr>
                <w:rFonts w:cs="Arial"/>
                <w:sz w:val="20"/>
                <w:szCs w:val="20"/>
              </w:rPr>
            </w:pPr>
          </w:p>
        </w:tc>
        <w:tc>
          <w:tcPr>
            <w:tcW w:w="2131" w:type="dxa"/>
            <w:vMerge/>
            <w:tcBorders>
              <w:left w:val="single" w:sz="4" w:space="0" w:color="auto"/>
              <w:right w:val="single" w:sz="4" w:space="0" w:color="auto"/>
            </w:tcBorders>
            <w:vAlign w:val="center"/>
          </w:tcPr>
          <w:p w:rsidR="00A6008B" w:rsidRPr="00E92571" w:rsidRDefault="00A6008B" w:rsidP="003468F7">
            <w:pPr>
              <w:rPr>
                <w:sz w:val="20"/>
                <w:szCs w:val="20"/>
              </w:rPr>
            </w:pPr>
          </w:p>
        </w:tc>
        <w:tc>
          <w:tcPr>
            <w:tcW w:w="2385" w:type="dxa"/>
            <w:tcBorders>
              <w:top w:val="single" w:sz="4" w:space="0" w:color="auto"/>
              <w:left w:val="single" w:sz="4" w:space="0" w:color="auto"/>
              <w:bottom w:val="single" w:sz="4" w:space="0" w:color="auto"/>
              <w:right w:val="single" w:sz="4" w:space="0" w:color="auto"/>
            </w:tcBorders>
            <w:vAlign w:val="center"/>
          </w:tcPr>
          <w:p w:rsidR="00A6008B" w:rsidRPr="00E92571" w:rsidRDefault="00A6008B" w:rsidP="003468F7">
            <w:pPr>
              <w:spacing w:before="120"/>
              <w:rPr>
                <w:rFonts w:cs="Arial"/>
                <w:sz w:val="20"/>
                <w:szCs w:val="20"/>
              </w:rPr>
            </w:pPr>
            <w:r w:rsidRPr="00E92571">
              <w:rPr>
                <w:rFonts w:cs="Arial"/>
                <w:sz w:val="20"/>
                <w:szCs w:val="20"/>
              </w:rPr>
              <w:t>The comprehensiveness of court data across multiple indicators being collected and reported on annually and the number of participating PICs.</w:t>
            </w:r>
          </w:p>
        </w:tc>
        <w:tc>
          <w:tcPr>
            <w:tcW w:w="1555" w:type="dxa"/>
            <w:gridSpan w:val="2"/>
            <w:vMerge/>
            <w:tcBorders>
              <w:left w:val="single" w:sz="4" w:space="0" w:color="auto"/>
              <w:right w:val="single" w:sz="4" w:space="0" w:color="auto"/>
            </w:tcBorders>
            <w:vAlign w:val="center"/>
          </w:tcPr>
          <w:p w:rsidR="00A6008B" w:rsidRPr="00E92571" w:rsidRDefault="00A6008B" w:rsidP="003468F7">
            <w:pPr>
              <w:spacing w:before="120"/>
              <w:rPr>
                <w:rFonts w:cs="Arial"/>
                <w:sz w:val="20"/>
                <w:szCs w:val="20"/>
              </w:rPr>
            </w:pPr>
          </w:p>
        </w:tc>
        <w:tc>
          <w:tcPr>
            <w:tcW w:w="898" w:type="dxa"/>
            <w:vMerge/>
            <w:tcBorders>
              <w:left w:val="single" w:sz="4" w:space="0" w:color="auto"/>
              <w:right w:val="single" w:sz="4" w:space="0" w:color="auto"/>
            </w:tcBorders>
            <w:vAlign w:val="center"/>
          </w:tcPr>
          <w:p w:rsidR="00A6008B" w:rsidRPr="00E92571" w:rsidRDefault="00A6008B" w:rsidP="003468F7">
            <w:pPr>
              <w:spacing w:before="120"/>
              <w:rPr>
                <w:rFonts w:cs="Arial"/>
                <w:sz w:val="20"/>
                <w:szCs w:val="20"/>
              </w:rPr>
            </w:pPr>
          </w:p>
        </w:tc>
      </w:tr>
      <w:tr w:rsidR="00A6008B" w:rsidRPr="00E92571" w:rsidTr="0015609F">
        <w:trPr>
          <w:trHeight w:val="53"/>
          <w:jc w:val="center"/>
        </w:trPr>
        <w:tc>
          <w:tcPr>
            <w:tcW w:w="1604" w:type="dxa"/>
            <w:vMerge/>
            <w:tcBorders>
              <w:left w:val="single" w:sz="4" w:space="0" w:color="auto"/>
              <w:bottom w:val="single" w:sz="4" w:space="0" w:color="auto"/>
              <w:right w:val="single" w:sz="4" w:space="0" w:color="auto"/>
            </w:tcBorders>
            <w:vAlign w:val="center"/>
          </w:tcPr>
          <w:p w:rsidR="00A6008B" w:rsidRPr="00E92571" w:rsidRDefault="00A6008B" w:rsidP="003468F7">
            <w:pPr>
              <w:spacing w:before="120"/>
              <w:rPr>
                <w:sz w:val="20"/>
                <w:szCs w:val="20"/>
              </w:rPr>
            </w:pPr>
          </w:p>
        </w:tc>
        <w:tc>
          <w:tcPr>
            <w:tcW w:w="1701" w:type="dxa"/>
            <w:vMerge/>
            <w:tcBorders>
              <w:left w:val="single" w:sz="4" w:space="0" w:color="auto"/>
              <w:bottom w:val="single" w:sz="4" w:space="0" w:color="auto"/>
              <w:right w:val="single" w:sz="4" w:space="0" w:color="auto"/>
            </w:tcBorders>
            <w:vAlign w:val="center"/>
          </w:tcPr>
          <w:p w:rsidR="00A6008B" w:rsidRPr="00E92571" w:rsidRDefault="00A6008B" w:rsidP="003468F7">
            <w:pPr>
              <w:spacing w:before="120"/>
              <w:rPr>
                <w:rFonts w:cs="Arial"/>
                <w:sz w:val="20"/>
                <w:szCs w:val="20"/>
              </w:rPr>
            </w:pPr>
          </w:p>
        </w:tc>
        <w:tc>
          <w:tcPr>
            <w:tcW w:w="1984" w:type="dxa"/>
            <w:vMerge/>
            <w:tcBorders>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p>
        </w:tc>
        <w:tc>
          <w:tcPr>
            <w:tcW w:w="3402" w:type="dxa"/>
            <w:vMerge/>
            <w:tcBorders>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p>
        </w:tc>
        <w:tc>
          <w:tcPr>
            <w:tcW w:w="2131" w:type="dxa"/>
            <w:vMerge/>
            <w:tcBorders>
              <w:left w:val="single" w:sz="4" w:space="0" w:color="auto"/>
              <w:bottom w:val="single" w:sz="4" w:space="0" w:color="auto"/>
              <w:right w:val="single" w:sz="4" w:space="0" w:color="auto"/>
            </w:tcBorders>
            <w:vAlign w:val="center"/>
          </w:tcPr>
          <w:p w:rsidR="00A6008B" w:rsidRPr="00E92571" w:rsidRDefault="00A6008B" w:rsidP="003468F7">
            <w:pPr>
              <w:rPr>
                <w:sz w:val="20"/>
                <w:szCs w:val="20"/>
              </w:rPr>
            </w:pPr>
          </w:p>
        </w:tc>
        <w:tc>
          <w:tcPr>
            <w:tcW w:w="2385" w:type="dxa"/>
            <w:tcBorders>
              <w:top w:val="single" w:sz="4" w:space="0" w:color="auto"/>
              <w:left w:val="single" w:sz="4" w:space="0" w:color="auto"/>
              <w:bottom w:val="single" w:sz="4" w:space="0" w:color="auto"/>
              <w:right w:val="single" w:sz="4" w:space="0" w:color="auto"/>
            </w:tcBorders>
            <w:vAlign w:val="center"/>
          </w:tcPr>
          <w:p w:rsidR="00A6008B" w:rsidRPr="00E92571" w:rsidRDefault="00A6008B" w:rsidP="003468F7">
            <w:pPr>
              <w:spacing w:before="120"/>
              <w:rPr>
                <w:rFonts w:cs="Arial"/>
                <w:sz w:val="20"/>
                <w:szCs w:val="20"/>
              </w:rPr>
            </w:pPr>
            <w:r w:rsidRPr="00E92571">
              <w:rPr>
                <w:rFonts w:cs="Arial"/>
                <w:sz w:val="20"/>
                <w:szCs w:val="20"/>
              </w:rPr>
              <w:t>Promulgation of case disposal time standards and the number of PICs they are promulgated in.</w:t>
            </w:r>
          </w:p>
        </w:tc>
        <w:tc>
          <w:tcPr>
            <w:tcW w:w="1555" w:type="dxa"/>
            <w:gridSpan w:val="2"/>
            <w:vMerge/>
            <w:tcBorders>
              <w:left w:val="single" w:sz="4" w:space="0" w:color="auto"/>
              <w:bottom w:val="single" w:sz="4" w:space="0" w:color="auto"/>
              <w:right w:val="single" w:sz="4" w:space="0" w:color="auto"/>
            </w:tcBorders>
            <w:vAlign w:val="center"/>
          </w:tcPr>
          <w:p w:rsidR="00A6008B" w:rsidRPr="00E92571" w:rsidRDefault="00A6008B" w:rsidP="003468F7">
            <w:pPr>
              <w:spacing w:before="120"/>
              <w:rPr>
                <w:rFonts w:cs="Arial"/>
                <w:sz w:val="20"/>
                <w:szCs w:val="20"/>
              </w:rPr>
            </w:pPr>
          </w:p>
        </w:tc>
        <w:tc>
          <w:tcPr>
            <w:tcW w:w="898" w:type="dxa"/>
            <w:vMerge/>
            <w:tcBorders>
              <w:left w:val="single" w:sz="4" w:space="0" w:color="auto"/>
              <w:bottom w:val="single" w:sz="4" w:space="0" w:color="auto"/>
              <w:right w:val="single" w:sz="4" w:space="0" w:color="auto"/>
            </w:tcBorders>
            <w:vAlign w:val="center"/>
          </w:tcPr>
          <w:p w:rsidR="00A6008B" w:rsidRPr="00E92571" w:rsidRDefault="00A6008B" w:rsidP="003468F7">
            <w:pPr>
              <w:spacing w:before="120"/>
              <w:rPr>
                <w:rFonts w:cs="Arial"/>
                <w:sz w:val="20"/>
                <w:szCs w:val="20"/>
              </w:rPr>
            </w:pPr>
          </w:p>
        </w:tc>
      </w:tr>
      <w:tr w:rsidR="00A6008B" w:rsidRPr="00E92571" w:rsidTr="0015609F">
        <w:trPr>
          <w:trHeight w:val="255"/>
          <w:jc w:val="center"/>
        </w:trPr>
        <w:tc>
          <w:tcPr>
            <w:tcW w:w="15660" w:type="dxa"/>
            <w:gridSpan w:val="9"/>
            <w:tcBorders>
              <w:top w:val="single" w:sz="4" w:space="0" w:color="auto"/>
              <w:left w:val="single" w:sz="4" w:space="0" w:color="auto"/>
              <w:right w:val="single" w:sz="4" w:space="0" w:color="auto"/>
            </w:tcBorders>
            <w:vAlign w:val="center"/>
          </w:tcPr>
          <w:p w:rsidR="00A6008B" w:rsidRPr="009A221A" w:rsidRDefault="00A6008B" w:rsidP="003468F7">
            <w:pPr>
              <w:spacing w:before="120"/>
              <w:rPr>
                <w:rFonts w:cs="Arial"/>
                <w:b/>
                <w:bCs/>
                <w:sz w:val="22"/>
                <w:szCs w:val="22"/>
              </w:rPr>
            </w:pPr>
            <w:r w:rsidRPr="00E92571">
              <w:rPr>
                <w:rFonts w:cs="Arial"/>
                <w:b/>
                <w:bCs/>
                <w:sz w:val="22"/>
                <w:szCs w:val="22"/>
              </w:rPr>
              <w:t>3.1 Judicial Administration Project</w:t>
            </w:r>
          </w:p>
        </w:tc>
      </w:tr>
      <w:tr w:rsidR="00A6008B" w:rsidRPr="00E92571" w:rsidTr="0015609F">
        <w:trPr>
          <w:trHeight w:val="1020"/>
          <w:jc w:val="center"/>
        </w:trPr>
        <w:tc>
          <w:tcPr>
            <w:tcW w:w="1604" w:type="dxa"/>
            <w:vMerge w:val="restart"/>
            <w:tcBorders>
              <w:left w:val="single" w:sz="4" w:space="0" w:color="auto"/>
              <w:right w:val="single" w:sz="4" w:space="0" w:color="auto"/>
            </w:tcBorders>
            <w:vAlign w:val="center"/>
          </w:tcPr>
          <w:p w:rsidR="00A6008B" w:rsidRPr="00E92571" w:rsidRDefault="00A6008B" w:rsidP="00654E95">
            <w:pPr>
              <w:rPr>
                <w:rFonts w:cs="Arial"/>
                <w:sz w:val="20"/>
                <w:szCs w:val="20"/>
              </w:rPr>
            </w:pPr>
            <w:r w:rsidRPr="00E92571">
              <w:rPr>
                <w:sz w:val="20"/>
                <w:szCs w:val="20"/>
              </w:rPr>
              <w:t xml:space="preserve">Courts in up to four PICs begin to report an increase in the percentage of cases disposed of within the promulgated time standards and more efficient court management through the collection of internal court performance information against selected key performance indicators.  Courts in up to two PICs also proactively reducing delay and their IT capabilities to support judicial administration requirements; specifically relating to time standards and delay reduction, is enhanced. </w:t>
            </w:r>
          </w:p>
        </w:tc>
        <w:tc>
          <w:tcPr>
            <w:tcW w:w="1701" w:type="dxa"/>
            <w:vMerge w:val="restart"/>
            <w:tcBorders>
              <w:left w:val="single" w:sz="4" w:space="0" w:color="auto"/>
              <w:right w:val="single" w:sz="4" w:space="0" w:color="auto"/>
            </w:tcBorders>
            <w:vAlign w:val="center"/>
          </w:tcPr>
          <w:p w:rsidR="00A6008B" w:rsidRPr="00E92571" w:rsidRDefault="00A6008B" w:rsidP="00992CE8">
            <w:pPr>
              <w:rPr>
                <w:rFonts w:cs="Arial"/>
                <w:sz w:val="20"/>
                <w:szCs w:val="20"/>
              </w:rPr>
            </w:pPr>
            <w:r w:rsidRPr="00E92571">
              <w:rPr>
                <w:rFonts w:cs="Arial"/>
                <w:sz w:val="20"/>
                <w:szCs w:val="20"/>
              </w:rPr>
              <w:t>Two of the three PICs which received support under the 18-month Implementation Plan are using the Registry / Court plans developed to undertake registry / court reforms.</w:t>
            </w:r>
          </w:p>
        </w:tc>
        <w:tc>
          <w:tcPr>
            <w:tcW w:w="1984" w:type="dxa"/>
            <w:vMerge w:val="restart"/>
            <w:tcBorders>
              <w:left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Approaches to using judicial and court administration data for diagnosis (problem identification) and treatment (local development plans) are inconsistent across the region.  There is no regional strategy or local development plans in PICs to improve court operations (including registry systems and processes).</w:t>
            </w:r>
          </w:p>
        </w:tc>
        <w:tc>
          <w:tcPr>
            <w:tcW w:w="3402" w:type="dxa"/>
            <w:vMerge w:val="restart"/>
            <w:tcBorders>
              <w:left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 xml:space="preserve">A research-based diagnoses of needs for improvement in judicial administration was completed in three PICs as representative of the region to inform a regional strategy which identifies and solves problems. Based thereon, local development plans were developed have approved in those three PICs.  Vanuatu is of its own volition progressing to implement its reform plan, with separate assistance from the MSC. </w:t>
            </w:r>
          </w:p>
          <w:p w:rsidR="00A6008B" w:rsidRPr="00E92571" w:rsidRDefault="00A6008B" w:rsidP="003468F7">
            <w:pPr>
              <w:rPr>
                <w:rFonts w:cs="Arial"/>
                <w:sz w:val="16"/>
                <w:szCs w:val="20"/>
              </w:rPr>
            </w:pPr>
          </w:p>
          <w:p w:rsidR="00A6008B" w:rsidRPr="00E92571" w:rsidRDefault="00A6008B" w:rsidP="003468F7">
            <w:pPr>
              <w:rPr>
                <w:rFonts w:cs="Arial"/>
                <w:sz w:val="20"/>
                <w:szCs w:val="20"/>
              </w:rPr>
            </w:pPr>
            <w:r w:rsidRPr="00E92571">
              <w:rPr>
                <w:rFonts w:cs="Arial"/>
                <w:sz w:val="20"/>
                <w:szCs w:val="20"/>
              </w:rPr>
              <w:t>Based on the most pressing need common to the diagnoses undertaken, a toolkit has been developed and is being piloted in 1 PIC to establish efficient case disposal time standards.  When finalised, the toolkit will be disseminated to all PICs.</w:t>
            </w:r>
          </w:p>
        </w:tc>
        <w:tc>
          <w:tcPr>
            <w:tcW w:w="2131" w:type="dxa"/>
            <w:tcBorders>
              <w:left w:val="nil"/>
              <w:bottom w:val="single" w:sz="4" w:space="0" w:color="auto"/>
              <w:right w:val="single" w:sz="4" w:space="0" w:color="auto"/>
            </w:tcBorders>
            <w:vAlign w:val="center"/>
          </w:tcPr>
          <w:p w:rsidR="00A6008B" w:rsidRPr="009A221A" w:rsidRDefault="00A6008B" w:rsidP="00992CE8">
            <w:pPr>
              <w:tabs>
                <w:tab w:val="left" w:pos="26"/>
              </w:tabs>
              <w:rPr>
                <w:rFonts w:cs="Arial"/>
                <w:b/>
                <w:bCs/>
                <w:i/>
                <w:sz w:val="20"/>
                <w:szCs w:val="22"/>
              </w:rPr>
            </w:pPr>
            <w:r w:rsidRPr="00E92571">
              <w:rPr>
                <w:sz w:val="20"/>
                <w:szCs w:val="20"/>
              </w:rPr>
              <w:t>Courts in up to four PICs introduce time standards for cases and commence reporting on case disposal rates.</w:t>
            </w:r>
          </w:p>
        </w:tc>
        <w:tc>
          <w:tcPr>
            <w:tcW w:w="2385" w:type="dxa"/>
            <w:vMerge w:val="restart"/>
            <w:tcBorders>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 xml:space="preserve">Time standards as promulgated and the number of PICs reporting on case disposal rates. </w:t>
            </w:r>
          </w:p>
        </w:tc>
        <w:tc>
          <w:tcPr>
            <w:tcW w:w="1541" w:type="dxa"/>
            <w:vMerge w:val="restart"/>
            <w:tcBorders>
              <w:left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TA report.</w:t>
            </w:r>
          </w:p>
        </w:tc>
        <w:tc>
          <w:tcPr>
            <w:tcW w:w="912" w:type="dxa"/>
            <w:gridSpan w:val="2"/>
            <w:vMerge w:val="restart"/>
            <w:tcBorders>
              <w:left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 xml:space="preserve">TA </w:t>
            </w:r>
          </w:p>
        </w:tc>
      </w:tr>
      <w:tr w:rsidR="00A6008B" w:rsidRPr="00E92571" w:rsidTr="00AD50E1">
        <w:trPr>
          <w:trHeight w:val="765"/>
          <w:jc w:val="center"/>
        </w:trPr>
        <w:tc>
          <w:tcPr>
            <w:tcW w:w="1604" w:type="dxa"/>
            <w:vMerge/>
            <w:tcBorders>
              <w:left w:val="single" w:sz="4" w:space="0" w:color="auto"/>
              <w:right w:val="single" w:sz="4" w:space="0" w:color="auto"/>
            </w:tcBorders>
            <w:vAlign w:val="center"/>
          </w:tcPr>
          <w:p w:rsidR="00A6008B" w:rsidRPr="00E92571" w:rsidRDefault="00A6008B" w:rsidP="003468F7">
            <w:pPr>
              <w:rPr>
                <w:rFonts w:cs="Arial"/>
                <w:sz w:val="20"/>
                <w:szCs w:val="20"/>
              </w:rPr>
            </w:pPr>
          </w:p>
        </w:tc>
        <w:tc>
          <w:tcPr>
            <w:tcW w:w="1701" w:type="dxa"/>
            <w:vMerge/>
            <w:tcBorders>
              <w:left w:val="single" w:sz="4" w:space="0" w:color="auto"/>
              <w:right w:val="single" w:sz="4" w:space="0" w:color="auto"/>
            </w:tcBorders>
            <w:vAlign w:val="center"/>
          </w:tcPr>
          <w:p w:rsidR="00A6008B" w:rsidRPr="00E92571" w:rsidRDefault="00A6008B" w:rsidP="003468F7">
            <w:pPr>
              <w:rPr>
                <w:rFonts w:cs="Arial"/>
                <w:sz w:val="20"/>
                <w:szCs w:val="20"/>
              </w:rPr>
            </w:pPr>
          </w:p>
        </w:tc>
        <w:tc>
          <w:tcPr>
            <w:tcW w:w="1984" w:type="dxa"/>
            <w:vMerge/>
            <w:tcBorders>
              <w:left w:val="single" w:sz="4" w:space="0" w:color="auto"/>
              <w:right w:val="single" w:sz="4" w:space="0" w:color="auto"/>
            </w:tcBorders>
            <w:vAlign w:val="center"/>
          </w:tcPr>
          <w:p w:rsidR="00A6008B" w:rsidRPr="00E92571" w:rsidRDefault="00A6008B" w:rsidP="003468F7">
            <w:pPr>
              <w:rPr>
                <w:rFonts w:cs="Arial"/>
                <w:sz w:val="20"/>
                <w:szCs w:val="20"/>
              </w:rPr>
            </w:pPr>
          </w:p>
        </w:tc>
        <w:tc>
          <w:tcPr>
            <w:tcW w:w="3402" w:type="dxa"/>
            <w:vMerge/>
            <w:tcBorders>
              <w:left w:val="single" w:sz="4" w:space="0" w:color="auto"/>
              <w:right w:val="single" w:sz="4" w:space="0" w:color="auto"/>
            </w:tcBorders>
            <w:vAlign w:val="center"/>
          </w:tcPr>
          <w:p w:rsidR="00A6008B" w:rsidRPr="00E92571" w:rsidRDefault="00A6008B" w:rsidP="003468F7">
            <w:pPr>
              <w:rPr>
                <w:rFonts w:cs="Arial"/>
                <w:sz w:val="20"/>
                <w:szCs w:val="20"/>
              </w:rPr>
            </w:pPr>
          </w:p>
        </w:tc>
        <w:tc>
          <w:tcPr>
            <w:tcW w:w="2131" w:type="dxa"/>
            <w:vMerge w:val="restart"/>
            <w:tcBorders>
              <w:top w:val="single" w:sz="4" w:space="0" w:color="auto"/>
              <w:left w:val="nil"/>
              <w:right w:val="single" w:sz="4" w:space="0" w:color="auto"/>
            </w:tcBorders>
            <w:vAlign w:val="center"/>
          </w:tcPr>
          <w:p w:rsidR="00A6008B" w:rsidRPr="00E92571" w:rsidRDefault="00A6008B" w:rsidP="003468F7">
            <w:pPr>
              <w:rPr>
                <w:sz w:val="20"/>
                <w:szCs w:val="20"/>
              </w:rPr>
            </w:pPr>
            <w:r w:rsidRPr="00E92571">
              <w:rPr>
                <w:sz w:val="20"/>
                <w:szCs w:val="20"/>
              </w:rPr>
              <w:t>Courts in up to three PICs introduce delay reduction practices and procedures.</w:t>
            </w:r>
          </w:p>
          <w:p w:rsidR="00A6008B" w:rsidRPr="00E92571" w:rsidRDefault="00A6008B" w:rsidP="003468F7">
            <w:pPr>
              <w:rPr>
                <w:rFonts w:cs="Arial"/>
                <w:sz w:val="20"/>
                <w:szCs w:val="20"/>
              </w:rPr>
            </w:pPr>
          </w:p>
        </w:tc>
        <w:tc>
          <w:tcPr>
            <w:tcW w:w="2385" w:type="dxa"/>
            <w:vMerge/>
            <w:tcBorders>
              <w:top w:val="single" w:sz="4" w:space="0" w:color="auto"/>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p>
        </w:tc>
        <w:tc>
          <w:tcPr>
            <w:tcW w:w="1541" w:type="dxa"/>
            <w:vMerge/>
            <w:tcBorders>
              <w:left w:val="single" w:sz="4" w:space="0" w:color="auto"/>
              <w:right w:val="single" w:sz="4" w:space="0" w:color="auto"/>
            </w:tcBorders>
            <w:vAlign w:val="center"/>
          </w:tcPr>
          <w:p w:rsidR="00A6008B" w:rsidRPr="00E92571" w:rsidRDefault="00A6008B" w:rsidP="003468F7">
            <w:pPr>
              <w:rPr>
                <w:rFonts w:cs="Arial"/>
                <w:sz w:val="20"/>
                <w:szCs w:val="20"/>
              </w:rPr>
            </w:pPr>
          </w:p>
        </w:tc>
        <w:tc>
          <w:tcPr>
            <w:tcW w:w="912" w:type="dxa"/>
            <w:gridSpan w:val="2"/>
            <w:vMerge/>
            <w:tcBorders>
              <w:left w:val="single" w:sz="4" w:space="0" w:color="auto"/>
              <w:right w:val="single" w:sz="4" w:space="0" w:color="auto"/>
            </w:tcBorders>
            <w:vAlign w:val="center"/>
          </w:tcPr>
          <w:p w:rsidR="00A6008B" w:rsidRPr="00E92571" w:rsidRDefault="00A6008B" w:rsidP="003468F7">
            <w:pPr>
              <w:rPr>
                <w:rFonts w:cs="Arial"/>
                <w:sz w:val="20"/>
                <w:szCs w:val="20"/>
              </w:rPr>
            </w:pPr>
          </w:p>
        </w:tc>
      </w:tr>
      <w:tr w:rsidR="00A6008B" w:rsidRPr="00E92571" w:rsidTr="00AD50E1">
        <w:trPr>
          <w:trHeight w:val="510"/>
          <w:jc w:val="center"/>
        </w:trPr>
        <w:tc>
          <w:tcPr>
            <w:tcW w:w="1604" w:type="dxa"/>
            <w:vMerge/>
            <w:tcBorders>
              <w:left w:val="single" w:sz="4" w:space="0" w:color="auto"/>
              <w:right w:val="single" w:sz="4" w:space="0" w:color="auto"/>
            </w:tcBorders>
            <w:vAlign w:val="center"/>
          </w:tcPr>
          <w:p w:rsidR="00A6008B" w:rsidRPr="00E92571" w:rsidRDefault="00A6008B" w:rsidP="003468F7">
            <w:pPr>
              <w:rPr>
                <w:rFonts w:cs="Arial"/>
                <w:sz w:val="20"/>
                <w:szCs w:val="20"/>
              </w:rPr>
            </w:pPr>
          </w:p>
        </w:tc>
        <w:tc>
          <w:tcPr>
            <w:tcW w:w="1701" w:type="dxa"/>
            <w:vMerge/>
            <w:tcBorders>
              <w:left w:val="single" w:sz="4" w:space="0" w:color="auto"/>
              <w:right w:val="single" w:sz="4" w:space="0" w:color="auto"/>
            </w:tcBorders>
            <w:vAlign w:val="center"/>
          </w:tcPr>
          <w:p w:rsidR="00A6008B" w:rsidRPr="00E92571" w:rsidRDefault="00A6008B" w:rsidP="003468F7">
            <w:pPr>
              <w:rPr>
                <w:rFonts w:cs="Arial"/>
                <w:sz w:val="20"/>
                <w:szCs w:val="20"/>
              </w:rPr>
            </w:pPr>
          </w:p>
        </w:tc>
        <w:tc>
          <w:tcPr>
            <w:tcW w:w="1984" w:type="dxa"/>
            <w:vMerge/>
            <w:tcBorders>
              <w:left w:val="single" w:sz="4" w:space="0" w:color="auto"/>
              <w:right w:val="single" w:sz="4" w:space="0" w:color="auto"/>
            </w:tcBorders>
            <w:vAlign w:val="center"/>
          </w:tcPr>
          <w:p w:rsidR="00A6008B" w:rsidRPr="00E92571" w:rsidRDefault="00A6008B" w:rsidP="003468F7">
            <w:pPr>
              <w:rPr>
                <w:rFonts w:cs="Arial"/>
                <w:sz w:val="20"/>
                <w:szCs w:val="20"/>
              </w:rPr>
            </w:pPr>
          </w:p>
        </w:tc>
        <w:tc>
          <w:tcPr>
            <w:tcW w:w="3402" w:type="dxa"/>
            <w:vMerge/>
            <w:tcBorders>
              <w:left w:val="single" w:sz="4" w:space="0" w:color="auto"/>
              <w:right w:val="single" w:sz="4" w:space="0" w:color="auto"/>
            </w:tcBorders>
            <w:vAlign w:val="center"/>
          </w:tcPr>
          <w:p w:rsidR="00A6008B" w:rsidRPr="00E92571" w:rsidRDefault="00A6008B" w:rsidP="003468F7">
            <w:pPr>
              <w:rPr>
                <w:rFonts w:cs="Arial"/>
                <w:sz w:val="20"/>
                <w:szCs w:val="20"/>
              </w:rPr>
            </w:pPr>
          </w:p>
        </w:tc>
        <w:tc>
          <w:tcPr>
            <w:tcW w:w="2131" w:type="dxa"/>
            <w:vMerge/>
            <w:tcBorders>
              <w:left w:val="nil"/>
              <w:bottom w:val="single" w:sz="4" w:space="0" w:color="auto"/>
              <w:right w:val="single" w:sz="4" w:space="0" w:color="auto"/>
            </w:tcBorders>
            <w:vAlign w:val="center"/>
          </w:tcPr>
          <w:p w:rsidR="00A6008B" w:rsidRPr="00E92571" w:rsidRDefault="00A6008B" w:rsidP="003468F7">
            <w:pPr>
              <w:rPr>
                <w:rFonts w:cs="Arial"/>
                <w:sz w:val="20"/>
                <w:szCs w:val="20"/>
              </w:rPr>
            </w:pPr>
          </w:p>
        </w:tc>
        <w:tc>
          <w:tcPr>
            <w:tcW w:w="2385" w:type="dxa"/>
            <w:tcBorders>
              <w:top w:val="nil"/>
              <w:left w:val="nil"/>
              <w:bottom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 xml:space="preserve">Quality, comprehensiveness and feasibility of the practices and procedures as implemented. </w:t>
            </w:r>
          </w:p>
        </w:tc>
        <w:tc>
          <w:tcPr>
            <w:tcW w:w="1541" w:type="dxa"/>
            <w:vMerge/>
            <w:tcBorders>
              <w:left w:val="single" w:sz="4" w:space="0" w:color="auto"/>
              <w:right w:val="single" w:sz="4" w:space="0" w:color="auto"/>
            </w:tcBorders>
            <w:vAlign w:val="center"/>
          </w:tcPr>
          <w:p w:rsidR="00A6008B" w:rsidRPr="00E92571" w:rsidRDefault="00A6008B" w:rsidP="003468F7">
            <w:pPr>
              <w:rPr>
                <w:rFonts w:cs="Arial"/>
                <w:sz w:val="20"/>
                <w:szCs w:val="20"/>
              </w:rPr>
            </w:pPr>
          </w:p>
        </w:tc>
        <w:tc>
          <w:tcPr>
            <w:tcW w:w="912" w:type="dxa"/>
            <w:gridSpan w:val="2"/>
            <w:vMerge/>
            <w:tcBorders>
              <w:left w:val="single" w:sz="4" w:space="0" w:color="auto"/>
              <w:right w:val="single" w:sz="4" w:space="0" w:color="auto"/>
            </w:tcBorders>
            <w:vAlign w:val="center"/>
          </w:tcPr>
          <w:p w:rsidR="00A6008B" w:rsidRPr="00E92571" w:rsidRDefault="00A6008B" w:rsidP="003468F7">
            <w:pPr>
              <w:rPr>
                <w:rFonts w:cs="Arial"/>
                <w:sz w:val="20"/>
                <w:szCs w:val="20"/>
              </w:rPr>
            </w:pPr>
          </w:p>
        </w:tc>
      </w:tr>
      <w:tr w:rsidR="00A6008B" w:rsidRPr="00E92571" w:rsidTr="0015609F">
        <w:trPr>
          <w:trHeight w:val="510"/>
          <w:jc w:val="center"/>
        </w:trPr>
        <w:tc>
          <w:tcPr>
            <w:tcW w:w="1604" w:type="dxa"/>
            <w:vMerge/>
            <w:tcBorders>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p>
        </w:tc>
        <w:tc>
          <w:tcPr>
            <w:tcW w:w="1701" w:type="dxa"/>
            <w:vMerge/>
            <w:tcBorders>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p>
        </w:tc>
        <w:tc>
          <w:tcPr>
            <w:tcW w:w="1984" w:type="dxa"/>
            <w:vMerge/>
            <w:tcBorders>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p>
        </w:tc>
        <w:tc>
          <w:tcPr>
            <w:tcW w:w="3402" w:type="dxa"/>
            <w:vMerge/>
            <w:tcBorders>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p>
        </w:tc>
        <w:tc>
          <w:tcPr>
            <w:tcW w:w="2131" w:type="dxa"/>
            <w:tcBorders>
              <w:top w:val="nil"/>
              <w:left w:val="nil"/>
              <w:bottom w:val="single" w:sz="4" w:space="0" w:color="auto"/>
              <w:right w:val="single" w:sz="4" w:space="0" w:color="auto"/>
            </w:tcBorders>
            <w:vAlign w:val="center"/>
          </w:tcPr>
          <w:p w:rsidR="00A6008B" w:rsidRPr="00E92571" w:rsidRDefault="00A6008B" w:rsidP="003468F7">
            <w:pPr>
              <w:rPr>
                <w:sz w:val="20"/>
                <w:szCs w:val="20"/>
              </w:rPr>
            </w:pPr>
            <w:r w:rsidRPr="00E92571">
              <w:rPr>
                <w:sz w:val="20"/>
                <w:szCs w:val="20"/>
              </w:rPr>
              <w:t>A regional network of IT administrators established and supported.</w:t>
            </w:r>
          </w:p>
        </w:tc>
        <w:tc>
          <w:tcPr>
            <w:tcW w:w="2385" w:type="dxa"/>
            <w:tcBorders>
              <w:top w:val="nil"/>
              <w:left w:val="nil"/>
              <w:bottom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Quality and quantity of dialogue between IT administrators in participating PIC.</w:t>
            </w:r>
          </w:p>
          <w:p w:rsidR="00A6008B" w:rsidRPr="00E92571" w:rsidRDefault="00A6008B" w:rsidP="003468F7">
            <w:pPr>
              <w:rPr>
                <w:rFonts w:cs="Arial"/>
                <w:sz w:val="8"/>
                <w:szCs w:val="20"/>
              </w:rPr>
            </w:pPr>
          </w:p>
          <w:p w:rsidR="00A6008B" w:rsidRPr="00E92571" w:rsidDel="00C90EED" w:rsidRDefault="00A6008B" w:rsidP="003468F7">
            <w:pPr>
              <w:rPr>
                <w:rFonts w:cs="Arial"/>
                <w:sz w:val="20"/>
                <w:szCs w:val="20"/>
              </w:rPr>
            </w:pPr>
            <w:r w:rsidRPr="00E92571">
              <w:rPr>
                <w:rFonts w:cs="Arial"/>
                <w:sz w:val="20"/>
                <w:szCs w:val="20"/>
              </w:rPr>
              <w:t>Feedback from IT administrators as to whether this network mechanism is actually helping PICs to resolve relevant IT issues.</w:t>
            </w:r>
          </w:p>
        </w:tc>
        <w:tc>
          <w:tcPr>
            <w:tcW w:w="1541" w:type="dxa"/>
            <w:vMerge/>
            <w:tcBorders>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p>
        </w:tc>
        <w:tc>
          <w:tcPr>
            <w:tcW w:w="912" w:type="dxa"/>
            <w:gridSpan w:val="2"/>
            <w:vMerge/>
            <w:tcBorders>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p>
        </w:tc>
      </w:tr>
      <w:tr w:rsidR="00A6008B" w:rsidRPr="00E92571" w:rsidTr="0015609F">
        <w:trPr>
          <w:trHeight w:val="255"/>
          <w:jc w:val="center"/>
        </w:trPr>
        <w:tc>
          <w:tcPr>
            <w:tcW w:w="15660" w:type="dxa"/>
            <w:gridSpan w:val="9"/>
            <w:tcBorders>
              <w:top w:val="single" w:sz="4" w:space="0" w:color="auto"/>
              <w:left w:val="single" w:sz="4" w:space="0" w:color="auto"/>
              <w:right w:val="single" w:sz="4" w:space="0" w:color="auto"/>
            </w:tcBorders>
            <w:vAlign w:val="center"/>
          </w:tcPr>
          <w:p w:rsidR="00A6008B" w:rsidRPr="009A221A" w:rsidRDefault="00A6008B" w:rsidP="003468F7">
            <w:pPr>
              <w:spacing w:before="120"/>
              <w:rPr>
                <w:rFonts w:cs="Arial"/>
                <w:b/>
                <w:bCs/>
                <w:sz w:val="22"/>
                <w:szCs w:val="22"/>
              </w:rPr>
            </w:pPr>
            <w:r w:rsidRPr="00E92571">
              <w:rPr>
                <w:rFonts w:cs="Arial"/>
                <w:b/>
                <w:bCs/>
                <w:sz w:val="22"/>
                <w:szCs w:val="22"/>
              </w:rPr>
              <w:t>3.2 Court Annual Reporting (formerly Performance Monitoring &amp; Evaluation) Project</w:t>
            </w:r>
          </w:p>
        </w:tc>
      </w:tr>
      <w:tr w:rsidR="00A6008B" w:rsidRPr="00E92571" w:rsidTr="0015609F">
        <w:trPr>
          <w:trHeight w:val="109"/>
          <w:jc w:val="center"/>
        </w:trPr>
        <w:tc>
          <w:tcPr>
            <w:tcW w:w="1604" w:type="dxa"/>
            <w:vMerge w:val="restart"/>
            <w:tcBorders>
              <w:left w:val="single" w:sz="4" w:space="0" w:color="auto"/>
              <w:bottom w:val="single" w:sz="4" w:space="0" w:color="auto"/>
              <w:right w:val="single" w:sz="4" w:space="0" w:color="auto"/>
            </w:tcBorders>
            <w:vAlign w:val="center"/>
          </w:tcPr>
          <w:p w:rsidR="00A6008B" w:rsidRPr="00E92571" w:rsidRDefault="00A6008B" w:rsidP="003468F7">
            <w:pPr>
              <w:rPr>
                <w:rFonts w:cs="Arial"/>
                <w:b/>
                <w:bCs/>
                <w:i/>
                <w:color w:val="FF0000"/>
                <w:sz w:val="20"/>
                <w:szCs w:val="20"/>
              </w:rPr>
            </w:pPr>
            <w:r w:rsidRPr="00E92571">
              <w:rPr>
                <w:sz w:val="20"/>
                <w:szCs w:val="20"/>
              </w:rPr>
              <w:t>Up to 6 courts publically reporting on performance on an annual basis across the region.</w:t>
            </w:r>
          </w:p>
          <w:p w:rsidR="00A6008B" w:rsidRPr="00E92571" w:rsidRDefault="00A6008B" w:rsidP="003468F7">
            <w:pPr>
              <w:rPr>
                <w:rFonts w:cs="Arial"/>
                <w:sz w:val="20"/>
                <w:szCs w:val="20"/>
              </w:rPr>
            </w:pPr>
          </w:p>
        </w:tc>
        <w:tc>
          <w:tcPr>
            <w:tcW w:w="1701" w:type="dxa"/>
            <w:vMerge w:val="restart"/>
            <w:tcBorders>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All PICs have increased capacity to assess court performance and have access to the tools need to enable them to increase transparency and accountability through the development of Annual Court Reports.</w:t>
            </w:r>
          </w:p>
        </w:tc>
        <w:tc>
          <w:tcPr>
            <w:tcW w:w="1984" w:type="dxa"/>
            <w:vMerge w:val="restart"/>
            <w:tcBorders>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There is no PIC judicial and court baseline data utilising a common set of indicators.</w:t>
            </w:r>
          </w:p>
        </w:tc>
        <w:tc>
          <w:tcPr>
            <w:tcW w:w="3402" w:type="dxa"/>
            <w:vMerge w:val="restart"/>
            <w:tcBorders>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Annual judicial and court baseline data was and is again being collected in 14 PICs using a common set of 14 indicators developed for PJDP using a research-based approach to judicial performance monitoring. The framework was approved by the PEC.  There is now clarity as to the status quo of court performance across the region with second year data to be presented to the PEC by June 2013.  This data will be considered to enable PICs to reflect on what further developments can be undertaken to improve performance in order to provide better justice services for court users.  Coupled with the outcome of the Access to Justice pilot, at least 1 PIC will better understand what actual/potential court users need.</w:t>
            </w:r>
          </w:p>
          <w:p w:rsidR="00A6008B" w:rsidRPr="00E92571" w:rsidRDefault="00A6008B" w:rsidP="003468F7">
            <w:pPr>
              <w:rPr>
                <w:rFonts w:cs="Arial"/>
                <w:sz w:val="16"/>
                <w:szCs w:val="20"/>
              </w:rPr>
            </w:pPr>
          </w:p>
          <w:p w:rsidR="00A6008B" w:rsidRPr="00E92571" w:rsidRDefault="00A6008B" w:rsidP="003468F7">
            <w:pPr>
              <w:rPr>
                <w:rFonts w:cs="Arial"/>
                <w:sz w:val="20"/>
                <w:szCs w:val="20"/>
              </w:rPr>
            </w:pPr>
            <w:r w:rsidRPr="00E92571">
              <w:rPr>
                <w:rFonts w:cs="Arial"/>
                <w:sz w:val="20"/>
                <w:szCs w:val="20"/>
              </w:rPr>
              <w:t>In addition a toolkit has been developed and is being piloted in Tokelau to publish performance data among other information in annual court reports.  When final, the toolkit will be disseminated to all PICs.</w:t>
            </w:r>
          </w:p>
        </w:tc>
        <w:tc>
          <w:tcPr>
            <w:tcW w:w="2131" w:type="dxa"/>
            <w:tcBorders>
              <w:left w:val="nil"/>
              <w:right w:val="single" w:sz="4" w:space="0" w:color="auto"/>
            </w:tcBorders>
            <w:vAlign w:val="center"/>
          </w:tcPr>
          <w:p w:rsidR="00A6008B" w:rsidRPr="00E92571" w:rsidRDefault="00A6008B" w:rsidP="003468F7">
            <w:pPr>
              <w:rPr>
                <w:rFonts w:cs="Arial"/>
                <w:bCs/>
                <w:sz w:val="20"/>
                <w:szCs w:val="20"/>
              </w:rPr>
            </w:pPr>
            <w:r w:rsidRPr="00E92571">
              <w:rPr>
                <w:rFonts w:cs="Arial"/>
                <w:bCs/>
                <w:sz w:val="20"/>
                <w:szCs w:val="20"/>
              </w:rPr>
              <w:t xml:space="preserve">Timely, accurate and comprehensive annual court reports published by up to three PICs that include relevant court data as well as court user feedback on </w:t>
            </w:r>
            <w:r w:rsidRPr="00E92571">
              <w:rPr>
                <w:sz w:val="20"/>
                <w:szCs w:val="20"/>
              </w:rPr>
              <w:t>barriers to accessing, satisfaction with, and confidence in the courts.</w:t>
            </w:r>
          </w:p>
          <w:p w:rsidR="00A6008B" w:rsidRPr="00E92571" w:rsidRDefault="00A6008B" w:rsidP="003468F7">
            <w:pPr>
              <w:rPr>
                <w:rFonts w:cs="Arial"/>
                <w:sz w:val="20"/>
                <w:szCs w:val="20"/>
              </w:rPr>
            </w:pPr>
          </w:p>
        </w:tc>
        <w:tc>
          <w:tcPr>
            <w:tcW w:w="2385" w:type="dxa"/>
            <w:tcBorders>
              <w:left w:val="nil"/>
              <w:right w:val="single" w:sz="4" w:space="0" w:color="auto"/>
            </w:tcBorders>
            <w:vAlign w:val="center"/>
          </w:tcPr>
          <w:p w:rsidR="00A6008B" w:rsidRPr="00E92571" w:rsidRDefault="00A6008B" w:rsidP="003468F7">
            <w:pPr>
              <w:rPr>
                <w:rFonts w:cs="Arial"/>
                <w:sz w:val="20"/>
                <w:szCs w:val="20"/>
              </w:rPr>
            </w:pPr>
          </w:p>
          <w:p w:rsidR="00A6008B" w:rsidRPr="00E92571" w:rsidRDefault="00A6008B" w:rsidP="003468F7">
            <w:pPr>
              <w:rPr>
                <w:rFonts w:cs="Arial"/>
                <w:sz w:val="20"/>
                <w:szCs w:val="20"/>
              </w:rPr>
            </w:pPr>
            <w:r w:rsidRPr="00E92571">
              <w:rPr>
                <w:rFonts w:cs="Arial"/>
                <w:sz w:val="20"/>
                <w:szCs w:val="20"/>
              </w:rPr>
              <w:t>Number of PICs producing an annual report published and the quality of the data contained therein.</w:t>
            </w:r>
          </w:p>
        </w:tc>
        <w:tc>
          <w:tcPr>
            <w:tcW w:w="1541" w:type="dxa"/>
            <w:tcBorders>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TA report &amp; PEC/CJ assessment minuted.</w:t>
            </w:r>
          </w:p>
        </w:tc>
        <w:tc>
          <w:tcPr>
            <w:tcW w:w="912" w:type="dxa"/>
            <w:gridSpan w:val="2"/>
            <w:tcBorders>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TA/ MSC</w:t>
            </w:r>
          </w:p>
        </w:tc>
      </w:tr>
      <w:tr w:rsidR="00A6008B" w:rsidRPr="00E92571" w:rsidTr="00AD50E1">
        <w:trPr>
          <w:trHeight w:val="1021"/>
          <w:jc w:val="center"/>
        </w:trPr>
        <w:tc>
          <w:tcPr>
            <w:tcW w:w="1604" w:type="dxa"/>
            <w:vMerge/>
            <w:tcBorders>
              <w:top w:val="nil"/>
              <w:left w:val="single" w:sz="4" w:space="0" w:color="auto"/>
              <w:bottom w:val="single" w:sz="4" w:space="0" w:color="000000"/>
              <w:right w:val="single" w:sz="4" w:space="0" w:color="auto"/>
            </w:tcBorders>
            <w:vAlign w:val="center"/>
          </w:tcPr>
          <w:p w:rsidR="00A6008B" w:rsidRPr="00E92571" w:rsidRDefault="00A6008B" w:rsidP="003468F7">
            <w:pPr>
              <w:rPr>
                <w:rFonts w:cs="Arial"/>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p>
        </w:tc>
        <w:tc>
          <w:tcPr>
            <w:tcW w:w="2131" w:type="dxa"/>
            <w:vMerge w:val="restart"/>
            <w:tcBorders>
              <w:top w:val="single" w:sz="4" w:space="0" w:color="auto"/>
              <w:left w:val="single" w:sz="4" w:space="0" w:color="auto"/>
              <w:right w:val="single" w:sz="4" w:space="0" w:color="auto"/>
            </w:tcBorders>
            <w:vAlign w:val="center"/>
          </w:tcPr>
          <w:p w:rsidR="00A6008B" w:rsidRPr="00E92571" w:rsidRDefault="00A6008B" w:rsidP="009340F0">
            <w:pPr>
              <w:rPr>
                <w:rFonts w:cs="Arial"/>
                <w:sz w:val="20"/>
                <w:szCs w:val="20"/>
              </w:rPr>
            </w:pPr>
            <w:r w:rsidRPr="00E92571">
              <w:rPr>
                <w:rFonts w:cs="Arial"/>
                <w:sz w:val="20"/>
                <w:szCs w:val="20"/>
              </w:rPr>
              <w:t>Year two and four court performance trend data reported by PICs.</w:t>
            </w:r>
          </w:p>
        </w:tc>
        <w:tc>
          <w:tcPr>
            <w:tcW w:w="2385" w:type="dxa"/>
            <w:tcBorders>
              <w:top w:val="single" w:sz="4" w:space="0" w:color="auto"/>
              <w:left w:val="nil"/>
              <w:bottom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Quality and breadth of data reported.</w:t>
            </w:r>
          </w:p>
        </w:tc>
        <w:tc>
          <w:tcPr>
            <w:tcW w:w="1541" w:type="dxa"/>
            <w:tcBorders>
              <w:top w:val="nil"/>
              <w:left w:val="nil"/>
              <w:bottom w:val="single" w:sz="4" w:space="0" w:color="auto"/>
              <w:right w:val="nil"/>
            </w:tcBorders>
            <w:vAlign w:val="center"/>
          </w:tcPr>
          <w:p w:rsidR="00A6008B" w:rsidRPr="00E92571" w:rsidRDefault="00A6008B" w:rsidP="003468F7">
            <w:pPr>
              <w:rPr>
                <w:rFonts w:cs="Arial"/>
                <w:sz w:val="20"/>
                <w:szCs w:val="20"/>
              </w:rPr>
            </w:pPr>
            <w:r w:rsidRPr="00E92571">
              <w:rPr>
                <w:rFonts w:cs="Arial"/>
                <w:sz w:val="20"/>
                <w:szCs w:val="20"/>
              </w:rPr>
              <w:t>TA report.</w:t>
            </w:r>
          </w:p>
        </w:tc>
        <w:tc>
          <w:tcPr>
            <w:tcW w:w="912" w:type="dxa"/>
            <w:gridSpan w:val="2"/>
            <w:vMerge w:val="restart"/>
            <w:tcBorders>
              <w:top w:val="nil"/>
              <w:left w:val="single" w:sz="4" w:space="0" w:color="auto"/>
              <w:bottom w:val="single" w:sz="4" w:space="0" w:color="000000"/>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TA</w:t>
            </w:r>
          </w:p>
        </w:tc>
      </w:tr>
      <w:tr w:rsidR="00A6008B" w:rsidRPr="00E92571" w:rsidTr="002E4D33">
        <w:trPr>
          <w:trHeight w:val="109"/>
          <w:jc w:val="center"/>
        </w:trPr>
        <w:tc>
          <w:tcPr>
            <w:tcW w:w="1604" w:type="dxa"/>
            <w:vMerge/>
            <w:tcBorders>
              <w:top w:val="nil"/>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p>
        </w:tc>
        <w:tc>
          <w:tcPr>
            <w:tcW w:w="2131" w:type="dxa"/>
            <w:vMerge/>
            <w:tcBorders>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p>
        </w:tc>
        <w:tc>
          <w:tcPr>
            <w:tcW w:w="2385" w:type="dxa"/>
            <w:tcBorders>
              <w:top w:val="single" w:sz="4" w:space="0" w:color="auto"/>
              <w:left w:val="nil"/>
              <w:bottom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Frequency and nature of references to performance data in court administrative and planning documents.</w:t>
            </w:r>
          </w:p>
        </w:tc>
        <w:tc>
          <w:tcPr>
            <w:tcW w:w="1541" w:type="dxa"/>
            <w:tcBorders>
              <w:top w:val="nil"/>
              <w:left w:val="nil"/>
              <w:bottom w:val="single" w:sz="4" w:space="0" w:color="auto"/>
              <w:right w:val="nil"/>
            </w:tcBorders>
            <w:vAlign w:val="center"/>
          </w:tcPr>
          <w:p w:rsidR="00A6008B" w:rsidRPr="00E92571" w:rsidRDefault="00A6008B" w:rsidP="003468F7">
            <w:pPr>
              <w:rPr>
                <w:rFonts w:cs="Arial"/>
                <w:sz w:val="20"/>
                <w:szCs w:val="20"/>
              </w:rPr>
            </w:pPr>
            <w:r w:rsidRPr="00E92571">
              <w:rPr>
                <w:rFonts w:cs="Arial"/>
                <w:sz w:val="20"/>
                <w:szCs w:val="20"/>
              </w:rPr>
              <w:t>NCs / PIC Courts.</w:t>
            </w:r>
          </w:p>
        </w:tc>
        <w:tc>
          <w:tcPr>
            <w:tcW w:w="912" w:type="dxa"/>
            <w:gridSpan w:val="2"/>
            <w:vMerge/>
            <w:tcBorders>
              <w:top w:val="nil"/>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p>
        </w:tc>
      </w:tr>
      <w:tr w:rsidR="00A6008B" w:rsidRPr="00E92571" w:rsidTr="002E4D33">
        <w:trPr>
          <w:trHeight w:val="190"/>
          <w:jc w:val="center"/>
        </w:trPr>
        <w:tc>
          <w:tcPr>
            <w:tcW w:w="15660" w:type="dxa"/>
            <w:gridSpan w:val="9"/>
            <w:tcBorders>
              <w:top w:val="single" w:sz="4" w:space="0" w:color="auto"/>
              <w:left w:val="single" w:sz="4" w:space="0" w:color="auto"/>
              <w:bottom w:val="single" w:sz="4" w:space="0" w:color="auto"/>
              <w:right w:val="single" w:sz="4" w:space="0" w:color="auto"/>
            </w:tcBorders>
            <w:shd w:val="clear" w:color="auto" w:fill="CCCCCC"/>
            <w:vAlign w:val="center"/>
          </w:tcPr>
          <w:p w:rsidR="00A6008B" w:rsidRPr="00E92571" w:rsidRDefault="00A6008B" w:rsidP="003468F7">
            <w:pPr>
              <w:spacing w:before="120"/>
              <w:rPr>
                <w:rFonts w:cs="Arial"/>
                <w:b/>
                <w:bCs/>
                <w:szCs w:val="23"/>
              </w:rPr>
            </w:pPr>
            <w:r w:rsidRPr="00E92571">
              <w:rPr>
                <w:rFonts w:cs="Arial"/>
                <w:b/>
                <w:bCs/>
                <w:szCs w:val="23"/>
              </w:rPr>
              <w:t>4.0 Professional Development</w:t>
            </w:r>
          </w:p>
        </w:tc>
      </w:tr>
      <w:tr w:rsidR="00A6008B" w:rsidRPr="00E92571" w:rsidTr="002E4D33">
        <w:trPr>
          <w:trHeight w:val="119"/>
          <w:jc w:val="center"/>
        </w:trPr>
        <w:tc>
          <w:tcPr>
            <w:tcW w:w="1604" w:type="dxa"/>
            <w:vMerge w:val="restart"/>
            <w:tcBorders>
              <w:top w:val="single" w:sz="4" w:space="0" w:color="auto"/>
              <w:left w:val="single" w:sz="4" w:space="0" w:color="auto"/>
              <w:right w:val="single" w:sz="4" w:space="0" w:color="auto"/>
            </w:tcBorders>
            <w:vAlign w:val="center"/>
          </w:tcPr>
          <w:p w:rsidR="00A6008B" w:rsidRPr="0042120D" w:rsidRDefault="00A6008B" w:rsidP="00FF43DF">
            <w:pPr>
              <w:spacing w:before="120"/>
              <w:rPr>
                <w:sz w:val="20"/>
                <w:szCs w:val="20"/>
              </w:rPr>
            </w:pPr>
            <w:r w:rsidRPr="00E92571">
              <w:rPr>
                <w:rFonts w:cs="Arial"/>
                <w:sz w:val="20"/>
                <w:szCs w:val="20"/>
              </w:rPr>
              <w:t xml:space="preserve">Every PIC </w:t>
            </w:r>
            <w:r>
              <w:rPr>
                <w:rFonts w:cs="Arial"/>
                <w:sz w:val="20"/>
                <w:szCs w:val="20"/>
              </w:rPr>
              <w:t xml:space="preserve">continues to have </w:t>
            </w:r>
            <w:r w:rsidRPr="00E92571">
              <w:rPr>
                <w:rFonts w:cs="Arial"/>
                <w:sz w:val="20"/>
                <w:szCs w:val="20"/>
              </w:rPr>
              <w:t xml:space="preserve">access to </w:t>
            </w:r>
            <w:r>
              <w:rPr>
                <w:rFonts w:cs="Arial"/>
                <w:sz w:val="20"/>
                <w:szCs w:val="20"/>
              </w:rPr>
              <w:t xml:space="preserve">one or more </w:t>
            </w:r>
            <w:r w:rsidRPr="00E92571">
              <w:rPr>
                <w:rFonts w:cs="Arial"/>
                <w:sz w:val="20"/>
                <w:szCs w:val="20"/>
              </w:rPr>
              <w:t>certified trainer</w:t>
            </w:r>
            <w:r>
              <w:rPr>
                <w:rFonts w:cs="Arial"/>
                <w:sz w:val="20"/>
                <w:szCs w:val="20"/>
              </w:rPr>
              <w:t>(s)</w:t>
            </w:r>
            <w:r w:rsidRPr="00E92571">
              <w:rPr>
                <w:rFonts w:cs="Arial"/>
                <w:sz w:val="20"/>
                <w:szCs w:val="20"/>
              </w:rPr>
              <w:t xml:space="preserve"> able to assess needs, design and deliver training to judicial and court officers</w:t>
            </w:r>
            <w:r>
              <w:rPr>
                <w:sz w:val="20"/>
                <w:szCs w:val="20"/>
              </w:rPr>
              <w:t xml:space="preserve">within the region to build professional competence. </w:t>
            </w:r>
            <w:r>
              <w:rPr>
                <w:rFonts w:cs="Arial"/>
                <w:bCs/>
                <w:sz w:val="20"/>
                <w:szCs w:val="20"/>
              </w:rPr>
              <w:t>75</w:t>
            </w:r>
            <w:r w:rsidRPr="0042120D">
              <w:rPr>
                <w:rFonts w:cs="Arial"/>
                <w:bCs/>
                <w:sz w:val="20"/>
                <w:szCs w:val="20"/>
              </w:rPr>
              <w:t>% of Judicial and court officers report increased confidence following training workshops</w:t>
            </w:r>
            <w:r w:rsidRPr="0042120D">
              <w:rPr>
                <w:rFonts w:cs="Arial"/>
                <w:sz w:val="20"/>
                <w:szCs w:val="20"/>
              </w:rPr>
              <w:t>.</w:t>
            </w:r>
          </w:p>
        </w:tc>
        <w:tc>
          <w:tcPr>
            <w:tcW w:w="1701" w:type="dxa"/>
            <w:vMerge w:val="restart"/>
            <w:tcBorders>
              <w:top w:val="single" w:sz="4" w:space="0" w:color="auto"/>
              <w:left w:val="single" w:sz="4" w:space="0" w:color="auto"/>
              <w:right w:val="single" w:sz="4" w:space="0" w:color="auto"/>
            </w:tcBorders>
            <w:vAlign w:val="center"/>
          </w:tcPr>
          <w:p w:rsidR="00A6008B" w:rsidRPr="00E92571" w:rsidRDefault="00A6008B" w:rsidP="003468F7">
            <w:pPr>
              <w:spacing w:before="120"/>
              <w:rPr>
                <w:rFonts w:cs="Arial"/>
                <w:b/>
                <w:bCs/>
                <w:szCs w:val="23"/>
              </w:rPr>
            </w:pPr>
            <w:r w:rsidRPr="00E92571">
              <w:rPr>
                <w:rFonts w:cs="Arial"/>
                <w:sz w:val="20"/>
                <w:szCs w:val="20"/>
              </w:rPr>
              <w:t>Every PIC has: access to a certified (national or regional) trainer to assess needs, design and deliver training to judicial and court officers; and judicial officers report 25% increase in competence as a result of attending workshop.</w:t>
            </w:r>
          </w:p>
        </w:tc>
        <w:tc>
          <w:tcPr>
            <w:tcW w:w="1984" w:type="dxa"/>
            <w:vMerge w:val="restart"/>
            <w:tcBorders>
              <w:top w:val="single" w:sz="4" w:space="0" w:color="auto"/>
              <w:left w:val="single" w:sz="4" w:space="0" w:color="auto"/>
              <w:right w:val="single" w:sz="4" w:space="0" w:color="auto"/>
            </w:tcBorders>
            <w:vAlign w:val="center"/>
          </w:tcPr>
          <w:p w:rsidR="00A6008B" w:rsidRPr="00E92571" w:rsidRDefault="00A6008B" w:rsidP="003468F7">
            <w:pPr>
              <w:spacing w:before="120"/>
              <w:rPr>
                <w:rFonts w:cs="Arial"/>
                <w:b/>
                <w:bCs/>
                <w:szCs w:val="23"/>
              </w:rPr>
            </w:pPr>
            <w:r w:rsidRPr="00E92571">
              <w:rPr>
                <w:rFonts w:cs="Arial"/>
                <w:sz w:val="20"/>
                <w:szCs w:val="20"/>
              </w:rPr>
              <w:t>As at July 2010 there are 23 accredited judicial educators in 10 PICs, no Regional Training Team and no PIC-tailored ToT training programme. Judicial officers have not received regional orientation and decision-making training since the cessation of PJDP Phase 1 in June 2008.  Data about links between judicial orientation training and performance do not exist across the region.</w:t>
            </w:r>
          </w:p>
        </w:tc>
        <w:tc>
          <w:tcPr>
            <w:tcW w:w="3402" w:type="dxa"/>
            <w:vMerge w:val="restart"/>
            <w:tcBorders>
              <w:top w:val="single" w:sz="4" w:space="0" w:color="auto"/>
              <w:left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 xml:space="preserve">Four ToT and one refresher programmes have been conducted for 73 people.  18 of those people received training since July 2012. </w:t>
            </w:r>
          </w:p>
          <w:p w:rsidR="00A6008B" w:rsidRPr="00E92571" w:rsidRDefault="00A6008B" w:rsidP="003468F7">
            <w:pPr>
              <w:rPr>
                <w:rFonts w:cs="Arial"/>
                <w:sz w:val="20"/>
                <w:szCs w:val="20"/>
              </w:rPr>
            </w:pPr>
            <w:r w:rsidRPr="00E92571">
              <w:rPr>
                <w:rFonts w:cs="Arial"/>
                <w:sz w:val="20"/>
                <w:szCs w:val="20"/>
              </w:rPr>
              <w:t>A PIC-specific ToT was designed.  To date, 35 participants have been certified competent to become members of the Regional Training Team and 20 have been certified competent to deliver training locally.  35 members of the RTT have been mobilised to co-facilitate 5 workshops.  11 of 13 capacity building RF activities were facilitated by members of the RTT and one PIC independently conducted a capacity building activity facilitated by a member of the RTT.</w:t>
            </w:r>
          </w:p>
          <w:p w:rsidR="00A6008B" w:rsidRPr="00E92571" w:rsidRDefault="00A6008B" w:rsidP="003468F7">
            <w:pPr>
              <w:spacing w:before="120"/>
              <w:rPr>
                <w:rFonts w:cs="Arial"/>
                <w:b/>
                <w:bCs/>
                <w:szCs w:val="23"/>
              </w:rPr>
            </w:pPr>
            <w:r w:rsidRPr="00E92571">
              <w:rPr>
                <w:rFonts w:cs="Arial"/>
                <w:sz w:val="20"/>
                <w:szCs w:val="20"/>
              </w:rPr>
              <w:t>57 Judicial/court officers have received training as follows: 34 orientation; 23 decision-making training and assessment of improvements in performance following the training are scheduled.</w:t>
            </w:r>
          </w:p>
        </w:tc>
        <w:tc>
          <w:tcPr>
            <w:tcW w:w="2131" w:type="dxa"/>
            <w:vMerge w:val="restart"/>
            <w:tcBorders>
              <w:top w:val="single" w:sz="4" w:space="0" w:color="auto"/>
              <w:left w:val="single" w:sz="4" w:space="0" w:color="auto"/>
              <w:right w:val="single" w:sz="4" w:space="0" w:color="auto"/>
            </w:tcBorders>
            <w:vAlign w:val="center"/>
          </w:tcPr>
          <w:p w:rsidR="00A6008B" w:rsidRPr="00E92571" w:rsidRDefault="00A6008B" w:rsidP="003468F7">
            <w:pPr>
              <w:spacing w:before="120"/>
              <w:rPr>
                <w:rFonts w:cs="Arial"/>
                <w:b/>
                <w:bCs/>
                <w:sz w:val="20"/>
                <w:szCs w:val="20"/>
              </w:rPr>
            </w:pPr>
            <w:r w:rsidRPr="00E92571">
              <w:rPr>
                <w:sz w:val="20"/>
                <w:szCs w:val="20"/>
              </w:rPr>
              <w:t>PICs have greater capacity and ability to deliver their own professional development training locally and regionally</w:t>
            </w:r>
            <w:r w:rsidRPr="00E92571">
              <w:rPr>
                <w:rFonts w:cs="Arial"/>
                <w:sz w:val="20"/>
                <w:szCs w:val="20"/>
              </w:rPr>
              <w:t>.</w:t>
            </w:r>
          </w:p>
        </w:tc>
        <w:tc>
          <w:tcPr>
            <w:tcW w:w="2385" w:type="dxa"/>
            <w:tcBorders>
              <w:top w:val="single" w:sz="4" w:space="0" w:color="auto"/>
              <w:left w:val="single" w:sz="4" w:space="0" w:color="auto"/>
              <w:right w:val="single" w:sz="4" w:space="0" w:color="auto"/>
            </w:tcBorders>
            <w:vAlign w:val="center"/>
          </w:tcPr>
          <w:p w:rsidR="00A6008B" w:rsidRPr="00E92571" w:rsidRDefault="00A6008B" w:rsidP="003468F7">
            <w:pPr>
              <w:spacing w:before="120"/>
              <w:rPr>
                <w:rFonts w:cs="Arial"/>
                <w:sz w:val="20"/>
                <w:szCs w:val="20"/>
              </w:rPr>
            </w:pPr>
            <w:r w:rsidRPr="00E92571">
              <w:rPr>
                <w:rFonts w:cs="Arial"/>
                <w:sz w:val="20"/>
                <w:szCs w:val="20"/>
              </w:rPr>
              <w:t>The number of local trainers/RTT members leading training locally without PJDP support/intervention.</w:t>
            </w:r>
          </w:p>
          <w:p w:rsidR="00A6008B" w:rsidRPr="00E92571" w:rsidRDefault="00A6008B" w:rsidP="003468F7">
            <w:pPr>
              <w:spacing w:before="120"/>
              <w:rPr>
                <w:rFonts w:cs="Arial"/>
                <w:b/>
                <w:bCs/>
                <w:szCs w:val="23"/>
              </w:rPr>
            </w:pPr>
          </w:p>
        </w:tc>
        <w:tc>
          <w:tcPr>
            <w:tcW w:w="1555" w:type="dxa"/>
            <w:gridSpan w:val="2"/>
            <w:tcBorders>
              <w:top w:val="single" w:sz="4" w:space="0" w:color="auto"/>
              <w:left w:val="single" w:sz="4" w:space="0" w:color="auto"/>
              <w:right w:val="single" w:sz="4" w:space="0" w:color="auto"/>
            </w:tcBorders>
            <w:vAlign w:val="center"/>
          </w:tcPr>
          <w:p w:rsidR="00A6008B" w:rsidRPr="00E92571" w:rsidRDefault="00A6008B" w:rsidP="003468F7">
            <w:pPr>
              <w:spacing w:before="120"/>
              <w:rPr>
                <w:rFonts w:cs="Arial"/>
                <w:b/>
                <w:bCs/>
                <w:szCs w:val="23"/>
              </w:rPr>
            </w:pPr>
            <w:r w:rsidRPr="00E92571">
              <w:rPr>
                <w:rFonts w:cs="Arial"/>
                <w:sz w:val="20"/>
                <w:szCs w:val="20"/>
              </w:rPr>
              <w:t>TA reports, trainers’/RTT members reports.</w:t>
            </w:r>
          </w:p>
        </w:tc>
        <w:tc>
          <w:tcPr>
            <w:tcW w:w="898" w:type="dxa"/>
            <w:tcBorders>
              <w:top w:val="single" w:sz="4" w:space="0" w:color="auto"/>
              <w:left w:val="single" w:sz="4" w:space="0" w:color="auto"/>
              <w:right w:val="single" w:sz="4" w:space="0" w:color="auto"/>
            </w:tcBorders>
            <w:vAlign w:val="center"/>
          </w:tcPr>
          <w:p w:rsidR="00A6008B" w:rsidRPr="00E92571" w:rsidRDefault="00A6008B" w:rsidP="003468F7">
            <w:pPr>
              <w:spacing w:before="120"/>
              <w:rPr>
                <w:rFonts w:cs="Arial"/>
                <w:b/>
                <w:bCs/>
                <w:szCs w:val="23"/>
              </w:rPr>
            </w:pPr>
            <w:r w:rsidRPr="00E92571">
              <w:rPr>
                <w:rFonts w:cs="Arial"/>
                <w:sz w:val="20"/>
                <w:szCs w:val="20"/>
              </w:rPr>
              <w:t>TAs</w:t>
            </w:r>
          </w:p>
        </w:tc>
      </w:tr>
      <w:tr w:rsidR="00A6008B" w:rsidRPr="00E92571" w:rsidTr="0015609F">
        <w:trPr>
          <w:trHeight w:val="3390"/>
          <w:jc w:val="center"/>
        </w:trPr>
        <w:tc>
          <w:tcPr>
            <w:tcW w:w="1604" w:type="dxa"/>
            <w:vMerge/>
            <w:tcBorders>
              <w:left w:val="single" w:sz="4" w:space="0" w:color="auto"/>
              <w:bottom w:val="single" w:sz="4" w:space="0" w:color="auto"/>
              <w:right w:val="single" w:sz="4" w:space="0" w:color="auto"/>
            </w:tcBorders>
            <w:vAlign w:val="center"/>
          </w:tcPr>
          <w:p w:rsidR="00A6008B" w:rsidRPr="00E92571" w:rsidRDefault="00A6008B" w:rsidP="003468F7">
            <w:pPr>
              <w:spacing w:before="120"/>
              <w:rPr>
                <w:sz w:val="20"/>
                <w:szCs w:val="20"/>
              </w:rPr>
            </w:pPr>
          </w:p>
        </w:tc>
        <w:tc>
          <w:tcPr>
            <w:tcW w:w="1701" w:type="dxa"/>
            <w:vMerge/>
            <w:tcBorders>
              <w:left w:val="single" w:sz="4" w:space="0" w:color="auto"/>
              <w:bottom w:val="single" w:sz="4" w:space="0" w:color="auto"/>
              <w:right w:val="single" w:sz="4" w:space="0" w:color="auto"/>
            </w:tcBorders>
            <w:vAlign w:val="center"/>
          </w:tcPr>
          <w:p w:rsidR="00A6008B" w:rsidRPr="00E92571" w:rsidRDefault="00A6008B" w:rsidP="003468F7">
            <w:pPr>
              <w:spacing w:before="120"/>
              <w:rPr>
                <w:rFonts w:cs="Arial"/>
                <w:sz w:val="20"/>
                <w:szCs w:val="20"/>
              </w:rPr>
            </w:pPr>
          </w:p>
        </w:tc>
        <w:tc>
          <w:tcPr>
            <w:tcW w:w="1984" w:type="dxa"/>
            <w:vMerge/>
            <w:tcBorders>
              <w:left w:val="single" w:sz="4" w:space="0" w:color="auto"/>
              <w:bottom w:val="single" w:sz="4" w:space="0" w:color="auto"/>
              <w:right w:val="single" w:sz="4" w:space="0" w:color="auto"/>
            </w:tcBorders>
            <w:vAlign w:val="center"/>
          </w:tcPr>
          <w:p w:rsidR="00A6008B" w:rsidRPr="00E92571" w:rsidRDefault="00A6008B" w:rsidP="003468F7">
            <w:pPr>
              <w:spacing w:before="120"/>
              <w:rPr>
                <w:rFonts w:cs="Arial"/>
                <w:sz w:val="20"/>
                <w:szCs w:val="20"/>
              </w:rPr>
            </w:pPr>
          </w:p>
        </w:tc>
        <w:tc>
          <w:tcPr>
            <w:tcW w:w="3402" w:type="dxa"/>
            <w:vMerge/>
            <w:tcBorders>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p>
        </w:tc>
        <w:tc>
          <w:tcPr>
            <w:tcW w:w="2131" w:type="dxa"/>
            <w:vMerge/>
            <w:tcBorders>
              <w:left w:val="single" w:sz="4" w:space="0" w:color="auto"/>
              <w:bottom w:val="single" w:sz="4" w:space="0" w:color="auto"/>
              <w:right w:val="single" w:sz="4" w:space="0" w:color="auto"/>
            </w:tcBorders>
            <w:vAlign w:val="center"/>
          </w:tcPr>
          <w:p w:rsidR="00A6008B" w:rsidRPr="00E92571" w:rsidRDefault="00A6008B" w:rsidP="003468F7">
            <w:pPr>
              <w:spacing w:before="120"/>
              <w:rPr>
                <w:sz w:val="20"/>
                <w:szCs w:val="20"/>
              </w:rPr>
            </w:pPr>
          </w:p>
        </w:tc>
        <w:tc>
          <w:tcPr>
            <w:tcW w:w="2385" w:type="dxa"/>
            <w:tcBorders>
              <w:top w:val="single" w:sz="4" w:space="0" w:color="auto"/>
              <w:left w:val="single" w:sz="4" w:space="0" w:color="auto"/>
              <w:bottom w:val="single" w:sz="4" w:space="0" w:color="auto"/>
              <w:right w:val="single" w:sz="4" w:space="0" w:color="auto"/>
            </w:tcBorders>
            <w:vAlign w:val="center"/>
          </w:tcPr>
          <w:p w:rsidR="00A6008B" w:rsidRPr="00E92571" w:rsidRDefault="00A6008B" w:rsidP="003468F7">
            <w:pPr>
              <w:spacing w:before="120"/>
              <w:rPr>
                <w:rFonts w:cs="Arial"/>
                <w:sz w:val="20"/>
                <w:szCs w:val="20"/>
              </w:rPr>
            </w:pPr>
            <w:r w:rsidRPr="00E92571">
              <w:rPr>
                <w:rFonts w:cs="Arial"/>
                <w:sz w:val="20"/>
                <w:szCs w:val="20"/>
              </w:rPr>
              <w:t>Perceptions of the quality of the local trainer/RTT lead training.</w:t>
            </w:r>
          </w:p>
        </w:tc>
        <w:tc>
          <w:tcPr>
            <w:tcW w:w="1555" w:type="dxa"/>
            <w:gridSpan w:val="2"/>
            <w:tcBorders>
              <w:top w:val="single" w:sz="4" w:space="0" w:color="auto"/>
              <w:left w:val="single" w:sz="4" w:space="0" w:color="auto"/>
              <w:bottom w:val="single" w:sz="4" w:space="0" w:color="auto"/>
              <w:right w:val="single" w:sz="4" w:space="0" w:color="auto"/>
            </w:tcBorders>
            <w:vAlign w:val="center"/>
          </w:tcPr>
          <w:p w:rsidR="00A6008B" w:rsidRPr="00E92571" w:rsidRDefault="00A6008B" w:rsidP="003468F7">
            <w:pPr>
              <w:spacing w:before="120"/>
              <w:rPr>
                <w:rFonts w:cs="Arial"/>
                <w:sz w:val="20"/>
                <w:szCs w:val="20"/>
              </w:rPr>
            </w:pPr>
            <w:r w:rsidRPr="00E92571">
              <w:rPr>
                <w:rFonts w:cs="Arial"/>
                <w:sz w:val="20"/>
                <w:szCs w:val="20"/>
              </w:rPr>
              <w:t>Feedback from workshop participants as included in local trainer/RTT reports provided to the MSC.</w:t>
            </w:r>
          </w:p>
        </w:tc>
        <w:tc>
          <w:tcPr>
            <w:tcW w:w="898" w:type="dxa"/>
            <w:tcBorders>
              <w:top w:val="single" w:sz="4" w:space="0" w:color="auto"/>
              <w:left w:val="single" w:sz="4" w:space="0" w:color="auto"/>
              <w:bottom w:val="single" w:sz="4" w:space="0" w:color="auto"/>
              <w:right w:val="single" w:sz="4" w:space="0" w:color="auto"/>
            </w:tcBorders>
            <w:vAlign w:val="center"/>
          </w:tcPr>
          <w:p w:rsidR="00A6008B" w:rsidRPr="00E92571" w:rsidRDefault="00A6008B" w:rsidP="003468F7">
            <w:pPr>
              <w:spacing w:before="120"/>
              <w:rPr>
                <w:rFonts w:cs="Arial"/>
                <w:sz w:val="20"/>
                <w:szCs w:val="20"/>
              </w:rPr>
            </w:pPr>
            <w:r w:rsidRPr="00E92571">
              <w:rPr>
                <w:rFonts w:cs="Arial"/>
                <w:sz w:val="20"/>
                <w:szCs w:val="20"/>
              </w:rPr>
              <w:t>RTT/local trainers</w:t>
            </w:r>
          </w:p>
        </w:tc>
      </w:tr>
      <w:tr w:rsidR="00A6008B" w:rsidRPr="00E92571" w:rsidTr="0015609F">
        <w:trPr>
          <w:trHeight w:val="255"/>
          <w:jc w:val="center"/>
        </w:trPr>
        <w:tc>
          <w:tcPr>
            <w:tcW w:w="15660" w:type="dxa"/>
            <w:gridSpan w:val="9"/>
            <w:tcBorders>
              <w:top w:val="single" w:sz="4" w:space="0" w:color="auto"/>
              <w:left w:val="single" w:sz="4" w:space="0" w:color="auto"/>
              <w:right w:val="single" w:sz="4" w:space="0" w:color="auto"/>
            </w:tcBorders>
            <w:vAlign w:val="center"/>
          </w:tcPr>
          <w:p w:rsidR="00A6008B" w:rsidRPr="009A221A" w:rsidRDefault="00A6008B" w:rsidP="007B7C80">
            <w:pPr>
              <w:spacing w:before="120"/>
              <w:rPr>
                <w:rFonts w:cs="Arial"/>
                <w:b/>
                <w:bCs/>
                <w:sz w:val="22"/>
                <w:szCs w:val="22"/>
              </w:rPr>
            </w:pPr>
            <w:r w:rsidRPr="00E92571">
              <w:rPr>
                <w:rFonts w:cs="Arial"/>
                <w:b/>
                <w:bCs/>
                <w:sz w:val="22"/>
                <w:szCs w:val="22"/>
              </w:rPr>
              <w:t>4.1 Regional Training Capacity</w:t>
            </w:r>
          </w:p>
        </w:tc>
      </w:tr>
      <w:tr w:rsidR="00A6008B" w:rsidRPr="00E92571" w:rsidTr="00C276DD">
        <w:trPr>
          <w:trHeight w:val="1275"/>
          <w:jc w:val="center"/>
        </w:trPr>
        <w:tc>
          <w:tcPr>
            <w:tcW w:w="1604" w:type="dxa"/>
            <w:vMerge w:val="restart"/>
            <w:tcBorders>
              <w:left w:val="single" w:sz="4" w:space="0" w:color="auto"/>
              <w:right w:val="single" w:sz="4" w:space="0" w:color="auto"/>
            </w:tcBorders>
            <w:vAlign w:val="center"/>
          </w:tcPr>
          <w:p w:rsidR="00A6008B" w:rsidRPr="00E92571" w:rsidRDefault="00A6008B" w:rsidP="00DB1BF3">
            <w:pPr>
              <w:rPr>
                <w:rFonts w:cs="Arial"/>
                <w:sz w:val="20"/>
                <w:szCs w:val="20"/>
              </w:rPr>
            </w:pPr>
            <w:r w:rsidRPr="00E92571">
              <w:rPr>
                <w:rFonts w:cs="Arial"/>
                <w:sz w:val="20"/>
                <w:szCs w:val="20"/>
              </w:rPr>
              <w:t xml:space="preserve">Every PIC </w:t>
            </w:r>
            <w:r>
              <w:rPr>
                <w:rFonts w:cs="Arial"/>
                <w:sz w:val="20"/>
                <w:szCs w:val="20"/>
              </w:rPr>
              <w:t xml:space="preserve">continues to have </w:t>
            </w:r>
            <w:r w:rsidRPr="00E92571">
              <w:rPr>
                <w:rFonts w:cs="Arial"/>
                <w:sz w:val="20"/>
                <w:szCs w:val="20"/>
              </w:rPr>
              <w:t xml:space="preserve">access to </w:t>
            </w:r>
            <w:r>
              <w:rPr>
                <w:rFonts w:cs="Arial"/>
                <w:sz w:val="20"/>
                <w:szCs w:val="20"/>
              </w:rPr>
              <w:t xml:space="preserve">one or more </w:t>
            </w:r>
            <w:r w:rsidRPr="00E92571">
              <w:rPr>
                <w:rFonts w:cs="Arial"/>
                <w:sz w:val="20"/>
                <w:szCs w:val="20"/>
              </w:rPr>
              <w:t>certified trainer</w:t>
            </w:r>
            <w:r>
              <w:rPr>
                <w:rFonts w:cs="Arial"/>
                <w:sz w:val="20"/>
                <w:szCs w:val="20"/>
              </w:rPr>
              <w:t>(s)</w:t>
            </w:r>
            <w:r w:rsidRPr="00E92571">
              <w:rPr>
                <w:rFonts w:cs="Arial"/>
                <w:sz w:val="20"/>
                <w:szCs w:val="20"/>
              </w:rPr>
              <w:t xml:space="preserve"> able to assess needs, design and deliver training to judicial and court officers</w:t>
            </w:r>
          </w:p>
        </w:tc>
        <w:tc>
          <w:tcPr>
            <w:tcW w:w="1701" w:type="dxa"/>
            <w:vMerge w:val="restart"/>
            <w:tcBorders>
              <w:left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Every PIC has access to a certified trainer able to assess needs, design and deliver training to judicial and court officers</w:t>
            </w:r>
          </w:p>
        </w:tc>
        <w:tc>
          <w:tcPr>
            <w:tcW w:w="1984" w:type="dxa"/>
            <w:vMerge w:val="restart"/>
            <w:tcBorders>
              <w:left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As at July 2010 there are 23 accredited judicial educators in 10 PICs, no Regional Training Team and no PIC-tailored ToT training programme.</w:t>
            </w:r>
          </w:p>
        </w:tc>
        <w:tc>
          <w:tcPr>
            <w:tcW w:w="3402" w:type="dxa"/>
            <w:vMerge w:val="restart"/>
            <w:tcBorders>
              <w:left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 xml:space="preserve">Five ToT programmes have been conducted (one more than anticipated) for 55 people in addition to 1 refresher workshops (as anticipated). 18 of those receiving training since July 2012.  A tailor-made ToT was designed for the Pacific.  </w:t>
            </w:r>
          </w:p>
          <w:p w:rsidR="00A6008B" w:rsidRPr="00E92571" w:rsidRDefault="00A6008B" w:rsidP="003468F7">
            <w:pPr>
              <w:rPr>
                <w:rFonts w:cs="Arial"/>
                <w:sz w:val="20"/>
                <w:szCs w:val="20"/>
              </w:rPr>
            </w:pPr>
          </w:p>
          <w:p w:rsidR="00A6008B" w:rsidRPr="00E92571" w:rsidRDefault="00A6008B" w:rsidP="007E5883">
            <w:pPr>
              <w:rPr>
                <w:rFonts w:cs="Arial"/>
                <w:sz w:val="20"/>
                <w:szCs w:val="20"/>
              </w:rPr>
            </w:pPr>
            <w:r w:rsidRPr="00E92571">
              <w:rPr>
                <w:rFonts w:cs="Arial"/>
                <w:sz w:val="20"/>
                <w:szCs w:val="20"/>
              </w:rPr>
              <w:t xml:space="preserve">Acknowledging changes in skill and knowledge attributable to the training, 35 participants were certified as competent to become members of the Regional Training Team and 20 were certified competent to deliver training locally. 35 members of the RTT have co-facilitated five workshops).  Eleven of 13 capacity building RF activities were facilitated by members of the RTT (demonstrating behavioural change attributable to ToT training). One PIC independently conducted a capacity building activity facilitated by a member of the RTT. </w:t>
            </w:r>
          </w:p>
        </w:tc>
        <w:tc>
          <w:tcPr>
            <w:tcW w:w="2131" w:type="dxa"/>
            <w:vMerge w:val="restart"/>
            <w:tcBorders>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r w:rsidRPr="00E92571">
              <w:rPr>
                <w:sz w:val="20"/>
                <w:szCs w:val="20"/>
              </w:rPr>
              <w:t>The RTT is replenished with qualified trainers.</w:t>
            </w:r>
          </w:p>
        </w:tc>
        <w:tc>
          <w:tcPr>
            <w:tcW w:w="2385" w:type="dxa"/>
            <w:tcBorders>
              <w:left w:val="nil"/>
              <w:bottom w:val="single" w:sz="4" w:space="0" w:color="auto"/>
              <w:right w:val="single" w:sz="4" w:space="0" w:color="auto"/>
            </w:tcBorders>
            <w:vAlign w:val="center"/>
          </w:tcPr>
          <w:p w:rsidR="00A6008B" w:rsidRPr="00E92571" w:rsidRDefault="00A6008B" w:rsidP="00857ACA">
            <w:pPr>
              <w:rPr>
                <w:rFonts w:cs="Arial"/>
                <w:sz w:val="20"/>
                <w:szCs w:val="20"/>
              </w:rPr>
            </w:pPr>
            <w:r w:rsidRPr="00E92571">
              <w:rPr>
                <w:rFonts w:cs="Arial"/>
                <w:sz w:val="20"/>
                <w:szCs w:val="20"/>
              </w:rPr>
              <w:t xml:space="preserve">Participants </w:t>
            </w:r>
            <w:r>
              <w:rPr>
                <w:rFonts w:cs="Arial"/>
                <w:sz w:val="20"/>
                <w:szCs w:val="20"/>
              </w:rPr>
              <w:t xml:space="preserve">attaining an appropriate level of competence are </w:t>
            </w:r>
            <w:r w:rsidRPr="00E92571">
              <w:rPr>
                <w:rFonts w:cs="Arial"/>
                <w:sz w:val="20"/>
                <w:szCs w:val="20"/>
              </w:rPr>
              <w:t>certified to deliver training regionally/ locally</w:t>
            </w:r>
            <w:r>
              <w:rPr>
                <w:rFonts w:cs="Arial"/>
                <w:sz w:val="20"/>
                <w:szCs w:val="20"/>
              </w:rPr>
              <w:t>,</w:t>
            </w:r>
            <w:r w:rsidRPr="00E92571">
              <w:rPr>
                <w:rFonts w:cs="Arial"/>
                <w:sz w:val="20"/>
                <w:szCs w:val="20"/>
              </w:rPr>
              <w:t xml:space="preserve"> and perceptions of </w:t>
            </w:r>
            <w:r>
              <w:rPr>
                <w:rFonts w:cs="Arial"/>
                <w:sz w:val="20"/>
                <w:szCs w:val="20"/>
              </w:rPr>
              <w:t xml:space="preserve">participants of </w:t>
            </w:r>
            <w:r w:rsidRPr="00E92571">
              <w:rPr>
                <w:rFonts w:cs="Arial"/>
                <w:sz w:val="20"/>
                <w:szCs w:val="20"/>
              </w:rPr>
              <w:t>the quality of the training / programme including RTT co-facilitation of ToT.</w:t>
            </w:r>
          </w:p>
        </w:tc>
        <w:tc>
          <w:tcPr>
            <w:tcW w:w="1541" w:type="dxa"/>
            <w:tcBorders>
              <w:left w:val="nil"/>
              <w:bottom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ToT TA report including participants' pre/post-workshop evaluations and TAs evaluation of knowledge / skills,</w:t>
            </w:r>
          </w:p>
        </w:tc>
        <w:tc>
          <w:tcPr>
            <w:tcW w:w="912" w:type="dxa"/>
            <w:gridSpan w:val="2"/>
            <w:vMerge w:val="restart"/>
            <w:tcBorders>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TA/RTT</w:t>
            </w:r>
          </w:p>
        </w:tc>
      </w:tr>
      <w:tr w:rsidR="00A6008B" w:rsidRPr="00E92571" w:rsidTr="00C276DD">
        <w:trPr>
          <w:trHeight w:val="765"/>
          <w:jc w:val="center"/>
        </w:trPr>
        <w:tc>
          <w:tcPr>
            <w:tcW w:w="1604" w:type="dxa"/>
            <w:vMerge/>
            <w:tcBorders>
              <w:left w:val="single" w:sz="4" w:space="0" w:color="auto"/>
              <w:right w:val="single" w:sz="4" w:space="0" w:color="auto"/>
            </w:tcBorders>
            <w:vAlign w:val="center"/>
          </w:tcPr>
          <w:p w:rsidR="00A6008B" w:rsidRPr="00E92571" w:rsidRDefault="00A6008B" w:rsidP="003468F7">
            <w:pPr>
              <w:rPr>
                <w:rFonts w:cs="Arial"/>
                <w:sz w:val="20"/>
                <w:szCs w:val="20"/>
              </w:rPr>
            </w:pPr>
          </w:p>
        </w:tc>
        <w:tc>
          <w:tcPr>
            <w:tcW w:w="1701" w:type="dxa"/>
            <w:vMerge/>
            <w:tcBorders>
              <w:left w:val="single" w:sz="4" w:space="0" w:color="auto"/>
              <w:right w:val="single" w:sz="4" w:space="0" w:color="auto"/>
            </w:tcBorders>
            <w:vAlign w:val="center"/>
          </w:tcPr>
          <w:p w:rsidR="00A6008B" w:rsidRPr="00E92571" w:rsidRDefault="00A6008B" w:rsidP="003468F7">
            <w:pPr>
              <w:rPr>
                <w:rFonts w:cs="Arial"/>
                <w:sz w:val="20"/>
                <w:szCs w:val="20"/>
              </w:rPr>
            </w:pPr>
          </w:p>
        </w:tc>
        <w:tc>
          <w:tcPr>
            <w:tcW w:w="1984" w:type="dxa"/>
            <w:vMerge/>
            <w:tcBorders>
              <w:left w:val="single" w:sz="4" w:space="0" w:color="auto"/>
              <w:right w:val="single" w:sz="4" w:space="0" w:color="auto"/>
            </w:tcBorders>
            <w:vAlign w:val="center"/>
          </w:tcPr>
          <w:p w:rsidR="00A6008B" w:rsidRPr="00E92571" w:rsidRDefault="00A6008B" w:rsidP="003468F7">
            <w:pPr>
              <w:rPr>
                <w:rFonts w:cs="Arial"/>
                <w:sz w:val="20"/>
                <w:szCs w:val="20"/>
              </w:rPr>
            </w:pPr>
          </w:p>
        </w:tc>
        <w:tc>
          <w:tcPr>
            <w:tcW w:w="3402" w:type="dxa"/>
            <w:vMerge/>
            <w:tcBorders>
              <w:left w:val="single" w:sz="4" w:space="0" w:color="auto"/>
              <w:right w:val="single" w:sz="4" w:space="0" w:color="auto"/>
            </w:tcBorders>
            <w:vAlign w:val="center"/>
          </w:tcPr>
          <w:p w:rsidR="00A6008B" w:rsidRPr="00E92571" w:rsidRDefault="00A6008B" w:rsidP="003468F7">
            <w:pPr>
              <w:rPr>
                <w:rFonts w:cs="Arial"/>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p>
        </w:tc>
        <w:tc>
          <w:tcPr>
            <w:tcW w:w="2385" w:type="dxa"/>
            <w:vMerge w:val="restart"/>
            <w:tcBorders>
              <w:top w:val="single" w:sz="4" w:space="0" w:color="auto"/>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Number of local trainer-led training programmes designed/delivered locally and participants' perception of quality.</w:t>
            </w:r>
          </w:p>
        </w:tc>
        <w:tc>
          <w:tcPr>
            <w:tcW w:w="1541" w:type="dxa"/>
            <w:vMerge w:val="restart"/>
            <w:tcBorders>
              <w:top w:val="single" w:sz="4" w:space="0" w:color="auto"/>
              <w:left w:val="nil"/>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RTT reports including participants' evaluations and TA reports,</w:t>
            </w:r>
          </w:p>
        </w:tc>
        <w:tc>
          <w:tcPr>
            <w:tcW w:w="912" w:type="dxa"/>
            <w:gridSpan w:val="2"/>
            <w:vMerge/>
            <w:tcBorders>
              <w:top w:val="single" w:sz="4" w:space="0" w:color="auto"/>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p>
        </w:tc>
      </w:tr>
      <w:tr w:rsidR="00A6008B" w:rsidRPr="00E92571" w:rsidTr="00C276DD">
        <w:trPr>
          <w:trHeight w:val="765"/>
          <w:jc w:val="center"/>
        </w:trPr>
        <w:tc>
          <w:tcPr>
            <w:tcW w:w="1604" w:type="dxa"/>
            <w:vMerge/>
            <w:tcBorders>
              <w:left w:val="single" w:sz="4" w:space="0" w:color="auto"/>
              <w:right w:val="single" w:sz="4" w:space="0" w:color="auto"/>
            </w:tcBorders>
            <w:vAlign w:val="center"/>
          </w:tcPr>
          <w:p w:rsidR="00A6008B" w:rsidRPr="00E92571" w:rsidRDefault="00A6008B" w:rsidP="003468F7">
            <w:pPr>
              <w:rPr>
                <w:rFonts w:cs="Arial"/>
                <w:sz w:val="20"/>
                <w:szCs w:val="20"/>
              </w:rPr>
            </w:pPr>
          </w:p>
        </w:tc>
        <w:tc>
          <w:tcPr>
            <w:tcW w:w="1701" w:type="dxa"/>
            <w:vMerge/>
            <w:tcBorders>
              <w:left w:val="single" w:sz="4" w:space="0" w:color="auto"/>
              <w:right w:val="single" w:sz="4" w:space="0" w:color="auto"/>
            </w:tcBorders>
            <w:vAlign w:val="center"/>
          </w:tcPr>
          <w:p w:rsidR="00A6008B" w:rsidRPr="00E92571" w:rsidRDefault="00A6008B" w:rsidP="003468F7">
            <w:pPr>
              <w:rPr>
                <w:rFonts w:cs="Arial"/>
                <w:sz w:val="20"/>
                <w:szCs w:val="20"/>
              </w:rPr>
            </w:pPr>
          </w:p>
        </w:tc>
        <w:tc>
          <w:tcPr>
            <w:tcW w:w="1984" w:type="dxa"/>
            <w:vMerge/>
            <w:tcBorders>
              <w:left w:val="single" w:sz="4" w:space="0" w:color="auto"/>
              <w:right w:val="single" w:sz="4" w:space="0" w:color="auto"/>
            </w:tcBorders>
            <w:vAlign w:val="center"/>
          </w:tcPr>
          <w:p w:rsidR="00A6008B" w:rsidRPr="00E92571" w:rsidRDefault="00A6008B" w:rsidP="003468F7">
            <w:pPr>
              <w:rPr>
                <w:rFonts w:cs="Arial"/>
                <w:sz w:val="20"/>
                <w:szCs w:val="20"/>
              </w:rPr>
            </w:pPr>
          </w:p>
        </w:tc>
        <w:tc>
          <w:tcPr>
            <w:tcW w:w="3402" w:type="dxa"/>
            <w:vMerge/>
            <w:tcBorders>
              <w:left w:val="single" w:sz="4" w:space="0" w:color="auto"/>
              <w:right w:val="single" w:sz="4" w:space="0" w:color="auto"/>
            </w:tcBorders>
            <w:vAlign w:val="center"/>
          </w:tcPr>
          <w:p w:rsidR="00A6008B" w:rsidRPr="00E92571" w:rsidRDefault="00A6008B" w:rsidP="003468F7">
            <w:pPr>
              <w:rPr>
                <w:rFonts w:cs="Arial"/>
                <w:sz w:val="20"/>
                <w:szCs w:val="20"/>
              </w:rPr>
            </w:pPr>
          </w:p>
        </w:tc>
        <w:tc>
          <w:tcPr>
            <w:tcW w:w="2131" w:type="dxa"/>
            <w:tcBorders>
              <w:top w:val="single" w:sz="4" w:space="0" w:color="auto"/>
              <w:left w:val="nil"/>
              <w:bottom w:val="single" w:sz="4" w:space="0" w:color="auto"/>
              <w:right w:val="single" w:sz="4" w:space="0" w:color="auto"/>
            </w:tcBorders>
            <w:vAlign w:val="center"/>
          </w:tcPr>
          <w:p w:rsidR="00A6008B" w:rsidRPr="00E92571" w:rsidRDefault="00A6008B" w:rsidP="003468F7">
            <w:pPr>
              <w:rPr>
                <w:rFonts w:cs="Arial"/>
                <w:bCs/>
                <w:sz w:val="20"/>
                <w:szCs w:val="20"/>
              </w:rPr>
            </w:pPr>
            <w:r w:rsidRPr="00E92571">
              <w:rPr>
                <w:rFonts w:cs="Arial"/>
                <w:bCs/>
                <w:sz w:val="20"/>
                <w:szCs w:val="20"/>
              </w:rPr>
              <w:t xml:space="preserve">Capacity of the RTT to manage and conduct regional and local training is built. </w:t>
            </w:r>
          </w:p>
        </w:tc>
        <w:tc>
          <w:tcPr>
            <w:tcW w:w="2385" w:type="dxa"/>
            <w:vMerge/>
            <w:tcBorders>
              <w:top w:val="single" w:sz="4" w:space="0" w:color="auto"/>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p>
        </w:tc>
        <w:tc>
          <w:tcPr>
            <w:tcW w:w="1541" w:type="dxa"/>
            <w:vMerge/>
            <w:tcBorders>
              <w:left w:val="nil"/>
              <w:right w:val="single" w:sz="4" w:space="0" w:color="auto"/>
            </w:tcBorders>
            <w:vAlign w:val="center"/>
          </w:tcPr>
          <w:p w:rsidR="00A6008B" w:rsidRPr="00E92571" w:rsidRDefault="00A6008B" w:rsidP="003468F7">
            <w:pPr>
              <w:rPr>
                <w:rFonts w:cs="Arial"/>
                <w:sz w:val="20"/>
                <w:szCs w:val="20"/>
              </w:rPr>
            </w:pPr>
          </w:p>
        </w:tc>
        <w:tc>
          <w:tcPr>
            <w:tcW w:w="912" w:type="dxa"/>
            <w:gridSpan w:val="2"/>
            <w:vMerge w:val="restart"/>
            <w:tcBorders>
              <w:top w:val="single" w:sz="4" w:space="0" w:color="auto"/>
              <w:left w:val="nil"/>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TA</w:t>
            </w:r>
          </w:p>
        </w:tc>
      </w:tr>
      <w:tr w:rsidR="00A6008B" w:rsidRPr="00E92571" w:rsidTr="00C276DD">
        <w:trPr>
          <w:trHeight w:val="765"/>
          <w:jc w:val="center"/>
        </w:trPr>
        <w:tc>
          <w:tcPr>
            <w:tcW w:w="1604" w:type="dxa"/>
            <w:vMerge/>
            <w:tcBorders>
              <w:left w:val="single" w:sz="4" w:space="0" w:color="auto"/>
              <w:right w:val="single" w:sz="4" w:space="0" w:color="auto"/>
            </w:tcBorders>
            <w:vAlign w:val="center"/>
          </w:tcPr>
          <w:p w:rsidR="00A6008B" w:rsidRPr="00E92571" w:rsidRDefault="00A6008B" w:rsidP="003468F7">
            <w:pPr>
              <w:rPr>
                <w:rFonts w:cs="Arial"/>
                <w:sz w:val="20"/>
                <w:szCs w:val="20"/>
              </w:rPr>
            </w:pPr>
          </w:p>
        </w:tc>
        <w:tc>
          <w:tcPr>
            <w:tcW w:w="1701" w:type="dxa"/>
            <w:vMerge/>
            <w:tcBorders>
              <w:left w:val="single" w:sz="4" w:space="0" w:color="auto"/>
              <w:right w:val="single" w:sz="4" w:space="0" w:color="auto"/>
            </w:tcBorders>
            <w:vAlign w:val="center"/>
          </w:tcPr>
          <w:p w:rsidR="00A6008B" w:rsidRPr="00E92571" w:rsidRDefault="00A6008B" w:rsidP="003468F7">
            <w:pPr>
              <w:rPr>
                <w:rFonts w:cs="Arial"/>
                <w:sz w:val="20"/>
                <w:szCs w:val="20"/>
              </w:rPr>
            </w:pPr>
          </w:p>
        </w:tc>
        <w:tc>
          <w:tcPr>
            <w:tcW w:w="1984" w:type="dxa"/>
            <w:vMerge/>
            <w:tcBorders>
              <w:left w:val="single" w:sz="4" w:space="0" w:color="auto"/>
              <w:right w:val="single" w:sz="4" w:space="0" w:color="auto"/>
            </w:tcBorders>
            <w:vAlign w:val="center"/>
          </w:tcPr>
          <w:p w:rsidR="00A6008B" w:rsidRPr="00E92571" w:rsidRDefault="00A6008B" w:rsidP="003468F7">
            <w:pPr>
              <w:rPr>
                <w:rFonts w:cs="Arial"/>
                <w:sz w:val="20"/>
                <w:szCs w:val="20"/>
              </w:rPr>
            </w:pPr>
          </w:p>
        </w:tc>
        <w:tc>
          <w:tcPr>
            <w:tcW w:w="3402" w:type="dxa"/>
            <w:vMerge/>
            <w:tcBorders>
              <w:left w:val="single" w:sz="4" w:space="0" w:color="auto"/>
              <w:right w:val="single" w:sz="4" w:space="0" w:color="auto"/>
            </w:tcBorders>
            <w:vAlign w:val="center"/>
          </w:tcPr>
          <w:p w:rsidR="00A6008B" w:rsidRPr="00E92571" w:rsidRDefault="00A6008B" w:rsidP="003468F7">
            <w:pPr>
              <w:rPr>
                <w:rFonts w:cs="Arial"/>
                <w:sz w:val="20"/>
                <w:szCs w:val="20"/>
              </w:rPr>
            </w:pPr>
          </w:p>
        </w:tc>
        <w:tc>
          <w:tcPr>
            <w:tcW w:w="2131" w:type="dxa"/>
            <w:tcBorders>
              <w:top w:val="single" w:sz="4" w:space="0" w:color="auto"/>
              <w:left w:val="nil"/>
              <w:bottom w:val="single" w:sz="4" w:space="0" w:color="auto"/>
              <w:right w:val="single" w:sz="4" w:space="0" w:color="auto"/>
            </w:tcBorders>
            <w:vAlign w:val="center"/>
          </w:tcPr>
          <w:p w:rsidR="00A6008B" w:rsidRPr="00E92571" w:rsidRDefault="00A6008B" w:rsidP="003468F7">
            <w:pPr>
              <w:rPr>
                <w:rFonts w:cs="Arial"/>
                <w:bCs/>
                <w:sz w:val="20"/>
                <w:szCs w:val="20"/>
              </w:rPr>
            </w:pPr>
            <w:r w:rsidRPr="00E92571">
              <w:rPr>
                <w:rFonts w:cs="Arial"/>
                <w:bCs/>
                <w:sz w:val="20"/>
                <w:szCs w:val="20"/>
              </w:rPr>
              <w:t>RTT members have an opportunity to share training resources and methodologies.</w:t>
            </w:r>
          </w:p>
        </w:tc>
        <w:tc>
          <w:tcPr>
            <w:tcW w:w="2385" w:type="dxa"/>
            <w:tcBorders>
              <w:top w:val="single" w:sz="4" w:space="0" w:color="auto"/>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Frequency of interaction between RTT members to share resources and methodologies.</w:t>
            </w:r>
          </w:p>
        </w:tc>
        <w:tc>
          <w:tcPr>
            <w:tcW w:w="1541" w:type="dxa"/>
            <w:vMerge/>
            <w:tcBorders>
              <w:left w:val="nil"/>
              <w:right w:val="single" w:sz="4" w:space="0" w:color="auto"/>
            </w:tcBorders>
            <w:vAlign w:val="center"/>
          </w:tcPr>
          <w:p w:rsidR="00A6008B" w:rsidRPr="00E92571" w:rsidRDefault="00A6008B" w:rsidP="003468F7">
            <w:pPr>
              <w:rPr>
                <w:rFonts w:cs="Arial"/>
                <w:sz w:val="20"/>
                <w:szCs w:val="20"/>
              </w:rPr>
            </w:pPr>
          </w:p>
        </w:tc>
        <w:tc>
          <w:tcPr>
            <w:tcW w:w="912" w:type="dxa"/>
            <w:gridSpan w:val="2"/>
            <w:vMerge/>
            <w:tcBorders>
              <w:top w:val="single" w:sz="4" w:space="0" w:color="auto"/>
              <w:left w:val="nil"/>
              <w:right w:val="single" w:sz="4" w:space="0" w:color="auto"/>
            </w:tcBorders>
            <w:vAlign w:val="center"/>
          </w:tcPr>
          <w:p w:rsidR="00A6008B" w:rsidRPr="00E92571" w:rsidRDefault="00A6008B" w:rsidP="003468F7">
            <w:pPr>
              <w:rPr>
                <w:rFonts w:cs="Arial"/>
                <w:sz w:val="20"/>
                <w:szCs w:val="20"/>
              </w:rPr>
            </w:pPr>
          </w:p>
        </w:tc>
      </w:tr>
      <w:tr w:rsidR="00A6008B" w:rsidRPr="00E92571" w:rsidTr="00AD50E1">
        <w:trPr>
          <w:trHeight w:val="765"/>
          <w:jc w:val="center"/>
        </w:trPr>
        <w:tc>
          <w:tcPr>
            <w:tcW w:w="1604" w:type="dxa"/>
            <w:vMerge/>
            <w:tcBorders>
              <w:left w:val="single" w:sz="4" w:space="0" w:color="auto"/>
              <w:right w:val="single" w:sz="4" w:space="0" w:color="auto"/>
            </w:tcBorders>
            <w:vAlign w:val="center"/>
          </w:tcPr>
          <w:p w:rsidR="00A6008B" w:rsidRPr="00E92571" w:rsidRDefault="00A6008B" w:rsidP="003468F7">
            <w:pPr>
              <w:rPr>
                <w:rFonts w:cs="Arial"/>
                <w:sz w:val="20"/>
                <w:szCs w:val="20"/>
              </w:rPr>
            </w:pPr>
          </w:p>
        </w:tc>
        <w:tc>
          <w:tcPr>
            <w:tcW w:w="1701" w:type="dxa"/>
            <w:vMerge/>
            <w:tcBorders>
              <w:left w:val="single" w:sz="4" w:space="0" w:color="auto"/>
              <w:right w:val="single" w:sz="4" w:space="0" w:color="auto"/>
            </w:tcBorders>
            <w:vAlign w:val="center"/>
          </w:tcPr>
          <w:p w:rsidR="00A6008B" w:rsidRPr="00E92571" w:rsidRDefault="00A6008B" w:rsidP="003468F7">
            <w:pPr>
              <w:rPr>
                <w:rFonts w:cs="Arial"/>
                <w:sz w:val="20"/>
                <w:szCs w:val="20"/>
              </w:rPr>
            </w:pPr>
          </w:p>
        </w:tc>
        <w:tc>
          <w:tcPr>
            <w:tcW w:w="1984" w:type="dxa"/>
            <w:vMerge/>
            <w:tcBorders>
              <w:left w:val="single" w:sz="4" w:space="0" w:color="auto"/>
              <w:right w:val="single" w:sz="4" w:space="0" w:color="auto"/>
            </w:tcBorders>
            <w:vAlign w:val="center"/>
          </w:tcPr>
          <w:p w:rsidR="00A6008B" w:rsidRPr="00E92571" w:rsidRDefault="00A6008B" w:rsidP="003468F7">
            <w:pPr>
              <w:rPr>
                <w:rFonts w:cs="Arial"/>
                <w:sz w:val="20"/>
                <w:szCs w:val="20"/>
              </w:rPr>
            </w:pPr>
          </w:p>
        </w:tc>
        <w:tc>
          <w:tcPr>
            <w:tcW w:w="3402" w:type="dxa"/>
            <w:vMerge/>
            <w:tcBorders>
              <w:left w:val="single" w:sz="4" w:space="0" w:color="auto"/>
              <w:right w:val="single" w:sz="4" w:space="0" w:color="auto"/>
            </w:tcBorders>
            <w:vAlign w:val="center"/>
          </w:tcPr>
          <w:p w:rsidR="00A6008B" w:rsidRPr="00E92571" w:rsidRDefault="00A6008B" w:rsidP="003468F7">
            <w:pPr>
              <w:rPr>
                <w:rFonts w:cs="Arial"/>
                <w:sz w:val="20"/>
                <w:szCs w:val="20"/>
              </w:rPr>
            </w:pPr>
          </w:p>
        </w:tc>
        <w:tc>
          <w:tcPr>
            <w:tcW w:w="2131" w:type="dxa"/>
            <w:tcBorders>
              <w:top w:val="single" w:sz="4" w:space="0" w:color="auto"/>
              <w:left w:val="nil"/>
              <w:bottom w:val="single" w:sz="4" w:space="0" w:color="auto"/>
              <w:right w:val="single" w:sz="4" w:space="0" w:color="auto"/>
            </w:tcBorders>
            <w:vAlign w:val="center"/>
          </w:tcPr>
          <w:p w:rsidR="00A6008B" w:rsidRPr="00E92571" w:rsidRDefault="00A6008B" w:rsidP="003468F7">
            <w:pPr>
              <w:tabs>
                <w:tab w:val="left" w:pos="26"/>
              </w:tabs>
              <w:rPr>
                <w:rFonts w:cs="Arial"/>
                <w:bCs/>
                <w:sz w:val="20"/>
                <w:szCs w:val="20"/>
              </w:rPr>
            </w:pPr>
            <w:r w:rsidRPr="00E92571">
              <w:rPr>
                <w:rFonts w:cs="Arial"/>
                <w:bCs/>
                <w:sz w:val="20"/>
                <w:szCs w:val="20"/>
              </w:rPr>
              <w:t>RTT members more confident disposed and able to deliver training locally.</w:t>
            </w:r>
          </w:p>
        </w:tc>
        <w:tc>
          <w:tcPr>
            <w:tcW w:w="2385" w:type="dxa"/>
            <w:vMerge w:val="restart"/>
            <w:tcBorders>
              <w:top w:val="single" w:sz="4" w:space="0" w:color="auto"/>
              <w:left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Quality and quantity of interaction between network members.</w:t>
            </w:r>
          </w:p>
        </w:tc>
        <w:tc>
          <w:tcPr>
            <w:tcW w:w="1541" w:type="dxa"/>
            <w:vMerge/>
            <w:tcBorders>
              <w:left w:val="nil"/>
              <w:right w:val="single" w:sz="4" w:space="0" w:color="auto"/>
            </w:tcBorders>
            <w:vAlign w:val="center"/>
          </w:tcPr>
          <w:p w:rsidR="00A6008B" w:rsidRPr="00E92571" w:rsidRDefault="00A6008B" w:rsidP="003468F7">
            <w:pPr>
              <w:rPr>
                <w:rFonts w:cs="Arial"/>
                <w:sz w:val="20"/>
                <w:szCs w:val="20"/>
              </w:rPr>
            </w:pPr>
          </w:p>
        </w:tc>
        <w:tc>
          <w:tcPr>
            <w:tcW w:w="912" w:type="dxa"/>
            <w:gridSpan w:val="2"/>
            <w:vMerge/>
            <w:tcBorders>
              <w:left w:val="nil"/>
              <w:right w:val="single" w:sz="4" w:space="0" w:color="auto"/>
            </w:tcBorders>
            <w:vAlign w:val="center"/>
          </w:tcPr>
          <w:p w:rsidR="00A6008B" w:rsidRPr="00E92571" w:rsidRDefault="00A6008B" w:rsidP="003468F7">
            <w:pPr>
              <w:rPr>
                <w:rFonts w:cs="Arial"/>
                <w:sz w:val="20"/>
                <w:szCs w:val="20"/>
              </w:rPr>
            </w:pPr>
          </w:p>
        </w:tc>
      </w:tr>
      <w:tr w:rsidR="00A6008B" w:rsidRPr="00E92571" w:rsidTr="0015609F">
        <w:trPr>
          <w:trHeight w:val="765"/>
          <w:jc w:val="center"/>
        </w:trPr>
        <w:tc>
          <w:tcPr>
            <w:tcW w:w="1604" w:type="dxa"/>
            <w:vMerge/>
            <w:tcBorders>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p>
        </w:tc>
        <w:tc>
          <w:tcPr>
            <w:tcW w:w="1701" w:type="dxa"/>
            <w:vMerge/>
            <w:tcBorders>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p>
        </w:tc>
        <w:tc>
          <w:tcPr>
            <w:tcW w:w="1984" w:type="dxa"/>
            <w:vMerge/>
            <w:tcBorders>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p>
        </w:tc>
        <w:tc>
          <w:tcPr>
            <w:tcW w:w="3402" w:type="dxa"/>
            <w:vMerge/>
            <w:tcBorders>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p>
        </w:tc>
        <w:tc>
          <w:tcPr>
            <w:tcW w:w="2131" w:type="dxa"/>
            <w:tcBorders>
              <w:top w:val="single" w:sz="4" w:space="0" w:color="auto"/>
              <w:left w:val="nil"/>
              <w:bottom w:val="single" w:sz="4" w:space="0" w:color="auto"/>
              <w:right w:val="single" w:sz="4" w:space="0" w:color="auto"/>
            </w:tcBorders>
            <w:vAlign w:val="center"/>
          </w:tcPr>
          <w:p w:rsidR="00A6008B" w:rsidRPr="00E92571" w:rsidRDefault="00A6008B" w:rsidP="003468F7">
            <w:pPr>
              <w:tabs>
                <w:tab w:val="left" w:pos="0"/>
                <w:tab w:val="left" w:pos="26"/>
              </w:tabs>
              <w:rPr>
                <w:sz w:val="20"/>
                <w:szCs w:val="20"/>
              </w:rPr>
            </w:pPr>
            <w:r w:rsidRPr="00E92571">
              <w:rPr>
                <w:sz w:val="20"/>
                <w:szCs w:val="20"/>
              </w:rPr>
              <w:t>A regional network of RTT members established and supported.</w:t>
            </w:r>
          </w:p>
        </w:tc>
        <w:tc>
          <w:tcPr>
            <w:tcW w:w="2385" w:type="dxa"/>
            <w:vMerge/>
            <w:tcBorders>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p>
        </w:tc>
        <w:tc>
          <w:tcPr>
            <w:tcW w:w="1541" w:type="dxa"/>
            <w:vMerge/>
            <w:tcBorders>
              <w:left w:val="nil"/>
              <w:bottom w:val="single" w:sz="4" w:space="0" w:color="auto"/>
              <w:right w:val="single" w:sz="4" w:space="0" w:color="auto"/>
            </w:tcBorders>
            <w:vAlign w:val="center"/>
          </w:tcPr>
          <w:p w:rsidR="00A6008B" w:rsidRPr="00E92571" w:rsidRDefault="00A6008B" w:rsidP="003468F7">
            <w:pPr>
              <w:rPr>
                <w:rFonts w:cs="Arial"/>
                <w:sz w:val="20"/>
                <w:szCs w:val="20"/>
              </w:rPr>
            </w:pPr>
          </w:p>
        </w:tc>
        <w:tc>
          <w:tcPr>
            <w:tcW w:w="912" w:type="dxa"/>
            <w:gridSpan w:val="2"/>
            <w:vMerge/>
            <w:tcBorders>
              <w:left w:val="nil"/>
              <w:bottom w:val="single" w:sz="4" w:space="0" w:color="auto"/>
              <w:right w:val="single" w:sz="4" w:space="0" w:color="auto"/>
            </w:tcBorders>
            <w:vAlign w:val="center"/>
          </w:tcPr>
          <w:p w:rsidR="00A6008B" w:rsidRPr="00E92571" w:rsidRDefault="00A6008B" w:rsidP="003468F7">
            <w:pPr>
              <w:rPr>
                <w:rFonts w:cs="Arial"/>
                <w:sz w:val="20"/>
                <w:szCs w:val="20"/>
              </w:rPr>
            </w:pPr>
          </w:p>
        </w:tc>
      </w:tr>
      <w:tr w:rsidR="00A6008B" w:rsidRPr="00E92571" w:rsidTr="0015609F">
        <w:trPr>
          <w:trHeight w:val="255"/>
          <w:jc w:val="center"/>
        </w:trPr>
        <w:tc>
          <w:tcPr>
            <w:tcW w:w="15660" w:type="dxa"/>
            <w:gridSpan w:val="9"/>
            <w:tcBorders>
              <w:top w:val="single" w:sz="4" w:space="0" w:color="auto"/>
              <w:left w:val="single" w:sz="4" w:space="0" w:color="auto"/>
              <w:right w:val="single" w:sz="4" w:space="0" w:color="auto"/>
            </w:tcBorders>
            <w:vAlign w:val="center"/>
          </w:tcPr>
          <w:p w:rsidR="00A6008B" w:rsidRPr="009A221A" w:rsidRDefault="00A6008B" w:rsidP="003468F7">
            <w:pPr>
              <w:spacing w:before="120"/>
              <w:rPr>
                <w:rFonts w:cs="Arial"/>
                <w:b/>
                <w:bCs/>
                <w:sz w:val="22"/>
                <w:szCs w:val="22"/>
              </w:rPr>
            </w:pPr>
            <w:r w:rsidRPr="00E92571">
              <w:rPr>
                <w:rFonts w:cs="Arial"/>
                <w:b/>
                <w:bCs/>
                <w:sz w:val="22"/>
                <w:szCs w:val="22"/>
              </w:rPr>
              <w:t>4.2 Core Judicial Development Project</w:t>
            </w:r>
          </w:p>
        </w:tc>
      </w:tr>
      <w:tr w:rsidR="00A6008B" w:rsidRPr="00E92571" w:rsidTr="0015609F">
        <w:trPr>
          <w:trHeight w:val="255"/>
          <w:jc w:val="center"/>
        </w:trPr>
        <w:tc>
          <w:tcPr>
            <w:tcW w:w="1604" w:type="dxa"/>
            <w:vMerge w:val="restart"/>
            <w:tcBorders>
              <w:left w:val="single" w:sz="4" w:space="0" w:color="auto"/>
              <w:right w:val="single" w:sz="4" w:space="0" w:color="auto"/>
            </w:tcBorders>
            <w:vAlign w:val="center"/>
          </w:tcPr>
          <w:p w:rsidR="00A6008B" w:rsidRPr="00E92571" w:rsidRDefault="00A6008B" w:rsidP="0042120D">
            <w:pPr>
              <w:rPr>
                <w:rFonts w:cs="Arial"/>
                <w:sz w:val="20"/>
                <w:szCs w:val="20"/>
              </w:rPr>
            </w:pPr>
            <w:r>
              <w:rPr>
                <w:rFonts w:cs="Arial"/>
                <w:bCs/>
                <w:sz w:val="20"/>
                <w:szCs w:val="20"/>
              </w:rPr>
              <w:t xml:space="preserve">75% of </w:t>
            </w:r>
            <w:r w:rsidRPr="00E92571">
              <w:rPr>
                <w:rFonts w:cs="Arial"/>
                <w:bCs/>
                <w:sz w:val="20"/>
                <w:szCs w:val="20"/>
              </w:rPr>
              <w:t xml:space="preserve">Judicial </w:t>
            </w:r>
            <w:r>
              <w:rPr>
                <w:rFonts w:cs="Arial"/>
                <w:bCs/>
                <w:sz w:val="20"/>
                <w:szCs w:val="20"/>
              </w:rPr>
              <w:t xml:space="preserve">and court </w:t>
            </w:r>
            <w:r w:rsidRPr="00E92571">
              <w:rPr>
                <w:rFonts w:cs="Arial"/>
                <w:bCs/>
                <w:sz w:val="20"/>
                <w:szCs w:val="20"/>
              </w:rPr>
              <w:t xml:space="preserve">officers </w:t>
            </w:r>
            <w:r>
              <w:rPr>
                <w:rFonts w:cs="Arial"/>
                <w:bCs/>
                <w:sz w:val="20"/>
                <w:szCs w:val="20"/>
              </w:rPr>
              <w:t>report increased confidence following training workshops</w:t>
            </w:r>
            <w:r w:rsidRPr="00E92571">
              <w:rPr>
                <w:rFonts w:cs="Arial"/>
                <w:bCs/>
                <w:sz w:val="20"/>
                <w:szCs w:val="20"/>
              </w:rPr>
              <w:t>, and R</w:t>
            </w:r>
            <w:r w:rsidRPr="00E92571">
              <w:rPr>
                <w:sz w:val="20"/>
                <w:szCs w:val="20"/>
              </w:rPr>
              <w:t>TT members are more experienced and able to deliver training regionally and locally.</w:t>
            </w:r>
          </w:p>
        </w:tc>
        <w:tc>
          <w:tcPr>
            <w:tcW w:w="1701" w:type="dxa"/>
            <w:vMerge w:val="restart"/>
            <w:tcBorders>
              <w:left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Judicial officers report 25% increase in competence as a result of attending workshop</w:t>
            </w:r>
          </w:p>
        </w:tc>
        <w:tc>
          <w:tcPr>
            <w:tcW w:w="1984" w:type="dxa"/>
            <w:vMerge w:val="restart"/>
            <w:tcBorders>
              <w:left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Judicial officers in PICs have not received Regional orientation and decision-making training since the cessation of PJDP Phase 1 in June 2008.  Data about links between judicial orientation training and performance do not exist across the Region.</w:t>
            </w:r>
          </w:p>
        </w:tc>
        <w:tc>
          <w:tcPr>
            <w:tcW w:w="3402" w:type="dxa"/>
            <w:vMerge w:val="restart"/>
            <w:tcBorders>
              <w:left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 xml:space="preserve">57 Judicial/court officers have received orientation (34) and decision-making training (23) and assessment of improvements in performance following the training will be undertakenprogressively.  </w:t>
            </w:r>
          </w:p>
          <w:p w:rsidR="00A6008B" w:rsidRPr="00E92571" w:rsidRDefault="00A6008B" w:rsidP="003468F7">
            <w:pPr>
              <w:rPr>
                <w:rFonts w:cs="Arial"/>
                <w:sz w:val="20"/>
                <w:szCs w:val="20"/>
              </w:rPr>
            </w:pPr>
          </w:p>
          <w:p w:rsidR="00A6008B" w:rsidRPr="00E92571" w:rsidRDefault="00A6008B" w:rsidP="003468F7">
            <w:pPr>
              <w:rPr>
                <w:rFonts w:cs="Arial"/>
                <w:sz w:val="20"/>
                <w:szCs w:val="20"/>
              </w:rPr>
            </w:pPr>
            <w:r w:rsidRPr="00E92571">
              <w:rPr>
                <w:rFonts w:cs="Arial"/>
                <w:sz w:val="20"/>
                <w:szCs w:val="20"/>
              </w:rPr>
              <w:t xml:space="preserve">A further round of decision-making training will take place in May 2013 (final numbers are yet to be confirmed).  </w:t>
            </w:r>
          </w:p>
        </w:tc>
        <w:tc>
          <w:tcPr>
            <w:tcW w:w="2131" w:type="dxa"/>
            <w:vMerge w:val="restart"/>
            <w:tcBorders>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bCs/>
                <w:sz w:val="20"/>
                <w:szCs w:val="20"/>
              </w:rPr>
              <w:t>Enhanced competence of 20-30 newly-appointed lay judicial officers.</w:t>
            </w:r>
          </w:p>
        </w:tc>
        <w:tc>
          <w:tcPr>
            <w:tcW w:w="2385" w:type="dxa"/>
            <w:tcBorders>
              <w:left w:val="nil"/>
              <w:bottom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Perceptions of the quality of the training.</w:t>
            </w:r>
          </w:p>
        </w:tc>
        <w:tc>
          <w:tcPr>
            <w:tcW w:w="1541" w:type="dxa"/>
            <w:vMerge w:val="restart"/>
            <w:tcBorders>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Participants' / TA evaluation</w:t>
            </w:r>
          </w:p>
        </w:tc>
        <w:tc>
          <w:tcPr>
            <w:tcW w:w="912" w:type="dxa"/>
            <w:gridSpan w:val="2"/>
            <w:vMerge w:val="restart"/>
            <w:tcBorders>
              <w:left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TA</w:t>
            </w:r>
          </w:p>
          <w:p w:rsidR="00A6008B" w:rsidRPr="00E92571" w:rsidRDefault="00A6008B" w:rsidP="003468F7">
            <w:pPr>
              <w:rPr>
                <w:rFonts w:cs="Arial"/>
                <w:sz w:val="20"/>
                <w:szCs w:val="20"/>
              </w:rPr>
            </w:pPr>
          </w:p>
        </w:tc>
      </w:tr>
      <w:tr w:rsidR="00A6008B" w:rsidRPr="00E92571" w:rsidTr="00AD50E1">
        <w:trPr>
          <w:trHeight w:val="1020"/>
          <w:jc w:val="center"/>
        </w:trPr>
        <w:tc>
          <w:tcPr>
            <w:tcW w:w="1604" w:type="dxa"/>
            <w:vMerge/>
            <w:tcBorders>
              <w:left w:val="single" w:sz="4" w:space="0" w:color="auto"/>
              <w:right w:val="single" w:sz="4" w:space="0" w:color="auto"/>
            </w:tcBorders>
            <w:vAlign w:val="center"/>
          </w:tcPr>
          <w:p w:rsidR="00A6008B" w:rsidRPr="00E92571" w:rsidRDefault="00A6008B" w:rsidP="003468F7">
            <w:pPr>
              <w:rPr>
                <w:rFonts w:cs="Arial"/>
                <w:sz w:val="20"/>
                <w:szCs w:val="20"/>
              </w:rPr>
            </w:pPr>
          </w:p>
        </w:tc>
        <w:tc>
          <w:tcPr>
            <w:tcW w:w="1701" w:type="dxa"/>
            <w:vMerge/>
            <w:tcBorders>
              <w:left w:val="single" w:sz="4" w:space="0" w:color="auto"/>
              <w:right w:val="single" w:sz="4" w:space="0" w:color="auto"/>
            </w:tcBorders>
            <w:vAlign w:val="center"/>
          </w:tcPr>
          <w:p w:rsidR="00A6008B" w:rsidRPr="00E92571" w:rsidRDefault="00A6008B" w:rsidP="003468F7">
            <w:pPr>
              <w:rPr>
                <w:rFonts w:cs="Arial"/>
                <w:sz w:val="20"/>
                <w:szCs w:val="20"/>
              </w:rPr>
            </w:pPr>
          </w:p>
        </w:tc>
        <w:tc>
          <w:tcPr>
            <w:tcW w:w="1984" w:type="dxa"/>
            <w:vMerge/>
            <w:tcBorders>
              <w:left w:val="single" w:sz="4" w:space="0" w:color="auto"/>
              <w:right w:val="single" w:sz="4" w:space="0" w:color="auto"/>
            </w:tcBorders>
            <w:vAlign w:val="center"/>
          </w:tcPr>
          <w:p w:rsidR="00A6008B" w:rsidRPr="00E92571" w:rsidRDefault="00A6008B" w:rsidP="003468F7">
            <w:pPr>
              <w:rPr>
                <w:rFonts w:cs="Arial"/>
                <w:sz w:val="20"/>
                <w:szCs w:val="20"/>
              </w:rPr>
            </w:pPr>
          </w:p>
        </w:tc>
        <w:tc>
          <w:tcPr>
            <w:tcW w:w="3402" w:type="dxa"/>
            <w:vMerge/>
            <w:tcBorders>
              <w:left w:val="single" w:sz="4" w:space="0" w:color="auto"/>
              <w:right w:val="single" w:sz="4" w:space="0" w:color="auto"/>
            </w:tcBorders>
            <w:vAlign w:val="center"/>
          </w:tcPr>
          <w:p w:rsidR="00A6008B" w:rsidRPr="00E92571" w:rsidRDefault="00A6008B" w:rsidP="003468F7">
            <w:pPr>
              <w:rPr>
                <w:rFonts w:cs="Arial"/>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p>
        </w:tc>
        <w:tc>
          <w:tcPr>
            <w:tcW w:w="2385" w:type="dxa"/>
            <w:tcBorders>
              <w:top w:val="single" w:sz="4" w:space="0" w:color="auto"/>
              <w:left w:val="nil"/>
              <w:bottom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Follow-up to Phase 2/Extension Phase Orientation Training: participants' self-assessment and TA assessment of whether they perform their functions more competently as a result of the training.</w:t>
            </w:r>
          </w:p>
        </w:tc>
        <w:tc>
          <w:tcPr>
            <w:tcW w:w="1541" w:type="dxa"/>
            <w:vMerge/>
            <w:tcBorders>
              <w:top w:val="single" w:sz="4" w:space="0" w:color="auto"/>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p>
        </w:tc>
        <w:tc>
          <w:tcPr>
            <w:tcW w:w="912" w:type="dxa"/>
            <w:gridSpan w:val="2"/>
            <w:vMerge/>
            <w:tcBorders>
              <w:left w:val="single" w:sz="4" w:space="0" w:color="auto"/>
              <w:right w:val="single" w:sz="4" w:space="0" w:color="auto"/>
            </w:tcBorders>
            <w:vAlign w:val="center"/>
          </w:tcPr>
          <w:p w:rsidR="00A6008B" w:rsidRPr="00E92571" w:rsidRDefault="00A6008B" w:rsidP="003468F7">
            <w:pPr>
              <w:rPr>
                <w:rFonts w:cs="Arial"/>
                <w:sz w:val="20"/>
                <w:szCs w:val="20"/>
              </w:rPr>
            </w:pPr>
          </w:p>
        </w:tc>
      </w:tr>
      <w:tr w:rsidR="00A6008B" w:rsidRPr="00E92571" w:rsidTr="00AD50E1">
        <w:trPr>
          <w:trHeight w:val="765"/>
          <w:jc w:val="center"/>
        </w:trPr>
        <w:tc>
          <w:tcPr>
            <w:tcW w:w="1604" w:type="dxa"/>
            <w:vMerge/>
            <w:tcBorders>
              <w:left w:val="single" w:sz="4" w:space="0" w:color="auto"/>
              <w:right w:val="single" w:sz="4" w:space="0" w:color="auto"/>
            </w:tcBorders>
            <w:vAlign w:val="center"/>
          </w:tcPr>
          <w:p w:rsidR="00A6008B" w:rsidRPr="00E92571" w:rsidRDefault="00A6008B" w:rsidP="003468F7">
            <w:pPr>
              <w:rPr>
                <w:rFonts w:cs="Arial"/>
                <w:sz w:val="20"/>
                <w:szCs w:val="20"/>
              </w:rPr>
            </w:pPr>
          </w:p>
        </w:tc>
        <w:tc>
          <w:tcPr>
            <w:tcW w:w="1701" w:type="dxa"/>
            <w:vMerge/>
            <w:tcBorders>
              <w:left w:val="single" w:sz="4" w:space="0" w:color="auto"/>
              <w:right w:val="single" w:sz="4" w:space="0" w:color="auto"/>
            </w:tcBorders>
            <w:vAlign w:val="center"/>
          </w:tcPr>
          <w:p w:rsidR="00A6008B" w:rsidRPr="00E92571" w:rsidRDefault="00A6008B" w:rsidP="003468F7">
            <w:pPr>
              <w:rPr>
                <w:rFonts w:cs="Arial"/>
                <w:sz w:val="20"/>
                <w:szCs w:val="20"/>
              </w:rPr>
            </w:pPr>
          </w:p>
        </w:tc>
        <w:tc>
          <w:tcPr>
            <w:tcW w:w="1984" w:type="dxa"/>
            <w:vMerge/>
            <w:tcBorders>
              <w:left w:val="single" w:sz="4" w:space="0" w:color="auto"/>
              <w:right w:val="single" w:sz="4" w:space="0" w:color="auto"/>
            </w:tcBorders>
            <w:vAlign w:val="center"/>
          </w:tcPr>
          <w:p w:rsidR="00A6008B" w:rsidRPr="00E92571" w:rsidRDefault="00A6008B" w:rsidP="003468F7">
            <w:pPr>
              <w:rPr>
                <w:rFonts w:cs="Arial"/>
                <w:sz w:val="20"/>
                <w:szCs w:val="20"/>
              </w:rPr>
            </w:pPr>
          </w:p>
        </w:tc>
        <w:tc>
          <w:tcPr>
            <w:tcW w:w="3402" w:type="dxa"/>
            <w:vMerge/>
            <w:tcBorders>
              <w:left w:val="single" w:sz="4" w:space="0" w:color="auto"/>
              <w:right w:val="single" w:sz="4" w:space="0" w:color="auto"/>
            </w:tcBorders>
            <w:vAlign w:val="center"/>
          </w:tcPr>
          <w:p w:rsidR="00A6008B" w:rsidRPr="00E92571" w:rsidRDefault="00A6008B" w:rsidP="003468F7">
            <w:pPr>
              <w:rPr>
                <w:rFonts w:cs="Arial"/>
                <w:sz w:val="20"/>
                <w:szCs w:val="20"/>
              </w:rPr>
            </w:pPr>
          </w:p>
        </w:tc>
        <w:tc>
          <w:tcPr>
            <w:tcW w:w="2131" w:type="dxa"/>
            <w:tcBorders>
              <w:top w:val="single" w:sz="4" w:space="0" w:color="auto"/>
              <w:left w:val="nil"/>
              <w:bottom w:val="single" w:sz="4" w:space="0" w:color="auto"/>
              <w:right w:val="single" w:sz="4" w:space="0" w:color="auto"/>
            </w:tcBorders>
            <w:vAlign w:val="center"/>
          </w:tcPr>
          <w:p w:rsidR="00A6008B" w:rsidRPr="00E92571" w:rsidRDefault="00A6008B" w:rsidP="003468F7">
            <w:pPr>
              <w:rPr>
                <w:rFonts w:cs="Arial"/>
                <w:bCs/>
                <w:sz w:val="20"/>
                <w:szCs w:val="20"/>
              </w:rPr>
            </w:pPr>
            <w:r w:rsidRPr="00E92571">
              <w:rPr>
                <w:rFonts w:cs="Arial"/>
                <w:bCs/>
                <w:sz w:val="20"/>
                <w:szCs w:val="20"/>
              </w:rPr>
              <w:t>RTT members more confidently disposed and able to deliver orientation training locally.</w:t>
            </w:r>
          </w:p>
        </w:tc>
        <w:tc>
          <w:tcPr>
            <w:tcW w:w="2385" w:type="dxa"/>
            <w:tcBorders>
              <w:top w:val="single" w:sz="4" w:space="0" w:color="auto"/>
              <w:left w:val="nil"/>
              <w:bottom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Quality of training, toolkit and materials/resources developed for the RTT.</w:t>
            </w:r>
          </w:p>
        </w:tc>
        <w:tc>
          <w:tcPr>
            <w:tcW w:w="1541" w:type="dxa"/>
            <w:tcBorders>
              <w:top w:val="single" w:sz="4" w:space="0" w:color="auto"/>
              <w:left w:val="nil"/>
              <w:bottom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Programme/toolkit and participants' evaluations.</w:t>
            </w:r>
          </w:p>
        </w:tc>
        <w:tc>
          <w:tcPr>
            <w:tcW w:w="912" w:type="dxa"/>
            <w:gridSpan w:val="2"/>
            <w:vMerge/>
            <w:tcBorders>
              <w:left w:val="single" w:sz="4" w:space="0" w:color="auto"/>
              <w:right w:val="single" w:sz="4" w:space="0" w:color="auto"/>
            </w:tcBorders>
            <w:vAlign w:val="center"/>
          </w:tcPr>
          <w:p w:rsidR="00A6008B" w:rsidRPr="00E92571" w:rsidRDefault="00A6008B" w:rsidP="003468F7">
            <w:pPr>
              <w:rPr>
                <w:rFonts w:cs="Arial"/>
                <w:sz w:val="20"/>
                <w:szCs w:val="20"/>
              </w:rPr>
            </w:pPr>
          </w:p>
        </w:tc>
      </w:tr>
      <w:tr w:rsidR="00A6008B" w:rsidRPr="00E92571" w:rsidTr="00AD50E1">
        <w:trPr>
          <w:trHeight w:val="1377"/>
          <w:jc w:val="center"/>
        </w:trPr>
        <w:tc>
          <w:tcPr>
            <w:tcW w:w="1604" w:type="dxa"/>
            <w:vMerge/>
            <w:tcBorders>
              <w:left w:val="single" w:sz="4" w:space="0" w:color="auto"/>
              <w:bottom w:val="nil"/>
              <w:right w:val="single" w:sz="4" w:space="0" w:color="auto"/>
            </w:tcBorders>
            <w:vAlign w:val="center"/>
          </w:tcPr>
          <w:p w:rsidR="00A6008B" w:rsidRPr="00E92571" w:rsidRDefault="00A6008B" w:rsidP="003468F7">
            <w:pPr>
              <w:rPr>
                <w:rFonts w:cs="Arial"/>
                <w:sz w:val="20"/>
                <w:szCs w:val="20"/>
              </w:rPr>
            </w:pPr>
          </w:p>
        </w:tc>
        <w:tc>
          <w:tcPr>
            <w:tcW w:w="1701" w:type="dxa"/>
            <w:vMerge/>
            <w:tcBorders>
              <w:left w:val="single" w:sz="4" w:space="0" w:color="auto"/>
              <w:bottom w:val="nil"/>
              <w:right w:val="single" w:sz="4" w:space="0" w:color="auto"/>
            </w:tcBorders>
            <w:vAlign w:val="center"/>
          </w:tcPr>
          <w:p w:rsidR="00A6008B" w:rsidRPr="00E92571" w:rsidRDefault="00A6008B" w:rsidP="003468F7">
            <w:pPr>
              <w:rPr>
                <w:rFonts w:cs="Arial"/>
                <w:sz w:val="20"/>
                <w:szCs w:val="20"/>
              </w:rPr>
            </w:pPr>
          </w:p>
        </w:tc>
        <w:tc>
          <w:tcPr>
            <w:tcW w:w="1984" w:type="dxa"/>
            <w:vMerge/>
            <w:tcBorders>
              <w:left w:val="single" w:sz="4" w:space="0" w:color="auto"/>
              <w:bottom w:val="nil"/>
              <w:right w:val="single" w:sz="4" w:space="0" w:color="auto"/>
            </w:tcBorders>
            <w:vAlign w:val="center"/>
          </w:tcPr>
          <w:p w:rsidR="00A6008B" w:rsidRPr="00E92571" w:rsidRDefault="00A6008B" w:rsidP="003468F7">
            <w:pPr>
              <w:rPr>
                <w:rFonts w:cs="Arial"/>
                <w:sz w:val="20"/>
                <w:szCs w:val="20"/>
              </w:rPr>
            </w:pPr>
          </w:p>
        </w:tc>
        <w:tc>
          <w:tcPr>
            <w:tcW w:w="3402" w:type="dxa"/>
            <w:vMerge/>
            <w:tcBorders>
              <w:left w:val="single" w:sz="4" w:space="0" w:color="auto"/>
              <w:bottom w:val="nil"/>
              <w:right w:val="single" w:sz="4" w:space="0" w:color="auto"/>
            </w:tcBorders>
            <w:vAlign w:val="center"/>
          </w:tcPr>
          <w:p w:rsidR="00A6008B" w:rsidRPr="00E92571" w:rsidRDefault="00A6008B" w:rsidP="003468F7">
            <w:pPr>
              <w:rPr>
                <w:rFonts w:cs="Arial"/>
                <w:sz w:val="20"/>
                <w:szCs w:val="20"/>
              </w:rPr>
            </w:pPr>
          </w:p>
        </w:tc>
        <w:tc>
          <w:tcPr>
            <w:tcW w:w="2131" w:type="dxa"/>
            <w:tcBorders>
              <w:top w:val="single" w:sz="4" w:space="0" w:color="auto"/>
              <w:left w:val="single" w:sz="4" w:space="0" w:color="auto"/>
              <w:bottom w:val="single" w:sz="4" w:space="0" w:color="auto"/>
              <w:right w:val="single" w:sz="4" w:space="0" w:color="auto"/>
            </w:tcBorders>
            <w:vAlign w:val="center"/>
          </w:tcPr>
          <w:p w:rsidR="00A6008B" w:rsidRPr="00E92571" w:rsidRDefault="00A6008B" w:rsidP="003468F7">
            <w:pPr>
              <w:rPr>
                <w:sz w:val="20"/>
                <w:szCs w:val="20"/>
              </w:rPr>
            </w:pPr>
            <w:r w:rsidRPr="00E92571">
              <w:rPr>
                <w:sz w:val="20"/>
                <w:szCs w:val="20"/>
              </w:rPr>
              <w:t>Capacity of up to 30 law-trained and lay judicial officers built by participating in two separate decision-making workshops.</w:t>
            </w:r>
          </w:p>
        </w:tc>
        <w:tc>
          <w:tcPr>
            <w:tcW w:w="2385" w:type="dxa"/>
            <w:vMerge w:val="restart"/>
            <w:tcBorders>
              <w:top w:val="single" w:sz="4" w:space="0" w:color="auto"/>
              <w:left w:val="nil"/>
              <w:bottom w:val="nil"/>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Perceptions of the quality of the training including RTT co-facilitation of it.</w:t>
            </w:r>
          </w:p>
        </w:tc>
        <w:tc>
          <w:tcPr>
            <w:tcW w:w="1541" w:type="dxa"/>
            <w:vMerge w:val="restart"/>
            <w:tcBorders>
              <w:top w:val="single" w:sz="4" w:space="0" w:color="auto"/>
              <w:left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TA/participants' evaluation.</w:t>
            </w:r>
          </w:p>
        </w:tc>
        <w:tc>
          <w:tcPr>
            <w:tcW w:w="912" w:type="dxa"/>
            <w:gridSpan w:val="2"/>
            <w:vMerge/>
            <w:tcBorders>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p>
        </w:tc>
      </w:tr>
      <w:tr w:rsidR="00A6008B" w:rsidRPr="00E92571" w:rsidTr="00AD50E1">
        <w:trPr>
          <w:trHeight w:val="70"/>
          <w:jc w:val="center"/>
        </w:trPr>
        <w:tc>
          <w:tcPr>
            <w:tcW w:w="1604" w:type="dxa"/>
            <w:vMerge/>
            <w:tcBorders>
              <w:left w:val="single" w:sz="4" w:space="0" w:color="auto"/>
              <w:right w:val="single" w:sz="4" w:space="0" w:color="auto"/>
            </w:tcBorders>
            <w:vAlign w:val="center"/>
          </w:tcPr>
          <w:p w:rsidR="00A6008B" w:rsidRPr="00E92571" w:rsidRDefault="00A6008B" w:rsidP="003468F7">
            <w:pPr>
              <w:rPr>
                <w:rFonts w:cs="Arial"/>
                <w:sz w:val="20"/>
                <w:szCs w:val="20"/>
              </w:rPr>
            </w:pPr>
          </w:p>
        </w:tc>
        <w:tc>
          <w:tcPr>
            <w:tcW w:w="1701" w:type="dxa"/>
            <w:vMerge/>
            <w:tcBorders>
              <w:left w:val="single" w:sz="4" w:space="0" w:color="auto"/>
              <w:right w:val="single" w:sz="4" w:space="0" w:color="auto"/>
            </w:tcBorders>
            <w:vAlign w:val="center"/>
          </w:tcPr>
          <w:p w:rsidR="00A6008B" w:rsidRPr="00E92571" w:rsidRDefault="00A6008B" w:rsidP="003468F7">
            <w:pPr>
              <w:rPr>
                <w:rFonts w:cs="Arial"/>
                <w:sz w:val="20"/>
                <w:szCs w:val="20"/>
              </w:rPr>
            </w:pPr>
          </w:p>
        </w:tc>
        <w:tc>
          <w:tcPr>
            <w:tcW w:w="1984" w:type="dxa"/>
            <w:vMerge/>
            <w:tcBorders>
              <w:left w:val="single" w:sz="4" w:space="0" w:color="auto"/>
              <w:right w:val="single" w:sz="4" w:space="0" w:color="auto"/>
            </w:tcBorders>
            <w:vAlign w:val="center"/>
          </w:tcPr>
          <w:p w:rsidR="00A6008B" w:rsidRPr="00E92571" w:rsidRDefault="00A6008B" w:rsidP="003468F7">
            <w:pPr>
              <w:rPr>
                <w:rFonts w:cs="Arial"/>
                <w:sz w:val="20"/>
                <w:szCs w:val="20"/>
              </w:rPr>
            </w:pPr>
          </w:p>
        </w:tc>
        <w:tc>
          <w:tcPr>
            <w:tcW w:w="3402" w:type="dxa"/>
            <w:vMerge/>
            <w:tcBorders>
              <w:left w:val="single" w:sz="4" w:space="0" w:color="auto"/>
              <w:right w:val="single" w:sz="4" w:space="0" w:color="auto"/>
            </w:tcBorders>
            <w:vAlign w:val="center"/>
          </w:tcPr>
          <w:p w:rsidR="00A6008B" w:rsidRPr="00E92571" w:rsidRDefault="00A6008B" w:rsidP="003468F7">
            <w:pPr>
              <w:rPr>
                <w:rFonts w:cs="Arial"/>
                <w:sz w:val="20"/>
                <w:szCs w:val="20"/>
              </w:rPr>
            </w:pPr>
          </w:p>
        </w:tc>
        <w:tc>
          <w:tcPr>
            <w:tcW w:w="2131" w:type="dxa"/>
            <w:tcBorders>
              <w:top w:val="single" w:sz="4" w:space="0" w:color="auto"/>
              <w:left w:val="single" w:sz="4" w:space="0" w:color="auto"/>
              <w:bottom w:val="single" w:sz="4" w:space="0" w:color="auto"/>
              <w:right w:val="single" w:sz="4" w:space="0" w:color="auto"/>
            </w:tcBorders>
            <w:vAlign w:val="center"/>
          </w:tcPr>
          <w:p w:rsidR="00A6008B" w:rsidRPr="00E92571" w:rsidRDefault="00A6008B" w:rsidP="003468F7">
            <w:pPr>
              <w:tabs>
                <w:tab w:val="left" w:pos="0"/>
              </w:tabs>
              <w:rPr>
                <w:sz w:val="20"/>
                <w:szCs w:val="20"/>
              </w:rPr>
            </w:pPr>
            <w:r w:rsidRPr="00E92571">
              <w:rPr>
                <w:sz w:val="20"/>
                <w:szCs w:val="20"/>
              </w:rPr>
              <w:t>Capacity of RTT members built through experience delivering peer-based support and training in decision-making at regional level.</w:t>
            </w:r>
          </w:p>
        </w:tc>
        <w:tc>
          <w:tcPr>
            <w:tcW w:w="2385" w:type="dxa"/>
            <w:vMerge/>
            <w:tcBorders>
              <w:left w:val="nil"/>
              <w:right w:val="single" w:sz="4" w:space="0" w:color="auto"/>
            </w:tcBorders>
            <w:vAlign w:val="center"/>
          </w:tcPr>
          <w:p w:rsidR="00A6008B" w:rsidRPr="00E92571" w:rsidRDefault="00A6008B" w:rsidP="003468F7">
            <w:pPr>
              <w:rPr>
                <w:rFonts w:cs="Arial"/>
                <w:sz w:val="20"/>
                <w:szCs w:val="20"/>
              </w:rPr>
            </w:pPr>
          </w:p>
        </w:tc>
        <w:tc>
          <w:tcPr>
            <w:tcW w:w="1541" w:type="dxa"/>
            <w:vMerge/>
            <w:tcBorders>
              <w:left w:val="single" w:sz="4" w:space="0" w:color="auto"/>
              <w:right w:val="single" w:sz="4" w:space="0" w:color="auto"/>
            </w:tcBorders>
            <w:vAlign w:val="center"/>
          </w:tcPr>
          <w:p w:rsidR="00A6008B" w:rsidRPr="00E92571" w:rsidRDefault="00A6008B" w:rsidP="003468F7">
            <w:pPr>
              <w:rPr>
                <w:rFonts w:cs="Arial"/>
                <w:sz w:val="20"/>
                <w:szCs w:val="20"/>
              </w:rPr>
            </w:pPr>
          </w:p>
        </w:tc>
        <w:tc>
          <w:tcPr>
            <w:tcW w:w="912" w:type="dxa"/>
            <w:gridSpan w:val="2"/>
            <w:vMerge w:val="restart"/>
            <w:tcBorders>
              <w:top w:val="single" w:sz="4" w:space="0" w:color="auto"/>
              <w:left w:val="single" w:sz="4" w:space="0" w:color="auto"/>
              <w:right w:val="single" w:sz="4" w:space="0" w:color="auto"/>
            </w:tcBorders>
            <w:vAlign w:val="center"/>
          </w:tcPr>
          <w:p w:rsidR="00A6008B" w:rsidRPr="00E92571" w:rsidRDefault="00A6008B" w:rsidP="003468F7">
            <w:pPr>
              <w:rPr>
                <w:rFonts w:cs="Arial"/>
                <w:sz w:val="20"/>
                <w:szCs w:val="20"/>
              </w:rPr>
            </w:pPr>
          </w:p>
        </w:tc>
      </w:tr>
      <w:tr w:rsidR="00A6008B" w:rsidRPr="00E92571" w:rsidTr="002E4D33">
        <w:trPr>
          <w:trHeight w:val="1108"/>
          <w:jc w:val="center"/>
        </w:trPr>
        <w:tc>
          <w:tcPr>
            <w:tcW w:w="1604" w:type="dxa"/>
            <w:vMerge/>
            <w:tcBorders>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p>
        </w:tc>
        <w:tc>
          <w:tcPr>
            <w:tcW w:w="1701" w:type="dxa"/>
            <w:vMerge/>
            <w:tcBorders>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p>
        </w:tc>
        <w:tc>
          <w:tcPr>
            <w:tcW w:w="1984" w:type="dxa"/>
            <w:vMerge/>
            <w:tcBorders>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p>
        </w:tc>
        <w:tc>
          <w:tcPr>
            <w:tcW w:w="3402" w:type="dxa"/>
            <w:vMerge/>
            <w:tcBorders>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p>
        </w:tc>
        <w:tc>
          <w:tcPr>
            <w:tcW w:w="2131" w:type="dxa"/>
            <w:tcBorders>
              <w:top w:val="single" w:sz="4" w:space="0" w:color="auto"/>
              <w:left w:val="single" w:sz="4" w:space="0" w:color="auto"/>
              <w:bottom w:val="single" w:sz="4" w:space="0" w:color="auto"/>
              <w:right w:val="single" w:sz="4" w:space="0" w:color="auto"/>
            </w:tcBorders>
            <w:vAlign w:val="center"/>
          </w:tcPr>
          <w:p w:rsidR="00A6008B" w:rsidRPr="00E92571" w:rsidRDefault="00A6008B" w:rsidP="003468F7">
            <w:pPr>
              <w:tabs>
                <w:tab w:val="left" w:pos="0"/>
                <w:tab w:val="left" w:pos="26"/>
              </w:tabs>
              <w:rPr>
                <w:sz w:val="20"/>
                <w:szCs w:val="20"/>
              </w:rPr>
            </w:pPr>
            <w:r w:rsidRPr="00E92571">
              <w:rPr>
                <w:rFonts w:cs="Arial"/>
                <w:bCs/>
                <w:sz w:val="20"/>
                <w:szCs w:val="20"/>
              </w:rPr>
              <w:t>RTT members more confidently disposed and able to provide peer-based support and training in decision-making at the local level.</w:t>
            </w:r>
          </w:p>
        </w:tc>
        <w:tc>
          <w:tcPr>
            <w:tcW w:w="2385" w:type="dxa"/>
            <w:vMerge/>
            <w:tcBorders>
              <w:left w:val="nil"/>
              <w:bottom w:val="single" w:sz="4" w:space="0" w:color="auto"/>
              <w:right w:val="single" w:sz="4" w:space="0" w:color="auto"/>
            </w:tcBorders>
            <w:vAlign w:val="center"/>
          </w:tcPr>
          <w:p w:rsidR="00A6008B" w:rsidRPr="00E92571" w:rsidRDefault="00A6008B" w:rsidP="003468F7">
            <w:pPr>
              <w:rPr>
                <w:rFonts w:cs="Arial"/>
                <w:sz w:val="20"/>
                <w:szCs w:val="20"/>
              </w:rPr>
            </w:pPr>
          </w:p>
        </w:tc>
        <w:tc>
          <w:tcPr>
            <w:tcW w:w="1541" w:type="dxa"/>
            <w:vMerge/>
            <w:tcBorders>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p>
        </w:tc>
        <w:tc>
          <w:tcPr>
            <w:tcW w:w="912" w:type="dxa"/>
            <w:gridSpan w:val="2"/>
            <w:vMerge/>
            <w:tcBorders>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p>
        </w:tc>
      </w:tr>
      <w:tr w:rsidR="00A6008B" w:rsidRPr="00E92571" w:rsidTr="002E4D33">
        <w:trPr>
          <w:trHeight w:val="315"/>
          <w:jc w:val="center"/>
        </w:trPr>
        <w:tc>
          <w:tcPr>
            <w:tcW w:w="15660" w:type="dxa"/>
            <w:gridSpan w:val="9"/>
            <w:tcBorders>
              <w:top w:val="single" w:sz="4" w:space="0" w:color="auto"/>
              <w:left w:val="single" w:sz="4" w:space="0" w:color="auto"/>
              <w:bottom w:val="single" w:sz="4" w:space="0" w:color="auto"/>
              <w:right w:val="single" w:sz="4" w:space="0" w:color="auto"/>
            </w:tcBorders>
            <w:shd w:val="clear" w:color="auto" w:fill="CCCCCC"/>
            <w:vAlign w:val="center"/>
          </w:tcPr>
          <w:p w:rsidR="00A6008B" w:rsidRPr="00E92571" w:rsidRDefault="00A6008B" w:rsidP="003468F7">
            <w:pPr>
              <w:spacing w:before="120"/>
              <w:rPr>
                <w:rFonts w:cs="Arial"/>
                <w:b/>
                <w:bCs/>
                <w:szCs w:val="23"/>
              </w:rPr>
            </w:pPr>
            <w:r w:rsidRPr="00E92571">
              <w:rPr>
                <w:rFonts w:cs="Arial"/>
                <w:b/>
                <w:bCs/>
                <w:szCs w:val="23"/>
              </w:rPr>
              <w:t>5.0 Programme Management</w:t>
            </w:r>
          </w:p>
        </w:tc>
      </w:tr>
      <w:tr w:rsidR="00A6008B" w:rsidRPr="00E92571" w:rsidTr="002E4D33">
        <w:trPr>
          <w:trHeight w:val="510"/>
          <w:jc w:val="center"/>
        </w:trPr>
        <w:tc>
          <w:tcPr>
            <w:tcW w:w="1604" w:type="dxa"/>
            <w:vMerge w:val="restart"/>
            <w:tcBorders>
              <w:top w:val="single" w:sz="4" w:space="0" w:color="auto"/>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All PJDP activities are delivered and +90% of funds expended</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PJDP provides high quality products and services which are owned by, delivers tangible benefits to PIC courts and which expends 90% of the approved budget.</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NA</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rsidR="00A6008B" w:rsidRPr="00E92571" w:rsidRDefault="00A6008B" w:rsidP="002D34F9">
            <w:pPr>
              <w:rPr>
                <w:rFonts w:cs="Arial"/>
                <w:sz w:val="20"/>
                <w:szCs w:val="20"/>
              </w:rPr>
            </w:pPr>
            <w:r w:rsidRPr="009A221A">
              <w:rPr>
                <w:sz w:val="20"/>
                <w:szCs w:val="22"/>
              </w:rPr>
              <w:t>100% of approved activities along with seven additional activities</w:t>
            </w:r>
            <w:r w:rsidRPr="009A221A">
              <w:rPr>
                <w:rFonts w:cs="Calibri"/>
                <w:spacing w:val="32"/>
                <w:sz w:val="20"/>
                <w:szCs w:val="22"/>
                <w:vertAlign w:val="superscript"/>
              </w:rPr>
              <w:footnoteReference w:id="20"/>
            </w:r>
            <w:r w:rsidRPr="009A221A">
              <w:rPr>
                <w:sz w:val="20"/>
                <w:szCs w:val="22"/>
              </w:rPr>
              <w:t xml:space="preserve"> were completed during the 18 month implementation period.  100% of approved activities along with three additional activities</w:t>
            </w:r>
            <w:r w:rsidRPr="009A221A">
              <w:rPr>
                <w:rStyle w:val="FootnoteReference"/>
                <w:sz w:val="20"/>
                <w:szCs w:val="22"/>
              </w:rPr>
              <w:footnoteReference w:id="21"/>
            </w:r>
            <w:r w:rsidRPr="009A221A">
              <w:rPr>
                <w:sz w:val="20"/>
                <w:szCs w:val="22"/>
              </w:rPr>
              <w:t xml:space="preserve"> All activities were completed to a h</w:t>
            </w:r>
            <w:r w:rsidRPr="009A221A">
              <w:rPr>
                <w:spacing w:val="1"/>
                <w:sz w:val="20"/>
                <w:szCs w:val="22"/>
              </w:rPr>
              <w:t>i</w:t>
            </w:r>
            <w:r w:rsidRPr="009A221A">
              <w:rPr>
                <w:sz w:val="20"/>
                <w:szCs w:val="22"/>
              </w:rPr>
              <w:t>ghstandard with 82% of bu</w:t>
            </w:r>
            <w:r w:rsidRPr="009A221A">
              <w:rPr>
                <w:spacing w:val="1"/>
                <w:sz w:val="20"/>
                <w:szCs w:val="22"/>
              </w:rPr>
              <w:t>d</w:t>
            </w:r>
            <w:r w:rsidRPr="009A221A">
              <w:rPr>
                <w:sz w:val="20"/>
                <w:szCs w:val="22"/>
              </w:rPr>
              <w:t>get expen</w:t>
            </w:r>
            <w:r w:rsidRPr="009A221A">
              <w:rPr>
                <w:spacing w:val="1"/>
                <w:sz w:val="20"/>
                <w:szCs w:val="22"/>
              </w:rPr>
              <w:t>d</w:t>
            </w:r>
            <w:r w:rsidRPr="009A221A">
              <w:rPr>
                <w:sz w:val="20"/>
                <w:szCs w:val="22"/>
              </w:rPr>
              <w:t>ed.</w:t>
            </w:r>
          </w:p>
        </w:tc>
        <w:tc>
          <w:tcPr>
            <w:tcW w:w="2131" w:type="dxa"/>
            <w:vMerge w:val="restart"/>
            <w:tcBorders>
              <w:top w:val="single" w:sz="4" w:space="0" w:color="auto"/>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Effective management of all aspects of the PJDP, the promotion of collaborative and responsive programming and implementation, and the transparent administration of PJDP resources.</w:t>
            </w:r>
          </w:p>
        </w:tc>
        <w:tc>
          <w:tcPr>
            <w:tcW w:w="2385" w:type="dxa"/>
            <w:tcBorders>
              <w:top w:val="single" w:sz="4" w:space="0" w:color="auto"/>
              <w:left w:val="nil"/>
              <w:bottom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PEC/ regional leadership’s perceptions of quality of TA personnel.</w:t>
            </w:r>
          </w:p>
        </w:tc>
        <w:tc>
          <w:tcPr>
            <w:tcW w:w="1541" w:type="dxa"/>
            <w:tcBorders>
              <w:top w:val="single" w:sz="4" w:space="0" w:color="auto"/>
              <w:left w:val="nil"/>
              <w:bottom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PEC assessment minuted.</w:t>
            </w:r>
          </w:p>
        </w:tc>
        <w:tc>
          <w:tcPr>
            <w:tcW w:w="912" w:type="dxa"/>
            <w:gridSpan w:val="2"/>
            <w:tcBorders>
              <w:top w:val="single" w:sz="4" w:space="0" w:color="auto"/>
              <w:left w:val="nil"/>
              <w:bottom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MSC</w:t>
            </w:r>
          </w:p>
        </w:tc>
      </w:tr>
      <w:tr w:rsidR="00A6008B" w:rsidRPr="00E92571" w:rsidTr="00AD50E1">
        <w:trPr>
          <w:trHeight w:val="765"/>
          <w:jc w:val="center"/>
        </w:trPr>
        <w:tc>
          <w:tcPr>
            <w:tcW w:w="1604" w:type="dxa"/>
            <w:vMerge/>
            <w:tcBorders>
              <w:top w:val="single" w:sz="4" w:space="0" w:color="auto"/>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p>
        </w:tc>
        <w:tc>
          <w:tcPr>
            <w:tcW w:w="2385" w:type="dxa"/>
            <w:tcBorders>
              <w:top w:val="single" w:sz="4" w:space="0" w:color="auto"/>
              <w:left w:val="nil"/>
              <w:bottom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Quality of logistics and progress reporting to enable activities to be implemented on time and within budget.</w:t>
            </w:r>
          </w:p>
        </w:tc>
        <w:tc>
          <w:tcPr>
            <w:tcW w:w="1541" w:type="dxa"/>
            <w:tcBorders>
              <w:top w:val="single" w:sz="4" w:space="0" w:color="auto"/>
              <w:left w:val="nil"/>
              <w:bottom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Progress reports.</w:t>
            </w:r>
          </w:p>
        </w:tc>
        <w:tc>
          <w:tcPr>
            <w:tcW w:w="912" w:type="dxa"/>
            <w:gridSpan w:val="2"/>
            <w:tcBorders>
              <w:top w:val="single" w:sz="4" w:space="0" w:color="auto"/>
              <w:left w:val="nil"/>
              <w:bottom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MSC</w:t>
            </w:r>
          </w:p>
        </w:tc>
      </w:tr>
      <w:tr w:rsidR="00A6008B" w:rsidRPr="00E92571" w:rsidTr="00AD50E1">
        <w:trPr>
          <w:trHeight w:val="765"/>
          <w:jc w:val="center"/>
        </w:trPr>
        <w:tc>
          <w:tcPr>
            <w:tcW w:w="1604" w:type="dxa"/>
            <w:vMerge/>
            <w:tcBorders>
              <w:top w:val="single" w:sz="4" w:space="0" w:color="auto"/>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p>
        </w:tc>
        <w:tc>
          <w:tcPr>
            <w:tcW w:w="2385" w:type="dxa"/>
            <w:vMerge w:val="restart"/>
            <w:tcBorders>
              <w:top w:val="single" w:sz="4" w:space="0" w:color="auto"/>
              <w:left w:val="single" w:sz="4" w:space="0" w:color="auto"/>
              <w:bottom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Quality of incorporation of cross-cutting issues (gender, human rights, sustainability) into appropriate activities.</w:t>
            </w:r>
          </w:p>
          <w:p w:rsidR="00A6008B" w:rsidRPr="00E92571" w:rsidRDefault="00A6008B" w:rsidP="003468F7">
            <w:pPr>
              <w:rPr>
                <w:rFonts w:cs="Arial"/>
                <w:sz w:val="8"/>
                <w:szCs w:val="20"/>
              </w:rPr>
            </w:pPr>
          </w:p>
          <w:p w:rsidR="00A6008B" w:rsidRPr="00E92571" w:rsidRDefault="00A6008B" w:rsidP="003468F7">
            <w:pPr>
              <w:rPr>
                <w:rFonts w:cs="Arial"/>
                <w:sz w:val="20"/>
                <w:szCs w:val="20"/>
              </w:rPr>
            </w:pPr>
            <w:r w:rsidRPr="00E92571">
              <w:rPr>
                <w:rFonts w:cs="Arial"/>
                <w:sz w:val="20"/>
                <w:szCs w:val="20"/>
              </w:rPr>
              <w:t>Comprehensive and accurate, evidence-based reporting (narrative and financial reporting) completed and submitted by MSC to MFAT on time.</w:t>
            </w:r>
          </w:p>
        </w:tc>
        <w:tc>
          <w:tcPr>
            <w:tcW w:w="1541" w:type="dxa"/>
            <w:tcBorders>
              <w:top w:val="single" w:sz="4" w:space="0" w:color="auto"/>
              <w:left w:val="nil"/>
              <w:bottom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Strategies to incorporate cross-cutting issues.</w:t>
            </w:r>
          </w:p>
        </w:tc>
        <w:tc>
          <w:tcPr>
            <w:tcW w:w="912" w:type="dxa"/>
            <w:gridSpan w:val="2"/>
            <w:tcBorders>
              <w:top w:val="single" w:sz="4" w:space="0" w:color="auto"/>
              <w:left w:val="nil"/>
              <w:bottom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MSC</w:t>
            </w:r>
          </w:p>
        </w:tc>
      </w:tr>
      <w:tr w:rsidR="00A6008B" w:rsidRPr="00E92571" w:rsidTr="00AD50E1">
        <w:trPr>
          <w:trHeight w:val="510"/>
          <w:jc w:val="center"/>
        </w:trPr>
        <w:tc>
          <w:tcPr>
            <w:tcW w:w="1604" w:type="dxa"/>
            <w:vMerge/>
            <w:tcBorders>
              <w:top w:val="single" w:sz="4" w:space="0" w:color="auto"/>
              <w:left w:val="single" w:sz="4" w:space="0" w:color="auto"/>
              <w:bottom w:val="single" w:sz="4" w:space="0" w:color="000000"/>
              <w:right w:val="single" w:sz="4" w:space="0" w:color="auto"/>
            </w:tcBorders>
            <w:vAlign w:val="center"/>
          </w:tcPr>
          <w:p w:rsidR="00A6008B" w:rsidRPr="00E92571" w:rsidRDefault="00A6008B" w:rsidP="003468F7">
            <w:pPr>
              <w:rPr>
                <w:rFonts w:cs="Arial"/>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tcPr>
          <w:p w:rsidR="00A6008B" w:rsidRPr="00E92571" w:rsidRDefault="00A6008B" w:rsidP="003468F7">
            <w:pPr>
              <w:rPr>
                <w:rFonts w:cs="Arial"/>
                <w:sz w:val="20"/>
                <w:szCs w:val="20"/>
              </w:rPr>
            </w:pPr>
          </w:p>
        </w:tc>
        <w:tc>
          <w:tcPr>
            <w:tcW w:w="1984" w:type="dxa"/>
            <w:vMerge/>
            <w:tcBorders>
              <w:top w:val="single" w:sz="4" w:space="0" w:color="auto"/>
              <w:left w:val="single" w:sz="4" w:space="0" w:color="auto"/>
              <w:bottom w:val="single" w:sz="4" w:space="0" w:color="000000"/>
              <w:right w:val="single" w:sz="4" w:space="0" w:color="auto"/>
            </w:tcBorders>
            <w:vAlign w:val="center"/>
          </w:tcPr>
          <w:p w:rsidR="00A6008B" w:rsidRPr="00E92571" w:rsidRDefault="00A6008B" w:rsidP="003468F7">
            <w:pPr>
              <w:rPr>
                <w:rFonts w:cs="Arial"/>
                <w:sz w:val="20"/>
                <w:szCs w:val="20"/>
              </w:rPr>
            </w:pPr>
          </w:p>
        </w:tc>
        <w:tc>
          <w:tcPr>
            <w:tcW w:w="3402" w:type="dxa"/>
            <w:vMerge/>
            <w:tcBorders>
              <w:top w:val="single" w:sz="4" w:space="0" w:color="auto"/>
              <w:left w:val="single" w:sz="4" w:space="0" w:color="auto"/>
              <w:bottom w:val="single" w:sz="4" w:space="0" w:color="000000"/>
              <w:right w:val="single" w:sz="4" w:space="0" w:color="auto"/>
            </w:tcBorders>
            <w:vAlign w:val="center"/>
          </w:tcPr>
          <w:p w:rsidR="00A6008B" w:rsidRPr="00E92571" w:rsidRDefault="00A6008B" w:rsidP="003468F7">
            <w:pPr>
              <w:rPr>
                <w:rFonts w:cs="Arial"/>
                <w:sz w:val="20"/>
                <w:szCs w:val="20"/>
              </w:rPr>
            </w:pPr>
          </w:p>
        </w:tc>
        <w:tc>
          <w:tcPr>
            <w:tcW w:w="2131" w:type="dxa"/>
            <w:vMerge/>
            <w:tcBorders>
              <w:top w:val="single" w:sz="4" w:space="0" w:color="auto"/>
              <w:left w:val="single" w:sz="4" w:space="0" w:color="auto"/>
              <w:bottom w:val="single" w:sz="4" w:space="0" w:color="000000"/>
              <w:right w:val="single" w:sz="4" w:space="0" w:color="auto"/>
            </w:tcBorders>
            <w:vAlign w:val="center"/>
          </w:tcPr>
          <w:p w:rsidR="00A6008B" w:rsidRPr="00E92571" w:rsidRDefault="00A6008B" w:rsidP="003468F7">
            <w:pPr>
              <w:rPr>
                <w:rFonts w:cs="Arial"/>
                <w:sz w:val="20"/>
                <w:szCs w:val="20"/>
              </w:rPr>
            </w:pPr>
          </w:p>
        </w:tc>
        <w:tc>
          <w:tcPr>
            <w:tcW w:w="2385" w:type="dxa"/>
            <w:vMerge/>
            <w:tcBorders>
              <w:top w:val="single" w:sz="4" w:space="0" w:color="auto"/>
              <w:left w:val="single" w:sz="4" w:space="0" w:color="auto"/>
              <w:bottom w:val="single" w:sz="4" w:space="0" w:color="000000"/>
              <w:right w:val="single" w:sz="4" w:space="0" w:color="auto"/>
            </w:tcBorders>
            <w:vAlign w:val="center"/>
          </w:tcPr>
          <w:p w:rsidR="00A6008B" w:rsidRPr="00E92571" w:rsidRDefault="00A6008B" w:rsidP="003468F7">
            <w:pPr>
              <w:rPr>
                <w:rFonts w:cs="Arial"/>
                <w:sz w:val="20"/>
                <w:szCs w:val="20"/>
              </w:rPr>
            </w:pPr>
          </w:p>
        </w:tc>
        <w:tc>
          <w:tcPr>
            <w:tcW w:w="1541" w:type="dxa"/>
            <w:tcBorders>
              <w:top w:val="single" w:sz="4" w:space="0" w:color="auto"/>
              <w:left w:val="nil"/>
              <w:bottom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TA progress and completion reports.</w:t>
            </w:r>
          </w:p>
          <w:p w:rsidR="00A6008B" w:rsidRPr="00E92571" w:rsidRDefault="00A6008B" w:rsidP="003468F7">
            <w:pPr>
              <w:rPr>
                <w:rFonts w:cs="Arial"/>
                <w:sz w:val="8"/>
                <w:szCs w:val="20"/>
              </w:rPr>
            </w:pPr>
          </w:p>
          <w:p w:rsidR="00A6008B" w:rsidRPr="00E92571" w:rsidRDefault="00A6008B" w:rsidP="003468F7">
            <w:pPr>
              <w:rPr>
                <w:rFonts w:cs="Arial"/>
                <w:sz w:val="20"/>
                <w:szCs w:val="20"/>
              </w:rPr>
            </w:pPr>
            <w:r w:rsidRPr="00E92571">
              <w:rPr>
                <w:rFonts w:cs="Arial"/>
                <w:sz w:val="20"/>
                <w:szCs w:val="20"/>
              </w:rPr>
              <w:t>MSC Reports (narrative and financial)</w:t>
            </w:r>
          </w:p>
        </w:tc>
        <w:tc>
          <w:tcPr>
            <w:tcW w:w="912" w:type="dxa"/>
            <w:gridSpan w:val="2"/>
            <w:tcBorders>
              <w:top w:val="single" w:sz="4" w:space="0" w:color="auto"/>
              <w:left w:val="nil"/>
              <w:bottom w:val="single" w:sz="4" w:space="0" w:color="auto"/>
              <w:right w:val="single" w:sz="4" w:space="0" w:color="auto"/>
            </w:tcBorders>
            <w:vAlign w:val="center"/>
          </w:tcPr>
          <w:p w:rsidR="00A6008B" w:rsidRPr="00E92571" w:rsidRDefault="00A6008B" w:rsidP="003468F7">
            <w:pPr>
              <w:rPr>
                <w:rFonts w:cs="Arial"/>
                <w:sz w:val="20"/>
                <w:szCs w:val="20"/>
              </w:rPr>
            </w:pPr>
            <w:r w:rsidRPr="00E92571">
              <w:rPr>
                <w:rFonts w:cs="Arial"/>
                <w:sz w:val="20"/>
                <w:szCs w:val="20"/>
              </w:rPr>
              <w:t>All TAs</w:t>
            </w:r>
          </w:p>
          <w:p w:rsidR="00A6008B" w:rsidRPr="00E92571" w:rsidRDefault="00A6008B" w:rsidP="003468F7">
            <w:pPr>
              <w:rPr>
                <w:rFonts w:cs="Arial"/>
                <w:sz w:val="8"/>
                <w:szCs w:val="20"/>
              </w:rPr>
            </w:pPr>
          </w:p>
          <w:p w:rsidR="00A6008B" w:rsidRPr="00E92571" w:rsidRDefault="00A6008B" w:rsidP="003468F7">
            <w:pPr>
              <w:rPr>
                <w:rFonts w:cs="Arial"/>
                <w:sz w:val="20"/>
                <w:szCs w:val="20"/>
              </w:rPr>
            </w:pPr>
            <w:r w:rsidRPr="00E92571">
              <w:rPr>
                <w:rFonts w:cs="Arial"/>
                <w:sz w:val="20"/>
                <w:szCs w:val="20"/>
              </w:rPr>
              <w:t>MSC</w:t>
            </w:r>
          </w:p>
        </w:tc>
      </w:tr>
    </w:tbl>
    <w:p w:rsidR="00A6008B" w:rsidRPr="00E92571" w:rsidRDefault="00A6008B" w:rsidP="00890061"/>
    <w:p w:rsidR="00A6008B" w:rsidRPr="00E92571" w:rsidRDefault="00A6008B" w:rsidP="00890061">
      <w:pPr>
        <w:rPr>
          <w:highlight w:val="green"/>
          <w:lang w:eastAsia="en-US"/>
        </w:rPr>
        <w:sectPr w:rsidR="00A6008B" w:rsidRPr="00E92571" w:rsidSect="00BC4D8A">
          <w:headerReference w:type="default" r:id="rId24"/>
          <w:footerReference w:type="default" r:id="rId25"/>
          <w:pgSz w:w="16840" w:h="11907" w:orient="landscape" w:code="9"/>
          <w:pgMar w:top="1361" w:right="1361" w:bottom="1361" w:left="1418" w:header="397" w:footer="680" w:gutter="0"/>
          <w:pgNumType w:start="2"/>
          <w:cols w:space="708"/>
          <w:docGrid w:linePitch="360"/>
        </w:sectPr>
      </w:pPr>
    </w:p>
    <w:p w:rsidR="00A6008B" w:rsidRPr="00E92571" w:rsidRDefault="00A6008B" w:rsidP="00527506">
      <w:pPr>
        <w:pStyle w:val="Heading1"/>
        <w:rPr>
          <w:color w:val="000000"/>
          <w:sz w:val="28"/>
          <w:szCs w:val="28"/>
          <w:lang w:val="en-AU"/>
        </w:rPr>
      </w:pPr>
      <w:bookmarkStart w:id="76" w:name="_Toc354644472"/>
      <w:r w:rsidRPr="00E92571">
        <w:rPr>
          <w:lang w:val="en-AU"/>
        </w:rPr>
        <w:t xml:space="preserve">Annex Two - </w:t>
      </w:r>
      <w:r w:rsidRPr="00E92571">
        <w:rPr>
          <w:color w:val="000000"/>
          <w:sz w:val="28"/>
          <w:szCs w:val="28"/>
          <w:lang w:val="en-AU"/>
        </w:rPr>
        <w:t>Number of Activities: Comparative Assessment</w:t>
      </w:r>
      <w:bookmarkEnd w:id="76"/>
    </w:p>
    <w:p w:rsidR="00A6008B" w:rsidRPr="00E92571" w:rsidRDefault="00A6008B" w:rsidP="00D81F7D"/>
    <w:p w:rsidR="00A6008B" w:rsidRPr="00E92571" w:rsidRDefault="00A6008B" w:rsidP="00D36347">
      <w:r w:rsidRPr="00E92571">
        <w:rPr>
          <w:rFonts w:cs="Arial"/>
          <w:szCs w:val="18"/>
        </w:rPr>
        <w:t>As noted above, there is a significant improvement in productivity, and following table summarises this assessment:</w:t>
      </w:r>
    </w:p>
    <w:p w:rsidR="00A6008B" w:rsidRPr="00E92571" w:rsidRDefault="00A6008B" w:rsidP="00527506">
      <w:pPr>
        <w:rPr>
          <w:sz w:val="4"/>
          <w:szCs w:val="4"/>
          <w:lang w:eastAsia="en-US"/>
        </w:rPr>
      </w:pPr>
    </w:p>
    <w:tbl>
      <w:tblPr>
        <w:tblW w:w="9084" w:type="dxa"/>
        <w:tblInd w:w="96" w:type="dxa"/>
        <w:tblLayout w:type="fixed"/>
        <w:tblLook w:val="00A0"/>
      </w:tblPr>
      <w:tblGrid>
        <w:gridCol w:w="4407"/>
        <w:gridCol w:w="1525"/>
        <w:gridCol w:w="1526"/>
        <w:gridCol w:w="236"/>
        <w:gridCol w:w="1390"/>
      </w:tblGrid>
      <w:tr w:rsidR="00A6008B" w:rsidRPr="00E92571" w:rsidTr="00FF2E55">
        <w:trPr>
          <w:trHeight w:val="227"/>
        </w:trPr>
        <w:tc>
          <w:tcPr>
            <w:tcW w:w="4407" w:type="dxa"/>
            <w:tcBorders>
              <w:bottom w:val="single" w:sz="8" w:space="0" w:color="auto"/>
              <w:right w:val="single" w:sz="8" w:space="0" w:color="auto"/>
            </w:tcBorders>
            <w:shd w:val="clear" w:color="000000" w:fill="auto"/>
            <w:vAlign w:val="center"/>
          </w:tcPr>
          <w:p w:rsidR="00A6008B" w:rsidRPr="00E92571" w:rsidRDefault="00A6008B" w:rsidP="00E31AAC">
            <w:pPr>
              <w:spacing w:before="60" w:after="60"/>
              <w:rPr>
                <w:b/>
                <w:bCs/>
                <w:color w:val="000000"/>
                <w:szCs w:val="23"/>
              </w:rPr>
            </w:pPr>
            <w:r w:rsidRPr="00E92571">
              <w:rPr>
                <w:b/>
                <w:bCs/>
                <w:color w:val="000000"/>
                <w:szCs w:val="23"/>
              </w:rPr>
              <w:t> </w:t>
            </w:r>
          </w:p>
        </w:tc>
        <w:tc>
          <w:tcPr>
            <w:tcW w:w="1525" w:type="dxa"/>
            <w:tcBorders>
              <w:top w:val="single" w:sz="8" w:space="0" w:color="auto"/>
              <w:left w:val="nil"/>
              <w:bottom w:val="single" w:sz="8" w:space="0" w:color="auto"/>
              <w:right w:val="single" w:sz="8" w:space="0" w:color="auto"/>
            </w:tcBorders>
            <w:shd w:val="clear" w:color="000000" w:fill="D9D9D9"/>
            <w:vAlign w:val="center"/>
          </w:tcPr>
          <w:p w:rsidR="00A6008B" w:rsidRPr="00E92571" w:rsidRDefault="00A6008B" w:rsidP="00E31AAC">
            <w:pPr>
              <w:spacing w:before="60" w:after="60"/>
              <w:jc w:val="center"/>
              <w:rPr>
                <w:b/>
                <w:bCs/>
                <w:color w:val="000000"/>
                <w:szCs w:val="23"/>
              </w:rPr>
            </w:pPr>
            <w:r w:rsidRPr="00E92571">
              <w:rPr>
                <w:b/>
                <w:bCs/>
                <w:color w:val="000000"/>
                <w:szCs w:val="23"/>
              </w:rPr>
              <w:t>12-mth Plan</w:t>
            </w:r>
          </w:p>
        </w:tc>
        <w:tc>
          <w:tcPr>
            <w:tcW w:w="1526" w:type="dxa"/>
            <w:tcBorders>
              <w:top w:val="single" w:sz="8" w:space="0" w:color="auto"/>
              <w:left w:val="nil"/>
              <w:bottom w:val="single" w:sz="8" w:space="0" w:color="auto"/>
              <w:right w:val="nil"/>
            </w:tcBorders>
            <w:shd w:val="clear" w:color="000000" w:fill="D9D9D9"/>
            <w:vAlign w:val="center"/>
          </w:tcPr>
          <w:p w:rsidR="00A6008B" w:rsidRPr="00E92571" w:rsidRDefault="00A6008B" w:rsidP="00E31AAC">
            <w:pPr>
              <w:spacing w:before="60" w:after="60"/>
              <w:jc w:val="center"/>
              <w:rPr>
                <w:b/>
                <w:bCs/>
                <w:color w:val="000000"/>
                <w:szCs w:val="23"/>
              </w:rPr>
            </w:pPr>
            <w:r w:rsidRPr="00E92571">
              <w:rPr>
                <w:b/>
                <w:bCs/>
                <w:color w:val="000000"/>
                <w:szCs w:val="23"/>
              </w:rPr>
              <w:t>12-mth Plan (24-mth Equivalent)</w:t>
            </w:r>
          </w:p>
        </w:tc>
        <w:tc>
          <w:tcPr>
            <w:tcW w:w="236" w:type="dxa"/>
            <w:tcBorders>
              <w:top w:val="nil"/>
              <w:left w:val="nil"/>
              <w:bottom w:val="nil"/>
              <w:right w:val="nil"/>
            </w:tcBorders>
            <w:noWrap/>
            <w:vAlign w:val="center"/>
          </w:tcPr>
          <w:p w:rsidR="00A6008B" w:rsidRPr="00E92571" w:rsidRDefault="00A6008B" w:rsidP="00E31AAC">
            <w:pPr>
              <w:spacing w:before="60" w:after="60"/>
              <w:jc w:val="center"/>
              <w:rPr>
                <w:color w:val="000000"/>
                <w:szCs w:val="23"/>
              </w:rPr>
            </w:pPr>
          </w:p>
        </w:tc>
        <w:tc>
          <w:tcPr>
            <w:tcW w:w="1390" w:type="dxa"/>
            <w:tcBorders>
              <w:top w:val="single" w:sz="8" w:space="0" w:color="auto"/>
              <w:left w:val="nil"/>
              <w:bottom w:val="single" w:sz="8" w:space="0" w:color="auto"/>
              <w:right w:val="nil"/>
            </w:tcBorders>
            <w:shd w:val="clear" w:color="000000" w:fill="D9D9D9"/>
            <w:vAlign w:val="center"/>
          </w:tcPr>
          <w:p w:rsidR="00A6008B" w:rsidRPr="00E92571" w:rsidRDefault="00A6008B" w:rsidP="00FF2E55">
            <w:pPr>
              <w:spacing w:before="60" w:after="60"/>
              <w:jc w:val="center"/>
              <w:rPr>
                <w:b/>
                <w:bCs/>
                <w:color w:val="000000"/>
                <w:szCs w:val="23"/>
              </w:rPr>
            </w:pPr>
            <w:r w:rsidRPr="00E92571">
              <w:rPr>
                <w:b/>
                <w:bCs/>
                <w:color w:val="000000"/>
                <w:szCs w:val="23"/>
              </w:rPr>
              <w:t>24-mth Plan</w:t>
            </w:r>
          </w:p>
        </w:tc>
      </w:tr>
      <w:tr w:rsidR="00A6008B" w:rsidRPr="00E92571" w:rsidTr="00FF2E55">
        <w:trPr>
          <w:trHeight w:val="227"/>
        </w:trPr>
        <w:tc>
          <w:tcPr>
            <w:tcW w:w="4407" w:type="dxa"/>
            <w:tcBorders>
              <w:top w:val="nil"/>
              <w:right w:val="single" w:sz="8" w:space="0" w:color="auto"/>
            </w:tcBorders>
            <w:shd w:val="clear" w:color="000000" w:fill="D9D9D9"/>
            <w:vAlign w:val="bottom"/>
          </w:tcPr>
          <w:p w:rsidR="00A6008B" w:rsidRPr="00E92571" w:rsidRDefault="00A6008B" w:rsidP="00B251A5">
            <w:pPr>
              <w:spacing w:before="120"/>
              <w:rPr>
                <w:b/>
                <w:bCs/>
                <w:color w:val="000000"/>
                <w:szCs w:val="23"/>
              </w:rPr>
            </w:pPr>
            <w:r w:rsidRPr="00E92571">
              <w:rPr>
                <w:b/>
                <w:bCs/>
                <w:color w:val="000000"/>
                <w:szCs w:val="23"/>
              </w:rPr>
              <w:t>Component 1 - Access to Justice</w:t>
            </w:r>
          </w:p>
        </w:tc>
        <w:tc>
          <w:tcPr>
            <w:tcW w:w="1525" w:type="dxa"/>
            <w:tcBorders>
              <w:top w:val="nil"/>
              <w:left w:val="nil"/>
              <w:right w:val="single" w:sz="8" w:space="0" w:color="auto"/>
            </w:tcBorders>
            <w:shd w:val="clear" w:color="000000" w:fill="D9D9D9"/>
            <w:vAlign w:val="bottom"/>
          </w:tcPr>
          <w:p w:rsidR="00A6008B" w:rsidRPr="00E92571" w:rsidRDefault="00A6008B" w:rsidP="00B251A5">
            <w:pPr>
              <w:spacing w:before="120"/>
              <w:jc w:val="center"/>
              <w:rPr>
                <w:b/>
                <w:bCs/>
                <w:color w:val="000000"/>
                <w:szCs w:val="23"/>
              </w:rPr>
            </w:pPr>
            <w:r w:rsidRPr="00E92571">
              <w:rPr>
                <w:b/>
                <w:bCs/>
                <w:color w:val="000000"/>
                <w:szCs w:val="23"/>
              </w:rPr>
              <w:t>3</w:t>
            </w:r>
          </w:p>
        </w:tc>
        <w:tc>
          <w:tcPr>
            <w:tcW w:w="1526" w:type="dxa"/>
            <w:tcBorders>
              <w:top w:val="nil"/>
              <w:left w:val="nil"/>
              <w:right w:val="nil"/>
            </w:tcBorders>
            <w:shd w:val="clear" w:color="000000" w:fill="D9D9D9"/>
            <w:vAlign w:val="bottom"/>
          </w:tcPr>
          <w:p w:rsidR="00A6008B" w:rsidRPr="00E92571" w:rsidRDefault="00A6008B" w:rsidP="00B251A5">
            <w:pPr>
              <w:spacing w:before="120"/>
              <w:jc w:val="center"/>
              <w:rPr>
                <w:b/>
                <w:bCs/>
                <w:color w:val="000000"/>
                <w:szCs w:val="23"/>
              </w:rPr>
            </w:pPr>
            <w:r w:rsidRPr="00E92571">
              <w:rPr>
                <w:b/>
                <w:bCs/>
                <w:color w:val="000000"/>
                <w:szCs w:val="23"/>
              </w:rPr>
              <w:t>4</w:t>
            </w:r>
          </w:p>
        </w:tc>
        <w:tc>
          <w:tcPr>
            <w:tcW w:w="236" w:type="dxa"/>
            <w:tcBorders>
              <w:top w:val="nil"/>
              <w:left w:val="nil"/>
              <w:right w:val="nil"/>
            </w:tcBorders>
            <w:noWrap/>
            <w:vAlign w:val="bottom"/>
          </w:tcPr>
          <w:p w:rsidR="00A6008B" w:rsidRPr="00E92571" w:rsidRDefault="00A6008B" w:rsidP="00B251A5">
            <w:pPr>
              <w:spacing w:before="120"/>
              <w:jc w:val="center"/>
              <w:rPr>
                <w:color w:val="000000"/>
                <w:szCs w:val="23"/>
              </w:rPr>
            </w:pPr>
          </w:p>
        </w:tc>
        <w:tc>
          <w:tcPr>
            <w:tcW w:w="1390" w:type="dxa"/>
            <w:tcBorders>
              <w:top w:val="single" w:sz="8" w:space="0" w:color="auto"/>
              <w:left w:val="nil"/>
              <w:right w:val="nil"/>
            </w:tcBorders>
            <w:shd w:val="clear" w:color="000000" w:fill="D9D9D9"/>
            <w:vAlign w:val="bottom"/>
          </w:tcPr>
          <w:p w:rsidR="00A6008B" w:rsidRPr="00E92571" w:rsidRDefault="00A6008B" w:rsidP="00D74088">
            <w:pPr>
              <w:spacing w:before="120"/>
              <w:jc w:val="center"/>
              <w:rPr>
                <w:b/>
                <w:bCs/>
                <w:color w:val="000000"/>
                <w:szCs w:val="23"/>
              </w:rPr>
            </w:pPr>
            <w:r>
              <w:rPr>
                <w:b/>
                <w:bCs/>
                <w:color w:val="000000"/>
                <w:szCs w:val="23"/>
              </w:rPr>
              <w:t>14</w:t>
            </w:r>
          </w:p>
        </w:tc>
      </w:tr>
      <w:tr w:rsidR="00A6008B" w:rsidRPr="00E92571" w:rsidTr="00FF2E55">
        <w:trPr>
          <w:trHeight w:hRule="exact" w:val="284"/>
        </w:trPr>
        <w:tc>
          <w:tcPr>
            <w:tcW w:w="4407" w:type="dxa"/>
            <w:tcBorders>
              <w:bottom w:val="dotted" w:sz="4" w:space="0" w:color="auto"/>
              <w:right w:val="dotted" w:sz="4" w:space="0" w:color="auto"/>
            </w:tcBorders>
            <w:vAlign w:val="center"/>
          </w:tcPr>
          <w:p w:rsidR="00A6008B" w:rsidRPr="00E92571" w:rsidRDefault="00A6008B" w:rsidP="008E0315">
            <w:pPr>
              <w:ind w:left="188"/>
              <w:rPr>
                <w:b/>
                <w:bCs/>
                <w:color w:val="000000"/>
                <w:sz w:val="21"/>
                <w:szCs w:val="23"/>
              </w:rPr>
            </w:pPr>
            <w:r w:rsidRPr="00E92571">
              <w:rPr>
                <w:b/>
                <w:bCs/>
                <w:color w:val="000000"/>
                <w:sz w:val="21"/>
                <w:szCs w:val="23"/>
              </w:rPr>
              <w:t>Access to Justice (formerly CDR)Project</w:t>
            </w:r>
          </w:p>
        </w:tc>
        <w:tc>
          <w:tcPr>
            <w:tcW w:w="1525" w:type="dxa"/>
            <w:tcBorders>
              <w:left w:val="dotted" w:sz="4" w:space="0" w:color="auto"/>
              <w:bottom w:val="dotted" w:sz="4" w:space="0" w:color="auto"/>
              <w:right w:val="dotted" w:sz="4" w:space="0" w:color="auto"/>
            </w:tcBorders>
            <w:vAlign w:val="center"/>
          </w:tcPr>
          <w:p w:rsidR="00A6008B" w:rsidRPr="00E92571" w:rsidRDefault="00A6008B" w:rsidP="00D81F7D">
            <w:pPr>
              <w:jc w:val="center"/>
              <w:rPr>
                <w:color w:val="000000"/>
                <w:sz w:val="21"/>
                <w:szCs w:val="23"/>
              </w:rPr>
            </w:pPr>
            <w:r w:rsidRPr="00E92571">
              <w:rPr>
                <w:color w:val="000000"/>
                <w:sz w:val="21"/>
                <w:szCs w:val="23"/>
              </w:rPr>
              <w:t>1</w:t>
            </w:r>
          </w:p>
        </w:tc>
        <w:tc>
          <w:tcPr>
            <w:tcW w:w="1526" w:type="dxa"/>
            <w:tcBorders>
              <w:left w:val="dotted" w:sz="4" w:space="0" w:color="auto"/>
              <w:bottom w:val="dotted" w:sz="4" w:space="0" w:color="auto"/>
            </w:tcBorders>
            <w:vAlign w:val="center"/>
          </w:tcPr>
          <w:p w:rsidR="00A6008B" w:rsidRPr="00E92571" w:rsidRDefault="00A6008B" w:rsidP="00D81F7D">
            <w:pPr>
              <w:jc w:val="center"/>
              <w:rPr>
                <w:color w:val="000000"/>
                <w:sz w:val="21"/>
                <w:szCs w:val="23"/>
              </w:rPr>
            </w:pPr>
            <w:r w:rsidRPr="00E92571">
              <w:rPr>
                <w:color w:val="000000"/>
                <w:sz w:val="21"/>
                <w:szCs w:val="23"/>
              </w:rPr>
              <w:t>2</w:t>
            </w:r>
          </w:p>
        </w:tc>
        <w:tc>
          <w:tcPr>
            <w:tcW w:w="236" w:type="dxa"/>
            <w:noWrap/>
            <w:vAlign w:val="center"/>
          </w:tcPr>
          <w:p w:rsidR="00A6008B" w:rsidRPr="00E92571" w:rsidRDefault="00A6008B" w:rsidP="00D81F7D">
            <w:pPr>
              <w:jc w:val="center"/>
              <w:rPr>
                <w:color w:val="000000"/>
                <w:sz w:val="21"/>
                <w:szCs w:val="23"/>
              </w:rPr>
            </w:pPr>
          </w:p>
        </w:tc>
        <w:tc>
          <w:tcPr>
            <w:tcW w:w="1390" w:type="dxa"/>
            <w:tcBorders>
              <w:left w:val="nil"/>
              <w:bottom w:val="dotted" w:sz="4" w:space="0" w:color="auto"/>
            </w:tcBorders>
            <w:vAlign w:val="center"/>
          </w:tcPr>
          <w:p w:rsidR="00A6008B" w:rsidRPr="00E92571" w:rsidRDefault="00A6008B" w:rsidP="00D81F7D">
            <w:pPr>
              <w:jc w:val="center"/>
              <w:rPr>
                <w:color w:val="000000"/>
                <w:sz w:val="21"/>
                <w:szCs w:val="23"/>
              </w:rPr>
            </w:pPr>
            <w:r w:rsidRPr="00E92571">
              <w:rPr>
                <w:color w:val="000000"/>
                <w:sz w:val="21"/>
                <w:szCs w:val="23"/>
              </w:rPr>
              <w:t>0</w:t>
            </w:r>
          </w:p>
        </w:tc>
      </w:tr>
      <w:tr w:rsidR="00A6008B" w:rsidRPr="00E92571" w:rsidTr="00FF2E55">
        <w:trPr>
          <w:trHeight w:hRule="exact" w:val="284"/>
        </w:trPr>
        <w:tc>
          <w:tcPr>
            <w:tcW w:w="4407" w:type="dxa"/>
            <w:tcBorders>
              <w:top w:val="dotted" w:sz="4" w:space="0" w:color="auto"/>
              <w:bottom w:val="dotted" w:sz="4" w:space="0" w:color="auto"/>
              <w:right w:val="dotted" w:sz="4" w:space="0" w:color="auto"/>
            </w:tcBorders>
            <w:vAlign w:val="center"/>
          </w:tcPr>
          <w:p w:rsidR="00A6008B" w:rsidRPr="00E92571" w:rsidRDefault="00A6008B" w:rsidP="008E0315">
            <w:pPr>
              <w:ind w:left="188"/>
              <w:rPr>
                <w:b/>
                <w:bCs/>
                <w:color w:val="000000"/>
                <w:sz w:val="21"/>
                <w:szCs w:val="23"/>
              </w:rPr>
            </w:pPr>
            <w:r w:rsidRPr="00E92571">
              <w:rPr>
                <w:b/>
                <w:bCs/>
                <w:color w:val="000000"/>
                <w:sz w:val="21"/>
                <w:szCs w:val="23"/>
              </w:rPr>
              <w:t>Family Violence and Youth JusticeProject</w:t>
            </w:r>
          </w:p>
        </w:tc>
        <w:tc>
          <w:tcPr>
            <w:tcW w:w="1525" w:type="dxa"/>
            <w:tcBorders>
              <w:top w:val="dotted" w:sz="4" w:space="0" w:color="auto"/>
              <w:left w:val="dotted" w:sz="4" w:space="0" w:color="auto"/>
              <w:bottom w:val="dotted" w:sz="4" w:space="0" w:color="auto"/>
              <w:right w:val="dotted" w:sz="4" w:space="0" w:color="auto"/>
            </w:tcBorders>
            <w:vAlign w:val="center"/>
          </w:tcPr>
          <w:p w:rsidR="00A6008B" w:rsidRPr="00E92571" w:rsidRDefault="00A6008B" w:rsidP="00D81F7D">
            <w:pPr>
              <w:jc w:val="center"/>
              <w:rPr>
                <w:color w:val="000000"/>
                <w:sz w:val="21"/>
                <w:szCs w:val="23"/>
              </w:rPr>
            </w:pPr>
            <w:r w:rsidRPr="00E92571">
              <w:rPr>
                <w:color w:val="000000"/>
                <w:sz w:val="21"/>
                <w:szCs w:val="23"/>
              </w:rPr>
              <w:t>2</w:t>
            </w:r>
          </w:p>
        </w:tc>
        <w:tc>
          <w:tcPr>
            <w:tcW w:w="1526" w:type="dxa"/>
            <w:tcBorders>
              <w:top w:val="dotted" w:sz="4" w:space="0" w:color="auto"/>
              <w:left w:val="dotted" w:sz="4" w:space="0" w:color="auto"/>
              <w:bottom w:val="dotted" w:sz="4" w:space="0" w:color="auto"/>
            </w:tcBorders>
            <w:vAlign w:val="center"/>
          </w:tcPr>
          <w:p w:rsidR="00A6008B" w:rsidRPr="00E92571" w:rsidRDefault="00A6008B" w:rsidP="00D81F7D">
            <w:pPr>
              <w:jc w:val="center"/>
              <w:rPr>
                <w:color w:val="000000"/>
                <w:sz w:val="21"/>
                <w:szCs w:val="23"/>
              </w:rPr>
            </w:pPr>
            <w:r w:rsidRPr="00E92571">
              <w:rPr>
                <w:color w:val="000000"/>
                <w:sz w:val="21"/>
                <w:szCs w:val="23"/>
              </w:rPr>
              <w:t>4</w:t>
            </w:r>
          </w:p>
        </w:tc>
        <w:tc>
          <w:tcPr>
            <w:tcW w:w="236" w:type="dxa"/>
            <w:noWrap/>
            <w:vAlign w:val="center"/>
          </w:tcPr>
          <w:p w:rsidR="00A6008B" w:rsidRPr="00E92571" w:rsidRDefault="00A6008B" w:rsidP="00D81F7D">
            <w:pPr>
              <w:jc w:val="center"/>
              <w:rPr>
                <w:color w:val="000000"/>
                <w:sz w:val="21"/>
                <w:szCs w:val="23"/>
              </w:rPr>
            </w:pPr>
          </w:p>
        </w:tc>
        <w:tc>
          <w:tcPr>
            <w:tcW w:w="1390" w:type="dxa"/>
            <w:tcBorders>
              <w:top w:val="dotted" w:sz="4" w:space="0" w:color="auto"/>
              <w:left w:val="nil"/>
              <w:bottom w:val="dotted" w:sz="4" w:space="0" w:color="auto"/>
            </w:tcBorders>
            <w:vAlign w:val="center"/>
          </w:tcPr>
          <w:p w:rsidR="00A6008B" w:rsidRPr="00E92571" w:rsidRDefault="00A6008B" w:rsidP="00D74088">
            <w:pPr>
              <w:jc w:val="center"/>
              <w:rPr>
                <w:color w:val="000000"/>
                <w:sz w:val="21"/>
                <w:szCs w:val="23"/>
              </w:rPr>
            </w:pPr>
            <w:r>
              <w:rPr>
                <w:color w:val="000000"/>
                <w:sz w:val="21"/>
                <w:szCs w:val="23"/>
              </w:rPr>
              <w:t>12</w:t>
            </w:r>
          </w:p>
        </w:tc>
      </w:tr>
      <w:tr w:rsidR="00A6008B" w:rsidRPr="00E92571" w:rsidTr="00FF2E55">
        <w:trPr>
          <w:trHeight w:hRule="exact" w:val="284"/>
        </w:trPr>
        <w:tc>
          <w:tcPr>
            <w:tcW w:w="4407" w:type="dxa"/>
            <w:tcBorders>
              <w:top w:val="dotted" w:sz="4" w:space="0" w:color="auto"/>
              <w:bottom w:val="dotted" w:sz="4" w:space="0" w:color="auto"/>
              <w:right w:val="dotted" w:sz="4" w:space="0" w:color="auto"/>
            </w:tcBorders>
            <w:vAlign w:val="center"/>
          </w:tcPr>
          <w:p w:rsidR="00A6008B" w:rsidRPr="00E92571" w:rsidRDefault="00A6008B" w:rsidP="008E0315">
            <w:pPr>
              <w:ind w:left="188"/>
              <w:rPr>
                <w:b/>
                <w:bCs/>
                <w:color w:val="000000"/>
                <w:sz w:val="21"/>
                <w:szCs w:val="23"/>
              </w:rPr>
            </w:pPr>
            <w:r w:rsidRPr="00E92571">
              <w:rPr>
                <w:b/>
                <w:bCs/>
                <w:color w:val="000000"/>
                <w:sz w:val="21"/>
                <w:szCs w:val="23"/>
              </w:rPr>
              <w:t xml:space="preserve">Public InformationProject </w:t>
            </w:r>
          </w:p>
        </w:tc>
        <w:tc>
          <w:tcPr>
            <w:tcW w:w="1525" w:type="dxa"/>
            <w:tcBorders>
              <w:top w:val="dotted" w:sz="4" w:space="0" w:color="auto"/>
              <w:left w:val="dotted" w:sz="4" w:space="0" w:color="auto"/>
              <w:bottom w:val="dotted" w:sz="4" w:space="0" w:color="auto"/>
              <w:right w:val="dotted" w:sz="4" w:space="0" w:color="auto"/>
            </w:tcBorders>
            <w:vAlign w:val="center"/>
          </w:tcPr>
          <w:p w:rsidR="00A6008B" w:rsidRPr="00E92571" w:rsidRDefault="00A6008B" w:rsidP="00D81F7D">
            <w:pPr>
              <w:jc w:val="center"/>
              <w:rPr>
                <w:color w:val="000000"/>
                <w:sz w:val="21"/>
                <w:szCs w:val="23"/>
              </w:rPr>
            </w:pPr>
            <w:r w:rsidRPr="00E92571">
              <w:rPr>
                <w:color w:val="000000"/>
                <w:sz w:val="21"/>
                <w:szCs w:val="23"/>
              </w:rPr>
              <w:t>0</w:t>
            </w:r>
          </w:p>
        </w:tc>
        <w:tc>
          <w:tcPr>
            <w:tcW w:w="1526" w:type="dxa"/>
            <w:tcBorders>
              <w:top w:val="dotted" w:sz="4" w:space="0" w:color="auto"/>
              <w:left w:val="dotted" w:sz="4" w:space="0" w:color="auto"/>
              <w:bottom w:val="dotted" w:sz="4" w:space="0" w:color="auto"/>
            </w:tcBorders>
            <w:vAlign w:val="center"/>
          </w:tcPr>
          <w:p w:rsidR="00A6008B" w:rsidRPr="00E92571" w:rsidRDefault="00A6008B" w:rsidP="00D81F7D">
            <w:pPr>
              <w:jc w:val="center"/>
              <w:rPr>
                <w:color w:val="000000"/>
                <w:sz w:val="21"/>
                <w:szCs w:val="23"/>
              </w:rPr>
            </w:pPr>
            <w:r w:rsidRPr="00E92571">
              <w:rPr>
                <w:color w:val="000000"/>
                <w:sz w:val="21"/>
                <w:szCs w:val="23"/>
              </w:rPr>
              <w:t>0</w:t>
            </w:r>
          </w:p>
        </w:tc>
        <w:tc>
          <w:tcPr>
            <w:tcW w:w="236" w:type="dxa"/>
            <w:noWrap/>
            <w:vAlign w:val="center"/>
          </w:tcPr>
          <w:p w:rsidR="00A6008B" w:rsidRPr="00E92571" w:rsidRDefault="00A6008B" w:rsidP="00D81F7D">
            <w:pPr>
              <w:jc w:val="center"/>
              <w:rPr>
                <w:color w:val="000000"/>
                <w:sz w:val="21"/>
                <w:szCs w:val="23"/>
              </w:rPr>
            </w:pPr>
          </w:p>
        </w:tc>
        <w:tc>
          <w:tcPr>
            <w:tcW w:w="1390" w:type="dxa"/>
            <w:tcBorders>
              <w:top w:val="dotted" w:sz="4" w:space="0" w:color="auto"/>
              <w:left w:val="nil"/>
              <w:bottom w:val="dotted" w:sz="4" w:space="0" w:color="auto"/>
            </w:tcBorders>
            <w:vAlign w:val="center"/>
          </w:tcPr>
          <w:p w:rsidR="00A6008B" w:rsidRPr="00E92571" w:rsidRDefault="00A6008B" w:rsidP="00D81F7D">
            <w:pPr>
              <w:jc w:val="center"/>
              <w:rPr>
                <w:color w:val="000000"/>
                <w:sz w:val="21"/>
                <w:szCs w:val="23"/>
              </w:rPr>
            </w:pPr>
            <w:r w:rsidRPr="00E92571">
              <w:rPr>
                <w:color w:val="000000"/>
                <w:sz w:val="21"/>
                <w:szCs w:val="23"/>
              </w:rPr>
              <w:t>1</w:t>
            </w:r>
          </w:p>
        </w:tc>
      </w:tr>
      <w:tr w:rsidR="00A6008B" w:rsidRPr="00E92571" w:rsidTr="00FF2E55">
        <w:trPr>
          <w:trHeight w:hRule="exact" w:val="284"/>
        </w:trPr>
        <w:tc>
          <w:tcPr>
            <w:tcW w:w="4407" w:type="dxa"/>
            <w:tcBorders>
              <w:top w:val="dotted" w:sz="4" w:space="0" w:color="auto"/>
              <w:bottom w:val="single" w:sz="8" w:space="0" w:color="auto"/>
              <w:right w:val="dotted" w:sz="4" w:space="0" w:color="auto"/>
            </w:tcBorders>
            <w:vAlign w:val="center"/>
          </w:tcPr>
          <w:p w:rsidR="00A6008B" w:rsidRPr="00E92571" w:rsidRDefault="00A6008B" w:rsidP="00B37FF9">
            <w:pPr>
              <w:ind w:left="188"/>
              <w:rPr>
                <w:b/>
                <w:bCs/>
                <w:color w:val="000000"/>
                <w:sz w:val="21"/>
                <w:szCs w:val="23"/>
              </w:rPr>
            </w:pPr>
            <w:r w:rsidRPr="00E92571">
              <w:rPr>
                <w:b/>
                <w:bCs/>
                <w:color w:val="000000"/>
                <w:sz w:val="21"/>
                <w:szCs w:val="23"/>
              </w:rPr>
              <w:t xml:space="preserve">EnablingRights Project </w:t>
            </w:r>
          </w:p>
        </w:tc>
        <w:tc>
          <w:tcPr>
            <w:tcW w:w="1525" w:type="dxa"/>
            <w:tcBorders>
              <w:top w:val="dotted" w:sz="4" w:space="0" w:color="auto"/>
              <w:left w:val="dotted" w:sz="4" w:space="0" w:color="auto"/>
              <w:bottom w:val="single" w:sz="8" w:space="0" w:color="auto"/>
              <w:right w:val="dotted" w:sz="4" w:space="0" w:color="auto"/>
            </w:tcBorders>
            <w:vAlign w:val="center"/>
          </w:tcPr>
          <w:p w:rsidR="00A6008B" w:rsidRPr="00E92571" w:rsidRDefault="00A6008B" w:rsidP="00D81F7D">
            <w:pPr>
              <w:jc w:val="center"/>
              <w:rPr>
                <w:color w:val="000000"/>
                <w:sz w:val="21"/>
                <w:szCs w:val="23"/>
              </w:rPr>
            </w:pPr>
            <w:r w:rsidRPr="00E92571">
              <w:rPr>
                <w:color w:val="000000"/>
                <w:sz w:val="21"/>
                <w:szCs w:val="23"/>
              </w:rPr>
              <w:t>0</w:t>
            </w:r>
          </w:p>
        </w:tc>
        <w:tc>
          <w:tcPr>
            <w:tcW w:w="1526" w:type="dxa"/>
            <w:tcBorders>
              <w:top w:val="dotted" w:sz="4" w:space="0" w:color="auto"/>
              <w:left w:val="dotted" w:sz="4" w:space="0" w:color="auto"/>
              <w:bottom w:val="single" w:sz="8" w:space="0" w:color="auto"/>
            </w:tcBorders>
            <w:vAlign w:val="center"/>
          </w:tcPr>
          <w:p w:rsidR="00A6008B" w:rsidRPr="00E92571" w:rsidRDefault="00A6008B" w:rsidP="00D81F7D">
            <w:pPr>
              <w:jc w:val="center"/>
              <w:rPr>
                <w:color w:val="000000"/>
                <w:sz w:val="21"/>
                <w:szCs w:val="23"/>
              </w:rPr>
            </w:pPr>
            <w:r w:rsidRPr="00E92571">
              <w:rPr>
                <w:color w:val="000000"/>
                <w:sz w:val="21"/>
                <w:szCs w:val="23"/>
              </w:rPr>
              <w:t>0</w:t>
            </w:r>
          </w:p>
        </w:tc>
        <w:tc>
          <w:tcPr>
            <w:tcW w:w="236" w:type="dxa"/>
            <w:noWrap/>
            <w:vAlign w:val="center"/>
          </w:tcPr>
          <w:p w:rsidR="00A6008B" w:rsidRPr="00E92571" w:rsidRDefault="00A6008B" w:rsidP="00D81F7D">
            <w:pPr>
              <w:jc w:val="center"/>
              <w:rPr>
                <w:color w:val="000000"/>
                <w:sz w:val="21"/>
                <w:szCs w:val="23"/>
              </w:rPr>
            </w:pPr>
          </w:p>
        </w:tc>
        <w:tc>
          <w:tcPr>
            <w:tcW w:w="1390" w:type="dxa"/>
            <w:tcBorders>
              <w:top w:val="dotted" w:sz="4" w:space="0" w:color="auto"/>
              <w:left w:val="nil"/>
              <w:bottom w:val="single" w:sz="8" w:space="0" w:color="auto"/>
            </w:tcBorders>
            <w:vAlign w:val="center"/>
          </w:tcPr>
          <w:p w:rsidR="00A6008B" w:rsidRPr="00E92571" w:rsidRDefault="00A6008B" w:rsidP="00D81F7D">
            <w:pPr>
              <w:jc w:val="center"/>
              <w:rPr>
                <w:color w:val="000000"/>
                <w:sz w:val="21"/>
                <w:szCs w:val="23"/>
              </w:rPr>
            </w:pPr>
            <w:r w:rsidRPr="00E92571">
              <w:rPr>
                <w:color w:val="000000"/>
                <w:sz w:val="21"/>
                <w:szCs w:val="23"/>
              </w:rPr>
              <w:t>1</w:t>
            </w:r>
          </w:p>
        </w:tc>
      </w:tr>
      <w:tr w:rsidR="00A6008B" w:rsidRPr="00E92571" w:rsidTr="00FF2E55">
        <w:trPr>
          <w:trHeight w:val="227"/>
        </w:trPr>
        <w:tc>
          <w:tcPr>
            <w:tcW w:w="4407" w:type="dxa"/>
            <w:tcBorders>
              <w:top w:val="nil"/>
              <w:right w:val="single" w:sz="8" w:space="0" w:color="auto"/>
            </w:tcBorders>
            <w:shd w:val="clear" w:color="000000" w:fill="D9D9D9"/>
            <w:vAlign w:val="bottom"/>
          </w:tcPr>
          <w:p w:rsidR="00A6008B" w:rsidRPr="00E92571" w:rsidRDefault="00A6008B" w:rsidP="00B251A5">
            <w:pPr>
              <w:spacing w:before="120"/>
              <w:rPr>
                <w:b/>
                <w:bCs/>
                <w:color w:val="000000"/>
                <w:szCs w:val="23"/>
              </w:rPr>
            </w:pPr>
            <w:r w:rsidRPr="00E92571">
              <w:rPr>
                <w:b/>
                <w:bCs/>
                <w:color w:val="000000"/>
                <w:szCs w:val="23"/>
              </w:rPr>
              <w:t>Component 2 - Governance</w:t>
            </w:r>
          </w:p>
        </w:tc>
        <w:tc>
          <w:tcPr>
            <w:tcW w:w="1525" w:type="dxa"/>
            <w:tcBorders>
              <w:top w:val="single" w:sz="8" w:space="0" w:color="auto"/>
              <w:left w:val="nil"/>
              <w:right w:val="single" w:sz="8" w:space="0" w:color="auto"/>
            </w:tcBorders>
            <w:shd w:val="clear" w:color="000000" w:fill="D9D9D9"/>
            <w:vAlign w:val="bottom"/>
          </w:tcPr>
          <w:p w:rsidR="00A6008B" w:rsidRPr="00E92571" w:rsidRDefault="00A6008B" w:rsidP="00B251A5">
            <w:pPr>
              <w:spacing w:before="120"/>
              <w:jc w:val="center"/>
              <w:rPr>
                <w:b/>
                <w:bCs/>
                <w:color w:val="000000"/>
                <w:szCs w:val="23"/>
              </w:rPr>
            </w:pPr>
            <w:r w:rsidRPr="00E92571">
              <w:rPr>
                <w:b/>
                <w:bCs/>
                <w:color w:val="000000"/>
                <w:szCs w:val="23"/>
              </w:rPr>
              <w:t>14</w:t>
            </w:r>
          </w:p>
        </w:tc>
        <w:tc>
          <w:tcPr>
            <w:tcW w:w="1526" w:type="dxa"/>
            <w:tcBorders>
              <w:top w:val="single" w:sz="8" w:space="0" w:color="auto"/>
              <w:left w:val="nil"/>
              <w:right w:val="nil"/>
            </w:tcBorders>
            <w:shd w:val="clear" w:color="000000" w:fill="D9D9D9"/>
            <w:vAlign w:val="bottom"/>
          </w:tcPr>
          <w:p w:rsidR="00A6008B" w:rsidRPr="00E92571" w:rsidRDefault="00A6008B" w:rsidP="00B251A5">
            <w:pPr>
              <w:spacing w:before="120"/>
              <w:jc w:val="center"/>
              <w:rPr>
                <w:b/>
                <w:bCs/>
                <w:color w:val="000000"/>
                <w:szCs w:val="23"/>
              </w:rPr>
            </w:pPr>
            <w:r w:rsidRPr="00E92571">
              <w:rPr>
                <w:b/>
                <w:bCs/>
                <w:color w:val="000000"/>
                <w:szCs w:val="23"/>
              </w:rPr>
              <w:t>28</w:t>
            </w:r>
          </w:p>
        </w:tc>
        <w:tc>
          <w:tcPr>
            <w:tcW w:w="236" w:type="dxa"/>
            <w:tcBorders>
              <w:left w:val="nil"/>
              <w:right w:val="nil"/>
            </w:tcBorders>
            <w:noWrap/>
            <w:vAlign w:val="bottom"/>
          </w:tcPr>
          <w:p w:rsidR="00A6008B" w:rsidRPr="00E92571" w:rsidRDefault="00A6008B" w:rsidP="00B251A5">
            <w:pPr>
              <w:spacing w:before="120"/>
              <w:jc w:val="center"/>
              <w:rPr>
                <w:color w:val="000000"/>
                <w:szCs w:val="23"/>
              </w:rPr>
            </w:pPr>
          </w:p>
        </w:tc>
        <w:tc>
          <w:tcPr>
            <w:tcW w:w="1390" w:type="dxa"/>
            <w:tcBorders>
              <w:top w:val="single" w:sz="8" w:space="0" w:color="auto"/>
              <w:left w:val="nil"/>
              <w:right w:val="nil"/>
            </w:tcBorders>
            <w:shd w:val="clear" w:color="000000" w:fill="D9D9D9"/>
            <w:vAlign w:val="bottom"/>
          </w:tcPr>
          <w:p w:rsidR="00A6008B" w:rsidRPr="00E92571" w:rsidRDefault="00A6008B" w:rsidP="00B37FF9">
            <w:pPr>
              <w:spacing w:before="120"/>
              <w:jc w:val="center"/>
              <w:rPr>
                <w:b/>
                <w:bCs/>
                <w:color w:val="000000"/>
                <w:szCs w:val="23"/>
              </w:rPr>
            </w:pPr>
            <w:r w:rsidRPr="00E92571">
              <w:rPr>
                <w:b/>
                <w:bCs/>
                <w:color w:val="000000"/>
                <w:szCs w:val="23"/>
              </w:rPr>
              <w:t>28</w:t>
            </w:r>
          </w:p>
        </w:tc>
      </w:tr>
      <w:tr w:rsidR="00A6008B" w:rsidRPr="00E92571" w:rsidTr="00FF2E55">
        <w:trPr>
          <w:trHeight w:hRule="exact" w:val="284"/>
        </w:trPr>
        <w:tc>
          <w:tcPr>
            <w:tcW w:w="4407" w:type="dxa"/>
            <w:tcBorders>
              <w:bottom w:val="nil"/>
              <w:right w:val="dotted" w:sz="4" w:space="0" w:color="auto"/>
            </w:tcBorders>
            <w:vAlign w:val="bottom"/>
          </w:tcPr>
          <w:p w:rsidR="00A6008B" w:rsidRPr="00E92571" w:rsidRDefault="00A6008B" w:rsidP="008E0315">
            <w:pPr>
              <w:ind w:left="188"/>
              <w:rPr>
                <w:b/>
                <w:bCs/>
                <w:color w:val="000000"/>
                <w:sz w:val="21"/>
                <w:szCs w:val="23"/>
              </w:rPr>
            </w:pPr>
            <w:r w:rsidRPr="00E92571">
              <w:rPr>
                <w:b/>
                <w:bCs/>
                <w:color w:val="000000"/>
                <w:sz w:val="21"/>
                <w:szCs w:val="23"/>
              </w:rPr>
              <w:t>Code of Judicial ConductProject</w:t>
            </w:r>
          </w:p>
        </w:tc>
        <w:tc>
          <w:tcPr>
            <w:tcW w:w="1525" w:type="dxa"/>
            <w:tcBorders>
              <w:left w:val="dotted" w:sz="4" w:space="0" w:color="auto"/>
              <w:bottom w:val="nil"/>
              <w:right w:val="dotted" w:sz="4" w:space="0" w:color="auto"/>
            </w:tcBorders>
            <w:vAlign w:val="center"/>
          </w:tcPr>
          <w:p w:rsidR="00A6008B" w:rsidRPr="00E92571" w:rsidRDefault="00A6008B" w:rsidP="00D81F7D">
            <w:pPr>
              <w:jc w:val="center"/>
              <w:rPr>
                <w:color w:val="000000"/>
                <w:sz w:val="21"/>
                <w:szCs w:val="23"/>
              </w:rPr>
            </w:pPr>
            <w:r w:rsidRPr="00E92571">
              <w:rPr>
                <w:color w:val="000000"/>
                <w:sz w:val="21"/>
                <w:szCs w:val="23"/>
              </w:rPr>
              <w:t>1</w:t>
            </w:r>
          </w:p>
        </w:tc>
        <w:tc>
          <w:tcPr>
            <w:tcW w:w="1526" w:type="dxa"/>
            <w:tcBorders>
              <w:left w:val="dotted" w:sz="4" w:space="0" w:color="auto"/>
              <w:bottom w:val="nil"/>
            </w:tcBorders>
            <w:vAlign w:val="center"/>
          </w:tcPr>
          <w:p w:rsidR="00A6008B" w:rsidRPr="00E92571" w:rsidRDefault="00A6008B" w:rsidP="00D81F7D">
            <w:pPr>
              <w:jc w:val="center"/>
              <w:rPr>
                <w:color w:val="000000"/>
                <w:sz w:val="21"/>
                <w:szCs w:val="23"/>
              </w:rPr>
            </w:pPr>
            <w:r w:rsidRPr="00E92571">
              <w:rPr>
                <w:color w:val="000000"/>
                <w:sz w:val="21"/>
                <w:szCs w:val="23"/>
              </w:rPr>
              <w:t>2</w:t>
            </w:r>
          </w:p>
        </w:tc>
        <w:tc>
          <w:tcPr>
            <w:tcW w:w="236" w:type="dxa"/>
            <w:tcBorders>
              <w:bottom w:val="nil"/>
            </w:tcBorders>
            <w:noWrap/>
            <w:vAlign w:val="center"/>
          </w:tcPr>
          <w:p w:rsidR="00A6008B" w:rsidRPr="00E92571" w:rsidRDefault="00A6008B" w:rsidP="00D81F7D">
            <w:pPr>
              <w:jc w:val="center"/>
              <w:rPr>
                <w:color w:val="000000"/>
                <w:sz w:val="21"/>
                <w:szCs w:val="23"/>
              </w:rPr>
            </w:pPr>
          </w:p>
        </w:tc>
        <w:tc>
          <w:tcPr>
            <w:tcW w:w="1390" w:type="dxa"/>
            <w:tcBorders>
              <w:left w:val="nil"/>
              <w:bottom w:val="nil"/>
            </w:tcBorders>
            <w:vAlign w:val="center"/>
          </w:tcPr>
          <w:p w:rsidR="00A6008B" w:rsidRPr="00E92571" w:rsidRDefault="00A6008B" w:rsidP="00D81F7D">
            <w:pPr>
              <w:jc w:val="center"/>
              <w:rPr>
                <w:color w:val="000000"/>
                <w:sz w:val="21"/>
                <w:szCs w:val="23"/>
              </w:rPr>
            </w:pPr>
            <w:r w:rsidRPr="00E92571">
              <w:rPr>
                <w:color w:val="000000"/>
                <w:sz w:val="21"/>
                <w:szCs w:val="23"/>
              </w:rPr>
              <w:t>1</w:t>
            </w:r>
          </w:p>
        </w:tc>
      </w:tr>
      <w:tr w:rsidR="00A6008B" w:rsidRPr="00E92571" w:rsidTr="00FF2E55">
        <w:trPr>
          <w:trHeight w:hRule="exact" w:val="284"/>
        </w:trPr>
        <w:tc>
          <w:tcPr>
            <w:tcW w:w="4407" w:type="dxa"/>
            <w:tcBorders>
              <w:top w:val="dotted" w:sz="4" w:space="0" w:color="auto"/>
              <w:bottom w:val="dotted" w:sz="4" w:space="0" w:color="auto"/>
              <w:right w:val="dotted" w:sz="4" w:space="0" w:color="auto"/>
            </w:tcBorders>
            <w:vAlign w:val="center"/>
          </w:tcPr>
          <w:p w:rsidR="00A6008B" w:rsidRPr="00E92571" w:rsidRDefault="00A6008B" w:rsidP="008E0315">
            <w:pPr>
              <w:ind w:left="188"/>
              <w:rPr>
                <w:b/>
                <w:bCs/>
                <w:color w:val="000000"/>
                <w:sz w:val="21"/>
                <w:szCs w:val="23"/>
              </w:rPr>
            </w:pPr>
            <w:r w:rsidRPr="00E92571">
              <w:rPr>
                <w:b/>
                <w:bCs/>
                <w:color w:val="000000"/>
                <w:sz w:val="21"/>
                <w:szCs w:val="23"/>
              </w:rPr>
              <w:t>Regional Governance &amp; Leadership Meetings</w:t>
            </w:r>
          </w:p>
        </w:tc>
        <w:tc>
          <w:tcPr>
            <w:tcW w:w="1525" w:type="dxa"/>
            <w:tcBorders>
              <w:top w:val="dotted" w:sz="4" w:space="0" w:color="auto"/>
              <w:left w:val="dotted" w:sz="4" w:space="0" w:color="auto"/>
              <w:bottom w:val="dotted" w:sz="4" w:space="0" w:color="auto"/>
              <w:right w:val="dotted" w:sz="4" w:space="0" w:color="auto"/>
            </w:tcBorders>
            <w:vAlign w:val="center"/>
          </w:tcPr>
          <w:p w:rsidR="00A6008B" w:rsidRPr="00E92571" w:rsidRDefault="00A6008B" w:rsidP="00D81F7D">
            <w:pPr>
              <w:jc w:val="center"/>
              <w:rPr>
                <w:color w:val="000000"/>
                <w:sz w:val="21"/>
                <w:szCs w:val="23"/>
              </w:rPr>
            </w:pPr>
            <w:r w:rsidRPr="00E92571">
              <w:rPr>
                <w:color w:val="000000"/>
                <w:sz w:val="21"/>
                <w:szCs w:val="23"/>
              </w:rPr>
              <w:t>5</w:t>
            </w:r>
          </w:p>
        </w:tc>
        <w:tc>
          <w:tcPr>
            <w:tcW w:w="1526" w:type="dxa"/>
            <w:tcBorders>
              <w:top w:val="dotted" w:sz="4" w:space="0" w:color="auto"/>
              <w:left w:val="dotted" w:sz="4" w:space="0" w:color="auto"/>
              <w:bottom w:val="dotted" w:sz="4" w:space="0" w:color="auto"/>
            </w:tcBorders>
            <w:vAlign w:val="center"/>
          </w:tcPr>
          <w:p w:rsidR="00A6008B" w:rsidRPr="00E92571" w:rsidRDefault="00A6008B" w:rsidP="00D81F7D">
            <w:pPr>
              <w:jc w:val="center"/>
              <w:rPr>
                <w:color w:val="000000"/>
                <w:sz w:val="21"/>
                <w:szCs w:val="23"/>
              </w:rPr>
            </w:pPr>
            <w:r w:rsidRPr="00E92571">
              <w:rPr>
                <w:color w:val="000000"/>
                <w:sz w:val="21"/>
                <w:szCs w:val="23"/>
              </w:rPr>
              <w:t>10</w:t>
            </w:r>
          </w:p>
        </w:tc>
        <w:tc>
          <w:tcPr>
            <w:tcW w:w="236" w:type="dxa"/>
            <w:noWrap/>
            <w:vAlign w:val="center"/>
          </w:tcPr>
          <w:p w:rsidR="00A6008B" w:rsidRPr="00E92571" w:rsidRDefault="00A6008B" w:rsidP="00D81F7D">
            <w:pPr>
              <w:jc w:val="center"/>
              <w:rPr>
                <w:color w:val="000000"/>
                <w:sz w:val="21"/>
                <w:szCs w:val="23"/>
              </w:rPr>
            </w:pPr>
          </w:p>
        </w:tc>
        <w:tc>
          <w:tcPr>
            <w:tcW w:w="1390" w:type="dxa"/>
            <w:tcBorders>
              <w:top w:val="dotted" w:sz="4" w:space="0" w:color="auto"/>
              <w:left w:val="nil"/>
              <w:bottom w:val="dotted" w:sz="4" w:space="0" w:color="auto"/>
            </w:tcBorders>
            <w:vAlign w:val="center"/>
          </w:tcPr>
          <w:p w:rsidR="00A6008B" w:rsidRPr="00E92571" w:rsidRDefault="00A6008B" w:rsidP="00D81F7D">
            <w:pPr>
              <w:jc w:val="center"/>
              <w:rPr>
                <w:color w:val="000000"/>
                <w:sz w:val="21"/>
                <w:szCs w:val="23"/>
              </w:rPr>
            </w:pPr>
            <w:r w:rsidRPr="00E92571">
              <w:rPr>
                <w:color w:val="000000"/>
                <w:sz w:val="21"/>
                <w:szCs w:val="23"/>
              </w:rPr>
              <w:t>9</w:t>
            </w:r>
          </w:p>
        </w:tc>
      </w:tr>
      <w:tr w:rsidR="00A6008B" w:rsidRPr="00E92571" w:rsidTr="00FF2E55">
        <w:trPr>
          <w:trHeight w:hRule="exact" w:val="284"/>
        </w:trPr>
        <w:tc>
          <w:tcPr>
            <w:tcW w:w="4407" w:type="dxa"/>
            <w:tcBorders>
              <w:top w:val="dotted" w:sz="4" w:space="0" w:color="auto"/>
              <w:bottom w:val="dotted" w:sz="4" w:space="0" w:color="auto"/>
              <w:right w:val="dotted" w:sz="4" w:space="0" w:color="auto"/>
            </w:tcBorders>
            <w:vAlign w:val="center"/>
          </w:tcPr>
          <w:p w:rsidR="00A6008B" w:rsidRPr="00E92571" w:rsidRDefault="00A6008B" w:rsidP="008E0315">
            <w:pPr>
              <w:ind w:left="188"/>
              <w:rPr>
                <w:b/>
                <w:bCs/>
                <w:color w:val="000000"/>
                <w:sz w:val="21"/>
                <w:szCs w:val="23"/>
              </w:rPr>
            </w:pPr>
            <w:r w:rsidRPr="00E92571">
              <w:rPr>
                <w:b/>
                <w:bCs/>
                <w:color w:val="000000"/>
                <w:sz w:val="21"/>
                <w:szCs w:val="23"/>
              </w:rPr>
              <w:t>NJDCProject</w:t>
            </w:r>
          </w:p>
        </w:tc>
        <w:tc>
          <w:tcPr>
            <w:tcW w:w="1525" w:type="dxa"/>
            <w:tcBorders>
              <w:top w:val="dotted" w:sz="4" w:space="0" w:color="auto"/>
              <w:left w:val="dotted" w:sz="4" w:space="0" w:color="auto"/>
              <w:bottom w:val="dotted" w:sz="4" w:space="0" w:color="auto"/>
              <w:right w:val="dotted" w:sz="4" w:space="0" w:color="auto"/>
            </w:tcBorders>
            <w:vAlign w:val="center"/>
          </w:tcPr>
          <w:p w:rsidR="00A6008B" w:rsidRPr="00E92571" w:rsidRDefault="00A6008B" w:rsidP="00D81F7D">
            <w:pPr>
              <w:jc w:val="center"/>
              <w:rPr>
                <w:color w:val="000000"/>
                <w:sz w:val="21"/>
                <w:szCs w:val="23"/>
              </w:rPr>
            </w:pPr>
            <w:r w:rsidRPr="00E92571">
              <w:rPr>
                <w:color w:val="000000"/>
                <w:sz w:val="21"/>
                <w:szCs w:val="23"/>
              </w:rPr>
              <w:t>1</w:t>
            </w:r>
          </w:p>
        </w:tc>
        <w:tc>
          <w:tcPr>
            <w:tcW w:w="1526" w:type="dxa"/>
            <w:tcBorders>
              <w:top w:val="dotted" w:sz="4" w:space="0" w:color="auto"/>
              <w:left w:val="dotted" w:sz="4" w:space="0" w:color="auto"/>
              <w:bottom w:val="dotted" w:sz="4" w:space="0" w:color="auto"/>
            </w:tcBorders>
            <w:vAlign w:val="center"/>
          </w:tcPr>
          <w:p w:rsidR="00A6008B" w:rsidRPr="00E92571" w:rsidRDefault="00A6008B" w:rsidP="00D81F7D">
            <w:pPr>
              <w:jc w:val="center"/>
              <w:rPr>
                <w:color w:val="000000"/>
                <w:sz w:val="21"/>
                <w:szCs w:val="23"/>
              </w:rPr>
            </w:pPr>
            <w:r w:rsidRPr="00E92571">
              <w:rPr>
                <w:color w:val="000000"/>
                <w:sz w:val="21"/>
                <w:szCs w:val="23"/>
              </w:rPr>
              <w:t>2</w:t>
            </w:r>
          </w:p>
        </w:tc>
        <w:tc>
          <w:tcPr>
            <w:tcW w:w="236" w:type="dxa"/>
            <w:noWrap/>
            <w:vAlign w:val="center"/>
          </w:tcPr>
          <w:p w:rsidR="00A6008B" w:rsidRPr="00E92571" w:rsidRDefault="00A6008B" w:rsidP="00D81F7D">
            <w:pPr>
              <w:jc w:val="center"/>
              <w:rPr>
                <w:color w:val="000000"/>
                <w:sz w:val="21"/>
                <w:szCs w:val="23"/>
              </w:rPr>
            </w:pPr>
          </w:p>
        </w:tc>
        <w:tc>
          <w:tcPr>
            <w:tcW w:w="1390" w:type="dxa"/>
            <w:tcBorders>
              <w:top w:val="dotted" w:sz="4" w:space="0" w:color="auto"/>
              <w:left w:val="nil"/>
              <w:bottom w:val="dotted" w:sz="4" w:space="0" w:color="auto"/>
            </w:tcBorders>
            <w:vAlign w:val="center"/>
          </w:tcPr>
          <w:p w:rsidR="00A6008B" w:rsidRPr="00E92571" w:rsidRDefault="00A6008B" w:rsidP="00D81F7D">
            <w:pPr>
              <w:jc w:val="center"/>
              <w:rPr>
                <w:color w:val="000000"/>
                <w:sz w:val="21"/>
                <w:szCs w:val="23"/>
              </w:rPr>
            </w:pPr>
            <w:r w:rsidRPr="00E92571">
              <w:rPr>
                <w:color w:val="000000"/>
                <w:sz w:val="21"/>
                <w:szCs w:val="23"/>
              </w:rPr>
              <w:t>1</w:t>
            </w:r>
          </w:p>
        </w:tc>
      </w:tr>
      <w:tr w:rsidR="00A6008B" w:rsidRPr="00E92571" w:rsidTr="00FF2E55">
        <w:trPr>
          <w:trHeight w:hRule="exact" w:val="284"/>
        </w:trPr>
        <w:tc>
          <w:tcPr>
            <w:tcW w:w="4407" w:type="dxa"/>
            <w:tcBorders>
              <w:top w:val="dotted" w:sz="4" w:space="0" w:color="auto"/>
              <w:bottom w:val="single" w:sz="8" w:space="0" w:color="auto"/>
              <w:right w:val="dotted" w:sz="4" w:space="0" w:color="auto"/>
            </w:tcBorders>
            <w:vAlign w:val="center"/>
          </w:tcPr>
          <w:p w:rsidR="00A6008B" w:rsidRPr="00E92571" w:rsidRDefault="00A6008B" w:rsidP="008E0315">
            <w:pPr>
              <w:ind w:left="188"/>
              <w:rPr>
                <w:b/>
                <w:bCs/>
                <w:color w:val="000000"/>
                <w:sz w:val="21"/>
                <w:szCs w:val="23"/>
              </w:rPr>
            </w:pPr>
            <w:r w:rsidRPr="00E92571">
              <w:rPr>
                <w:b/>
                <w:bCs/>
                <w:color w:val="000000"/>
                <w:sz w:val="21"/>
                <w:szCs w:val="23"/>
              </w:rPr>
              <w:t>Responsive Fund</w:t>
            </w:r>
          </w:p>
        </w:tc>
        <w:tc>
          <w:tcPr>
            <w:tcW w:w="1525" w:type="dxa"/>
            <w:tcBorders>
              <w:top w:val="dotted" w:sz="4" w:space="0" w:color="auto"/>
              <w:left w:val="dotted" w:sz="4" w:space="0" w:color="auto"/>
              <w:bottom w:val="single" w:sz="8" w:space="0" w:color="auto"/>
              <w:right w:val="dotted" w:sz="4" w:space="0" w:color="auto"/>
            </w:tcBorders>
            <w:vAlign w:val="center"/>
          </w:tcPr>
          <w:p w:rsidR="00A6008B" w:rsidRPr="00E92571" w:rsidRDefault="00A6008B" w:rsidP="00D81F7D">
            <w:pPr>
              <w:jc w:val="center"/>
              <w:rPr>
                <w:color w:val="000000"/>
                <w:sz w:val="21"/>
                <w:szCs w:val="23"/>
              </w:rPr>
            </w:pPr>
            <w:r w:rsidRPr="00E92571">
              <w:rPr>
                <w:color w:val="000000"/>
                <w:sz w:val="21"/>
                <w:szCs w:val="23"/>
              </w:rPr>
              <w:t>7</w:t>
            </w:r>
          </w:p>
        </w:tc>
        <w:tc>
          <w:tcPr>
            <w:tcW w:w="1526" w:type="dxa"/>
            <w:tcBorders>
              <w:top w:val="dotted" w:sz="4" w:space="0" w:color="auto"/>
              <w:left w:val="dotted" w:sz="4" w:space="0" w:color="auto"/>
              <w:bottom w:val="single" w:sz="8" w:space="0" w:color="auto"/>
            </w:tcBorders>
            <w:vAlign w:val="center"/>
          </w:tcPr>
          <w:p w:rsidR="00A6008B" w:rsidRPr="00E92571" w:rsidRDefault="00A6008B" w:rsidP="00D81F7D">
            <w:pPr>
              <w:jc w:val="center"/>
              <w:rPr>
                <w:color w:val="000000"/>
                <w:sz w:val="21"/>
                <w:szCs w:val="23"/>
              </w:rPr>
            </w:pPr>
            <w:r w:rsidRPr="00E92571">
              <w:rPr>
                <w:color w:val="000000"/>
                <w:sz w:val="21"/>
                <w:szCs w:val="23"/>
              </w:rPr>
              <w:t>14</w:t>
            </w:r>
          </w:p>
        </w:tc>
        <w:tc>
          <w:tcPr>
            <w:tcW w:w="236" w:type="dxa"/>
            <w:noWrap/>
            <w:vAlign w:val="center"/>
          </w:tcPr>
          <w:p w:rsidR="00A6008B" w:rsidRPr="00E92571" w:rsidRDefault="00A6008B" w:rsidP="00D81F7D">
            <w:pPr>
              <w:jc w:val="center"/>
              <w:rPr>
                <w:color w:val="000000"/>
                <w:sz w:val="21"/>
                <w:szCs w:val="23"/>
              </w:rPr>
            </w:pPr>
          </w:p>
        </w:tc>
        <w:tc>
          <w:tcPr>
            <w:tcW w:w="1390" w:type="dxa"/>
            <w:tcBorders>
              <w:top w:val="dotted" w:sz="4" w:space="0" w:color="auto"/>
              <w:left w:val="nil"/>
              <w:bottom w:val="single" w:sz="8" w:space="0" w:color="auto"/>
            </w:tcBorders>
            <w:vAlign w:val="center"/>
          </w:tcPr>
          <w:p w:rsidR="00A6008B" w:rsidRPr="00E92571" w:rsidRDefault="00A6008B" w:rsidP="00BF2135">
            <w:pPr>
              <w:jc w:val="center"/>
              <w:rPr>
                <w:color w:val="000000"/>
                <w:sz w:val="21"/>
                <w:szCs w:val="23"/>
              </w:rPr>
            </w:pPr>
            <w:r w:rsidRPr="00E92571">
              <w:rPr>
                <w:color w:val="000000"/>
                <w:sz w:val="21"/>
                <w:szCs w:val="23"/>
              </w:rPr>
              <w:t>17</w:t>
            </w:r>
          </w:p>
        </w:tc>
      </w:tr>
      <w:tr w:rsidR="00A6008B" w:rsidRPr="00E92571" w:rsidTr="00FF2E55">
        <w:trPr>
          <w:trHeight w:val="227"/>
        </w:trPr>
        <w:tc>
          <w:tcPr>
            <w:tcW w:w="4407" w:type="dxa"/>
            <w:tcBorders>
              <w:top w:val="single" w:sz="8" w:space="0" w:color="auto"/>
              <w:right w:val="single" w:sz="8" w:space="0" w:color="auto"/>
            </w:tcBorders>
            <w:shd w:val="clear" w:color="000000" w:fill="D9D9D9"/>
            <w:vAlign w:val="bottom"/>
          </w:tcPr>
          <w:p w:rsidR="00A6008B" w:rsidRPr="00E92571" w:rsidRDefault="00A6008B" w:rsidP="00B251A5">
            <w:pPr>
              <w:spacing w:before="120"/>
              <w:rPr>
                <w:b/>
                <w:bCs/>
                <w:color w:val="000000"/>
                <w:szCs w:val="23"/>
              </w:rPr>
            </w:pPr>
            <w:r w:rsidRPr="00E92571">
              <w:rPr>
                <w:b/>
                <w:bCs/>
                <w:color w:val="000000"/>
                <w:szCs w:val="23"/>
              </w:rPr>
              <w:t>Component 3 - Systems and Processes</w:t>
            </w:r>
          </w:p>
        </w:tc>
        <w:tc>
          <w:tcPr>
            <w:tcW w:w="1525" w:type="dxa"/>
            <w:tcBorders>
              <w:top w:val="single" w:sz="8" w:space="0" w:color="auto"/>
              <w:left w:val="single" w:sz="8" w:space="0" w:color="auto"/>
              <w:right w:val="single" w:sz="8" w:space="0" w:color="auto"/>
            </w:tcBorders>
            <w:shd w:val="clear" w:color="000000" w:fill="D9D9D9"/>
            <w:vAlign w:val="bottom"/>
          </w:tcPr>
          <w:p w:rsidR="00A6008B" w:rsidRPr="00E92571" w:rsidRDefault="00A6008B" w:rsidP="00B251A5">
            <w:pPr>
              <w:spacing w:before="120"/>
              <w:jc w:val="center"/>
              <w:rPr>
                <w:b/>
                <w:bCs/>
                <w:color w:val="000000"/>
                <w:szCs w:val="23"/>
              </w:rPr>
            </w:pPr>
            <w:r w:rsidRPr="00E92571">
              <w:rPr>
                <w:b/>
                <w:bCs/>
                <w:color w:val="000000"/>
                <w:szCs w:val="23"/>
              </w:rPr>
              <w:t>16</w:t>
            </w:r>
          </w:p>
        </w:tc>
        <w:tc>
          <w:tcPr>
            <w:tcW w:w="1526" w:type="dxa"/>
            <w:tcBorders>
              <w:top w:val="single" w:sz="8" w:space="0" w:color="auto"/>
              <w:left w:val="single" w:sz="8" w:space="0" w:color="auto"/>
              <w:right w:val="nil"/>
            </w:tcBorders>
            <w:shd w:val="clear" w:color="000000" w:fill="D9D9D9"/>
            <w:vAlign w:val="bottom"/>
          </w:tcPr>
          <w:p w:rsidR="00A6008B" w:rsidRPr="00E92571" w:rsidRDefault="00A6008B" w:rsidP="00B251A5">
            <w:pPr>
              <w:spacing w:before="120"/>
              <w:jc w:val="center"/>
              <w:rPr>
                <w:b/>
                <w:bCs/>
                <w:color w:val="000000"/>
                <w:szCs w:val="23"/>
              </w:rPr>
            </w:pPr>
            <w:r w:rsidRPr="00E92571">
              <w:rPr>
                <w:b/>
                <w:bCs/>
                <w:color w:val="000000"/>
                <w:szCs w:val="23"/>
              </w:rPr>
              <w:t>18</w:t>
            </w:r>
          </w:p>
        </w:tc>
        <w:tc>
          <w:tcPr>
            <w:tcW w:w="236" w:type="dxa"/>
            <w:tcBorders>
              <w:left w:val="nil"/>
              <w:right w:val="nil"/>
            </w:tcBorders>
            <w:noWrap/>
            <w:vAlign w:val="bottom"/>
          </w:tcPr>
          <w:p w:rsidR="00A6008B" w:rsidRPr="00E92571" w:rsidRDefault="00A6008B" w:rsidP="00B251A5">
            <w:pPr>
              <w:spacing w:before="120"/>
              <w:jc w:val="center"/>
              <w:rPr>
                <w:color w:val="000000"/>
                <w:szCs w:val="23"/>
              </w:rPr>
            </w:pPr>
          </w:p>
        </w:tc>
        <w:tc>
          <w:tcPr>
            <w:tcW w:w="1390" w:type="dxa"/>
            <w:tcBorders>
              <w:top w:val="single" w:sz="8" w:space="0" w:color="auto"/>
              <w:left w:val="nil"/>
              <w:right w:val="nil"/>
            </w:tcBorders>
            <w:shd w:val="clear" w:color="000000" w:fill="D9D9D9"/>
            <w:vAlign w:val="bottom"/>
          </w:tcPr>
          <w:p w:rsidR="00A6008B" w:rsidRPr="00E92571" w:rsidRDefault="00A6008B" w:rsidP="00B251A5">
            <w:pPr>
              <w:spacing w:before="120"/>
              <w:jc w:val="center"/>
              <w:rPr>
                <w:b/>
                <w:bCs/>
                <w:color w:val="000000"/>
                <w:szCs w:val="23"/>
              </w:rPr>
            </w:pPr>
            <w:r w:rsidRPr="00E92571">
              <w:rPr>
                <w:b/>
                <w:bCs/>
                <w:color w:val="000000"/>
                <w:szCs w:val="23"/>
              </w:rPr>
              <w:t>27</w:t>
            </w:r>
          </w:p>
        </w:tc>
      </w:tr>
      <w:tr w:rsidR="00A6008B" w:rsidRPr="00E92571" w:rsidTr="00FF2E55">
        <w:trPr>
          <w:trHeight w:hRule="exact" w:val="284"/>
        </w:trPr>
        <w:tc>
          <w:tcPr>
            <w:tcW w:w="4407" w:type="dxa"/>
            <w:tcBorders>
              <w:bottom w:val="nil"/>
              <w:right w:val="dotted" w:sz="4" w:space="0" w:color="auto"/>
            </w:tcBorders>
            <w:vAlign w:val="bottom"/>
          </w:tcPr>
          <w:p w:rsidR="00A6008B" w:rsidRPr="00E92571" w:rsidRDefault="00A6008B" w:rsidP="008E0315">
            <w:pPr>
              <w:ind w:left="188"/>
              <w:rPr>
                <w:b/>
                <w:bCs/>
                <w:color w:val="000000"/>
                <w:sz w:val="21"/>
                <w:szCs w:val="23"/>
              </w:rPr>
            </w:pPr>
            <w:r w:rsidRPr="00E92571">
              <w:rPr>
                <w:b/>
                <w:bCs/>
                <w:color w:val="000000"/>
                <w:sz w:val="21"/>
                <w:szCs w:val="23"/>
              </w:rPr>
              <w:t>Judicial AdministrationProject</w:t>
            </w:r>
          </w:p>
        </w:tc>
        <w:tc>
          <w:tcPr>
            <w:tcW w:w="1525" w:type="dxa"/>
            <w:tcBorders>
              <w:left w:val="dotted" w:sz="4" w:space="0" w:color="auto"/>
              <w:bottom w:val="nil"/>
              <w:right w:val="dotted" w:sz="4" w:space="0" w:color="auto"/>
            </w:tcBorders>
            <w:vAlign w:val="center"/>
          </w:tcPr>
          <w:p w:rsidR="00A6008B" w:rsidRPr="00E92571" w:rsidRDefault="00A6008B" w:rsidP="00D81F7D">
            <w:pPr>
              <w:jc w:val="center"/>
              <w:rPr>
                <w:color w:val="000000"/>
                <w:sz w:val="21"/>
                <w:szCs w:val="23"/>
              </w:rPr>
            </w:pPr>
            <w:r w:rsidRPr="00E92571">
              <w:rPr>
                <w:color w:val="000000"/>
                <w:sz w:val="21"/>
                <w:szCs w:val="23"/>
              </w:rPr>
              <w:t> </w:t>
            </w:r>
          </w:p>
        </w:tc>
        <w:tc>
          <w:tcPr>
            <w:tcW w:w="1526" w:type="dxa"/>
            <w:tcBorders>
              <w:left w:val="dotted" w:sz="4" w:space="0" w:color="auto"/>
              <w:bottom w:val="nil"/>
            </w:tcBorders>
            <w:vAlign w:val="center"/>
          </w:tcPr>
          <w:p w:rsidR="00A6008B" w:rsidRPr="00E92571" w:rsidRDefault="00A6008B" w:rsidP="00D81F7D">
            <w:pPr>
              <w:jc w:val="center"/>
              <w:rPr>
                <w:color w:val="000000"/>
                <w:sz w:val="21"/>
                <w:szCs w:val="23"/>
              </w:rPr>
            </w:pPr>
            <w:r w:rsidRPr="00E92571">
              <w:rPr>
                <w:color w:val="000000"/>
                <w:sz w:val="21"/>
                <w:szCs w:val="23"/>
              </w:rPr>
              <w:t> </w:t>
            </w:r>
          </w:p>
        </w:tc>
        <w:tc>
          <w:tcPr>
            <w:tcW w:w="236" w:type="dxa"/>
            <w:tcBorders>
              <w:bottom w:val="nil"/>
            </w:tcBorders>
            <w:noWrap/>
            <w:vAlign w:val="center"/>
          </w:tcPr>
          <w:p w:rsidR="00A6008B" w:rsidRPr="00E92571" w:rsidRDefault="00A6008B" w:rsidP="00D81F7D">
            <w:pPr>
              <w:jc w:val="center"/>
              <w:rPr>
                <w:color w:val="000000"/>
                <w:sz w:val="21"/>
                <w:szCs w:val="23"/>
              </w:rPr>
            </w:pPr>
          </w:p>
        </w:tc>
        <w:tc>
          <w:tcPr>
            <w:tcW w:w="1390" w:type="dxa"/>
            <w:tcBorders>
              <w:left w:val="nil"/>
              <w:bottom w:val="nil"/>
            </w:tcBorders>
            <w:vAlign w:val="center"/>
          </w:tcPr>
          <w:p w:rsidR="00A6008B" w:rsidRPr="00E92571" w:rsidRDefault="00A6008B" w:rsidP="00D81F7D">
            <w:pPr>
              <w:jc w:val="center"/>
              <w:rPr>
                <w:color w:val="000000"/>
                <w:sz w:val="21"/>
                <w:szCs w:val="23"/>
              </w:rPr>
            </w:pPr>
            <w:r w:rsidRPr="00E92571">
              <w:rPr>
                <w:color w:val="000000"/>
                <w:sz w:val="21"/>
                <w:szCs w:val="23"/>
              </w:rPr>
              <w:t> </w:t>
            </w:r>
          </w:p>
        </w:tc>
      </w:tr>
      <w:tr w:rsidR="00A6008B" w:rsidRPr="00E92571" w:rsidTr="00FF2E55">
        <w:trPr>
          <w:trHeight w:hRule="exact" w:val="255"/>
        </w:trPr>
        <w:tc>
          <w:tcPr>
            <w:tcW w:w="4407" w:type="dxa"/>
            <w:tcBorders>
              <w:top w:val="nil"/>
              <w:bottom w:val="nil"/>
              <w:right w:val="dotted" w:sz="4" w:space="0" w:color="auto"/>
            </w:tcBorders>
            <w:vAlign w:val="center"/>
          </w:tcPr>
          <w:p w:rsidR="00A6008B" w:rsidRPr="00E92571" w:rsidRDefault="00A6008B" w:rsidP="00E31AAC">
            <w:pPr>
              <w:pStyle w:val="ListParagraph"/>
              <w:numPr>
                <w:ilvl w:val="0"/>
                <w:numId w:val="48"/>
              </w:numPr>
              <w:rPr>
                <w:color w:val="000000"/>
                <w:sz w:val="21"/>
                <w:szCs w:val="23"/>
                <w:lang w:eastAsia="en-US"/>
              </w:rPr>
            </w:pPr>
            <w:r w:rsidRPr="00E92571">
              <w:rPr>
                <w:i/>
                <w:iCs/>
                <w:color w:val="000000"/>
                <w:sz w:val="21"/>
                <w:szCs w:val="23"/>
                <w:lang w:eastAsia="en-US"/>
              </w:rPr>
              <w:t xml:space="preserve">Time Standards Toolkit </w:t>
            </w:r>
          </w:p>
        </w:tc>
        <w:tc>
          <w:tcPr>
            <w:tcW w:w="1525" w:type="dxa"/>
            <w:tcBorders>
              <w:top w:val="nil"/>
              <w:left w:val="dotted" w:sz="4" w:space="0" w:color="auto"/>
              <w:bottom w:val="nil"/>
              <w:right w:val="dotted" w:sz="4" w:space="0" w:color="auto"/>
            </w:tcBorders>
            <w:vAlign w:val="center"/>
          </w:tcPr>
          <w:p w:rsidR="00A6008B" w:rsidRPr="00E92571" w:rsidRDefault="00A6008B" w:rsidP="00D81F7D">
            <w:pPr>
              <w:jc w:val="center"/>
              <w:rPr>
                <w:color w:val="000000"/>
                <w:sz w:val="21"/>
                <w:szCs w:val="23"/>
              </w:rPr>
            </w:pPr>
            <w:r w:rsidRPr="00E92571">
              <w:rPr>
                <w:color w:val="000000"/>
                <w:sz w:val="21"/>
                <w:szCs w:val="23"/>
              </w:rPr>
              <w:t>1</w:t>
            </w:r>
          </w:p>
        </w:tc>
        <w:tc>
          <w:tcPr>
            <w:tcW w:w="1526" w:type="dxa"/>
            <w:tcBorders>
              <w:top w:val="nil"/>
              <w:left w:val="dotted" w:sz="4" w:space="0" w:color="auto"/>
              <w:bottom w:val="nil"/>
            </w:tcBorders>
            <w:vAlign w:val="center"/>
          </w:tcPr>
          <w:p w:rsidR="00A6008B" w:rsidRPr="00E92571" w:rsidRDefault="00A6008B" w:rsidP="00D81F7D">
            <w:pPr>
              <w:jc w:val="center"/>
              <w:rPr>
                <w:color w:val="000000"/>
                <w:sz w:val="21"/>
                <w:szCs w:val="23"/>
              </w:rPr>
            </w:pPr>
            <w:r w:rsidRPr="00E92571">
              <w:rPr>
                <w:color w:val="000000"/>
                <w:sz w:val="21"/>
                <w:szCs w:val="23"/>
              </w:rPr>
              <w:t>2</w:t>
            </w:r>
          </w:p>
        </w:tc>
        <w:tc>
          <w:tcPr>
            <w:tcW w:w="236" w:type="dxa"/>
            <w:tcBorders>
              <w:top w:val="nil"/>
              <w:bottom w:val="nil"/>
            </w:tcBorders>
            <w:noWrap/>
            <w:vAlign w:val="center"/>
          </w:tcPr>
          <w:p w:rsidR="00A6008B" w:rsidRPr="00E92571" w:rsidRDefault="00A6008B" w:rsidP="00D81F7D">
            <w:pPr>
              <w:jc w:val="center"/>
              <w:rPr>
                <w:color w:val="000000"/>
                <w:sz w:val="21"/>
                <w:szCs w:val="23"/>
              </w:rPr>
            </w:pPr>
          </w:p>
        </w:tc>
        <w:tc>
          <w:tcPr>
            <w:tcW w:w="1390" w:type="dxa"/>
            <w:tcBorders>
              <w:top w:val="nil"/>
              <w:left w:val="nil"/>
              <w:bottom w:val="nil"/>
            </w:tcBorders>
            <w:vAlign w:val="center"/>
          </w:tcPr>
          <w:p w:rsidR="00A6008B" w:rsidRPr="00E92571" w:rsidRDefault="00A6008B" w:rsidP="00D81F7D">
            <w:pPr>
              <w:jc w:val="center"/>
              <w:rPr>
                <w:color w:val="000000"/>
                <w:sz w:val="21"/>
                <w:szCs w:val="23"/>
              </w:rPr>
            </w:pPr>
            <w:r w:rsidRPr="00E92571">
              <w:rPr>
                <w:color w:val="000000"/>
                <w:sz w:val="21"/>
                <w:szCs w:val="23"/>
              </w:rPr>
              <w:t>4</w:t>
            </w:r>
          </w:p>
        </w:tc>
      </w:tr>
      <w:tr w:rsidR="00A6008B" w:rsidRPr="00E92571" w:rsidTr="00FF2E55">
        <w:trPr>
          <w:trHeight w:hRule="exact" w:val="255"/>
        </w:trPr>
        <w:tc>
          <w:tcPr>
            <w:tcW w:w="4407" w:type="dxa"/>
            <w:tcBorders>
              <w:top w:val="nil"/>
              <w:right w:val="dotted" w:sz="4" w:space="0" w:color="auto"/>
            </w:tcBorders>
            <w:vAlign w:val="center"/>
          </w:tcPr>
          <w:p w:rsidR="00A6008B" w:rsidRPr="00E92571" w:rsidRDefault="00A6008B" w:rsidP="00E31AAC">
            <w:pPr>
              <w:pStyle w:val="ListParagraph"/>
              <w:numPr>
                <w:ilvl w:val="0"/>
                <w:numId w:val="48"/>
              </w:numPr>
              <w:rPr>
                <w:color w:val="000000"/>
                <w:sz w:val="21"/>
                <w:szCs w:val="23"/>
                <w:lang w:eastAsia="en-US"/>
              </w:rPr>
            </w:pPr>
            <w:r w:rsidRPr="00E92571">
              <w:rPr>
                <w:i/>
                <w:iCs/>
                <w:color w:val="000000"/>
                <w:sz w:val="21"/>
                <w:szCs w:val="23"/>
                <w:lang w:eastAsia="en-US"/>
              </w:rPr>
              <w:t>Delay Reduction Toolkit</w:t>
            </w:r>
          </w:p>
        </w:tc>
        <w:tc>
          <w:tcPr>
            <w:tcW w:w="1525" w:type="dxa"/>
            <w:tcBorders>
              <w:top w:val="nil"/>
              <w:left w:val="dotted" w:sz="4" w:space="0" w:color="auto"/>
              <w:right w:val="dotted" w:sz="4" w:space="0" w:color="auto"/>
            </w:tcBorders>
            <w:vAlign w:val="center"/>
          </w:tcPr>
          <w:p w:rsidR="00A6008B" w:rsidRPr="00E92571" w:rsidRDefault="00A6008B" w:rsidP="00D81F7D">
            <w:pPr>
              <w:jc w:val="center"/>
              <w:rPr>
                <w:color w:val="000000"/>
                <w:sz w:val="21"/>
                <w:szCs w:val="23"/>
              </w:rPr>
            </w:pPr>
            <w:r w:rsidRPr="00E92571">
              <w:rPr>
                <w:color w:val="000000"/>
                <w:sz w:val="21"/>
                <w:szCs w:val="23"/>
              </w:rPr>
              <w:t>0</w:t>
            </w:r>
          </w:p>
        </w:tc>
        <w:tc>
          <w:tcPr>
            <w:tcW w:w="1526" w:type="dxa"/>
            <w:tcBorders>
              <w:top w:val="nil"/>
              <w:left w:val="dotted" w:sz="4" w:space="0" w:color="auto"/>
            </w:tcBorders>
            <w:vAlign w:val="center"/>
          </w:tcPr>
          <w:p w:rsidR="00A6008B" w:rsidRPr="00E92571" w:rsidRDefault="00A6008B" w:rsidP="00D81F7D">
            <w:pPr>
              <w:jc w:val="center"/>
              <w:rPr>
                <w:color w:val="000000"/>
                <w:sz w:val="21"/>
                <w:szCs w:val="23"/>
              </w:rPr>
            </w:pPr>
            <w:r w:rsidRPr="00E92571">
              <w:rPr>
                <w:color w:val="000000"/>
                <w:sz w:val="21"/>
                <w:szCs w:val="23"/>
              </w:rPr>
              <w:t>0</w:t>
            </w:r>
          </w:p>
        </w:tc>
        <w:tc>
          <w:tcPr>
            <w:tcW w:w="236" w:type="dxa"/>
            <w:tcBorders>
              <w:top w:val="nil"/>
              <w:bottom w:val="nil"/>
            </w:tcBorders>
            <w:noWrap/>
            <w:vAlign w:val="center"/>
          </w:tcPr>
          <w:p w:rsidR="00A6008B" w:rsidRPr="00E92571" w:rsidRDefault="00A6008B" w:rsidP="00D81F7D">
            <w:pPr>
              <w:jc w:val="center"/>
              <w:rPr>
                <w:color w:val="000000"/>
                <w:sz w:val="21"/>
                <w:szCs w:val="23"/>
              </w:rPr>
            </w:pPr>
          </w:p>
        </w:tc>
        <w:tc>
          <w:tcPr>
            <w:tcW w:w="1390" w:type="dxa"/>
            <w:tcBorders>
              <w:top w:val="nil"/>
              <w:left w:val="nil"/>
            </w:tcBorders>
            <w:vAlign w:val="center"/>
          </w:tcPr>
          <w:p w:rsidR="00A6008B" w:rsidRPr="00E92571" w:rsidRDefault="00A6008B" w:rsidP="00D81F7D">
            <w:pPr>
              <w:jc w:val="center"/>
              <w:rPr>
                <w:color w:val="000000"/>
                <w:sz w:val="21"/>
                <w:szCs w:val="23"/>
              </w:rPr>
            </w:pPr>
            <w:r w:rsidRPr="00E92571">
              <w:rPr>
                <w:color w:val="000000"/>
                <w:sz w:val="21"/>
                <w:szCs w:val="23"/>
              </w:rPr>
              <w:t>2</w:t>
            </w:r>
          </w:p>
        </w:tc>
      </w:tr>
      <w:tr w:rsidR="00A6008B" w:rsidRPr="00E92571" w:rsidTr="00FF2E55">
        <w:trPr>
          <w:trHeight w:hRule="exact" w:val="255"/>
        </w:trPr>
        <w:tc>
          <w:tcPr>
            <w:tcW w:w="4407" w:type="dxa"/>
            <w:tcBorders>
              <w:top w:val="nil"/>
              <w:bottom w:val="dotted" w:sz="4" w:space="0" w:color="auto"/>
              <w:right w:val="dotted" w:sz="4" w:space="0" w:color="auto"/>
            </w:tcBorders>
            <w:vAlign w:val="center"/>
          </w:tcPr>
          <w:p w:rsidR="00A6008B" w:rsidRPr="00E92571" w:rsidRDefault="00A6008B" w:rsidP="00E31AAC">
            <w:pPr>
              <w:pStyle w:val="ListParagraph"/>
              <w:numPr>
                <w:ilvl w:val="0"/>
                <w:numId w:val="48"/>
              </w:numPr>
              <w:rPr>
                <w:color w:val="000000"/>
                <w:sz w:val="21"/>
                <w:szCs w:val="23"/>
                <w:lang w:eastAsia="en-US"/>
              </w:rPr>
            </w:pPr>
            <w:r w:rsidRPr="00E92571">
              <w:rPr>
                <w:i/>
                <w:iCs/>
                <w:color w:val="000000"/>
                <w:sz w:val="21"/>
                <w:szCs w:val="23"/>
                <w:lang w:eastAsia="en-US"/>
              </w:rPr>
              <w:t xml:space="preserve">IT Administrators’ Network </w:t>
            </w:r>
          </w:p>
        </w:tc>
        <w:tc>
          <w:tcPr>
            <w:tcW w:w="1525" w:type="dxa"/>
            <w:tcBorders>
              <w:top w:val="nil"/>
              <w:left w:val="dotted" w:sz="4" w:space="0" w:color="auto"/>
              <w:bottom w:val="dotted" w:sz="4" w:space="0" w:color="auto"/>
              <w:right w:val="dotted" w:sz="4" w:space="0" w:color="auto"/>
            </w:tcBorders>
            <w:vAlign w:val="center"/>
          </w:tcPr>
          <w:p w:rsidR="00A6008B" w:rsidRPr="00E92571" w:rsidRDefault="00A6008B" w:rsidP="00D81F7D">
            <w:pPr>
              <w:jc w:val="center"/>
              <w:rPr>
                <w:color w:val="000000"/>
                <w:sz w:val="21"/>
                <w:szCs w:val="23"/>
              </w:rPr>
            </w:pPr>
            <w:r w:rsidRPr="00E92571">
              <w:rPr>
                <w:color w:val="000000"/>
                <w:sz w:val="21"/>
                <w:szCs w:val="23"/>
              </w:rPr>
              <w:t>0</w:t>
            </w:r>
          </w:p>
        </w:tc>
        <w:tc>
          <w:tcPr>
            <w:tcW w:w="1526" w:type="dxa"/>
            <w:tcBorders>
              <w:top w:val="nil"/>
              <w:left w:val="dotted" w:sz="4" w:space="0" w:color="auto"/>
              <w:bottom w:val="dotted" w:sz="4" w:space="0" w:color="auto"/>
            </w:tcBorders>
            <w:vAlign w:val="center"/>
          </w:tcPr>
          <w:p w:rsidR="00A6008B" w:rsidRPr="00E92571" w:rsidRDefault="00A6008B" w:rsidP="00D81F7D">
            <w:pPr>
              <w:jc w:val="center"/>
              <w:rPr>
                <w:color w:val="000000"/>
                <w:sz w:val="21"/>
                <w:szCs w:val="23"/>
              </w:rPr>
            </w:pPr>
            <w:r w:rsidRPr="00E92571">
              <w:rPr>
                <w:color w:val="000000"/>
                <w:sz w:val="21"/>
                <w:szCs w:val="23"/>
              </w:rPr>
              <w:t>0</w:t>
            </w:r>
          </w:p>
        </w:tc>
        <w:tc>
          <w:tcPr>
            <w:tcW w:w="236" w:type="dxa"/>
            <w:tcBorders>
              <w:top w:val="nil"/>
            </w:tcBorders>
            <w:noWrap/>
            <w:vAlign w:val="center"/>
          </w:tcPr>
          <w:p w:rsidR="00A6008B" w:rsidRPr="00E92571" w:rsidRDefault="00A6008B" w:rsidP="00D81F7D">
            <w:pPr>
              <w:jc w:val="center"/>
              <w:rPr>
                <w:color w:val="000000"/>
                <w:sz w:val="21"/>
                <w:szCs w:val="23"/>
              </w:rPr>
            </w:pPr>
          </w:p>
        </w:tc>
        <w:tc>
          <w:tcPr>
            <w:tcW w:w="1390" w:type="dxa"/>
            <w:tcBorders>
              <w:top w:val="nil"/>
              <w:left w:val="nil"/>
              <w:bottom w:val="dotted" w:sz="4" w:space="0" w:color="auto"/>
            </w:tcBorders>
            <w:vAlign w:val="center"/>
          </w:tcPr>
          <w:p w:rsidR="00A6008B" w:rsidRPr="00E92571" w:rsidRDefault="00A6008B" w:rsidP="00D81F7D">
            <w:pPr>
              <w:jc w:val="center"/>
              <w:rPr>
                <w:color w:val="000000"/>
                <w:sz w:val="21"/>
                <w:szCs w:val="23"/>
              </w:rPr>
            </w:pPr>
            <w:r w:rsidRPr="00E92571">
              <w:rPr>
                <w:color w:val="000000"/>
                <w:sz w:val="21"/>
                <w:szCs w:val="23"/>
              </w:rPr>
              <w:t>1</w:t>
            </w:r>
          </w:p>
        </w:tc>
      </w:tr>
      <w:tr w:rsidR="00A6008B" w:rsidRPr="00E92571" w:rsidTr="00FF2E55">
        <w:trPr>
          <w:trHeight w:hRule="exact" w:val="284"/>
        </w:trPr>
        <w:tc>
          <w:tcPr>
            <w:tcW w:w="4407" w:type="dxa"/>
            <w:tcBorders>
              <w:top w:val="dotted" w:sz="4" w:space="0" w:color="auto"/>
              <w:right w:val="dotted" w:sz="4" w:space="0" w:color="auto"/>
            </w:tcBorders>
            <w:vAlign w:val="bottom"/>
          </w:tcPr>
          <w:p w:rsidR="00A6008B" w:rsidRPr="00E92571" w:rsidRDefault="00A6008B" w:rsidP="008E0315">
            <w:pPr>
              <w:ind w:left="188"/>
              <w:rPr>
                <w:b/>
                <w:bCs/>
                <w:color w:val="000000"/>
                <w:sz w:val="21"/>
                <w:szCs w:val="23"/>
              </w:rPr>
            </w:pPr>
            <w:r w:rsidRPr="00E92571">
              <w:rPr>
                <w:b/>
                <w:bCs/>
                <w:color w:val="000000"/>
                <w:sz w:val="21"/>
                <w:szCs w:val="23"/>
              </w:rPr>
              <w:t>Court Annual ReportingProject</w:t>
            </w:r>
            <w:r w:rsidRPr="00E92571">
              <w:rPr>
                <w:i/>
                <w:iCs/>
                <w:color w:val="000000"/>
                <w:sz w:val="21"/>
                <w:szCs w:val="23"/>
              </w:rPr>
              <w:t>(formerly PM&amp;E)</w:t>
            </w:r>
          </w:p>
        </w:tc>
        <w:tc>
          <w:tcPr>
            <w:tcW w:w="1525" w:type="dxa"/>
            <w:tcBorders>
              <w:top w:val="dotted" w:sz="4" w:space="0" w:color="auto"/>
              <w:left w:val="dotted" w:sz="4" w:space="0" w:color="auto"/>
              <w:right w:val="dotted" w:sz="4" w:space="0" w:color="auto"/>
            </w:tcBorders>
            <w:vAlign w:val="center"/>
          </w:tcPr>
          <w:p w:rsidR="00A6008B" w:rsidRPr="00E92571" w:rsidRDefault="00A6008B" w:rsidP="00D81F7D">
            <w:pPr>
              <w:jc w:val="center"/>
              <w:rPr>
                <w:color w:val="000000"/>
                <w:sz w:val="21"/>
                <w:szCs w:val="23"/>
              </w:rPr>
            </w:pPr>
            <w:r w:rsidRPr="00E92571">
              <w:rPr>
                <w:color w:val="000000"/>
                <w:sz w:val="21"/>
                <w:szCs w:val="23"/>
              </w:rPr>
              <w:t> </w:t>
            </w:r>
          </w:p>
        </w:tc>
        <w:tc>
          <w:tcPr>
            <w:tcW w:w="1526" w:type="dxa"/>
            <w:tcBorders>
              <w:top w:val="dotted" w:sz="4" w:space="0" w:color="auto"/>
              <w:left w:val="dotted" w:sz="4" w:space="0" w:color="auto"/>
            </w:tcBorders>
            <w:vAlign w:val="center"/>
          </w:tcPr>
          <w:p w:rsidR="00A6008B" w:rsidRPr="00E92571" w:rsidRDefault="00A6008B" w:rsidP="00D81F7D">
            <w:pPr>
              <w:jc w:val="center"/>
              <w:rPr>
                <w:color w:val="000000"/>
                <w:sz w:val="21"/>
                <w:szCs w:val="23"/>
              </w:rPr>
            </w:pPr>
            <w:r w:rsidRPr="00E92571">
              <w:rPr>
                <w:color w:val="000000"/>
                <w:sz w:val="21"/>
                <w:szCs w:val="23"/>
              </w:rPr>
              <w:t> </w:t>
            </w:r>
          </w:p>
        </w:tc>
        <w:tc>
          <w:tcPr>
            <w:tcW w:w="236" w:type="dxa"/>
            <w:tcBorders>
              <w:bottom w:val="nil"/>
            </w:tcBorders>
            <w:noWrap/>
            <w:vAlign w:val="center"/>
          </w:tcPr>
          <w:p w:rsidR="00A6008B" w:rsidRPr="00E92571" w:rsidRDefault="00A6008B" w:rsidP="00D81F7D">
            <w:pPr>
              <w:jc w:val="center"/>
              <w:rPr>
                <w:color w:val="000000"/>
                <w:sz w:val="21"/>
                <w:szCs w:val="23"/>
              </w:rPr>
            </w:pPr>
          </w:p>
        </w:tc>
        <w:tc>
          <w:tcPr>
            <w:tcW w:w="1390" w:type="dxa"/>
            <w:tcBorders>
              <w:top w:val="dotted" w:sz="4" w:space="0" w:color="auto"/>
              <w:left w:val="nil"/>
            </w:tcBorders>
            <w:vAlign w:val="center"/>
          </w:tcPr>
          <w:p w:rsidR="00A6008B" w:rsidRPr="00E92571" w:rsidRDefault="00A6008B" w:rsidP="00D81F7D">
            <w:pPr>
              <w:jc w:val="center"/>
              <w:rPr>
                <w:color w:val="000000"/>
                <w:sz w:val="21"/>
                <w:szCs w:val="23"/>
              </w:rPr>
            </w:pPr>
            <w:r w:rsidRPr="00E92571">
              <w:rPr>
                <w:color w:val="000000"/>
                <w:sz w:val="21"/>
                <w:szCs w:val="23"/>
              </w:rPr>
              <w:t> </w:t>
            </w:r>
          </w:p>
        </w:tc>
      </w:tr>
      <w:tr w:rsidR="00A6008B" w:rsidRPr="00E92571" w:rsidTr="00FF2E55">
        <w:trPr>
          <w:trHeight w:hRule="exact" w:val="255"/>
        </w:trPr>
        <w:tc>
          <w:tcPr>
            <w:tcW w:w="4407" w:type="dxa"/>
            <w:tcBorders>
              <w:bottom w:val="nil"/>
              <w:right w:val="dotted" w:sz="4" w:space="0" w:color="auto"/>
            </w:tcBorders>
            <w:vAlign w:val="center"/>
          </w:tcPr>
          <w:p w:rsidR="00A6008B" w:rsidRPr="00E92571" w:rsidRDefault="00A6008B" w:rsidP="008523FD">
            <w:pPr>
              <w:pStyle w:val="ListParagraph"/>
              <w:numPr>
                <w:ilvl w:val="0"/>
                <w:numId w:val="48"/>
              </w:numPr>
              <w:rPr>
                <w:color w:val="000000"/>
                <w:sz w:val="21"/>
                <w:szCs w:val="23"/>
                <w:lang w:eastAsia="en-US"/>
              </w:rPr>
            </w:pPr>
            <w:r w:rsidRPr="00E92571">
              <w:rPr>
                <w:i/>
                <w:iCs/>
                <w:color w:val="000000"/>
                <w:sz w:val="21"/>
                <w:szCs w:val="23"/>
                <w:lang w:eastAsia="en-US"/>
              </w:rPr>
              <w:t xml:space="preserve">Toolkit including Survey </w:t>
            </w:r>
          </w:p>
        </w:tc>
        <w:tc>
          <w:tcPr>
            <w:tcW w:w="1525" w:type="dxa"/>
            <w:tcBorders>
              <w:left w:val="dotted" w:sz="4" w:space="0" w:color="auto"/>
              <w:bottom w:val="nil"/>
              <w:right w:val="dotted" w:sz="4" w:space="0" w:color="auto"/>
            </w:tcBorders>
            <w:vAlign w:val="center"/>
          </w:tcPr>
          <w:p w:rsidR="00A6008B" w:rsidRPr="00E92571" w:rsidRDefault="00A6008B" w:rsidP="00D81F7D">
            <w:pPr>
              <w:jc w:val="center"/>
              <w:rPr>
                <w:color w:val="000000"/>
                <w:sz w:val="21"/>
                <w:szCs w:val="23"/>
              </w:rPr>
            </w:pPr>
            <w:r w:rsidRPr="00E92571">
              <w:rPr>
                <w:color w:val="000000"/>
                <w:sz w:val="21"/>
                <w:szCs w:val="23"/>
              </w:rPr>
              <w:t>1</w:t>
            </w:r>
          </w:p>
        </w:tc>
        <w:tc>
          <w:tcPr>
            <w:tcW w:w="1526" w:type="dxa"/>
            <w:tcBorders>
              <w:left w:val="dotted" w:sz="4" w:space="0" w:color="auto"/>
              <w:bottom w:val="nil"/>
            </w:tcBorders>
            <w:vAlign w:val="center"/>
          </w:tcPr>
          <w:p w:rsidR="00A6008B" w:rsidRPr="00E92571" w:rsidRDefault="00A6008B" w:rsidP="00D81F7D">
            <w:pPr>
              <w:jc w:val="center"/>
              <w:rPr>
                <w:color w:val="000000"/>
                <w:sz w:val="21"/>
                <w:szCs w:val="23"/>
              </w:rPr>
            </w:pPr>
            <w:r w:rsidRPr="00E92571">
              <w:rPr>
                <w:color w:val="000000"/>
                <w:sz w:val="21"/>
                <w:szCs w:val="23"/>
              </w:rPr>
              <w:t>2</w:t>
            </w:r>
          </w:p>
        </w:tc>
        <w:tc>
          <w:tcPr>
            <w:tcW w:w="236" w:type="dxa"/>
            <w:tcBorders>
              <w:top w:val="nil"/>
              <w:bottom w:val="nil"/>
            </w:tcBorders>
            <w:noWrap/>
            <w:vAlign w:val="center"/>
          </w:tcPr>
          <w:p w:rsidR="00A6008B" w:rsidRPr="00E92571" w:rsidRDefault="00A6008B" w:rsidP="00D81F7D">
            <w:pPr>
              <w:jc w:val="center"/>
              <w:rPr>
                <w:color w:val="000000"/>
                <w:sz w:val="21"/>
                <w:szCs w:val="23"/>
              </w:rPr>
            </w:pPr>
          </w:p>
        </w:tc>
        <w:tc>
          <w:tcPr>
            <w:tcW w:w="1390" w:type="dxa"/>
            <w:tcBorders>
              <w:left w:val="nil"/>
              <w:bottom w:val="nil"/>
            </w:tcBorders>
            <w:vAlign w:val="center"/>
          </w:tcPr>
          <w:p w:rsidR="00A6008B" w:rsidRPr="00E92571" w:rsidRDefault="00A6008B" w:rsidP="00D81F7D">
            <w:pPr>
              <w:jc w:val="center"/>
              <w:rPr>
                <w:color w:val="000000"/>
                <w:sz w:val="21"/>
                <w:szCs w:val="23"/>
              </w:rPr>
            </w:pPr>
            <w:r w:rsidRPr="00E92571">
              <w:rPr>
                <w:color w:val="000000"/>
                <w:sz w:val="21"/>
                <w:szCs w:val="23"/>
              </w:rPr>
              <w:t>6</w:t>
            </w:r>
          </w:p>
          <w:p w:rsidR="00A6008B" w:rsidRPr="00E92571" w:rsidRDefault="00A6008B" w:rsidP="00D81F7D">
            <w:pPr>
              <w:jc w:val="center"/>
              <w:rPr>
                <w:color w:val="000000"/>
                <w:sz w:val="21"/>
                <w:szCs w:val="23"/>
              </w:rPr>
            </w:pPr>
          </w:p>
        </w:tc>
      </w:tr>
      <w:tr w:rsidR="00A6008B" w:rsidRPr="00E92571" w:rsidTr="00FF2E55">
        <w:trPr>
          <w:trHeight w:hRule="exact" w:val="255"/>
        </w:trPr>
        <w:tc>
          <w:tcPr>
            <w:tcW w:w="4407" w:type="dxa"/>
            <w:tcBorders>
              <w:top w:val="nil"/>
              <w:bottom w:val="single" w:sz="8" w:space="0" w:color="auto"/>
              <w:right w:val="dotted" w:sz="4" w:space="0" w:color="auto"/>
            </w:tcBorders>
            <w:vAlign w:val="center"/>
          </w:tcPr>
          <w:p w:rsidR="00A6008B" w:rsidRPr="00E92571" w:rsidRDefault="00A6008B" w:rsidP="00E31AAC">
            <w:pPr>
              <w:pStyle w:val="ListParagraph"/>
              <w:numPr>
                <w:ilvl w:val="0"/>
                <w:numId w:val="48"/>
              </w:numPr>
              <w:rPr>
                <w:color w:val="000000"/>
                <w:sz w:val="21"/>
                <w:szCs w:val="23"/>
                <w:lang w:eastAsia="en-US"/>
              </w:rPr>
            </w:pPr>
            <w:r w:rsidRPr="00E92571">
              <w:rPr>
                <w:i/>
                <w:iCs/>
                <w:color w:val="000000"/>
                <w:sz w:val="21"/>
                <w:szCs w:val="23"/>
                <w:lang w:eastAsia="en-US"/>
              </w:rPr>
              <w:t>Data collection and reporting</w:t>
            </w:r>
          </w:p>
        </w:tc>
        <w:tc>
          <w:tcPr>
            <w:tcW w:w="1525" w:type="dxa"/>
            <w:tcBorders>
              <w:top w:val="nil"/>
              <w:left w:val="dotted" w:sz="4" w:space="0" w:color="auto"/>
              <w:bottom w:val="single" w:sz="8" w:space="0" w:color="auto"/>
              <w:right w:val="dotted" w:sz="4" w:space="0" w:color="auto"/>
            </w:tcBorders>
            <w:vAlign w:val="center"/>
          </w:tcPr>
          <w:p w:rsidR="00A6008B" w:rsidRPr="00E92571" w:rsidRDefault="00A6008B" w:rsidP="00D81F7D">
            <w:pPr>
              <w:jc w:val="center"/>
              <w:rPr>
                <w:color w:val="000000"/>
                <w:sz w:val="21"/>
                <w:szCs w:val="23"/>
              </w:rPr>
            </w:pPr>
            <w:r w:rsidRPr="00E92571">
              <w:rPr>
                <w:color w:val="000000"/>
                <w:sz w:val="21"/>
                <w:szCs w:val="23"/>
              </w:rPr>
              <w:t>14</w:t>
            </w:r>
          </w:p>
        </w:tc>
        <w:tc>
          <w:tcPr>
            <w:tcW w:w="1526" w:type="dxa"/>
            <w:tcBorders>
              <w:top w:val="nil"/>
              <w:left w:val="dotted" w:sz="4" w:space="0" w:color="auto"/>
              <w:bottom w:val="single" w:sz="8" w:space="0" w:color="auto"/>
            </w:tcBorders>
            <w:vAlign w:val="center"/>
          </w:tcPr>
          <w:p w:rsidR="00A6008B" w:rsidRPr="00E92571" w:rsidRDefault="00A6008B" w:rsidP="00D81F7D">
            <w:pPr>
              <w:jc w:val="center"/>
              <w:rPr>
                <w:color w:val="000000"/>
                <w:sz w:val="21"/>
                <w:szCs w:val="23"/>
              </w:rPr>
            </w:pPr>
            <w:r w:rsidRPr="00E92571">
              <w:rPr>
                <w:color w:val="000000"/>
                <w:sz w:val="21"/>
                <w:szCs w:val="23"/>
              </w:rPr>
              <w:t>14</w:t>
            </w:r>
          </w:p>
        </w:tc>
        <w:tc>
          <w:tcPr>
            <w:tcW w:w="236" w:type="dxa"/>
            <w:tcBorders>
              <w:top w:val="nil"/>
            </w:tcBorders>
            <w:noWrap/>
            <w:vAlign w:val="center"/>
          </w:tcPr>
          <w:p w:rsidR="00A6008B" w:rsidRPr="00E92571" w:rsidRDefault="00A6008B" w:rsidP="00D81F7D">
            <w:pPr>
              <w:jc w:val="center"/>
              <w:rPr>
                <w:color w:val="000000"/>
                <w:sz w:val="21"/>
                <w:szCs w:val="23"/>
              </w:rPr>
            </w:pPr>
          </w:p>
        </w:tc>
        <w:tc>
          <w:tcPr>
            <w:tcW w:w="1390" w:type="dxa"/>
            <w:tcBorders>
              <w:top w:val="nil"/>
              <w:left w:val="nil"/>
              <w:bottom w:val="single" w:sz="8" w:space="0" w:color="auto"/>
            </w:tcBorders>
            <w:vAlign w:val="center"/>
          </w:tcPr>
          <w:p w:rsidR="00A6008B" w:rsidRPr="00E92571" w:rsidRDefault="00A6008B" w:rsidP="00D81F7D">
            <w:pPr>
              <w:jc w:val="center"/>
              <w:rPr>
                <w:color w:val="000000"/>
                <w:sz w:val="21"/>
                <w:szCs w:val="23"/>
              </w:rPr>
            </w:pPr>
            <w:r w:rsidRPr="00E92571">
              <w:rPr>
                <w:color w:val="000000"/>
                <w:sz w:val="21"/>
                <w:szCs w:val="23"/>
              </w:rPr>
              <w:t>14</w:t>
            </w:r>
          </w:p>
        </w:tc>
      </w:tr>
      <w:tr w:rsidR="00A6008B" w:rsidRPr="00E92571" w:rsidTr="00FF2E55">
        <w:trPr>
          <w:trHeight w:val="227"/>
        </w:trPr>
        <w:tc>
          <w:tcPr>
            <w:tcW w:w="4407" w:type="dxa"/>
            <w:tcBorders>
              <w:top w:val="single" w:sz="8" w:space="0" w:color="auto"/>
              <w:right w:val="single" w:sz="8" w:space="0" w:color="auto"/>
            </w:tcBorders>
            <w:shd w:val="clear" w:color="000000" w:fill="D9D9D9"/>
            <w:vAlign w:val="bottom"/>
          </w:tcPr>
          <w:p w:rsidR="00A6008B" w:rsidRPr="00E92571" w:rsidRDefault="00A6008B" w:rsidP="00B251A5">
            <w:pPr>
              <w:spacing w:before="120"/>
              <w:rPr>
                <w:b/>
                <w:bCs/>
                <w:color w:val="000000"/>
                <w:szCs w:val="23"/>
              </w:rPr>
            </w:pPr>
            <w:r w:rsidRPr="00E92571">
              <w:rPr>
                <w:b/>
                <w:bCs/>
                <w:color w:val="000000"/>
                <w:szCs w:val="23"/>
              </w:rPr>
              <w:t>Component 4 - Professional Development</w:t>
            </w:r>
          </w:p>
        </w:tc>
        <w:tc>
          <w:tcPr>
            <w:tcW w:w="1525" w:type="dxa"/>
            <w:tcBorders>
              <w:top w:val="single" w:sz="8" w:space="0" w:color="auto"/>
              <w:left w:val="single" w:sz="8" w:space="0" w:color="auto"/>
              <w:right w:val="single" w:sz="8" w:space="0" w:color="auto"/>
            </w:tcBorders>
            <w:shd w:val="clear" w:color="000000" w:fill="D9D9D9"/>
            <w:vAlign w:val="bottom"/>
          </w:tcPr>
          <w:p w:rsidR="00A6008B" w:rsidRPr="00E92571" w:rsidRDefault="00A6008B" w:rsidP="00B251A5">
            <w:pPr>
              <w:spacing w:before="120"/>
              <w:jc w:val="center"/>
              <w:rPr>
                <w:b/>
                <w:bCs/>
                <w:color w:val="000000"/>
                <w:szCs w:val="23"/>
              </w:rPr>
            </w:pPr>
            <w:r w:rsidRPr="00E92571">
              <w:rPr>
                <w:b/>
                <w:bCs/>
                <w:color w:val="000000"/>
                <w:szCs w:val="23"/>
              </w:rPr>
              <w:t>4</w:t>
            </w:r>
          </w:p>
        </w:tc>
        <w:tc>
          <w:tcPr>
            <w:tcW w:w="1526" w:type="dxa"/>
            <w:tcBorders>
              <w:top w:val="single" w:sz="8" w:space="0" w:color="auto"/>
              <w:left w:val="single" w:sz="8" w:space="0" w:color="auto"/>
              <w:right w:val="nil"/>
            </w:tcBorders>
            <w:shd w:val="clear" w:color="000000" w:fill="D9D9D9"/>
            <w:vAlign w:val="bottom"/>
          </w:tcPr>
          <w:p w:rsidR="00A6008B" w:rsidRPr="00E92571" w:rsidRDefault="00A6008B" w:rsidP="00B251A5">
            <w:pPr>
              <w:spacing w:before="120"/>
              <w:jc w:val="center"/>
              <w:rPr>
                <w:b/>
                <w:bCs/>
                <w:color w:val="000000"/>
                <w:szCs w:val="23"/>
              </w:rPr>
            </w:pPr>
            <w:r w:rsidRPr="00E92571">
              <w:rPr>
                <w:b/>
                <w:bCs/>
                <w:color w:val="000000"/>
                <w:szCs w:val="23"/>
              </w:rPr>
              <w:t>8</w:t>
            </w:r>
          </w:p>
        </w:tc>
        <w:tc>
          <w:tcPr>
            <w:tcW w:w="236" w:type="dxa"/>
            <w:tcBorders>
              <w:left w:val="nil"/>
              <w:right w:val="nil"/>
            </w:tcBorders>
            <w:noWrap/>
            <w:vAlign w:val="bottom"/>
          </w:tcPr>
          <w:p w:rsidR="00A6008B" w:rsidRPr="00E92571" w:rsidRDefault="00A6008B" w:rsidP="00B251A5">
            <w:pPr>
              <w:spacing w:before="120"/>
              <w:jc w:val="center"/>
              <w:rPr>
                <w:color w:val="000000"/>
                <w:szCs w:val="23"/>
              </w:rPr>
            </w:pPr>
          </w:p>
        </w:tc>
        <w:tc>
          <w:tcPr>
            <w:tcW w:w="1390" w:type="dxa"/>
            <w:tcBorders>
              <w:top w:val="single" w:sz="8" w:space="0" w:color="auto"/>
              <w:left w:val="nil"/>
              <w:right w:val="nil"/>
            </w:tcBorders>
            <w:shd w:val="clear" w:color="000000" w:fill="D9D9D9"/>
            <w:vAlign w:val="bottom"/>
          </w:tcPr>
          <w:p w:rsidR="00A6008B" w:rsidRPr="00E92571" w:rsidRDefault="00A6008B" w:rsidP="00B251A5">
            <w:pPr>
              <w:spacing w:before="120"/>
              <w:jc w:val="center"/>
              <w:rPr>
                <w:b/>
                <w:bCs/>
                <w:color w:val="000000"/>
                <w:szCs w:val="23"/>
              </w:rPr>
            </w:pPr>
            <w:r w:rsidRPr="00E92571">
              <w:rPr>
                <w:b/>
                <w:bCs/>
                <w:color w:val="000000"/>
                <w:szCs w:val="23"/>
              </w:rPr>
              <w:t>8</w:t>
            </w:r>
          </w:p>
        </w:tc>
      </w:tr>
      <w:tr w:rsidR="00A6008B" w:rsidRPr="00E92571" w:rsidTr="00FF2E55">
        <w:trPr>
          <w:trHeight w:hRule="exact" w:val="284"/>
        </w:trPr>
        <w:tc>
          <w:tcPr>
            <w:tcW w:w="4407" w:type="dxa"/>
            <w:tcBorders>
              <w:bottom w:val="nil"/>
              <w:right w:val="dotted" w:sz="4" w:space="0" w:color="auto"/>
            </w:tcBorders>
            <w:vAlign w:val="bottom"/>
          </w:tcPr>
          <w:p w:rsidR="00A6008B" w:rsidRPr="00E92571" w:rsidRDefault="00A6008B" w:rsidP="008E0315">
            <w:pPr>
              <w:ind w:left="188"/>
              <w:rPr>
                <w:b/>
                <w:bCs/>
                <w:color w:val="000000"/>
                <w:sz w:val="21"/>
                <w:szCs w:val="23"/>
              </w:rPr>
            </w:pPr>
            <w:r w:rsidRPr="00E92571">
              <w:rPr>
                <w:b/>
                <w:bCs/>
                <w:color w:val="000000"/>
                <w:sz w:val="21"/>
                <w:szCs w:val="23"/>
              </w:rPr>
              <w:t>Regional Training CapacityProject</w:t>
            </w:r>
          </w:p>
        </w:tc>
        <w:tc>
          <w:tcPr>
            <w:tcW w:w="1525" w:type="dxa"/>
            <w:tcBorders>
              <w:left w:val="dotted" w:sz="4" w:space="0" w:color="auto"/>
              <w:bottom w:val="nil"/>
              <w:right w:val="dotted" w:sz="4" w:space="0" w:color="auto"/>
            </w:tcBorders>
            <w:vAlign w:val="center"/>
          </w:tcPr>
          <w:p w:rsidR="00A6008B" w:rsidRPr="00E92571" w:rsidRDefault="00A6008B" w:rsidP="00D81F7D">
            <w:pPr>
              <w:jc w:val="center"/>
              <w:rPr>
                <w:color w:val="000000"/>
                <w:sz w:val="21"/>
                <w:szCs w:val="23"/>
              </w:rPr>
            </w:pPr>
            <w:r w:rsidRPr="00E92571">
              <w:rPr>
                <w:color w:val="000000"/>
                <w:sz w:val="21"/>
                <w:szCs w:val="23"/>
              </w:rPr>
              <w:t> </w:t>
            </w:r>
          </w:p>
        </w:tc>
        <w:tc>
          <w:tcPr>
            <w:tcW w:w="1526" w:type="dxa"/>
            <w:tcBorders>
              <w:left w:val="dotted" w:sz="4" w:space="0" w:color="auto"/>
              <w:bottom w:val="nil"/>
            </w:tcBorders>
            <w:vAlign w:val="center"/>
          </w:tcPr>
          <w:p w:rsidR="00A6008B" w:rsidRPr="00E92571" w:rsidRDefault="00A6008B" w:rsidP="00D81F7D">
            <w:pPr>
              <w:jc w:val="center"/>
              <w:rPr>
                <w:color w:val="000000"/>
                <w:sz w:val="21"/>
                <w:szCs w:val="23"/>
              </w:rPr>
            </w:pPr>
            <w:r w:rsidRPr="00E92571">
              <w:rPr>
                <w:color w:val="000000"/>
                <w:sz w:val="21"/>
                <w:szCs w:val="23"/>
              </w:rPr>
              <w:t> </w:t>
            </w:r>
          </w:p>
        </w:tc>
        <w:tc>
          <w:tcPr>
            <w:tcW w:w="236" w:type="dxa"/>
            <w:tcBorders>
              <w:bottom w:val="nil"/>
            </w:tcBorders>
            <w:noWrap/>
            <w:vAlign w:val="center"/>
          </w:tcPr>
          <w:p w:rsidR="00A6008B" w:rsidRPr="00E92571" w:rsidRDefault="00A6008B" w:rsidP="00D81F7D">
            <w:pPr>
              <w:jc w:val="center"/>
              <w:rPr>
                <w:color w:val="000000"/>
                <w:sz w:val="21"/>
                <w:szCs w:val="23"/>
              </w:rPr>
            </w:pPr>
          </w:p>
        </w:tc>
        <w:tc>
          <w:tcPr>
            <w:tcW w:w="1390" w:type="dxa"/>
            <w:tcBorders>
              <w:left w:val="nil"/>
              <w:bottom w:val="nil"/>
            </w:tcBorders>
            <w:vAlign w:val="center"/>
          </w:tcPr>
          <w:p w:rsidR="00A6008B" w:rsidRPr="00E92571" w:rsidRDefault="00A6008B" w:rsidP="00D81F7D">
            <w:pPr>
              <w:jc w:val="center"/>
              <w:rPr>
                <w:color w:val="000000"/>
                <w:sz w:val="21"/>
                <w:szCs w:val="23"/>
              </w:rPr>
            </w:pPr>
          </w:p>
        </w:tc>
      </w:tr>
      <w:tr w:rsidR="00A6008B" w:rsidRPr="00E92571" w:rsidTr="00FF2E55">
        <w:trPr>
          <w:trHeight w:hRule="exact" w:val="255"/>
        </w:trPr>
        <w:tc>
          <w:tcPr>
            <w:tcW w:w="4407" w:type="dxa"/>
            <w:tcBorders>
              <w:top w:val="nil"/>
              <w:bottom w:val="nil"/>
              <w:right w:val="dotted" w:sz="4" w:space="0" w:color="auto"/>
            </w:tcBorders>
            <w:vAlign w:val="center"/>
          </w:tcPr>
          <w:p w:rsidR="00A6008B" w:rsidRPr="00E92571" w:rsidRDefault="00A6008B" w:rsidP="00E31AAC">
            <w:pPr>
              <w:pStyle w:val="ListParagraph"/>
              <w:numPr>
                <w:ilvl w:val="0"/>
                <w:numId w:val="48"/>
              </w:numPr>
              <w:rPr>
                <w:color w:val="000000"/>
                <w:sz w:val="21"/>
                <w:szCs w:val="23"/>
                <w:lang w:eastAsia="en-US"/>
              </w:rPr>
            </w:pPr>
            <w:r w:rsidRPr="00E92571">
              <w:rPr>
                <w:i/>
                <w:iCs/>
                <w:color w:val="000000"/>
                <w:sz w:val="21"/>
                <w:szCs w:val="23"/>
                <w:lang w:eastAsia="en-US"/>
              </w:rPr>
              <w:t xml:space="preserve">Certification ToT Workshop </w:t>
            </w:r>
          </w:p>
        </w:tc>
        <w:tc>
          <w:tcPr>
            <w:tcW w:w="1525" w:type="dxa"/>
            <w:tcBorders>
              <w:top w:val="nil"/>
              <w:left w:val="dotted" w:sz="4" w:space="0" w:color="auto"/>
              <w:bottom w:val="nil"/>
              <w:right w:val="dotted" w:sz="4" w:space="0" w:color="auto"/>
            </w:tcBorders>
            <w:vAlign w:val="center"/>
          </w:tcPr>
          <w:p w:rsidR="00A6008B" w:rsidRPr="00E92571" w:rsidRDefault="00A6008B" w:rsidP="00D81F7D">
            <w:pPr>
              <w:jc w:val="center"/>
              <w:rPr>
                <w:color w:val="000000"/>
                <w:sz w:val="21"/>
                <w:szCs w:val="23"/>
              </w:rPr>
            </w:pPr>
            <w:r w:rsidRPr="00E92571">
              <w:rPr>
                <w:color w:val="000000"/>
                <w:sz w:val="21"/>
                <w:szCs w:val="23"/>
              </w:rPr>
              <w:t>1</w:t>
            </w:r>
          </w:p>
        </w:tc>
        <w:tc>
          <w:tcPr>
            <w:tcW w:w="1526" w:type="dxa"/>
            <w:tcBorders>
              <w:top w:val="nil"/>
              <w:left w:val="dotted" w:sz="4" w:space="0" w:color="auto"/>
              <w:bottom w:val="nil"/>
            </w:tcBorders>
            <w:vAlign w:val="center"/>
          </w:tcPr>
          <w:p w:rsidR="00A6008B" w:rsidRPr="00E92571" w:rsidRDefault="00A6008B" w:rsidP="00D81F7D">
            <w:pPr>
              <w:jc w:val="center"/>
              <w:rPr>
                <w:color w:val="000000"/>
                <w:sz w:val="21"/>
                <w:szCs w:val="23"/>
              </w:rPr>
            </w:pPr>
            <w:r w:rsidRPr="00E92571">
              <w:rPr>
                <w:color w:val="000000"/>
                <w:sz w:val="21"/>
                <w:szCs w:val="23"/>
              </w:rPr>
              <w:t>2</w:t>
            </w:r>
          </w:p>
        </w:tc>
        <w:tc>
          <w:tcPr>
            <w:tcW w:w="236" w:type="dxa"/>
            <w:tcBorders>
              <w:top w:val="nil"/>
              <w:bottom w:val="nil"/>
            </w:tcBorders>
            <w:noWrap/>
            <w:vAlign w:val="center"/>
          </w:tcPr>
          <w:p w:rsidR="00A6008B" w:rsidRPr="00E92571" w:rsidRDefault="00A6008B" w:rsidP="00D81F7D">
            <w:pPr>
              <w:jc w:val="center"/>
              <w:rPr>
                <w:color w:val="000000"/>
                <w:sz w:val="21"/>
                <w:szCs w:val="23"/>
              </w:rPr>
            </w:pPr>
          </w:p>
        </w:tc>
        <w:tc>
          <w:tcPr>
            <w:tcW w:w="1390" w:type="dxa"/>
            <w:tcBorders>
              <w:top w:val="nil"/>
              <w:left w:val="nil"/>
              <w:bottom w:val="nil"/>
            </w:tcBorders>
            <w:vAlign w:val="center"/>
          </w:tcPr>
          <w:p w:rsidR="00A6008B" w:rsidRPr="00E92571" w:rsidRDefault="00A6008B" w:rsidP="00D81F7D">
            <w:pPr>
              <w:jc w:val="center"/>
              <w:rPr>
                <w:color w:val="000000"/>
                <w:sz w:val="21"/>
                <w:szCs w:val="23"/>
              </w:rPr>
            </w:pPr>
            <w:r w:rsidRPr="00E92571">
              <w:rPr>
                <w:color w:val="000000"/>
                <w:sz w:val="21"/>
                <w:szCs w:val="23"/>
              </w:rPr>
              <w:t>1</w:t>
            </w:r>
          </w:p>
        </w:tc>
      </w:tr>
      <w:tr w:rsidR="00A6008B" w:rsidRPr="00E92571" w:rsidTr="00FF2E55">
        <w:trPr>
          <w:trHeight w:hRule="exact" w:val="255"/>
        </w:trPr>
        <w:tc>
          <w:tcPr>
            <w:tcW w:w="4407" w:type="dxa"/>
            <w:tcBorders>
              <w:top w:val="nil"/>
              <w:right w:val="dotted" w:sz="4" w:space="0" w:color="auto"/>
            </w:tcBorders>
            <w:vAlign w:val="center"/>
          </w:tcPr>
          <w:p w:rsidR="00A6008B" w:rsidRPr="00E92571" w:rsidRDefault="00A6008B" w:rsidP="00E31AAC">
            <w:pPr>
              <w:pStyle w:val="ListParagraph"/>
              <w:numPr>
                <w:ilvl w:val="0"/>
                <w:numId w:val="48"/>
              </w:numPr>
              <w:rPr>
                <w:color w:val="000000"/>
                <w:sz w:val="21"/>
                <w:szCs w:val="23"/>
                <w:lang w:eastAsia="en-US"/>
              </w:rPr>
            </w:pPr>
            <w:r w:rsidRPr="00E92571">
              <w:rPr>
                <w:i/>
                <w:iCs/>
                <w:color w:val="000000"/>
                <w:sz w:val="21"/>
                <w:szCs w:val="23"/>
                <w:lang w:eastAsia="en-US"/>
              </w:rPr>
              <w:t>Advanced RTT CD/PM Workshop</w:t>
            </w:r>
          </w:p>
        </w:tc>
        <w:tc>
          <w:tcPr>
            <w:tcW w:w="1525" w:type="dxa"/>
            <w:tcBorders>
              <w:top w:val="nil"/>
              <w:left w:val="dotted" w:sz="4" w:space="0" w:color="auto"/>
              <w:right w:val="dotted" w:sz="4" w:space="0" w:color="auto"/>
            </w:tcBorders>
            <w:vAlign w:val="center"/>
          </w:tcPr>
          <w:p w:rsidR="00A6008B" w:rsidRPr="00E92571" w:rsidRDefault="00A6008B" w:rsidP="00D81F7D">
            <w:pPr>
              <w:jc w:val="center"/>
              <w:rPr>
                <w:color w:val="000000"/>
                <w:sz w:val="21"/>
                <w:szCs w:val="23"/>
              </w:rPr>
            </w:pPr>
            <w:r w:rsidRPr="00E92571">
              <w:rPr>
                <w:color w:val="000000"/>
                <w:sz w:val="21"/>
                <w:szCs w:val="23"/>
              </w:rPr>
              <w:t>1</w:t>
            </w:r>
          </w:p>
        </w:tc>
        <w:tc>
          <w:tcPr>
            <w:tcW w:w="1526" w:type="dxa"/>
            <w:tcBorders>
              <w:top w:val="nil"/>
              <w:left w:val="dotted" w:sz="4" w:space="0" w:color="auto"/>
            </w:tcBorders>
            <w:vAlign w:val="center"/>
          </w:tcPr>
          <w:p w:rsidR="00A6008B" w:rsidRPr="00E92571" w:rsidRDefault="00A6008B" w:rsidP="00D81F7D">
            <w:pPr>
              <w:jc w:val="center"/>
              <w:rPr>
                <w:color w:val="000000"/>
                <w:sz w:val="21"/>
                <w:szCs w:val="23"/>
              </w:rPr>
            </w:pPr>
            <w:r w:rsidRPr="00E92571">
              <w:rPr>
                <w:color w:val="000000"/>
                <w:sz w:val="21"/>
                <w:szCs w:val="23"/>
              </w:rPr>
              <w:t>2</w:t>
            </w:r>
          </w:p>
        </w:tc>
        <w:tc>
          <w:tcPr>
            <w:tcW w:w="236" w:type="dxa"/>
            <w:tcBorders>
              <w:top w:val="nil"/>
              <w:bottom w:val="nil"/>
            </w:tcBorders>
            <w:noWrap/>
            <w:vAlign w:val="center"/>
          </w:tcPr>
          <w:p w:rsidR="00A6008B" w:rsidRPr="00E92571" w:rsidRDefault="00A6008B" w:rsidP="00D81F7D">
            <w:pPr>
              <w:jc w:val="center"/>
              <w:rPr>
                <w:color w:val="000000"/>
                <w:sz w:val="21"/>
                <w:szCs w:val="23"/>
              </w:rPr>
            </w:pPr>
          </w:p>
        </w:tc>
        <w:tc>
          <w:tcPr>
            <w:tcW w:w="1390" w:type="dxa"/>
            <w:tcBorders>
              <w:top w:val="nil"/>
              <w:left w:val="nil"/>
            </w:tcBorders>
            <w:vAlign w:val="center"/>
          </w:tcPr>
          <w:p w:rsidR="00A6008B" w:rsidRPr="00E92571" w:rsidRDefault="00A6008B" w:rsidP="00D81F7D">
            <w:pPr>
              <w:jc w:val="center"/>
              <w:rPr>
                <w:color w:val="000000"/>
                <w:sz w:val="21"/>
                <w:szCs w:val="23"/>
              </w:rPr>
            </w:pPr>
            <w:r w:rsidRPr="00E92571">
              <w:rPr>
                <w:color w:val="000000"/>
                <w:sz w:val="21"/>
                <w:szCs w:val="23"/>
              </w:rPr>
              <w:t>1</w:t>
            </w:r>
          </w:p>
        </w:tc>
      </w:tr>
      <w:tr w:rsidR="00A6008B" w:rsidRPr="00E92571" w:rsidTr="00FF2E55">
        <w:trPr>
          <w:trHeight w:hRule="exact" w:val="255"/>
        </w:trPr>
        <w:tc>
          <w:tcPr>
            <w:tcW w:w="4407" w:type="dxa"/>
            <w:tcBorders>
              <w:top w:val="nil"/>
              <w:bottom w:val="dotted" w:sz="4" w:space="0" w:color="auto"/>
              <w:right w:val="dotted" w:sz="4" w:space="0" w:color="auto"/>
            </w:tcBorders>
            <w:vAlign w:val="center"/>
          </w:tcPr>
          <w:p w:rsidR="00A6008B" w:rsidRPr="00E92571" w:rsidRDefault="00A6008B" w:rsidP="00E31AAC">
            <w:pPr>
              <w:pStyle w:val="ListParagraph"/>
              <w:numPr>
                <w:ilvl w:val="0"/>
                <w:numId w:val="48"/>
              </w:numPr>
              <w:rPr>
                <w:color w:val="000000"/>
                <w:sz w:val="21"/>
                <w:szCs w:val="23"/>
                <w:lang w:eastAsia="en-US"/>
              </w:rPr>
            </w:pPr>
            <w:r w:rsidRPr="00E92571">
              <w:rPr>
                <w:i/>
                <w:iCs/>
                <w:color w:val="000000"/>
                <w:sz w:val="21"/>
                <w:szCs w:val="23"/>
                <w:lang w:eastAsia="en-US"/>
              </w:rPr>
              <w:t xml:space="preserve">RTT Mentoring Network  </w:t>
            </w:r>
          </w:p>
        </w:tc>
        <w:tc>
          <w:tcPr>
            <w:tcW w:w="1525" w:type="dxa"/>
            <w:tcBorders>
              <w:top w:val="nil"/>
              <w:left w:val="dotted" w:sz="4" w:space="0" w:color="auto"/>
              <w:bottom w:val="dotted" w:sz="4" w:space="0" w:color="auto"/>
              <w:right w:val="dotted" w:sz="4" w:space="0" w:color="auto"/>
            </w:tcBorders>
            <w:vAlign w:val="center"/>
          </w:tcPr>
          <w:p w:rsidR="00A6008B" w:rsidRPr="00E92571" w:rsidRDefault="00A6008B" w:rsidP="00D81F7D">
            <w:pPr>
              <w:jc w:val="center"/>
              <w:rPr>
                <w:color w:val="000000"/>
                <w:sz w:val="21"/>
                <w:szCs w:val="23"/>
              </w:rPr>
            </w:pPr>
            <w:r w:rsidRPr="00E92571">
              <w:rPr>
                <w:color w:val="000000"/>
                <w:sz w:val="21"/>
                <w:szCs w:val="23"/>
              </w:rPr>
              <w:t>0</w:t>
            </w:r>
          </w:p>
        </w:tc>
        <w:tc>
          <w:tcPr>
            <w:tcW w:w="1526" w:type="dxa"/>
            <w:tcBorders>
              <w:top w:val="nil"/>
              <w:left w:val="dotted" w:sz="4" w:space="0" w:color="auto"/>
              <w:bottom w:val="dotted" w:sz="4" w:space="0" w:color="auto"/>
            </w:tcBorders>
            <w:vAlign w:val="center"/>
          </w:tcPr>
          <w:p w:rsidR="00A6008B" w:rsidRPr="00E92571" w:rsidRDefault="00A6008B" w:rsidP="00D81F7D">
            <w:pPr>
              <w:jc w:val="center"/>
              <w:rPr>
                <w:color w:val="000000"/>
                <w:sz w:val="21"/>
                <w:szCs w:val="23"/>
              </w:rPr>
            </w:pPr>
            <w:r w:rsidRPr="00E92571">
              <w:rPr>
                <w:color w:val="000000"/>
                <w:sz w:val="21"/>
                <w:szCs w:val="23"/>
              </w:rPr>
              <w:t>0</w:t>
            </w:r>
          </w:p>
        </w:tc>
        <w:tc>
          <w:tcPr>
            <w:tcW w:w="236" w:type="dxa"/>
            <w:tcBorders>
              <w:top w:val="nil"/>
            </w:tcBorders>
            <w:noWrap/>
            <w:vAlign w:val="center"/>
          </w:tcPr>
          <w:p w:rsidR="00A6008B" w:rsidRPr="00E92571" w:rsidRDefault="00A6008B" w:rsidP="00D81F7D">
            <w:pPr>
              <w:jc w:val="center"/>
              <w:rPr>
                <w:color w:val="000000"/>
                <w:sz w:val="21"/>
                <w:szCs w:val="23"/>
              </w:rPr>
            </w:pPr>
          </w:p>
        </w:tc>
        <w:tc>
          <w:tcPr>
            <w:tcW w:w="1390" w:type="dxa"/>
            <w:tcBorders>
              <w:top w:val="nil"/>
              <w:left w:val="nil"/>
              <w:bottom w:val="dotted" w:sz="4" w:space="0" w:color="auto"/>
            </w:tcBorders>
            <w:vAlign w:val="center"/>
          </w:tcPr>
          <w:p w:rsidR="00A6008B" w:rsidRPr="00E92571" w:rsidRDefault="00A6008B" w:rsidP="00D81F7D">
            <w:pPr>
              <w:jc w:val="center"/>
              <w:rPr>
                <w:color w:val="000000"/>
                <w:sz w:val="21"/>
                <w:szCs w:val="23"/>
              </w:rPr>
            </w:pPr>
            <w:r w:rsidRPr="00E92571">
              <w:rPr>
                <w:color w:val="000000"/>
                <w:sz w:val="21"/>
                <w:szCs w:val="23"/>
              </w:rPr>
              <w:t>1</w:t>
            </w:r>
          </w:p>
        </w:tc>
      </w:tr>
      <w:tr w:rsidR="00A6008B" w:rsidRPr="00E92571" w:rsidTr="00FF2E55">
        <w:trPr>
          <w:trHeight w:hRule="exact" w:val="284"/>
        </w:trPr>
        <w:tc>
          <w:tcPr>
            <w:tcW w:w="4407" w:type="dxa"/>
            <w:tcBorders>
              <w:top w:val="dotted" w:sz="4" w:space="0" w:color="auto"/>
              <w:right w:val="dotted" w:sz="4" w:space="0" w:color="auto"/>
            </w:tcBorders>
            <w:vAlign w:val="bottom"/>
          </w:tcPr>
          <w:p w:rsidR="00A6008B" w:rsidRPr="00E92571" w:rsidRDefault="00A6008B" w:rsidP="008E0315">
            <w:pPr>
              <w:ind w:left="188"/>
              <w:rPr>
                <w:b/>
                <w:bCs/>
                <w:color w:val="000000"/>
                <w:sz w:val="21"/>
                <w:szCs w:val="23"/>
              </w:rPr>
            </w:pPr>
            <w:r w:rsidRPr="00E92571">
              <w:rPr>
                <w:b/>
                <w:bCs/>
                <w:color w:val="000000"/>
                <w:sz w:val="21"/>
                <w:szCs w:val="23"/>
              </w:rPr>
              <w:t>Core Judicial DevelopmentProject</w:t>
            </w:r>
            <w:r w:rsidRPr="00E92571">
              <w:rPr>
                <w:color w:val="000000"/>
                <w:sz w:val="21"/>
                <w:szCs w:val="23"/>
              </w:rPr>
              <w:t xml:space="preserve">: </w:t>
            </w:r>
          </w:p>
        </w:tc>
        <w:tc>
          <w:tcPr>
            <w:tcW w:w="1525" w:type="dxa"/>
            <w:tcBorders>
              <w:top w:val="dotted" w:sz="4" w:space="0" w:color="auto"/>
              <w:left w:val="dotted" w:sz="4" w:space="0" w:color="auto"/>
              <w:right w:val="dotted" w:sz="4" w:space="0" w:color="auto"/>
            </w:tcBorders>
            <w:vAlign w:val="center"/>
          </w:tcPr>
          <w:p w:rsidR="00A6008B" w:rsidRPr="00E92571" w:rsidRDefault="00A6008B" w:rsidP="00D81F7D">
            <w:pPr>
              <w:jc w:val="center"/>
              <w:rPr>
                <w:color w:val="000000"/>
                <w:sz w:val="21"/>
                <w:szCs w:val="23"/>
              </w:rPr>
            </w:pPr>
            <w:r w:rsidRPr="00E92571">
              <w:rPr>
                <w:color w:val="000000"/>
                <w:sz w:val="21"/>
                <w:szCs w:val="23"/>
              </w:rPr>
              <w:t> </w:t>
            </w:r>
          </w:p>
        </w:tc>
        <w:tc>
          <w:tcPr>
            <w:tcW w:w="1526" w:type="dxa"/>
            <w:tcBorders>
              <w:top w:val="dotted" w:sz="4" w:space="0" w:color="auto"/>
              <w:left w:val="dotted" w:sz="4" w:space="0" w:color="auto"/>
            </w:tcBorders>
            <w:vAlign w:val="center"/>
          </w:tcPr>
          <w:p w:rsidR="00A6008B" w:rsidRPr="00E92571" w:rsidRDefault="00A6008B" w:rsidP="00D81F7D">
            <w:pPr>
              <w:jc w:val="center"/>
              <w:rPr>
                <w:color w:val="000000"/>
                <w:sz w:val="21"/>
                <w:szCs w:val="23"/>
              </w:rPr>
            </w:pPr>
            <w:r w:rsidRPr="00E92571">
              <w:rPr>
                <w:color w:val="000000"/>
                <w:sz w:val="21"/>
                <w:szCs w:val="23"/>
              </w:rPr>
              <w:t> </w:t>
            </w:r>
          </w:p>
        </w:tc>
        <w:tc>
          <w:tcPr>
            <w:tcW w:w="236" w:type="dxa"/>
            <w:tcBorders>
              <w:bottom w:val="nil"/>
            </w:tcBorders>
            <w:noWrap/>
            <w:vAlign w:val="center"/>
          </w:tcPr>
          <w:p w:rsidR="00A6008B" w:rsidRPr="00E92571" w:rsidRDefault="00A6008B" w:rsidP="00D81F7D">
            <w:pPr>
              <w:jc w:val="center"/>
              <w:rPr>
                <w:color w:val="000000"/>
                <w:sz w:val="21"/>
                <w:szCs w:val="23"/>
              </w:rPr>
            </w:pPr>
          </w:p>
        </w:tc>
        <w:tc>
          <w:tcPr>
            <w:tcW w:w="1390" w:type="dxa"/>
            <w:tcBorders>
              <w:top w:val="dotted" w:sz="4" w:space="0" w:color="auto"/>
              <w:left w:val="nil"/>
            </w:tcBorders>
            <w:vAlign w:val="center"/>
          </w:tcPr>
          <w:p w:rsidR="00A6008B" w:rsidRPr="00E92571" w:rsidRDefault="00A6008B" w:rsidP="00D81F7D">
            <w:pPr>
              <w:jc w:val="center"/>
              <w:rPr>
                <w:color w:val="000000"/>
                <w:sz w:val="21"/>
                <w:szCs w:val="23"/>
              </w:rPr>
            </w:pPr>
            <w:r w:rsidRPr="00E92571">
              <w:rPr>
                <w:color w:val="000000"/>
                <w:sz w:val="21"/>
                <w:szCs w:val="23"/>
              </w:rPr>
              <w:t> </w:t>
            </w:r>
          </w:p>
        </w:tc>
      </w:tr>
      <w:tr w:rsidR="00A6008B" w:rsidRPr="00E92571" w:rsidTr="00FF2E55">
        <w:trPr>
          <w:trHeight w:hRule="exact" w:val="255"/>
        </w:trPr>
        <w:tc>
          <w:tcPr>
            <w:tcW w:w="4407" w:type="dxa"/>
            <w:tcBorders>
              <w:bottom w:val="nil"/>
              <w:right w:val="dotted" w:sz="4" w:space="0" w:color="auto"/>
            </w:tcBorders>
            <w:vAlign w:val="center"/>
          </w:tcPr>
          <w:p w:rsidR="00A6008B" w:rsidRPr="00E92571" w:rsidRDefault="00A6008B" w:rsidP="00E31AAC">
            <w:pPr>
              <w:pStyle w:val="ListParagraph"/>
              <w:numPr>
                <w:ilvl w:val="0"/>
                <w:numId w:val="48"/>
              </w:numPr>
              <w:rPr>
                <w:color w:val="000000"/>
                <w:sz w:val="21"/>
                <w:szCs w:val="23"/>
                <w:lang w:eastAsia="en-US"/>
              </w:rPr>
            </w:pPr>
            <w:r w:rsidRPr="00E92571">
              <w:rPr>
                <w:i/>
                <w:iCs/>
                <w:color w:val="000000"/>
                <w:sz w:val="21"/>
                <w:szCs w:val="23"/>
                <w:lang w:eastAsia="en-US"/>
              </w:rPr>
              <w:t>Regional Orientation Workshop</w:t>
            </w:r>
          </w:p>
        </w:tc>
        <w:tc>
          <w:tcPr>
            <w:tcW w:w="1525" w:type="dxa"/>
            <w:tcBorders>
              <w:left w:val="dotted" w:sz="4" w:space="0" w:color="auto"/>
              <w:bottom w:val="nil"/>
              <w:right w:val="dotted" w:sz="4" w:space="0" w:color="auto"/>
            </w:tcBorders>
            <w:vAlign w:val="center"/>
          </w:tcPr>
          <w:p w:rsidR="00A6008B" w:rsidRPr="00E92571" w:rsidRDefault="00A6008B" w:rsidP="00D81F7D">
            <w:pPr>
              <w:jc w:val="center"/>
              <w:rPr>
                <w:color w:val="000000"/>
                <w:sz w:val="21"/>
                <w:szCs w:val="23"/>
              </w:rPr>
            </w:pPr>
            <w:r w:rsidRPr="00E92571">
              <w:rPr>
                <w:color w:val="000000"/>
                <w:sz w:val="21"/>
                <w:szCs w:val="23"/>
              </w:rPr>
              <w:t>1</w:t>
            </w:r>
          </w:p>
        </w:tc>
        <w:tc>
          <w:tcPr>
            <w:tcW w:w="1526" w:type="dxa"/>
            <w:tcBorders>
              <w:left w:val="dotted" w:sz="4" w:space="0" w:color="auto"/>
              <w:bottom w:val="nil"/>
            </w:tcBorders>
            <w:vAlign w:val="center"/>
          </w:tcPr>
          <w:p w:rsidR="00A6008B" w:rsidRPr="00E92571" w:rsidRDefault="00A6008B" w:rsidP="00D81F7D">
            <w:pPr>
              <w:jc w:val="center"/>
              <w:rPr>
                <w:color w:val="000000"/>
                <w:sz w:val="21"/>
                <w:szCs w:val="23"/>
              </w:rPr>
            </w:pPr>
            <w:r w:rsidRPr="00E92571">
              <w:rPr>
                <w:color w:val="000000"/>
                <w:sz w:val="21"/>
                <w:szCs w:val="23"/>
              </w:rPr>
              <w:t>2</w:t>
            </w:r>
          </w:p>
        </w:tc>
        <w:tc>
          <w:tcPr>
            <w:tcW w:w="236" w:type="dxa"/>
            <w:tcBorders>
              <w:top w:val="nil"/>
              <w:bottom w:val="nil"/>
            </w:tcBorders>
            <w:noWrap/>
            <w:vAlign w:val="center"/>
          </w:tcPr>
          <w:p w:rsidR="00A6008B" w:rsidRPr="00E92571" w:rsidRDefault="00A6008B" w:rsidP="00D81F7D">
            <w:pPr>
              <w:jc w:val="center"/>
              <w:rPr>
                <w:color w:val="000000"/>
                <w:sz w:val="21"/>
                <w:szCs w:val="23"/>
              </w:rPr>
            </w:pPr>
          </w:p>
        </w:tc>
        <w:tc>
          <w:tcPr>
            <w:tcW w:w="1390" w:type="dxa"/>
            <w:tcBorders>
              <w:left w:val="nil"/>
              <w:bottom w:val="nil"/>
            </w:tcBorders>
            <w:vAlign w:val="center"/>
          </w:tcPr>
          <w:p w:rsidR="00A6008B" w:rsidRPr="00E92571" w:rsidRDefault="00A6008B" w:rsidP="00D81F7D">
            <w:pPr>
              <w:jc w:val="center"/>
              <w:rPr>
                <w:color w:val="000000"/>
                <w:sz w:val="21"/>
                <w:szCs w:val="23"/>
              </w:rPr>
            </w:pPr>
            <w:r w:rsidRPr="00E92571">
              <w:rPr>
                <w:color w:val="000000"/>
                <w:sz w:val="21"/>
                <w:szCs w:val="23"/>
              </w:rPr>
              <w:t>1</w:t>
            </w:r>
          </w:p>
        </w:tc>
      </w:tr>
      <w:tr w:rsidR="00A6008B" w:rsidRPr="00E92571" w:rsidTr="00FF2E55">
        <w:trPr>
          <w:trHeight w:hRule="exact" w:val="255"/>
        </w:trPr>
        <w:tc>
          <w:tcPr>
            <w:tcW w:w="4407" w:type="dxa"/>
            <w:tcBorders>
              <w:top w:val="nil"/>
              <w:bottom w:val="nil"/>
              <w:right w:val="dotted" w:sz="4" w:space="0" w:color="auto"/>
            </w:tcBorders>
            <w:vAlign w:val="center"/>
          </w:tcPr>
          <w:p w:rsidR="00A6008B" w:rsidRPr="00E92571" w:rsidRDefault="00A6008B" w:rsidP="00E31AAC">
            <w:pPr>
              <w:pStyle w:val="ListParagraph"/>
              <w:numPr>
                <w:ilvl w:val="0"/>
                <w:numId w:val="48"/>
              </w:numPr>
              <w:rPr>
                <w:color w:val="000000"/>
                <w:sz w:val="21"/>
                <w:szCs w:val="23"/>
                <w:lang w:eastAsia="en-US"/>
              </w:rPr>
            </w:pPr>
            <w:r w:rsidRPr="00E92571">
              <w:rPr>
                <w:i/>
                <w:iCs/>
                <w:color w:val="000000"/>
                <w:sz w:val="21"/>
                <w:szCs w:val="23"/>
                <w:lang w:eastAsia="en-US"/>
              </w:rPr>
              <w:t xml:space="preserve">Local Orientation Training Pilot and Toolkit </w:t>
            </w:r>
          </w:p>
        </w:tc>
        <w:tc>
          <w:tcPr>
            <w:tcW w:w="1525" w:type="dxa"/>
            <w:tcBorders>
              <w:top w:val="nil"/>
              <w:left w:val="dotted" w:sz="4" w:space="0" w:color="auto"/>
              <w:bottom w:val="nil"/>
              <w:right w:val="dotted" w:sz="4" w:space="0" w:color="auto"/>
            </w:tcBorders>
            <w:vAlign w:val="center"/>
          </w:tcPr>
          <w:p w:rsidR="00A6008B" w:rsidRPr="00E92571" w:rsidRDefault="00A6008B" w:rsidP="00D81F7D">
            <w:pPr>
              <w:jc w:val="center"/>
              <w:rPr>
                <w:color w:val="000000"/>
                <w:sz w:val="21"/>
                <w:szCs w:val="23"/>
              </w:rPr>
            </w:pPr>
            <w:r w:rsidRPr="00E92571">
              <w:rPr>
                <w:color w:val="000000"/>
                <w:sz w:val="21"/>
                <w:szCs w:val="23"/>
              </w:rPr>
              <w:t>0</w:t>
            </w:r>
          </w:p>
        </w:tc>
        <w:tc>
          <w:tcPr>
            <w:tcW w:w="1526" w:type="dxa"/>
            <w:tcBorders>
              <w:top w:val="nil"/>
              <w:left w:val="dotted" w:sz="4" w:space="0" w:color="auto"/>
              <w:bottom w:val="nil"/>
            </w:tcBorders>
            <w:vAlign w:val="center"/>
          </w:tcPr>
          <w:p w:rsidR="00A6008B" w:rsidRPr="00E92571" w:rsidRDefault="00A6008B" w:rsidP="00D81F7D">
            <w:pPr>
              <w:jc w:val="center"/>
              <w:rPr>
                <w:color w:val="000000"/>
                <w:sz w:val="21"/>
                <w:szCs w:val="23"/>
              </w:rPr>
            </w:pPr>
            <w:r w:rsidRPr="00E92571">
              <w:rPr>
                <w:color w:val="000000"/>
                <w:sz w:val="21"/>
                <w:szCs w:val="23"/>
              </w:rPr>
              <w:t>0</w:t>
            </w:r>
          </w:p>
        </w:tc>
        <w:tc>
          <w:tcPr>
            <w:tcW w:w="236" w:type="dxa"/>
            <w:tcBorders>
              <w:top w:val="nil"/>
              <w:bottom w:val="nil"/>
            </w:tcBorders>
            <w:noWrap/>
            <w:vAlign w:val="center"/>
          </w:tcPr>
          <w:p w:rsidR="00A6008B" w:rsidRPr="00E92571" w:rsidRDefault="00A6008B" w:rsidP="00D81F7D">
            <w:pPr>
              <w:jc w:val="center"/>
              <w:rPr>
                <w:color w:val="000000"/>
                <w:sz w:val="21"/>
                <w:szCs w:val="23"/>
              </w:rPr>
            </w:pPr>
          </w:p>
        </w:tc>
        <w:tc>
          <w:tcPr>
            <w:tcW w:w="1390" w:type="dxa"/>
            <w:tcBorders>
              <w:top w:val="nil"/>
              <w:left w:val="nil"/>
              <w:bottom w:val="nil"/>
            </w:tcBorders>
            <w:vAlign w:val="center"/>
          </w:tcPr>
          <w:p w:rsidR="00A6008B" w:rsidRPr="00E92571" w:rsidRDefault="00A6008B" w:rsidP="00D81F7D">
            <w:pPr>
              <w:jc w:val="center"/>
              <w:rPr>
                <w:color w:val="000000"/>
                <w:sz w:val="21"/>
                <w:szCs w:val="23"/>
              </w:rPr>
            </w:pPr>
            <w:r w:rsidRPr="00E92571">
              <w:rPr>
                <w:color w:val="000000"/>
                <w:sz w:val="21"/>
                <w:szCs w:val="23"/>
              </w:rPr>
              <w:t>1</w:t>
            </w:r>
          </w:p>
        </w:tc>
      </w:tr>
      <w:tr w:rsidR="00A6008B" w:rsidRPr="00E92571" w:rsidTr="00FF2E55">
        <w:trPr>
          <w:trHeight w:hRule="exact" w:val="255"/>
        </w:trPr>
        <w:tc>
          <w:tcPr>
            <w:tcW w:w="4407" w:type="dxa"/>
            <w:tcBorders>
              <w:top w:val="nil"/>
              <w:bottom w:val="nil"/>
              <w:right w:val="dotted" w:sz="4" w:space="0" w:color="auto"/>
            </w:tcBorders>
            <w:vAlign w:val="center"/>
          </w:tcPr>
          <w:p w:rsidR="00A6008B" w:rsidRPr="00E92571" w:rsidRDefault="00A6008B" w:rsidP="00E31AAC">
            <w:pPr>
              <w:pStyle w:val="ListParagraph"/>
              <w:numPr>
                <w:ilvl w:val="0"/>
                <w:numId w:val="48"/>
              </w:numPr>
              <w:rPr>
                <w:color w:val="000000"/>
                <w:sz w:val="21"/>
                <w:szCs w:val="23"/>
                <w:lang w:eastAsia="en-US"/>
              </w:rPr>
            </w:pPr>
            <w:r w:rsidRPr="00E92571">
              <w:rPr>
                <w:i/>
                <w:iCs/>
                <w:color w:val="000000"/>
                <w:sz w:val="21"/>
                <w:szCs w:val="23"/>
                <w:lang w:eastAsia="en-US"/>
              </w:rPr>
              <w:t xml:space="preserve">Regional Decision Making Workshops </w:t>
            </w:r>
          </w:p>
        </w:tc>
        <w:tc>
          <w:tcPr>
            <w:tcW w:w="1525" w:type="dxa"/>
            <w:tcBorders>
              <w:top w:val="nil"/>
              <w:left w:val="dotted" w:sz="4" w:space="0" w:color="auto"/>
              <w:bottom w:val="nil"/>
              <w:right w:val="dotted" w:sz="4" w:space="0" w:color="auto"/>
            </w:tcBorders>
            <w:vAlign w:val="center"/>
          </w:tcPr>
          <w:p w:rsidR="00A6008B" w:rsidRPr="00E92571" w:rsidRDefault="00A6008B" w:rsidP="00D81F7D">
            <w:pPr>
              <w:jc w:val="center"/>
              <w:rPr>
                <w:color w:val="000000"/>
                <w:sz w:val="21"/>
                <w:szCs w:val="23"/>
              </w:rPr>
            </w:pPr>
            <w:r w:rsidRPr="00E92571">
              <w:rPr>
                <w:color w:val="000000"/>
                <w:sz w:val="21"/>
                <w:szCs w:val="23"/>
              </w:rPr>
              <w:t>1</w:t>
            </w:r>
          </w:p>
        </w:tc>
        <w:tc>
          <w:tcPr>
            <w:tcW w:w="1526" w:type="dxa"/>
            <w:tcBorders>
              <w:top w:val="nil"/>
              <w:left w:val="dotted" w:sz="4" w:space="0" w:color="auto"/>
              <w:bottom w:val="nil"/>
            </w:tcBorders>
            <w:vAlign w:val="center"/>
          </w:tcPr>
          <w:p w:rsidR="00A6008B" w:rsidRPr="00E92571" w:rsidRDefault="00A6008B" w:rsidP="00D81F7D">
            <w:pPr>
              <w:jc w:val="center"/>
              <w:rPr>
                <w:color w:val="000000"/>
                <w:sz w:val="21"/>
                <w:szCs w:val="23"/>
              </w:rPr>
            </w:pPr>
            <w:r w:rsidRPr="00E92571">
              <w:rPr>
                <w:color w:val="000000"/>
                <w:sz w:val="21"/>
                <w:szCs w:val="23"/>
              </w:rPr>
              <w:t>2</w:t>
            </w:r>
          </w:p>
        </w:tc>
        <w:tc>
          <w:tcPr>
            <w:tcW w:w="236" w:type="dxa"/>
            <w:tcBorders>
              <w:top w:val="nil"/>
              <w:bottom w:val="nil"/>
            </w:tcBorders>
            <w:noWrap/>
            <w:vAlign w:val="center"/>
          </w:tcPr>
          <w:p w:rsidR="00A6008B" w:rsidRPr="00E92571" w:rsidRDefault="00A6008B" w:rsidP="00D81F7D">
            <w:pPr>
              <w:jc w:val="center"/>
              <w:rPr>
                <w:color w:val="000000"/>
                <w:sz w:val="21"/>
                <w:szCs w:val="23"/>
              </w:rPr>
            </w:pPr>
          </w:p>
        </w:tc>
        <w:tc>
          <w:tcPr>
            <w:tcW w:w="1390" w:type="dxa"/>
            <w:tcBorders>
              <w:top w:val="nil"/>
              <w:left w:val="nil"/>
              <w:bottom w:val="nil"/>
            </w:tcBorders>
            <w:vAlign w:val="center"/>
          </w:tcPr>
          <w:p w:rsidR="00A6008B" w:rsidRPr="00E92571" w:rsidRDefault="00A6008B" w:rsidP="00D81F7D">
            <w:pPr>
              <w:jc w:val="center"/>
              <w:rPr>
                <w:color w:val="000000"/>
                <w:sz w:val="21"/>
                <w:szCs w:val="23"/>
              </w:rPr>
            </w:pPr>
            <w:r w:rsidRPr="00E92571">
              <w:rPr>
                <w:color w:val="000000"/>
                <w:sz w:val="21"/>
                <w:szCs w:val="23"/>
              </w:rPr>
              <w:t>2</w:t>
            </w:r>
          </w:p>
        </w:tc>
      </w:tr>
      <w:tr w:rsidR="00A6008B" w:rsidRPr="00E92571" w:rsidTr="00FF2E55">
        <w:trPr>
          <w:trHeight w:hRule="exact" w:val="255"/>
        </w:trPr>
        <w:tc>
          <w:tcPr>
            <w:tcW w:w="4407" w:type="dxa"/>
            <w:tcBorders>
              <w:top w:val="nil"/>
              <w:bottom w:val="single" w:sz="8" w:space="0" w:color="auto"/>
              <w:right w:val="dotted" w:sz="4" w:space="0" w:color="auto"/>
            </w:tcBorders>
            <w:vAlign w:val="center"/>
          </w:tcPr>
          <w:p w:rsidR="00A6008B" w:rsidRPr="00E92571" w:rsidRDefault="00A6008B" w:rsidP="00E31AAC">
            <w:pPr>
              <w:pStyle w:val="ListParagraph"/>
              <w:numPr>
                <w:ilvl w:val="0"/>
                <w:numId w:val="48"/>
              </w:numPr>
              <w:rPr>
                <w:color w:val="000000"/>
                <w:sz w:val="21"/>
                <w:szCs w:val="23"/>
                <w:lang w:eastAsia="en-US"/>
              </w:rPr>
            </w:pPr>
            <w:r w:rsidRPr="00E92571">
              <w:rPr>
                <w:i/>
                <w:iCs/>
                <w:color w:val="000000"/>
                <w:sz w:val="21"/>
                <w:szCs w:val="23"/>
                <w:lang w:eastAsia="en-US"/>
              </w:rPr>
              <w:t xml:space="preserve">Local Decision Making Pilot and Toolkit </w:t>
            </w:r>
          </w:p>
        </w:tc>
        <w:tc>
          <w:tcPr>
            <w:tcW w:w="1525" w:type="dxa"/>
            <w:tcBorders>
              <w:top w:val="nil"/>
              <w:left w:val="dotted" w:sz="4" w:space="0" w:color="auto"/>
              <w:bottom w:val="single" w:sz="8" w:space="0" w:color="auto"/>
              <w:right w:val="dotted" w:sz="4" w:space="0" w:color="auto"/>
            </w:tcBorders>
            <w:vAlign w:val="center"/>
          </w:tcPr>
          <w:p w:rsidR="00A6008B" w:rsidRPr="00E92571" w:rsidRDefault="00A6008B" w:rsidP="00D81F7D">
            <w:pPr>
              <w:jc w:val="center"/>
              <w:rPr>
                <w:color w:val="000000"/>
                <w:sz w:val="21"/>
                <w:szCs w:val="23"/>
              </w:rPr>
            </w:pPr>
            <w:r w:rsidRPr="00E92571">
              <w:rPr>
                <w:color w:val="000000"/>
                <w:sz w:val="21"/>
                <w:szCs w:val="23"/>
              </w:rPr>
              <w:t>0</w:t>
            </w:r>
          </w:p>
        </w:tc>
        <w:tc>
          <w:tcPr>
            <w:tcW w:w="1526" w:type="dxa"/>
            <w:tcBorders>
              <w:top w:val="nil"/>
              <w:left w:val="dotted" w:sz="4" w:space="0" w:color="auto"/>
              <w:bottom w:val="single" w:sz="8" w:space="0" w:color="auto"/>
            </w:tcBorders>
            <w:vAlign w:val="center"/>
          </w:tcPr>
          <w:p w:rsidR="00A6008B" w:rsidRPr="00E92571" w:rsidRDefault="00A6008B" w:rsidP="00D81F7D">
            <w:pPr>
              <w:jc w:val="center"/>
              <w:rPr>
                <w:color w:val="000000"/>
                <w:sz w:val="21"/>
                <w:szCs w:val="23"/>
              </w:rPr>
            </w:pPr>
            <w:r w:rsidRPr="00E92571">
              <w:rPr>
                <w:color w:val="000000"/>
                <w:sz w:val="21"/>
                <w:szCs w:val="23"/>
              </w:rPr>
              <w:t>0</w:t>
            </w:r>
          </w:p>
        </w:tc>
        <w:tc>
          <w:tcPr>
            <w:tcW w:w="236" w:type="dxa"/>
            <w:tcBorders>
              <w:top w:val="nil"/>
            </w:tcBorders>
            <w:noWrap/>
            <w:vAlign w:val="center"/>
          </w:tcPr>
          <w:p w:rsidR="00A6008B" w:rsidRPr="00E92571" w:rsidRDefault="00A6008B" w:rsidP="00D81F7D">
            <w:pPr>
              <w:jc w:val="center"/>
              <w:rPr>
                <w:color w:val="000000"/>
                <w:sz w:val="21"/>
                <w:szCs w:val="23"/>
              </w:rPr>
            </w:pPr>
          </w:p>
        </w:tc>
        <w:tc>
          <w:tcPr>
            <w:tcW w:w="1390" w:type="dxa"/>
            <w:tcBorders>
              <w:top w:val="nil"/>
              <w:left w:val="nil"/>
              <w:bottom w:val="single" w:sz="8" w:space="0" w:color="auto"/>
            </w:tcBorders>
            <w:vAlign w:val="center"/>
          </w:tcPr>
          <w:p w:rsidR="00A6008B" w:rsidRPr="00E92571" w:rsidRDefault="00A6008B" w:rsidP="00D81F7D">
            <w:pPr>
              <w:jc w:val="center"/>
              <w:rPr>
                <w:color w:val="000000"/>
                <w:sz w:val="21"/>
                <w:szCs w:val="23"/>
              </w:rPr>
            </w:pPr>
            <w:r w:rsidRPr="00E92571">
              <w:rPr>
                <w:color w:val="000000"/>
                <w:sz w:val="21"/>
                <w:szCs w:val="23"/>
              </w:rPr>
              <w:t>1</w:t>
            </w:r>
          </w:p>
        </w:tc>
      </w:tr>
      <w:tr w:rsidR="00A6008B" w:rsidRPr="00E92571" w:rsidTr="00FF2E55">
        <w:trPr>
          <w:trHeight w:val="227"/>
        </w:trPr>
        <w:tc>
          <w:tcPr>
            <w:tcW w:w="4407" w:type="dxa"/>
            <w:tcBorders>
              <w:top w:val="nil"/>
              <w:bottom w:val="single" w:sz="8" w:space="0" w:color="auto"/>
              <w:right w:val="single" w:sz="8" w:space="0" w:color="auto"/>
            </w:tcBorders>
            <w:shd w:val="clear" w:color="000000" w:fill="D9D9D9"/>
            <w:vAlign w:val="center"/>
          </w:tcPr>
          <w:p w:rsidR="00A6008B" w:rsidRPr="00E92571" w:rsidRDefault="00A6008B" w:rsidP="00B251A5">
            <w:pPr>
              <w:spacing w:before="40" w:after="40"/>
              <w:rPr>
                <w:b/>
                <w:bCs/>
                <w:color w:val="000000"/>
                <w:szCs w:val="23"/>
              </w:rPr>
            </w:pPr>
            <w:r w:rsidRPr="00E92571">
              <w:rPr>
                <w:b/>
                <w:bCs/>
                <w:color w:val="000000"/>
                <w:szCs w:val="23"/>
              </w:rPr>
              <w:t>Total Activities:</w:t>
            </w:r>
          </w:p>
        </w:tc>
        <w:tc>
          <w:tcPr>
            <w:tcW w:w="1525" w:type="dxa"/>
            <w:tcBorders>
              <w:top w:val="single" w:sz="8" w:space="0" w:color="auto"/>
              <w:left w:val="nil"/>
              <w:bottom w:val="single" w:sz="8" w:space="0" w:color="auto"/>
              <w:right w:val="single" w:sz="8" w:space="0" w:color="auto"/>
            </w:tcBorders>
            <w:shd w:val="clear" w:color="000000" w:fill="D9D9D9"/>
            <w:vAlign w:val="center"/>
          </w:tcPr>
          <w:p w:rsidR="00A6008B" w:rsidRPr="00E92571" w:rsidRDefault="00A6008B" w:rsidP="00B251A5">
            <w:pPr>
              <w:spacing w:before="40" w:after="40"/>
              <w:jc w:val="center"/>
              <w:rPr>
                <w:b/>
                <w:bCs/>
                <w:color w:val="000000"/>
                <w:szCs w:val="23"/>
              </w:rPr>
            </w:pPr>
            <w:r w:rsidRPr="00E92571">
              <w:rPr>
                <w:b/>
                <w:bCs/>
                <w:color w:val="000000"/>
                <w:szCs w:val="23"/>
              </w:rPr>
              <w:t>37</w:t>
            </w:r>
          </w:p>
        </w:tc>
        <w:tc>
          <w:tcPr>
            <w:tcW w:w="1526" w:type="dxa"/>
            <w:tcBorders>
              <w:top w:val="single" w:sz="8" w:space="0" w:color="auto"/>
              <w:left w:val="nil"/>
              <w:bottom w:val="single" w:sz="8" w:space="0" w:color="auto"/>
              <w:right w:val="nil"/>
            </w:tcBorders>
            <w:shd w:val="clear" w:color="000000" w:fill="D9D9D9"/>
            <w:vAlign w:val="center"/>
          </w:tcPr>
          <w:p w:rsidR="00A6008B" w:rsidRPr="00E92571" w:rsidRDefault="00A6008B" w:rsidP="00B251A5">
            <w:pPr>
              <w:spacing w:before="40" w:after="40"/>
              <w:jc w:val="center"/>
              <w:rPr>
                <w:b/>
                <w:bCs/>
                <w:color w:val="000000"/>
                <w:szCs w:val="23"/>
              </w:rPr>
            </w:pPr>
            <w:r w:rsidRPr="00E92571">
              <w:rPr>
                <w:b/>
                <w:bCs/>
                <w:color w:val="000000"/>
                <w:szCs w:val="23"/>
              </w:rPr>
              <w:t>58</w:t>
            </w:r>
          </w:p>
        </w:tc>
        <w:tc>
          <w:tcPr>
            <w:tcW w:w="236" w:type="dxa"/>
            <w:tcBorders>
              <w:left w:val="nil"/>
              <w:bottom w:val="nil"/>
              <w:right w:val="nil"/>
            </w:tcBorders>
            <w:noWrap/>
            <w:vAlign w:val="center"/>
          </w:tcPr>
          <w:p w:rsidR="00A6008B" w:rsidRPr="00E92571" w:rsidRDefault="00A6008B" w:rsidP="00B251A5">
            <w:pPr>
              <w:spacing w:before="40" w:after="40"/>
              <w:jc w:val="center"/>
              <w:rPr>
                <w:color w:val="000000"/>
                <w:szCs w:val="23"/>
              </w:rPr>
            </w:pPr>
          </w:p>
        </w:tc>
        <w:tc>
          <w:tcPr>
            <w:tcW w:w="1390" w:type="dxa"/>
            <w:tcBorders>
              <w:top w:val="single" w:sz="8" w:space="0" w:color="auto"/>
              <w:left w:val="nil"/>
              <w:bottom w:val="single" w:sz="8" w:space="0" w:color="auto"/>
              <w:right w:val="nil"/>
            </w:tcBorders>
            <w:shd w:val="clear" w:color="000000" w:fill="D9D9D9"/>
            <w:vAlign w:val="center"/>
          </w:tcPr>
          <w:p w:rsidR="00A6008B" w:rsidRPr="00E92571" w:rsidRDefault="00A6008B" w:rsidP="00D74088">
            <w:pPr>
              <w:spacing w:before="40" w:after="40"/>
              <w:jc w:val="center"/>
              <w:rPr>
                <w:b/>
                <w:bCs/>
                <w:color w:val="000000"/>
                <w:szCs w:val="23"/>
              </w:rPr>
            </w:pPr>
            <w:r w:rsidRPr="00E92571">
              <w:rPr>
                <w:b/>
                <w:bCs/>
                <w:color w:val="000000"/>
                <w:szCs w:val="23"/>
              </w:rPr>
              <w:t>7</w:t>
            </w:r>
            <w:r>
              <w:rPr>
                <w:b/>
                <w:bCs/>
                <w:color w:val="000000"/>
                <w:szCs w:val="23"/>
              </w:rPr>
              <w:t>7</w:t>
            </w:r>
          </w:p>
        </w:tc>
      </w:tr>
      <w:tr w:rsidR="00A6008B" w:rsidRPr="00E92571" w:rsidTr="00FF2E55">
        <w:trPr>
          <w:trHeight w:val="227"/>
        </w:trPr>
        <w:tc>
          <w:tcPr>
            <w:tcW w:w="4407" w:type="dxa"/>
            <w:tcBorders>
              <w:top w:val="nil"/>
              <w:left w:val="nil"/>
              <w:bottom w:val="nil"/>
              <w:right w:val="nil"/>
            </w:tcBorders>
            <w:noWrap/>
            <w:vAlign w:val="center"/>
          </w:tcPr>
          <w:p w:rsidR="00A6008B" w:rsidRPr="00E92571" w:rsidRDefault="00A6008B" w:rsidP="00D81F7D">
            <w:pPr>
              <w:rPr>
                <w:color w:val="000000"/>
                <w:szCs w:val="23"/>
              </w:rPr>
            </w:pPr>
          </w:p>
        </w:tc>
        <w:tc>
          <w:tcPr>
            <w:tcW w:w="1525" w:type="dxa"/>
            <w:tcBorders>
              <w:top w:val="nil"/>
              <w:left w:val="nil"/>
              <w:bottom w:val="nil"/>
              <w:right w:val="nil"/>
            </w:tcBorders>
            <w:noWrap/>
            <w:vAlign w:val="center"/>
          </w:tcPr>
          <w:p w:rsidR="00A6008B" w:rsidRPr="00E92571" w:rsidRDefault="00A6008B" w:rsidP="00D81F7D">
            <w:pPr>
              <w:rPr>
                <w:color w:val="000000"/>
                <w:szCs w:val="23"/>
              </w:rPr>
            </w:pPr>
          </w:p>
        </w:tc>
        <w:tc>
          <w:tcPr>
            <w:tcW w:w="1526" w:type="dxa"/>
            <w:tcBorders>
              <w:top w:val="nil"/>
              <w:left w:val="nil"/>
              <w:bottom w:val="nil"/>
              <w:right w:val="nil"/>
            </w:tcBorders>
            <w:noWrap/>
            <w:vAlign w:val="center"/>
          </w:tcPr>
          <w:p w:rsidR="00A6008B" w:rsidRPr="00E92571" w:rsidRDefault="00A6008B" w:rsidP="00D81F7D">
            <w:pPr>
              <w:rPr>
                <w:color w:val="000000"/>
                <w:szCs w:val="23"/>
              </w:rPr>
            </w:pPr>
          </w:p>
        </w:tc>
        <w:tc>
          <w:tcPr>
            <w:tcW w:w="236" w:type="dxa"/>
            <w:tcBorders>
              <w:top w:val="nil"/>
              <w:left w:val="nil"/>
              <w:bottom w:val="nil"/>
              <w:right w:val="nil"/>
            </w:tcBorders>
            <w:noWrap/>
            <w:vAlign w:val="center"/>
          </w:tcPr>
          <w:p w:rsidR="00A6008B" w:rsidRPr="00E92571" w:rsidRDefault="00A6008B" w:rsidP="00D81F7D">
            <w:pPr>
              <w:rPr>
                <w:color w:val="000000"/>
                <w:szCs w:val="23"/>
              </w:rPr>
            </w:pPr>
          </w:p>
        </w:tc>
        <w:tc>
          <w:tcPr>
            <w:tcW w:w="1390" w:type="dxa"/>
            <w:tcBorders>
              <w:top w:val="single" w:sz="8" w:space="0" w:color="auto"/>
              <w:left w:val="nil"/>
              <w:bottom w:val="nil"/>
              <w:right w:val="nil"/>
            </w:tcBorders>
            <w:noWrap/>
            <w:vAlign w:val="center"/>
          </w:tcPr>
          <w:p w:rsidR="00A6008B" w:rsidRPr="00E92571" w:rsidRDefault="00A6008B" w:rsidP="00D81F7D">
            <w:pPr>
              <w:rPr>
                <w:color w:val="000000"/>
                <w:szCs w:val="23"/>
              </w:rPr>
            </w:pPr>
          </w:p>
        </w:tc>
      </w:tr>
      <w:tr w:rsidR="00A6008B" w:rsidRPr="00E92571" w:rsidTr="00723B99">
        <w:trPr>
          <w:trHeight w:val="227"/>
        </w:trPr>
        <w:tc>
          <w:tcPr>
            <w:tcW w:w="7458" w:type="dxa"/>
            <w:gridSpan w:val="3"/>
            <w:tcBorders>
              <w:top w:val="single" w:sz="8" w:space="0" w:color="auto"/>
              <w:bottom w:val="single" w:sz="8" w:space="0" w:color="auto"/>
              <w:right w:val="nil"/>
            </w:tcBorders>
            <w:shd w:val="clear" w:color="000000" w:fill="D9D9D9"/>
            <w:vAlign w:val="center"/>
          </w:tcPr>
          <w:p w:rsidR="00A6008B" w:rsidRPr="00E92571" w:rsidRDefault="00A6008B" w:rsidP="00D74088">
            <w:pPr>
              <w:spacing w:before="40" w:after="40"/>
              <w:rPr>
                <w:b/>
                <w:bCs/>
                <w:color w:val="000000"/>
                <w:szCs w:val="23"/>
              </w:rPr>
            </w:pPr>
            <w:r w:rsidRPr="00E92571">
              <w:rPr>
                <w:b/>
                <w:bCs/>
                <w:color w:val="000000"/>
                <w:szCs w:val="23"/>
              </w:rPr>
              <w:t>Difference in Activity Numbers 12-month EP - 24-month EP = 1</w:t>
            </w:r>
            <w:r>
              <w:rPr>
                <w:b/>
                <w:bCs/>
                <w:color w:val="000000"/>
                <w:szCs w:val="23"/>
              </w:rPr>
              <w:t>9</w:t>
            </w:r>
            <w:r w:rsidRPr="00E92571">
              <w:rPr>
                <w:b/>
                <w:bCs/>
                <w:color w:val="000000"/>
                <w:szCs w:val="23"/>
              </w:rPr>
              <w:t>(</w:t>
            </w:r>
            <w:r>
              <w:rPr>
                <w:b/>
                <w:bCs/>
                <w:color w:val="000000"/>
                <w:szCs w:val="23"/>
              </w:rPr>
              <w:t>32.76</w:t>
            </w:r>
            <w:r w:rsidRPr="00E92571">
              <w:rPr>
                <w:b/>
                <w:bCs/>
                <w:color w:val="000000"/>
                <w:szCs w:val="23"/>
              </w:rPr>
              <w:t>%)</w:t>
            </w:r>
          </w:p>
        </w:tc>
        <w:tc>
          <w:tcPr>
            <w:tcW w:w="236" w:type="dxa"/>
            <w:tcBorders>
              <w:top w:val="nil"/>
              <w:left w:val="nil"/>
              <w:bottom w:val="nil"/>
              <w:right w:val="nil"/>
            </w:tcBorders>
            <w:noWrap/>
            <w:vAlign w:val="center"/>
          </w:tcPr>
          <w:p w:rsidR="00A6008B" w:rsidRPr="00E92571" w:rsidRDefault="00A6008B" w:rsidP="00B251A5">
            <w:pPr>
              <w:spacing w:before="40" w:after="40"/>
              <w:jc w:val="center"/>
              <w:rPr>
                <w:color w:val="000000"/>
                <w:szCs w:val="23"/>
              </w:rPr>
            </w:pPr>
          </w:p>
        </w:tc>
        <w:tc>
          <w:tcPr>
            <w:tcW w:w="1390" w:type="dxa"/>
            <w:tcBorders>
              <w:left w:val="nil"/>
              <w:right w:val="nil"/>
            </w:tcBorders>
            <w:vAlign w:val="center"/>
          </w:tcPr>
          <w:p w:rsidR="00A6008B" w:rsidRPr="00E92571" w:rsidRDefault="00A6008B" w:rsidP="00B251A5">
            <w:pPr>
              <w:spacing w:before="40" w:after="40"/>
              <w:jc w:val="center"/>
              <w:rPr>
                <w:b/>
                <w:bCs/>
                <w:color w:val="000000"/>
                <w:szCs w:val="23"/>
              </w:rPr>
            </w:pPr>
          </w:p>
        </w:tc>
      </w:tr>
    </w:tbl>
    <w:p w:rsidR="00A6008B" w:rsidRPr="00E92571" w:rsidRDefault="00A6008B" w:rsidP="00527506">
      <w:pPr>
        <w:rPr>
          <w:lang w:eastAsia="en-US"/>
        </w:rPr>
      </w:pPr>
    </w:p>
    <w:p w:rsidR="00A6008B" w:rsidRPr="00E92571" w:rsidRDefault="00A6008B" w:rsidP="00527506">
      <w:pPr>
        <w:rPr>
          <w:lang w:eastAsia="en-US"/>
        </w:rPr>
      </w:pPr>
    </w:p>
    <w:p w:rsidR="00A6008B" w:rsidRPr="00E92571" w:rsidRDefault="00A6008B" w:rsidP="00527506">
      <w:pPr>
        <w:rPr>
          <w:lang w:eastAsia="en-US"/>
        </w:rPr>
      </w:pPr>
    </w:p>
    <w:p w:rsidR="00A6008B" w:rsidRPr="00E92571" w:rsidRDefault="00A6008B" w:rsidP="00527506">
      <w:pPr>
        <w:pStyle w:val="Heading1"/>
        <w:rPr>
          <w:lang w:val="en-AU"/>
        </w:rPr>
        <w:sectPr w:rsidR="00A6008B" w:rsidRPr="00E92571" w:rsidSect="000A6E40">
          <w:headerReference w:type="default" r:id="rId26"/>
          <w:footerReference w:type="default" r:id="rId27"/>
          <w:pgSz w:w="11907" w:h="16840" w:code="9"/>
          <w:pgMar w:top="1361" w:right="1361" w:bottom="1361" w:left="1418" w:header="397" w:footer="680" w:gutter="0"/>
          <w:pgNumType w:start="1"/>
          <w:cols w:space="708"/>
          <w:docGrid w:linePitch="360"/>
        </w:sectPr>
      </w:pPr>
    </w:p>
    <w:p w:rsidR="00A6008B" w:rsidRPr="00E92571" w:rsidRDefault="00A6008B" w:rsidP="00527506">
      <w:pPr>
        <w:pStyle w:val="Heading1"/>
        <w:rPr>
          <w:szCs w:val="23"/>
          <w:lang w:val="en-AU"/>
        </w:rPr>
      </w:pPr>
      <w:bookmarkStart w:id="77" w:name="_Toc354644473"/>
      <w:r w:rsidRPr="00E92571">
        <w:rPr>
          <w:lang w:val="en-AU"/>
        </w:rPr>
        <w:t>Annex Three - Indicative Additional Activity Budgets</w:t>
      </w:r>
      <w:bookmarkEnd w:id="77"/>
    </w:p>
    <w:p w:rsidR="00A6008B" w:rsidRPr="00E92571" w:rsidRDefault="00A6008B" w:rsidP="00A406F7"/>
    <w:p w:rsidR="00A6008B" w:rsidRPr="00E92571" w:rsidRDefault="00A6008B" w:rsidP="00E92571">
      <w:pPr>
        <w:jc w:val="center"/>
        <w:rPr>
          <w:sz w:val="28"/>
          <w:lang w:eastAsia="en-US"/>
        </w:rPr>
      </w:pPr>
    </w:p>
    <w:p w:rsidR="00A6008B" w:rsidRPr="00E92571" w:rsidRDefault="00A6008B" w:rsidP="00E92571">
      <w:pPr>
        <w:jc w:val="center"/>
        <w:rPr>
          <w:sz w:val="28"/>
          <w:lang w:eastAsia="en-US"/>
        </w:rPr>
      </w:pPr>
    </w:p>
    <w:p w:rsidR="00A6008B" w:rsidRPr="00E92571" w:rsidRDefault="00A6008B" w:rsidP="00E92571">
      <w:pPr>
        <w:jc w:val="center"/>
        <w:rPr>
          <w:lang w:eastAsia="en-US"/>
        </w:rPr>
      </w:pPr>
      <w:r w:rsidRPr="00E92571">
        <w:rPr>
          <w:lang w:eastAsia="en-US"/>
        </w:rPr>
        <w:t>(Final Additional Activities Budget submitted separately to MFAT)</w:t>
      </w:r>
    </w:p>
    <w:p w:rsidR="00A6008B" w:rsidRPr="00E92571" w:rsidRDefault="00A6008B" w:rsidP="00E94BEE">
      <w:pPr>
        <w:spacing w:before="120" w:after="120"/>
        <w:rPr>
          <w:highlight w:val="green"/>
        </w:rPr>
      </w:pPr>
    </w:p>
    <w:p w:rsidR="00A6008B" w:rsidRPr="00E92571" w:rsidRDefault="00A6008B" w:rsidP="00E94BEE">
      <w:pPr>
        <w:spacing w:before="120" w:after="120"/>
        <w:rPr>
          <w:highlight w:val="green"/>
        </w:rPr>
      </w:pPr>
    </w:p>
    <w:p w:rsidR="00A6008B" w:rsidRPr="00E92571" w:rsidRDefault="00A6008B" w:rsidP="00E94BEE">
      <w:pPr>
        <w:spacing w:before="120" w:after="120"/>
        <w:rPr>
          <w:highlight w:val="green"/>
        </w:rPr>
      </w:pPr>
    </w:p>
    <w:p w:rsidR="00A6008B" w:rsidRPr="00E92571" w:rsidRDefault="00A6008B" w:rsidP="00E94BEE">
      <w:pPr>
        <w:spacing w:before="120" w:after="120"/>
        <w:rPr>
          <w:highlight w:val="green"/>
        </w:rPr>
        <w:sectPr w:rsidR="00A6008B" w:rsidRPr="00E92571" w:rsidSect="000A6E40">
          <w:footerReference w:type="default" r:id="rId28"/>
          <w:pgSz w:w="11907" w:h="16840" w:code="9"/>
          <w:pgMar w:top="1361" w:right="1361" w:bottom="1361" w:left="1418" w:header="397" w:footer="680" w:gutter="0"/>
          <w:pgNumType w:start="1"/>
          <w:cols w:space="708"/>
          <w:docGrid w:linePitch="360"/>
        </w:sectPr>
      </w:pPr>
    </w:p>
    <w:p w:rsidR="00A6008B" w:rsidRPr="00E92571" w:rsidRDefault="00A6008B" w:rsidP="00D200DC">
      <w:pPr>
        <w:pStyle w:val="Heading1"/>
        <w:spacing w:before="120"/>
        <w:rPr>
          <w:b w:val="0"/>
          <w:iCs/>
          <w:smallCaps w:val="0"/>
          <w:sz w:val="24"/>
          <w:szCs w:val="26"/>
          <w:lang w:val="en-AU"/>
        </w:rPr>
      </w:pPr>
      <w:bookmarkStart w:id="78" w:name="_Toc354644474"/>
      <w:r w:rsidRPr="00E92571">
        <w:rPr>
          <w:szCs w:val="26"/>
          <w:lang w:val="en-AU"/>
        </w:rPr>
        <w:t xml:space="preserve">Annex Four - </w:t>
      </w:r>
      <w:r w:rsidRPr="00E92571">
        <w:rPr>
          <w:iCs/>
          <w:szCs w:val="26"/>
          <w:lang w:val="en-AU"/>
        </w:rPr>
        <w:t>Indicative 24-month Extension Period Work Plan</w:t>
      </w:r>
      <w:bookmarkEnd w:id="78"/>
    </w:p>
    <w:p w:rsidR="00A6008B" w:rsidRPr="00E2697E" w:rsidRDefault="00A6008B" w:rsidP="00041227">
      <w:pPr>
        <w:jc w:val="center"/>
        <w:rPr>
          <w:sz w:val="24"/>
          <w:highlight w:val="green"/>
          <w:lang w:eastAsia="en-US"/>
        </w:rPr>
      </w:pPr>
    </w:p>
    <w:p w:rsidR="00A6008B" w:rsidRPr="00E92571" w:rsidRDefault="00A6008B" w:rsidP="00B955BE">
      <w:pPr>
        <w:jc w:val="center"/>
        <w:rPr>
          <w:sz w:val="16"/>
          <w:highlight w:val="green"/>
          <w:lang w:eastAsia="en-US"/>
        </w:rPr>
      </w:pPr>
      <w:r w:rsidRPr="009A221A">
        <w:rPr>
          <w:noProof/>
          <w:sz w:val="16"/>
        </w:rPr>
        <w:pict>
          <v:shape id="Picture 5" o:spid="_x0000_i1033" type="#_x0000_t75" alt="130614 - Annex 4 - Final 24-month Extension Period Indicative Work Plan - FINAL_Page_1.tiff" style="width:700.5pt;height:409.5pt;visibility:visible">
            <v:imagedata r:id="rId29" o:title=""/>
          </v:shape>
        </w:pict>
      </w:r>
    </w:p>
    <w:p w:rsidR="00A6008B" w:rsidRPr="00E92571" w:rsidRDefault="00A6008B" w:rsidP="00B955BE">
      <w:pPr>
        <w:jc w:val="center"/>
        <w:rPr>
          <w:sz w:val="24"/>
          <w:highlight w:val="green"/>
          <w:lang w:eastAsia="en-US"/>
        </w:rPr>
      </w:pPr>
    </w:p>
    <w:p w:rsidR="00A6008B" w:rsidRPr="00DF1055" w:rsidRDefault="00A6008B" w:rsidP="00B955BE">
      <w:pPr>
        <w:jc w:val="center"/>
        <w:rPr>
          <w:sz w:val="8"/>
          <w:lang w:eastAsia="en-US"/>
        </w:rPr>
      </w:pPr>
    </w:p>
    <w:p w:rsidR="00A6008B" w:rsidRPr="00D54439" w:rsidRDefault="00A6008B" w:rsidP="00B955BE">
      <w:pPr>
        <w:jc w:val="center"/>
        <w:rPr>
          <w:sz w:val="8"/>
          <w:highlight w:val="green"/>
          <w:lang w:eastAsia="en-US"/>
        </w:rPr>
      </w:pPr>
    </w:p>
    <w:p w:rsidR="00A6008B" w:rsidRDefault="00A6008B" w:rsidP="00C4768F">
      <w:pPr>
        <w:jc w:val="center"/>
        <w:rPr>
          <w:sz w:val="16"/>
          <w:highlight w:val="green"/>
          <w:lang w:eastAsia="en-US"/>
        </w:rPr>
      </w:pPr>
      <w:r w:rsidRPr="009A221A">
        <w:rPr>
          <w:noProof/>
          <w:sz w:val="16"/>
        </w:rPr>
        <w:pict>
          <v:shape id="Picture 6" o:spid="_x0000_i1034" type="#_x0000_t75" alt="130614 - Annex 4 - Final 24-month Extension Period Indicative Work Plan - FINAL_Page_2.tiff" style="width:696pt;height:450pt;visibility:visible">
            <v:imagedata r:id="rId30" o:title=""/>
          </v:shape>
        </w:pict>
      </w:r>
    </w:p>
    <w:p w:rsidR="00A6008B" w:rsidRPr="00D74088" w:rsidRDefault="00A6008B" w:rsidP="00C4768F">
      <w:pPr>
        <w:jc w:val="center"/>
        <w:rPr>
          <w:sz w:val="8"/>
          <w:lang w:eastAsia="en-US"/>
        </w:rPr>
      </w:pPr>
    </w:p>
    <w:p w:rsidR="00A6008B" w:rsidRPr="00DF1055" w:rsidRDefault="00A6008B" w:rsidP="00C4768F">
      <w:pPr>
        <w:jc w:val="center"/>
        <w:rPr>
          <w:sz w:val="16"/>
          <w:highlight w:val="green"/>
          <w:lang w:eastAsia="en-US"/>
        </w:rPr>
      </w:pPr>
      <w:r w:rsidRPr="009A221A">
        <w:rPr>
          <w:noProof/>
          <w:sz w:val="16"/>
        </w:rPr>
        <w:pict>
          <v:shape id="Picture 8" o:spid="_x0000_i1035" type="#_x0000_t75" alt="130614 - Annex 4 - Final 24-month Extension Period Indicative Work Plan - FINAL_Page_3.tiff" style="width:696pt;height:422.25pt;visibility:visible">
            <v:imagedata r:id="rId31" o:title=""/>
          </v:shape>
        </w:pict>
      </w:r>
    </w:p>
    <w:p w:rsidR="00A6008B" w:rsidRPr="00C4768F" w:rsidRDefault="00A6008B" w:rsidP="00C4768F">
      <w:pPr>
        <w:jc w:val="center"/>
        <w:rPr>
          <w:highlight w:val="green"/>
          <w:lang w:eastAsia="en-US"/>
        </w:rPr>
      </w:pPr>
      <w:r w:rsidRPr="00E92571">
        <w:rPr>
          <w:highlight w:val="green"/>
          <w:lang w:eastAsia="en-US"/>
        </w:rPr>
        <w:br w:type="page"/>
      </w:r>
    </w:p>
    <w:p w:rsidR="00A6008B" w:rsidRPr="00E92571" w:rsidRDefault="00A6008B" w:rsidP="009A77C9">
      <w:pPr>
        <w:jc w:val="center"/>
        <w:rPr>
          <w:highlight w:val="green"/>
          <w:lang w:eastAsia="en-US"/>
        </w:rPr>
        <w:sectPr w:rsidR="00A6008B" w:rsidRPr="00E92571" w:rsidSect="009A77C9">
          <w:headerReference w:type="default" r:id="rId32"/>
          <w:footerReference w:type="default" r:id="rId33"/>
          <w:pgSz w:w="16840" w:h="11907" w:orient="landscape" w:code="9"/>
          <w:pgMar w:top="1361" w:right="1361" w:bottom="993" w:left="992" w:header="397" w:footer="459" w:gutter="0"/>
          <w:pgNumType w:start="1"/>
          <w:cols w:space="708"/>
          <w:docGrid w:linePitch="360"/>
        </w:sectPr>
      </w:pPr>
    </w:p>
    <w:p w:rsidR="00A6008B" w:rsidRPr="00E92571" w:rsidRDefault="00A6008B" w:rsidP="001476ED">
      <w:pPr>
        <w:pStyle w:val="Heading1"/>
        <w:spacing w:before="120"/>
        <w:rPr>
          <w:lang w:val="en-AU"/>
        </w:rPr>
      </w:pPr>
      <w:bookmarkStart w:id="79" w:name="_Toc354644475"/>
      <w:r w:rsidRPr="00E92571">
        <w:rPr>
          <w:lang w:val="en-AU"/>
        </w:rPr>
        <w:t>Annex Five - 24-month Extension Period Budget</w:t>
      </w:r>
      <w:bookmarkEnd w:id="79"/>
    </w:p>
    <w:p w:rsidR="00A6008B" w:rsidRDefault="00A6008B" w:rsidP="003D220C">
      <w:pPr>
        <w:jc w:val="center"/>
        <w:rPr>
          <w:sz w:val="28"/>
          <w:lang w:eastAsia="en-US"/>
        </w:rPr>
      </w:pPr>
    </w:p>
    <w:p w:rsidR="00A6008B" w:rsidRPr="00E92571" w:rsidRDefault="00A6008B" w:rsidP="003D220C">
      <w:pPr>
        <w:jc w:val="center"/>
        <w:rPr>
          <w:sz w:val="28"/>
          <w:lang w:eastAsia="en-US"/>
        </w:rPr>
      </w:pPr>
    </w:p>
    <w:p w:rsidR="00A6008B" w:rsidRPr="00E92571" w:rsidRDefault="00A6008B" w:rsidP="003D220C">
      <w:pPr>
        <w:jc w:val="center"/>
        <w:rPr>
          <w:sz w:val="28"/>
          <w:lang w:eastAsia="en-US"/>
        </w:rPr>
      </w:pPr>
    </w:p>
    <w:p w:rsidR="00A6008B" w:rsidRPr="00E92571" w:rsidRDefault="00A6008B" w:rsidP="003D220C">
      <w:pPr>
        <w:jc w:val="center"/>
        <w:rPr>
          <w:lang w:eastAsia="en-US"/>
        </w:rPr>
      </w:pPr>
      <w:r w:rsidRPr="00E92571">
        <w:rPr>
          <w:lang w:eastAsia="en-US"/>
        </w:rPr>
        <w:t>(Final 24-month Extension Plan Budget submitted separately to MFAT)</w:t>
      </w:r>
    </w:p>
    <w:p w:rsidR="00A6008B" w:rsidRPr="00E92571" w:rsidRDefault="00A6008B" w:rsidP="003D220C">
      <w:pPr>
        <w:jc w:val="center"/>
        <w:rPr>
          <w:lang w:eastAsia="en-US"/>
        </w:rPr>
      </w:pPr>
    </w:p>
    <w:p w:rsidR="00A6008B" w:rsidRPr="00E92571" w:rsidRDefault="00A6008B" w:rsidP="003D220C">
      <w:pPr>
        <w:jc w:val="center"/>
        <w:rPr>
          <w:sz w:val="24"/>
          <w:highlight w:val="green"/>
          <w:lang w:eastAsia="en-US"/>
        </w:rPr>
      </w:pPr>
    </w:p>
    <w:p w:rsidR="00A6008B" w:rsidRPr="00E92571" w:rsidRDefault="00A6008B" w:rsidP="00B94D2B">
      <w:pPr>
        <w:jc w:val="center"/>
        <w:rPr>
          <w:sz w:val="16"/>
          <w:lang w:eastAsia="en-US"/>
        </w:rPr>
      </w:pPr>
    </w:p>
    <w:p w:rsidR="00A6008B" w:rsidRPr="00E92571" w:rsidRDefault="00A6008B" w:rsidP="006D138B">
      <w:pPr>
        <w:rPr>
          <w:lang w:eastAsia="en-US"/>
        </w:rPr>
      </w:pPr>
    </w:p>
    <w:sectPr w:rsidR="00A6008B" w:rsidRPr="00E92571" w:rsidSect="000A6E40">
      <w:headerReference w:type="default" r:id="rId34"/>
      <w:footerReference w:type="default" r:id="rId35"/>
      <w:pgSz w:w="11907" w:h="16840" w:code="9"/>
      <w:pgMar w:top="1361" w:right="1361" w:bottom="1361" w:left="1418" w:header="397" w:footer="68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008B" w:rsidRDefault="00A6008B">
      <w:r>
        <w:separator/>
      </w:r>
    </w:p>
  </w:endnote>
  <w:endnote w:type="continuationSeparator" w:id="1">
    <w:p w:rsidR="00A6008B" w:rsidRDefault="00A600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l?r ?S?V?b?N"/>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MS Mincho">
    <w:altName w:val="?l?r ??fc"/>
    <w:panose1 w:val="02020609040205080304"/>
    <w:charset w:val="80"/>
    <w:family w:val="modern"/>
    <w:pitch w:val="fixed"/>
    <w:sig w:usb0="E00002FF" w:usb1="6AC7FDFB" w:usb2="00000012" w:usb3="00000000" w:csb0="0002009F" w:csb1="00000000"/>
  </w:font>
  <w:font w:name="CenturyGothic">
    <w:panose1 w:val="00000000000000000000"/>
    <w:charset w:val="00"/>
    <w:family w:val="swiss"/>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08B" w:rsidRDefault="00A6008B" w:rsidP="008358EE">
    <w:pPr>
      <w:pStyle w:val="Footer"/>
      <w:pBdr>
        <w:top w:val="single" w:sz="48" w:space="1" w:color="808080"/>
      </w:pBdr>
      <w:jc w:val="center"/>
      <w:rPr>
        <w:rStyle w:val="SubtleEmphasis"/>
        <w:rFonts w:ascii="Calibri" w:hAnsi="Calibri"/>
        <w:color w:val="262626"/>
      </w:rPr>
    </w:pPr>
    <w:r>
      <w:rPr>
        <w:b/>
        <w:shd w:val="clear" w:color="auto" w:fill="FFFFFF"/>
      </w:rPr>
      <w:t>J</w:t>
    </w:r>
    <w:r w:rsidRPr="00A611E0">
      <w:rPr>
        <w:b/>
        <w:shd w:val="clear" w:color="auto" w:fill="FFFFFF"/>
      </w:rPr>
      <w:t>ustice System Services</w:t>
    </w:r>
  </w:p>
  <w:p w:rsidR="00A6008B" w:rsidRDefault="00A6008B" w:rsidP="008358EE">
    <w:pPr>
      <w:pStyle w:val="Footer"/>
      <w:pBdr>
        <w:top w:val="single" w:sz="48" w:space="1" w:color="808080"/>
      </w:pBdr>
      <w:jc w:val="center"/>
      <w:rPr>
        <w:b/>
        <w:shd w:val="clear" w:color="auto" w:fill="FFFFFF"/>
      </w:rPr>
    </w:pPr>
  </w:p>
  <w:p w:rsidR="00A6008B" w:rsidRPr="007241B7" w:rsidRDefault="00A6008B" w:rsidP="008358EE">
    <w:pPr>
      <w:pStyle w:val="Footer"/>
      <w:pBdr>
        <w:top w:val="single" w:sz="48" w:space="1" w:color="808080"/>
      </w:pBdr>
      <w:jc w:val="center"/>
      <w:rPr>
        <w:b/>
        <w:sz w:val="20"/>
        <w:szCs w:val="20"/>
        <w:shd w:val="clear" w:color="auto" w:fill="FFFFFF"/>
      </w:rPr>
    </w:pPr>
    <w:r w:rsidRPr="00A611E0">
      <w:rPr>
        <w:rStyle w:val="SubtleEmphasis"/>
        <w:rFonts w:ascii="Calibri" w:hAnsi="Calibri"/>
        <w:color w:val="262626"/>
      </w:rPr>
      <w:t xml:space="preserve">  ©Justice System Services</w:t>
    </w:r>
    <w:r w:rsidRPr="007241B7">
      <w:rPr>
        <w:rStyle w:val="SubtleEmphasis"/>
        <w:rFonts w:ascii="Calibri" w:hAnsi="Calibri"/>
        <w:color w:val="262626"/>
        <w:sz w:val="20"/>
        <w:szCs w:val="20"/>
      </w:rPr>
      <w:t xml:space="preserve">ABN </w:t>
    </w:r>
    <w:r w:rsidRPr="007241B7">
      <w:rPr>
        <w:color w:val="17365D"/>
        <w:sz w:val="20"/>
        <w:szCs w:val="20"/>
      </w:rPr>
      <w:t>99652955385</w:t>
    </w:r>
  </w:p>
  <w:p w:rsidR="00A6008B" w:rsidRPr="00236BC3" w:rsidRDefault="00A6008B" w:rsidP="008358EE">
    <w:pPr>
      <w:ind w:left="851" w:right="1111"/>
      <w:jc w:val="center"/>
      <w:rPr>
        <w:b/>
        <w:shd w:val="clear" w:color="auto" w:fill="FFFFFF"/>
      </w:rPr>
    </w:pPr>
  </w:p>
  <w:p w:rsidR="00A6008B" w:rsidRDefault="00A6008B">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07" w:type="dxa"/>
      <w:tblInd w:w="-601" w:type="dxa"/>
      <w:tblLayout w:type="fixed"/>
      <w:tblLook w:val="0000"/>
    </w:tblPr>
    <w:tblGrid>
      <w:gridCol w:w="8364"/>
      <w:gridCol w:w="1843"/>
    </w:tblGrid>
    <w:tr w:rsidR="00A6008B" w:rsidRPr="00FA328D" w:rsidTr="000A6E40">
      <w:trPr>
        <w:trHeight w:val="142"/>
      </w:trPr>
      <w:tc>
        <w:tcPr>
          <w:tcW w:w="8364" w:type="dxa"/>
          <w:tcBorders>
            <w:top w:val="single" w:sz="4" w:space="0" w:color="000000"/>
          </w:tcBorders>
        </w:tcPr>
        <w:p w:rsidR="00A6008B" w:rsidRPr="000E5050" w:rsidRDefault="00A6008B" w:rsidP="000A6E40">
          <w:pPr>
            <w:snapToGrid w:val="0"/>
            <w:spacing w:before="120"/>
            <w:ind w:left="613"/>
            <w:rPr>
              <w:rFonts w:cs="Calibri"/>
              <w:i/>
              <w:sz w:val="20"/>
              <w:szCs w:val="32"/>
            </w:rPr>
          </w:pPr>
          <w:r w:rsidRPr="000E5050">
            <w:rPr>
              <w:i/>
              <w:sz w:val="20"/>
              <w:szCs w:val="32"/>
            </w:rPr>
            <w:t xml:space="preserve">PJDP is implemented by the Federal Court of Australia </w:t>
          </w:r>
          <w:r w:rsidRPr="000E5050">
            <w:rPr>
              <w:rFonts w:cs="Calibri"/>
              <w:i/>
              <w:sz w:val="20"/>
              <w:szCs w:val="32"/>
            </w:rPr>
            <w:t>wi</w:t>
          </w:r>
          <w:r>
            <w:rPr>
              <w:rFonts w:cs="Calibri"/>
              <w:i/>
              <w:sz w:val="20"/>
              <w:szCs w:val="32"/>
            </w:rPr>
            <w:t>th funding support from NZ MFAT</w:t>
          </w:r>
        </w:p>
      </w:tc>
      <w:tc>
        <w:tcPr>
          <w:tcW w:w="1843" w:type="dxa"/>
          <w:tcBorders>
            <w:top w:val="single" w:sz="4" w:space="0" w:color="000000"/>
          </w:tcBorders>
        </w:tcPr>
        <w:p w:rsidR="00A6008B" w:rsidRPr="009A221A" w:rsidRDefault="00A6008B" w:rsidP="00DA2BA5">
          <w:pPr>
            <w:pStyle w:val="Footer"/>
            <w:snapToGrid w:val="0"/>
            <w:spacing w:before="120"/>
            <w:ind w:right="624"/>
            <w:jc w:val="right"/>
            <w:rPr>
              <w:rFonts w:ascii="Arial Narrow" w:hAnsi="Arial Narrow"/>
              <w:sz w:val="2"/>
              <w:szCs w:val="22"/>
            </w:rPr>
          </w:pPr>
          <w:r w:rsidRPr="009A221A">
            <w:rPr>
              <w:rFonts w:ascii="Arial Narrow" w:hAnsi="Arial Narrow"/>
              <w:sz w:val="20"/>
              <w:szCs w:val="22"/>
            </w:rPr>
            <w:t>A5-</w:t>
          </w:r>
          <w:r w:rsidRPr="009A221A">
            <w:rPr>
              <w:rFonts w:ascii="Arial Narrow" w:hAnsi="Arial Narrow"/>
              <w:sz w:val="20"/>
              <w:szCs w:val="22"/>
            </w:rPr>
            <w:fldChar w:fldCharType="begin"/>
          </w:r>
          <w:r w:rsidRPr="009A221A">
            <w:rPr>
              <w:rFonts w:ascii="Arial Narrow" w:hAnsi="Arial Narrow"/>
              <w:sz w:val="20"/>
              <w:szCs w:val="22"/>
            </w:rPr>
            <w:instrText xml:space="preserve"> PAGE </w:instrText>
          </w:r>
          <w:r w:rsidRPr="009A221A">
            <w:rPr>
              <w:rFonts w:ascii="Arial Narrow" w:hAnsi="Arial Narrow"/>
              <w:sz w:val="20"/>
              <w:szCs w:val="22"/>
            </w:rPr>
            <w:fldChar w:fldCharType="separate"/>
          </w:r>
          <w:r>
            <w:rPr>
              <w:rFonts w:ascii="Arial Narrow" w:hAnsi="Arial Narrow"/>
              <w:noProof/>
              <w:sz w:val="20"/>
              <w:szCs w:val="22"/>
            </w:rPr>
            <w:t>1</w:t>
          </w:r>
          <w:r w:rsidRPr="009A221A">
            <w:rPr>
              <w:rFonts w:ascii="Arial Narrow" w:hAnsi="Arial Narrow"/>
              <w:sz w:val="20"/>
              <w:szCs w:val="22"/>
            </w:rPr>
            <w:fldChar w:fldCharType="end"/>
          </w:r>
        </w:p>
      </w:tc>
    </w:tr>
  </w:tbl>
  <w:p w:rsidR="00A6008B" w:rsidRPr="000E5050" w:rsidRDefault="00A6008B" w:rsidP="000E5050">
    <w:pPr>
      <w:pStyle w:val="Footer"/>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07" w:type="dxa"/>
      <w:tblInd w:w="-601" w:type="dxa"/>
      <w:tblLayout w:type="fixed"/>
      <w:tblLook w:val="0000"/>
    </w:tblPr>
    <w:tblGrid>
      <w:gridCol w:w="8364"/>
      <w:gridCol w:w="1843"/>
    </w:tblGrid>
    <w:tr w:rsidR="00A6008B" w:rsidRPr="00FA328D" w:rsidTr="00F20BAA">
      <w:trPr>
        <w:trHeight w:val="142"/>
      </w:trPr>
      <w:tc>
        <w:tcPr>
          <w:tcW w:w="8364" w:type="dxa"/>
          <w:tcBorders>
            <w:top w:val="single" w:sz="4" w:space="0" w:color="000000"/>
          </w:tcBorders>
        </w:tcPr>
        <w:p w:rsidR="00A6008B" w:rsidRPr="000E5050" w:rsidRDefault="00A6008B" w:rsidP="00F3710E">
          <w:pPr>
            <w:snapToGrid w:val="0"/>
            <w:spacing w:before="120"/>
            <w:ind w:left="613"/>
            <w:rPr>
              <w:rFonts w:cs="Calibri"/>
              <w:i/>
              <w:sz w:val="20"/>
              <w:szCs w:val="32"/>
            </w:rPr>
          </w:pPr>
          <w:r w:rsidRPr="000E5050">
            <w:rPr>
              <w:i/>
              <w:sz w:val="20"/>
              <w:szCs w:val="32"/>
            </w:rPr>
            <w:t xml:space="preserve">PJDP is implemented by the Federal Court of Australia </w:t>
          </w:r>
          <w:r w:rsidRPr="000E5050">
            <w:rPr>
              <w:rFonts w:cs="Calibri"/>
              <w:i/>
              <w:sz w:val="20"/>
              <w:szCs w:val="32"/>
            </w:rPr>
            <w:t>wi</w:t>
          </w:r>
          <w:r>
            <w:rPr>
              <w:rFonts w:cs="Calibri"/>
              <w:i/>
              <w:sz w:val="20"/>
              <w:szCs w:val="32"/>
            </w:rPr>
            <w:t>th funding support from NZ MFAT</w:t>
          </w:r>
        </w:p>
      </w:tc>
      <w:tc>
        <w:tcPr>
          <w:tcW w:w="1843" w:type="dxa"/>
          <w:tcBorders>
            <w:top w:val="single" w:sz="4" w:space="0" w:color="000000"/>
          </w:tcBorders>
        </w:tcPr>
        <w:p w:rsidR="00A6008B" w:rsidRPr="009A221A" w:rsidRDefault="00A6008B" w:rsidP="00000795">
          <w:pPr>
            <w:pStyle w:val="Footer"/>
            <w:snapToGrid w:val="0"/>
            <w:spacing w:before="120"/>
            <w:ind w:right="624"/>
            <w:jc w:val="right"/>
            <w:rPr>
              <w:rFonts w:ascii="Arial Narrow" w:hAnsi="Arial Narrow"/>
              <w:sz w:val="2"/>
              <w:szCs w:val="22"/>
            </w:rPr>
          </w:pPr>
          <w:r w:rsidRPr="009A221A">
            <w:rPr>
              <w:rFonts w:ascii="Arial Narrow" w:hAnsi="Arial Narrow"/>
              <w:sz w:val="20"/>
              <w:szCs w:val="22"/>
            </w:rPr>
            <w:fldChar w:fldCharType="begin"/>
          </w:r>
          <w:r w:rsidRPr="009A221A">
            <w:rPr>
              <w:rFonts w:ascii="Arial Narrow" w:hAnsi="Arial Narrow"/>
              <w:sz w:val="20"/>
              <w:szCs w:val="22"/>
            </w:rPr>
            <w:instrText xml:space="preserve"> PAGE </w:instrText>
          </w:r>
          <w:r w:rsidRPr="009A221A">
            <w:rPr>
              <w:rFonts w:ascii="Arial Narrow" w:hAnsi="Arial Narrow"/>
              <w:sz w:val="20"/>
              <w:szCs w:val="22"/>
            </w:rPr>
            <w:fldChar w:fldCharType="separate"/>
          </w:r>
          <w:r>
            <w:rPr>
              <w:rFonts w:ascii="Arial Narrow" w:hAnsi="Arial Narrow"/>
              <w:noProof/>
              <w:sz w:val="20"/>
              <w:szCs w:val="22"/>
            </w:rPr>
            <w:t>vi</w:t>
          </w:r>
          <w:r w:rsidRPr="009A221A">
            <w:rPr>
              <w:rFonts w:ascii="Arial Narrow" w:hAnsi="Arial Narrow"/>
              <w:sz w:val="20"/>
              <w:szCs w:val="22"/>
            </w:rPr>
            <w:fldChar w:fldCharType="end"/>
          </w:r>
        </w:p>
      </w:tc>
    </w:tr>
  </w:tbl>
  <w:p w:rsidR="00A6008B" w:rsidRPr="000E5050" w:rsidRDefault="00A6008B" w:rsidP="000E5050">
    <w:pPr>
      <w:pStyle w:val="Footer"/>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07" w:type="dxa"/>
      <w:tblInd w:w="-601" w:type="dxa"/>
      <w:tblLayout w:type="fixed"/>
      <w:tblLook w:val="0000"/>
    </w:tblPr>
    <w:tblGrid>
      <w:gridCol w:w="8364"/>
      <w:gridCol w:w="1843"/>
    </w:tblGrid>
    <w:tr w:rsidR="00A6008B" w:rsidRPr="00FA328D" w:rsidTr="00F20BAA">
      <w:trPr>
        <w:trHeight w:val="142"/>
      </w:trPr>
      <w:tc>
        <w:tcPr>
          <w:tcW w:w="8364" w:type="dxa"/>
          <w:tcBorders>
            <w:top w:val="single" w:sz="4" w:space="0" w:color="000000"/>
          </w:tcBorders>
        </w:tcPr>
        <w:p w:rsidR="00A6008B" w:rsidRPr="000E5050" w:rsidRDefault="00A6008B" w:rsidP="00F3710E">
          <w:pPr>
            <w:snapToGrid w:val="0"/>
            <w:spacing w:before="120"/>
            <w:ind w:left="613"/>
            <w:rPr>
              <w:rFonts w:cs="Calibri"/>
              <w:i/>
              <w:sz w:val="20"/>
              <w:szCs w:val="32"/>
            </w:rPr>
          </w:pPr>
          <w:r w:rsidRPr="000E5050">
            <w:rPr>
              <w:i/>
              <w:sz w:val="20"/>
              <w:szCs w:val="32"/>
            </w:rPr>
            <w:t xml:space="preserve">PJDP is implemented by the Federal Court of Australia </w:t>
          </w:r>
          <w:r w:rsidRPr="000E5050">
            <w:rPr>
              <w:rFonts w:cs="Calibri"/>
              <w:i/>
              <w:sz w:val="20"/>
              <w:szCs w:val="32"/>
            </w:rPr>
            <w:t>wi</w:t>
          </w:r>
          <w:r>
            <w:rPr>
              <w:rFonts w:cs="Calibri"/>
              <w:i/>
              <w:sz w:val="20"/>
              <w:szCs w:val="32"/>
            </w:rPr>
            <w:t>th funding support from NZ MFAT</w:t>
          </w:r>
        </w:p>
      </w:tc>
      <w:tc>
        <w:tcPr>
          <w:tcW w:w="1843" w:type="dxa"/>
          <w:tcBorders>
            <w:top w:val="single" w:sz="4" w:space="0" w:color="000000"/>
          </w:tcBorders>
        </w:tcPr>
        <w:p w:rsidR="00A6008B" w:rsidRPr="009A221A" w:rsidRDefault="00A6008B" w:rsidP="00000795">
          <w:pPr>
            <w:pStyle w:val="Footer"/>
            <w:snapToGrid w:val="0"/>
            <w:spacing w:before="120"/>
            <w:ind w:right="624"/>
            <w:jc w:val="right"/>
            <w:rPr>
              <w:rFonts w:ascii="Arial Narrow" w:hAnsi="Arial Narrow"/>
              <w:sz w:val="2"/>
              <w:szCs w:val="22"/>
            </w:rPr>
          </w:pPr>
          <w:r w:rsidRPr="009A221A">
            <w:rPr>
              <w:rFonts w:ascii="Arial Narrow" w:hAnsi="Arial Narrow"/>
              <w:sz w:val="20"/>
              <w:szCs w:val="22"/>
            </w:rPr>
            <w:fldChar w:fldCharType="begin"/>
          </w:r>
          <w:r w:rsidRPr="009A221A">
            <w:rPr>
              <w:rFonts w:ascii="Arial Narrow" w:hAnsi="Arial Narrow"/>
              <w:sz w:val="20"/>
              <w:szCs w:val="22"/>
            </w:rPr>
            <w:instrText xml:space="preserve"> PAGE </w:instrText>
          </w:r>
          <w:r w:rsidRPr="009A221A">
            <w:rPr>
              <w:rFonts w:ascii="Arial Narrow" w:hAnsi="Arial Narrow"/>
              <w:sz w:val="20"/>
              <w:szCs w:val="22"/>
            </w:rPr>
            <w:fldChar w:fldCharType="separate"/>
          </w:r>
          <w:r>
            <w:rPr>
              <w:rFonts w:ascii="Arial Narrow" w:hAnsi="Arial Narrow"/>
              <w:noProof/>
              <w:sz w:val="20"/>
              <w:szCs w:val="22"/>
            </w:rPr>
            <w:t>24</w:t>
          </w:r>
          <w:r w:rsidRPr="009A221A">
            <w:rPr>
              <w:rFonts w:ascii="Arial Narrow" w:hAnsi="Arial Narrow"/>
              <w:sz w:val="20"/>
              <w:szCs w:val="22"/>
            </w:rPr>
            <w:fldChar w:fldCharType="end"/>
          </w:r>
        </w:p>
      </w:tc>
    </w:tr>
  </w:tbl>
  <w:p w:rsidR="00A6008B" w:rsidRPr="000E5050" w:rsidRDefault="00A6008B" w:rsidP="000E5050">
    <w:pPr>
      <w:pStyle w:val="Footer"/>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07" w:type="dxa"/>
      <w:tblInd w:w="-601" w:type="dxa"/>
      <w:tblLayout w:type="fixed"/>
      <w:tblLook w:val="0000"/>
    </w:tblPr>
    <w:tblGrid>
      <w:gridCol w:w="8364"/>
      <w:gridCol w:w="1843"/>
    </w:tblGrid>
    <w:tr w:rsidR="00A6008B" w:rsidRPr="00FA328D" w:rsidTr="00F20BAA">
      <w:trPr>
        <w:trHeight w:val="142"/>
      </w:trPr>
      <w:tc>
        <w:tcPr>
          <w:tcW w:w="8364" w:type="dxa"/>
          <w:tcBorders>
            <w:top w:val="single" w:sz="4" w:space="0" w:color="000000"/>
          </w:tcBorders>
        </w:tcPr>
        <w:p w:rsidR="00A6008B" w:rsidRPr="000E5050" w:rsidRDefault="00A6008B" w:rsidP="00F3710E">
          <w:pPr>
            <w:snapToGrid w:val="0"/>
            <w:spacing w:before="120"/>
            <w:ind w:left="613"/>
            <w:rPr>
              <w:rFonts w:cs="Calibri"/>
              <w:i/>
              <w:sz w:val="20"/>
              <w:szCs w:val="32"/>
            </w:rPr>
          </w:pPr>
          <w:r w:rsidRPr="000E5050">
            <w:rPr>
              <w:i/>
              <w:sz w:val="20"/>
              <w:szCs w:val="32"/>
            </w:rPr>
            <w:t xml:space="preserve">PJDP is implemented by the Federal Court of Australia </w:t>
          </w:r>
          <w:r w:rsidRPr="000E5050">
            <w:rPr>
              <w:rFonts w:cs="Calibri"/>
              <w:i/>
              <w:sz w:val="20"/>
              <w:szCs w:val="32"/>
            </w:rPr>
            <w:t>wi</w:t>
          </w:r>
          <w:r>
            <w:rPr>
              <w:rFonts w:cs="Calibri"/>
              <w:i/>
              <w:sz w:val="20"/>
              <w:szCs w:val="32"/>
            </w:rPr>
            <w:t>th funding support from NZ MFAT</w:t>
          </w:r>
        </w:p>
      </w:tc>
      <w:tc>
        <w:tcPr>
          <w:tcW w:w="1843" w:type="dxa"/>
          <w:tcBorders>
            <w:top w:val="single" w:sz="4" w:space="0" w:color="000000"/>
          </w:tcBorders>
        </w:tcPr>
        <w:p w:rsidR="00A6008B" w:rsidRPr="009A221A" w:rsidRDefault="00A6008B" w:rsidP="00000795">
          <w:pPr>
            <w:pStyle w:val="Footer"/>
            <w:snapToGrid w:val="0"/>
            <w:spacing w:before="120"/>
            <w:ind w:right="624"/>
            <w:jc w:val="right"/>
            <w:rPr>
              <w:rFonts w:ascii="Arial Narrow" w:hAnsi="Arial Narrow"/>
              <w:sz w:val="2"/>
              <w:szCs w:val="22"/>
            </w:rPr>
          </w:pPr>
        </w:p>
      </w:tc>
    </w:tr>
  </w:tbl>
  <w:p w:rsidR="00A6008B" w:rsidRPr="000E5050" w:rsidRDefault="00A6008B" w:rsidP="000E5050">
    <w:pPr>
      <w:pStyle w:val="Footer"/>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735" w:type="dxa"/>
      <w:tblInd w:w="-601" w:type="dxa"/>
      <w:tblLayout w:type="fixed"/>
      <w:tblLook w:val="0000"/>
    </w:tblPr>
    <w:tblGrid>
      <w:gridCol w:w="13892"/>
      <w:gridCol w:w="1843"/>
    </w:tblGrid>
    <w:tr w:rsidR="00A6008B" w:rsidRPr="00FA328D" w:rsidTr="006223B3">
      <w:trPr>
        <w:trHeight w:val="142"/>
      </w:trPr>
      <w:tc>
        <w:tcPr>
          <w:tcW w:w="13892" w:type="dxa"/>
          <w:tcBorders>
            <w:top w:val="single" w:sz="4" w:space="0" w:color="000000"/>
          </w:tcBorders>
        </w:tcPr>
        <w:p w:rsidR="00A6008B" w:rsidRPr="006223B3" w:rsidRDefault="00A6008B" w:rsidP="00F3710E">
          <w:pPr>
            <w:snapToGrid w:val="0"/>
            <w:spacing w:before="120"/>
            <w:ind w:left="613"/>
            <w:rPr>
              <w:rFonts w:cs="Calibri"/>
              <w:i/>
              <w:sz w:val="20"/>
              <w:szCs w:val="32"/>
            </w:rPr>
          </w:pPr>
          <w:r w:rsidRPr="00C56799">
            <w:rPr>
              <w:bCs/>
              <w:i/>
              <w:sz w:val="20"/>
              <w:szCs w:val="32"/>
            </w:rPr>
            <w:t xml:space="preserve">PJDP is implemented by the Federal Court of Australia </w:t>
          </w:r>
          <w:r w:rsidRPr="006223B3">
            <w:rPr>
              <w:rFonts w:cs="Calibri"/>
              <w:i/>
              <w:sz w:val="20"/>
              <w:szCs w:val="32"/>
            </w:rPr>
            <w:t>with funding support from NZ MFAT</w:t>
          </w:r>
        </w:p>
      </w:tc>
      <w:tc>
        <w:tcPr>
          <w:tcW w:w="1843" w:type="dxa"/>
          <w:tcBorders>
            <w:top w:val="single" w:sz="4" w:space="0" w:color="000000"/>
          </w:tcBorders>
        </w:tcPr>
        <w:p w:rsidR="00A6008B" w:rsidRPr="009A221A" w:rsidRDefault="00A6008B" w:rsidP="008116D5">
          <w:pPr>
            <w:pStyle w:val="Footer"/>
            <w:snapToGrid w:val="0"/>
            <w:spacing w:before="120"/>
            <w:ind w:right="624"/>
            <w:jc w:val="right"/>
            <w:rPr>
              <w:rFonts w:ascii="Arial Narrow" w:hAnsi="Arial Narrow"/>
              <w:sz w:val="2"/>
              <w:szCs w:val="22"/>
            </w:rPr>
          </w:pPr>
          <w:r w:rsidRPr="009A221A">
            <w:rPr>
              <w:rFonts w:ascii="Arial Narrow" w:hAnsi="Arial Narrow"/>
              <w:sz w:val="20"/>
              <w:szCs w:val="22"/>
            </w:rPr>
            <w:t>A1-</w:t>
          </w:r>
          <w:r w:rsidRPr="009A221A">
            <w:rPr>
              <w:rFonts w:ascii="Arial Narrow" w:hAnsi="Arial Narrow"/>
              <w:sz w:val="20"/>
              <w:szCs w:val="22"/>
            </w:rPr>
            <w:fldChar w:fldCharType="begin"/>
          </w:r>
          <w:r w:rsidRPr="009A221A">
            <w:rPr>
              <w:rFonts w:ascii="Arial Narrow" w:hAnsi="Arial Narrow"/>
              <w:sz w:val="20"/>
              <w:szCs w:val="22"/>
            </w:rPr>
            <w:instrText xml:space="preserve"> PAGE </w:instrText>
          </w:r>
          <w:r w:rsidRPr="009A221A">
            <w:rPr>
              <w:rFonts w:ascii="Arial Narrow" w:hAnsi="Arial Narrow"/>
              <w:sz w:val="20"/>
              <w:szCs w:val="22"/>
            </w:rPr>
            <w:fldChar w:fldCharType="separate"/>
          </w:r>
          <w:r>
            <w:rPr>
              <w:rFonts w:ascii="Arial Narrow" w:hAnsi="Arial Narrow"/>
              <w:noProof/>
              <w:sz w:val="20"/>
              <w:szCs w:val="22"/>
            </w:rPr>
            <w:t>1</w:t>
          </w:r>
          <w:r w:rsidRPr="009A221A">
            <w:rPr>
              <w:rFonts w:ascii="Arial Narrow" w:hAnsi="Arial Narrow"/>
              <w:sz w:val="20"/>
              <w:szCs w:val="22"/>
            </w:rPr>
            <w:fldChar w:fldCharType="end"/>
          </w:r>
        </w:p>
      </w:tc>
    </w:tr>
  </w:tbl>
  <w:p w:rsidR="00A6008B" w:rsidRPr="000E5050" w:rsidRDefault="00A6008B" w:rsidP="000E5050">
    <w:pPr>
      <w:pStyle w:val="Footer"/>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735" w:type="dxa"/>
      <w:tblInd w:w="-601" w:type="dxa"/>
      <w:tblLayout w:type="fixed"/>
      <w:tblLook w:val="0000"/>
    </w:tblPr>
    <w:tblGrid>
      <w:gridCol w:w="13183"/>
      <w:gridCol w:w="1843"/>
    </w:tblGrid>
    <w:tr w:rsidR="00A6008B" w:rsidRPr="00FA328D" w:rsidTr="006223B3">
      <w:trPr>
        <w:trHeight w:val="142"/>
      </w:trPr>
      <w:tc>
        <w:tcPr>
          <w:tcW w:w="13892" w:type="dxa"/>
          <w:tcBorders>
            <w:top w:val="single" w:sz="4" w:space="0" w:color="000000"/>
          </w:tcBorders>
        </w:tcPr>
        <w:p w:rsidR="00A6008B" w:rsidRPr="006223B3" w:rsidRDefault="00A6008B" w:rsidP="00F3710E">
          <w:pPr>
            <w:snapToGrid w:val="0"/>
            <w:spacing w:before="120"/>
            <w:ind w:left="613"/>
            <w:rPr>
              <w:rFonts w:cs="Calibri"/>
              <w:i/>
              <w:sz w:val="20"/>
              <w:szCs w:val="32"/>
            </w:rPr>
          </w:pPr>
          <w:r w:rsidRPr="00C56799">
            <w:rPr>
              <w:bCs/>
              <w:i/>
              <w:sz w:val="20"/>
              <w:szCs w:val="32"/>
            </w:rPr>
            <w:t xml:space="preserve">PJDP is implemented by the Federal Court of Australia </w:t>
          </w:r>
          <w:r w:rsidRPr="006223B3">
            <w:rPr>
              <w:rFonts w:cs="Calibri"/>
              <w:i/>
              <w:sz w:val="20"/>
              <w:szCs w:val="32"/>
            </w:rPr>
            <w:t>with funding support from NZ MFAT</w:t>
          </w:r>
        </w:p>
      </w:tc>
      <w:tc>
        <w:tcPr>
          <w:tcW w:w="1843" w:type="dxa"/>
          <w:tcBorders>
            <w:top w:val="single" w:sz="4" w:space="0" w:color="000000"/>
          </w:tcBorders>
        </w:tcPr>
        <w:p w:rsidR="00A6008B" w:rsidRPr="009A221A" w:rsidRDefault="00A6008B" w:rsidP="001B7066">
          <w:pPr>
            <w:pStyle w:val="Footer"/>
            <w:snapToGrid w:val="0"/>
            <w:spacing w:before="120"/>
            <w:ind w:right="624"/>
            <w:jc w:val="right"/>
            <w:rPr>
              <w:rFonts w:ascii="Arial Narrow" w:hAnsi="Arial Narrow"/>
              <w:sz w:val="2"/>
              <w:szCs w:val="22"/>
            </w:rPr>
          </w:pPr>
          <w:r w:rsidRPr="009A221A">
            <w:rPr>
              <w:rFonts w:ascii="Arial Narrow" w:hAnsi="Arial Narrow"/>
              <w:sz w:val="20"/>
              <w:szCs w:val="22"/>
            </w:rPr>
            <w:t>A1-</w:t>
          </w:r>
          <w:r w:rsidRPr="009A221A">
            <w:rPr>
              <w:rFonts w:ascii="Arial Narrow" w:hAnsi="Arial Narrow"/>
              <w:sz w:val="20"/>
              <w:szCs w:val="22"/>
            </w:rPr>
            <w:fldChar w:fldCharType="begin"/>
          </w:r>
          <w:r w:rsidRPr="009A221A">
            <w:rPr>
              <w:rFonts w:ascii="Arial Narrow" w:hAnsi="Arial Narrow"/>
              <w:sz w:val="20"/>
              <w:szCs w:val="22"/>
            </w:rPr>
            <w:instrText xml:space="preserve"> PAGE </w:instrText>
          </w:r>
          <w:r w:rsidRPr="009A221A">
            <w:rPr>
              <w:rFonts w:ascii="Arial Narrow" w:hAnsi="Arial Narrow"/>
              <w:sz w:val="20"/>
              <w:szCs w:val="22"/>
            </w:rPr>
            <w:fldChar w:fldCharType="separate"/>
          </w:r>
          <w:r>
            <w:rPr>
              <w:rFonts w:ascii="Arial Narrow" w:hAnsi="Arial Narrow"/>
              <w:noProof/>
              <w:sz w:val="20"/>
              <w:szCs w:val="22"/>
            </w:rPr>
            <w:t>15</w:t>
          </w:r>
          <w:r w:rsidRPr="009A221A">
            <w:rPr>
              <w:rFonts w:ascii="Arial Narrow" w:hAnsi="Arial Narrow"/>
              <w:sz w:val="20"/>
              <w:szCs w:val="22"/>
            </w:rPr>
            <w:fldChar w:fldCharType="end"/>
          </w:r>
        </w:p>
      </w:tc>
    </w:tr>
  </w:tbl>
  <w:p w:rsidR="00A6008B" w:rsidRPr="000E5050" w:rsidRDefault="00A6008B" w:rsidP="000E5050">
    <w:pPr>
      <w:pStyle w:val="Footer"/>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07" w:type="dxa"/>
      <w:tblInd w:w="-601" w:type="dxa"/>
      <w:tblLayout w:type="fixed"/>
      <w:tblLook w:val="0000"/>
    </w:tblPr>
    <w:tblGrid>
      <w:gridCol w:w="7655"/>
      <w:gridCol w:w="1843"/>
    </w:tblGrid>
    <w:tr w:rsidR="00A6008B" w:rsidRPr="00FA328D" w:rsidTr="00F20BAA">
      <w:trPr>
        <w:trHeight w:val="142"/>
      </w:trPr>
      <w:tc>
        <w:tcPr>
          <w:tcW w:w="8364" w:type="dxa"/>
          <w:tcBorders>
            <w:top w:val="single" w:sz="4" w:space="0" w:color="000000"/>
          </w:tcBorders>
        </w:tcPr>
        <w:p w:rsidR="00A6008B" w:rsidRPr="000E5050" w:rsidRDefault="00A6008B" w:rsidP="00F3710E">
          <w:pPr>
            <w:snapToGrid w:val="0"/>
            <w:spacing w:before="120"/>
            <w:ind w:left="613"/>
            <w:rPr>
              <w:rFonts w:cs="Calibri"/>
              <w:i/>
              <w:sz w:val="20"/>
              <w:szCs w:val="32"/>
            </w:rPr>
          </w:pPr>
          <w:r w:rsidRPr="000E5050">
            <w:rPr>
              <w:i/>
              <w:sz w:val="20"/>
              <w:szCs w:val="32"/>
            </w:rPr>
            <w:t xml:space="preserve">PJDP is implemented by the Federal Court of Australia </w:t>
          </w:r>
          <w:r w:rsidRPr="000E5050">
            <w:rPr>
              <w:rFonts w:cs="Calibri"/>
              <w:i/>
              <w:sz w:val="20"/>
              <w:szCs w:val="32"/>
            </w:rPr>
            <w:t>wi</w:t>
          </w:r>
          <w:r>
            <w:rPr>
              <w:rFonts w:cs="Calibri"/>
              <w:i/>
              <w:sz w:val="20"/>
              <w:szCs w:val="32"/>
            </w:rPr>
            <w:t>th funding support from NZ MFAT</w:t>
          </w:r>
        </w:p>
      </w:tc>
      <w:tc>
        <w:tcPr>
          <w:tcW w:w="1843" w:type="dxa"/>
          <w:tcBorders>
            <w:top w:val="single" w:sz="4" w:space="0" w:color="000000"/>
          </w:tcBorders>
        </w:tcPr>
        <w:p w:rsidR="00A6008B" w:rsidRPr="009A221A" w:rsidRDefault="00A6008B" w:rsidP="006223B3">
          <w:pPr>
            <w:pStyle w:val="Footer"/>
            <w:snapToGrid w:val="0"/>
            <w:spacing w:before="120"/>
            <w:ind w:right="624"/>
            <w:jc w:val="right"/>
            <w:rPr>
              <w:rFonts w:ascii="Arial Narrow" w:hAnsi="Arial Narrow"/>
              <w:sz w:val="2"/>
              <w:szCs w:val="22"/>
            </w:rPr>
          </w:pPr>
          <w:r w:rsidRPr="009A221A">
            <w:rPr>
              <w:rFonts w:ascii="Arial Narrow" w:hAnsi="Arial Narrow"/>
              <w:sz w:val="20"/>
              <w:szCs w:val="22"/>
            </w:rPr>
            <w:t>A2-</w:t>
          </w:r>
          <w:r w:rsidRPr="009A221A">
            <w:rPr>
              <w:rFonts w:ascii="Arial Narrow" w:hAnsi="Arial Narrow"/>
              <w:sz w:val="20"/>
              <w:szCs w:val="22"/>
            </w:rPr>
            <w:fldChar w:fldCharType="begin"/>
          </w:r>
          <w:r w:rsidRPr="009A221A">
            <w:rPr>
              <w:rFonts w:ascii="Arial Narrow" w:hAnsi="Arial Narrow"/>
              <w:sz w:val="20"/>
              <w:szCs w:val="22"/>
            </w:rPr>
            <w:instrText xml:space="preserve"> PAGE </w:instrText>
          </w:r>
          <w:r w:rsidRPr="009A221A">
            <w:rPr>
              <w:rFonts w:ascii="Arial Narrow" w:hAnsi="Arial Narrow"/>
              <w:sz w:val="20"/>
              <w:szCs w:val="22"/>
            </w:rPr>
            <w:fldChar w:fldCharType="separate"/>
          </w:r>
          <w:r>
            <w:rPr>
              <w:rFonts w:ascii="Arial Narrow" w:hAnsi="Arial Narrow"/>
              <w:noProof/>
              <w:sz w:val="20"/>
              <w:szCs w:val="22"/>
            </w:rPr>
            <w:t>1</w:t>
          </w:r>
          <w:r w:rsidRPr="009A221A">
            <w:rPr>
              <w:rFonts w:ascii="Arial Narrow" w:hAnsi="Arial Narrow"/>
              <w:sz w:val="20"/>
              <w:szCs w:val="22"/>
            </w:rPr>
            <w:fldChar w:fldCharType="end"/>
          </w:r>
        </w:p>
      </w:tc>
    </w:tr>
  </w:tbl>
  <w:p w:rsidR="00A6008B" w:rsidRPr="000E5050" w:rsidRDefault="00A6008B" w:rsidP="000E5050">
    <w:pPr>
      <w:pStyle w:val="Footer"/>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07" w:type="dxa"/>
      <w:tblInd w:w="-601" w:type="dxa"/>
      <w:tblLayout w:type="fixed"/>
      <w:tblLook w:val="0000"/>
    </w:tblPr>
    <w:tblGrid>
      <w:gridCol w:w="8364"/>
      <w:gridCol w:w="1843"/>
    </w:tblGrid>
    <w:tr w:rsidR="00A6008B" w:rsidRPr="00FA328D" w:rsidTr="00F20BAA">
      <w:trPr>
        <w:trHeight w:val="142"/>
      </w:trPr>
      <w:tc>
        <w:tcPr>
          <w:tcW w:w="8364" w:type="dxa"/>
          <w:tcBorders>
            <w:top w:val="single" w:sz="4" w:space="0" w:color="000000"/>
          </w:tcBorders>
        </w:tcPr>
        <w:p w:rsidR="00A6008B" w:rsidRPr="000E5050" w:rsidRDefault="00A6008B" w:rsidP="00F3710E">
          <w:pPr>
            <w:snapToGrid w:val="0"/>
            <w:spacing w:before="120"/>
            <w:ind w:left="613"/>
            <w:rPr>
              <w:rFonts w:cs="Calibri"/>
              <w:i/>
              <w:sz w:val="20"/>
              <w:szCs w:val="32"/>
            </w:rPr>
          </w:pPr>
          <w:r w:rsidRPr="000E5050">
            <w:rPr>
              <w:i/>
              <w:sz w:val="20"/>
              <w:szCs w:val="32"/>
            </w:rPr>
            <w:t xml:space="preserve">PJDP is implemented by the Federal Court of Australia </w:t>
          </w:r>
          <w:r w:rsidRPr="000E5050">
            <w:rPr>
              <w:rFonts w:cs="Calibri"/>
              <w:i/>
              <w:sz w:val="20"/>
              <w:szCs w:val="32"/>
            </w:rPr>
            <w:t>wi</w:t>
          </w:r>
          <w:r>
            <w:rPr>
              <w:rFonts w:cs="Calibri"/>
              <w:i/>
              <w:sz w:val="20"/>
              <w:szCs w:val="32"/>
            </w:rPr>
            <w:t>th funding support from NZ MFAT</w:t>
          </w:r>
        </w:p>
      </w:tc>
      <w:tc>
        <w:tcPr>
          <w:tcW w:w="1843" w:type="dxa"/>
          <w:tcBorders>
            <w:top w:val="single" w:sz="4" w:space="0" w:color="000000"/>
          </w:tcBorders>
        </w:tcPr>
        <w:p w:rsidR="00A6008B" w:rsidRPr="009A221A" w:rsidRDefault="00A6008B" w:rsidP="00527506">
          <w:pPr>
            <w:pStyle w:val="Footer"/>
            <w:snapToGrid w:val="0"/>
            <w:spacing w:before="120"/>
            <w:ind w:right="624"/>
            <w:jc w:val="right"/>
            <w:rPr>
              <w:rFonts w:ascii="Arial Narrow" w:hAnsi="Arial Narrow"/>
              <w:sz w:val="2"/>
              <w:szCs w:val="22"/>
            </w:rPr>
          </w:pPr>
          <w:r w:rsidRPr="009A221A">
            <w:rPr>
              <w:rFonts w:ascii="Arial Narrow" w:hAnsi="Arial Narrow"/>
              <w:sz w:val="20"/>
              <w:szCs w:val="22"/>
            </w:rPr>
            <w:t>A3-</w:t>
          </w:r>
          <w:r w:rsidRPr="009A221A">
            <w:rPr>
              <w:rFonts w:ascii="Arial Narrow" w:hAnsi="Arial Narrow"/>
              <w:sz w:val="20"/>
              <w:szCs w:val="22"/>
            </w:rPr>
            <w:fldChar w:fldCharType="begin"/>
          </w:r>
          <w:r w:rsidRPr="009A221A">
            <w:rPr>
              <w:rFonts w:ascii="Arial Narrow" w:hAnsi="Arial Narrow"/>
              <w:sz w:val="20"/>
              <w:szCs w:val="22"/>
            </w:rPr>
            <w:instrText xml:space="preserve"> PAGE </w:instrText>
          </w:r>
          <w:r w:rsidRPr="009A221A">
            <w:rPr>
              <w:rFonts w:ascii="Arial Narrow" w:hAnsi="Arial Narrow"/>
              <w:sz w:val="20"/>
              <w:szCs w:val="22"/>
            </w:rPr>
            <w:fldChar w:fldCharType="separate"/>
          </w:r>
          <w:r>
            <w:rPr>
              <w:rFonts w:ascii="Arial Narrow" w:hAnsi="Arial Narrow"/>
              <w:noProof/>
              <w:sz w:val="20"/>
              <w:szCs w:val="22"/>
            </w:rPr>
            <w:t>1</w:t>
          </w:r>
          <w:r w:rsidRPr="009A221A">
            <w:rPr>
              <w:rFonts w:ascii="Arial Narrow" w:hAnsi="Arial Narrow"/>
              <w:sz w:val="20"/>
              <w:szCs w:val="22"/>
            </w:rPr>
            <w:fldChar w:fldCharType="end"/>
          </w:r>
        </w:p>
      </w:tc>
    </w:tr>
  </w:tbl>
  <w:p w:rsidR="00A6008B" w:rsidRPr="000E5050" w:rsidRDefault="00A6008B" w:rsidP="000E5050">
    <w:pPr>
      <w:pStyle w:val="Footer"/>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735" w:type="dxa"/>
      <w:tblInd w:w="-318" w:type="dxa"/>
      <w:tblLayout w:type="fixed"/>
      <w:tblLook w:val="0000"/>
    </w:tblPr>
    <w:tblGrid>
      <w:gridCol w:w="13892"/>
      <w:gridCol w:w="1843"/>
    </w:tblGrid>
    <w:tr w:rsidR="00A6008B" w:rsidRPr="00FA328D" w:rsidTr="008920E6">
      <w:trPr>
        <w:trHeight w:val="142"/>
      </w:trPr>
      <w:tc>
        <w:tcPr>
          <w:tcW w:w="13892" w:type="dxa"/>
          <w:tcBorders>
            <w:top w:val="single" w:sz="4" w:space="0" w:color="000000"/>
          </w:tcBorders>
        </w:tcPr>
        <w:p w:rsidR="00A6008B" w:rsidRPr="006223B3" w:rsidRDefault="00A6008B" w:rsidP="00F3710E">
          <w:pPr>
            <w:snapToGrid w:val="0"/>
            <w:spacing w:before="120"/>
            <w:ind w:left="613"/>
            <w:rPr>
              <w:rFonts w:cs="Calibri"/>
              <w:i/>
              <w:sz w:val="20"/>
              <w:szCs w:val="32"/>
            </w:rPr>
          </w:pPr>
          <w:r w:rsidRPr="00C56799">
            <w:rPr>
              <w:bCs/>
              <w:i/>
              <w:sz w:val="20"/>
              <w:szCs w:val="32"/>
            </w:rPr>
            <w:t xml:space="preserve">PJDP is implemented by the Federal Court of Australia </w:t>
          </w:r>
          <w:r w:rsidRPr="006223B3">
            <w:rPr>
              <w:rFonts w:cs="Calibri"/>
              <w:i/>
              <w:sz w:val="20"/>
              <w:szCs w:val="32"/>
            </w:rPr>
            <w:t>with funding support from NZ MFAT</w:t>
          </w:r>
        </w:p>
      </w:tc>
      <w:tc>
        <w:tcPr>
          <w:tcW w:w="1843" w:type="dxa"/>
          <w:tcBorders>
            <w:top w:val="single" w:sz="4" w:space="0" w:color="000000"/>
          </w:tcBorders>
        </w:tcPr>
        <w:p w:rsidR="00A6008B" w:rsidRPr="009A221A" w:rsidRDefault="00A6008B" w:rsidP="00DA2BA5">
          <w:pPr>
            <w:pStyle w:val="Footer"/>
            <w:snapToGrid w:val="0"/>
            <w:spacing w:before="120"/>
            <w:ind w:right="624"/>
            <w:jc w:val="right"/>
            <w:rPr>
              <w:rFonts w:ascii="Arial Narrow" w:hAnsi="Arial Narrow"/>
              <w:sz w:val="2"/>
              <w:szCs w:val="22"/>
            </w:rPr>
          </w:pPr>
          <w:r w:rsidRPr="009A221A">
            <w:rPr>
              <w:rFonts w:ascii="Arial Narrow" w:hAnsi="Arial Narrow"/>
              <w:sz w:val="20"/>
              <w:szCs w:val="22"/>
            </w:rPr>
            <w:t>A4-</w:t>
          </w:r>
          <w:r w:rsidRPr="009A221A">
            <w:rPr>
              <w:rFonts w:ascii="Arial Narrow" w:hAnsi="Arial Narrow"/>
              <w:sz w:val="20"/>
              <w:szCs w:val="22"/>
            </w:rPr>
            <w:fldChar w:fldCharType="begin"/>
          </w:r>
          <w:r w:rsidRPr="009A221A">
            <w:rPr>
              <w:rFonts w:ascii="Arial Narrow" w:hAnsi="Arial Narrow"/>
              <w:sz w:val="20"/>
              <w:szCs w:val="22"/>
            </w:rPr>
            <w:instrText xml:space="preserve"> PAGE </w:instrText>
          </w:r>
          <w:r w:rsidRPr="009A221A">
            <w:rPr>
              <w:rFonts w:ascii="Arial Narrow" w:hAnsi="Arial Narrow"/>
              <w:sz w:val="20"/>
              <w:szCs w:val="22"/>
            </w:rPr>
            <w:fldChar w:fldCharType="separate"/>
          </w:r>
          <w:r>
            <w:rPr>
              <w:rFonts w:ascii="Arial Narrow" w:hAnsi="Arial Narrow"/>
              <w:noProof/>
              <w:sz w:val="20"/>
              <w:szCs w:val="22"/>
            </w:rPr>
            <w:t>4</w:t>
          </w:r>
          <w:r w:rsidRPr="009A221A">
            <w:rPr>
              <w:rFonts w:ascii="Arial Narrow" w:hAnsi="Arial Narrow"/>
              <w:sz w:val="20"/>
              <w:szCs w:val="22"/>
            </w:rPr>
            <w:fldChar w:fldCharType="end"/>
          </w:r>
        </w:p>
      </w:tc>
    </w:tr>
  </w:tbl>
  <w:p w:rsidR="00A6008B" w:rsidRPr="000E5050" w:rsidRDefault="00A6008B" w:rsidP="000E5050">
    <w:pPr>
      <w:pStyle w:val="Footer"/>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008B" w:rsidRDefault="00A6008B">
      <w:r>
        <w:separator/>
      </w:r>
    </w:p>
  </w:footnote>
  <w:footnote w:type="continuationSeparator" w:id="1">
    <w:p w:rsidR="00A6008B" w:rsidRDefault="00A6008B">
      <w:r>
        <w:continuationSeparator/>
      </w:r>
    </w:p>
  </w:footnote>
  <w:footnote w:id="2">
    <w:p w:rsidR="00A6008B" w:rsidRDefault="00A6008B" w:rsidP="000F0295">
      <w:pPr>
        <w:pStyle w:val="FootnoteText"/>
        <w:ind w:left="284" w:hanging="284"/>
      </w:pPr>
      <w:r w:rsidRPr="000F0295">
        <w:rPr>
          <w:rStyle w:val="FootnoteReference"/>
          <w:rFonts w:ascii="Arial Narrow" w:hAnsi="Arial Narrow"/>
        </w:rPr>
        <w:footnoteRef/>
      </w:r>
      <w:r>
        <w:rPr>
          <w:rFonts w:ascii="Arial Narrow" w:hAnsi="Arial Narrow"/>
        </w:rPr>
        <w:tab/>
      </w:r>
      <w:r w:rsidRPr="000F0295">
        <w:rPr>
          <w:rFonts w:ascii="Arial Narrow" w:hAnsi="Arial Narrow"/>
          <w:lang w:val="en-GB"/>
        </w:rPr>
        <w:t>Palau total 40 comprising 25 female, 15 male; Vanuatu total 35 comprising, 14 female, 21 male</w:t>
      </w:r>
      <w:r>
        <w:rPr>
          <w:rFonts w:ascii="Arial Narrow" w:hAnsi="Arial Narrow"/>
          <w:lang w:val="en-GB"/>
        </w:rPr>
        <w:t>.</w:t>
      </w:r>
    </w:p>
  </w:footnote>
  <w:footnote w:id="3">
    <w:p w:rsidR="00A6008B" w:rsidRDefault="00A6008B" w:rsidP="000F0295">
      <w:pPr>
        <w:pStyle w:val="FootnoteText"/>
        <w:ind w:left="284" w:hanging="284"/>
      </w:pPr>
      <w:r w:rsidRPr="000F0295">
        <w:rPr>
          <w:rStyle w:val="FootnoteReference"/>
          <w:rFonts w:ascii="Arial Narrow" w:hAnsi="Arial Narrow"/>
        </w:rPr>
        <w:footnoteRef/>
      </w:r>
      <w:r>
        <w:rPr>
          <w:rFonts w:ascii="Arial Narrow" w:hAnsi="Arial Narrow"/>
        </w:rPr>
        <w:tab/>
      </w:r>
      <w:r w:rsidRPr="000F0295">
        <w:rPr>
          <w:rFonts w:ascii="Arial Narrow" w:hAnsi="Arial Narrow"/>
          <w:lang w:val="en-GB"/>
        </w:rPr>
        <w:t xml:space="preserve">Orientation 1 (PNG) comprised </w:t>
      </w:r>
      <w:r>
        <w:rPr>
          <w:rFonts w:ascii="Arial Narrow" w:hAnsi="Arial Narrow"/>
          <w:lang w:val="en-GB"/>
        </w:rPr>
        <w:t>nine</w:t>
      </w:r>
      <w:r w:rsidRPr="000F0295">
        <w:rPr>
          <w:rFonts w:ascii="Arial Narrow" w:hAnsi="Arial Narrow"/>
          <w:lang w:val="en-GB"/>
        </w:rPr>
        <w:t xml:space="preserve"> female and 20 male participants; Orientation 2 (Vanuatu) comprised 10 female and 15 mal</w:t>
      </w:r>
      <w:r>
        <w:rPr>
          <w:rFonts w:ascii="Arial Narrow" w:hAnsi="Arial Narrow"/>
          <w:lang w:val="en-GB"/>
        </w:rPr>
        <w:t>e</w:t>
      </w:r>
      <w:r w:rsidRPr="000F0295">
        <w:rPr>
          <w:rFonts w:ascii="Arial Narrow" w:hAnsi="Arial Narrow"/>
          <w:lang w:val="en-GB"/>
        </w:rPr>
        <w:t xml:space="preserve"> participants.</w:t>
      </w:r>
    </w:p>
  </w:footnote>
  <w:footnote w:id="4">
    <w:p w:rsidR="00A6008B" w:rsidRDefault="00A6008B" w:rsidP="00D75C56">
      <w:pPr>
        <w:pStyle w:val="FootnoteText"/>
        <w:ind w:left="284" w:hanging="284"/>
      </w:pPr>
      <w:r w:rsidRPr="000F0295">
        <w:rPr>
          <w:rStyle w:val="FootnoteReference"/>
          <w:rFonts w:ascii="Arial Narrow" w:hAnsi="Arial Narrow"/>
        </w:rPr>
        <w:footnoteRef/>
      </w:r>
      <w:r>
        <w:rPr>
          <w:rFonts w:ascii="Arial Narrow" w:hAnsi="Arial Narrow"/>
        </w:rPr>
        <w:tab/>
      </w:r>
      <w:r w:rsidRPr="000F0295">
        <w:rPr>
          <w:rFonts w:ascii="Arial Narrow" w:hAnsi="Arial Narrow"/>
        </w:rPr>
        <w:t xml:space="preserve">Comprising </w:t>
      </w:r>
      <w:r w:rsidRPr="000F0295">
        <w:rPr>
          <w:rFonts w:ascii="Arial Narrow" w:hAnsi="Arial Narrow"/>
          <w:lang w:val="en-GB"/>
        </w:rPr>
        <w:t>10 female and 21 male participants.</w:t>
      </w:r>
    </w:p>
  </w:footnote>
  <w:footnote w:id="5">
    <w:p w:rsidR="00A6008B" w:rsidRDefault="00A6008B" w:rsidP="000F0295">
      <w:pPr>
        <w:pStyle w:val="FootnoteText"/>
        <w:ind w:left="284" w:hanging="284"/>
      </w:pPr>
      <w:r w:rsidRPr="000F0295">
        <w:rPr>
          <w:rStyle w:val="FootnoteReference"/>
          <w:rFonts w:ascii="Arial Narrow" w:hAnsi="Arial Narrow"/>
        </w:rPr>
        <w:footnoteRef/>
      </w:r>
      <w:r w:rsidRPr="000F0295">
        <w:rPr>
          <w:rFonts w:ascii="Arial Narrow" w:hAnsi="Arial Narrow"/>
        </w:rPr>
        <w:tab/>
        <w:t xml:space="preserve">Including Orientation and </w:t>
      </w:r>
      <w:r>
        <w:rPr>
          <w:rFonts w:ascii="Arial Narrow" w:hAnsi="Arial Narrow"/>
        </w:rPr>
        <w:t>two</w:t>
      </w:r>
      <w:r w:rsidRPr="000F0295">
        <w:rPr>
          <w:rFonts w:ascii="Arial Narrow" w:hAnsi="Arial Narrow"/>
        </w:rPr>
        <w:t xml:space="preserve"> RTT members for the ToT in Feb-Mar 2013</w:t>
      </w:r>
    </w:p>
  </w:footnote>
  <w:footnote w:id="6">
    <w:p w:rsidR="00A6008B" w:rsidRDefault="00A6008B" w:rsidP="000F0295">
      <w:pPr>
        <w:spacing w:before="20"/>
        <w:ind w:left="284" w:hanging="284"/>
      </w:pPr>
      <w:r w:rsidRPr="000F0295">
        <w:rPr>
          <w:rStyle w:val="FootnoteReference"/>
          <w:sz w:val="20"/>
          <w:szCs w:val="20"/>
        </w:rPr>
        <w:footnoteRef/>
      </w:r>
      <w:r w:rsidRPr="000F0295">
        <w:rPr>
          <w:sz w:val="20"/>
          <w:szCs w:val="20"/>
        </w:rPr>
        <w:tab/>
        <w:t xml:space="preserve">Level 2 (FSM): 10 participants =  </w:t>
      </w:r>
      <w:r>
        <w:rPr>
          <w:sz w:val="20"/>
          <w:szCs w:val="20"/>
        </w:rPr>
        <w:t>three</w:t>
      </w:r>
      <w:r w:rsidRPr="000F0295">
        <w:rPr>
          <w:sz w:val="20"/>
          <w:szCs w:val="20"/>
        </w:rPr>
        <w:t xml:space="preserve"> female and </w:t>
      </w:r>
      <w:r>
        <w:rPr>
          <w:sz w:val="20"/>
          <w:szCs w:val="20"/>
        </w:rPr>
        <w:t>seven</w:t>
      </w:r>
      <w:r w:rsidRPr="000F0295">
        <w:rPr>
          <w:sz w:val="20"/>
          <w:szCs w:val="20"/>
        </w:rPr>
        <w:t xml:space="preserve"> male participants; Level 3 (NZ): 13 participants = </w:t>
      </w:r>
      <w:r>
        <w:rPr>
          <w:sz w:val="20"/>
          <w:szCs w:val="20"/>
        </w:rPr>
        <w:t>six</w:t>
      </w:r>
      <w:r w:rsidRPr="000F0295">
        <w:rPr>
          <w:sz w:val="20"/>
          <w:szCs w:val="20"/>
        </w:rPr>
        <w:t xml:space="preserve"> female / 7 male; Capacity Building ToT 1 (Cook Islands 2012): 16 participants = </w:t>
      </w:r>
      <w:r>
        <w:rPr>
          <w:sz w:val="20"/>
          <w:szCs w:val="20"/>
        </w:rPr>
        <w:t>eight</w:t>
      </w:r>
      <w:r w:rsidRPr="000F0295">
        <w:rPr>
          <w:sz w:val="20"/>
          <w:szCs w:val="20"/>
        </w:rPr>
        <w:t xml:space="preserve"> female / </w:t>
      </w:r>
      <w:r>
        <w:rPr>
          <w:sz w:val="20"/>
          <w:szCs w:val="20"/>
        </w:rPr>
        <w:t>eight</w:t>
      </w:r>
      <w:r w:rsidRPr="000F0295">
        <w:rPr>
          <w:sz w:val="20"/>
          <w:szCs w:val="20"/>
        </w:rPr>
        <w:t xml:space="preserve"> male; Capacity Building ToT 2 (NZ 2012): 15 participants = </w:t>
      </w:r>
      <w:r>
        <w:rPr>
          <w:sz w:val="20"/>
          <w:szCs w:val="20"/>
        </w:rPr>
        <w:t>eight</w:t>
      </w:r>
      <w:r w:rsidRPr="000F0295">
        <w:rPr>
          <w:sz w:val="20"/>
          <w:szCs w:val="20"/>
        </w:rPr>
        <w:t xml:space="preserve"> female / </w:t>
      </w:r>
      <w:r>
        <w:rPr>
          <w:sz w:val="20"/>
          <w:szCs w:val="20"/>
        </w:rPr>
        <w:t>seven</w:t>
      </w:r>
      <w:r w:rsidRPr="000F0295">
        <w:rPr>
          <w:sz w:val="20"/>
          <w:szCs w:val="20"/>
        </w:rPr>
        <w:t xml:space="preserve"> male; Capacity Building ToT 3 (NZ 2013): 15 participants = </w:t>
      </w:r>
      <w:r>
        <w:rPr>
          <w:sz w:val="20"/>
          <w:szCs w:val="20"/>
        </w:rPr>
        <w:t>six</w:t>
      </w:r>
      <w:r w:rsidRPr="000F0295">
        <w:rPr>
          <w:sz w:val="20"/>
          <w:szCs w:val="20"/>
        </w:rPr>
        <w:t xml:space="preserve"> female / </w:t>
      </w:r>
      <w:r>
        <w:rPr>
          <w:sz w:val="20"/>
          <w:szCs w:val="20"/>
        </w:rPr>
        <w:t>nine</w:t>
      </w:r>
      <w:r w:rsidRPr="000F0295">
        <w:rPr>
          <w:sz w:val="20"/>
          <w:szCs w:val="20"/>
        </w:rPr>
        <w:t xml:space="preserve"> male</w:t>
      </w:r>
    </w:p>
  </w:footnote>
  <w:footnote w:id="7">
    <w:p w:rsidR="00A6008B" w:rsidRDefault="00A6008B" w:rsidP="000F0295">
      <w:pPr>
        <w:pStyle w:val="FootnoteText"/>
        <w:ind w:left="284" w:hanging="284"/>
      </w:pPr>
      <w:r w:rsidRPr="000F0295">
        <w:rPr>
          <w:rStyle w:val="FootnoteReference"/>
          <w:rFonts w:ascii="Arial Narrow" w:hAnsi="Arial Narrow"/>
        </w:rPr>
        <w:footnoteRef/>
      </w:r>
      <w:r w:rsidRPr="000F0295">
        <w:rPr>
          <w:rFonts w:ascii="Arial Narrow" w:hAnsi="Arial Narrow"/>
          <w:lang w:val="en-AU"/>
        </w:rPr>
        <w:tab/>
      </w:r>
      <w:r w:rsidRPr="000F0295">
        <w:rPr>
          <w:rFonts w:ascii="Arial Narrow" w:hAnsi="Arial Narrow"/>
          <w:b/>
          <w:i/>
        </w:rPr>
        <w:t>Resolution 3</w:t>
      </w:r>
      <w:r w:rsidRPr="000F0295">
        <w:rPr>
          <w:rFonts w:ascii="Arial Narrow" w:hAnsi="Arial Narrow"/>
        </w:rPr>
        <w:t xml:space="preserve"> of the Fifth PJDP Phase 2 </w:t>
      </w:r>
      <w:r w:rsidRPr="000F0295">
        <w:rPr>
          <w:rFonts w:ascii="Arial Narrow" w:hAnsi="Arial Narrow" w:cs="Arial"/>
        </w:rPr>
        <w:t>PEC Meeting</w:t>
      </w:r>
      <w:r w:rsidRPr="000F0295">
        <w:rPr>
          <w:rFonts w:ascii="Arial Narrow" w:hAnsi="Arial Narrow" w:cs="Arial"/>
          <w:caps/>
        </w:rPr>
        <w:t xml:space="preserve">, </w:t>
      </w:r>
      <w:r w:rsidRPr="000F0295">
        <w:rPr>
          <w:rFonts w:ascii="Arial Narrow" w:hAnsi="Arial Narrow" w:cs="Arial"/>
        </w:rPr>
        <w:t>Honiara, Solomon Islands (4-5 November, 2012).</w:t>
      </w:r>
    </w:p>
  </w:footnote>
  <w:footnote w:id="8">
    <w:p w:rsidR="00A6008B" w:rsidRDefault="00A6008B" w:rsidP="000F0295">
      <w:pPr>
        <w:pStyle w:val="FootnoteText"/>
        <w:ind w:left="284" w:hanging="284"/>
      </w:pPr>
      <w:r w:rsidRPr="000F0295">
        <w:rPr>
          <w:rStyle w:val="FootnoteReference"/>
          <w:rFonts w:ascii="Arial Narrow" w:hAnsi="Arial Narrow"/>
        </w:rPr>
        <w:footnoteRef/>
      </w:r>
      <w:r w:rsidRPr="000F0295">
        <w:rPr>
          <w:rFonts w:ascii="Arial Narrow" w:hAnsi="Arial Narrow"/>
          <w:lang w:val="en-AU"/>
        </w:rPr>
        <w:tab/>
        <w:t xml:space="preserve">The </w:t>
      </w:r>
      <w:r w:rsidRPr="000F0295">
        <w:rPr>
          <w:rFonts w:ascii="Arial Narrow" w:hAnsi="Arial Narrow" w:cs="Arial"/>
        </w:rPr>
        <w:t>development needs assessment is being relied upon as it has been only a little more tha</w:t>
      </w:r>
      <w:r>
        <w:rPr>
          <w:rFonts w:ascii="Arial Narrow" w:hAnsi="Arial Narrow" w:cs="Arial"/>
        </w:rPr>
        <w:t>ntwo</w:t>
      </w:r>
      <w:r w:rsidRPr="000F0295">
        <w:rPr>
          <w:rFonts w:ascii="Arial Narrow" w:hAnsi="Arial Narrow" w:cs="Arial"/>
        </w:rPr>
        <w:t xml:space="preserve"> years since it was conducted. Additionally, the ongoing stakeholder consultations that have been undertaken throughout Phase 2 have enabled the Management Team to both confirm, and where necessary refine, the outcomes of the needs assessment as part of a responsive and iterative planning process. Further,</w:t>
      </w:r>
      <w:r w:rsidRPr="000F0295">
        <w:rPr>
          <w:rFonts w:ascii="Arial Narrow" w:hAnsi="Arial Narrow"/>
        </w:rPr>
        <w:t xml:space="preserve"> given the limited duration of the approved extension period, value for money considerations (and limited time and available resources) resulted in an updated needs assessment being not feasible.</w:t>
      </w:r>
    </w:p>
  </w:footnote>
  <w:footnote w:id="9">
    <w:p w:rsidR="00A6008B" w:rsidRDefault="00A6008B" w:rsidP="000F0295">
      <w:pPr>
        <w:pStyle w:val="FootnoteText"/>
        <w:ind w:left="284" w:hanging="284"/>
      </w:pPr>
      <w:r w:rsidRPr="000F0295">
        <w:rPr>
          <w:rStyle w:val="FootnoteReference"/>
          <w:rFonts w:ascii="Arial Narrow" w:hAnsi="Arial Narrow"/>
        </w:rPr>
        <w:footnoteRef/>
      </w:r>
      <w:r w:rsidRPr="000F0295">
        <w:rPr>
          <w:rFonts w:ascii="Arial Narrow" w:hAnsi="Arial Narrow"/>
          <w:lang w:val="en-AU"/>
        </w:rPr>
        <w:tab/>
        <w:t xml:space="preserve">Including: </w:t>
      </w:r>
      <w:r>
        <w:rPr>
          <w:rFonts w:ascii="Arial Narrow" w:hAnsi="Arial Narrow"/>
          <w:lang w:val="en-AU"/>
        </w:rPr>
        <w:t>six</w:t>
      </w:r>
      <w:r w:rsidRPr="000F0295">
        <w:rPr>
          <w:rFonts w:ascii="Arial Narrow" w:hAnsi="Arial Narrow"/>
          <w:lang w:val="en-AU"/>
        </w:rPr>
        <w:t xml:space="preserve"> PEC Meetings; </w:t>
      </w:r>
      <w:r>
        <w:rPr>
          <w:rFonts w:ascii="Arial Narrow" w:hAnsi="Arial Narrow"/>
          <w:lang w:val="en-AU"/>
        </w:rPr>
        <w:t xml:space="preserve">four </w:t>
      </w:r>
      <w:r w:rsidRPr="000F0295">
        <w:rPr>
          <w:rFonts w:ascii="Arial Narrow" w:hAnsi="Arial Narrow"/>
          <w:lang w:val="en-AU"/>
        </w:rPr>
        <w:t xml:space="preserve">CJ Leadership Workshops; and </w:t>
      </w:r>
      <w:r>
        <w:rPr>
          <w:rFonts w:ascii="Arial Narrow" w:hAnsi="Arial Narrow"/>
          <w:lang w:val="en-AU"/>
        </w:rPr>
        <w:t xml:space="preserve">four </w:t>
      </w:r>
      <w:r w:rsidRPr="000F0295">
        <w:rPr>
          <w:rFonts w:ascii="Arial Narrow" w:hAnsi="Arial Narrow"/>
          <w:lang w:val="en-AU"/>
        </w:rPr>
        <w:t>NC Leadership Workshops.</w:t>
      </w:r>
    </w:p>
  </w:footnote>
  <w:footnote w:id="10">
    <w:p w:rsidR="00A6008B" w:rsidRDefault="00A6008B" w:rsidP="000F0295">
      <w:pPr>
        <w:pStyle w:val="FootnoteText"/>
        <w:ind w:left="284" w:hanging="284"/>
      </w:pPr>
      <w:r w:rsidRPr="000F0295">
        <w:rPr>
          <w:rStyle w:val="FootnoteReference"/>
          <w:rFonts w:ascii="Arial Narrow" w:hAnsi="Arial Narrow"/>
        </w:rPr>
        <w:footnoteRef/>
      </w:r>
      <w:r>
        <w:rPr>
          <w:rFonts w:ascii="Arial Narrow" w:hAnsi="Arial Narrow"/>
        </w:rPr>
        <w:tab/>
      </w:r>
      <w:r w:rsidRPr="000F0295">
        <w:rPr>
          <w:rFonts w:ascii="Arial Narrow" w:hAnsi="Arial Narrow"/>
        </w:rPr>
        <w:t xml:space="preserve">MSC, </w:t>
      </w:r>
      <w:r w:rsidRPr="000F0295">
        <w:rPr>
          <w:rFonts w:ascii="Arial Narrow" w:hAnsi="Arial Narrow"/>
          <w:i/>
        </w:rPr>
        <w:t>Lessons Learned Report</w:t>
      </w:r>
      <w:r w:rsidRPr="000F0295">
        <w:rPr>
          <w:rFonts w:ascii="Arial Narrow" w:hAnsi="Arial Narrow"/>
        </w:rPr>
        <w:t>, 5 October 2012.</w:t>
      </w:r>
    </w:p>
  </w:footnote>
  <w:footnote w:id="11">
    <w:p w:rsidR="00A6008B" w:rsidRDefault="00A6008B" w:rsidP="000F0295">
      <w:pPr>
        <w:pStyle w:val="FootnoteText"/>
        <w:ind w:left="284" w:hanging="284"/>
      </w:pPr>
      <w:r w:rsidRPr="000F0295">
        <w:rPr>
          <w:rStyle w:val="FootnoteReference"/>
          <w:rFonts w:ascii="Arial Narrow" w:hAnsi="Arial Narrow"/>
        </w:rPr>
        <w:footnoteRef/>
      </w:r>
      <w:r w:rsidRPr="000F0295">
        <w:rPr>
          <w:rFonts w:ascii="Arial Narrow" w:hAnsi="Arial Narrow"/>
          <w:lang w:val="en-AU"/>
        </w:rPr>
        <w:tab/>
      </w:r>
      <w:r w:rsidRPr="000F0295">
        <w:rPr>
          <w:rFonts w:ascii="Arial Narrow" w:hAnsi="Arial Narrow"/>
        </w:rPr>
        <w:t xml:space="preserve">As per </w:t>
      </w:r>
      <w:r w:rsidRPr="000F0295">
        <w:rPr>
          <w:rFonts w:ascii="Arial Narrow" w:hAnsi="Arial Narrow"/>
          <w:b/>
          <w:i/>
        </w:rPr>
        <w:t>Resolution One</w:t>
      </w:r>
      <w:r w:rsidRPr="000F0295">
        <w:rPr>
          <w:rFonts w:ascii="Arial Narrow" w:hAnsi="Arial Narrow"/>
        </w:rPr>
        <w:t xml:space="preserve"> of the Third PJDP Phase 2 PEC Meeting (15-17 October, 2011 - Port Vila, Vanuatu).</w:t>
      </w:r>
    </w:p>
  </w:footnote>
  <w:footnote w:id="12">
    <w:p w:rsidR="00A6008B" w:rsidRDefault="00A6008B" w:rsidP="000F0295">
      <w:pPr>
        <w:ind w:left="284" w:hanging="284"/>
      </w:pPr>
      <w:r w:rsidRPr="000F0295">
        <w:rPr>
          <w:rStyle w:val="FootnoteReference"/>
          <w:sz w:val="20"/>
        </w:rPr>
        <w:footnoteRef/>
      </w:r>
      <w:r w:rsidRPr="000F0295">
        <w:rPr>
          <w:sz w:val="20"/>
          <w:szCs w:val="20"/>
        </w:rPr>
        <w:tab/>
        <w:t xml:space="preserve">As per </w:t>
      </w:r>
      <w:r w:rsidRPr="000F0295">
        <w:rPr>
          <w:b/>
          <w:i/>
          <w:sz w:val="20"/>
          <w:szCs w:val="20"/>
        </w:rPr>
        <w:t>Resolution Four</w:t>
      </w:r>
      <w:r w:rsidRPr="000F0295">
        <w:rPr>
          <w:sz w:val="20"/>
          <w:szCs w:val="20"/>
        </w:rPr>
        <w:t xml:space="preserve"> of the Fourth PJDP Phase 2 PEC Meeting (</w:t>
      </w:r>
      <w:r w:rsidRPr="000F0295">
        <w:rPr>
          <w:rFonts w:cs="Arial"/>
          <w:sz w:val="20"/>
          <w:szCs w:val="20"/>
          <w:lang w:eastAsia="en-US"/>
        </w:rPr>
        <w:t>1-3 April, 2012 - Apia, Samoa</w:t>
      </w:r>
      <w:r w:rsidRPr="000F0295">
        <w:rPr>
          <w:sz w:val="20"/>
          <w:szCs w:val="20"/>
        </w:rPr>
        <w:t>).</w:t>
      </w:r>
    </w:p>
  </w:footnote>
  <w:footnote w:id="13">
    <w:p w:rsidR="00A6008B" w:rsidRDefault="00A6008B" w:rsidP="000F0295">
      <w:pPr>
        <w:spacing w:before="40"/>
        <w:ind w:left="284" w:hanging="284"/>
      </w:pPr>
      <w:r w:rsidRPr="000F0295">
        <w:rPr>
          <w:rStyle w:val="FootnoteReference"/>
          <w:sz w:val="20"/>
          <w:szCs w:val="20"/>
        </w:rPr>
        <w:footnoteRef/>
      </w:r>
      <w:r w:rsidRPr="000F0295">
        <w:rPr>
          <w:sz w:val="20"/>
          <w:szCs w:val="20"/>
        </w:rPr>
        <w:tab/>
        <w:t xml:space="preserve">Summary of Terms of Reference for the Lessons Learnt Report - </w:t>
      </w:r>
      <w:r w:rsidRPr="000F0295">
        <w:rPr>
          <w:b/>
          <w:i/>
          <w:sz w:val="20"/>
          <w:szCs w:val="20"/>
        </w:rPr>
        <w:t xml:space="preserve">Resolutions 6 </w:t>
      </w:r>
      <w:r w:rsidRPr="000F0295">
        <w:rPr>
          <w:sz w:val="20"/>
          <w:szCs w:val="20"/>
        </w:rPr>
        <w:t xml:space="preserve">and </w:t>
      </w:r>
      <w:r w:rsidRPr="000F0295">
        <w:rPr>
          <w:b/>
          <w:i/>
          <w:sz w:val="20"/>
          <w:szCs w:val="20"/>
        </w:rPr>
        <w:t>7</w:t>
      </w:r>
      <w:r w:rsidRPr="000F0295">
        <w:rPr>
          <w:sz w:val="20"/>
          <w:szCs w:val="20"/>
        </w:rPr>
        <w:t xml:space="preserve"> of the Fourth PJDP Phase 2 PEC Meeting (1-3 April, 2012 - Apia, Samoa).</w:t>
      </w:r>
    </w:p>
  </w:footnote>
  <w:footnote w:id="14">
    <w:p w:rsidR="00A6008B" w:rsidRDefault="00A6008B" w:rsidP="00CF45DA">
      <w:pPr>
        <w:pStyle w:val="FootnoteText"/>
        <w:ind w:left="284" w:hanging="284"/>
      </w:pPr>
      <w:r w:rsidRPr="00CF45DA">
        <w:rPr>
          <w:rStyle w:val="FootnoteReference"/>
          <w:rFonts w:ascii="Arial Narrow" w:hAnsi="Arial Narrow" w:cs="Arial"/>
          <w:szCs w:val="18"/>
        </w:rPr>
        <w:footnoteRef/>
      </w:r>
      <w:r w:rsidRPr="00CF45DA">
        <w:rPr>
          <w:rFonts w:ascii="Arial Narrow" w:hAnsi="Arial Narrow" w:cs="Arial"/>
          <w:szCs w:val="18"/>
        </w:rPr>
        <w:tab/>
        <w:t>This productivity improvement is calculated on the basis of an increase in projected activities from</w:t>
      </w:r>
      <w:r>
        <w:rPr>
          <w:rFonts w:ascii="Arial Narrow" w:hAnsi="Arial Narrow" w:cs="Arial"/>
          <w:szCs w:val="18"/>
        </w:rPr>
        <w:t>:</w:t>
      </w:r>
      <w:r w:rsidRPr="00CF45DA">
        <w:rPr>
          <w:rFonts w:ascii="Arial Narrow" w:hAnsi="Arial Narrow" w:cs="Arial"/>
          <w:szCs w:val="18"/>
        </w:rPr>
        <w:t xml:space="preserve"> 58 </w:t>
      </w:r>
      <w:r>
        <w:rPr>
          <w:rFonts w:ascii="Arial Narrow" w:hAnsi="Arial Narrow" w:cs="Arial"/>
          <w:szCs w:val="18"/>
        </w:rPr>
        <w:t xml:space="preserve">activities under the 12-month Extension Plan over an </w:t>
      </w:r>
      <w:r w:rsidRPr="00CF45DA">
        <w:rPr>
          <w:rFonts w:ascii="Arial Narrow" w:hAnsi="Arial Narrow" w:cs="Arial"/>
          <w:szCs w:val="18"/>
        </w:rPr>
        <w:t xml:space="preserve">equivalent </w:t>
      </w:r>
      <w:r>
        <w:rPr>
          <w:rFonts w:ascii="Arial Narrow" w:hAnsi="Arial Narrow" w:cs="Arial"/>
          <w:szCs w:val="18"/>
        </w:rPr>
        <w:t>24-month period</w:t>
      </w:r>
      <w:r w:rsidRPr="002C5DEC">
        <w:rPr>
          <w:rFonts w:ascii="Arial Narrow" w:hAnsi="Arial Narrow" w:cs="Arial"/>
          <w:szCs w:val="18"/>
        </w:rPr>
        <w:t>; to 7</w:t>
      </w:r>
      <w:r>
        <w:rPr>
          <w:rFonts w:ascii="Arial Narrow" w:hAnsi="Arial Narrow" w:cs="Arial"/>
          <w:szCs w:val="18"/>
        </w:rPr>
        <w:t>7</w:t>
      </w:r>
      <w:r w:rsidRPr="002C5DEC">
        <w:rPr>
          <w:rFonts w:ascii="Arial Narrow" w:hAnsi="Arial Narrow" w:cs="Arial"/>
          <w:szCs w:val="18"/>
        </w:rPr>
        <w:t xml:space="preserve"> activities in the 24-month Extension Plan.</w:t>
      </w:r>
    </w:p>
  </w:footnote>
  <w:footnote w:id="15">
    <w:p w:rsidR="00A6008B" w:rsidRDefault="00A6008B" w:rsidP="000F0295">
      <w:pPr>
        <w:pStyle w:val="FootnoteText"/>
        <w:ind w:left="284" w:hanging="284"/>
      </w:pPr>
      <w:r w:rsidRPr="000F0295">
        <w:rPr>
          <w:rStyle w:val="FootnoteReference"/>
          <w:rFonts w:ascii="Arial Narrow" w:hAnsi="Arial Narrow"/>
        </w:rPr>
        <w:footnoteRef/>
      </w:r>
      <w:r w:rsidRPr="000F0295">
        <w:rPr>
          <w:rFonts w:ascii="Arial Narrow" w:hAnsi="Arial Narrow"/>
          <w:lang w:val="en-AU"/>
        </w:rPr>
        <w:tab/>
        <w:t xml:space="preserve">Extract of </w:t>
      </w:r>
      <w:r w:rsidRPr="00330C43">
        <w:rPr>
          <w:rFonts w:ascii="Arial Narrow" w:hAnsi="Arial Narrow"/>
          <w:lang w:val="en-AU"/>
        </w:rPr>
        <w:t xml:space="preserve">the </w:t>
      </w:r>
      <w:r>
        <w:rPr>
          <w:rFonts w:ascii="Arial Narrow" w:hAnsi="Arial Narrow"/>
          <w:lang w:val="en-AU"/>
        </w:rPr>
        <w:t xml:space="preserve">approved </w:t>
      </w:r>
      <w:r w:rsidRPr="001E4373">
        <w:rPr>
          <w:rFonts w:ascii="Arial Narrow" w:hAnsi="Arial Narrow"/>
          <w:lang w:val="en-AU"/>
        </w:rPr>
        <w:t>minutes</w:t>
      </w:r>
      <w:r w:rsidRPr="000F0295">
        <w:rPr>
          <w:rFonts w:ascii="Arial Narrow" w:hAnsi="Arial Narrow"/>
          <w:lang w:val="en-AU"/>
        </w:rPr>
        <w:t xml:space="preserve"> of the </w:t>
      </w:r>
      <w:r w:rsidRPr="000F0295">
        <w:rPr>
          <w:rFonts w:ascii="Arial Narrow" w:hAnsi="Arial Narrow"/>
        </w:rPr>
        <w:t>Fifth PJDP Phase 2 PEC Meeting (Honiara, 4-5 November, 2012).</w:t>
      </w:r>
    </w:p>
  </w:footnote>
  <w:footnote w:id="16">
    <w:p w:rsidR="00A6008B" w:rsidRDefault="00A6008B" w:rsidP="000F0295">
      <w:pPr>
        <w:pStyle w:val="FootnoteText"/>
        <w:ind w:left="284" w:hanging="284"/>
      </w:pPr>
      <w:r w:rsidRPr="000F0295">
        <w:rPr>
          <w:rStyle w:val="FootnoteReference"/>
          <w:rFonts w:ascii="Arial Narrow" w:hAnsi="Arial Narrow"/>
        </w:rPr>
        <w:footnoteRef/>
      </w:r>
      <w:r w:rsidRPr="000F0295">
        <w:rPr>
          <w:rFonts w:ascii="Arial Narrow" w:hAnsi="Arial Narrow"/>
          <w:lang w:val="en-AU"/>
        </w:rPr>
        <w:tab/>
        <w:t xml:space="preserve">A full list of all </w:t>
      </w:r>
      <w:r>
        <w:rPr>
          <w:rFonts w:ascii="Arial Narrow" w:hAnsi="Arial Narrow"/>
          <w:lang w:val="en-AU"/>
        </w:rPr>
        <w:t xml:space="preserve">monthly </w:t>
      </w:r>
      <w:r w:rsidRPr="000F0295">
        <w:rPr>
          <w:rFonts w:ascii="Arial Narrow" w:hAnsi="Arial Narrow"/>
          <w:lang w:val="en-AU"/>
        </w:rPr>
        <w:t xml:space="preserve">milestones </w:t>
      </w:r>
      <w:r>
        <w:rPr>
          <w:rFonts w:ascii="Arial Narrow" w:hAnsi="Arial Narrow"/>
          <w:lang w:val="en-AU"/>
        </w:rPr>
        <w:t>will be developed in coordination with MFAT once the activities under the 24-month Extension Plan are finalised</w:t>
      </w:r>
      <w:r w:rsidRPr="000F0295">
        <w:rPr>
          <w:rFonts w:ascii="Arial Narrow" w:hAnsi="Arial Narrow"/>
          <w:lang w:val="en-AU"/>
        </w:rPr>
        <w:t>.</w:t>
      </w:r>
    </w:p>
  </w:footnote>
  <w:footnote w:id="17">
    <w:p w:rsidR="00A6008B" w:rsidRDefault="00A6008B" w:rsidP="00070351">
      <w:pPr>
        <w:pStyle w:val="FootnoteText"/>
        <w:ind w:left="284" w:hanging="284"/>
      </w:pPr>
      <w:r w:rsidRPr="00070351">
        <w:rPr>
          <w:rStyle w:val="FootnoteReference"/>
          <w:rFonts w:ascii="Arial Narrow" w:hAnsi="Arial Narrow"/>
        </w:rPr>
        <w:footnoteRef/>
      </w:r>
      <w:r w:rsidRPr="00070351">
        <w:rPr>
          <w:rFonts w:ascii="Arial Narrow" w:hAnsi="Arial Narrow"/>
          <w:lang w:val="en-AU"/>
        </w:rPr>
        <w:tab/>
      </w:r>
      <w:r w:rsidRPr="00070351">
        <w:rPr>
          <w:rFonts w:ascii="Arial Narrow" w:hAnsi="Arial Narrow"/>
          <w:i/>
          <w:lang w:val="en-AU"/>
        </w:rPr>
        <w:t>Note:</w:t>
      </w:r>
      <w:r>
        <w:rPr>
          <w:rFonts w:ascii="Arial Narrow" w:hAnsi="Arial Narrow"/>
          <w:lang w:val="en-AU"/>
        </w:rPr>
        <w:t xml:space="preserve"> the final financial reconciliation will need to await the closing of accounts in the following month.</w:t>
      </w:r>
    </w:p>
  </w:footnote>
  <w:footnote w:id="18">
    <w:p w:rsidR="00A6008B" w:rsidRDefault="00A6008B" w:rsidP="00B02AA6">
      <w:pPr>
        <w:pStyle w:val="FootnoteText"/>
        <w:ind w:left="284" w:hanging="284"/>
      </w:pPr>
      <w:r w:rsidRPr="001260F6">
        <w:rPr>
          <w:rStyle w:val="FootnoteReference"/>
          <w:rFonts w:ascii="Arial Narrow" w:hAnsi="Arial Narrow"/>
        </w:rPr>
        <w:footnoteRef/>
      </w:r>
      <w:r w:rsidRPr="001260F6">
        <w:rPr>
          <w:rFonts w:ascii="Arial Narrow" w:hAnsi="Arial Narrow"/>
        </w:rPr>
        <w:tab/>
      </w:r>
      <w:r w:rsidRPr="00A45963">
        <w:rPr>
          <w:rFonts w:ascii="Arial Narrow" w:hAnsi="Arial Narrow"/>
          <w:i/>
        </w:rPr>
        <w:t>Note:</w:t>
      </w:r>
      <w:r w:rsidRPr="001260F6">
        <w:rPr>
          <w:rFonts w:ascii="Arial Narrow" w:hAnsi="Arial Narrow"/>
        </w:rPr>
        <w:t xml:space="preserve"> the amount rolled-over is an estimate, and a final figure will be </w:t>
      </w:r>
      <w:r>
        <w:rPr>
          <w:rFonts w:ascii="Arial Narrow" w:hAnsi="Arial Narrow"/>
        </w:rPr>
        <w:t>available</w:t>
      </w:r>
      <w:r w:rsidRPr="001260F6">
        <w:rPr>
          <w:rFonts w:ascii="Arial Narrow" w:hAnsi="Arial Narrow"/>
        </w:rPr>
        <w:t xml:space="preserve"> following </w:t>
      </w:r>
      <w:r>
        <w:rPr>
          <w:rFonts w:ascii="Arial Narrow" w:hAnsi="Arial Narrow"/>
        </w:rPr>
        <w:t>the June 2013 invoice to MFAT.</w:t>
      </w:r>
    </w:p>
  </w:footnote>
  <w:footnote w:id="19">
    <w:p w:rsidR="00A6008B" w:rsidRDefault="00A6008B" w:rsidP="00557CE1">
      <w:pPr>
        <w:pStyle w:val="FootnoteText"/>
        <w:ind w:left="284" w:hanging="284"/>
      </w:pPr>
      <w:r w:rsidRPr="002F1916">
        <w:rPr>
          <w:rStyle w:val="FootnoteReference"/>
          <w:rFonts w:ascii="Arial Narrow" w:hAnsi="Arial Narrow"/>
        </w:rPr>
        <w:footnoteRef/>
      </w:r>
      <w:r w:rsidRPr="002F1916">
        <w:rPr>
          <w:rFonts w:ascii="Arial Narrow" w:hAnsi="Arial Narrow"/>
          <w:lang w:val="en-AU"/>
        </w:rPr>
        <w:tab/>
      </w:r>
      <w:r w:rsidRPr="0036103A">
        <w:rPr>
          <w:rFonts w:ascii="Arial Narrow" w:hAnsi="Arial Narrow"/>
          <w:i/>
          <w:lang w:val="en-AU"/>
        </w:rPr>
        <w:t>Note:</w:t>
      </w:r>
      <w:r w:rsidRPr="0036103A">
        <w:rPr>
          <w:rFonts w:ascii="Arial Narrow" w:hAnsi="Arial Narrow"/>
        </w:rPr>
        <w:t xml:space="preserve">Management </w:t>
      </w:r>
      <w:r>
        <w:rPr>
          <w:rFonts w:ascii="Arial Narrow" w:hAnsi="Arial Narrow"/>
        </w:rPr>
        <w:t xml:space="preserve">billings to </w:t>
      </w:r>
      <w:r w:rsidRPr="0036103A">
        <w:rPr>
          <w:rFonts w:ascii="Arial Narrow" w:hAnsi="Arial Narrow"/>
        </w:rPr>
        <w:t>Milestones</w:t>
      </w:r>
      <w:r>
        <w:rPr>
          <w:rFonts w:ascii="Arial Narrow" w:hAnsi="Arial Narrow"/>
        </w:rPr>
        <w:t xml:space="preserve"> under the 24-month </w:t>
      </w:r>
      <w:r w:rsidRPr="00A67ED1">
        <w:rPr>
          <w:rFonts w:ascii="Arial Narrow" w:hAnsi="Arial Narrow"/>
        </w:rPr>
        <w:t xml:space="preserve">Extension Plan are </w:t>
      </w:r>
      <w:r w:rsidRPr="00A67ED1">
        <w:rPr>
          <w:rFonts w:ascii="Arial Narrow" w:hAnsi="Arial Narrow"/>
          <w:lang w:val="en-AU"/>
        </w:rPr>
        <w:t xml:space="preserve">6.23% lower than </w:t>
      </w:r>
      <w:r w:rsidRPr="00A67ED1">
        <w:rPr>
          <w:rFonts w:ascii="Arial Narrow" w:hAnsi="Arial Narrow"/>
        </w:rPr>
        <w:t>similar billings for the 12-month Extension Plan as approved in LoV10 (calculated as a 24-month equivalent rate).</w:t>
      </w:r>
    </w:p>
  </w:footnote>
  <w:footnote w:id="20">
    <w:p w:rsidR="00A6008B" w:rsidRDefault="00A6008B" w:rsidP="00890061">
      <w:pPr>
        <w:pStyle w:val="FootnoteText"/>
        <w:ind w:left="284" w:hanging="284"/>
      </w:pPr>
      <w:r w:rsidRPr="000F0295">
        <w:rPr>
          <w:rStyle w:val="FootnoteReference"/>
          <w:rFonts w:ascii="Arial Narrow" w:hAnsi="Arial Narrow"/>
        </w:rPr>
        <w:footnoteRef/>
      </w:r>
      <w:r w:rsidRPr="000F0295">
        <w:rPr>
          <w:rFonts w:ascii="Arial Narrow" w:hAnsi="Arial Narrow"/>
        </w:rPr>
        <w:tab/>
      </w:r>
      <w:r>
        <w:rPr>
          <w:rFonts w:ascii="Arial Narrow" w:hAnsi="Arial Narrow"/>
        </w:rPr>
        <w:t>One</w:t>
      </w:r>
      <w:r w:rsidRPr="000F0295">
        <w:rPr>
          <w:rFonts w:ascii="Arial Narrow" w:hAnsi="Arial Narrow"/>
        </w:rPr>
        <w:t xml:space="preserve"> additional ToT workshop, </w:t>
      </w:r>
      <w:r>
        <w:rPr>
          <w:rFonts w:ascii="Arial Narrow" w:hAnsi="Arial Narrow"/>
        </w:rPr>
        <w:t>one</w:t>
      </w:r>
      <w:r w:rsidRPr="000F0295">
        <w:rPr>
          <w:rFonts w:ascii="Arial Narrow" w:hAnsi="Arial Narrow"/>
        </w:rPr>
        <w:t xml:space="preserve"> additional NC workshop, </w:t>
      </w:r>
      <w:r>
        <w:rPr>
          <w:rFonts w:ascii="Arial Narrow" w:hAnsi="Arial Narrow"/>
        </w:rPr>
        <w:t>four</w:t>
      </w:r>
      <w:r w:rsidRPr="000F0295">
        <w:rPr>
          <w:rFonts w:ascii="Arial Narrow" w:hAnsi="Arial Narrow"/>
        </w:rPr>
        <w:t xml:space="preserve"> toolkits developed, NJDC survey/concept paper developed.</w:t>
      </w:r>
    </w:p>
  </w:footnote>
  <w:footnote w:id="21">
    <w:p w:rsidR="00A6008B" w:rsidRDefault="00A6008B" w:rsidP="00890061">
      <w:pPr>
        <w:pStyle w:val="FootnoteText"/>
        <w:ind w:left="284" w:hanging="284"/>
      </w:pPr>
      <w:r w:rsidRPr="000F0295">
        <w:rPr>
          <w:rStyle w:val="FootnoteReference"/>
          <w:rFonts w:ascii="Arial Narrow" w:hAnsi="Arial Narrow"/>
        </w:rPr>
        <w:footnoteRef/>
      </w:r>
      <w:r w:rsidRPr="000F0295">
        <w:rPr>
          <w:rFonts w:ascii="Arial Narrow" w:hAnsi="Arial Narrow"/>
          <w:lang w:val="en-GB"/>
        </w:rPr>
        <w:t>NJDC Re-enlivenment Project, design of the 24-Month Implementation Plan, additional Family Violence and Youth Justice Workshop</w:t>
      </w:r>
      <w:r>
        <w:rPr>
          <w:rFonts w:ascii="Arial Narrow" w:hAnsi="Arial Narrow"/>
          <w:lang w:val="en-GB"/>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08B" w:rsidRDefault="00A6008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82729" o:spid="_x0000_s2049" type="#_x0000_t136" style="position:absolute;margin-left:0;margin-top:0;width:444.75pt;height:166.75pt;rotation:315;z-index:-251661824;mso-position-horizontal:center;mso-position-horizontal-relative:margin;mso-position-vertical:center;mso-position-vertical-relative:margin" o:allowincell="f" fillcolor="silver" stroked="f">
          <v:fill opacity=".5"/>
          <v:textpath style="font-family:&quot;Calibri&quot;;font-size:1pt" string="JSS 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08B" w:rsidRDefault="00A6008B" w:rsidP="008358E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2050" type="#_x0000_t75" alt="logo and text.png" style="position:absolute;margin-left:461.75pt;margin-top:-2.25pt;width:213.85pt;height:51.75pt;z-index:-251660800;visibility:visible">
          <v:imagedata r:id="rId1" o:title=""/>
        </v:shape>
      </w:pict>
    </w:r>
  </w:p>
  <w:p w:rsidR="00A6008B" w:rsidRDefault="00A6008B" w:rsidP="008358EE">
    <w:pPr>
      <w:pStyle w:val="Header"/>
    </w:pPr>
  </w:p>
  <w:p w:rsidR="00A6008B" w:rsidRDefault="00A6008B" w:rsidP="008358EE">
    <w:pPr>
      <w:pStyle w:val="Header"/>
    </w:pPr>
  </w:p>
  <w:p w:rsidR="00A6008B" w:rsidRDefault="00A6008B" w:rsidP="008358EE">
    <w:pPr>
      <w:pStyle w:val="Header"/>
    </w:pPr>
  </w:p>
  <w:p w:rsidR="00A6008B" w:rsidRDefault="00A6008B" w:rsidP="008358EE">
    <w:pPr>
      <w:pStyle w:val="Header"/>
      <w:pBdr>
        <w:bottom w:val="single" w:sz="48" w:space="1" w:color="808080"/>
      </w:pBdr>
    </w:pPr>
  </w:p>
  <w:p w:rsidR="00A6008B" w:rsidRDefault="00A6008B" w:rsidP="008358EE">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82728" o:spid="_x0000_s2051" type="#_x0000_t136" style="position:absolute;left:0;text-align:left;margin-left:0;margin-top:0;width:444.75pt;height:166.75pt;rotation:315;z-index:-251662848;mso-position-horizontal:center;mso-position-horizontal-relative:margin;mso-position-vertical:center;mso-position-vertical-relative:margin" o:allowincell="f" fillcolor="silver" stroked="f">
          <v:fill opacity=".5"/>
          <v:textpath style="font-family:&quot;Calibri&quot;;font-size:1pt" string="JSS 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24" w:type="dxa"/>
      <w:tblInd w:w="-601" w:type="dxa"/>
      <w:tblBorders>
        <w:bottom w:val="single" w:sz="4" w:space="0" w:color="auto"/>
      </w:tblBorders>
      <w:tblLook w:val="01E0"/>
    </w:tblPr>
    <w:tblGrid>
      <w:gridCol w:w="8364"/>
      <w:gridCol w:w="1251"/>
    </w:tblGrid>
    <w:tr w:rsidR="00A6008B" w:rsidRPr="006B2BC8" w:rsidTr="000A6E40">
      <w:trPr>
        <w:trHeight w:val="699"/>
      </w:trPr>
      <w:tc>
        <w:tcPr>
          <w:tcW w:w="9073" w:type="dxa"/>
          <w:tcBorders>
            <w:bottom w:val="single" w:sz="4" w:space="0" w:color="auto"/>
          </w:tcBorders>
          <w:vAlign w:val="bottom"/>
        </w:tcPr>
        <w:p w:rsidR="00A6008B" w:rsidRPr="001904BA" w:rsidRDefault="00A6008B" w:rsidP="006B2BC8">
          <w:pPr>
            <w:ind w:left="601"/>
            <w:rPr>
              <w:rFonts w:cs="Calibri"/>
              <w:b/>
              <w:i/>
              <w:smallCaps/>
              <w:sz w:val="20"/>
              <w:szCs w:val="21"/>
            </w:rPr>
          </w:pPr>
          <w:r w:rsidRPr="001904BA">
            <w:rPr>
              <w:rFonts w:cs="Calibri"/>
              <w:b/>
              <w:i/>
              <w:smallCaps/>
              <w:sz w:val="20"/>
              <w:szCs w:val="21"/>
            </w:rPr>
            <w:t>Pacific Judicial Development Programme</w:t>
          </w:r>
        </w:p>
        <w:p w:rsidR="00A6008B" w:rsidRPr="001904BA" w:rsidRDefault="00A6008B" w:rsidP="006B2BC8">
          <w:pPr>
            <w:ind w:left="601"/>
            <w:rPr>
              <w:sz w:val="20"/>
              <w:szCs w:val="68"/>
            </w:rPr>
          </w:pPr>
          <w:r w:rsidRPr="001904BA">
            <w:rPr>
              <w:sz w:val="20"/>
              <w:szCs w:val="68"/>
            </w:rPr>
            <w:t>Final 24-month Implementation Plan: 1 July, 2013-30 June, 2015</w:t>
          </w:r>
        </w:p>
        <w:p w:rsidR="00A6008B" w:rsidRPr="001904BA" w:rsidRDefault="00A6008B" w:rsidP="006B2BC8">
          <w:pPr>
            <w:tabs>
              <w:tab w:val="center" w:pos="4513"/>
              <w:tab w:val="right" w:pos="9026"/>
            </w:tabs>
            <w:ind w:left="662"/>
            <w:rPr>
              <w:sz w:val="4"/>
              <w:szCs w:val="19"/>
            </w:rPr>
          </w:pPr>
        </w:p>
      </w:tc>
      <w:tc>
        <w:tcPr>
          <w:tcW w:w="1251" w:type="dxa"/>
          <w:vMerge w:val="restart"/>
          <w:tcBorders>
            <w:bottom w:val="nil"/>
          </w:tcBorders>
        </w:tcPr>
        <w:p w:rsidR="00A6008B" w:rsidRPr="006B2BC8" w:rsidRDefault="00A6008B" w:rsidP="006B2BC8">
          <w:pPr>
            <w:tabs>
              <w:tab w:val="center" w:pos="4513"/>
              <w:tab w:val="right" w:pos="9026"/>
            </w:tabs>
            <w:jc w:val="right"/>
            <w:rPr>
              <w:sz w:val="19"/>
              <w:szCs w:val="19"/>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2" type="#_x0000_t75" style="position:absolute;left:0;text-align:left;margin-left:-2.45pt;margin-top:1.95pt;width:64.9pt;height:65.45pt;z-index:-251658752;visibility:visible;mso-position-horizontal-relative:text;mso-position-vertical-relative:text" filled="t">
                <v:imagedata r:id="rId1" o:title=""/>
              </v:shape>
            </w:pict>
          </w:r>
        </w:p>
        <w:p w:rsidR="00A6008B" w:rsidRPr="006B2BC8" w:rsidRDefault="00A6008B" w:rsidP="006B2BC8">
          <w:pPr>
            <w:tabs>
              <w:tab w:val="center" w:pos="4513"/>
              <w:tab w:val="right" w:pos="9026"/>
            </w:tabs>
            <w:jc w:val="right"/>
            <w:rPr>
              <w:sz w:val="19"/>
              <w:szCs w:val="19"/>
            </w:rPr>
          </w:pPr>
        </w:p>
      </w:tc>
    </w:tr>
    <w:tr w:rsidR="00A6008B" w:rsidRPr="006B2BC8" w:rsidTr="000A6E40">
      <w:tc>
        <w:tcPr>
          <w:tcW w:w="9073" w:type="dxa"/>
          <w:tcBorders>
            <w:top w:val="single" w:sz="4" w:space="0" w:color="auto"/>
            <w:bottom w:val="nil"/>
          </w:tcBorders>
        </w:tcPr>
        <w:p w:rsidR="00A6008B" w:rsidRPr="009A221A" w:rsidRDefault="00A6008B" w:rsidP="006B2BC8">
          <w:pPr>
            <w:tabs>
              <w:tab w:val="center" w:pos="4513"/>
              <w:tab w:val="right" w:pos="9026"/>
            </w:tabs>
            <w:rPr>
              <w:szCs w:val="22"/>
            </w:rPr>
          </w:pPr>
        </w:p>
      </w:tc>
      <w:tc>
        <w:tcPr>
          <w:tcW w:w="1251" w:type="dxa"/>
          <w:vMerge/>
          <w:tcBorders>
            <w:bottom w:val="nil"/>
          </w:tcBorders>
        </w:tcPr>
        <w:p w:rsidR="00A6008B" w:rsidRPr="009A221A" w:rsidRDefault="00A6008B" w:rsidP="006B2BC8">
          <w:pPr>
            <w:tabs>
              <w:tab w:val="center" w:pos="4513"/>
              <w:tab w:val="right" w:pos="9026"/>
            </w:tabs>
            <w:jc w:val="right"/>
            <w:rPr>
              <w:sz w:val="6"/>
              <w:szCs w:val="22"/>
            </w:rPr>
          </w:pPr>
        </w:p>
      </w:tc>
    </w:tr>
  </w:tbl>
  <w:p w:rsidR="00A6008B" w:rsidRDefault="00A6008B" w:rsidP="00156FB1">
    <w:pPr>
      <w:rPr>
        <w:sz w:val="16"/>
      </w:rPr>
    </w:pPr>
  </w:p>
  <w:p w:rsidR="00A6008B" w:rsidRPr="00156FB1" w:rsidRDefault="00A6008B" w:rsidP="00156FB1">
    <w:pPr>
      <w:rPr>
        <w:sz w:val="16"/>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710" w:type="dxa"/>
      <w:tblInd w:w="-601" w:type="dxa"/>
      <w:tblBorders>
        <w:bottom w:val="single" w:sz="4" w:space="0" w:color="auto"/>
      </w:tblBorders>
      <w:tblLook w:val="01E0"/>
    </w:tblPr>
    <w:tblGrid>
      <w:gridCol w:w="14459"/>
      <w:gridCol w:w="1251"/>
    </w:tblGrid>
    <w:tr w:rsidR="00A6008B" w:rsidRPr="00E225D5" w:rsidTr="003468F7">
      <w:trPr>
        <w:trHeight w:val="699"/>
      </w:trPr>
      <w:tc>
        <w:tcPr>
          <w:tcW w:w="14459" w:type="dxa"/>
          <w:tcBorders>
            <w:bottom w:val="single" w:sz="4" w:space="0" w:color="auto"/>
          </w:tcBorders>
          <w:vAlign w:val="bottom"/>
        </w:tcPr>
        <w:p w:rsidR="00A6008B" w:rsidRPr="00703A94" w:rsidRDefault="00A6008B" w:rsidP="003468F7">
          <w:pPr>
            <w:ind w:left="601"/>
            <w:rPr>
              <w:rFonts w:cs="Calibri"/>
              <w:b/>
              <w:i/>
              <w:smallCaps/>
              <w:sz w:val="20"/>
              <w:szCs w:val="21"/>
            </w:rPr>
          </w:pPr>
          <w:r w:rsidRPr="00703A94">
            <w:rPr>
              <w:rFonts w:cs="Calibri"/>
              <w:b/>
              <w:i/>
              <w:smallCaps/>
              <w:sz w:val="20"/>
              <w:szCs w:val="21"/>
            </w:rPr>
            <w:t>Pacific Judicial Development Programme</w:t>
          </w:r>
        </w:p>
        <w:p w:rsidR="00A6008B" w:rsidRPr="00703A94" w:rsidRDefault="00A6008B" w:rsidP="003468F7">
          <w:pPr>
            <w:ind w:left="601"/>
            <w:rPr>
              <w:sz w:val="20"/>
              <w:szCs w:val="68"/>
            </w:rPr>
          </w:pPr>
          <w:r w:rsidRPr="00703A94">
            <w:rPr>
              <w:sz w:val="20"/>
              <w:szCs w:val="68"/>
            </w:rPr>
            <w:t>Final 24-month Implementation Plan: 1 July, 2013-30 June, 2015</w:t>
          </w:r>
        </w:p>
        <w:p w:rsidR="00A6008B" w:rsidRPr="00703A94" w:rsidRDefault="00A6008B" w:rsidP="003468F7">
          <w:pPr>
            <w:pStyle w:val="Header"/>
            <w:ind w:left="662"/>
            <w:rPr>
              <w:rFonts w:ascii="Arial Narrow" w:hAnsi="Arial Narrow"/>
              <w:sz w:val="4"/>
              <w:szCs w:val="19"/>
            </w:rPr>
          </w:pPr>
        </w:p>
      </w:tc>
      <w:tc>
        <w:tcPr>
          <w:tcW w:w="1251" w:type="dxa"/>
          <w:vMerge w:val="restart"/>
          <w:tcBorders>
            <w:bottom w:val="nil"/>
          </w:tcBorders>
        </w:tcPr>
        <w:p w:rsidR="00A6008B" w:rsidRPr="00230858" w:rsidRDefault="00A6008B" w:rsidP="003468F7">
          <w:pPr>
            <w:pStyle w:val="Header"/>
            <w:jc w:val="right"/>
            <w:rPr>
              <w:rFonts w:ascii="Arial Narrow" w:hAnsi="Arial Narrow"/>
              <w:sz w:val="19"/>
              <w:szCs w:val="19"/>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2.45pt;margin-top:1.95pt;width:64.9pt;height:65.45pt;z-index:-251655680;visibility:visible;mso-position-horizontal-relative:text;mso-position-vertical-relative:text" filled="t">
                <v:imagedata r:id="rId1" o:title=""/>
              </v:shape>
            </w:pict>
          </w:r>
        </w:p>
        <w:p w:rsidR="00A6008B" w:rsidRPr="00230858" w:rsidRDefault="00A6008B" w:rsidP="003468F7">
          <w:pPr>
            <w:pStyle w:val="Header"/>
            <w:jc w:val="right"/>
            <w:rPr>
              <w:rFonts w:ascii="Arial Narrow" w:hAnsi="Arial Narrow"/>
              <w:sz w:val="19"/>
              <w:szCs w:val="19"/>
            </w:rPr>
          </w:pPr>
        </w:p>
      </w:tc>
    </w:tr>
    <w:tr w:rsidR="00A6008B" w:rsidTr="003468F7">
      <w:tc>
        <w:tcPr>
          <w:tcW w:w="14459" w:type="dxa"/>
          <w:tcBorders>
            <w:top w:val="single" w:sz="4" w:space="0" w:color="auto"/>
            <w:bottom w:val="nil"/>
          </w:tcBorders>
        </w:tcPr>
        <w:p w:rsidR="00A6008B" w:rsidRPr="009A221A" w:rsidRDefault="00A6008B" w:rsidP="003468F7">
          <w:pPr>
            <w:pStyle w:val="Header"/>
            <w:rPr>
              <w:rFonts w:ascii="Arial Narrow" w:hAnsi="Arial Narrow"/>
              <w:sz w:val="23"/>
              <w:szCs w:val="22"/>
            </w:rPr>
          </w:pPr>
        </w:p>
      </w:tc>
      <w:tc>
        <w:tcPr>
          <w:tcW w:w="1251" w:type="dxa"/>
          <w:vMerge/>
          <w:tcBorders>
            <w:bottom w:val="nil"/>
          </w:tcBorders>
        </w:tcPr>
        <w:p w:rsidR="00A6008B" w:rsidRPr="009A221A" w:rsidRDefault="00A6008B" w:rsidP="003468F7">
          <w:pPr>
            <w:pStyle w:val="Header"/>
            <w:jc w:val="right"/>
            <w:rPr>
              <w:rFonts w:ascii="Arial Narrow" w:hAnsi="Arial Narrow"/>
              <w:sz w:val="6"/>
              <w:szCs w:val="22"/>
            </w:rPr>
          </w:pPr>
        </w:p>
      </w:tc>
    </w:tr>
  </w:tbl>
  <w:p w:rsidR="00A6008B" w:rsidRPr="00156FB1" w:rsidRDefault="00A6008B" w:rsidP="00156FB1">
    <w:pPr>
      <w:rPr>
        <w:sz w:val="16"/>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710" w:type="dxa"/>
      <w:tblInd w:w="-601" w:type="dxa"/>
      <w:tblBorders>
        <w:bottom w:val="single" w:sz="4" w:space="0" w:color="auto"/>
      </w:tblBorders>
      <w:tblLook w:val="01E0"/>
    </w:tblPr>
    <w:tblGrid>
      <w:gridCol w:w="14459"/>
      <w:gridCol w:w="1251"/>
    </w:tblGrid>
    <w:tr w:rsidR="00A6008B" w:rsidRPr="00E225D5" w:rsidTr="006223B3">
      <w:trPr>
        <w:trHeight w:val="699"/>
      </w:trPr>
      <w:tc>
        <w:tcPr>
          <w:tcW w:w="14459" w:type="dxa"/>
          <w:tcBorders>
            <w:bottom w:val="single" w:sz="4" w:space="0" w:color="auto"/>
          </w:tcBorders>
          <w:vAlign w:val="bottom"/>
        </w:tcPr>
        <w:p w:rsidR="00A6008B" w:rsidRPr="00156FB1" w:rsidRDefault="00A6008B" w:rsidP="00921365">
          <w:pPr>
            <w:ind w:left="601"/>
            <w:rPr>
              <w:rFonts w:cs="Calibri"/>
              <w:b/>
              <w:i/>
              <w:smallCaps/>
              <w:sz w:val="20"/>
              <w:szCs w:val="21"/>
            </w:rPr>
          </w:pPr>
          <w:r w:rsidRPr="00156FB1">
            <w:rPr>
              <w:rFonts w:cs="Calibri"/>
              <w:b/>
              <w:i/>
              <w:smallCaps/>
              <w:sz w:val="20"/>
              <w:szCs w:val="21"/>
            </w:rPr>
            <w:t>Pacific Judicial Development Programme</w:t>
          </w:r>
        </w:p>
        <w:p w:rsidR="00A6008B" w:rsidRPr="003626DE" w:rsidRDefault="00A6008B" w:rsidP="003626DE">
          <w:pPr>
            <w:ind w:left="601"/>
            <w:rPr>
              <w:sz w:val="20"/>
              <w:szCs w:val="68"/>
            </w:rPr>
          </w:pPr>
          <w:r w:rsidRPr="00703A94">
            <w:rPr>
              <w:sz w:val="20"/>
              <w:szCs w:val="68"/>
            </w:rPr>
            <w:t>Final 24</w:t>
          </w:r>
          <w:r>
            <w:rPr>
              <w:sz w:val="20"/>
              <w:szCs w:val="68"/>
            </w:rPr>
            <w:t>-m</w:t>
          </w:r>
          <w:r w:rsidRPr="006B2BC8">
            <w:rPr>
              <w:sz w:val="20"/>
              <w:szCs w:val="68"/>
            </w:rPr>
            <w:t xml:space="preserve">onth </w:t>
          </w:r>
          <w:r>
            <w:rPr>
              <w:sz w:val="20"/>
              <w:szCs w:val="68"/>
            </w:rPr>
            <w:t xml:space="preserve">Implementation </w:t>
          </w:r>
          <w:r w:rsidRPr="006B2BC8">
            <w:rPr>
              <w:sz w:val="20"/>
              <w:szCs w:val="68"/>
            </w:rPr>
            <w:t>Plan:1 July</w:t>
          </w:r>
          <w:r>
            <w:rPr>
              <w:sz w:val="20"/>
              <w:szCs w:val="68"/>
            </w:rPr>
            <w:t>,</w:t>
          </w:r>
          <w:r w:rsidRPr="006B2BC8">
            <w:rPr>
              <w:sz w:val="20"/>
              <w:szCs w:val="68"/>
            </w:rPr>
            <w:t xml:space="preserve"> 201</w:t>
          </w:r>
          <w:r>
            <w:rPr>
              <w:sz w:val="20"/>
              <w:szCs w:val="68"/>
            </w:rPr>
            <w:t>3</w:t>
          </w:r>
          <w:r w:rsidRPr="006B2BC8">
            <w:rPr>
              <w:sz w:val="20"/>
              <w:szCs w:val="68"/>
            </w:rPr>
            <w:t>-30 June</w:t>
          </w:r>
          <w:r>
            <w:rPr>
              <w:sz w:val="20"/>
              <w:szCs w:val="68"/>
            </w:rPr>
            <w:t>,</w:t>
          </w:r>
          <w:r w:rsidRPr="006B2BC8">
            <w:rPr>
              <w:sz w:val="20"/>
              <w:szCs w:val="68"/>
            </w:rPr>
            <w:t xml:space="preserve"> 201</w:t>
          </w:r>
          <w:r>
            <w:rPr>
              <w:sz w:val="20"/>
              <w:szCs w:val="68"/>
            </w:rPr>
            <w:t>5</w:t>
          </w:r>
        </w:p>
        <w:p w:rsidR="00A6008B" w:rsidRPr="00230858" w:rsidRDefault="00A6008B" w:rsidP="00921365">
          <w:pPr>
            <w:pStyle w:val="Header"/>
            <w:ind w:left="662"/>
            <w:rPr>
              <w:rFonts w:ascii="Arial Narrow" w:hAnsi="Arial Narrow"/>
              <w:sz w:val="4"/>
              <w:szCs w:val="19"/>
            </w:rPr>
          </w:pPr>
        </w:p>
      </w:tc>
      <w:tc>
        <w:tcPr>
          <w:tcW w:w="1251" w:type="dxa"/>
          <w:vMerge w:val="restart"/>
          <w:tcBorders>
            <w:bottom w:val="nil"/>
          </w:tcBorders>
        </w:tcPr>
        <w:p w:rsidR="00A6008B" w:rsidRPr="00230858" w:rsidRDefault="00A6008B" w:rsidP="00921365">
          <w:pPr>
            <w:pStyle w:val="Header"/>
            <w:jc w:val="right"/>
            <w:rPr>
              <w:rFonts w:ascii="Arial Narrow" w:hAnsi="Arial Narrow"/>
              <w:sz w:val="19"/>
              <w:szCs w:val="19"/>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2.45pt;margin-top:1.95pt;width:64.9pt;height:65.45pt;z-index:-251656704;visibility:visible;mso-position-horizontal-relative:text;mso-position-vertical-relative:text" filled="t">
                <v:imagedata r:id="rId1" o:title=""/>
              </v:shape>
            </w:pict>
          </w:r>
        </w:p>
        <w:p w:rsidR="00A6008B" w:rsidRPr="00230858" w:rsidRDefault="00A6008B" w:rsidP="00921365">
          <w:pPr>
            <w:pStyle w:val="Header"/>
            <w:jc w:val="right"/>
            <w:rPr>
              <w:rFonts w:ascii="Arial Narrow" w:hAnsi="Arial Narrow"/>
              <w:sz w:val="19"/>
              <w:szCs w:val="19"/>
            </w:rPr>
          </w:pPr>
        </w:p>
      </w:tc>
    </w:tr>
    <w:tr w:rsidR="00A6008B" w:rsidTr="006223B3">
      <w:tc>
        <w:tcPr>
          <w:tcW w:w="14459" w:type="dxa"/>
          <w:tcBorders>
            <w:top w:val="single" w:sz="4" w:space="0" w:color="auto"/>
            <w:bottom w:val="nil"/>
          </w:tcBorders>
        </w:tcPr>
        <w:p w:rsidR="00A6008B" w:rsidRPr="009A221A" w:rsidRDefault="00A6008B" w:rsidP="00921365">
          <w:pPr>
            <w:pStyle w:val="Header"/>
            <w:rPr>
              <w:rFonts w:ascii="Arial Narrow" w:hAnsi="Arial Narrow"/>
              <w:sz w:val="23"/>
              <w:szCs w:val="22"/>
            </w:rPr>
          </w:pPr>
        </w:p>
      </w:tc>
      <w:tc>
        <w:tcPr>
          <w:tcW w:w="1251" w:type="dxa"/>
          <w:vMerge/>
          <w:tcBorders>
            <w:bottom w:val="nil"/>
          </w:tcBorders>
        </w:tcPr>
        <w:p w:rsidR="00A6008B" w:rsidRPr="009A221A" w:rsidRDefault="00A6008B" w:rsidP="00921365">
          <w:pPr>
            <w:pStyle w:val="Header"/>
            <w:jc w:val="right"/>
            <w:rPr>
              <w:rFonts w:ascii="Arial Narrow" w:hAnsi="Arial Narrow"/>
              <w:sz w:val="6"/>
              <w:szCs w:val="22"/>
            </w:rPr>
          </w:pPr>
        </w:p>
      </w:tc>
    </w:tr>
  </w:tbl>
  <w:p w:rsidR="00A6008B" w:rsidRPr="00890061" w:rsidRDefault="00A6008B" w:rsidP="00156FB1">
    <w:pPr>
      <w:rPr>
        <w:sz w:val="18"/>
      </w:rPr>
    </w:pPr>
  </w:p>
  <w:p w:rsidR="00A6008B" w:rsidRPr="00890061" w:rsidRDefault="00A6008B" w:rsidP="00156FB1">
    <w:pPr>
      <w:rPr>
        <w:sz w:val="16"/>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24" w:type="dxa"/>
      <w:tblInd w:w="-601" w:type="dxa"/>
      <w:tblBorders>
        <w:bottom w:val="single" w:sz="4" w:space="0" w:color="auto"/>
      </w:tblBorders>
      <w:tblLook w:val="01E0"/>
    </w:tblPr>
    <w:tblGrid>
      <w:gridCol w:w="8364"/>
      <w:gridCol w:w="1251"/>
    </w:tblGrid>
    <w:tr w:rsidR="00A6008B" w:rsidRPr="006B2BC8" w:rsidTr="000A6E40">
      <w:trPr>
        <w:trHeight w:val="699"/>
      </w:trPr>
      <w:tc>
        <w:tcPr>
          <w:tcW w:w="9073" w:type="dxa"/>
          <w:tcBorders>
            <w:bottom w:val="single" w:sz="4" w:space="0" w:color="auto"/>
          </w:tcBorders>
          <w:vAlign w:val="bottom"/>
        </w:tcPr>
        <w:p w:rsidR="00A6008B" w:rsidRPr="006B2BC8" w:rsidRDefault="00A6008B" w:rsidP="006B2BC8">
          <w:pPr>
            <w:ind w:left="601"/>
            <w:rPr>
              <w:rFonts w:cs="Calibri"/>
              <w:b/>
              <w:i/>
              <w:smallCaps/>
              <w:sz w:val="20"/>
              <w:szCs w:val="21"/>
            </w:rPr>
          </w:pPr>
          <w:r w:rsidRPr="006B2BC8">
            <w:rPr>
              <w:rFonts w:cs="Calibri"/>
              <w:b/>
              <w:i/>
              <w:smallCaps/>
              <w:sz w:val="20"/>
              <w:szCs w:val="21"/>
            </w:rPr>
            <w:t>Pacific Judicial Development Programme</w:t>
          </w:r>
        </w:p>
        <w:p w:rsidR="00A6008B" w:rsidRPr="006B2BC8" w:rsidRDefault="00A6008B" w:rsidP="006B2BC8">
          <w:pPr>
            <w:ind w:left="601"/>
            <w:rPr>
              <w:sz w:val="20"/>
              <w:szCs w:val="68"/>
            </w:rPr>
          </w:pPr>
          <w:r>
            <w:rPr>
              <w:sz w:val="20"/>
              <w:szCs w:val="68"/>
            </w:rPr>
            <w:t>Final24-m</w:t>
          </w:r>
          <w:r w:rsidRPr="006B2BC8">
            <w:rPr>
              <w:sz w:val="20"/>
              <w:szCs w:val="68"/>
            </w:rPr>
            <w:t xml:space="preserve">onth </w:t>
          </w:r>
          <w:r>
            <w:rPr>
              <w:sz w:val="20"/>
              <w:szCs w:val="68"/>
            </w:rPr>
            <w:t xml:space="preserve">Implementation </w:t>
          </w:r>
          <w:r w:rsidRPr="006B2BC8">
            <w:rPr>
              <w:sz w:val="20"/>
              <w:szCs w:val="68"/>
            </w:rPr>
            <w:t>Plan:1 July</w:t>
          </w:r>
          <w:r>
            <w:rPr>
              <w:sz w:val="20"/>
              <w:szCs w:val="68"/>
            </w:rPr>
            <w:t>,</w:t>
          </w:r>
          <w:r w:rsidRPr="006B2BC8">
            <w:rPr>
              <w:sz w:val="20"/>
              <w:szCs w:val="68"/>
            </w:rPr>
            <w:t xml:space="preserve"> 201</w:t>
          </w:r>
          <w:r>
            <w:rPr>
              <w:sz w:val="20"/>
              <w:szCs w:val="68"/>
            </w:rPr>
            <w:t>3</w:t>
          </w:r>
          <w:r w:rsidRPr="006B2BC8">
            <w:rPr>
              <w:sz w:val="20"/>
              <w:szCs w:val="68"/>
            </w:rPr>
            <w:t>-30 June</w:t>
          </w:r>
          <w:r>
            <w:rPr>
              <w:sz w:val="20"/>
              <w:szCs w:val="68"/>
            </w:rPr>
            <w:t>,</w:t>
          </w:r>
          <w:r w:rsidRPr="006B2BC8">
            <w:rPr>
              <w:sz w:val="20"/>
              <w:szCs w:val="68"/>
            </w:rPr>
            <w:t xml:space="preserve"> 201</w:t>
          </w:r>
          <w:r>
            <w:rPr>
              <w:sz w:val="20"/>
              <w:szCs w:val="68"/>
            </w:rPr>
            <w:t>5</w:t>
          </w:r>
        </w:p>
        <w:p w:rsidR="00A6008B" w:rsidRPr="006B2BC8" w:rsidRDefault="00A6008B" w:rsidP="006B2BC8">
          <w:pPr>
            <w:tabs>
              <w:tab w:val="center" w:pos="4513"/>
              <w:tab w:val="right" w:pos="9026"/>
            </w:tabs>
            <w:ind w:left="662"/>
            <w:rPr>
              <w:sz w:val="4"/>
              <w:szCs w:val="19"/>
            </w:rPr>
          </w:pPr>
        </w:p>
      </w:tc>
      <w:tc>
        <w:tcPr>
          <w:tcW w:w="1251" w:type="dxa"/>
          <w:vMerge w:val="restart"/>
          <w:tcBorders>
            <w:bottom w:val="nil"/>
          </w:tcBorders>
        </w:tcPr>
        <w:p w:rsidR="00A6008B" w:rsidRPr="006B2BC8" w:rsidRDefault="00A6008B" w:rsidP="006B2BC8">
          <w:pPr>
            <w:tabs>
              <w:tab w:val="center" w:pos="4513"/>
              <w:tab w:val="right" w:pos="9026"/>
            </w:tabs>
            <w:jc w:val="right"/>
            <w:rPr>
              <w:sz w:val="19"/>
              <w:szCs w:val="19"/>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2.45pt;margin-top:1.95pt;width:64.9pt;height:65.45pt;z-index:-251657728;visibility:visible;mso-position-horizontal-relative:text;mso-position-vertical-relative:text" filled="t">
                <v:imagedata r:id="rId1" o:title=""/>
              </v:shape>
            </w:pict>
          </w:r>
        </w:p>
        <w:p w:rsidR="00A6008B" w:rsidRPr="006B2BC8" w:rsidRDefault="00A6008B" w:rsidP="006B2BC8">
          <w:pPr>
            <w:tabs>
              <w:tab w:val="center" w:pos="4513"/>
              <w:tab w:val="right" w:pos="9026"/>
            </w:tabs>
            <w:jc w:val="right"/>
            <w:rPr>
              <w:sz w:val="19"/>
              <w:szCs w:val="19"/>
            </w:rPr>
          </w:pPr>
        </w:p>
      </w:tc>
    </w:tr>
    <w:tr w:rsidR="00A6008B" w:rsidRPr="006B2BC8" w:rsidTr="000A6E40">
      <w:tc>
        <w:tcPr>
          <w:tcW w:w="9073" w:type="dxa"/>
          <w:tcBorders>
            <w:top w:val="single" w:sz="4" w:space="0" w:color="auto"/>
            <w:bottom w:val="nil"/>
          </w:tcBorders>
        </w:tcPr>
        <w:p w:rsidR="00A6008B" w:rsidRPr="009A221A" w:rsidRDefault="00A6008B" w:rsidP="006B2BC8">
          <w:pPr>
            <w:tabs>
              <w:tab w:val="center" w:pos="4513"/>
              <w:tab w:val="right" w:pos="9026"/>
            </w:tabs>
            <w:rPr>
              <w:szCs w:val="22"/>
            </w:rPr>
          </w:pPr>
        </w:p>
      </w:tc>
      <w:tc>
        <w:tcPr>
          <w:tcW w:w="1251" w:type="dxa"/>
          <w:vMerge/>
          <w:tcBorders>
            <w:bottom w:val="nil"/>
          </w:tcBorders>
        </w:tcPr>
        <w:p w:rsidR="00A6008B" w:rsidRPr="009A221A" w:rsidRDefault="00A6008B" w:rsidP="006B2BC8">
          <w:pPr>
            <w:tabs>
              <w:tab w:val="center" w:pos="4513"/>
              <w:tab w:val="right" w:pos="9026"/>
            </w:tabs>
            <w:jc w:val="right"/>
            <w:rPr>
              <w:sz w:val="6"/>
              <w:szCs w:val="22"/>
            </w:rPr>
          </w:pPr>
        </w:p>
      </w:tc>
    </w:tr>
  </w:tbl>
  <w:p w:rsidR="00A6008B" w:rsidRDefault="00A6008B" w:rsidP="00156FB1">
    <w:pPr>
      <w:rPr>
        <w:sz w:val="16"/>
      </w:rPr>
    </w:pPr>
  </w:p>
  <w:p w:rsidR="00A6008B" w:rsidRPr="00156FB1" w:rsidRDefault="00A6008B" w:rsidP="00156FB1">
    <w:pPr>
      <w:rPr>
        <w:sz w:val="16"/>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710" w:type="dxa"/>
      <w:tblInd w:w="-318" w:type="dxa"/>
      <w:tblBorders>
        <w:bottom w:val="single" w:sz="4" w:space="0" w:color="auto"/>
      </w:tblBorders>
      <w:tblLook w:val="01E0"/>
    </w:tblPr>
    <w:tblGrid>
      <w:gridCol w:w="14033"/>
      <w:gridCol w:w="1251"/>
    </w:tblGrid>
    <w:tr w:rsidR="00A6008B" w:rsidRPr="00E225D5" w:rsidTr="008920E6">
      <w:trPr>
        <w:trHeight w:val="699"/>
      </w:trPr>
      <w:tc>
        <w:tcPr>
          <w:tcW w:w="14459" w:type="dxa"/>
          <w:tcBorders>
            <w:bottom w:val="single" w:sz="4" w:space="0" w:color="auto"/>
          </w:tcBorders>
          <w:vAlign w:val="bottom"/>
        </w:tcPr>
        <w:p w:rsidR="00A6008B" w:rsidRPr="00156FB1" w:rsidRDefault="00A6008B" w:rsidP="00921365">
          <w:pPr>
            <w:ind w:left="601"/>
            <w:rPr>
              <w:rFonts w:cs="Calibri"/>
              <w:b/>
              <w:i/>
              <w:smallCaps/>
              <w:sz w:val="20"/>
              <w:szCs w:val="21"/>
            </w:rPr>
          </w:pPr>
          <w:r w:rsidRPr="00156FB1">
            <w:rPr>
              <w:rFonts w:cs="Calibri"/>
              <w:b/>
              <w:i/>
              <w:smallCaps/>
              <w:sz w:val="20"/>
              <w:szCs w:val="21"/>
            </w:rPr>
            <w:t>Pacific Judicial Development Programme</w:t>
          </w:r>
        </w:p>
        <w:p w:rsidR="00A6008B" w:rsidRPr="003626DE" w:rsidRDefault="00A6008B" w:rsidP="003626DE">
          <w:pPr>
            <w:ind w:left="601"/>
            <w:rPr>
              <w:sz w:val="20"/>
              <w:szCs w:val="68"/>
            </w:rPr>
          </w:pPr>
          <w:r>
            <w:rPr>
              <w:sz w:val="20"/>
              <w:szCs w:val="68"/>
            </w:rPr>
            <w:t>Final24-m</w:t>
          </w:r>
          <w:r w:rsidRPr="006B2BC8">
            <w:rPr>
              <w:sz w:val="20"/>
              <w:szCs w:val="68"/>
            </w:rPr>
            <w:t xml:space="preserve">onth </w:t>
          </w:r>
          <w:r>
            <w:rPr>
              <w:sz w:val="20"/>
              <w:szCs w:val="68"/>
            </w:rPr>
            <w:t xml:space="preserve">Implementation </w:t>
          </w:r>
          <w:r w:rsidRPr="006B2BC8">
            <w:rPr>
              <w:sz w:val="20"/>
              <w:szCs w:val="68"/>
            </w:rPr>
            <w:t>Plan:1 July</w:t>
          </w:r>
          <w:r>
            <w:rPr>
              <w:sz w:val="20"/>
              <w:szCs w:val="68"/>
            </w:rPr>
            <w:t>,</w:t>
          </w:r>
          <w:r w:rsidRPr="006B2BC8">
            <w:rPr>
              <w:sz w:val="20"/>
              <w:szCs w:val="68"/>
            </w:rPr>
            <w:t xml:space="preserve"> 201</w:t>
          </w:r>
          <w:r>
            <w:rPr>
              <w:sz w:val="20"/>
              <w:szCs w:val="68"/>
            </w:rPr>
            <w:t>3</w:t>
          </w:r>
          <w:r w:rsidRPr="006B2BC8">
            <w:rPr>
              <w:sz w:val="20"/>
              <w:szCs w:val="68"/>
            </w:rPr>
            <w:t>-30 June</w:t>
          </w:r>
          <w:r>
            <w:rPr>
              <w:sz w:val="20"/>
              <w:szCs w:val="68"/>
            </w:rPr>
            <w:t>,</w:t>
          </w:r>
          <w:r w:rsidRPr="006B2BC8">
            <w:rPr>
              <w:sz w:val="20"/>
              <w:szCs w:val="68"/>
            </w:rPr>
            <w:t xml:space="preserve"> 201</w:t>
          </w:r>
          <w:r>
            <w:rPr>
              <w:sz w:val="20"/>
              <w:szCs w:val="68"/>
            </w:rPr>
            <w:t>5</w:t>
          </w:r>
        </w:p>
        <w:p w:rsidR="00A6008B" w:rsidRPr="00230858" w:rsidRDefault="00A6008B" w:rsidP="00921365">
          <w:pPr>
            <w:pStyle w:val="Header"/>
            <w:ind w:left="662"/>
            <w:rPr>
              <w:rFonts w:ascii="Arial Narrow" w:hAnsi="Arial Narrow"/>
              <w:sz w:val="4"/>
              <w:szCs w:val="19"/>
            </w:rPr>
          </w:pPr>
        </w:p>
      </w:tc>
      <w:tc>
        <w:tcPr>
          <w:tcW w:w="1251" w:type="dxa"/>
          <w:vMerge w:val="restart"/>
          <w:tcBorders>
            <w:bottom w:val="nil"/>
          </w:tcBorders>
        </w:tcPr>
        <w:p w:rsidR="00A6008B" w:rsidRPr="00230858" w:rsidRDefault="00A6008B" w:rsidP="00921365">
          <w:pPr>
            <w:pStyle w:val="Header"/>
            <w:jc w:val="right"/>
            <w:rPr>
              <w:rFonts w:ascii="Arial Narrow" w:hAnsi="Arial Narrow"/>
              <w:sz w:val="19"/>
              <w:szCs w:val="19"/>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56" type="#_x0000_t75" style="position:absolute;left:0;text-align:left;margin-left:-2.45pt;margin-top:1.95pt;width:64.9pt;height:65.45pt;z-index:-251659776;visibility:visible;mso-position-horizontal-relative:text;mso-position-vertical-relative:text" filled="t">
                <v:imagedata r:id="rId1" o:title=""/>
              </v:shape>
            </w:pict>
          </w:r>
        </w:p>
        <w:p w:rsidR="00A6008B" w:rsidRPr="00230858" w:rsidRDefault="00A6008B" w:rsidP="00921365">
          <w:pPr>
            <w:pStyle w:val="Header"/>
            <w:jc w:val="right"/>
            <w:rPr>
              <w:rFonts w:ascii="Arial Narrow" w:hAnsi="Arial Narrow"/>
              <w:sz w:val="19"/>
              <w:szCs w:val="19"/>
            </w:rPr>
          </w:pPr>
        </w:p>
      </w:tc>
    </w:tr>
    <w:tr w:rsidR="00A6008B" w:rsidTr="008920E6">
      <w:tc>
        <w:tcPr>
          <w:tcW w:w="14459" w:type="dxa"/>
          <w:tcBorders>
            <w:top w:val="single" w:sz="4" w:space="0" w:color="auto"/>
            <w:bottom w:val="nil"/>
          </w:tcBorders>
        </w:tcPr>
        <w:p w:rsidR="00A6008B" w:rsidRPr="009A221A" w:rsidRDefault="00A6008B" w:rsidP="00921365">
          <w:pPr>
            <w:pStyle w:val="Header"/>
            <w:rPr>
              <w:rFonts w:ascii="Arial Narrow" w:hAnsi="Arial Narrow"/>
              <w:sz w:val="23"/>
              <w:szCs w:val="22"/>
            </w:rPr>
          </w:pPr>
        </w:p>
      </w:tc>
      <w:tc>
        <w:tcPr>
          <w:tcW w:w="1251" w:type="dxa"/>
          <w:vMerge/>
          <w:tcBorders>
            <w:bottom w:val="nil"/>
          </w:tcBorders>
        </w:tcPr>
        <w:p w:rsidR="00A6008B" w:rsidRPr="009A221A" w:rsidRDefault="00A6008B" w:rsidP="00921365">
          <w:pPr>
            <w:pStyle w:val="Header"/>
            <w:jc w:val="right"/>
            <w:rPr>
              <w:rFonts w:ascii="Arial Narrow" w:hAnsi="Arial Narrow"/>
              <w:sz w:val="6"/>
              <w:szCs w:val="22"/>
            </w:rPr>
          </w:pPr>
        </w:p>
      </w:tc>
    </w:tr>
  </w:tbl>
  <w:p w:rsidR="00A6008B" w:rsidRPr="00156FB1" w:rsidRDefault="00A6008B" w:rsidP="00156FB1">
    <w:pPr>
      <w:rPr>
        <w:sz w:val="16"/>
      </w:rPr>
    </w:pPr>
  </w:p>
  <w:p w:rsidR="00A6008B" w:rsidRPr="009A77C9" w:rsidRDefault="00A6008B" w:rsidP="00156FB1">
    <w:pPr>
      <w:rPr>
        <w:sz w:val="14"/>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24" w:type="dxa"/>
      <w:tblInd w:w="-601" w:type="dxa"/>
      <w:tblBorders>
        <w:bottom w:val="single" w:sz="4" w:space="0" w:color="auto"/>
      </w:tblBorders>
      <w:tblLook w:val="01E0"/>
    </w:tblPr>
    <w:tblGrid>
      <w:gridCol w:w="8364"/>
      <w:gridCol w:w="1251"/>
    </w:tblGrid>
    <w:tr w:rsidR="00A6008B" w:rsidRPr="00E225D5" w:rsidTr="00495EE7">
      <w:trPr>
        <w:trHeight w:val="699"/>
      </w:trPr>
      <w:tc>
        <w:tcPr>
          <w:tcW w:w="9073" w:type="dxa"/>
          <w:tcBorders>
            <w:bottom w:val="single" w:sz="4" w:space="0" w:color="auto"/>
          </w:tcBorders>
          <w:vAlign w:val="bottom"/>
        </w:tcPr>
        <w:p w:rsidR="00A6008B" w:rsidRPr="00156FB1" w:rsidRDefault="00A6008B" w:rsidP="00921365">
          <w:pPr>
            <w:ind w:left="601"/>
            <w:rPr>
              <w:rFonts w:cs="Calibri"/>
              <w:b/>
              <w:i/>
              <w:smallCaps/>
              <w:sz w:val="20"/>
              <w:szCs w:val="21"/>
            </w:rPr>
          </w:pPr>
          <w:r w:rsidRPr="00156FB1">
            <w:rPr>
              <w:rFonts w:cs="Calibri"/>
              <w:b/>
              <w:i/>
              <w:smallCaps/>
              <w:sz w:val="20"/>
              <w:szCs w:val="21"/>
            </w:rPr>
            <w:t>Pacific Judicial Development Programme</w:t>
          </w:r>
        </w:p>
        <w:p w:rsidR="00A6008B" w:rsidRPr="006B2BC8" w:rsidRDefault="00A6008B" w:rsidP="008568A4">
          <w:pPr>
            <w:ind w:left="601"/>
            <w:rPr>
              <w:sz w:val="20"/>
              <w:szCs w:val="68"/>
            </w:rPr>
          </w:pPr>
          <w:r w:rsidRPr="00401F95">
            <w:rPr>
              <w:sz w:val="20"/>
              <w:szCs w:val="68"/>
            </w:rPr>
            <w:t>Final 24-month</w:t>
          </w:r>
          <w:r>
            <w:rPr>
              <w:sz w:val="20"/>
              <w:szCs w:val="68"/>
            </w:rPr>
            <w:t xml:space="preserve">Implementation </w:t>
          </w:r>
          <w:r w:rsidRPr="006B2BC8">
            <w:rPr>
              <w:sz w:val="20"/>
              <w:szCs w:val="68"/>
            </w:rPr>
            <w:t>Plan:1 July</w:t>
          </w:r>
          <w:r>
            <w:rPr>
              <w:sz w:val="20"/>
              <w:szCs w:val="68"/>
            </w:rPr>
            <w:t>,</w:t>
          </w:r>
          <w:r w:rsidRPr="006B2BC8">
            <w:rPr>
              <w:sz w:val="20"/>
              <w:szCs w:val="68"/>
            </w:rPr>
            <w:t xml:space="preserve"> 201</w:t>
          </w:r>
          <w:r>
            <w:rPr>
              <w:sz w:val="20"/>
              <w:szCs w:val="68"/>
            </w:rPr>
            <w:t>3</w:t>
          </w:r>
          <w:r w:rsidRPr="006B2BC8">
            <w:rPr>
              <w:sz w:val="20"/>
              <w:szCs w:val="68"/>
            </w:rPr>
            <w:t>-30 June</w:t>
          </w:r>
          <w:r>
            <w:rPr>
              <w:sz w:val="20"/>
              <w:szCs w:val="68"/>
            </w:rPr>
            <w:t>,</w:t>
          </w:r>
          <w:r w:rsidRPr="006B2BC8">
            <w:rPr>
              <w:sz w:val="20"/>
              <w:szCs w:val="68"/>
            </w:rPr>
            <w:t xml:space="preserve"> 201</w:t>
          </w:r>
          <w:r>
            <w:rPr>
              <w:sz w:val="20"/>
              <w:szCs w:val="68"/>
            </w:rPr>
            <w:t>5</w:t>
          </w:r>
        </w:p>
        <w:p w:rsidR="00A6008B" w:rsidRPr="00230858" w:rsidRDefault="00A6008B" w:rsidP="00921365">
          <w:pPr>
            <w:pStyle w:val="Header"/>
            <w:ind w:left="662"/>
            <w:rPr>
              <w:rFonts w:ascii="Arial Narrow" w:hAnsi="Arial Narrow"/>
              <w:sz w:val="4"/>
              <w:szCs w:val="19"/>
            </w:rPr>
          </w:pPr>
        </w:p>
      </w:tc>
      <w:tc>
        <w:tcPr>
          <w:tcW w:w="1251" w:type="dxa"/>
          <w:vMerge w:val="restart"/>
          <w:tcBorders>
            <w:bottom w:val="nil"/>
          </w:tcBorders>
        </w:tcPr>
        <w:p w:rsidR="00A6008B" w:rsidRPr="00230858" w:rsidRDefault="00A6008B" w:rsidP="00921365">
          <w:pPr>
            <w:pStyle w:val="Header"/>
            <w:jc w:val="right"/>
            <w:rPr>
              <w:rFonts w:ascii="Arial Narrow" w:hAnsi="Arial Narrow"/>
              <w:sz w:val="19"/>
              <w:szCs w:val="19"/>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2057" type="#_x0000_t75" style="position:absolute;left:0;text-align:left;margin-left:-2.45pt;margin-top:1.95pt;width:64.9pt;height:65.45pt;z-index:-251654656;visibility:visible;mso-position-horizontal-relative:text;mso-position-vertical-relative:text" filled="t">
                <v:imagedata r:id="rId1" o:title=""/>
              </v:shape>
            </w:pict>
          </w:r>
        </w:p>
        <w:p w:rsidR="00A6008B" w:rsidRPr="00230858" w:rsidRDefault="00A6008B" w:rsidP="00921365">
          <w:pPr>
            <w:pStyle w:val="Header"/>
            <w:jc w:val="right"/>
            <w:rPr>
              <w:rFonts w:ascii="Arial Narrow" w:hAnsi="Arial Narrow"/>
              <w:sz w:val="19"/>
              <w:szCs w:val="19"/>
            </w:rPr>
          </w:pPr>
        </w:p>
      </w:tc>
    </w:tr>
    <w:tr w:rsidR="00A6008B" w:rsidTr="00495EE7">
      <w:tc>
        <w:tcPr>
          <w:tcW w:w="9073" w:type="dxa"/>
          <w:tcBorders>
            <w:top w:val="single" w:sz="4" w:space="0" w:color="auto"/>
            <w:bottom w:val="nil"/>
          </w:tcBorders>
        </w:tcPr>
        <w:p w:rsidR="00A6008B" w:rsidRPr="009A221A" w:rsidRDefault="00A6008B" w:rsidP="00921365">
          <w:pPr>
            <w:pStyle w:val="Header"/>
            <w:rPr>
              <w:rFonts w:ascii="Arial Narrow" w:hAnsi="Arial Narrow"/>
              <w:sz w:val="23"/>
              <w:szCs w:val="22"/>
            </w:rPr>
          </w:pPr>
        </w:p>
      </w:tc>
      <w:tc>
        <w:tcPr>
          <w:tcW w:w="1251" w:type="dxa"/>
          <w:vMerge/>
          <w:tcBorders>
            <w:bottom w:val="nil"/>
          </w:tcBorders>
        </w:tcPr>
        <w:p w:rsidR="00A6008B" w:rsidRPr="009A221A" w:rsidRDefault="00A6008B" w:rsidP="00921365">
          <w:pPr>
            <w:pStyle w:val="Header"/>
            <w:jc w:val="right"/>
            <w:rPr>
              <w:rFonts w:ascii="Arial Narrow" w:hAnsi="Arial Narrow"/>
              <w:sz w:val="6"/>
              <w:szCs w:val="22"/>
            </w:rPr>
          </w:pPr>
        </w:p>
      </w:tc>
    </w:tr>
  </w:tbl>
  <w:p w:rsidR="00A6008B" w:rsidRPr="00156FB1" w:rsidRDefault="00A6008B" w:rsidP="00156FB1">
    <w:pPr>
      <w:rPr>
        <w:sz w:val="16"/>
      </w:rPr>
    </w:pPr>
  </w:p>
  <w:p w:rsidR="00A6008B" w:rsidRPr="00156FB1" w:rsidRDefault="00A6008B" w:rsidP="00156FB1">
    <w:pP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E848B544"/>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9726209E"/>
    <w:lvl w:ilvl="0">
      <w:start w:val="1"/>
      <w:numFmt w:val="bullet"/>
      <w:lvlText w:val=""/>
      <w:lvlJc w:val="left"/>
      <w:pPr>
        <w:tabs>
          <w:tab w:val="num" w:pos="360"/>
        </w:tabs>
        <w:ind w:left="360" w:hanging="360"/>
      </w:pPr>
      <w:rPr>
        <w:rFonts w:ascii="Symbol" w:hAnsi="Symbol" w:hint="default"/>
      </w:rPr>
    </w:lvl>
  </w:abstractNum>
  <w:abstractNum w:abstractNumId="2">
    <w:nsid w:val="003C2AA3"/>
    <w:multiLevelType w:val="hybridMultilevel"/>
    <w:tmpl w:val="D1928EC4"/>
    <w:lvl w:ilvl="0" w:tplc="C9741BCA">
      <w:start w:val="1"/>
      <w:numFmt w:val="bullet"/>
      <w:lvlText w:val=""/>
      <w:lvlJc w:val="left"/>
      <w:pPr>
        <w:ind w:left="720" w:hanging="360"/>
      </w:pPr>
      <w:rPr>
        <w:rFonts w:ascii="Symbol" w:hAnsi="Symbol" w:hint="default"/>
        <w:i/>
        <w:sz w:val="21"/>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05F7D9A"/>
    <w:multiLevelType w:val="hybridMultilevel"/>
    <w:tmpl w:val="C37E3F9A"/>
    <w:lvl w:ilvl="0" w:tplc="C9741BCA">
      <w:start w:val="1"/>
      <w:numFmt w:val="bullet"/>
      <w:lvlText w:val=""/>
      <w:lvlJc w:val="left"/>
      <w:pPr>
        <w:ind w:left="720" w:hanging="360"/>
      </w:pPr>
      <w:rPr>
        <w:rFonts w:ascii="Symbol" w:hAnsi="Symbol" w:hint="default"/>
        <w:i/>
        <w:sz w:val="21"/>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7DD6BA6"/>
    <w:multiLevelType w:val="hybridMultilevel"/>
    <w:tmpl w:val="0CB6FBFE"/>
    <w:lvl w:ilvl="0" w:tplc="C9741BCA">
      <w:start w:val="1"/>
      <w:numFmt w:val="bullet"/>
      <w:lvlText w:val=""/>
      <w:lvlJc w:val="left"/>
      <w:pPr>
        <w:ind w:left="720" w:hanging="360"/>
      </w:pPr>
      <w:rPr>
        <w:rFonts w:ascii="Symbol" w:hAnsi="Symbol" w:hint="default"/>
        <w:i/>
        <w:sz w:val="21"/>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91F16C2"/>
    <w:multiLevelType w:val="hybridMultilevel"/>
    <w:tmpl w:val="9B70AFF0"/>
    <w:lvl w:ilvl="0" w:tplc="66E28392">
      <w:start w:val="1"/>
      <w:numFmt w:val="bullet"/>
      <w:lvlText w:val=""/>
      <w:lvlJc w:val="left"/>
      <w:pPr>
        <w:ind w:left="720" w:hanging="360"/>
      </w:pPr>
      <w:rPr>
        <w:rFonts w:ascii="Symbol" w:hAnsi="Symbol" w:hint="default"/>
        <w:i/>
        <w:sz w:val="20"/>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9B81A26"/>
    <w:multiLevelType w:val="multilevel"/>
    <w:tmpl w:val="B816A88C"/>
    <w:lvl w:ilvl="0">
      <w:start w:val="1"/>
      <w:numFmt w:val="decimal"/>
      <w:lvlText w:val="%1"/>
      <w:lvlJc w:val="left"/>
      <w:pPr>
        <w:tabs>
          <w:tab w:val="num" w:pos="720"/>
        </w:tabs>
        <w:ind w:left="720" w:hanging="720"/>
      </w:pPr>
      <w:rPr>
        <w:rFonts w:cs="Arial" w:hint="default"/>
        <w:b/>
        <w:i/>
      </w:rPr>
    </w:lvl>
    <w:lvl w:ilvl="1">
      <w:start w:val="1"/>
      <w:numFmt w:val="decimal"/>
      <w:lvlText w:val="%1.%2"/>
      <w:lvlJc w:val="left"/>
      <w:pPr>
        <w:tabs>
          <w:tab w:val="num" w:pos="720"/>
        </w:tabs>
        <w:ind w:left="720" w:hanging="720"/>
      </w:pPr>
      <w:rPr>
        <w:rFonts w:cs="Arial" w:hint="default"/>
        <w:b/>
        <w:i/>
      </w:rPr>
    </w:lvl>
    <w:lvl w:ilvl="2">
      <w:start w:val="1"/>
      <w:numFmt w:val="decimal"/>
      <w:lvlText w:val="%1.%2.%3"/>
      <w:lvlJc w:val="left"/>
      <w:pPr>
        <w:tabs>
          <w:tab w:val="num" w:pos="720"/>
        </w:tabs>
        <w:ind w:left="720" w:hanging="720"/>
      </w:pPr>
      <w:rPr>
        <w:rFonts w:cs="Arial" w:hint="default"/>
        <w:b/>
        <w:i/>
      </w:rPr>
    </w:lvl>
    <w:lvl w:ilvl="3">
      <w:start w:val="1"/>
      <w:numFmt w:val="decimal"/>
      <w:lvlText w:val="%1.%2.%3.%4"/>
      <w:lvlJc w:val="left"/>
      <w:pPr>
        <w:tabs>
          <w:tab w:val="num" w:pos="720"/>
        </w:tabs>
        <w:ind w:left="720" w:hanging="720"/>
      </w:pPr>
      <w:rPr>
        <w:rFonts w:cs="Arial" w:hint="default"/>
        <w:b/>
        <w:i/>
      </w:rPr>
    </w:lvl>
    <w:lvl w:ilvl="4">
      <w:start w:val="1"/>
      <w:numFmt w:val="decimal"/>
      <w:lvlText w:val="%1.%2.%3.%4.%5"/>
      <w:lvlJc w:val="left"/>
      <w:pPr>
        <w:tabs>
          <w:tab w:val="num" w:pos="1080"/>
        </w:tabs>
        <w:ind w:left="1080" w:hanging="1080"/>
      </w:pPr>
      <w:rPr>
        <w:rFonts w:cs="Arial" w:hint="default"/>
        <w:b/>
        <w:i/>
      </w:rPr>
    </w:lvl>
    <w:lvl w:ilvl="5">
      <w:start w:val="1"/>
      <w:numFmt w:val="decimal"/>
      <w:lvlText w:val="%1.%2.%3.%4.%5.%6"/>
      <w:lvlJc w:val="left"/>
      <w:pPr>
        <w:tabs>
          <w:tab w:val="num" w:pos="1080"/>
        </w:tabs>
        <w:ind w:left="1080" w:hanging="1080"/>
      </w:pPr>
      <w:rPr>
        <w:rFonts w:cs="Arial" w:hint="default"/>
        <w:b/>
        <w:i/>
      </w:rPr>
    </w:lvl>
    <w:lvl w:ilvl="6">
      <w:start w:val="1"/>
      <w:numFmt w:val="decimal"/>
      <w:lvlText w:val="%1.%2.%3.%4.%5.%6.%7"/>
      <w:lvlJc w:val="left"/>
      <w:pPr>
        <w:tabs>
          <w:tab w:val="num" w:pos="1080"/>
        </w:tabs>
        <w:ind w:left="1080" w:hanging="1080"/>
      </w:pPr>
      <w:rPr>
        <w:rFonts w:cs="Arial" w:hint="default"/>
        <w:b/>
        <w:i/>
      </w:rPr>
    </w:lvl>
    <w:lvl w:ilvl="7">
      <w:start w:val="1"/>
      <w:numFmt w:val="decimal"/>
      <w:lvlText w:val="%1.%2.%3.%4.%5.%6.%7.%8"/>
      <w:lvlJc w:val="left"/>
      <w:pPr>
        <w:tabs>
          <w:tab w:val="num" w:pos="1440"/>
        </w:tabs>
        <w:ind w:left="1440" w:hanging="1440"/>
      </w:pPr>
      <w:rPr>
        <w:rFonts w:cs="Arial" w:hint="default"/>
        <w:b/>
        <w:i/>
      </w:rPr>
    </w:lvl>
    <w:lvl w:ilvl="8">
      <w:start w:val="1"/>
      <w:numFmt w:val="decimal"/>
      <w:lvlText w:val="%1.%2.%3.%4.%5.%6.%7.%8.%9"/>
      <w:lvlJc w:val="left"/>
      <w:pPr>
        <w:tabs>
          <w:tab w:val="num" w:pos="1440"/>
        </w:tabs>
        <w:ind w:left="1440" w:hanging="1440"/>
      </w:pPr>
      <w:rPr>
        <w:rFonts w:cs="Arial" w:hint="default"/>
        <w:b/>
        <w:i/>
      </w:rPr>
    </w:lvl>
  </w:abstractNum>
  <w:abstractNum w:abstractNumId="7">
    <w:nsid w:val="0A5D476F"/>
    <w:multiLevelType w:val="hybridMultilevel"/>
    <w:tmpl w:val="761C9EE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nsid w:val="0FD22F27"/>
    <w:multiLevelType w:val="hybridMultilevel"/>
    <w:tmpl w:val="29006972"/>
    <w:lvl w:ilvl="0" w:tplc="0C090015">
      <w:start w:val="1"/>
      <w:numFmt w:val="upperLetter"/>
      <w:lvlText w:val="%1."/>
      <w:lvlJc w:val="left"/>
      <w:pPr>
        <w:ind w:left="1080" w:hanging="360"/>
      </w:pPr>
      <w:rPr>
        <w:rFonts w:cs="Times New Roman" w:hint="default"/>
        <w:b/>
        <w:i/>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9">
    <w:nsid w:val="16FF76C4"/>
    <w:multiLevelType w:val="hybridMultilevel"/>
    <w:tmpl w:val="F39AFA96"/>
    <w:lvl w:ilvl="0" w:tplc="0F1E6626">
      <w:start w:val="1"/>
      <w:numFmt w:val="lowerLetter"/>
      <w:lvlText w:val="%1."/>
      <w:lvlJc w:val="left"/>
      <w:pPr>
        <w:ind w:left="720" w:hanging="360"/>
      </w:pPr>
      <w:rPr>
        <w:rFonts w:ascii="Arial Narrow" w:hAnsi="Arial Narrow" w:cs="Times New Roman" w:hint="default"/>
      </w:rPr>
    </w:lvl>
    <w:lvl w:ilvl="1" w:tplc="00F2A436">
      <w:start w:val="1"/>
      <w:numFmt w:val="bullet"/>
      <w:lvlText w:val=""/>
      <w:lvlJc w:val="left"/>
      <w:pPr>
        <w:tabs>
          <w:tab w:val="num" w:pos="1440"/>
        </w:tabs>
        <w:ind w:left="1440" w:hanging="360"/>
      </w:pPr>
      <w:rPr>
        <w:rFonts w:ascii="Symbol" w:hAnsi="Symbol" w:hint="default"/>
        <w:i/>
        <w:sz w:val="21"/>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226E1922"/>
    <w:multiLevelType w:val="hybridMultilevel"/>
    <w:tmpl w:val="E572F1FC"/>
    <w:lvl w:ilvl="0" w:tplc="D28CF44E">
      <w:start w:val="3"/>
      <w:numFmt w:val="bullet"/>
      <w:lvlText w:val="-"/>
      <w:lvlJc w:val="left"/>
      <w:pPr>
        <w:ind w:left="420" w:hanging="360"/>
      </w:pPr>
      <w:rPr>
        <w:rFonts w:ascii="Verdana" w:eastAsia="Times New Roman" w:hAnsi="Verdana" w:hint="default"/>
      </w:rPr>
    </w:lvl>
    <w:lvl w:ilvl="1" w:tplc="0C090003" w:tentative="1">
      <w:start w:val="1"/>
      <w:numFmt w:val="bullet"/>
      <w:lvlText w:val="o"/>
      <w:lvlJc w:val="left"/>
      <w:pPr>
        <w:ind w:left="1140" w:hanging="360"/>
      </w:pPr>
      <w:rPr>
        <w:rFonts w:ascii="Courier New" w:hAnsi="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1">
    <w:nsid w:val="23FC3052"/>
    <w:multiLevelType w:val="hybridMultilevel"/>
    <w:tmpl w:val="68C6F168"/>
    <w:lvl w:ilvl="0" w:tplc="28A24272">
      <w:start w:val="3"/>
      <w:numFmt w:val="bullet"/>
      <w:lvlText w:val="-"/>
      <w:lvlJc w:val="left"/>
      <w:pPr>
        <w:ind w:left="420" w:hanging="360"/>
      </w:pPr>
      <w:rPr>
        <w:rFonts w:ascii="Verdana" w:eastAsia="Times New Roman" w:hAnsi="Verdana" w:hint="default"/>
      </w:rPr>
    </w:lvl>
    <w:lvl w:ilvl="1" w:tplc="0C090003" w:tentative="1">
      <w:start w:val="1"/>
      <w:numFmt w:val="bullet"/>
      <w:lvlText w:val="o"/>
      <w:lvlJc w:val="left"/>
      <w:pPr>
        <w:ind w:left="1140" w:hanging="360"/>
      </w:pPr>
      <w:rPr>
        <w:rFonts w:ascii="Courier New" w:hAnsi="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2">
    <w:nsid w:val="24476F10"/>
    <w:multiLevelType w:val="hybridMultilevel"/>
    <w:tmpl w:val="126E7EFA"/>
    <w:lvl w:ilvl="0" w:tplc="C9741BCA">
      <w:start w:val="1"/>
      <w:numFmt w:val="bullet"/>
      <w:lvlText w:val=""/>
      <w:lvlJc w:val="left"/>
      <w:pPr>
        <w:ind w:left="720" w:hanging="360"/>
      </w:pPr>
      <w:rPr>
        <w:rFonts w:ascii="Symbol" w:hAnsi="Symbol" w:hint="default"/>
        <w:i/>
        <w:sz w:val="21"/>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95F5F51"/>
    <w:multiLevelType w:val="hybridMultilevel"/>
    <w:tmpl w:val="BD40D5F0"/>
    <w:lvl w:ilvl="0" w:tplc="AA646AC0">
      <w:start w:val="1"/>
      <w:numFmt w:val="decimal"/>
      <w:lvlText w:val="3.1.%1"/>
      <w:lvlJc w:val="left"/>
      <w:pPr>
        <w:ind w:left="720" w:hanging="360"/>
      </w:pPr>
      <w:rPr>
        <w:rFonts w:cs="Aria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nsid w:val="2FF3408B"/>
    <w:multiLevelType w:val="hybridMultilevel"/>
    <w:tmpl w:val="CFEE8C98"/>
    <w:lvl w:ilvl="0" w:tplc="B5589DDC">
      <w:start w:val="1"/>
      <w:numFmt w:val="bullet"/>
      <w:lvlText w:val="-"/>
      <w:lvlJc w:val="left"/>
      <w:pPr>
        <w:ind w:left="720" w:hanging="360"/>
      </w:pPr>
      <w:rPr>
        <w:rFonts w:ascii="Arial Narrow" w:hAnsi="Arial Narrow"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1538F7"/>
    <w:multiLevelType w:val="hybridMultilevel"/>
    <w:tmpl w:val="C972A980"/>
    <w:lvl w:ilvl="0" w:tplc="031A6AC0">
      <w:start w:val="1"/>
      <w:numFmt w:val="decimal"/>
      <w:lvlText w:val="%1.0"/>
      <w:lvlJc w:val="left"/>
      <w:pPr>
        <w:ind w:left="360" w:hanging="360"/>
      </w:pPr>
      <w:rPr>
        <w:rFonts w:cs="Times New Roman" w:hint="default"/>
        <w:b/>
        <w:sz w:val="26"/>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6">
    <w:nsid w:val="34747E34"/>
    <w:multiLevelType w:val="hybridMultilevel"/>
    <w:tmpl w:val="676AEC02"/>
    <w:lvl w:ilvl="0" w:tplc="B5483BD4">
      <w:start w:val="1"/>
      <w:numFmt w:val="bullet"/>
      <w:lvlText w:val=""/>
      <w:lvlJc w:val="left"/>
      <w:pPr>
        <w:ind w:left="720" w:hanging="360"/>
      </w:pPr>
      <w:rPr>
        <w:rFonts w:ascii="Symbol" w:hAnsi="Symbol" w:hint="default"/>
        <w:i/>
        <w:sz w:val="21"/>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5A06A77"/>
    <w:multiLevelType w:val="hybridMultilevel"/>
    <w:tmpl w:val="9422737C"/>
    <w:lvl w:ilvl="0" w:tplc="E8FCC1F4">
      <w:start w:val="1"/>
      <w:numFmt w:val="decimal"/>
      <w:lvlText w:val="1.%1"/>
      <w:lvlJc w:val="left"/>
      <w:pPr>
        <w:ind w:left="720" w:hanging="360"/>
      </w:pPr>
      <w:rPr>
        <w:rFonts w:cs="Times New Roman" w:hint="default"/>
        <w:b/>
        <w:sz w:val="25"/>
        <w:szCs w:val="25"/>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nsid w:val="38A37202"/>
    <w:multiLevelType w:val="hybridMultilevel"/>
    <w:tmpl w:val="57FE21F0"/>
    <w:lvl w:ilvl="0" w:tplc="74788154">
      <w:start w:val="1"/>
      <w:numFmt w:val="bullet"/>
      <w:lvlText w:val=""/>
      <w:lvlJc w:val="left"/>
      <w:pPr>
        <w:ind w:left="720" w:hanging="360"/>
      </w:pPr>
      <w:rPr>
        <w:rFonts w:ascii="Symbol" w:hAnsi="Symbol" w:hint="default"/>
        <w:i/>
        <w:sz w:val="19"/>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AC972DB"/>
    <w:multiLevelType w:val="hybridMultilevel"/>
    <w:tmpl w:val="2BBC1CF6"/>
    <w:lvl w:ilvl="0" w:tplc="B5483BD4">
      <w:start w:val="1"/>
      <w:numFmt w:val="bullet"/>
      <w:lvlText w:val=""/>
      <w:lvlJc w:val="left"/>
      <w:pPr>
        <w:ind w:left="720" w:hanging="360"/>
      </w:pPr>
      <w:rPr>
        <w:rFonts w:ascii="Symbol" w:hAnsi="Symbol" w:hint="default"/>
        <w:i/>
        <w:sz w:val="21"/>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0DE4C21"/>
    <w:multiLevelType w:val="hybridMultilevel"/>
    <w:tmpl w:val="B6F43AE2"/>
    <w:lvl w:ilvl="0" w:tplc="0409000F">
      <w:start w:val="1"/>
      <w:numFmt w:val="decimal"/>
      <w:lvlText w:val="%1."/>
      <w:lvlJc w:val="left"/>
      <w:pPr>
        <w:ind w:left="720" w:hanging="360"/>
      </w:pPr>
      <w:rPr>
        <w:rFonts w:cs="Times New Roman" w:hint="default"/>
        <w:i/>
        <w:sz w:val="21"/>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1032E1"/>
    <w:multiLevelType w:val="hybridMultilevel"/>
    <w:tmpl w:val="4D4CD4A4"/>
    <w:lvl w:ilvl="0" w:tplc="C9741BCA">
      <w:start w:val="1"/>
      <w:numFmt w:val="bullet"/>
      <w:lvlText w:val=""/>
      <w:lvlJc w:val="left"/>
      <w:pPr>
        <w:ind w:left="720" w:hanging="360"/>
      </w:pPr>
      <w:rPr>
        <w:rFonts w:ascii="Symbol" w:hAnsi="Symbol" w:hint="default"/>
        <w:i/>
        <w:sz w:val="21"/>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94720D"/>
    <w:multiLevelType w:val="hybridMultilevel"/>
    <w:tmpl w:val="A3C899B0"/>
    <w:lvl w:ilvl="0" w:tplc="0F1E6626">
      <w:start w:val="1"/>
      <w:numFmt w:val="lowerLetter"/>
      <w:lvlText w:val="%1."/>
      <w:lvlJc w:val="left"/>
      <w:pPr>
        <w:ind w:left="720" w:hanging="360"/>
      </w:pPr>
      <w:rPr>
        <w:rFonts w:ascii="Arial Narrow" w:hAnsi="Arial Narrow" w:cs="Times New Roman" w:hint="default"/>
      </w:rPr>
    </w:lvl>
    <w:lvl w:ilvl="1" w:tplc="0C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4B083B65"/>
    <w:multiLevelType w:val="multilevel"/>
    <w:tmpl w:val="AB707502"/>
    <w:lvl w:ilvl="0">
      <w:start w:val="2"/>
      <w:numFmt w:val="decimal"/>
      <w:lvlText w:val="%1"/>
      <w:lvlJc w:val="left"/>
      <w:pPr>
        <w:tabs>
          <w:tab w:val="num" w:pos="360"/>
        </w:tabs>
        <w:ind w:left="360" w:hanging="360"/>
      </w:pPr>
      <w:rPr>
        <w:rFonts w:cs="Arial" w:hint="default"/>
        <w:b/>
        <w:i/>
        <w:color w:val="auto"/>
      </w:rPr>
    </w:lvl>
    <w:lvl w:ilvl="1">
      <w:start w:val="1"/>
      <w:numFmt w:val="decimal"/>
      <w:lvlText w:val="%1.%2"/>
      <w:lvlJc w:val="left"/>
      <w:pPr>
        <w:tabs>
          <w:tab w:val="num" w:pos="360"/>
        </w:tabs>
        <w:ind w:left="360" w:hanging="360"/>
      </w:pPr>
      <w:rPr>
        <w:rFonts w:cs="Arial" w:hint="default"/>
        <w:b/>
        <w:i/>
        <w:color w:val="auto"/>
      </w:rPr>
    </w:lvl>
    <w:lvl w:ilvl="2">
      <w:start w:val="1"/>
      <w:numFmt w:val="decimal"/>
      <w:lvlText w:val="%1.%2.%3"/>
      <w:lvlJc w:val="left"/>
      <w:pPr>
        <w:tabs>
          <w:tab w:val="num" w:pos="720"/>
        </w:tabs>
        <w:ind w:left="720" w:hanging="720"/>
      </w:pPr>
      <w:rPr>
        <w:rFonts w:cs="Arial" w:hint="default"/>
        <w:b/>
        <w:i/>
        <w:color w:val="auto"/>
      </w:rPr>
    </w:lvl>
    <w:lvl w:ilvl="3">
      <w:start w:val="1"/>
      <w:numFmt w:val="decimal"/>
      <w:lvlText w:val="%1.%2.%3.%4"/>
      <w:lvlJc w:val="left"/>
      <w:pPr>
        <w:tabs>
          <w:tab w:val="num" w:pos="720"/>
        </w:tabs>
        <w:ind w:left="720" w:hanging="720"/>
      </w:pPr>
      <w:rPr>
        <w:rFonts w:cs="Arial" w:hint="default"/>
        <w:b/>
        <w:i/>
        <w:color w:val="auto"/>
      </w:rPr>
    </w:lvl>
    <w:lvl w:ilvl="4">
      <w:start w:val="1"/>
      <w:numFmt w:val="decimal"/>
      <w:lvlText w:val="%1.%2.%3.%4.%5"/>
      <w:lvlJc w:val="left"/>
      <w:pPr>
        <w:tabs>
          <w:tab w:val="num" w:pos="1080"/>
        </w:tabs>
        <w:ind w:left="1080" w:hanging="1080"/>
      </w:pPr>
      <w:rPr>
        <w:rFonts w:cs="Arial" w:hint="default"/>
        <w:b/>
        <w:i/>
        <w:color w:val="auto"/>
      </w:rPr>
    </w:lvl>
    <w:lvl w:ilvl="5">
      <w:start w:val="1"/>
      <w:numFmt w:val="decimal"/>
      <w:lvlText w:val="%1.%2.%3.%4.%5.%6"/>
      <w:lvlJc w:val="left"/>
      <w:pPr>
        <w:tabs>
          <w:tab w:val="num" w:pos="1080"/>
        </w:tabs>
        <w:ind w:left="1080" w:hanging="1080"/>
      </w:pPr>
      <w:rPr>
        <w:rFonts w:cs="Arial" w:hint="default"/>
        <w:b/>
        <w:i/>
        <w:color w:val="auto"/>
      </w:rPr>
    </w:lvl>
    <w:lvl w:ilvl="6">
      <w:start w:val="1"/>
      <w:numFmt w:val="decimal"/>
      <w:lvlText w:val="%1.%2.%3.%4.%5.%6.%7"/>
      <w:lvlJc w:val="left"/>
      <w:pPr>
        <w:tabs>
          <w:tab w:val="num" w:pos="1080"/>
        </w:tabs>
        <w:ind w:left="1080" w:hanging="1080"/>
      </w:pPr>
      <w:rPr>
        <w:rFonts w:cs="Arial" w:hint="default"/>
        <w:b/>
        <w:i/>
        <w:color w:val="auto"/>
      </w:rPr>
    </w:lvl>
    <w:lvl w:ilvl="7">
      <w:start w:val="1"/>
      <w:numFmt w:val="decimal"/>
      <w:lvlText w:val="%1.%2.%3.%4.%5.%6.%7.%8"/>
      <w:lvlJc w:val="left"/>
      <w:pPr>
        <w:tabs>
          <w:tab w:val="num" w:pos="1440"/>
        </w:tabs>
        <w:ind w:left="1440" w:hanging="1440"/>
      </w:pPr>
      <w:rPr>
        <w:rFonts w:cs="Arial" w:hint="default"/>
        <w:b/>
        <w:i/>
        <w:color w:val="auto"/>
      </w:rPr>
    </w:lvl>
    <w:lvl w:ilvl="8">
      <w:start w:val="1"/>
      <w:numFmt w:val="decimal"/>
      <w:lvlText w:val="%1.%2.%3.%4.%5.%6.%7.%8.%9"/>
      <w:lvlJc w:val="left"/>
      <w:pPr>
        <w:tabs>
          <w:tab w:val="num" w:pos="1440"/>
        </w:tabs>
        <w:ind w:left="1440" w:hanging="1440"/>
      </w:pPr>
      <w:rPr>
        <w:rFonts w:cs="Arial" w:hint="default"/>
        <w:b/>
        <w:i/>
        <w:color w:val="auto"/>
      </w:rPr>
    </w:lvl>
  </w:abstractNum>
  <w:abstractNum w:abstractNumId="24">
    <w:nsid w:val="4BE00CFC"/>
    <w:multiLevelType w:val="hybridMultilevel"/>
    <w:tmpl w:val="3C805ADC"/>
    <w:lvl w:ilvl="0" w:tplc="10109BBE">
      <w:start w:val="1"/>
      <w:numFmt w:val="lowerLetter"/>
      <w:lvlText w:val="%1."/>
      <w:lvlJc w:val="left"/>
      <w:pPr>
        <w:ind w:left="1080" w:hanging="360"/>
      </w:pPr>
      <w:rPr>
        <w:rFonts w:cs="Times New Roman" w:hint="default"/>
        <w:b/>
        <w:i/>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5">
    <w:nsid w:val="52375363"/>
    <w:multiLevelType w:val="hybridMultilevel"/>
    <w:tmpl w:val="BA1A1820"/>
    <w:lvl w:ilvl="0" w:tplc="D2246490">
      <w:start w:val="1"/>
      <w:numFmt w:val="decimal"/>
      <w:lvlText w:val="1.2.%1"/>
      <w:lvlJc w:val="left"/>
      <w:pPr>
        <w:ind w:left="720" w:hanging="360"/>
      </w:pPr>
      <w:rPr>
        <w:rFonts w:cs="Times New Roman" w:hint="default"/>
        <w:b/>
        <w:sz w:val="25"/>
        <w:szCs w:val="25"/>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nsid w:val="595F6D33"/>
    <w:multiLevelType w:val="hybridMultilevel"/>
    <w:tmpl w:val="39B430F2"/>
    <w:lvl w:ilvl="0" w:tplc="00F2A436">
      <w:start w:val="1"/>
      <w:numFmt w:val="bullet"/>
      <w:lvlText w:val=""/>
      <w:lvlJc w:val="left"/>
      <w:pPr>
        <w:ind w:left="720" w:hanging="360"/>
      </w:pPr>
      <w:rPr>
        <w:rFonts w:ascii="Symbol" w:hAnsi="Symbol" w:hint="default"/>
        <w:i/>
        <w:sz w:val="21"/>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nsid w:val="599D3116"/>
    <w:multiLevelType w:val="hybridMultilevel"/>
    <w:tmpl w:val="898E91D0"/>
    <w:lvl w:ilvl="0" w:tplc="9B00E16E">
      <w:start w:val="1"/>
      <w:numFmt w:val="bullet"/>
      <w:pStyle w:val="BulletPoints"/>
      <w:lvlText w:val=""/>
      <w:lvlJc w:val="left"/>
      <w:pPr>
        <w:tabs>
          <w:tab w:val="num" w:pos="720"/>
        </w:tabs>
        <w:ind w:left="720" w:hanging="720"/>
      </w:pPr>
      <w:rPr>
        <w:rFonts w:ascii="Symbol" w:hAnsi="Symbol" w:hint="default"/>
        <w:b w:val="0"/>
        <w:i w:val="0"/>
        <w:sz w:val="16"/>
      </w:rPr>
    </w:lvl>
    <w:lvl w:ilvl="1" w:tplc="04090019">
      <w:start w:val="1"/>
      <w:numFmt w:val="bullet"/>
      <w:lvlText w:val="o"/>
      <w:lvlJc w:val="left"/>
      <w:pPr>
        <w:tabs>
          <w:tab w:val="num" w:pos="5040"/>
        </w:tabs>
        <w:ind w:left="5040" w:hanging="360"/>
      </w:pPr>
      <w:rPr>
        <w:rFonts w:ascii="Courier New" w:hAnsi="Courier New" w:hint="default"/>
      </w:rPr>
    </w:lvl>
    <w:lvl w:ilvl="2" w:tplc="0409001B">
      <w:start w:val="1"/>
      <w:numFmt w:val="bullet"/>
      <w:lvlText w:val=""/>
      <w:lvlJc w:val="left"/>
      <w:pPr>
        <w:tabs>
          <w:tab w:val="num" w:pos="5760"/>
        </w:tabs>
        <w:ind w:left="5760" w:hanging="360"/>
      </w:pPr>
      <w:rPr>
        <w:rFonts w:ascii="Wingdings" w:hAnsi="Wingdings" w:hint="default"/>
      </w:rPr>
    </w:lvl>
    <w:lvl w:ilvl="3" w:tplc="0409000F">
      <w:start w:val="1"/>
      <w:numFmt w:val="bullet"/>
      <w:lvlText w:val=""/>
      <w:lvlJc w:val="left"/>
      <w:pPr>
        <w:tabs>
          <w:tab w:val="num" w:pos="6480"/>
        </w:tabs>
        <w:ind w:left="6480" w:hanging="360"/>
      </w:pPr>
      <w:rPr>
        <w:rFonts w:ascii="Symbol" w:hAnsi="Symbol" w:hint="default"/>
      </w:rPr>
    </w:lvl>
    <w:lvl w:ilvl="4" w:tplc="04090019">
      <w:start w:val="1"/>
      <w:numFmt w:val="bullet"/>
      <w:lvlText w:val="o"/>
      <w:lvlJc w:val="left"/>
      <w:pPr>
        <w:tabs>
          <w:tab w:val="num" w:pos="7200"/>
        </w:tabs>
        <w:ind w:left="7200" w:hanging="360"/>
      </w:pPr>
      <w:rPr>
        <w:rFonts w:ascii="Courier New" w:hAnsi="Courier New" w:hint="default"/>
      </w:rPr>
    </w:lvl>
    <w:lvl w:ilvl="5" w:tplc="0409001B">
      <w:start w:val="1"/>
      <w:numFmt w:val="bullet"/>
      <w:lvlText w:val=""/>
      <w:lvlJc w:val="left"/>
      <w:pPr>
        <w:tabs>
          <w:tab w:val="num" w:pos="7920"/>
        </w:tabs>
        <w:ind w:left="7920" w:hanging="360"/>
      </w:pPr>
      <w:rPr>
        <w:rFonts w:ascii="Wingdings" w:hAnsi="Wingdings" w:hint="default"/>
      </w:rPr>
    </w:lvl>
    <w:lvl w:ilvl="6" w:tplc="0409000F">
      <w:start w:val="1"/>
      <w:numFmt w:val="bullet"/>
      <w:lvlText w:val=""/>
      <w:lvlJc w:val="left"/>
      <w:pPr>
        <w:tabs>
          <w:tab w:val="num" w:pos="8640"/>
        </w:tabs>
        <w:ind w:left="8640" w:hanging="360"/>
      </w:pPr>
      <w:rPr>
        <w:rFonts w:ascii="Symbol" w:hAnsi="Symbol" w:hint="default"/>
      </w:rPr>
    </w:lvl>
    <w:lvl w:ilvl="7" w:tplc="04090019">
      <w:start w:val="1"/>
      <w:numFmt w:val="bullet"/>
      <w:lvlText w:val="o"/>
      <w:lvlJc w:val="left"/>
      <w:pPr>
        <w:tabs>
          <w:tab w:val="num" w:pos="9360"/>
        </w:tabs>
        <w:ind w:left="9360" w:hanging="360"/>
      </w:pPr>
      <w:rPr>
        <w:rFonts w:ascii="Courier New" w:hAnsi="Courier New" w:hint="default"/>
      </w:rPr>
    </w:lvl>
    <w:lvl w:ilvl="8" w:tplc="0409001B">
      <w:start w:val="1"/>
      <w:numFmt w:val="bullet"/>
      <w:lvlText w:val=""/>
      <w:lvlJc w:val="left"/>
      <w:pPr>
        <w:tabs>
          <w:tab w:val="num" w:pos="10080"/>
        </w:tabs>
        <w:ind w:left="10080" w:hanging="360"/>
      </w:pPr>
      <w:rPr>
        <w:rFonts w:ascii="Wingdings" w:hAnsi="Wingdings" w:hint="default"/>
      </w:rPr>
    </w:lvl>
  </w:abstractNum>
  <w:abstractNum w:abstractNumId="28">
    <w:nsid w:val="5CF14FD6"/>
    <w:multiLevelType w:val="hybridMultilevel"/>
    <w:tmpl w:val="1D129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D902784"/>
    <w:multiLevelType w:val="hybridMultilevel"/>
    <w:tmpl w:val="500E9514"/>
    <w:lvl w:ilvl="0" w:tplc="C9741BCA">
      <w:start w:val="1"/>
      <w:numFmt w:val="bullet"/>
      <w:lvlText w:val=""/>
      <w:lvlJc w:val="left"/>
      <w:pPr>
        <w:ind w:left="720" w:hanging="360"/>
      </w:pPr>
      <w:rPr>
        <w:rFonts w:ascii="Symbol" w:hAnsi="Symbol" w:hint="default"/>
        <w:i/>
        <w:sz w:val="21"/>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FBF6FCC"/>
    <w:multiLevelType w:val="hybridMultilevel"/>
    <w:tmpl w:val="8C10BFD6"/>
    <w:lvl w:ilvl="0" w:tplc="74788154">
      <w:start w:val="1"/>
      <w:numFmt w:val="bullet"/>
      <w:lvlText w:val=""/>
      <w:lvlJc w:val="left"/>
      <w:pPr>
        <w:ind w:left="720" w:hanging="360"/>
      </w:pPr>
      <w:rPr>
        <w:rFonts w:ascii="Symbol" w:hAnsi="Symbol" w:hint="default"/>
        <w:i/>
        <w:sz w:val="19"/>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1BB12C8"/>
    <w:multiLevelType w:val="multilevel"/>
    <w:tmpl w:val="643E190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2">
    <w:nsid w:val="697C0424"/>
    <w:multiLevelType w:val="hybridMultilevel"/>
    <w:tmpl w:val="92CAFD56"/>
    <w:lvl w:ilvl="0" w:tplc="F1DC377A">
      <w:start w:val="1"/>
      <w:numFmt w:val="bullet"/>
      <w:pStyle w:val="Heading3bullet"/>
      <w:lvlText w:val=""/>
      <w:lvlJc w:val="left"/>
      <w:pPr>
        <w:tabs>
          <w:tab w:val="num" w:pos="1985"/>
        </w:tabs>
        <w:ind w:left="1985" w:hanging="171"/>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EFC1774"/>
    <w:multiLevelType w:val="hybridMultilevel"/>
    <w:tmpl w:val="72DE44D4"/>
    <w:lvl w:ilvl="0" w:tplc="E76CA154">
      <w:start w:val="1"/>
      <w:numFmt w:val="bullet"/>
      <w:lvlText w:val=""/>
      <w:lvlJc w:val="left"/>
      <w:pPr>
        <w:ind w:left="720" w:hanging="360"/>
      </w:pPr>
      <w:rPr>
        <w:rFonts w:ascii="Symbol" w:hAnsi="Symbol" w:hint="default"/>
        <w:i/>
        <w:sz w:val="21"/>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F5C7884"/>
    <w:multiLevelType w:val="hybridMultilevel"/>
    <w:tmpl w:val="DB9A300C"/>
    <w:lvl w:ilvl="0" w:tplc="66E28392">
      <w:start w:val="1"/>
      <w:numFmt w:val="bullet"/>
      <w:lvlText w:val=""/>
      <w:lvlJc w:val="left"/>
      <w:pPr>
        <w:ind w:left="720" w:hanging="360"/>
      </w:pPr>
      <w:rPr>
        <w:rFonts w:ascii="Symbol" w:hAnsi="Symbol" w:hint="default"/>
        <w:i/>
        <w:sz w:val="2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1981F4B"/>
    <w:multiLevelType w:val="hybridMultilevel"/>
    <w:tmpl w:val="5E78AA84"/>
    <w:lvl w:ilvl="0" w:tplc="C9741BCA">
      <w:start w:val="1"/>
      <w:numFmt w:val="bullet"/>
      <w:lvlText w:val=""/>
      <w:lvlJc w:val="left"/>
      <w:pPr>
        <w:ind w:left="720" w:hanging="360"/>
      </w:pPr>
      <w:rPr>
        <w:rFonts w:ascii="Symbol" w:hAnsi="Symbol" w:hint="default"/>
        <w:i/>
        <w:sz w:val="21"/>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2D221A4"/>
    <w:multiLevelType w:val="hybridMultilevel"/>
    <w:tmpl w:val="94589878"/>
    <w:lvl w:ilvl="0" w:tplc="74788154">
      <w:start w:val="1"/>
      <w:numFmt w:val="bullet"/>
      <w:lvlText w:val=""/>
      <w:lvlJc w:val="left"/>
      <w:pPr>
        <w:ind w:left="720" w:hanging="360"/>
      </w:pPr>
      <w:rPr>
        <w:rFonts w:ascii="Symbol" w:hAnsi="Symbol" w:hint="default"/>
        <w:i/>
        <w:sz w:val="19"/>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3EB60E5"/>
    <w:multiLevelType w:val="hybridMultilevel"/>
    <w:tmpl w:val="DF38E90C"/>
    <w:lvl w:ilvl="0" w:tplc="C9741BCA">
      <w:start w:val="1"/>
      <w:numFmt w:val="bullet"/>
      <w:lvlText w:val=""/>
      <w:lvlJc w:val="left"/>
      <w:pPr>
        <w:ind w:left="720" w:hanging="360"/>
      </w:pPr>
      <w:rPr>
        <w:rFonts w:ascii="Symbol" w:hAnsi="Symbol" w:hint="default"/>
        <w:i/>
        <w:sz w:val="21"/>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423348F"/>
    <w:multiLevelType w:val="hybridMultilevel"/>
    <w:tmpl w:val="210C383C"/>
    <w:lvl w:ilvl="0" w:tplc="DEBE989C">
      <w:start w:val="1"/>
      <w:numFmt w:val="decimal"/>
      <w:lvlText w:val="4.%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9">
    <w:nsid w:val="7B9B43A0"/>
    <w:multiLevelType w:val="hybridMultilevel"/>
    <w:tmpl w:val="3FD09668"/>
    <w:lvl w:ilvl="0" w:tplc="C9741BCA">
      <w:start w:val="1"/>
      <w:numFmt w:val="bullet"/>
      <w:lvlText w:val=""/>
      <w:lvlJc w:val="left"/>
      <w:pPr>
        <w:ind w:left="720" w:hanging="360"/>
      </w:pPr>
      <w:rPr>
        <w:rFonts w:ascii="Symbol" w:hAnsi="Symbol" w:hint="default"/>
        <w:i/>
        <w:sz w:val="21"/>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C5F12D2"/>
    <w:multiLevelType w:val="hybridMultilevel"/>
    <w:tmpl w:val="7ACE9360"/>
    <w:lvl w:ilvl="0" w:tplc="63541236">
      <w:start w:val="1"/>
      <w:numFmt w:val="decimal"/>
      <w:lvlText w:val="3.%1"/>
      <w:lvlJc w:val="left"/>
      <w:pPr>
        <w:ind w:left="720" w:hanging="360"/>
      </w:pPr>
      <w:rPr>
        <w:rFonts w:cs="Times New Roman" w:hint="default"/>
        <w:b/>
        <w:sz w:val="25"/>
        <w:szCs w:val="25"/>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32"/>
  </w:num>
  <w:num w:numId="8">
    <w:abstractNumId w:val="15"/>
  </w:num>
  <w:num w:numId="9">
    <w:abstractNumId w:val="17"/>
  </w:num>
  <w:num w:numId="10">
    <w:abstractNumId w:val="25"/>
  </w:num>
  <w:num w:numId="11">
    <w:abstractNumId w:val="40"/>
  </w:num>
  <w:num w:numId="12">
    <w:abstractNumId w:val="38"/>
  </w:num>
  <w:num w:numId="13">
    <w:abstractNumId w:val="13"/>
  </w:num>
  <w:num w:numId="14">
    <w:abstractNumId w:val="21"/>
  </w:num>
  <w:num w:numId="15">
    <w:abstractNumId w:val="12"/>
  </w:num>
  <w:num w:numId="16">
    <w:abstractNumId w:val="3"/>
  </w:num>
  <w:num w:numId="17">
    <w:abstractNumId w:val="4"/>
  </w:num>
  <w:num w:numId="18">
    <w:abstractNumId w:val="6"/>
  </w:num>
  <w:num w:numId="19">
    <w:abstractNumId w:val="23"/>
  </w:num>
  <w:num w:numId="20">
    <w:abstractNumId w:val="5"/>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2"/>
  </w:num>
  <w:num w:numId="24">
    <w:abstractNumId w:val="29"/>
  </w:num>
  <w:num w:numId="25">
    <w:abstractNumId w:val="35"/>
  </w:num>
  <w:num w:numId="26">
    <w:abstractNumId w:val="16"/>
  </w:num>
  <w:num w:numId="27">
    <w:abstractNumId w:val="33"/>
  </w:num>
  <w:num w:numId="28">
    <w:abstractNumId w:val="22"/>
  </w:num>
  <w:num w:numId="29">
    <w:abstractNumId w:val="37"/>
  </w:num>
  <w:num w:numId="30">
    <w:abstractNumId w:val="9"/>
  </w:num>
  <w:num w:numId="31">
    <w:abstractNumId w:val="26"/>
  </w:num>
  <w:num w:numId="32">
    <w:abstractNumId w:val="28"/>
  </w:num>
  <w:num w:numId="33">
    <w:abstractNumId w:val="19"/>
  </w:num>
  <w:num w:numId="34">
    <w:abstractNumId w:val="27"/>
  </w:num>
  <w:num w:numId="35">
    <w:abstractNumId w:val="7"/>
  </w:num>
  <w:num w:numId="36">
    <w:abstractNumId w:val="18"/>
  </w:num>
  <w:num w:numId="37">
    <w:abstractNumId w:val="36"/>
  </w:num>
  <w:num w:numId="38">
    <w:abstractNumId w:val="30"/>
  </w:num>
  <w:num w:numId="39">
    <w:abstractNumId w:val="31"/>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10"/>
  </w:num>
  <w:num w:numId="45">
    <w:abstractNumId w:val="24"/>
  </w:num>
  <w:num w:numId="46">
    <w:abstractNumId w:val="8"/>
  </w:num>
  <w:num w:numId="47">
    <w:abstractNumId w:val="34"/>
  </w:num>
  <w:num w:numId="48">
    <w:abstractNumId w:val="14"/>
  </w:num>
  <w:num w:numId="49">
    <w:abstractNumId w:val="20"/>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isplayBackgroundShape/>
  <w:embedSystemFonts/>
  <w:stylePaneFormatFilter w:val="3F01"/>
  <w:trackRevisions/>
  <w:defaultTabStop w:val="720"/>
  <w:doNotHyphenateCaps/>
  <w:drawingGridHorizontalSpacing w:val="115"/>
  <w:displayHorizontalDrawingGridEvery w:val="2"/>
  <w:characterSpacingControl w:val="doNotCompress"/>
  <w:doNotValidateAgainstSchema/>
  <w:doNotDemarcateInvalidXml/>
  <w:hdrShapeDefaults>
    <o:shapedefaults v:ext="edit" spidmax="2058"/>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3556"/>
    <w:rsid w:val="00000101"/>
    <w:rsid w:val="0000075E"/>
    <w:rsid w:val="00000795"/>
    <w:rsid w:val="00000C58"/>
    <w:rsid w:val="00001A3F"/>
    <w:rsid w:val="00001B34"/>
    <w:rsid w:val="0000275F"/>
    <w:rsid w:val="000029DE"/>
    <w:rsid w:val="0000358A"/>
    <w:rsid w:val="00003B26"/>
    <w:rsid w:val="00003C39"/>
    <w:rsid w:val="00003F29"/>
    <w:rsid w:val="000042B1"/>
    <w:rsid w:val="00004603"/>
    <w:rsid w:val="000052A0"/>
    <w:rsid w:val="00006434"/>
    <w:rsid w:val="00006785"/>
    <w:rsid w:val="0000717F"/>
    <w:rsid w:val="00010119"/>
    <w:rsid w:val="0001054D"/>
    <w:rsid w:val="000105CA"/>
    <w:rsid w:val="0001255B"/>
    <w:rsid w:val="00012A8F"/>
    <w:rsid w:val="00013FEE"/>
    <w:rsid w:val="00014F50"/>
    <w:rsid w:val="000151E1"/>
    <w:rsid w:val="0001525E"/>
    <w:rsid w:val="00015292"/>
    <w:rsid w:val="000160FC"/>
    <w:rsid w:val="00017982"/>
    <w:rsid w:val="00017C6B"/>
    <w:rsid w:val="00020052"/>
    <w:rsid w:val="00020226"/>
    <w:rsid w:val="00020542"/>
    <w:rsid w:val="000211D2"/>
    <w:rsid w:val="000211E6"/>
    <w:rsid w:val="00021C91"/>
    <w:rsid w:val="00022616"/>
    <w:rsid w:val="00022A43"/>
    <w:rsid w:val="00023985"/>
    <w:rsid w:val="00024414"/>
    <w:rsid w:val="0002489F"/>
    <w:rsid w:val="00024F4D"/>
    <w:rsid w:val="00025E83"/>
    <w:rsid w:val="00025FF4"/>
    <w:rsid w:val="0002636E"/>
    <w:rsid w:val="000268E7"/>
    <w:rsid w:val="000307C8"/>
    <w:rsid w:val="000309E5"/>
    <w:rsid w:val="0003283B"/>
    <w:rsid w:val="00033087"/>
    <w:rsid w:val="0003368E"/>
    <w:rsid w:val="000338F8"/>
    <w:rsid w:val="000339B0"/>
    <w:rsid w:val="00033B83"/>
    <w:rsid w:val="00035C64"/>
    <w:rsid w:val="00035F29"/>
    <w:rsid w:val="000363EB"/>
    <w:rsid w:val="000371B0"/>
    <w:rsid w:val="00037CD7"/>
    <w:rsid w:val="00037DDD"/>
    <w:rsid w:val="00040680"/>
    <w:rsid w:val="00041227"/>
    <w:rsid w:val="0004151C"/>
    <w:rsid w:val="0004156C"/>
    <w:rsid w:val="00042421"/>
    <w:rsid w:val="000427A0"/>
    <w:rsid w:val="00042D8D"/>
    <w:rsid w:val="00042FDC"/>
    <w:rsid w:val="0004367E"/>
    <w:rsid w:val="00043DFE"/>
    <w:rsid w:val="00044D71"/>
    <w:rsid w:val="000458F6"/>
    <w:rsid w:val="00046293"/>
    <w:rsid w:val="00046D31"/>
    <w:rsid w:val="00046E87"/>
    <w:rsid w:val="0005053C"/>
    <w:rsid w:val="00051520"/>
    <w:rsid w:val="000534EC"/>
    <w:rsid w:val="000541F2"/>
    <w:rsid w:val="000551C6"/>
    <w:rsid w:val="000551FC"/>
    <w:rsid w:val="000553E3"/>
    <w:rsid w:val="00055F97"/>
    <w:rsid w:val="000568B1"/>
    <w:rsid w:val="00056CB5"/>
    <w:rsid w:val="0005706D"/>
    <w:rsid w:val="000572B1"/>
    <w:rsid w:val="0005741E"/>
    <w:rsid w:val="00057A59"/>
    <w:rsid w:val="000601BF"/>
    <w:rsid w:val="00060396"/>
    <w:rsid w:val="000609A6"/>
    <w:rsid w:val="00061585"/>
    <w:rsid w:val="0006161F"/>
    <w:rsid w:val="0006170A"/>
    <w:rsid w:val="000621FD"/>
    <w:rsid w:val="000626D0"/>
    <w:rsid w:val="0006284D"/>
    <w:rsid w:val="00062E26"/>
    <w:rsid w:val="00063185"/>
    <w:rsid w:val="00063A96"/>
    <w:rsid w:val="00063EEF"/>
    <w:rsid w:val="000653DA"/>
    <w:rsid w:val="00066B38"/>
    <w:rsid w:val="000675A4"/>
    <w:rsid w:val="00067A5A"/>
    <w:rsid w:val="00067B23"/>
    <w:rsid w:val="00067B26"/>
    <w:rsid w:val="000700AC"/>
    <w:rsid w:val="00070351"/>
    <w:rsid w:val="00071198"/>
    <w:rsid w:val="00071D65"/>
    <w:rsid w:val="000724BA"/>
    <w:rsid w:val="000727EA"/>
    <w:rsid w:val="0007286A"/>
    <w:rsid w:val="000728E9"/>
    <w:rsid w:val="00072BA1"/>
    <w:rsid w:val="00072DC5"/>
    <w:rsid w:val="00073225"/>
    <w:rsid w:val="00073470"/>
    <w:rsid w:val="00073920"/>
    <w:rsid w:val="00073AAB"/>
    <w:rsid w:val="00073E46"/>
    <w:rsid w:val="000758BF"/>
    <w:rsid w:val="00076014"/>
    <w:rsid w:val="00076191"/>
    <w:rsid w:val="000776C2"/>
    <w:rsid w:val="00077EE3"/>
    <w:rsid w:val="00080516"/>
    <w:rsid w:val="00080C8F"/>
    <w:rsid w:val="0008109B"/>
    <w:rsid w:val="0008159C"/>
    <w:rsid w:val="00081E23"/>
    <w:rsid w:val="00082C85"/>
    <w:rsid w:val="000830F1"/>
    <w:rsid w:val="000837E0"/>
    <w:rsid w:val="00083930"/>
    <w:rsid w:val="00083F68"/>
    <w:rsid w:val="000851EF"/>
    <w:rsid w:val="00085F9A"/>
    <w:rsid w:val="000864B2"/>
    <w:rsid w:val="00086B92"/>
    <w:rsid w:val="00087913"/>
    <w:rsid w:val="000903D7"/>
    <w:rsid w:val="00091AC7"/>
    <w:rsid w:val="00091AFC"/>
    <w:rsid w:val="00091E03"/>
    <w:rsid w:val="0009591C"/>
    <w:rsid w:val="000974E2"/>
    <w:rsid w:val="0009762F"/>
    <w:rsid w:val="00097707"/>
    <w:rsid w:val="00097973"/>
    <w:rsid w:val="000A01DC"/>
    <w:rsid w:val="000A02D5"/>
    <w:rsid w:val="000A033D"/>
    <w:rsid w:val="000A03F3"/>
    <w:rsid w:val="000A071B"/>
    <w:rsid w:val="000A0823"/>
    <w:rsid w:val="000A092C"/>
    <w:rsid w:val="000A0BFF"/>
    <w:rsid w:val="000A0C68"/>
    <w:rsid w:val="000A0E93"/>
    <w:rsid w:val="000A122E"/>
    <w:rsid w:val="000A16B2"/>
    <w:rsid w:val="000A4166"/>
    <w:rsid w:val="000A5818"/>
    <w:rsid w:val="000A613D"/>
    <w:rsid w:val="000A6E40"/>
    <w:rsid w:val="000A7093"/>
    <w:rsid w:val="000A7D16"/>
    <w:rsid w:val="000B0104"/>
    <w:rsid w:val="000B0343"/>
    <w:rsid w:val="000B04A4"/>
    <w:rsid w:val="000B0660"/>
    <w:rsid w:val="000B07BD"/>
    <w:rsid w:val="000B0A7A"/>
    <w:rsid w:val="000B13F5"/>
    <w:rsid w:val="000B1592"/>
    <w:rsid w:val="000B16D0"/>
    <w:rsid w:val="000B1DA0"/>
    <w:rsid w:val="000B20FB"/>
    <w:rsid w:val="000B28A4"/>
    <w:rsid w:val="000B28AD"/>
    <w:rsid w:val="000B3556"/>
    <w:rsid w:val="000B360C"/>
    <w:rsid w:val="000B4189"/>
    <w:rsid w:val="000B4DF9"/>
    <w:rsid w:val="000B53C1"/>
    <w:rsid w:val="000B586D"/>
    <w:rsid w:val="000B5974"/>
    <w:rsid w:val="000B5B5B"/>
    <w:rsid w:val="000B7C92"/>
    <w:rsid w:val="000C046D"/>
    <w:rsid w:val="000C0702"/>
    <w:rsid w:val="000C136D"/>
    <w:rsid w:val="000C1964"/>
    <w:rsid w:val="000C23B0"/>
    <w:rsid w:val="000C3C17"/>
    <w:rsid w:val="000C4065"/>
    <w:rsid w:val="000C51D8"/>
    <w:rsid w:val="000C540B"/>
    <w:rsid w:val="000C5976"/>
    <w:rsid w:val="000C5E7F"/>
    <w:rsid w:val="000C6089"/>
    <w:rsid w:val="000C6654"/>
    <w:rsid w:val="000C7294"/>
    <w:rsid w:val="000C735B"/>
    <w:rsid w:val="000D0331"/>
    <w:rsid w:val="000D0491"/>
    <w:rsid w:val="000D080B"/>
    <w:rsid w:val="000D1139"/>
    <w:rsid w:val="000D128A"/>
    <w:rsid w:val="000D18A1"/>
    <w:rsid w:val="000D255F"/>
    <w:rsid w:val="000D2686"/>
    <w:rsid w:val="000D2E7C"/>
    <w:rsid w:val="000D3890"/>
    <w:rsid w:val="000D3958"/>
    <w:rsid w:val="000D3A0F"/>
    <w:rsid w:val="000D53D7"/>
    <w:rsid w:val="000D5731"/>
    <w:rsid w:val="000D5AEC"/>
    <w:rsid w:val="000D668F"/>
    <w:rsid w:val="000D6732"/>
    <w:rsid w:val="000D7508"/>
    <w:rsid w:val="000D7989"/>
    <w:rsid w:val="000D7F53"/>
    <w:rsid w:val="000E0D68"/>
    <w:rsid w:val="000E1EC2"/>
    <w:rsid w:val="000E21FC"/>
    <w:rsid w:val="000E3947"/>
    <w:rsid w:val="000E43D8"/>
    <w:rsid w:val="000E4873"/>
    <w:rsid w:val="000E5050"/>
    <w:rsid w:val="000E5129"/>
    <w:rsid w:val="000E51F3"/>
    <w:rsid w:val="000E547C"/>
    <w:rsid w:val="000E55AC"/>
    <w:rsid w:val="000E611E"/>
    <w:rsid w:val="000E6E24"/>
    <w:rsid w:val="000E78C4"/>
    <w:rsid w:val="000E7DB5"/>
    <w:rsid w:val="000F0090"/>
    <w:rsid w:val="000F0295"/>
    <w:rsid w:val="000F0B13"/>
    <w:rsid w:val="000F0BF6"/>
    <w:rsid w:val="000F173F"/>
    <w:rsid w:val="000F1BA1"/>
    <w:rsid w:val="000F236F"/>
    <w:rsid w:val="000F25D7"/>
    <w:rsid w:val="000F2663"/>
    <w:rsid w:val="000F2E13"/>
    <w:rsid w:val="000F3393"/>
    <w:rsid w:val="000F3A34"/>
    <w:rsid w:val="000F438D"/>
    <w:rsid w:val="000F4920"/>
    <w:rsid w:val="000F5472"/>
    <w:rsid w:val="000F60B6"/>
    <w:rsid w:val="000F60EA"/>
    <w:rsid w:val="000F62A1"/>
    <w:rsid w:val="000F6373"/>
    <w:rsid w:val="000F74DB"/>
    <w:rsid w:val="00100FF8"/>
    <w:rsid w:val="00101574"/>
    <w:rsid w:val="00101765"/>
    <w:rsid w:val="00101F2B"/>
    <w:rsid w:val="001027B2"/>
    <w:rsid w:val="0010366A"/>
    <w:rsid w:val="00103F3B"/>
    <w:rsid w:val="0010466A"/>
    <w:rsid w:val="001047EB"/>
    <w:rsid w:val="00105950"/>
    <w:rsid w:val="00105E95"/>
    <w:rsid w:val="00106005"/>
    <w:rsid w:val="0010621E"/>
    <w:rsid w:val="00106508"/>
    <w:rsid w:val="00107230"/>
    <w:rsid w:val="00107281"/>
    <w:rsid w:val="0010793C"/>
    <w:rsid w:val="001079F4"/>
    <w:rsid w:val="00110038"/>
    <w:rsid w:val="001115EC"/>
    <w:rsid w:val="001125E4"/>
    <w:rsid w:val="00112CCC"/>
    <w:rsid w:val="001132DE"/>
    <w:rsid w:val="0011368F"/>
    <w:rsid w:val="0011376E"/>
    <w:rsid w:val="00115733"/>
    <w:rsid w:val="0011590A"/>
    <w:rsid w:val="00115B82"/>
    <w:rsid w:val="00115FCC"/>
    <w:rsid w:val="0011631F"/>
    <w:rsid w:val="001168EE"/>
    <w:rsid w:val="00116ED9"/>
    <w:rsid w:val="001172C9"/>
    <w:rsid w:val="00117C69"/>
    <w:rsid w:val="00117E29"/>
    <w:rsid w:val="001203F9"/>
    <w:rsid w:val="00122219"/>
    <w:rsid w:val="0012499C"/>
    <w:rsid w:val="00124A0C"/>
    <w:rsid w:val="00124DB3"/>
    <w:rsid w:val="00125B8D"/>
    <w:rsid w:val="001260F6"/>
    <w:rsid w:val="00126A0D"/>
    <w:rsid w:val="00126D53"/>
    <w:rsid w:val="00130277"/>
    <w:rsid w:val="001307BF"/>
    <w:rsid w:val="00131395"/>
    <w:rsid w:val="00131EFE"/>
    <w:rsid w:val="001324CC"/>
    <w:rsid w:val="00132898"/>
    <w:rsid w:val="00132FC0"/>
    <w:rsid w:val="0013308E"/>
    <w:rsid w:val="00133D62"/>
    <w:rsid w:val="00134034"/>
    <w:rsid w:val="00134949"/>
    <w:rsid w:val="00135271"/>
    <w:rsid w:val="001357DA"/>
    <w:rsid w:val="001359B5"/>
    <w:rsid w:val="00136193"/>
    <w:rsid w:val="001373C8"/>
    <w:rsid w:val="00137EA1"/>
    <w:rsid w:val="001402E3"/>
    <w:rsid w:val="0014179D"/>
    <w:rsid w:val="001431CA"/>
    <w:rsid w:val="00143949"/>
    <w:rsid w:val="0014495B"/>
    <w:rsid w:val="0014539F"/>
    <w:rsid w:val="00145441"/>
    <w:rsid w:val="00145888"/>
    <w:rsid w:val="001466A1"/>
    <w:rsid w:val="00146DF8"/>
    <w:rsid w:val="00146F00"/>
    <w:rsid w:val="001476ED"/>
    <w:rsid w:val="00150797"/>
    <w:rsid w:val="00150AB4"/>
    <w:rsid w:val="001512A4"/>
    <w:rsid w:val="00151A27"/>
    <w:rsid w:val="00151C17"/>
    <w:rsid w:val="00152B62"/>
    <w:rsid w:val="00152FB1"/>
    <w:rsid w:val="00153743"/>
    <w:rsid w:val="0015395E"/>
    <w:rsid w:val="00153A11"/>
    <w:rsid w:val="00154E3D"/>
    <w:rsid w:val="0015563D"/>
    <w:rsid w:val="00155A88"/>
    <w:rsid w:val="0015609F"/>
    <w:rsid w:val="00156FB1"/>
    <w:rsid w:val="00156FD3"/>
    <w:rsid w:val="001575EA"/>
    <w:rsid w:val="00157832"/>
    <w:rsid w:val="001607FA"/>
    <w:rsid w:val="00161CC6"/>
    <w:rsid w:val="00161FF5"/>
    <w:rsid w:val="00162B40"/>
    <w:rsid w:val="001635D6"/>
    <w:rsid w:val="001637BB"/>
    <w:rsid w:val="00163A3C"/>
    <w:rsid w:val="00163EA4"/>
    <w:rsid w:val="00164395"/>
    <w:rsid w:val="00164751"/>
    <w:rsid w:val="00164E63"/>
    <w:rsid w:val="00165439"/>
    <w:rsid w:val="0016549F"/>
    <w:rsid w:val="0016557A"/>
    <w:rsid w:val="001662E1"/>
    <w:rsid w:val="00166F9C"/>
    <w:rsid w:val="00167BE7"/>
    <w:rsid w:val="00171E3E"/>
    <w:rsid w:val="00172122"/>
    <w:rsid w:val="00172394"/>
    <w:rsid w:val="00172674"/>
    <w:rsid w:val="00172963"/>
    <w:rsid w:val="00172A4B"/>
    <w:rsid w:val="00172CFF"/>
    <w:rsid w:val="00173074"/>
    <w:rsid w:val="00173AC2"/>
    <w:rsid w:val="001748A4"/>
    <w:rsid w:val="00174D80"/>
    <w:rsid w:val="00175315"/>
    <w:rsid w:val="0017609E"/>
    <w:rsid w:val="001768CA"/>
    <w:rsid w:val="00176F97"/>
    <w:rsid w:val="00177B4D"/>
    <w:rsid w:val="001807BC"/>
    <w:rsid w:val="00181FA3"/>
    <w:rsid w:val="001821C1"/>
    <w:rsid w:val="001826E8"/>
    <w:rsid w:val="00183541"/>
    <w:rsid w:val="00184248"/>
    <w:rsid w:val="00184EA1"/>
    <w:rsid w:val="00185F29"/>
    <w:rsid w:val="0018629A"/>
    <w:rsid w:val="00186C70"/>
    <w:rsid w:val="00187C5C"/>
    <w:rsid w:val="00187EE0"/>
    <w:rsid w:val="00187FE9"/>
    <w:rsid w:val="001904BA"/>
    <w:rsid w:val="00190C5B"/>
    <w:rsid w:val="0019109C"/>
    <w:rsid w:val="00191E12"/>
    <w:rsid w:val="001928E6"/>
    <w:rsid w:val="00192E93"/>
    <w:rsid w:val="00193710"/>
    <w:rsid w:val="00193D82"/>
    <w:rsid w:val="00194083"/>
    <w:rsid w:val="001946A6"/>
    <w:rsid w:val="0019520A"/>
    <w:rsid w:val="0019588D"/>
    <w:rsid w:val="00195AF5"/>
    <w:rsid w:val="00195F36"/>
    <w:rsid w:val="0019639B"/>
    <w:rsid w:val="0019736E"/>
    <w:rsid w:val="00197780"/>
    <w:rsid w:val="00197AD2"/>
    <w:rsid w:val="00197BA2"/>
    <w:rsid w:val="001A0035"/>
    <w:rsid w:val="001A0FFF"/>
    <w:rsid w:val="001A186C"/>
    <w:rsid w:val="001A19C2"/>
    <w:rsid w:val="001A1AA3"/>
    <w:rsid w:val="001A1DE2"/>
    <w:rsid w:val="001A2DD8"/>
    <w:rsid w:val="001A3216"/>
    <w:rsid w:val="001A3BF1"/>
    <w:rsid w:val="001A3D0F"/>
    <w:rsid w:val="001A4C09"/>
    <w:rsid w:val="001A4D1C"/>
    <w:rsid w:val="001A60F7"/>
    <w:rsid w:val="001A687D"/>
    <w:rsid w:val="001A6C97"/>
    <w:rsid w:val="001A6D47"/>
    <w:rsid w:val="001A7CFD"/>
    <w:rsid w:val="001B03F4"/>
    <w:rsid w:val="001B0661"/>
    <w:rsid w:val="001B0F16"/>
    <w:rsid w:val="001B1413"/>
    <w:rsid w:val="001B251E"/>
    <w:rsid w:val="001B2C04"/>
    <w:rsid w:val="001B42B0"/>
    <w:rsid w:val="001B44A2"/>
    <w:rsid w:val="001B4868"/>
    <w:rsid w:val="001B62E5"/>
    <w:rsid w:val="001B6350"/>
    <w:rsid w:val="001B6A83"/>
    <w:rsid w:val="001B7066"/>
    <w:rsid w:val="001B7319"/>
    <w:rsid w:val="001B7729"/>
    <w:rsid w:val="001B791E"/>
    <w:rsid w:val="001B7AC1"/>
    <w:rsid w:val="001C01D3"/>
    <w:rsid w:val="001C0341"/>
    <w:rsid w:val="001C057F"/>
    <w:rsid w:val="001C1D56"/>
    <w:rsid w:val="001C24F0"/>
    <w:rsid w:val="001C33AB"/>
    <w:rsid w:val="001C395D"/>
    <w:rsid w:val="001C3B52"/>
    <w:rsid w:val="001C42CD"/>
    <w:rsid w:val="001C4483"/>
    <w:rsid w:val="001C4D3A"/>
    <w:rsid w:val="001C61E4"/>
    <w:rsid w:val="001C690B"/>
    <w:rsid w:val="001C7C38"/>
    <w:rsid w:val="001D045A"/>
    <w:rsid w:val="001D0A4C"/>
    <w:rsid w:val="001D1236"/>
    <w:rsid w:val="001D3601"/>
    <w:rsid w:val="001D3E4B"/>
    <w:rsid w:val="001D47C4"/>
    <w:rsid w:val="001D5393"/>
    <w:rsid w:val="001D54FB"/>
    <w:rsid w:val="001D5B98"/>
    <w:rsid w:val="001D6233"/>
    <w:rsid w:val="001D6C3F"/>
    <w:rsid w:val="001E0418"/>
    <w:rsid w:val="001E072D"/>
    <w:rsid w:val="001E0D7B"/>
    <w:rsid w:val="001E1296"/>
    <w:rsid w:val="001E182E"/>
    <w:rsid w:val="001E3A7F"/>
    <w:rsid w:val="001E3DDF"/>
    <w:rsid w:val="001E4373"/>
    <w:rsid w:val="001E4C02"/>
    <w:rsid w:val="001E51C2"/>
    <w:rsid w:val="001E5C43"/>
    <w:rsid w:val="001E674F"/>
    <w:rsid w:val="001E683F"/>
    <w:rsid w:val="001E6C46"/>
    <w:rsid w:val="001E6F6C"/>
    <w:rsid w:val="001E728B"/>
    <w:rsid w:val="001F04CF"/>
    <w:rsid w:val="001F1F49"/>
    <w:rsid w:val="001F2023"/>
    <w:rsid w:val="001F278D"/>
    <w:rsid w:val="001F2E68"/>
    <w:rsid w:val="001F378D"/>
    <w:rsid w:val="001F3E29"/>
    <w:rsid w:val="001F3F93"/>
    <w:rsid w:val="001F4021"/>
    <w:rsid w:val="001F4CD9"/>
    <w:rsid w:val="001F500C"/>
    <w:rsid w:val="001F5164"/>
    <w:rsid w:val="001F65FD"/>
    <w:rsid w:val="001F6D5A"/>
    <w:rsid w:val="001F6E05"/>
    <w:rsid w:val="001F6F7B"/>
    <w:rsid w:val="001F77DB"/>
    <w:rsid w:val="00200520"/>
    <w:rsid w:val="00200619"/>
    <w:rsid w:val="0020174D"/>
    <w:rsid w:val="00202E95"/>
    <w:rsid w:val="00203806"/>
    <w:rsid w:val="00203C31"/>
    <w:rsid w:val="002058CF"/>
    <w:rsid w:val="00205ADE"/>
    <w:rsid w:val="00206579"/>
    <w:rsid w:val="00206892"/>
    <w:rsid w:val="00206B48"/>
    <w:rsid w:val="0020758B"/>
    <w:rsid w:val="00207C88"/>
    <w:rsid w:val="00210884"/>
    <w:rsid w:val="00210DAD"/>
    <w:rsid w:val="00211B1D"/>
    <w:rsid w:val="00212977"/>
    <w:rsid w:val="00214199"/>
    <w:rsid w:val="00214E23"/>
    <w:rsid w:val="00214F83"/>
    <w:rsid w:val="00215314"/>
    <w:rsid w:val="00215656"/>
    <w:rsid w:val="002159CE"/>
    <w:rsid w:val="00215DE0"/>
    <w:rsid w:val="00215E89"/>
    <w:rsid w:val="00216A67"/>
    <w:rsid w:val="00217CE2"/>
    <w:rsid w:val="002210AA"/>
    <w:rsid w:val="002212A7"/>
    <w:rsid w:val="00222A3E"/>
    <w:rsid w:val="00222BFC"/>
    <w:rsid w:val="002231F9"/>
    <w:rsid w:val="00223212"/>
    <w:rsid w:val="002238AB"/>
    <w:rsid w:val="002242AD"/>
    <w:rsid w:val="002249F7"/>
    <w:rsid w:val="00226AEC"/>
    <w:rsid w:val="00226F31"/>
    <w:rsid w:val="0023048D"/>
    <w:rsid w:val="002306DB"/>
    <w:rsid w:val="00230858"/>
    <w:rsid w:val="0023089D"/>
    <w:rsid w:val="00231302"/>
    <w:rsid w:val="00231381"/>
    <w:rsid w:val="00231554"/>
    <w:rsid w:val="00231A83"/>
    <w:rsid w:val="00232A2F"/>
    <w:rsid w:val="00232C12"/>
    <w:rsid w:val="00233217"/>
    <w:rsid w:val="00233C46"/>
    <w:rsid w:val="0023477E"/>
    <w:rsid w:val="00234874"/>
    <w:rsid w:val="0023595F"/>
    <w:rsid w:val="002360C6"/>
    <w:rsid w:val="00236BC3"/>
    <w:rsid w:val="00237B56"/>
    <w:rsid w:val="002404A4"/>
    <w:rsid w:val="002412CE"/>
    <w:rsid w:val="00241C85"/>
    <w:rsid w:val="002424E3"/>
    <w:rsid w:val="002433A4"/>
    <w:rsid w:val="0024397E"/>
    <w:rsid w:val="0024421F"/>
    <w:rsid w:val="00244B58"/>
    <w:rsid w:val="00244B65"/>
    <w:rsid w:val="00244B7F"/>
    <w:rsid w:val="00244C21"/>
    <w:rsid w:val="002456A5"/>
    <w:rsid w:val="0024628E"/>
    <w:rsid w:val="00246296"/>
    <w:rsid w:val="00246348"/>
    <w:rsid w:val="00246ACE"/>
    <w:rsid w:val="00246F99"/>
    <w:rsid w:val="0024732B"/>
    <w:rsid w:val="0024741A"/>
    <w:rsid w:val="002474AD"/>
    <w:rsid w:val="002477F5"/>
    <w:rsid w:val="00247DE0"/>
    <w:rsid w:val="00250CA4"/>
    <w:rsid w:val="0025102A"/>
    <w:rsid w:val="0025119E"/>
    <w:rsid w:val="00251CCB"/>
    <w:rsid w:val="00252F3A"/>
    <w:rsid w:val="0025323D"/>
    <w:rsid w:val="00253AC5"/>
    <w:rsid w:val="0025476A"/>
    <w:rsid w:val="00254C47"/>
    <w:rsid w:val="002553C8"/>
    <w:rsid w:val="00255470"/>
    <w:rsid w:val="00255A7B"/>
    <w:rsid w:val="002560A4"/>
    <w:rsid w:val="002571BA"/>
    <w:rsid w:val="00257721"/>
    <w:rsid w:val="002600A8"/>
    <w:rsid w:val="002602A3"/>
    <w:rsid w:val="00260381"/>
    <w:rsid w:val="0026059F"/>
    <w:rsid w:val="00260846"/>
    <w:rsid w:val="00260B3D"/>
    <w:rsid w:val="00260E87"/>
    <w:rsid w:val="002617AA"/>
    <w:rsid w:val="002631EE"/>
    <w:rsid w:val="002644C5"/>
    <w:rsid w:val="00264B46"/>
    <w:rsid w:val="00264C29"/>
    <w:rsid w:val="002653BB"/>
    <w:rsid w:val="00265D1A"/>
    <w:rsid w:val="0026631E"/>
    <w:rsid w:val="00266755"/>
    <w:rsid w:val="00266B18"/>
    <w:rsid w:val="0027196F"/>
    <w:rsid w:val="002719DE"/>
    <w:rsid w:val="00272D90"/>
    <w:rsid w:val="00273D8E"/>
    <w:rsid w:val="00274B8A"/>
    <w:rsid w:val="002753F9"/>
    <w:rsid w:val="0027551A"/>
    <w:rsid w:val="00275690"/>
    <w:rsid w:val="002762F2"/>
    <w:rsid w:val="00277D77"/>
    <w:rsid w:val="002800EB"/>
    <w:rsid w:val="00280A99"/>
    <w:rsid w:val="00280B4C"/>
    <w:rsid w:val="00281B94"/>
    <w:rsid w:val="002823E0"/>
    <w:rsid w:val="002825B3"/>
    <w:rsid w:val="00282EEE"/>
    <w:rsid w:val="00283EB4"/>
    <w:rsid w:val="0028445B"/>
    <w:rsid w:val="002858DB"/>
    <w:rsid w:val="00285C8C"/>
    <w:rsid w:val="00287126"/>
    <w:rsid w:val="00287E49"/>
    <w:rsid w:val="00290BA8"/>
    <w:rsid w:val="00291753"/>
    <w:rsid w:val="00291EB1"/>
    <w:rsid w:val="0029326E"/>
    <w:rsid w:val="00293802"/>
    <w:rsid w:val="00293996"/>
    <w:rsid w:val="002939DB"/>
    <w:rsid w:val="002939F6"/>
    <w:rsid w:val="00294934"/>
    <w:rsid w:val="00294EEF"/>
    <w:rsid w:val="00295006"/>
    <w:rsid w:val="0029523C"/>
    <w:rsid w:val="0029547D"/>
    <w:rsid w:val="00295596"/>
    <w:rsid w:val="00295EAE"/>
    <w:rsid w:val="0029629A"/>
    <w:rsid w:val="00296BDC"/>
    <w:rsid w:val="00296CDF"/>
    <w:rsid w:val="00297AE2"/>
    <w:rsid w:val="002A18EB"/>
    <w:rsid w:val="002A273C"/>
    <w:rsid w:val="002A3C6D"/>
    <w:rsid w:val="002A4D1D"/>
    <w:rsid w:val="002A574B"/>
    <w:rsid w:val="002A5861"/>
    <w:rsid w:val="002A58FB"/>
    <w:rsid w:val="002A5DA6"/>
    <w:rsid w:val="002A5EDB"/>
    <w:rsid w:val="002A7131"/>
    <w:rsid w:val="002A7CB3"/>
    <w:rsid w:val="002B0004"/>
    <w:rsid w:val="002B005D"/>
    <w:rsid w:val="002B0D7A"/>
    <w:rsid w:val="002B3B18"/>
    <w:rsid w:val="002B501D"/>
    <w:rsid w:val="002B5A54"/>
    <w:rsid w:val="002B60EC"/>
    <w:rsid w:val="002B6B89"/>
    <w:rsid w:val="002B7AE1"/>
    <w:rsid w:val="002B7BA3"/>
    <w:rsid w:val="002C0852"/>
    <w:rsid w:val="002C0AE2"/>
    <w:rsid w:val="002C0CE9"/>
    <w:rsid w:val="002C1133"/>
    <w:rsid w:val="002C32A2"/>
    <w:rsid w:val="002C3391"/>
    <w:rsid w:val="002C35EC"/>
    <w:rsid w:val="002C364A"/>
    <w:rsid w:val="002C3903"/>
    <w:rsid w:val="002C485B"/>
    <w:rsid w:val="002C487C"/>
    <w:rsid w:val="002C4AD9"/>
    <w:rsid w:val="002C59AD"/>
    <w:rsid w:val="002C5ACA"/>
    <w:rsid w:val="002C5DEC"/>
    <w:rsid w:val="002C6C97"/>
    <w:rsid w:val="002C6CF0"/>
    <w:rsid w:val="002C6E89"/>
    <w:rsid w:val="002C72CB"/>
    <w:rsid w:val="002C7AF5"/>
    <w:rsid w:val="002D0724"/>
    <w:rsid w:val="002D0BDE"/>
    <w:rsid w:val="002D0FCF"/>
    <w:rsid w:val="002D1BEE"/>
    <w:rsid w:val="002D1C3E"/>
    <w:rsid w:val="002D1C48"/>
    <w:rsid w:val="002D34F9"/>
    <w:rsid w:val="002D3922"/>
    <w:rsid w:val="002D6166"/>
    <w:rsid w:val="002D63A9"/>
    <w:rsid w:val="002D650D"/>
    <w:rsid w:val="002D6B7A"/>
    <w:rsid w:val="002D6E7F"/>
    <w:rsid w:val="002D778C"/>
    <w:rsid w:val="002D7941"/>
    <w:rsid w:val="002E0504"/>
    <w:rsid w:val="002E1602"/>
    <w:rsid w:val="002E39F2"/>
    <w:rsid w:val="002E3A1E"/>
    <w:rsid w:val="002E46D6"/>
    <w:rsid w:val="002E4D33"/>
    <w:rsid w:val="002E5E04"/>
    <w:rsid w:val="002E6A9F"/>
    <w:rsid w:val="002E776A"/>
    <w:rsid w:val="002E7C36"/>
    <w:rsid w:val="002E7CA3"/>
    <w:rsid w:val="002F0048"/>
    <w:rsid w:val="002F0DBC"/>
    <w:rsid w:val="002F0F66"/>
    <w:rsid w:val="002F15B2"/>
    <w:rsid w:val="002F1696"/>
    <w:rsid w:val="002F1916"/>
    <w:rsid w:val="002F2F91"/>
    <w:rsid w:val="002F38AE"/>
    <w:rsid w:val="002F5C83"/>
    <w:rsid w:val="002F641D"/>
    <w:rsid w:val="002F7342"/>
    <w:rsid w:val="002F745A"/>
    <w:rsid w:val="002F7BA6"/>
    <w:rsid w:val="002F7C65"/>
    <w:rsid w:val="003001E7"/>
    <w:rsid w:val="00300353"/>
    <w:rsid w:val="0030144B"/>
    <w:rsid w:val="003021AC"/>
    <w:rsid w:val="00302450"/>
    <w:rsid w:val="00302630"/>
    <w:rsid w:val="00303A76"/>
    <w:rsid w:val="00305185"/>
    <w:rsid w:val="00305898"/>
    <w:rsid w:val="003077BF"/>
    <w:rsid w:val="00307A25"/>
    <w:rsid w:val="00307F98"/>
    <w:rsid w:val="00310B9E"/>
    <w:rsid w:val="00310D74"/>
    <w:rsid w:val="00311341"/>
    <w:rsid w:val="00311673"/>
    <w:rsid w:val="00312218"/>
    <w:rsid w:val="00312299"/>
    <w:rsid w:val="00312406"/>
    <w:rsid w:val="0031241D"/>
    <w:rsid w:val="00312766"/>
    <w:rsid w:val="00313514"/>
    <w:rsid w:val="00313653"/>
    <w:rsid w:val="00313771"/>
    <w:rsid w:val="003144F0"/>
    <w:rsid w:val="00314831"/>
    <w:rsid w:val="00314870"/>
    <w:rsid w:val="00316940"/>
    <w:rsid w:val="003174FC"/>
    <w:rsid w:val="00317D29"/>
    <w:rsid w:val="003200B0"/>
    <w:rsid w:val="003204A9"/>
    <w:rsid w:val="00320502"/>
    <w:rsid w:val="00321470"/>
    <w:rsid w:val="003214A0"/>
    <w:rsid w:val="0032156C"/>
    <w:rsid w:val="00321E3D"/>
    <w:rsid w:val="0032209A"/>
    <w:rsid w:val="0032385A"/>
    <w:rsid w:val="003245B0"/>
    <w:rsid w:val="003249E1"/>
    <w:rsid w:val="00324CE3"/>
    <w:rsid w:val="003256FB"/>
    <w:rsid w:val="00325B9F"/>
    <w:rsid w:val="00325E20"/>
    <w:rsid w:val="00325EC2"/>
    <w:rsid w:val="003263EE"/>
    <w:rsid w:val="003265BA"/>
    <w:rsid w:val="00327C32"/>
    <w:rsid w:val="00330C43"/>
    <w:rsid w:val="0033146D"/>
    <w:rsid w:val="00331529"/>
    <w:rsid w:val="00332CA4"/>
    <w:rsid w:val="003331E0"/>
    <w:rsid w:val="00333A75"/>
    <w:rsid w:val="0033447C"/>
    <w:rsid w:val="00337676"/>
    <w:rsid w:val="003379BA"/>
    <w:rsid w:val="00337D95"/>
    <w:rsid w:val="003406C9"/>
    <w:rsid w:val="00341FF8"/>
    <w:rsid w:val="00342183"/>
    <w:rsid w:val="003421C5"/>
    <w:rsid w:val="00342611"/>
    <w:rsid w:val="0034269E"/>
    <w:rsid w:val="00342712"/>
    <w:rsid w:val="00342894"/>
    <w:rsid w:val="00343498"/>
    <w:rsid w:val="0034368F"/>
    <w:rsid w:val="00343B4E"/>
    <w:rsid w:val="00343BAA"/>
    <w:rsid w:val="00343C8D"/>
    <w:rsid w:val="00344091"/>
    <w:rsid w:val="003448EE"/>
    <w:rsid w:val="00344A64"/>
    <w:rsid w:val="00345486"/>
    <w:rsid w:val="00345A49"/>
    <w:rsid w:val="00345ACB"/>
    <w:rsid w:val="0034645E"/>
    <w:rsid w:val="003468F7"/>
    <w:rsid w:val="0034693A"/>
    <w:rsid w:val="003473CB"/>
    <w:rsid w:val="00347624"/>
    <w:rsid w:val="00350157"/>
    <w:rsid w:val="0035095C"/>
    <w:rsid w:val="003515D8"/>
    <w:rsid w:val="003517A8"/>
    <w:rsid w:val="003524CA"/>
    <w:rsid w:val="0035293D"/>
    <w:rsid w:val="003529AD"/>
    <w:rsid w:val="00352E7E"/>
    <w:rsid w:val="00352F87"/>
    <w:rsid w:val="003532B5"/>
    <w:rsid w:val="00353900"/>
    <w:rsid w:val="00353C9D"/>
    <w:rsid w:val="0035405D"/>
    <w:rsid w:val="0035414E"/>
    <w:rsid w:val="0035435A"/>
    <w:rsid w:val="003549CB"/>
    <w:rsid w:val="003553BA"/>
    <w:rsid w:val="0035547C"/>
    <w:rsid w:val="00355E8E"/>
    <w:rsid w:val="00356893"/>
    <w:rsid w:val="0036103A"/>
    <w:rsid w:val="00362225"/>
    <w:rsid w:val="003626DE"/>
    <w:rsid w:val="0036275A"/>
    <w:rsid w:val="00363680"/>
    <w:rsid w:val="0036378E"/>
    <w:rsid w:val="003638BD"/>
    <w:rsid w:val="0036399F"/>
    <w:rsid w:val="00363B5A"/>
    <w:rsid w:val="00363DEE"/>
    <w:rsid w:val="00365783"/>
    <w:rsid w:val="00365866"/>
    <w:rsid w:val="00366465"/>
    <w:rsid w:val="003701AA"/>
    <w:rsid w:val="003711DF"/>
    <w:rsid w:val="00371503"/>
    <w:rsid w:val="003715FC"/>
    <w:rsid w:val="00371954"/>
    <w:rsid w:val="00371D21"/>
    <w:rsid w:val="00371F83"/>
    <w:rsid w:val="003725E6"/>
    <w:rsid w:val="003726D7"/>
    <w:rsid w:val="0037283B"/>
    <w:rsid w:val="003728CC"/>
    <w:rsid w:val="00372C99"/>
    <w:rsid w:val="003730A7"/>
    <w:rsid w:val="00373212"/>
    <w:rsid w:val="0037382F"/>
    <w:rsid w:val="00374F5D"/>
    <w:rsid w:val="003751E8"/>
    <w:rsid w:val="00375265"/>
    <w:rsid w:val="00376BA0"/>
    <w:rsid w:val="0037740B"/>
    <w:rsid w:val="00377D19"/>
    <w:rsid w:val="003800DD"/>
    <w:rsid w:val="003801CB"/>
    <w:rsid w:val="00380DC6"/>
    <w:rsid w:val="00380E16"/>
    <w:rsid w:val="00381B6D"/>
    <w:rsid w:val="00381C86"/>
    <w:rsid w:val="00382A00"/>
    <w:rsid w:val="00382E36"/>
    <w:rsid w:val="00382F04"/>
    <w:rsid w:val="00383508"/>
    <w:rsid w:val="003865D0"/>
    <w:rsid w:val="00386643"/>
    <w:rsid w:val="00387E81"/>
    <w:rsid w:val="003908D0"/>
    <w:rsid w:val="0039180E"/>
    <w:rsid w:val="003923A1"/>
    <w:rsid w:val="00392FF3"/>
    <w:rsid w:val="003943C0"/>
    <w:rsid w:val="00394862"/>
    <w:rsid w:val="003951FF"/>
    <w:rsid w:val="003965CA"/>
    <w:rsid w:val="003967C6"/>
    <w:rsid w:val="00397CA9"/>
    <w:rsid w:val="00397E77"/>
    <w:rsid w:val="00397EE1"/>
    <w:rsid w:val="003A07D4"/>
    <w:rsid w:val="003A0BD4"/>
    <w:rsid w:val="003A0EFA"/>
    <w:rsid w:val="003A218B"/>
    <w:rsid w:val="003A28D7"/>
    <w:rsid w:val="003A2DB1"/>
    <w:rsid w:val="003A35BE"/>
    <w:rsid w:val="003A43D0"/>
    <w:rsid w:val="003A4D3D"/>
    <w:rsid w:val="003A56E0"/>
    <w:rsid w:val="003A5808"/>
    <w:rsid w:val="003A60E7"/>
    <w:rsid w:val="003A6655"/>
    <w:rsid w:val="003A6CA7"/>
    <w:rsid w:val="003A6D2B"/>
    <w:rsid w:val="003A78AF"/>
    <w:rsid w:val="003A7C8E"/>
    <w:rsid w:val="003B2C75"/>
    <w:rsid w:val="003B3910"/>
    <w:rsid w:val="003B3FF9"/>
    <w:rsid w:val="003B4576"/>
    <w:rsid w:val="003B489C"/>
    <w:rsid w:val="003B57C0"/>
    <w:rsid w:val="003B5862"/>
    <w:rsid w:val="003B6118"/>
    <w:rsid w:val="003B6444"/>
    <w:rsid w:val="003B6621"/>
    <w:rsid w:val="003B6916"/>
    <w:rsid w:val="003B792D"/>
    <w:rsid w:val="003B7A55"/>
    <w:rsid w:val="003C0C1B"/>
    <w:rsid w:val="003C0FB2"/>
    <w:rsid w:val="003C14A0"/>
    <w:rsid w:val="003C14D2"/>
    <w:rsid w:val="003C22B4"/>
    <w:rsid w:val="003C372E"/>
    <w:rsid w:val="003C521A"/>
    <w:rsid w:val="003C6031"/>
    <w:rsid w:val="003C62B3"/>
    <w:rsid w:val="003C64E1"/>
    <w:rsid w:val="003C6548"/>
    <w:rsid w:val="003C6638"/>
    <w:rsid w:val="003C6A52"/>
    <w:rsid w:val="003C780C"/>
    <w:rsid w:val="003C7E25"/>
    <w:rsid w:val="003D0A54"/>
    <w:rsid w:val="003D0B2F"/>
    <w:rsid w:val="003D178E"/>
    <w:rsid w:val="003D1CDC"/>
    <w:rsid w:val="003D206B"/>
    <w:rsid w:val="003D220C"/>
    <w:rsid w:val="003D2474"/>
    <w:rsid w:val="003D2770"/>
    <w:rsid w:val="003D2829"/>
    <w:rsid w:val="003D2A39"/>
    <w:rsid w:val="003D2D3A"/>
    <w:rsid w:val="003D34D3"/>
    <w:rsid w:val="003D5275"/>
    <w:rsid w:val="003D54A0"/>
    <w:rsid w:val="003D7F9A"/>
    <w:rsid w:val="003E0FA6"/>
    <w:rsid w:val="003E1096"/>
    <w:rsid w:val="003E181F"/>
    <w:rsid w:val="003E18ED"/>
    <w:rsid w:val="003E1951"/>
    <w:rsid w:val="003E19DF"/>
    <w:rsid w:val="003E341D"/>
    <w:rsid w:val="003E37B8"/>
    <w:rsid w:val="003E4555"/>
    <w:rsid w:val="003E4663"/>
    <w:rsid w:val="003E46CB"/>
    <w:rsid w:val="003E5903"/>
    <w:rsid w:val="003E5D2D"/>
    <w:rsid w:val="003E612A"/>
    <w:rsid w:val="003E6ADB"/>
    <w:rsid w:val="003E7DAE"/>
    <w:rsid w:val="003F08C3"/>
    <w:rsid w:val="003F0967"/>
    <w:rsid w:val="003F0AF2"/>
    <w:rsid w:val="003F0F27"/>
    <w:rsid w:val="003F24C7"/>
    <w:rsid w:val="003F3403"/>
    <w:rsid w:val="003F389F"/>
    <w:rsid w:val="003F4647"/>
    <w:rsid w:val="003F46F1"/>
    <w:rsid w:val="003F5760"/>
    <w:rsid w:val="003F5DDA"/>
    <w:rsid w:val="003F6AF1"/>
    <w:rsid w:val="003F6DC0"/>
    <w:rsid w:val="003F7049"/>
    <w:rsid w:val="003F7BA3"/>
    <w:rsid w:val="00401712"/>
    <w:rsid w:val="00401F95"/>
    <w:rsid w:val="00401FC5"/>
    <w:rsid w:val="00403608"/>
    <w:rsid w:val="0040474F"/>
    <w:rsid w:val="004057AB"/>
    <w:rsid w:val="00405AC5"/>
    <w:rsid w:val="00405C9C"/>
    <w:rsid w:val="00406F7A"/>
    <w:rsid w:val="004105B0"/>
    <w:rsid w:val="00410919"/>
    <w:rsid w:val="004118DE"/>
    <w:rsid w:val="00412534"/>
    <w:rsid w:val="0041370D"/>
    <w:rsid w:val="00413CCF"/>
    <w:rsid w:val="00414244"/>
    <w:rsid w:val="004145F1"/>
    <w:rsid w:val="00414EA1"/>
    <w:rsid w:val="004156E8"/>
    <w:rsid w:val="00416297"/>
    <w:rsid w:val="00417147"/>
    <w:rsid w:val="00420E2D"/>
    <w:rsid w:val="0042120D"/>
    <w:rsid w:val="00423490"/>
    <w:rsid w:val="004242A0"/>
    <w:rsid w:val="00424887"/>
    <w:rsid w:val="00426B03"/>
    <w:rsid w:val="00426CEF"/>
    <w:rsid w:val="00426EE6"/>
    <w:rsid w:val="0043021B"/>
    <w:rsid w:val="00430F09"/>
    <w:rsid w:val="00431835"/>
    <w:rsid w:val="00431BE2"/>
    <w:rsid w:val="0043310A"/>
    <w:rsid w:val="00433272"/>
    <w:rsid w:val="0043369A"/>
    <w:rsid w:val="00433717"/>
    <w:rsid w:val="0043394B"/>
    <w:rsid w:val="00433E6A"/>
    <w:rsid w:val="00433ED7"/>
    <w:rsid w:val="004340E4"/>
    <w:rsid w:val="004348B7"/>
    <w:rsid w:val="00434CDA"/>
    <w:rsid w:val="004350EC"/>
    <w:rsid w:val="004357A0"/>
    <w:rsid w:val="00435AB8"/>
    <w:rsid w:val="004360A2"/>
    <w:rsid w:val="00436A29"/>
    <w:rsid w:val="00437FE3"/>
    <w:rsid w:val="00440C5C"/>
    <w:rsid w:val="00441E9D"/>
    <w:rsid w:val="004424F3"/>
    <w:rsid w:val="00442C03"/>
    <w:rsid w:val="00443692"/>
    <w:rsid w:val="0044398C"/>
    <w:rsid w:val="00443D00"/>
    <w:rsid w:val="00444AE4"/>
    <w:rsid w:val="0044656A"/>
    <w:rsid w:val="004467B4"/>
    <w:rsid w:val="00446F53"/>
    <w:rsid w:val="00447551"/>
    <w:rsid w:val="00450535"/>
    <w:rsid w:val="0045061F"/>
    <w:rsid w:val="00450AF3"/>
    <w:rsid w:val="00451701"/>
    <w:rsid w:val="00451A88"/>
    <w:rsid w:val="00451B36"/>
    <w:rsid w:val="00452839"/>
    <w:rsid w:val="004531A9"/>
    <w:rsid w:val="00453E40"/>
    <w:rsid w:val="004543CC"/>
    <w:rsid w:val="0045459B"/>
    <w:rsid w:val="00454B36"/>
    <w:rsid w:val="004551EA"/>
    <w:rsid w:val="00455C78"/>
    <w:rsid w:val="00455D6D"/>
    <w:rsid w:val="00456471"/>
    <w:rsid w:val="0045707E"/>
    <w:rsid w:val="00457628"/>
    <w:rsid w:val="004608DC"/>
    <w:rsid w:val="00461666"/>
    <w:rsid w:val="0046227B"/>
    <w:rsid w:val="00462758"/>
    <w:rsid w:val="00462CE6"/>
    <w:rsid w:val="004658E0"/>
    <w:rsid w:val="00465E29"/>
    <w:rsid w:val="004661EF"/>
    <w:rsid w:val="00466916"/>
    <w:rsid w:val="00466FEC"/>
    <w:rsid w:val="00470C9A"/>
    <w:rsid w:val="004713F5"/>
    <w:rsid w:val="0047158E"/>
    <w:rsid w:val="00472A68"/>
    <w:rsid w:val="00473688"/>
    <w:rsid w:val="00473C29"/>
    <w:rsid w:val="00474BBE"/>
    <w:rsid w:val="0047557F"/>
    <w:rsid w:val="00475E3F"/>
    <w:rsid w:val="004760E7"/>
    <w:rsid w:val="0047622F"/>
    <w:rsid w:val="00476515"/>
    <w:rsid w:val="00476FB4"/>
    <w:rsid w:val="00477175"/>
    <w:rsid w:val="00477AFA"/>
    <w:rsid w:val="00480064"/>
    <w:rsid w:val="00481283"/>
    <w:rsid w:val="0048147E"/>
    <w:rsid w:val="00482C8E"/>
    <w:rsid w:val="004834FA"/>
    <w:rsid w:val="004841EE"/>
    <w:rsid w:val="004844CA"/>
    <w:rsid w:val="00485553"/>
    <w:rsid w:val="0048567F"/>
    <w:rsid w:val="00485720"/>
    <w:rsid w:val="00485A61"/>
    <w:rsid w:val="00486044"/>
    <w:rsid w:val="004868D5"/>
    <w:rsid w:val="00486B45"/>
    <w:rsid w:val="00487198"/>
    <w:rsid w:val="00490211"/>
    <w:rsid w:val="0049067D"/>
    <w:rsid w:val="00490B83"/>
    <w:rsid w:val="0049155C"/>
    <w:rsid w:val="00491575"/>
    <w:rsid w:val="004915DA"/>
    <w:rsid w:val="00491B0C"/>
    <w:rsid w:val="00492549"/>
    <w:rsid w:val="00492C57"/>
    <w:rsid w:val="004932D4"/>
    <w:rsid w:val="00495022"/>
    <w:rsid w:val="0049591B"/>
    <w:rsid w:val="00495EE7"/>
    <w:rsid w:val="00495EF4"/>
    <w:rsid w:val="0049618D"/>
    <w:rsid w:val="0049738B"/>
    <w:rsid w:val="004A12A8"/>
    <w:rsid w:val="004A1528"/>
    <w:rsid w:val="004A17B2"/>
    <w:rsid w:val="004A1C3D"/>
    <w:rsid w:val="004A208E"/>
    <w:rsid w:val="004A2094"/>
    <w:rsid w:val="004A30AD"/>
    <w:rsid w:val="004A30E8"/>
    <w:rsid w:val="004A4FC9"/>
    <w:rsid w:val="004A5315"/>
    <w:rsid w:val="004A62C3"/>
    <w:rsid w:val="004A694B"/>
    <w:rsid w:val="004A6D5D"/>
    <w:rsid w:val="004A7F61"/>
    <w:rsid w:val="004B0328"/>
    <w:rsid w:val="004B0334"/>
    <w:rsid w:val="004B0743"/>
    <w:rsid w:val="004B0EB8"/>
    <w:rsid w:val="004B1871"/>
    <w:rsid w:val="004B1AEA"/>
    <w:rsid w:val="004B21D8"/>
    <w:rsid w:val="004B2238"/>
    <w:rsid w:val="004B2266"/>
    <w:rsid w:val="004B46C0"/>
    <w:rsid w:val="004B4929"/>
    <w:rsid w:val="004B4A62"/>
    <w:rsid w:val="004B5594"/>
    <w:rsid w:val="004B6187"/>
    <w:rsid w:val="004C0E76"/>
    <w:rsid w:val="004C0E86"/>
    <w:rsid w:val="004C1107"/>
    <w:rsid w:val="004C14CA"/>
    <w:rsid w:val="004C21B5"/>
    <w:rsid w:val="004C2C96"/>
    <w:rsid w:val="004C2CC3"/>
    <w:rsid w:val="004C3117"/>
    <w:rsid w:val="004C3386"/>
    <w:rsid w:val="004C3CC4"/>
    <w:rsid w:val="004C4493"/>
    <w:rsid w:val="004C5BC5"/>
    <w:rsid w:val="004C5C7B"/>
    <w:rsid w:val="004C731E"/>
    <w:rsid w:val="004C7564"/>
    <w:rsid w:val="004C7E55"/>
    <w:rsid w:val="004D04A1"/>
    <w:rsid w:val="004D0582"/>
    <w:rsid w:val="004D0F40"/>
    <w:rsid w:val="004D0FD6"/>
    <w:rsid w:val="004D166E"/>
    <w:rsid w:val="004D278B"/>
    <w:rsid w:val="004D3B35"/>
    <w:rsid w:val="004D4FF2"/>
    <w:rsid w:val="004D5790"/>
    <w:rsid w:val="004D65ED"/>
    <w:rsid w:val="004D6CAD"/>
    <w:rsid w:val="004E1F99"/>
    <w:rsid w:val="004E662A"/>
    <w:rsid w:val="004E68C0"/>
    <w:rsid w:val="004E7F16"/>
    <w:rsid w:val="004F08C7"/>
    <w:rsid w:val="004F0E0D"/>
    <w:rsid w:val="004F1528"/>
    <w:rsid w:val="004F207B"/>
    <w:rsid w:val="004F221F"/>
    <w:rsid w:val="004F30FA"/>
    <w:rsid w:val="004F35A0"/>
    <w:rsid w:val="004F3751"/>
    <w:rsid w:val="004F3B70"/>
    <w:rsid w:val="004F4323"/>
    <w:rsid w:val="004F448C"/>
    <w:rsid w:val="004F57C6"/>
    <w:rsid w:val="004F6960"/>
    <w:rsid w:val="004F79E4"/>
    <w:rsid w:val="005000A8"/>
    <w:rsid w:val="00500353"/>
    <w:rsid w:val="0050037F"/>
    <w:rsid w:val="005006BB"/>
    <w:rsid w:val="00500766"/>
    <w:rsid w:val="0050153E"/>
    <w:rsid w:val="005016D1"/>
    <w:rsid w:val="00501832"/>
    <w:rsid w:val="00501B5B"/>
    <w:rsid w:val="00502A86"/>
    <w:rsid w:val="00504A48"/>
    <w:rsid w:val="00504EF0"/>
    <w:rsid w:val="00505733"/>
    <w:rsid w:val="00505837"/>
    <w:rsid w:val="00505AB8"/>
    <w:rsid w:val="00506110"/>
    <w:rsid w:val="0050616E"/>
    <w:rsid w:val="00506509"/>
    <w:rsid w:val="00507A79"/>
    <w:rsid w:val="00507A88"/>
    <w:rsid w:val="00510DC7"/>
    <w:rsid w:val="00511EC3"/>
    <w:rsid w:val="00512221"/>
    <w:rsid w:val="005132C2"/>
    <w:rsid w:val="00513CF2"/>
    <w:rsid w:val="00514820"/>
    <w:rsid w:val="00514FCF"/>
    <w:rsid w:val="00517004"/>
    <w:rsid w:val="0051712E"/>
    <w:rsid w:val="0051734A"/>
    <w:rsid w:val="005176CA"/>
    <w:rsid w:val="00517E81"/>
    <w:rsid w:val="0052057D"/>
    <w:rsid w:val="00520581"/>
    <w:rsid w:val="00520F11"/>
    <w:rsid w:val="00521A00"/>
    <w:rsid w:val="00521C28"/>
    <w:rsid w:val="00521DD5"/>
    <w:rsid w:val="0052238F"/>
    <w:rsid w:val="005225F1"/>
    <w:rsid w:val="0052306B"/>
    <w:rsid w:val="0052369A"/>
    <w:rsid w:val="0052479B"/>
    <w:rsid w:val="00524DC6"/>
    <w:rsid w:val="00525387"/>
    <w:rsid w:val="005254D6"/>
    <w:rsid w:val="0052592E"/>
    <w:rsid w:val="00525D7A"/>
    <w:rsid w:val="00526879"/>
    <w:rsid w:val="00526B1A"/>
    <w:rsid w:val="005272FE"/>
    <w:rsid w:val="00527506"/>
    <w:rsid w:val="00527D6D"/>
    <w:rsid w:val="0053023F"/>
    <w:rsid w:val="005309E0"/>
    <w:rsid w:val="00530CA2"/>
    <w:rsid w:val="00530CC0"/>
    <w:rsid w:val="00531144"/>
    <w:rsid w:val="00531486"/>
    <w:rsid w:val="00531541"/>
    <w:rsid w:val="00531DB8"/>
    <w:rsid w:val="00531E55"/>
    <w:rsid w:val="00533432"/>
    <w:rsid w:val="00533434"/>
    <w:rsid w:val="00533BA1"/>
    <w:rsid w:val="00533E02"/>
    <w:rsid w:val="005345A2"/>
    <w:rsid w:val="00534987"/>
    <w:rsid w:val="00534CBE"/>
    <w:rsid w:val="00534F22"/>
    <w:rsid w:val="005350B9"/>
    <w:rsid w:val="005351CF"/>
    <w:rsid w:val="0053570F"/>
    <w:rsid w:val="00535D41"/>
    <w:rsid w:val="00537072"/>
    <w:rsid w:val="005409B4"/>
    <w:rsid w:val="00540CD8"/>
    <w:rsid w:val="00543A79"/>
    <w:rsid w:val="00543E05"/>
    <w:rsid w:val="00543FCD"/>
    <w:rsid w:val="00544AFD"/>
    <w:rsid w:val="00544CCC"/>
    <w:rsid w:val="00545185"/>
    <w:rsid w:val="00546929"/>
    <w:rsid w:val="00546B89"/>
    <w:rsid w:val="005478B9"/>
    <w:rsid w:val="00547DAB"/>
    <w:rsid w:val="00550218"/>
    <w:rsid w:val="00552699"/>
    <w:rsid w:val="0055287B"/>
    <w:rsid w:val="00552DBD"/>
    <w:rsid w:val="0055307D"/>
    <w:rsid w:val="005534C1"/>
    <w:rsid w:val="00554E2E"/>
    <w:rsid w:val="00555408"/>
    <w:rsid w:val="0055545D"/>
    <w:rsid w:val="00555955"/>
    <w:rsid w:val="00556A54"/>
    <w:rsid w:val="00557291"/>
    <w:rsid w:val="00557CE1"/>
    <w:rsid w:val="005605D5"/>
    <w:rsid w:val="00561922"/>
    <w:rsid w:val="00562748"/>
    <w:rsid w:val="0056305D"/>
    <w:rsid w:val="00564784"/>
    <w:rsid w:val="005652D6"/>
    <w:rsid w:val="0056600C"/>
    <w:rsid w:val="00566323"/>
    <w:rsid w:val="005669AB"/>
    <w:rsid w:val="005674BB"/>
    <w:rsid w:val="005675AD"/>
    <w:rsid w:val="00567A10"/>
    <w:rsid w:val="00567A29"/>
    <w:rsid w:val="00570856"/>
    <w:rsid w:val="0057132B"/>
    <w:rsid w:val="00571BCC"/>
    <w:rsid w:val="005723BA"/>
    <w:rsid w:val="0057257E"/>
    <w:rsid w:val="005739FD"/>
    <w:rsid w:val="00574B5E"/>
    <w:rsid w:val="00575F3B"/>
    <w:rsid w:val="00576BD8"/>
    <w:rsid w:val="00576F85"/>
    <w:rsid w:val="00577050"/>
    <w:rsid w:val="00577503"/>
    <w:rsid w:val="0057752C"/>
    <w:rsid w:val="00577CC8"/>
    <w:rsid w:val="00580E21"/>
    <w:rsid w:val="005815AD"/>
    <w:rsid w:val="00582663"/>
    <w:rsid w:val="00582C84"/>
    <w:rsid w:val="00583AD9"/>
    <w:rsid w:val="00583D03"/>
    <w:rsid w:val="00585CAA"/>
    <w:rsid w:val="00587127"/>
    <w:rsid w:val="00587389"/>
    <w:rsid w:val="0058799F"/>
    <w:rsid w:val="00587BAE"/>
    <w:rsid w:val="00587E6E"/>
    <w:rsid w:val="00591861"/>
    <w:rsid w:val="00591C86"/>
    <w:rsid w:val="00591D9B"/>
    <w:rsid w:val="00591E66"/>
    <w:rsid w:val="00592314"/>
    <w:rsid w:val="00592485"/>
    <w:rsid w:val="00592AE4"/>
    <w:rsid w:val="0059481A"/>
    <w:rsid w:val="0059549B"/>
    <w:rsid w:val="00595CE3"/>
    <w:rsid w:val="0059694E"/>
    <w:rsid w:val="005975A6"/>
    <w:rsid w:val="005A16F9"/>
    <w:rsid w:val="005A21AD"/>
    <w:rsid w:val="005A3485"/>
    <w:rsid w:val="005A40AD"/>
    <w:rsid w:val="005A42DE"/>
    <w:rsid w:val="005A52CF"/>
    <w:rsid w:val="005A5BAC"/>
    <w:rsid w:val="005A5D17"/>
    <w:rsid w:val="005A60CF"/>
    <w:rsid w:val="005A6278"/>
    <w:rsid w:val="005B0739"/>
    <w:rsid w:val="005B0751"/>
    <w:rsid w:val="005B3167"/>
    <w:rsid w:val="005B3308"/>
    <w:rsid w:val="005B390E"/>
    <w:rsid w:val="005B4FF9"/>
    <w:rsid w:val="005B533A"/>
    <w:rsid w:val="005B6E3D"/>
    <w:rsid w:val="005B7128"/>
    <w:rsid w:val="005B7824"/>
    <w:rsid w:val="005B7875"/>
    <w:rsid w:val="005C01F1"/>
    <w:rsid w:val="005C16BB"/>
    <w:rsid w:val="005C2AB5"/>
    <w:rsid w:val="005C3D4A"/>
    <w:rsid w:val="005C479D"/>
    <w:rsid w:val="005C49BE"/>
    <w:rsid w:val="005C5BF2"/>
    <w:rsid w:val="005D0568"/>
    <w:rsid w:val="005D077C"/>
    <w:rsid w:val="005D09D4"/>
    <w:rsid w:val="005D0CAF"/>
    <w:rsid w:val="005D1450"/>
    <w:rsid w:val="005D17E6"/>
    <w:rsid w:val="005D3072"/>
    <w:rsid w:val="005D337E"/>
    <w:rsid w:val="005D3631"/>
    <w:rsid w:val="005D447D"/>
    <w:rsid w:val="005D4D99"/>
    <w:rsid w:val="005D53FF"/>
    <w:rsid w:val="005D54A8"/>
    <w:rsid w:val="005D5B01"/>
    <w:rsid w:val="005D68B2"/>
    <w:rsid w:val="005E07EE"/>
    <w:rsid w:val="005E2A00"/>
    <w:rsid w:val="005E3272"/>
    <w:rsid w:val="005E34DE"/>
    <w:rsid w:val="005E3F47"/>
    <w:rsid w:val="005E3FEC"/>
    <w:rsid w:val="005E415F"/>
    <w:rsid w:val="005E4C84"/>
    <w:rsid w:val="005E53AA"/>
    <w:rsid w:val="005E59D4"/>
    <w:rsid w:val="005E6598"/>
    <w:rsid w:val="005F038C"/>
    <w:rsid w:val="005F0BCC"/>
    <w:rsid w:val="005F2159"/>
    <w:rsid w:val="005F2B84"/>
    <w:rsid w:val="005F2D97"/>
    <w:rsid w:val="005F3A20"/>
    <w:rsid w:val="005F3FCB"/>
    <w:rsid w:val="005F4C29"/>
    <w:rsid w:val="005F4FA5"/>
    <w:rsid w:val="005F6087"/>
    <w:rsid w:val="006000DC"/>
    <w:rsid w:val="00601229"/>
    <w:rsid w:val="00601C13"/>
    <w:rsid w:val="00601C4C"/>
    <w:rsid w:val="00603D68"/>
    <w:rsid w:val="0060409A"/>
    <w:rsid w:val="0060417D"/>
    <w:rsid w:val="00604D49"/>
    <w:rsid w:val="00606AAD"/>
    <w:rsid w:val="00606C24"/>
    <w:rsid w:val="00607617"/>
    <w:rsid w:val="00607B66"/>
    <w:rsid w:val="006113A9"/>
    <w:rsid w:val="006113D0"/>
    <w:rsid w:val="006115BC"/>
    <w:rsid w:val="006116C5"/>
    <w:rsid w:val="0061192E"/>
    <w:rsid w:val="0061256C"/>
    <w:rsid w:val="0061319C"/>
    <w:rsid w:val="006133EF"/>
    <w:rsid w:val="00614576"/>
    <w:rsid w:val="00616094"/>
    <w:rsid w:val="006164A3"/>
    <w:rsid w:val="00616728"/>
    <w:rsid w:val="0061736B"/>
    <w:rsid w:val="00617C13"/>
    <w:rsid w:val="00617D4E"/>
    <w:rsid w:val="00617E54"/>
    <w:rsid w:val="00617E63"/>
    <w:rsid w:val="006201F4"/>
    <w:rsid w:val="00620704"/>
    <w:rsid w:val="006209D7"/>
    <w:rsid w:val="00620CC8"/>
    <w:rsid w:val="00620E69"/>
    <w:rsid w:val="00621FBD"/>
    <w:rsid w:val="006222E4"/>
    <w:rsid w:val="006223B3"/>
    <w:rsid w:val="0062311C"/>
    <w:rsid w:val="006239EF"/>
    <w:rsid w:val="006241B4"/>
    <w:rsid w:val="00625286"/>
    <w:rsid w:val="006254B9"/>
    <w:rsid w:val="00626433"/>
    <w:rsid w:val="00626D58"/>
    <w:rsid w:val="006276F3"/>
    <w:rsid w:val="006277E4"/>
    <w:rsid w:val="006278E7"/>
    <w:rsid w:val="00627AFA"/>
    <w:rsid w:val="006300E9"/>
    <w:rsid w:val="006305A2"/>
    <w:rsid w:val="00631C8B"/>
    <w:rsid w:val="0063231B"/>
    <w:rsid w:val="00633E6C"/>
    <w:rsid w:val="0063495C"/>
    <w:rsid w:val="00635252"/>
    <w:rsid w:val="00635A87"/>
    <w:rsid w:val="006374DA"/>
    <w:rsid w:val="0063772C"/>
    <w:rsid w:val="00640996"/>
    <w:rsid w:val="00640B61"/>
    <w:rsid w:val="00640BE9"/>
    <w:rsid w:val="00640EA1"/>
    <w:rsid w:val="006410A2"/>
    <w:rsid w:val="006421F3"/>
    <w:rsid w:val="0064223B"/>
    <w:rsid w:val="006429D1"/>
    <w:rsid w:val="00642C35"/>
    <w:rsid w:val="0064351B"/>
    <w:rsid w:val="00643C5F"/>
    <w:rsid w:val="00643FA5"/>
    <w:rsid w:val="0064440A"/>
    <w:rsid w:val="00644995"/>
    <w:rsid w:val="006449D5"/>
    <w:rsid w:val="006454EA"/>
    <w:rsid w:val="00645D16"/>
    <w:rsid w:val="00646643"/>
    <w:rsid w:val="00646A70"/>
    <w:rsid w:val="00646BB9"/>
    <w:rsid w:val="00647390"/>
    <w:rsid w:val="006477E2"/>
    <w:rsid w:val="0065009C"/>
    <w:rsid w:val="00650C88"/>
    <w:rsid w:val="00651266"/>
    <w:rsid w:val="00651C55"/>
    <w:rsid w:val="00651F44"/>
    <w:rsid w:val="0065207E"/>
    <w:rsid w:val="006520A9"/>
    <w:rsid w:val="00652445"/>
    <w:rsid w:val="00652E3D"/>
    <w:rsid w:val="0065328F"/>
    <w:rsid w:val="00654E95"/>
    <w:rsid w:val="0065510D"/>
    <w:rsid w:val="00655D62"/>
    <w:rsid w:val="00656E22"/>
    <w:rsid w:val="00657209"/>
    <w:rsid w:val="006575F6"/>
    <w:rsid w:val="0065791A"/>
    <w:rsid w:val="00657D7B"/>
    <w:rsid w:val="00657EEA"/>
    <w:rsid w:val="006607B5"/>
    <w:rsid w:val="00661863"/>
    <w:rsid w:val="006623DE"/>
    <w:rsid w:val="0066252E"/>
    <w:rsid w:val="00662797"/>
    <w:rsid w:val="006628AE"/>
    <w:rsid w:val="006639BF"/>
    <w:rsid w:val="00663C03"/>
    <w:rsid w:val="006641C9"/>
    <w:rsid w:val="0066488F"/>
    <w:rsid w:val="00664A4C"/>
    <w:rsid w:val="00665F1A"/>
    <w:rsid w:val="0066661F"/>
    <w:rsid w:val="00666C2C"/>
    <w:rsid w:val="00670BAF"/>
    <w:rsid w:val="00671401"/>
    <w:rsid w:val="0067144D"/>
    <w:rsid w:val="00671E6B"/>
    <w:rsid w:val="006737C1"/>
    <w:rsid w:val="00674BE1"/>
    <w:rsid w:val="0067569E"/>
    <w:rsid w:val="0067584C"/>
    <w:rsid w:val="00675AB0"/>
    <w:rsid w:val="00675B16"/>
    <w:rsid w:val="006765B1"/>
    <w:rsid w:val="00677667"/>
    <w:rsid w:val="0067799F"/>
    <w:rsid w:val="006800E7"/>
    <w:rsid w:val="006806BF"/>
    <w:rsid w:val="00680CF4"/>
    <w:rsid w:val="00680F65"/>
    <w:rsid w:val="006833C0"/>
    <w:rsid w:val="00683A90"/>
    <w:rsid w:val="00683D33"/>
    <w:rsid w:val="00684C1F"/>
    <w:rsid w:val="006850CC"/>
    <w:rsid w:val="00685ED5"/>
    <w:rsid w:val="00685FB6"/>
    <w:rsid w:val="00686590"/>
    <w:rsid w:val="00687379"/>
    <w:rsid w:val="006879CD"/>
    <w:rsid w:val="00690B45"/>
    <w:rsid w:val="00691761"/>
    <w:rsid w:val="0069195E"/>
    <w:rsid w:val="00691C72"/>
    <w:rsid w:val="006920C9"/>
    <w:rsid w:val="00692931"/>
    <w:rsid w:val="006947AA"/>
    <w:rsid w:val="00694EAF"/>
    <w:rsid w:val="0069518A"/>
    <w:rsid w:val="006951C5"/>
    <w:rsid w:val="006953F4"/>
    <w:rsid w:val="00695B4D"/>
    <w:rsid w:val="006973FC"/>
    <w:rsid w:val="00697729"/>
    <w:rsid w:val="00697C27"/>
    <w:rsid w:val="00697C9F"/>
    <w:rsid w:val="006A021C"/>
    <w:rsid w:val="006A0713"/>
    <w:rsid w:val="006A1D7E"/>
    <w:rsid w:val="006A2628"/>
    <w:rsid w:val="006A5B14"/>
    <w:rsid w:val="006A6030"/>
    <w:rsid w:val="006A6666"/>
    <w:rsid w:val="006B0321"/>
    <w:rsid w:val="006B08EC"/>
    <w:rsid w:val="006B092E"/>
    <w:rsid w:val="006B1140"/>
    <w:rsid w:val="006B123E"/>
    <w:rsid w:val="006B1B6F"/>
    <w:rsid w:val="006B1FFF"/>
    <w:rsid w:val="006B22DF"/>
    <w:rsid w:val="006B2BC8"/>
    <w:rsid w:val="006B3F9F"/>
    <w:rsid w:val="006B3FE2"/>
    <w:rsid w:val="006B41E1"/>
    <w:rsid w:val="006B43EB"/>
    <w:rsid w:val="006B591A"/>
    <w:rsid w:val="006B6544"/>
    <w:rsid w:val="006B728A"/>
    <w:rsid w:val="006B798F"/>
    <w:rsid w:val="006B79FD"/>
    <w:rsid w:val="006C0A05"/>
    <w:rsid w:val="006C0C57"/>
    <w:rsid w:val="006C0D18"/>
    <w:rsid w:val="006C1439"/>
    <w:rsid w:val="006C1A11"/>
    <w:rsid w:val="006C1C0E"/>
    <w:rsid w:val="006C2260"/>
    <w:rsid w:val="006C237A"/>
    <w:rsid w:val="006C2998"/>
    <w:rsid w:val="006C400E"/>
    <w:rsid w:val="006C433E"/>
    <w:rsid w:val="006C48E0"/>
    <w:rsid w:val="006C4B6F"/>
    <w:rsid w:val="006C4FCD"/>
    <w:rsid w:val="006C4FD7"/>
    <w:rsid w:val="006C5296"/>
    <w:rsid w:val="006C5A53"/>
    <w:rsid w:val="006C5B49"/>
    <w:rsid w:val="006C5FEA"/>
    <w:rsid w:val="006C6232"/>
    <w:rsid w:val="006C6382"/>
    <w:rsid w:val="006C63F5"/>
    <w:rsid w:val="006C7A67"/>
    <w:rsid w:val="006D0270"/>
    <w:rsid w:val="006D05B3"/>
    <w:rsid w:val="006D0885"/>
    <w:rsid w:val="006D0AC2"/>
    <w:rsid w:val="006D0B9D"/>
    <w:rsid w:val="006D138B"/>
    <w:rsid w:val="006D1450"/>
    <w:rsid w:val="006D2678"/>
    <w:rsid w:val="006D3B4D"/>
    <w:rsid w:val="006D3FBD"/>
    <w:rsid w:val="006D4285"/>
    <w:rsid w:val="006D44E4"/>
    <w:rsid w:val="006D4E4F"/>
    <w:rsid w:val="006D5136"/>
    <w:rsid w:val="006D5B78"/>
    <w:rsid w:val="006D64E8"/>
    <w:rsid w:val="006E0468"/>
    <w:rsid w:val="006E081D"/>
    <w:rsid w:val="006E0832"/>
    <w:rsid w:val="006E0ED8"/>
    <w:rsid w:val="006E12FD"/>
    <w:rsid w:val="006E16CA"/>
    <w:rsid w:val="006E1C11"/>
    <w:rsid w:val="006E1D37"/>
    <w:rsid w:val="006E200B"/>
    <w:rsid w:val="006E32AC"/>
    <w:rsid w:val="006E3731"/>
    <w:rsid w:val="006E399D"/>
    <w:rsid w:val="006E3B7B"/>
    <w:rsid w:val="006E3F97"/>
    <w:rsid w:val="006E4C67"/>
    <w:rsid w:val="006E59F1"/>
    <w:rsid w:val="006E5F06"/>
    <w:rsid w:val="006E7AE6"/>
    <w:rsid w:val="006F0075"/>
    <w:rsid w:val="006F09B6"/>
    <w:rsid w:val="006F0A86"/>
    <w:rsid w:val="006F35D7"/>
    <w:rsid w:val="006F3F58"/>
    <w:rsid w:val="006F3FFE"/>
    <w:rsid w:val="006F4443"/>
    <w:rsid w:val="006F491A"/>
    <w:rsid w:val="006F4B01"/>
    <w:rsid w:val="006F54C3"/>
    <w:rsid w:val="006F5E9E"/>
    <w:rsid w:val="006F6043"/>
    <w:rsid w:val="006F6065"/>
    <w:rsid w:val="006F6668"/>
    <w:rsid w:val="006F6B08"/>
    <w:rsid w:val="006F6DC7"/>
    <w:rsid w:val="006F725B"/>
    <w:rsid w:val="006F7503"/>
    <w:rsid w:val="006F79A0"/>
    <w:rsid w:val="0070136C"/>
    <w:rsid w:val="00701700"/>
    <w:rsid w:val="00701A54"/>
    <w:rsid w:val="00703427"/>
    <w:rsid w:val="0070383F"/>
    <w:rsid w:val="00703A94"/>
    <w:rsid w:val="00703EDA"/>
    <w:rsid w:val="00703EEC"/>
    <w:rsid w:val="007048B0"/>
    <w:rsid w:val="00705193"/>
    <w:rsid w:val="007053F3"/>
    <w:rsid w:val="00706223"/>
    <w:rsid w:val="0070626E"/>
    <w:rsid w:val="007064D5"/>
    <w:rsid w:val="007067D4"/>
    <w:rsid w:val="00706B52"/>
    <w:rsid w:val="00707B48"/>
    <w:rsid w:val="0071011E"/>
    <w:rsid w:val="0071111E"/>
    <w:rsid w:val="007113F6"/>
    <w:rsid w:val="00711F9C"/>
    <w:rsid w:val="00712059"/>
    <w:rsid w:val="007126E7"/>
    <w:rsid w:val="00712740"/>
    <w:rsid w:val="00713DF0"/>
    <w:rsid w:val="00714377"/>
    <w:rsid w:val="00714C75"/>
    <w:rsid w:val="00714F30"/>
    <w:rsid w:val="007157B9"/>
    <w:rsid w:val="007162DB"/>
    <w:rsid w:val="00716B6D"/>
    <w:rsid w:val="00716E18"/>
    <w:rsid w:val="007176FB"/>
    <w:rsid w:val="00717C1E"/>
    <w:rsid w:val="00717D46"/>
    <w:rsid w:val="00720665"/>
    <w:rsid w:val="00720904"/>
    <w:rsid w:val="00720CEA"/>
    <w:rsid w:val="00720F00"/>
    <w:rsid w:val="00722D24"/>
    <w:rsid w:val="00722E8A"/>
    <w:rsid w:val="00723B99"/>
    <w:rsid w:val="007241B7"/>
    <w:rsid w:val="0072452E"/>
    <w:rsid w:val="00724650"/>
    <w:rsid w:val="007246B4"/>
    <w:rsid w:val="00724B61"/>
    <w:rsid w:val="00724FA4"/>
    <w:rsid w:val="0072533B"/>
    <w:rsid w:val="00725B43"/>
    <w:rsid w:val="00725EA2"/>
    <w:rsid w:val="00725EFD"/>
    <w:rsid w:val="00726CE9"/>
    <w:rsid w:val="00727D16"/>
    <w:rsid w:val="00730D90"/>
    <w:rsid w:val="00731488"/>
    <w:rsid w:val="007315E3"/>
    <w:rsid w:val="00731832"/>
    <w:rsid w:val="00732091"/>
    <w:rsid w:val="00732228"/>
    <w:rsid w:val="00732AAF"/>
    <w:rsid w:val="007341AC"/>
    <w:rsid w:val="007348D6"/>
    <w:rsid w:val="00734947"/>
    <w:rsid w:val="00734B12"/>
    <w:rsid w:val="00735F2A"/>
    <w:rsid w:val="007361AA"/>
    <w:rsid w:val="0073623B"/>
    <w:rsid w:val="00736ACA"/>
    <w:rsid w:val="00737369"/>
    <w:rsid w:val="0074207B"/>
    <w:rsid w:val="007422E9"/>
    <w:rsid w:val="00742473"/>
    <w:rsid w:val="007432AC"/>
    <w:rsid w:val="0074459A"/>
    <w:rsid w:val="00745174"/>
    <w:rsid w:val="00745324"/>
    <w:rsid w:val="00745B79"/>
    <w:rsid w:val="00745D0C"/>
    <w:rsid w:val="00746D60"/>
    <w:rsid w:val="0075035D"/>
    <w:rsid w:val="00752866"/>
    <w:rsid w:val="00752E52"/>
    <w:rsid w:val="0075395E"/>
    <w:rsid w:val="00753A26"/>
    <w:rsid w:val="00754205"/>
    <w:rsid w:val="00754EA3"/>
    <w:rsid w:val="007551F7"/>
    <w:rsid w:val="0075545D"/>
    <w:rsid w:val="00755681"/>
    <w:rsid w:val="00755DFB"/>
    <w:rsid w:val="007578E6"/>
    <w:rsid w:val="00757AE0"/>
    <w:rsid w:val="00757E01"/>
    <w:rsid w:val="0076030A"/>
    <w:rsid w:val="00760EA7"/>
    <w:rsid w:val="007613CD"/>
    <w:rsid w:val="00761B40"/>
    <w:rsid w:val="00762EF2"/>
    <w:rsid w:val="00765292"/>
    <w:rsid w:val="007661DC"/>
    <w:rsid w:val="00766BD1"/>
    <w:rsid w:val="007670DA"/>
    <w:rsid w:val="00767AA4"/>
    <w:rsid w:val="00770385"/>
    <w:rsid w:val="00771032"/>
    <w:rsid w:val="007723D7"/>
    <w:rsid w:val="007728BE"/>
    <w:rsid w:val="0077703E"/>
    <w:rsid w:val="0077791D"/>
    <w:rsid w:val="00777A26"/>
    <w:rsid w:val="00777BA8"/>
    <w:rsid w:val="00777D7A"/>
    <w:rsid w:val="007815CE"/>
    <w:rsid w:val="00781A68"/>
    <w:rsid w:val="007833F9"/>
    <w:rsid w:val="007835A3"/>
    <w:rsid w:val="0078488A"/>
    <w:rsid w:val="00784C2B"/>
    <w:rsid w:val="00784CC1"/>
    <w:rsid w:val="00784E43"/>
    <w:rsid w:val="00785258"/>
    <w:rsid w:val="00785410"/>
    <w:rsid w:val="00785CAD"/>
    <w:rsid w:val="007864C5"/>
    <w:rsid w:val="00786A4A"/>
    <w:rsid w:val="0078795B"/>
    <w:rsid w:val="0079076F"/>
    <w:rsid w:val="00790E69"/>
    <w:rsid w:val="007910BF"/>
    <w:rsid w:val="007911CD"/>
    <w:rsid w:val="0079157C"/>
    <w:rsid w:val="00791D44"/>
    <w:rsid w:val="00792099"/>
    <w:rsid w:val="00794233"/>
    <w:rsid w:val="0079663C"/>
    <w:rsid w:val="00796B74"/>
    <w:rsid w:val="00796EA4"/>
    <w:rsid w:val="00796F83"/>
    <w:rsid w:val="00797461"/>
    <w:rsid w:val="0079759B"/>
    <w:rsid w:val="007976CD"/>
    <w:rsid w:val="00797736"/>
    <w:rsid w:val="00797D65"/>
    <w:rsid w:val="00797E3A"/>
    <w:rsid w:val="007A001E"/>
    <w:rsid w:val="007A0517"/>
    <w:rsid w:val="007A0546"/>
    <w:rsid w:val="007A0862"/>
    <w:rsid w:val="007A1B92"/>
    <w:rsid w:val="007A1E1D"/>
    <w:rsid w:val="007A21C7"/>
    <w:rsid w:val="007A234F"/>
    <w:rsid w:val="007A2799"/>
    <w:rsid w:val="007A45CD"/>
    <w:rsid w:val="007A47DC"/>
    <w:rsid w:val="007A4C39"/>
    <w:rsid w:val="007A5A93"/>
    <w:rsid w:val="007A5BF0"/>
    <w:rsid w:val="007A5D15"/>
    <w:rsid w:val="007A79BC"/>
    <w:rsid w:val="007A7E1A"/>
    <w:rsid w:val="007A7FB7"/>
    <w:rsid w:val="007B0304"/>
    <w:rsid w:val="007B0B52"/>
    <w:rsid w:val="007B2D44"/>
    <w:rsid w:val="007B2E99"/>
    <w:rsid w:val="007B2FCC"/>
    <w:rsid w:val="007B351C"/>
    <w:rsid w:val="007B3683"/>
    <w:rsid w:val="007B42C4"/>
    <w:rsid w:val="007B5055"/>
    <w:rsid w:val="007B51C0"/>
    <w:rsid w:val="007B5489"/>
    <w:rsid w:val="007B554D"/>
    <w:rsid w:val="007B6B06"/>
    <w:rsid w:val="007B70F4"/>
    <w:rsid w:val="007B7AFC"/>
    <w:rsid w:val="007B7C80"/>
    <w:rsid w:val="007C0431"/>
    <w:rsid w:val="007C0C4B"/>
    <w:rsid w:val="007C0E80"/>
    <w:rsid w:val="007C1280"/>
    <w:rsid w:val="007C1CC0"/>
    <w:rsid w:val="007C2408"/>
    <w:rsid w:val="007C27EA"/>
    <w:rsid w:val="007C3474"/>
    <w:rsid w:val="007C666C"/>
    <w:rsid w:val="007C67E9"/>
    <w:rsid w:val="007C6A9D"/>
    <w:rsid w:val="007C6F23"/>
    <w:rsid w:val="007C76E3"/>
    <w:rsid w:val="007C7A98"/>
    <w:rsid w:val="007C7D0B"/>
    <w:rsid w:val="007C7E96"/>
    <w:rsid w:val="007D284D"/>
    <w:rsid w:val="007D3235"/>
    <w:rsid w:val="007D416C"/>
    <w:rsid w:val="007D5168"/>
    <w:rsid w:val="007D60AB"/>
    <w:rsid w:val="007D7EE0"/>
    <w:rsid w:val="007E0C78"/>
    <w:rsid w:val="007E13A3"/>
    <w:rsid w:val="007E15AE"/>
    <w:rsid w:val="007E2EB1"/>
    <w:rsid w:val="007E4280"/>
    <w:rsid w:val="007E5871"/>
    <w:rsid w:val="007E5883"/>
    <w:rsid w:val="007E60E2"/>
    <w:rsid w:val="007E68A9"/>
    <w:rsid w:val="007E6C82"/>
    <w:rsid w:val="007E6E38"/>
    <w:rsid w:val="007E6F87"/>
    <w:rsid w:val="007E7F88"/>
    <w:rsid w:val="007E7FA0"/>
    <w:rsid w:val="007F0422"/>
    <w:rsid w:val="007F0735"/>
    <w:rsid w:val="007F0DF4"/>
    <w:rsid w:val="007F1321"/>
    <w:rsid w:val="007F155A"/>
    <w:rsid w:val="007F1F9A"/>
    <w:rsid w:val="007F2280"/>
    <w:rsid w:val="007F253B"/>
    <w:rsid w:val="007F267F"/>
    <w:rsid w:val="007F29AC"/>
    <w:rsid w:val="007F3BA7"/>
    <w:rsid w:val="007F44C2"/>
    <w:rsid w:val="007F496F"/>
    <w:rsid w:val="007F49F6"/>
    <w:rsid w:val="007F4AFC"/>
    <w:rsid w:val="007F4C6C"/>
    <w:rsid w:val="007F54FE"/>
    <w:rsid w:val="007F5A1A"/>
    <w:rsid w:val="007F5C74"/>
    <w:rsid w:val="007F6653"/>
    <w:rsid w:val="007F6B30"/>
    <w:rsid w:val="007F7094"/>
    <w:rsid w:val="007F7112"/>
    <w:rsid w:val="007F77F7"/>
    <w:rsid w:val="007F7850"/>
    <w:rsid w:val="007F7AC0"/>
    <w:rsid w:val="00800ABC"/>
    <w:rsid w:val="00800C1C"/>
    <w:rsid w:val="00801176"/>
    <w:rsid w:val="00803469"/>
    <w:rsid w:val="00803C0D"/>
    <w:rsid w:val="008047BD"/>
    <w:rsid w:val="00805260"/>
    <w:rsid w:val="00805602"/>
    <w:rsid w:val="00805782"/>
    <w:rsid w:val="00805E32"/>
    <w:rsid w:val="00805FFE"/>
    <w:rsid w:val="00806708"/>
    <w:rsid w:val="00806B37"/>
    <w:rsid w:val="00806BA4"/>
    <w:rsid w:val="00810614"/>
    <w:rsid w:val="008116D5"/>
    <w:rsid w:val="00811ABE"/>
    <w:rsid w:val="00811F89"/>
    <w:rsid w:val="00812D4E"/>
    <w:rsid w:val="008131F6"/>
    <w:rsid w:val="008135B0"/>
    <w:rsid w:val="00813693"/>
    <w:rsid w:val="00813929"/>
    <w:rsid w:val="00813E8D"/>
    <w:rsid w:val="00814007"/>
    <w:rsid w:val="008142E3"/>
    <w:rsid w:val="00814FD7"/>
    <w:rsid w:val="008151B7"/>
    <w:rsid w:val="008152DD"/>
    <w:rsid w:val="0081570C"/>
    <w:rsid w:val="00816493"/>
    <w:rsid w:val="00816BBD"/>
    <w:rsid w:val="00816FC1"/>
    <w:rsid w:val="00820679"/>
    <w:rsid w:val="008216D5"/>
    <w:rsid w:val="00821B1D"/>
    <w:rsid w:val="00821C93"/>
    <w:rsid w:val="008221BA"/>
    <w:rsid w:val="00822562"/>
    <w:rsid w:val="00823EE1"/>
    <w:rsid w:val="0082471C"/>
    <w:rsid w:val="008247AA"/>
    <w:rsid w:val="0082539D"/>
    <w:rsid w:val="008256D1"/>
    <w:rsid w:val="00825B85"/>
    <w:rsid w:val="00826AE2"/>
    <w:rsid w:val="00827485"/>
    <w:rsid w:val="008275E6"/>
    <w:rsid w:val="008276D8"/>
    <w:rsid w:val="00827810"/>
    <w:rsid w:val="00827DAD"/>
    <w:rsid w:val="00830770"/>
    <w:rsid w:val="00830B25"/>
    <w:rsid w:val="00830CDE"/>
    <w:rsid w:val="00830DE9"/>
    <w:rsid w:val="00830DEB"/>
    <w:rsid w:val="00832001"/>
    <w:rsid w:val="0083287B"/>
    <w:rsid w:val="00832DA6"/>
    <w:rsid w:val="00832E11"/>
    <w:rsid w:val="008330C0"/>
    <w:rsid w:val="008331EB"/>
    <w:rsid w:val="00833CCB"/>
    <w:rsid w:val="00833D44"/>
    <w:rsid w:val="008344A7"/>
    <w:rsid w:val="00834551"/>
    <w:rsid w:val="008354B1"/>
    <w:rsid w:val="008354D3"/>
    <w:rsid w:val="008358EE"/>
    <w:rsid w:val="00835BA4"/>
    <w:rsid w:val="00836053"/>
    <w:rsid w:val="008375CB"/>
    <w:rsid w:val="00840536"/>
    <w:rsid w:val="00840EEF"/>
    <w:rsid w:val="008416CB"/>
    <w:rsid w:val="00841C51"/>
    <w:rsid w:val="00842C3D"/>
    <w:rsid w:val="00842E38"/>
    <w:rsid w:val="008435AA"/>
    <w:rsid w:val="008439AA"/>
    <w:rsid w:val="00843C23"/>
    <w:rsid w:val="00843C3D"/>
    <w:rsid w:val="008447BC"/>
    <w:rsid w:val="00844A31"/>
    <w:rsid w:val="00845453"/>
    <w:rsid w:val="00845657"/>
    <w:rsid w:val="00845708"/>
    <w:rsid w:val="00845BDD"/>
    <w:rsid w:val="008464E7"/>
    <w:rsid w:val="008475D5"/>
    <w:rsid w:val="00847F5D"/>
    <w:rsid w:val="008502AA"/>
    <w:rsid w:val="0085109D"/>
    <w:rsid w:val="00851A73"/>
    <w:rsid w:val="00851D7C"/>
    <w:rsid w:val="00851F46"/>
    <w:rsid w:val="008523FD"/>
    <w:rsid w:val="008528F5"/>
    <w:rsid w:val="00852A8C"/>
    <w:rsid w:val="00852AA3"/>
    <w:rsid w:val="008532EC"/>
    <w:rsid w:val="00854A05"/>
    <w:rsid w:val="00854CEE"/>
    <w:rsid w:val="008563F8"/>
    <w:rsid w:val="0085667E"/>
    <w:rsid w:val="008568A4"/>
    <w:rsid w:val="008571B3"/>
    <w:rsid w:val="00857411"/>
    <w:rsid w:val="008578A0"/>
    <w:rsid w:val="00857A11"/>
    <w:rsid w:val="00857ACA"/>
    <w:rsid w:val="00860084"/>
    <w:rsid w:val="00860178"/>
    <w:rsid w:val="00860908"/>
    <w:rsid w:val="008610F5"/>
    <w:rsid w:val="0086154F"/>
    <w:rsid w:val="00862215"/>
    <w:rsid w:val="0086240E"/>
    <w:rsid w:val="0086261C"/>
    <w:rsid w:val="00862AF1"/>
    <w:rsid w:val="00863C42"/>
    <w:rsid w:val="00863F65"/>
    <w:rsid w:val="00864271"/>
    <w:rsid w:val="00864704"/>
    <w:rsid w:val="00864C7C"/>
    <w:rsid w:val="00865124"/>
    <w:rsid w:val="00866D2E"/>
    <w:rsid w:val="00867745"/>
    <w:rsid w:val="00867F27"/>
    <w:rsid w:val="00867F99"/>
    <w:rsid w:val="008703E3"/>
    <w:rsid w:val="00870DB7"/>
    <w:rsid w:val="008711C4"/>
    <w:rsid w:val="00872091"/>
    <w:rsid w:val="0087244F"/>
    <w:rsid w:val="008728A0"/>
    <w:rsid w:val="0087365F"/>
    <w:rsid w:val="00874162"/>
    <w:rsid w:val="00874489"/>
    <w:rsid w:val="00876667"/>
    <w:rsid w:val="00876B12"/>
    <w:rsid w:val="00876B1B"/>
    <w:rsid w:val="00880027"/>
    <w:rsid w:val="00880323"/>
    <w:rsid w:val="00880E73"/>
    <w:rsid w:val="00881784"/>
    <w:rsid w:val="00881BBE"/>
    <w:rsid w:val="0088272A"/>
    <w:rsid w:val="00883048"/>
    <w:rsid w:val="008833E0"/>
    <w:rsid w:val="00885950"/>
    <w:rsid w:val="00886AD9"/>
    <w:rsid w:val="008872DE"/>
    <w:rsid w:val="00890061"/>
    <w:rsid w:val="00890594"/>
    <w:rsid w:val="008908A1"/>
    <w:rsid w:val="00890AEB"/>
    <w:rsid w:val="0089128C"/>
    <w:rsid w:val="0089173C"/>
    <w:rsid w:val="008920E6"/>
    <w:rsid w:val="008923FC"/>
    <w:rsid w:val="0089281F"/>
    <w:rsid w:val="008928EC"/>
    <w:rsid w:val="00892F9E"/>
    <w:rsid w:val="00893D56"/>
    <w:rsid w:val="00893F0D"/>
    <w:rsid w:val="0089497C"/>
    <w:rsid w:val="008957A9"/>
    <w:rsid w:val="00895FC8"/>
    <w:rsid w:val="0089618D"/>
    <w:rsid w:val="008967F4"/>
    <w:rsid w:val="00896956"/>
    <w:rsid w:val="00896C22"/>
    <w:rsid w:val="008A1F95"/>
    <w:rsid w:val="008A2003"/>
    <w:rsid w:val="008A2438"/>
    <w:rsid w:val="008A317E"/>
    <w:rsid w:val="008A394B"/>
    <w:rsid w:val="008A4258"/>
    <w:rsid w:val="008A5BDA"/>
    <w:rsid w:val="008A6555"/>
    <w:rsid w:val="008A6853"/>
    <w:rsid w:val="008A7AEA"/>
    <w:rsid w:val="008A7FC1"/>
    <w:rsid w:val="008B0227"/>
    <w:rsid w:val="008B0A2D"/>
    <w:rsid w:val="008B0E22"/>
    <w:rsid w:val="008B1184"/>
    <w:rsid w:val="008B1819"/>
    <w:rsid w:val="008B1B3E"/>
    <w:rsid w:val="008B24EF"/>
    <w:rsid w:val="008B2EB0"/>
    <w:rsid w:val="008B2EB7"/>
    <w:rsid w:val="008B4025"/>
    <w:rsid w:val="008B41FA"/>
    <w:rsid w:val="008B5768"/>
    <w:rsid w:val="008B62DC"/>
    <w:rsid w:val="008B6839"/>
    <w:rsid w:val="008B6A7A"/>
    <w:rsid w:val="008B6B6D"/>
    <w:rsid w:val="008B74C0"/>
    <w:rsid w:val="008B796D"/>
    <w:rsid w:val="008B7A4C"/>
    <w:rsid w:val="008C146C"/>
    <w:rsid w:val="008C1B96"/>
    <w:rsid w:val="008C1D3D"/>
    <w:rsid w:val="008C1E9D"/>
    <w:rsid w:val="008C217F"/>
    <w:rsid w:val="008C2820"/>
    <w:rsid w:val="008C2C45"/>
    <w:rsid w:val="008C2DB5"/>
    <w:rsid w:val="008C39BA"/>
    <w:rsid w:val="008C39E7"/>
    <w:rsid w:val="008C3A93"/>
    <w:rsid w:val="008C41CC"/>
    <w:rsid w:val="008C584B"/>
    <w:rsid w:val="008C5C57"/>
    <w:rsid w:val="008C62DE"/>
    <w:rsid w:val="008C66D0"/>
    <w:rsid w:val="008C6ACC"/>
    <w:rsid w:val="008C6E83"/>
    <w:rsid w:val="008C6F11"/>
    <w:rsid w:val="008C7495"/>
    <w:rsid w:val="008C76CE"/>
    <w:rsid w:val="008D01EB"/>
    <w:rsid w:val="008D0DA4"/>
    <w:rsid w:val="008D0DFB"/>
    <w:rsid w:val="008D11CE"/>
    <w:rsid w:val="008D19FD"/>
    <w:rsid w:val="008D1C9E"/>
    <w:rsid w:val="008D214E"/>
    <w:rsid w:val="008D2477"/>
    <w:rsid w:val="008D267F"/>
    <w:rsid w:val="008D2DAE"/>
    <w:rsid w:val="008D4151"/>
    <w:rsid w:val="008D4952"/>
    <w:rsid w:val="008D5074"/>
    <w:rsid w:val="008D5584"/>
    <w:rsid w:val="008D69B8"/>
    <w:rsid w:val="008D72F9"/>
    <w:rsid w:val="008D7802"/>
    <w:rsid w:val="008D7851"/>
    <w:rsid w:val="008E01FF"/>
    <w:rsid w:val="008E0315"/>
    <w:rsid w:val="008E035F"/>
    <w:rsid w:val="008E0780"/>
    <w:rsid w:val="008E14DE"/>
    <w:rsid w:val="008E1817"/>
    <w:rsid w:val="008E18C2"/>
    <w:rsid w:val="008E2095"/>
    <w:rsid w:val="008E218D"/>
    <w:rsid w:val="008E346F"/>
    <w:rsid w:val="008E3E14"/>
    <w:rsid w:val="008E43B3"/>
    <w:rsid w:val="008E447D"/>
    <w:rsid w:val="008E5034"/>
    <w:rsid w:val="008E517E"/>
    <w:rsid w:val="008E5248"/>
    <w:rsid w:val="008E5CCA"/>
    <w:rsid w:val="008E6933"/>
    <w:rsid w:val="008E6936"/>
    <w:rsid w:val="008E72E1"/>
    <w:rsid w:val="008F0A74"/>
    <w:rsid w:val="008F276A"/>
    <w:rsid w:val="008F2A2C"/>
    <w:rsid w:val="008F39C6"/>
    <w:rsid w:val="008F4416"/>
    <w:rsid w:val="008F47AA"/>
    <w:rsid w:val="008F48BA"/>
    <w:rsid w:val="008F4A78"/>
    <w:rsid w:val="008F5D03"/>
    <w:rsid w:val="008F6448"/>
    <w:rsid w:val="008F6E80"/>
    <w:rsid w:val="008F7037"/>
    <w:rsid w:val="00900776"/>
    <w:rsid w:val="0090160B"/>
    <w:rsid w:val="009018F7"/>
    <w:rsid w:val="00901B49"/>
    <w:rsid w:val="00902C19"/>
    <w:rsid w:val="00903E2A"/>
    <w:rsid w:val="00905502"/>
    <w:rsid w:val="009058A5"/>
    <w:rsid w:val="00905B7A"/>
    <w:rsid w:val="009060ED"/>
    <w:rsid w:val="0090651D"/>
    <w:rsid w:val="0090682F"/>
    <w:rsid w:val="00906A49"/>
    <w:rsid w:val="0090701C"/>
    <w:rsid w:val="00907678"/>
    <w:rsid w:val="00911218"/>
    <w:rsid w:val="00911405"/>
    <w:rsid w:val="00911DEA"/>
    <w:rsid w:val="009120E0"/>
    <w:rsid w:val="009122A0"/>
    <w:rsid w:val="009130C4"/>
    <w:rsid w:val="009140B9"/>
    <w:rsid w:val="009150AD"/>
    <w:rsid w:val="00915274"/>
    <w:rsid w:val="009152FA"/>
    <w:rsid w:val="00915939"/>
    <w:rsid w:val="00916254"/>
    <w:rsid w:val="00916263"/>
    <w:rsid w:val="009166D6"/>
    <w:rsid w:val="00917288"/>
    <w:rsid w:val="009201D3"/>
    <w:rsid w:val="00920B4E"/>
    <w:rsid w:val="00920DF1"/>
    <w:rsid w:val="0092109B"/>
    <w:rsid w:val="009211EE"/>
    <w:rsid w:val="009212E6"/>
    <w:rsid w:val="00921365"/>
    <w:rsid w:val="009217CA"/>
    <w:rsid w:val="0092249D"/>
    <w:rsid w:val="0092266C"/>
    <w:rsid w:val="00922954"/>
    <w:rsid w:val="00923017"/>
    <w:rsid w:val="00923246"/>
    <w:rsid w:val="009237DE"/>
    <w:rsid w:val="009238FD"/>
    <w:rsid w:val="00923DAD"/>
    <w:rsid w:val="00924A7A"/>
    <w:rsid w:val="00924AAA"/>
    <w:rsid w:val="00924BDF"/>
    <w:rsid w:val="009253E5"/>
    <w:rsid w:val="00926055"/>
    <w:rsid w:val="009274DC"/>
    <w:rsid w:val="0092751C"/>
    <w:rsid w:val="00927CA0"/>
    <w:rsid w:val="0093081B"/>
    <w:rsid w:val="00930FA0"/>
    <w:rsid w:val="00931A48"/>
    <w:rsid w:val="00931BC9"/>
    <w:rsid w:val="00931E7B"/>
    <w:rsid w:val="00931EC0"/>
    <w:rsid w:val="009321E7"/>
    <w:rsid w:val="009325DE"/>
    <w:rsid w:val="0093315D"/>
    <w:rsid w:val="0093328E"/>
    <w:rsid w:val="00933396"/>
    <w:rsid w:val="00933C71"/>
    <w:rsid w:val="009340F0"/>
    <w:rsid w:val="009349F8"/>
    <w:rsid w:val="00934E5E"/>
    <w:rsid w:val="00934FCF"/>
    <w:rsid w:val="00935997"/>
    <w:rsid w:val="00935A69"/>
    <w:rsid w:val="0093604D"/>
    <w:rsid w:val="009360E2"/>
    <w:rsid w:val="00936369"/>
    <w:rsid w:val="009378FF"/>
    <w:rsid w:val="00937947"/>
    <w:rsid w:val="00937A5E"/>
    <w:rsid w:val="0094007E"/>
    <w:rsid w:val="00941167"/>
    <w:rsid w:val="0094175B"/>
    <w:rsid w:val="00942ADD"/>
    <w:rsid w:val="00943702"/>
    <w:rsid w:val="00943754"/>
    <w:rsid w:val="00943A1F"/>
    <w:rsid w:val="0094412D"/>
    <w:rsid w:val="009460B8"/>
    <w:rsid w:val="00946767"/>
    <w:rsid w:val="009478B4"/>
    <w:rsid w:val="009507B5"/>
    <w:rsid w:val="00950814"/>
    <w:rsid w:val="00950E23"/>
    <w:rsid w:val="00951CE4"/>
    <w:rsid w:val="0095219D"/>
    <w:rsid w:val="00952B17"/>
    <w:rsid w:val="00952C77"/>
    <w:rsid w:val="00953618"/>
    <w:rsid w:val="00953CCF"/>
    <w:rsid w:val="0095440D"/>
    <w:rsid w:val="00954A06"/>
    <w:rsid w:val="00954AB1"/>
    <w:rsid w:val="0095503A"/>
    <w:rsid w:val="00955264"/>
    <w:rsid w:val="00955B15"/>
    <w:rsid w:val="00956675"/>
    <w:rsid w:val="00956B3B"/>
    <w:rsid w:val="00957056"/>
    <w:rsid w:val="00957BD6"/>
    <w:rsid w:val="00960044"/>
    <w:rsid w:val="00960A44"/>
    <w:rsid w:val="00960FCC"/>
    <w:rsid w:val="0096123A"/>
    <w:rsid w:val="00961589"/>
    <w:rsid w:val="00961F83"/>
    <w:rsid w:val="00963660"/>
    <w:rsid w:val="00963E03"/>
    <w:rsid w:val="009646FB"/>
    <w:rsid w:val="009650C8"/>
    <w:rsid w:val="00965124"/>
    <w:rsid w:val="00965824"/>
    <w:rsid w:val="00965A2B"/>
    <w:rsid w:val="00965AF7"/>
    <w:rsid w:val="00966F0F"/>
    <w:rsid w:val="00970DA7"/>
    <w:rsid w:val="00971028"/>
    <w:rsid w:val="0097114D"/>
    <w:rsid w:val="00972050"/>
    <w:rsid w:val="0097242C"/>
    <w:rsid w:val="00972843"/>
    <w:rsid w:val="00972903"/>
    <w:rsid w:val="009737BF"/>
    <w:rsid w:val="009749E5"/>
    <w:rsid w:val="00975E91"/>
    <w:rsid w:val="00976100"/>
    <w:rsid w:val="0097642A"/>
    <w:rsid w:val="00976DD2"/>
    <w:rsid w:val="0098054E"/>
    <w:rsid w:val="0098162D"/>
    <w:rsid w:val="00981A32"/>
    <w:rsid w:val="0098231B"/>
    <w:rsid w:val="00982571"/>
    <w:rsid w:val="009826CC"/>
    <w:rsid w:val="009836EA"/>
    <w:rsid w:val="00983F2E"/>
    <w:rsid w:val="00985B5D"/>
    <w:rsid w:val="00986376"/>
    <w:rsid w:val="009864A9"/>
    <w:rsid w:val="00986B18"/>
    <w:rsid w:val="0098710F"/>
    <w:rsid w:val="00987C4F"/>
    <w:rsid w:val="009907D2"/>
    <w:rsid w:val="00990FDF"/>
    <w:rsid w:val="00992CE8"/>
    <w:rsid w:val="00993FB6"/>
    <w:rsid w:val="00994048"/>
    <w:rsid w:val="00994572"/>
    <w:rsid w:val="009947B5"/>
    <w:rsid w:val="0099587B"/>
    <w:rsid w:val="00995D6A"/>
    <w:rsid w:val="00995DF2"/>
    <w:rsid w:val="00996FC5"/>
    <w:rsid w:val="0099737E"/>
    <w:rsid w:val="0099769B"/>
    <w:rsid w:val="00997E77"/>
    <w:rsid w:val="009A0404"/>
    <w:rsid w:val="009A1CB1"/>
    <w:rsid w:val="009A2133"/>
    <w:rsid w:val="009A2217"/>
    <w:rsid w:val="009A221A"/>
    <w:rsid w:val="009A2FF4"/>
    <w:rsid w:val="009A3F8B"/>
    <w:rsid w:val="009A44F9"/>
    <w:rsid w:val="009A4E97"/>
    <w:rsid w:val="009A4F3E"/>
    <w:rsid w:val="009A5246"/>
    <w:rsid w:val="009A526C"/>
    <w:rsid w:val="009A5DBA"/>
    <w:rsid w:val="009A5EFF"/>
    <w:rsid w:val="009A62CB"/>
    <w:rsid w:val="009A66A2"/>
    <w:rsid w:val="009A6D66"/>
    <w:rsid w:val="009A77C9"/>
    <w:rsid w:val="009A7A34"/>
    <w:rsid w:val="009B1316"/>
    <w:rsid w:val="009B315D"/>
    <w:rsid w:val="009B336D"/>
    <w:rsid w:val="009B437E"/>
    <w:rsid w:val="009B479F"/>
    <w:rsid w:val="009B4C4B"/>
    <w:rsid w:val="009B4D35"/>
    <w:rsid w:val="009B4EBF"/>
    <w:rsid w:val="009B5293"/>
    <w:rsid w:val="009B7F88"/>
    <w:rsid w:val="009C3938"/>
    <w:rsid w:val="009C4145"/>
    <w:rsid w:val="009C463D"/>
    <w:rsid w:val="009C5EB6"/>
    <w:rsid w:val="009C5F62"/>
    <w:rsid w:val="009C6517"/>
    <w:rsid w:val="009C6725"/>
    <w:rsid w:val="009C68C5"/>
    <w:rsid w:val="009C7140"/>
    <w:rsid w:val="009D0620"/>
    <w:rsid w:val="009D075E"/>
    <w:rsid w:val="009D18BA"/>
    <w:rsid w:val="009D19AE"/>
    <w:rsid w:val="009D22AF"/>
    <w:rsid w:val="009D262A"/>
    <w:rsid w:val="009D27BF"/>
    <w:rsid w:val="009D3123"/>
    <w:rsid w:val="009D32CD"/>
    <w:rsid w:val="009D4339"/>
    <w:rsid w:val="009D570C"/>
    <w:rsid w:val="009D626F"/>
    <w:rsid w:val="009D6283"/>
    <w:rsid w:val="009D6B48"/>
    <w:rsid w:val="009D73A0"/>
    <w:rsid w:val="009D7FB8"/>
    <w:rsid w:val="009E07AB"/>
    <w:rsid w:val="009E0B87"/>
    <w:rsid w:val="009E1E3A"/>
    <w:rsid w:val="009E237B"/>
    <w:rsid w:val="009E29D5"/>
    <w:rsid w:val="009E3059"/>
    <w:rsid w:val="009E3B6F"/>
    <w:rsid w:val="009E4383"/>
    <w:rsid w:val="009E4986"/>
    <w:rsid w:val="009E4F77"/>
    <w:rsid w:val="009E6DB9"/>
    <w:rsid w:val="009E6E82"/>
    <w:rsid w:val="009E7224"/>
    <w:rsid w:val="009E7E41"/>
    <w:rsid w:val="009F0214"/>
    <w:rsid w:val="009F0F43"/>
    <w:rsid w:val="009F1702"/>
    <w:rsid w:val="009F1F01"/>
    <w:rsid w:val="009F2217"/>
    <w:rsid w:val="009F2658"/>
    <w:rsid w:val="009F386E"/>
    <w:rsid w:val="009F4170"/>
    <w:rsid w:val="009F4EE8"/>
    <w:rsid w:val="009F51C9"/>
    <w:rsid w:val="009F5365"/>
    <w:rsid w:val="009F5B96"/>
    <w:rsid w:val="009F65E5"/>
    <w:rsid w:val="009F781A"/>
    <w:rsid w:val="00A02160"/>
    <w:rsid w:val="00A02662"/>
    <w:rsid w:val="00A02BCB"/>
    <w:rsid w:val="00A037C0"/>
    <w:rsid w:val="00A03C64"/>
    <w:rsid w:val="00A040FD"/>
    <w:rsid w:val="00A04723"/>
    <w:rsid w:val="00A06A26"/>
    <w:rsid w:val="00A07852"/>
    <w:rsid w:val="00A10022"/>
    <w:rsid w:val="00A10125"/>
    <w:rsid w:val="00A10B86"/>
    <w:rsid w:val="00A10F6B"/>
    <w:rsid w:val="00A110BD"/>
    <w:rsid w:val="00A12030"/>
    <w:rsid w:val="00A137B5"/>
    <w:rsid w:val="00A13BAB"/>
    <w:rsid w:val="00A155B3"/>
    <w:rsid w:val="00A163F7"/>
    <w:rsid w:val="00A1698C"/>
    <w:rsid w:val="00A16E9D"/>
    <w:rsid w:val="00A17093"/>
    <w:rsid w:val="00A17382"/>
    <w:rsid w:val="00A176F6"/>
    <w:rsid w:val="00A17745"/>
    <w:rsid w:val="00A202B5"/>
    <w:rsid w:val="00A20BB5"/>
    <w:rsid w:val="00A214ED"/>
    <w:rsid w:val="00A21DC8"/>
    <w:rsid w:val="00A22985"/>
    <w:rsid w:val="00A22D6F"/>
    <w:rsid w:val="00A2346F"/>
    <w:rsid w:val="00A2347B"/>
    <w:rsid w:val="00A2382F"/>
    <w:rsid w:val="00A24128"/>
    <w:rsid w:val="00A24504"/>
    <w:rsid w:val="00A247B4"/>
    <w:rsid w:val="00A24F50"/>
    <w:rsid w:val="00A25566"/>
    <w:rsid w:val="00A25D9F"/>
    <w:rsid w:val="00A25F2D"/>
    <w:rsid w:val="00A303D5"/>
    <w:rsid w:val="00A307FF"/>
    <w:rsid w:val="00A30FC0"/>
    <w:rsid w:val="00A3225F"/>
    <w:rsid w:val="00A32627"/>
    <w:rsid w:val="00A33120"/>
    <w:rsid w:val="00A33242"/>
    <w:rsid w:val="00A34554"/>
    <w:rsid w:val="00A34658"/>
    <w:rsid w:val="00A346E0"/>
    <w:rsid w:val="00A34D98"/>
    <w:rsid w:val="00A34F48"/>
    <w:rsid w:val="00A36C42"/>
    <w:rsid w:val="00A37629"/>
    <w:rsid w:val="00A406F7"/>
    <w:rsid w:val="00A40EC4"/>
    <w:rsid w:val="00A411DC"/>
    <w:rsid w:val="00A41265"/>
    <w:rsid w:val="00A416E9"/>
    <w:rsid w:val="00A416FE"/>
    <w:rsid w:val="00A4195B"/>
    <w:rsid w:val="00A42875"/>
    <w:rsid w:val="00A42F4A"/>
    <w:rsid w:val="00A4553F"/>
    <w:rsid w:val="00A45963"/>
    <w:rsid w:val="00A46BA0"/>
    <w:rsid w:val="00A471C6"/>
    <w:rsid w:val="00A47D5A"/>
    <w:rsid w:val="00A50306"/>
    <w:rsid w:val="00A524B4"/>
    <w:rsid w:val="00A551D7"/>
    <w:rsid w:val="00A55C1D"/>
    <w:rsid w:val="00A55E7C"/>
    <w:rsid w:val="00A57609"/>
    <w:rsid w:val="00A576EF"/>
    <w:rsid w:val="00A57C66"/>
    <w:rsid w:val="00A6008B"/>
    <w:rsid w:val="00A607E4"/>
    <w:rsid w:val="00A60FBD"/>
    <w:rsid w:val="00A611E0"/>
    <w:rsid w:val="00A614DA"/>
    <w:rsid w:val="00A61809"/>
    <w:rsid w:val="00A620F5"/>
    <w:rsid w:val="00A62DD8"/>
    <w:rsid w:val="00A63932"/>
    <w:rsid w:val="00A65008"/>
    <w:rsid w:val="00A65F97"/>
    <w:rsid w:val="00A665FA"/>
    <w:rsid w:val="00A66E9B"/>
    <w:rsid w:val="00A66EE2"/>
    <w:rsid w:val="00A66F43"/>
    <w:rsid w:val="00A670AA"/>
    <w:rsid w:val="00A67ED1"/>
    <w:rsid w:val="00A70890"/>
    <w:rsid w:val="00A7292C"/>
    <w:rsid w:val="00A7337E"/>
    <w:rsid w:val="00A73EE4"/>
    <w:rsid w:val="00A73FEA"/>
    <w:rsid w:val="00A7438F"/>
    <w:rsid w:val="00A746E5"/>
    <w:rsid w:val="00A74941"/>
    <w:rsid w:val="00A74C1F"/>
    <w:rsid w:val="00A74DD6"/>
    <w:rsid w:val="00A75A7C"/>
    <w:rsid w:val="00A766B3"/>
    <w:rsid w:val="00A7694C"/>
    <w:rsid w:val="00A8096B"/>
    <w:rsid w:val="00A824A5"/>
    <w:rsid w:val="00A828D5"/>
    <w:rsid w:val="00A82C22"/>
    <w:rsid w:val="00A82DB7"/>
    <w:rsid w:val="00A83841"/>
    <w:rsid w:val="00A83E2B"/>
    <w:rsid w:val="00A83ECC"/>
    <w:rsid w:val="00A84414"/>
    <w:rsid w:val="00A8631A"/>
    <w:rsid w:val="00A8631C"/>
    <w:rsid w:val="00A86EAA"/>
    <w:rsid w:val="00A87B0A"/>
    <w:rsid w:val="00A87E5C"/>
    <w:rsid w:val="00A9066E"/>
    <w:rsid w:val="00A90AC9"/>
    <w:rsid w:val="00A90B0D"/>
    <w:rsid w:val="00A91E9E"/>
    <w:rsid w:val="00A929CD"/>
    <w:rsid w:val="00A92D9D"/>
    <w:rsid w:val="00A93910"/>
    <w:rsid w:val="00A941FA"/>
    <w:rsid w:val="00A95C59"/>
    <w:rsid w:val="00A95CD6"/>
    <w:rsid w:val="00A97798"/>
    <w:rsid w:val="00AA0451"/>
    <w:rsid w:val="00AA2BAD"/>
    <w:rsid w:val="00AA2D78"/>
    <w:rsid w:val="00AA4130"/>
    <w:rsid w:val="00AA4B7B"/>
    <w:rsid w:val="00AA4BA3"/>
    <w:rsid w:val="00AA590C"/>
    <w:rsid w:val="00AA5BB2"/>
    <w:rsid w:val="00AA645F"/>
    <w:rsid w:val="00AA6751"/>
    <w:rsid w:val="00AB0254"/>
    <w:rsid w:val="00AB07FB"/>
    <w:rsid w:val="00AB0957"/>
    <w:rsid w:val="00AB0EA3"/>
    <w:rsid w:val="00AB20B9"/>
    <w:rsid w:val="00AB250F"/>
    <w:rsid w:val="00AB292F"/>
    <w:rsid w:val="00AB45F5"/>
    <w:rsid w:val="00AB5443"/>
    <w:rsid w:val="00AB58EB"/>
    <w:rsid w:val="00AB6B5E"/>
    <w:rsid w:val="00AB726A"/>
    <w:rsid w:val="00AB7735"/>
    <w:rsid w:val="00AC0373"/>
    <w:rsid w:val="00AC08BC"/>
    <w:rsid w:val="00AC0FEF"/>
    <w:rsid w:val="00AC199A"/>
    <w:rsid w:val="00AC1BF0"/>
    <w:rsid w:val="00AC21D7"/>
    <w:rsid w:val="00AC2600"/>
    <w:rsid w:val="00AC34B9"/>
    <w:rsid w:val="00AC4170"/>
    <w:rsid w:val="00AC46BB"/>
    <w:rsid w:val="00AC4A74"/>
    <w:rsid w:val="00AC4D27"/>
    <w:rsid w:val="00AC4E35"/>
    <w:rsid w:val="00AC5057"/>
    <w:rsid w:val="00AC516C"/>
    <w:rsid w:val="00AC519C"/>
    <w:rsid w:val="00AC5A0E"/>
    <w:rsid w:val="00AC6D77"/>
    <w:rsid w:val="00AC6F3A"/>
    <w:rsid w:val="00AC7C15"/>
    <w:rsid w:val="00AC7DEE"/>
    <w:rsid w:val="00AC7FF0"/>
    <w:rsid w:val="00AD0C68"/>
    <w:rsid w:val="00AD108D"/>
    <w:rsid w:val="00AD1286"/>
    <w:rsid w:val="00AD3AD6"/>
    <w:rsid w:val="00AD3D88"/>
    <w:rsid w:val="00AD495E"/>
    <w:rsid w:val="00AD50E1"/>
    <w:rsid w:val="00AD6011"/>
    <w:rsid w:val="00AD62C6"/>
    <w:rsid w:val="00AD673E"/>
    <w:rsid w:val="00AD69AC"/>
    <w:rsid w:val="00AD714E"/>
    <w:rsid w:val="00AD754C"/>
    <w:rsid w:val="00AD7ACA"/>
    <w:rsid w:val="00AE0671"/>
    <w:rsid w:val="00AE0E30"/>
    <w:rsid w:val="00AE0E3B"/>
    <w:rsid w:val="00AE0F42"/>
    <w:rsid w:val="00AE1334"/>
    <w:rsid w:val="00AE252D"/>
    <w:rsid w:val="00AE26D3"/>
    <w:rsid w:val="00AE302B"/>
    <w:rsid w:val="00AE3137"/>
    <w:rsid w:val="00AE340E"/>
    <w:rsid w:val="00AE38D5"/>
    <w:rsid w:val="00AE3AD4"/>
    <w:rsid w:val="00AE3C50"/>
    <w:rsid w:val="00AE413E"/>
    <w:rsid w:val="00AE50CE"/>
    <w:rsid w:val="00AE612D"/>
    <w:rsid w:val="00AE61D9"/>
    <w:rsid w:val="00AE629B"/>
    <w:rsid w:val="00AE6BAC"/>
    <w:rsid w:val="00AF06D9"/>
    <w:rsid w:val="00AF0823"/>
    <w:rsid w:val="00AF0BC9"/>
    <w:rsid w:val="00AF0F53"/>
    <w:rsid w:val="00AF1966"/>
    <w:rsid w:val="00AF28BB"/>
    <w:rsid w:val="00AF2A66"/>
    <w:rsid w:val="00AF34B7"/>
    <w:rsid w:val="00AF3730"/>
    <w:rsid w:val="00AF39D7"/>
    <w:rsid w:val="00AF4249"/>
    <w:rsid w:val="00AF4EF1"/>
    <w:rsid w:val="00AF6416"/>
    <w:rsid w:val="00AF67C0"/>
    <w:rsid w:val="00AF7C49"/>
    <w:rsid w:val="00B0031B"/>
    <w:rsid w:val="00B01F05"/>
    <w:rsid w:val="00B02AA6"/>
    <w:rsid w:val="00B02B5D"/>
    <w:rsid w:val="00B04BDE"/>
    <w:rsid w:val="00B05CA0"/>
    <w:rsid w:val="00B067E4"/>
    <w:rsid w:val="00B071CD"/>
    <w:rsid w:val="00B118E1"/>
    <w:rsid w:val="00B11E6E"/>
    <w:rsid w:val="00B11FC6"/>
    <w:rsid w:val="00B13B07"/>
    <w:rsid w:val="00B14010"/>
    <w:rsid w:val="00B14295"/>
    <w:rsid w:val="00B146DA"/>
    <w:rsid w:val="00B14EEE"/>
    <w:rsid w:val="00B15289"/>
    <w:rsid w:val="00B155B8"/>
    <w:rsid w:val="00B15AF4"/>
    <w:rsid w:val="00B15FE9"/>
    <w:rsid w:val="00B161FF"/>
    <w:rsid w:val="00B167F9"/>
    <w:rsid w:val="00B16DCA"/>
    <w:rsid w:val="00B179C4"/>
    <w:rsid w:val="00B17AC3"/>
    <w:rsid w:val="00B20909"/>
    <w:rsid w:val="00B21A8F"/>
    <w:rsid w:val="00B22611"/>
    <w:rsid w:val="00B231FF"/>
    <w:rsid w:val="00B23F25"/>
    <w:rsid w:val="00B249D2"/>
    <w:rsid w:val="00B251A5"/>
    <w:rsid w:val="00B255B7"/>
    <w:rsid w:val="00B26320"/>
    <w:rsid w:val="00B27059"/>
    <w:rsid w:val="00B27B3D"/>
    <w:rsid w:val="00B27C31"/>
    <w:rsid w:val="00B3022B"/>
    <w:rsid w:val="00B303A6"/>
    <w:rsid w:val="00B304D2"/>
    <w:rsid w:val="00B308CE"/>
    <w:rsid w:val="00B31B59"/>
    <w:rsid w:val="00B32446"/>
    <w:rsid w:val="00B32E70"/>
    <w:rsid w:val="00B32FFB"/>
    <w:rsid w:val="00B338F3"/>
    <w:rsid w:val="00B33AF9"/>
    <w:rsid w:val="00B33AFA"/>
    <w:rsid w:val="00B33D15"/>
    <w:rsid w:val="00B33E5A"/>
    <w:rsid w:val="00B33FF7"/>
    <w:rsid w:val="00B356AE"/>
    <w:rsid w:val="00B35FD9"/>
    <w:rsid w:val="00B362FC"/>
    <w:rsid w:val="00B36517"/>
    <w:rsid w:val="00B36C58"/>
    <w:rsid w:val="00B37933"/>
    <w:rsid w:val="00B379B0"/>
    <w:rsid w:val="00B37FF9"/>
    <w:rsid w:val="00B428D2"/>
    <w:rsid w:val="00B42994"/>
    <w:rsid w:val="00B42BCA"/>
    <w:rsid w:val="00B42F86"/>
    <w:rsid w:val="00B43344"/>
    <w:rsid w:val="00B44677"/>
    <w:rsid w:val="00B44AC2"/>
    <w:rsid w:val="00B45CC4"/>
    <w:rsid w:val="00B461C9"/>
    <w:rsid w:val="00B503D7"/>
    <w:rsid w:val="00B5084B"/>
    <w:rsid w:val="00B5152C"/>
    <w:rsid w:val="00B53149"/>
    <w:rsid w:val="00B5383B"/>
    <w:rsid w:val="00B5388F"/>
    <w:rsid w:val="00B53AC3"/>
    <w:rsid w:val="00B53FB2"/>
    <w:rsid w:val="00B54017"/>
    <w:rsid w:val="00B54A95"/>
    <w:rsid w:val="00B5598F"/>
    <w:rsid w:val="00B55C24"/>
    <w:rsid w:val="00B560E6"/>
    <w:rsid w:val="00B56C79"/>
    <w:rsid w:val="00B5793C"/>
    <w:rsid w:val="00B57A35"/>
    <w:rsid w:val="00B57A8E"/>
    <w:rsid w:val="00B602DA"/>
    <w:rsid w:val="00B6206E"/>
    <w:rsid w:val="00B64357"/>
    <w:rsid w:val="00B6550D"/>
    <w:rsid w:val="00B65803"/>
    <w:rsid w:val="00B6597A"/>
    <w:rsid w:val="00B67B78"/>
    <w:rsid w:val="00B67B9A"/>
    <w:rsid w:val="00B70D08"/>
    <w:rsid w:val="00B71334"/>
    <w:rsid w:val="00B7327F"/>
    <w:rsid w:val="00B73548"/>
    <w:rsid w:val="00B74207"/>
    <w:rsid w:val="00B74210"/>
    <w:rsid w:val="00B74478"/>
    <w:rsid w:val="00B75617"/>
    <w:rsid w:val="00B758E1"/>
    <w:rsid w:val="00B75E2A"/>
    <w:rsid w:val="00B76E21"/>
    <w:rsid w:val="00B7732B"/>
    <w:rsid w:val="00B80026"/>
    <w:rsid w:val="00B801A2"/>
    <w:rsid w:val="00B809A7"/>
    <w:rsid w:val="00B80C26"/>
    <w:rsid w:val="00B81CC5"/>
    <w:rsid w:val="00B81E01"/>
    <w:rsid w:val="00B82C5C"/>
    <w:rsid w:val="00B84AD0"/>
    <w:rsid w:val="00B84BF2"/>
    <w:rsid w:val="00B854AE"/>
    <w:rsid w:val="00B87849"/>
    <w:rsid w:val="00B87A84"/>
    <w:rsid w:val="00B90294"/>
    <w:rsid w:val="00B91038"/>
    <w:rsid w:val="00B91321"/>
    <w:rsid w:val="00B91BD2"/>
    <w:rsid w:val="00B91C4D"/>
    <w:rsid w:val="00B92851"/>
    <w:rsid w:val="00B93EF9"/>
    <w:rsid w:val="00B94D2B"/>
    <w:rsid w:val="00B94E7F"/>
    <w:rsid w:val="00B955BE"/>
    <w:rsid w:val="00B95F22"/>
    <w:rsid w:val="00B9688E"/>
    <w:rsid w:val="00BA0C33"/>
    <w:rsid w:val="00BA48E1"/>
    <w:rsid w:val="00BA4AAE"/>
    <w:rsid w:val="00BA5850"/>
    <w:rsid w:val="00BA7215"/>
    <w:rsid w:val="00BA796A"/>
    <w:rsid w:val="00BA7D5E"/>
    <w:rsid w:val="00BB0D03"/>
    <w:rsid w:val="00BB165B"/>
    <w:rsid w:val="00BB2857"/>
    <w:rsid w:val="00BB2D14"/>
    <w:rsid w:val="00BB33FB"/>
    <w:rsid w:val="00BB356F"/>
    <w:rsid w:val="00BB36EA"/>
    <w:rsid w:val="00BB37FE"/>
    <w:rsid w:val="00BB3E7C"/>
    <w:rsid w:val="00BB43BC"/>
    <w:rsid w:val="00BB4A44"/>
    <w:rsid w:val="00BB4CDC"/>
    <w:rsid w:val="00BB57C1"/>
    <w:rsid w:val="00BB5AA3"/>
    <w:rsid w:val="00BB6AFD"/>
    <w:rsid w:val="00BB6D60"/>
    <w:rsid w:val="00BB7C05"/>
    <w:rsid w:val="00BB7F52"/>
    <w:rsid w:val="00BB7F84"/>
    <w:rsid w:val="00BC08AD"/>
    <w:rsid w:val="00BC2558"/>
    <w:rsid w:val="00BC34D9"/>
    <w:rsid w:val="00BC39E7"/>
    <w:rsid w:val="00BC4851"/>
    <w:rsid w:val="00BC4D8A"/>
    <w:rsid w:val="00BC5B5B"/>
    <w:rsid w:val="00BC5FC3"/>
    <w:rsid w:val="00BC72C5"/>
    <w:rsid w:val="00BC7BE7"/>
    <w:rsid w:val="00BD0227"/>
    <w:rsid w:val="00BD02F5"/>
    <w:rsid w:val="00BD1F3A"/>
    <w:rsid w:val="00BD21EA"/>
    <w:rsid w:val="00BD23E2"/>
    <w:rsid w:val="00BD2605"/>
    <w:rsid w:val="00BD27A9"/>
    <w:rsid w:val="00BD2C02"/>
    <w:rsid w:val="00BD3B5C"/>
    <w:rsid w:val="00BD4F0E"/>
    <w:rsid w:val="00BD5939"/>
    <w:rsid w:val="00BD670D"/>
    <w:rsid w:val="00BD67D9"/>
    <w:rsid w:val="00BD6925"/>
    <w:rsid w:val="00BD6994"/>
    <w:rsid w:val="00BD74AF"/>
    <w:rsid w:val="00BD7B2C"/>
    <w:rsid w:val="00BD7FDD"/>
    <w:rsid w:val="00BE0F30"/>
    <w:rsid w:val="00BE11DA"/>
    <w:rsid w:val="00BE30AA"/>
    <w:rsid w:val="00BE3BD5"/>
    <w:rsid w:val="00BE4097"/>
    <w:rsid w:val="00BE48D7"/>
    <w:rsid w:val="00BE563C"/>
    <w:rsid w:val="00BE6265"/>
    <w:rsid w:val="00BE67EA"/>
    <w:rsid w:val="00BE6C36"/>
    <w:rsid w:val="00BE6C8A"/>
    <w:rsid w:val="00BE6EF8"/>
    <w:rsid w:val="00BE7E01"/>
    <w:rsid w:val="00BE7FD4"/>
    <w:rsid w:val="00BE7FF5"/>
    <w:rsid w:val="00BF02D5"/>
    <w:rsid w:val="00BF0986"/>
    <w:rsid w:val="00BF0E5A"/>
    <w:rsid w:val="00BF1A83"/>
    <w:rsid w:val="00BF2135"/>
    <w:rsid w:val="00BF25E9"/>
    <w:rsid w:val="00BF3DBF"/>
    <w:rsid w:val="00BF45BD"/>
    <w:rsid w:val="00BF45EC"/>
    <w:rsid w:val="00BF4941"/>
    <w:rsid w:val="00BF6486"/>
    <w:rsid w:val="00BF7918"/>
    <w:rsid w:val="00BF7B81"/>
    <w:rsid w:val="00C00446"/>
    <w:rsid w:val="00C00DC5"/>
    <w:rsid w:val="00C0150B"/>
    <w:rsid w:val="00C01FBD"/>
    <w:rsid w:val="00C03522"/>
    <w:rsid w:val="00C037A7"/>
    <w:rsid w:val="00C04326"/>
    <w:rsid w:val="00C04D8D"/>
    <w:rsid w:val="00C05317"/>
    <w:rsid w:val="00C0558A"/>
    <w:rsid w:val="00C05E73"/>
    <w:rsid w:val="00C06C55"/>
    <w:rsid w:val="00C06F2F"/>
    <w:rsid w:val="00C06F88"/>
    <w:rsid w:val="00C06F9C"/>
    <w:rsid w:val="00C07461"/>
    <w:rsid w:val="00C07688"/>
    <w:rsid w:val="00C07DC5"/>
    <w:rsid w:val="00C10472"/>
    <w:rsid w:val="00C11356"/>
    <w:rsid w:val="00C11404"/>
    <w:rsid w:val="00C126CE"/>
    <w:rsid w:val="00C12D38"/>
    <w:rsid w:val="00C1342E"/>
    <w:rsid w:val="00C138DA"/>
    <w:rsid w:val="00C13A84"/>
    <w:rsid w:val="00C13D72"/>
    <w:rsid w:val="00C144F4"/>
    <w:rsid w:val="00C14BB1"/>
    <w:rsid w:val="00C17877"/>
    <w:rsid w:val="00C17A13"/>
    <w:rsid w:val="00C17FE9"/>
    <w:rsid w:val="00C2021B"/>
    <w:rsid w:val="00C20325"/>
    <w:rsid w:val="00C20B11"/>
    <w:rsid w:val="00C20FDA"/>
    <w:rsid w:val="00C21340"/>
    <w:rsid w:val="00C21481"/>
    <w:rsid w:val="00C21824"/>
    <w:rsid w:val="00C22A8E"/>
    <w:rsid w:val="00C2339D"/>
    <w:rsid w:val="00C23C4B"/>
    <w:rsid w:val="00C2434C"/>
    <w:rsid w:val="00C244AB"/>
    <w:rsid w:val="00C24B45"/>
    <w:rsid w:val="00C25568"/>
    <w:rsid w:val="00C255A7"/>
    <w:rsid w:val="00C25B87"/>
    <w:rsid w:val="00C265C1"/>
    <w:rsid w:val="00C276DD"/>
    <w:rsid w:val="00C27D56"/>
    <w:rsid w:val="00C30626"/>
    <w:rsid w:val="00C30670"/>
    <w:rsid w:val="00C306E3"/>
    <w:rsid w:val="00C309F0"/>
    <w:rsid w:val="00C317EE"/>
    <w:rsid w:val="00C32433"/>
    <w:rsid w:val="00C32F1F"/>
    <w:rsid w:val="00C32FC5"/>
    <w:rsid w:val="00C3302B"/>
    <w:rsid w:val="00C34BB5"/>
    <w:rsid w:val="00C373A8"/>
    <w:rsid w:val="00C37D4D"/>
    <w:rsid w:val="00C403EF"/>
    <w:rsid w:val="00C4050B"/>
    <w:rsid w:val="00C40AFB"/>
    <w:rsid w:val="00C410D1"/>
    <w:rsid w:val="00C41D17"/>
    <w:rsid w:val="00C42193"/>
    <w:rsid w:val="00C42BAF"/>
    <w:rsid w:val="00C42CC4"/>
    <w:rsid w:val="00C43F75"/>
    <w:rsid w:val="00C445A8"/>
    <w:rsid w:val="00C448B2"/>
    <w:rsid w:val="00C455BB"/>
    <w:rsid w:val="00C45B65"/>
    <w:rsid w:val="00C45C09"/>
    <w:rsid w:val="00C4768F"/>
    <w:rsid w:val="00C476A5"/>
    <w:rsid w:val="00C515CD"/>
    <w:rsid w:val="00C51F57"/>
    <w:rsid w:val="00C525A6"/>
    <w:rsid w:val="00C526DE"/>
    <w:rsid w:val="00C52D4A"/>
    <w:rsid w:val="00C52E27"/>
    <w:rsid w:val="00C52E5E"/>
    <w:rsid w:val="00C537F1"/>
    <w:rsid w:val="00C54098"/>
    <w:rsid w:val="00C5423E"/>
    <w:rsid w:val="00C5547E"/>
    <w:rsid w:val="00C55D61"/>
    <w:rsid w:val="00C56799"/>
    <w:rsid w:val="00C56C7C"/>
    <w:rsid w:val="00C6032C"/>
    <w:rsid w:val="00C6095F"/>
    <w:rsid w:val="00C60C59"/>
    <w:rsid w:val="00C61752"/>
    <w:rsid w:val="00C61960"/>
    <w:rsid w:val="00C61DA6"/>
    <w:rsid w:val="00C62EBB"/>
    <w:rsid w:val="00C63657"/>
    <w:rsid w:val="00C63690"/>
    <w:rsid w:val="00C63FCB"/>
    <w:rsid w:val="00C64E50"/>
    <w:rsid w:val="00C651E1"/>
    <w:rsid w:val="00C651FB"/>
    <w:rsid w:val="00C65D03"/>
    <w:rsid w:val="00C660E0"/>
    <w:rsid w:val="00C6775C"/>
    <w:rsid w:val="00C702DB"/>
    <w:rsid w:val="00C70DEF"/>
    <w:rsid w:val="00C72366"/>
    <w:rsid w:val="00C726B3"/>
    <w:rsid w:val="00C72F65"/>
    <w:rsid w:val="00C73273"/>
    <w:rsid w:val="00C73482"/>
    <w:rsid w:val="00C73D7E"/>
    <w:rsid w:val="00C74B2A"/>
    <w:rsid w:val="00C74F22"/>
    <w:rsid w:val="00C759B8"/>
    <w:rsid w:val="00C75E3A"/>
    <w:rsid w:val="00C76205"/>
    <w:rsid w:val="00C7641D"/>
    <w:rsid w:val="00C77D74"/>
    <w:rsid w:val="00C8009D"/>
    <w:rsid w:val="00C80B4F"/>
    <w:rsid w:val="00C815CE"/>
    <w:rsid w:val="00C8171C"/>
    <w:rsid w:val="00C8178B"/>
    <w:rsid w:val="00C817DE"/>
    <w:rsid w:val="00C823EF"/>
    <w:rsid w:val="00C82A92"/>
    <w:rsid w:val="00C8300D"/>
    <w:rsid w:val="00C83849"/>
    <w:rsid w:val="00C83FBA"/>
    <w:rsid w:val="00C83FF8"/>
    <w:rsid w:val="00C84BBB"/>
    <w:rsid w:val="00C8506C"/>
    <w:rsid w:val="00C8509C"/>
    <w:rsid w:val="00C8515D"/>
    <w:rsid w:val="00C85AE9"/>
    <w:rsid w:val="00C85CEF"/>
    <w:rsid w:val="00C85F4F"/>
    <w:rsid w:val="00C868F6"/>
    <w:rsid w:val="00C90539"/>
    <w:rsid w:val="00C90785"/>
    <w:rsid w:val="00C90EED"/>
    <w:rsid w:val="00C90FA9"/>
    <w:rsid w:val="00C91606"/>
    <w:rsid w:val="00C9243F"/>
    <w:rsid w:val="00C93E18"/>
    <w:rsid w:val="00C9493B"/>
    <w:rsid w:val="00C94F07"/>
    <w:rsid w:val="00C96047"/>
    <w:rsid w:val="00C96369"/>
    <w:rsid w:val="00CA0B71"/>
    <w:rsid w:val="00CA1D0D"/>
    <w:rsid w:val="00CA1E23"/>
    <w:rsid w:val="00CA250D"/>
    <w:rsid w:val="00CA2604"/>
    <w:rsid w:val="00CA2AF3"/>
    <w:rsid w:val="00CA2E82"/>
    <w:rsid w:val="00CA34B6"/>
    <w:rsid w:val="00CA3D80"/>
    <w:rsid w:val="00CA4746"/>
    <w:rsid w:val="00CA4821"/>
    <w:rsid w:val="00CA4962"/>
    <w:rsid w:val="00CA573B"/>
    <w:rsid w:val="00CA6548"/>
    <w:rsid w:val="00CA7252"/>
    <w:rsid w:val="00CA7F4F"/>
    <w:rsid w:val="00CB011C"/>
    <w:rsid w:val="00CB0843"/>
    <w:rsid w:val="00CB098B"/>
    <w:rsid w:val="00CB1B10"/>
    <w:rsid w:val="00CB1B28"/>
    <w:rsid w:val="00CB2004"/>
    <w:rsid w:val="00CB213B"/>
    <w:rsid w:val="00CB26E0"/>
    <w:rsid w:val="00CB5421"/>
    <w:rsid w:val="00CB5C84"/>
    <w:rsid w:val="00CB6701"/>
    <w:rsid w:val="00CC1576"/>
    <w:rsid w:val="00CC276E"/>
    <w:rsid w:val="00CC30D4"/>
    <w:rsid w:val="00CC32FD"/>
    <w:rsid w:val="00CC35C8"/>
    <w:rsid w:val="00CC42CF"/>
    <w:rsid w:val="00CC56BA"/>
    <w:rsid w:val="00CC6A63"/>
    <w:rsid w:val="00CC6C81"/>
    <w:rsid w:val="00CD0603"/>
    <w:rsid w:val="00CD1077"/>
    <w:rsid w:val="00CD2A9B"/>
    <w:rsid w:val="00CD3544"/>
    <w:rsid w:val="00CD357F"/>
    <w:rsid w:val="00CD50F3"/>
    <w:rsid w:val="00CD5E90"/>
    <w:rsid w:val="00CD7DD7"/>
    <w:rsid w:val="00CE037D"/>
    <w:rsid w:val="00CE0CD8"/>
    <w:rsid w:val="00CE1F1A"/>
    <w:rsid w:val="00CE2550"/>
    <w:rsid w:val="00CE35AD"/>
    <w:rsid w:val="00CE3A33"/>
    <w:rsid w:val="00CE47CE"/>
    <w:rsid w:val="00CE4FC7"/>
    <w:rsid w:val="00CE557A"/>
    <w:rsid w:val="00CE5DBA"/>
    <w:rsid w:val="00CE6D9F"/>
    <w:rsid w:val="00CE6F1D"/>
    <w:rsid w:val="00CE705E"/>
    <w:rsid w:val="00CE7298"/>
    <w:rsid w:val="00CE7716"/>
    <w:rsid w:val="00CE7FD3"/>
    <w:rsid w:val="00CF0200"/>
    <w:rsid w:val="00CF0C4E"/>
    <w:rsid w:val="00CF107F"/>
    <w:rsid w:val="00CF1FAB"/>
    <w:rsid w:val="00CF2B65"/>
    <w:rsid w:val="00CF2C36"/>
    <w:rsid w:val="00CF3FA8"/>
    <w:rsid w:val="00CF4340"/>
    <w:rsid w:val="00CF45DA"/>
    <w:rsid w:val="00CF494F"/>
    <w:rsid w:val="00CF53D7"/>
    <w:rsid w:val="00CF6C1D"/>
    <w:rsid w:val="00CF703F"/>
    <w:rsid w:val="00CF7042"/>
    <w:rsid w:val="00CF75AC"/>
    <w:rsid w:val="00D00111"/>
    <w:rsid w:val="00D01124"/>
    <w:rsid w:val="00D027C1"/>
    <w:rsid w:val="00D03046"/>
    <w:rsid w:val="00D037B1"/>
    <w:rsid w:val="00D04059"/>
    <w:rsid w:val="00D04B79"/>
    <w:rsid w:val="00D04E92"/>
    <w:rsid w:val="00D0576A"/>
    <w:rsid w:val="00D05DCF"/>
    <w:rsid w:val="00D06443"/>
    <w:rsid w:val="00D070A6"/>
    <w:rsid w:val="00D07122"/>
    <w:rsid w:val="00D0717C"/>
    <w:rsid w:val="00D0720B"/>
    <w:rsid w:val="00D07797"/>
    <w:rsid w:val="00D117DE"/>
    <w:rsid w:val="00D125F4"/>
    <w:rsid w:val="00D12FFD"/>
    <w:rsid w:val="00D14BE7"/>
    <w:rsid w:val="00D151DC"/>
    <w:rsid w:val="00D15B09"/>
    <w:rsid w:val="00D15CEB"/>
    <w:rsid w:val="00D1610B"/>
    <w:rsid w:val="00D16806"/>
    <w:rsid w:val="00D16D28"/>
    <w:rsid w:val="00D200DC"/>
    <w:rsid w:val="00D2032B"/>
    <w:rsid w:val="00D22058"/>
    <w:rsid w:val="00D229B9"/>
    <w:rsid w:val="00D23359"/>
    <w:rsid w:val="00D233C1"/>
    <w:rsid w:val="00D23520"/>
    <w:rsid w:val="00D23C57"/>
    <w:rsid w:val="00D245AA"/>
    <w:rsid w:val="00D27233"/>
    <w:rsid w:val="00D3032E"/>
    <w:rsid w:val="00D304B6"/>
    <w:rsid w:val="00D30C33"/>
    <w:rsid w:val="00D314F8"/>
    <w:rsid w:val="00D34242"/>
    <w:rsid w:val="00D36347"/>
    <w:rsid w:val="00D3683A"/>
    <w:rsid w:val="00D376C7"/>
    <w:rsid w:val="00D377AD"/>
    <w:rsid w:val="00D402DB"/>
    <w:rsid w:val="00D406DE"/>
    <w:rsid w:val="00D4072B"/>
    <w:rsid w:val="00D41711"/>
    <w:rsid w:val="00D4234D"/>
    <w:rsid w:val="00D4271D"/>
    <w:rsid w:val="00D45C23"/>
    <w:rsid w:val="00D46281"/>
    <w:rsid w:val="00D470DB"/>
    <w:rsid w:val="00D47B8F"/>
    <w:rsid w:val="00D5100C"/>
    <w:rsid w:val="00D51169"/>
    <w:rsid w:val="00D51296"/>
    <w:rsid w:val="00D516A7"/>
    <w:rsid w:val="00D517F9"/>
    <w:rsid w:val="00D5193B"/>
    <w:rsid w:val="00D51F31"/>
    <w:rsid w:val="00D53E46"/>
    <w:rsid w:val="00D53EAF"/>
    <w:rsid w:val="00D54439"/>
    <w:rsid w:val="00D5493E"/>
    <w:rsid w:val="00D54A2E"/>
    <w:rsid w:val="00D54CBA"/>
    <w:rsid w:val="00D5607A"/>
    <w:rsid w:val="00D560BA"/>
    <w:rsid w:val="00D5628B"/>
    <w:rsid w:val="00D571AB"/>
    <w:rsid w:val="00D5775A"/>
    <w:rsid w:val="00D57ED3"/>
    <w:rsid w:val="00D60205"/>
    <w:rsid w:val="00D6114D"/>
    <w:rsid w:val="00D61180"/>
    <w:rsid w:val="00D6177E"/>
    <w:rsid w:val="00D61B93"/>
    <w:rsid w:val="00D67E4C"/>
    <w:rsid w:val="00D7010D"/>
    <w:rsid w:val="00D702AD"/>
    <w:rsid w:val="00D7271A"/>
    <w:rsid w:val="00D74088"/>
    <w:rsid w:val="00D7426B"/>
    <w:rsid w:val="00D74A6F"/>
    <w:rsid w:val="00D75198"/>
    <w:rsid w:val="00D75C56"/>
    <w:rsid w:val="00D76025"/>
    <w:rsid w:val="00D7663F"/>
    <w:rsid w:val="00D80C44"/>
    <w:rsid w:val="00D81F03"/>
    <w:rsid w:val="00D81F7D"/>
    <w:rsid w:val="00D82131"/>
    <w:rsid w:val="00D82293"/>
    <w:rsid w:val="00D8237E"/>
    <w:rsid w:val="00D832D8"/>
    <w:rsid w:val="00D83553"/>
    <w:rsid w:val="00D83F53"/>
    <w:rsid w:val="00D84204"/>
    <w:rsid w:val="00D8426E"/>
    <w:rsid w:val="00D85116"/>
    <w:rsid w:val="00D85473"/>
    <w:rsid w:val="00D8559D"/>
    <w:rsid w:val="00D85985"/>
    <w:rsid w:val="00D86333"/>
    <w:rsid w:val="00D8668D"/>
    <w:rsid w:val="00D869B6"/>
    <w:rsid w:val="00D86EAC"/>
    <w:rsid w:val="00D870C3"/>
    <w:rsid w:val="00D878A8"/>
    <w:rsid w:val="00D90685"/>
    <w:rsid w:val="00D915A8"/>
    <w:rsid w:val="00D91651"/>
    <w:rsid w:val="00D92511"/>
    <w:rsid w:val="00D92719"/>
    <w:rsid w:val="00D9280E"/>
    <w:rsid w:val="00D9300A"/>
    <w:rsid w:val="00D94179"/>
    <w:rsid w:val="00D941F6"/>
    <w:rsid w:val="00D94268"/>
    <w:rsid w:val="00D94F29"/>
    <w:rsid w:val="00D9507D"/>
    <w:rsid w:val="00D95AC1"/>
    <w:rsid w:val="00D95DBC"/>
    <w:rsid w:val="00D95E3F"/>
    <w:rsid w:val="00D97774"/>
    <w:rsid w:val="00D977DB"/>
    <w:rsid w:val="00DA04FC"/>
    <w:rsid w:val="00DA0B9F"/>
    <w:rsid w:val="00DA2BA5"/>
    <w:rsid w:val="00DA5D07"/>
    <w:rsid w:val="00DA6700"/>
    <w:rsid w:val="00DA6FCF"/>
    <w:rsid w:val="00DA6FD1"/>
    <w:rsid w:val="00DA749C"/>
    <w:rsid w:val="00DA7658"/>
    <w:rsid w:val="00DA7D35"/>
    <w:rsid w:val="00DB00D8"/>
    <w:rsid w:val="00DB0BE1"/>
    <w:rsid w:val="00DB1393"/>
    <w:rsid w:val="00DB1BF3"/>
    <w:rsid w:val="00DB25C8"/>
    <w:rsid w:val="00DB2E01"/>
    <w:rsid w:val="00DB3622"/>
    <w:rsid w:val="00DB3C8B"/>
    <w:rsid w:val="00DB41ED"/>
    <w:rsid w:val="00DB4A2E"/>
    <w:rsid w:val="00DB4BEF"/>
    <w:rsid w:val="00DB4FF2"/>
    <w:rsid w:val="00DB59FC"/>
    <w:rsid w:val="00DB5BD3"/>
    <w:rsid w:val="00DB64BC"/>
    <w:rsid w:val="00DB6C53"/>
    <w:rsid w:val="00DB7690"/>
    <w:rsid w:val="00DC08AB"/>
    <w:rsid w:val="00DC0C4F"/>
    <w:rsid w:val="00DC1934"/>
    <w:rsid w:val="00DC2237"/>
    <w:rsid w:val="00DC40A5"/>
    <w:rsid w:val="00DC42F4"/>
    <w:rsid w:val="00DC4387"/>
    <w:rsid w:val="00DC492B"/>
    <w:rsid w:val="00DC6157"/>
    <w:rsid w:val="00DC6869"/>
    <w:rsid w:val="00DC6C1B"/>
    <w:rsid w:val="00DD10D5"/>
    <w:rsid w:val="00DD139F"/>
    <w:rsid w:val="00DD1466"/>
    <w:rsid w:val="00DD1470"/>
    <w:rsid w:val="00DD1E35"/>
    <w:rsid w:val="00DD26E5"/>
    <w:rsid w:val="00DD311A"/>
    <w:rsid w:val="00DD411A"/>
    <w:rsid w:val="00DD41C9"/>
    <w:rsid w:val="00DD4448"/>
    <w:rsid w:val="00DD45E1"/>
    <w:rsid w:val="00DD4DA5"/>
    <w:rsid w:val="00DD50FD"/>
    <w:rsid w:val="00DD5B22"/>
    <w:rsid w:val="00DD6E6C"/>
    <w:rsid w:val="00DD759C"/>
    <w:rsid w:val="00DE102E"/>
    <w:rsid w:val="00DE21EB"/>
    <w:rsid w:val="00DE258E"/>
    <w:rsid w:val="00DE2630"/>
    <w:rsid w:val="00DE2750"/>
    <w:rsid w:val="00DE2AD4"/>
    <w:rsid w:val="00DE2CE2"/>
    <w:rsid w:val="00DE2E71"/>
    <w:rsid w:val="00DE3332"/>
    <w:rsid w:val="00DE37EB"/>
    <w:rsid w:val="00DE39EA"/>
    <w:rsid w:val="00DE3A6D"/>
    <w:rsid w:val="00DE408A"/>
    <w:rsid w:val="00DE45B5"/>
    <w:rsid w:val="00DE487B"/>
    <w:rsid w:val="00DE5260"/>
    <w:rsid w:val="00DE5778"/>
    <w:rsid w:val="00DE5BDC"/>
    <w:rsid w:val="00DE6958"/>
    <w:rsid w:val="00DE73EA"/>
    <w:rsid w:val="00DF05B6"/>
    <w:rsid w:val="00DF06A8"/>
    <w:rsid w:val="00DF1055"/>
    <w:rsid w:val="00DF189C"/>
    <w:rsid w:val="00DF18D2"/>
    <w:rsid w:val="00DF208E"/>
    <w:rsid w:val="00DF2DA7"/>
    <w:rsid w:val="00DF37AD"/>
    <w:rsid w:val="00DF3855"/>
    <w:rsid w:val="00DF3D68"/>
    <w:rsid w:val="00DF46C2"/>
    <w:rsid w:val="00DF46EB"/>
    <w:rsid w:val="00DF58DF"/>
    <w:rsid w:val="00DF6F1B"/>
    <w:rsid w:val="00E00A49"/>
    <w:rsid w:val="00E00D03"/>
    <w:rsid w:val="00E02453"/>
    <w:rsid w:val="00E02AA9"/>
    <w:rsid w:val="00E0324A"/>
    <w:rsid w:val="00E0473A"/>
    <w:rsid w:val="00E04DB7"/>
    <w:rsid w:val="00E04E4A"/>
    <w:rsid w:val="00E060F5"/>
    <w:rsid w:val="00E06B56"/>
    <w:rsid w:val="00E07B9C"/>
    <w:rsid w:val="00E07D26"/>
    <w:rsid w:val="00E101EE"/>
    <w:rsid w:val="00E10E73"/>
    <w:rsid w:val="00E111E6"/>
    <w:rsid w:val="00E115C2"/>
    <w:rsid w:val="00E116FA"/>
    <w:rsid w:val="00E11F68"/>
    <w:rsid w:val="00E12632"/>
    <w:rsid w:val="00E127A3"/>
    <w:rsid w:val="00E12E25"/>
    <w:rsid w:val="00E136CB"/>
    <w:rsid w:val="00E13A87"/>
    <w:rsid w:val="00E13E83"/>
    <w:rsid w:val="00E148C6"/>
    <w:rsid w:val="00E15174"/>
    <w:rsid w:val="00E15624"/>
    <w:rsid w:val="00E156A0"/>
    <w:rsid w:val="00E17AEA"/>
    <w:rsid w:val="00E201E6"/>
    <w:rsid w:val="00E206B5"/>
    <w:rsid w:val="00E2179C"/>
    <w:rsid w:val="00E21E7B"/>
    <w:rsid w:val="00E21E80"/>
    <w:rsid w:val="00E22405"/>
    <w:rsid w:val="00E225D5"/>
    <w:rsid w:val="00E2317D"/>
    <w:rsid w:val="00E23EB8"/>
    <w:rsid w:val="00E24778"/>
    <w:rsid w:val="00E24B83"/>
    <w:rsid w:val="00E25A55"/>
    <w:rsid w:val="00E2697E"/>
    <w:rsid w:val="00E2702E"/>
    <w:rsid w:val="00E273BC"/>
    <w:rsid w:val="00E276D2"/>
    <w:rsid w:val="00E27B68"/>
    <w:rsid w:val="00E27F27"/>
    <w:rsid w:val="00E31296"/>
    <w:rsid w:val="00E3138E"/>
    <w:rsid w:val="00E315CB"/>
    <w:rsid w:val="00E31745"/>
    <w:rsid w:val="00E31AAC"/>
    <w:rsid w:val="00E31B74"/>
    <w:rsid w:val="00E3254D"/>
    <w:rsid w:val="00E32B3A"/>
    <w:rsid w:val="00E32BDC"/>
    <w:rsid w:val="00E33474"/>
    <w:rsid w:val="00E342E7"/>
    <w:rsid w:val="00E3644B"/>
    <w:rsid w:val="00E36A29"/>
    <w:rsid w:val="00E36CBE"/>
    <w:rsid w:val="00E406B6"/>
    <w:rsid w:val="00E40F56"/>
    <w:rsid w:val="00E41168"/>
    <w:rsid w:val="00E41422"/>
    <w:rsid w:val="00E42290"/>
    <w:rsid w:val="00E4421D"/>
    <w:rsid w:val="00E44656"/>
    <w:rsid w:val="00E44C39"/>
    <w:rsid w:val="00E44FD3"/>
    <w:rsid w:val="00E4555C"/>
    <w:rsid w:val="00E45628"/>
    <w:rsid w:val="00E45FF4"/>
    <w:rsid w:val="00E46820"/>
    <w:rsid w:val="00E4720D"/>
    <w:rsid w:val="00E47666"/>
    <w:rsid w:val="00E47CA9"/>
    <w:rsid w:val="00E47F46"/>
    <w:rsid w:val="00E5198F"/>
    <w:rsid w:val="00E52AE1"/>
    <w:rsid w:val="00E53C5F"/>
    <w:rsid w:val="00E53FF9"/>
    <w:rsid w:val="00E545C4"/>
    <w:rsid w:val="00E54736"/>
    <w:rsid w:val="00E54CA3"/>
    <w:rsid w:val="00E550B9"/>
    <w:rsid w:val="00E55769"/>
    <w:rsid w:val="00E55F48"/>
    <w:rsid w:val="00E5608D"/>
    <w:rsid w:val="00E5671F"/>
    <w:rsid w:val="00E5680A"/>
    <w:rsid w:val="00E56C9A"/>
    <w:rsid w:val="00E575C8"/>
    <w:rsid w:val="00E57675"/>
    <w:rsid w:val="00E57E81"/>
    <w:rsid w:val="00E6030A"/>
    <w:rsid w:val="00E605EF"/>
    <w:rsid w:val="00E60A02"/>
    <w:rsid w:val="00E60DB0"/>
    <w:rsid w:val="00E62A2B"/>
    <w:rsid w:val="00E63451"/>
    <w:rsid w:val="00E6393B"/>
    <w:rsid w:val="00E63E39"/>
    <w:rsid w:val="00E6423E"/>
    <w:rsid w:val="00E64372"/>
    <w:rsid w:val="00E6500B"/>
    <w:rsid w:val="00E6596C"/>
    <w:rsid w:val="00E67A7B"/>
    <w:rsid w:val="00E70381"/>
    <w:rsid w:val="00E70B56"/>
    <w:rsid w:val="00E70C79"/>
    <w:rsid w:val="00E71503"/>
    <w:rsid w:val="00E718FF"/>
    <w:rsid w:val="00E71A5E"/>
    <w:rsid w:val="00E71B98"/>
    <w:rsid w:val="00E71BCE"/>
    <w:rsid w:val="00E7215C"/>
    <w:rsid w:val="00E723D6"/>
    <w:rsid w:val="00E725A5"/>
    <w:rsid w:val="00E72BDA"/>
    <w:rsid w:val="00E734FB"/>
    <w:rsid w:val="00E73A89"/>
    <w:rsid w:val="00E73ECF"/>
    <w:rsid w:val="00E74015"/>
    <w:rsid w:val="00E753C3"/>
    <w:rsid w:val="00E75B22"/>
    <w:rsid w:val="00E7717E"/>
    <w:rsid w:val="00E77469"/>
    <w:rsid w:val="00E8000D"/>
    <w:rsid w:val="00E804EA"/>
    <w:rsid w:val="00E80ECE"/>
    <w:rsid w:val="00E81144"/>
    <w:rsid w:val="00E811E4"/>
    <w:rsid w:val="00E82A89"/>
    <w:rsid w:val="00E8361D"/>
    <w:rsid w:val="00E83661"/>
    <w:rsid w:val="00E84BF4"/>
    <w:rsid w:val="00E84DE3"/>
    <w:rsid w:val="00E84EEE"/>
    <w:rsid w:val="00E8667C"/>
    <w:rsid w:val="00E866CC"/>
    <w:rsid w:val="00E86DF9"/>
    <w:rsid w:val="00E872A0"/>
    <w:rsid w:val="00E87565"/>
    <w:rsid w:val="00E9164B"/>
    <w:rsid w:val="00E91A96"/>
    <w:rsid w:val="00E91F2D"/>
    <w:rsid w:val="00E92571"/>
    <w:rsid w:val="00E92CD4"/>
    <w:rsid w:val="00E94399"/>
    <w:rsid w:val="00E94B57"/>
    <w:rsid w:val="00E94BEE"/>
    <w:rsid w:val="00E94CA6"/>
    <w:rsid w:val="00E95A34"/>
    <w:rsid w:val="00E96300"/>
    <w:rsid w:val="00E9677E"/>
    <w:rsid w:val="00E96A1B"/>
    <w:rsid w:val="00E96B60"/>
    <w:rsid w:val="00E9782A"/>
    <w:rsid w:val="00E97E22"/>
    <w:rsid w:val="00EA0B7C"/>
    <w:rsid w:val="00EA0BAD"/>
    <w:rsid w:val="00EA11C0"/>
    <w:rsid w:val="00EA182E"/>
    <w:rsid w:val="00EA33F7"/>
    <w:rsid w:val="00EA3970"/>
    <w:rsid w:val="00EA3C60"/>
    <w:rsid w:val="00EA4D17"/>
    <w:rsid w:val="00EA5FB1"/>
    <w:rsid w:val="00EA70AB"/>
    <w:rsid w:val="00EB0152"/>
    <w:rsid w:val="00EB06C4"/>
    <w:rsid w:val="00EB0E60"/>
    <w:rsid w:val="00EB11FD"/>
    <w:rsid w:val="00EB15B4"/>
    <w:rsid w:val="00EB1BE0"/>
    <w:rsid w:val="00EB3E06"/>
    <w:rsid w:val="00EB4957"/>
    <w:rsid w:val="00EB4B01"/>
    <w:rsid w:val="00EB5201"/>
    <w:rsid w:val="00EB563D"/>
    <w:rsid w:val="00EB614B"/>
    <w:rsid w:val="00EB6C08"/>
    <w:rsid w:val="00EB6CFC"/>
    <w:rsid w:val="00EC0E9F"/>
    <w:rsid w:val="00EC0FF9"/>
    <w:rsid w:val="00EC172D"/>
    <w:rsid w:val="00EC20E7"/>
    <w:rsid w:val="00EC2DBC"/>
    <w:rsid w:val="00EC3410"/>
    <w:rsid w:val="00EC3A03"/>
    <w:rsid w:val="00EC43B9"/>
    <w:rsid w:val="00EC4610"/>
    <w:rsid w:val="00EC5E5D"/>
    <w:rsid w:val="00EC69A2"/>
    <w:rsid w:val="00ED03F8"/>
    <w:rsid w:val="00ED0473"/>
    <w:rsid w:val="00ED08CF"/>
    <w:rsid w:val="00ED174A"/>
    <w:rsid w:val="00ED1824"/>
    <w:rsid w:val="00ED2515"/>
    <w:rsid w:val="00ED3DB9"/>
    <w:rsid w:val="00ED402B"/>
    <w:rsid w:val="00ED45EF"/>
    <w:rsid w:val="00ED4EFC"/>
    <w:rsid w:val="00ED558F"/>
    <w:rsid w:val="00ED5981"/>
    <w:rsid w:val="00ED5CED"/>
    <w:rsid w:val="00ED691F"/>
    <w:rsid w:val="00ED6F13"/>
    <w:rsid w:val="00ED7ADA"/>
    <w:rsid w:val="00ED7B75"/>
    <w:rsid w:val="00ED7D59"/>
    <w:rsid w:val="00ED7D92"/>
    <w:rsid w:val="00ED7F51"/>
    <w:rsid w:val="00EE0B69"/>
    <w:rsid w:val="00EE134B"/>
    <w:rsid w:val="00EE2ADC"/>
    <w:rsid w:val="00EE3130"/>
    <w:rsid w:val="00EE40BE"/>
    <w:rsid w:val="00EE47D2"/>
    <w:rsid w:val="00EE4D47"/>
    <w:rsid w:val="00EE4D53"/>
    <w:rsid w:val="00EE4EA5"/>
    <w:rsid w:val="00EE4FF4"/>
    <w:rsid w:val="00EE6603"/>
    <w:rsid w:val="00EE7131"/>
    <w:rsid w:val="00EE72A7"/>
    <w:rsid w:val="00EE7870"/>
    <w:rsid w:val="00EE7A17"/>
    <w:rsid w:val="00EE7FB9"/>
    <w:rsid w:val="00EF05E0"/>
    <w:rsid w:val="00EF181E"/>
    <w:rsid w:val="00EF25DF"/>
    <w:rsid w:val="00EF2DD8"/>
    <w:rsid w:val="00EF2EE8"/>
    <w:rsid w:val="00EF3BD1"/>
    <w:rsid w:val="00EF3EC6"/>
    <w:rsid w:val="00EF3F80"/>
    <w:rsid w:val="00EF3FC9"/>
    <w:rsid w:val="00EF4FDE"/>
    <w:rsid w:val="00EF53FE"/>
    <w:rsid w:val="00EF5683"/>
    <w:rsid w:val="00EF59CD"/>
    <w:rsid w:val="00EF6F54"/>
    <w:rsid w:val="00EF793F"/>
    <w:rsid w:val="00F00128"/>
    <w:rsid w:val="00F01558"/>
    <w:rsid w:val="00F01D7B"/>
    <w:rsid w:val="00F023EF"/>
    <w:rsid w:val="00F02638"/>
    <w:rsid w:val="00F02931"/>
    <w:rsid w:val="00F02AC5"/>
    <w:rsid w:val="00F0354A"/>
    <w:rsid w:val="00F03F06"/>
    <w:rsid w:val="00F040D8"/>
    <w:rsid w:val="00F04B5D"/>
    <w:rsid w:val="00F05A23"/>
    <w:rsid w:val="00F072AF"/>
    <w:rsid w:val="00F07A97"/>
    <w:rsid w:val="00F10660"/>
    <w:rsid w:val="00F10863"/>
    <w:rsid w:val="00F10DF4"/>
    <w:rsid w:val="00F11EF9"/>
    <w:rsid w:val="00F120E1"/>
    <w:rsid w:val="00F121BD"/>
    <w:rsid w:val="00F12760"/>
    <w:rsid w:val="00F12965"/>
    <w:rsid w:val="00F12D2C"/>
    <w:rsid w:val="00F12E68"/>
    <w:rsid w:val="00F1317E"/>
    <w:rsid w:val="00F13742"/>
    <w:rsid w:val="00F13C8A"/>
    <w:rsid w:val="00F149C5"/>
    <w:rsid w:val="00F14B5B"/>
    <w:rsid w:val="00F14F29"/>
    <w:rsid w:val="00F16673"/>
    <w:rsid w:val="00F1708A"/>
    <w:rsid w:val="00F17467"/>
    <w:rsid w:val="00F20BAA"/>
    <w:rsid w:val="00F22AB3"/>
    <w:rsid w:val="00F22D7D"/>
    <w:rsid w:val="00F23885"/>
    <w:rsid w:val="00F24572"/>
    <w:rsid w:val="00F2503C"/>
    <w:rsid w:val="00F25A6B"/>
    <w:rsid w:val="00F25D10"/>
    <w:rsid w:val="00F25E8C"/>
    <w:rsid w:val="00F25F13"/>
    <w:rsid w:val="00F26796"/>
    <w:rsid w:val="00F26BC5"/>
    <w:rsid w:val="00F27474"/>
    <w:rsid w:val="00F2765A"/>
    <w:rsid w:val="00F278D4"/>
    <w:rsid w:val="00F30264"/>
    <w:rsid w:val="00F308D3"/>
    <w:rsid w:val="00F30CE6"/>
    <w:rsid w:val="00F30E81"/>
    <w:rsid w:val="00F318BE"/>
    <w:rsid w:val="00F33607"/>
    <w:rsid w:val="00F339E9"/>
    <w:rsid w:val="00F33AAC"/>
    <w:rsid w:val="00F34633"/>
    <w:rsid w:val="00F34896"/>
    <w:rsid w:val="00F366F8"/>
    <w:rsid w:val="00F36D0B"/>
    <w:rsid w:val="00F3710E"/>
    <w:rsid w:val="00F37603"/>
    <w:rsid w:val="00F37C6C"/>
    <w:rsid w:val="00F4019D"/>
    <w:rsid w:val="00F41E8D"/>
    <w:rsid w:val="00F4244D"/>
    <w:rsid w:val="00F42896"/>
    <w:rsid w:val="00F432CF"/>
    <w:rsid w:val="00F436F7"/>
    <w:rsid w:val="00F43873"/>
    <w:rsid w:val="00F44229"/>
    <w:rsid w:val="00F446B8"/>
    <w:rsid w:val="00F45033"/>
    <w:rsid w:val="00F4521B"/>
    <w:rsid w:val="00F45CF3"/>
    <w:rsid w:val="00F4600F"/>
    <w:rsid w:val="00F46F56"/>
    <w:rsid w:val="00F47319"/>
    <w:rsid w:val="00F4751E"/>
    <w:rsid w:val="00F47792"/>
    <w:rsid w:val="00F477A7"/>
    <w:rsid w:val="00F47848"/>
    <w:rsid w:val="00F47854"/>
    <w:rsid w:val="00F47977"/>
    <w:rsid w:val="00F50146"/>
    <w:rsid w:val="00F50600"/>
    <w:rsid w:val="00F507D0"/>
    <w:rsid w:val="00F50C31"/>
    <w:rsid w:val="00F50DAA"/>
    <w:rsid w:val="00F5178D"/>
    <w:rsid w:val="00F51A26"/>
    <w:rsid w:val="00F52A81"/>
    <w:rsid w:val="00F53A7F"/>
    <w:rsid w:val="00F5413A"/>
    <w:rsid w:val="00F55212"/>
    <w:rsid w:val="00F55C4F"/>
    <w:rsid w:val="00F55EDF"/>
    <w:rsid w:val="00F560B5"/>
    <w:rsid w:val="00F5626C"/>
    <w:rsid w:val="00F565AD"/>
    <w:rsid w:val="00F5693B"/>
    <w:rsid w:val="00F60526"/>
    <w:rsid w:val="00F6066D"/>
    <w:rsid w:val="00F6093B"/>
    <w:rsid w:val="00F619A5"/>
    <w:rsid w:val="00F61A75"/>
    <w:rsid w:val="00F64E78"/>
    <w:rsid w:val="00F66B7E"/>
    <w:rsid w:val="00F66E27"/>
    <w:rsid w:val="00F6780B"/>
    <w:rsid w:val="00F678AC"/>
    <w:rsid w:val="00F679CB"/>
    <w:rsid w:val="00F679EA"/>
    <w:rsid w:val="00F70521"/>
    <w:rsid w:val="00F70F90"/>
    <w:rsid w:val="00F7160A"/>
    <w:rsid w:val="00F719B8"/>
    <w:rsid w:val="00F72942"/>
    <w:rsid w:val="00F73310"/>
    <w:rsid w:val="00F747B0"/>
    <w:rsid w:val="00F74DFB"/>
    <w:rsid w:val="00F758C6"/>
    <w:rsid w:val="00F80A73"/>
    <w:rsid w:val="00F82082"/>
    <w:rsid w:val="00F82D48"/>
    <w:rsid w:val="00F83B6F"/>
    <w:rsid w:val="00F84052"/>
    <w:rsid w:val="00F84321"/>
    <w:rsid w:val="00F84E35"/>
    <w:rsid w:val="00F84EFA"/>
    <w:rsid w:val="00F8543D"/>
    <w:rsid w:val="00F858C2"/>
    <w:rsid w:val="00F8644F"/>
    <w:rsid w:val="00F86DE1"/>
    <w:rsid w:val="00F87525"/>
    <w:rsid w:val="00F90586"/>
    <w:rsid w:val="00F91179"/>
    <w:rsid w:val="00F91571"/>
    <w:rsid w:val="00F9188A"/>
    <w:rsid w:val="00F91CA4"/>
    <w:rsid w:val="00F926A7"/>
    <w:rsid w:val="00F93102"/>
    <w:rsid w:val="00F9359E"/>
    <w:rsid w:val="00F93717"/>
    <w:rsid w:val="00F93FB1"/>
    <w:rsid w:val="00F9439D"/>
    <w:rsid w:val="00F944DC"/>
    <w:rsid w:val="00F94F24"/>
    <w:rsid w:val="00F95C5B"/>
    <w:rsid w:val="00F95FE1"/>
    <w:rsid w:val="00F96D66"/>
    <w:rsid w:val="00F96F45"/>
    <w:rsid w:val="00FA0842"/>
    <w:rsid w:val="00FA1C22"/>
    <w:rsid w:val="00FA2705"/>
    <w:rsid w:val="00FA2C8A"/>
    <w:rsid w:val="00FA328D"/>
    <w:rsid w:val="00FA48BA"/>
    <w:rsid w:val="00FA4A09"/>
    <w:rsid w:val="00FA5737"/>
    <w:rsid w:val="00FA6A80"/>
    <w:rsid w:val="00FA6C44"/>
    <w:rsid w:val="00FB0704"/>
    <w:rsid w:val="00FB117D"/>
    <w:rsid w:val="00FB15CD"/>
    <w:rsid w:val="00FB1E5D"/>
    <w:rsid w:val="00FB20ED"/>
    <w:rsid w:val="00FB2CD2"/>
    <w:rsid w:val="00FB31D7"/>
    <w:rsid w:val="00FB3799"/>
    <w:rsid w:val="00FB39D6"/>
    <w:rsid w:val="00FB3C27"/>
    <w:rsid w:val="00FB407C"/>
    <w:rsid w:val="00FB47F0"/>
    <w:rsid w:val="00FB4954"/>
    <w:rsid w:val="00FB5049"/>
    <w:rsid w:val="00FB512A"/>
    <w:rsid w:val="00FC117C"/>
    <w:rsid w:val="00FC1392"/>
    <w:rsid w:val="00FC1B74"/>
    <w:rsid w:val="00FC2EC3"/>
    <w:rsid w:val="00FC315C"/>
    <w:rsid w:val="00FC3B92"/>
    <w:rsid w:val="00FC3FAF"/>
    <w:rsid w:val="00FC475E"/>
    <w:rsid w:val="00FC481C"/>
    <w:rsid w:val="00FC4AD5"/>
    <w:rsid w:val="00FC4E3E"/>
    <w:rsid w:val="00FC4EE6"/>
    <w:rsid w:val="00FC5435"/>
    <w:rsid w:val="00FC56D3"/>
    <w:rsid w:val="00FC5AF1"/>
    <w:rsid w:val="00FC65B4"/>
    <w:rsid w:val="00FC65D5"/>
    <w:rsid w:val="00FC6E0C"/>
    <w:rsid w:val="00FC7D75"/>
    <w:rsid w:val="00FD010C"/>
    <w:rsid w:val="00FD08F7"/>
    <w:rsid w:val="00FD1F23"/>
    <w:rsid w:val="00FD2663"/>
    <w:rsid w:val="00FD33F2"/>
    <w:rsid w:val="00FD3ABD"/>
    <w:rsid w:val="00FD401D"/>
    <w:rsid w:val="00FD4B37"/>
    <w:rsid w:val="00FD5556"/>
    <w:rsid w:val="00FD586B"/>
    <w:rsid w:val="00FD7A97"/>
    <w:rsid w:val="00FD7B4C"/>
    <w:rsid w:val="00FE04AC"/>
    <w:rsid w:val="00FE05D7"/>
    <w:rsid w:val="00FE14B6"/>
    <w:rsid w:val="00FE176C"/>
    <w:rsid w:val="00FE1C0C"/>
    <w:rsid w:val="00FE1E74"/>
    <w:rsid w:val="00FE38B7"/>
    <w:rsid w:val="00FE4A0E"/>
    <w:rsid w:val="00FE4AD3"/>
    <w:rsid w:val="00FE53DC"/>
    <w:rsid w:val="00FE5C52"/>
    <w:rsid w:val="00FE5DE6"/>
    <w:rsid w:val="00FE6865"/>
    <w:rsid w:val="00FE6E0D"/>
    <w:rsid w:val="00FF04FE"/>
    <w:rsid w:val="00FF09E6"/>
    <w:rsid w:val="00FF13F1"/>
    <w:rsid w:val="00FF2D2C"/>
    <w:rsid w:val="00FF2E55"/>
    <w:rsid w:val="00FF3969"/>
    <w:rsid w:val="00FF43DF"/>
    <w:rsid w:val="00FF4425"/>
    <w:rsid w:val="00FF6B94"/>
    <w:rsid w:val="00FF6C6D"/>
    <w:rsid w:val="00FF7AAC"/>
    <w:rsid w:val="00FF7D63"/>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semiHidden="0" w:uiPriority="0" w:unhideWhenUsed="0" w:qFormat="1"/>
    <w:lsdException w:name="heading 3" w:locked="0" w:semiHidden="0" w:uiPriority="0" w:unhideWhenUsed="0" w:qFormat="1"/>
    <w:lsdException w:name="heading 4" w:locked="0" w:semiHidden="0" w:uiPriority="0" w:unhideWhenUsed="0" w:qFormat="1"/>
    <w:lsdException w:name="heading 5" w:locked="0" w:semiHidden="0" w:uiPriority="0" w:unhideWhenUsed="0" w:qFormat="1"/>
    <w:lsdException w:name="heading 6" w:locked="0" w:semiHidden="0" w:uiPriority="0" w:unhideWhenUsed="0" w:qFormat="1"/>
    <w:lsdException w:name="heading 7" w:locked="0" w:uiPriority="0" w:qFormat="1"/>
    <w:lsdException w:name="heading 8" w:locked="0" w:uiPriority="0" w:qFormat="1"/>
    <w:lsdException w:name="heading 9" w:locked="0" w:semiHidden="0" w:uiPriority="0" w:unhideWhenUsed="0" w:qFormat="1"/>
    <w:lsdException w:name="toc 1" w:locked="0" w:semiHidden="0" w:uiPriority="0" w:unhideWhenUsed="0"/>
    <w:lsdException w:name="toc 2" w:locked="0" w:semiHidden="0" w:uiPriority="0" w:unhideWhenUsed="0"/>
    <w:lsdException w:name="toc 3" w:locked="0"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footnote text" w:locked="0" w:semiHidden="0" w:uiPriority="0" w:unhideWhenUsed="0"/>
    <w:lsdException w:name="caption" w:locked="0" w:uiPriority="0" w:qFormat="1"/>
    <w:lsdException w:name="Title" w:locked="0" w:semiHidden="0" w:uiPriority="0" w:unhideWhenUsed="0" w:qFormat="1"/>
    <w:lsdException w:name="Default Paragraph Font" w:locked="0" w:semiHidden="0" w:uiPriority="0" w:unhideWhenUsed="0"/>
    <w:lsdException w:name="Subtitle" w:locked="0" w:semiHidden="0" w:uiPriority="0" w:unhideWhenUsed="0" w:qFormat="1"/>
    <w:lsdException w:name="Strong" w:locked="0" w:semiHidden="0" w:uiPriority="0" w:unhideWhenUsed="0" w:qFormat="1"/>
    <w:lsdException w:name="Emphasis" w:locked="0" w:semiHidden="0" w:uiPriority="0" w:unhideWhenUsed="0" w:qFormat="1"/>
    <w:lsdException w:name="Table Grid" w:locked="0"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EA0B7C"/>
    <w:rPr>
      <w:rFonts w:ascii="Arial Narrow" w:hAnsi="Arial Narrow"/>
      <w:sz w:val="23"/>
      <w:szCs w:val="24"/>
    </w:rPr>
  </w:style>
  <w:style w:type="paragraph" w:styleId="Heading1">
    <w:name w:val="heading 1"/>
    <w:basedOn w:val="Normal"/>
    <w:next w:val="Normal"/>
    <w:link w:val="Heading1Char"/>
    <w:uiPriority w:val="99"/>
    <w:qFormat/>
    <w:rsid w:val="00321470"/>
    <w:pPr>
      <w:keepNext/>
      <w:spacing w:before="240"/>
      <w:ind w:left="709" w:hanging="709"/>
      <w:outlineLvl w:val="0"/>
    </w:pPr>
    <w:rPr>
      <w:b/>
      <w:bCs/>
      <w:smallCaps/>
      <w:kern w:val="32"/>
      <w:sz w:val="26"/>
      <w:szCs w:val="27"/>
      <w:lang w:val="en-US" w:eastAsia="en-US"/>
    </w:rPr>
  </w:style>
  <w:style w:type="paragraph" w:styleId="Heading2">
    <w:name w:val="heading 2"/>
    <w:basedOn w:val="Normal"/>
    <w:next w:val="Normal"/>
    <w:link w:val="Heading2Char"/>
    <w:uiPriority w:val="99"/>
    <w:qFormat/>
    <w:rsid w:val="00366465"/>
    <w:pPr>
      <w:keepNext/>
      <w:spacing w:before="120"/>
      <w:outlineLvl w:val="1"/>
    </w:pPr>
    <w:rPr>
      <w:rFonts w:eastAsia="MS Gothic"/>
      <w:b/>
      <w:bCs/>
      <w:iCs/>
      <w:smallCaps/>
      <w:sz w:val="25"/>
      <w:szCs w:val="28"/>
    </w:rPr>
  </w:style>
  <w:style w:type="paragraph" w:styleId="Heading3">
    <w:name w:val="heading 3"/>
    <w:basedOn w:val="Normal"/>
    <w:next w:val="Normal"/>
    <w:link w:val="Heading3Char"/>
    <w:uiPriority w:val="99"/>
    <w:qFormat/>
    <w:rsid w:val="00366465"/>
    <w:pPr>
      <w:keepNext/>
      <w:spacing w:after="120"/>
      <w:jc w:val="both"/>
      <w:outlineLvl w:val="2"/>
    </w:pPr>
    <w:rPr>
      <w:rFonts w:cs="Arial"/>
      <w:b/>
      <w:bCs/>
      <w:szCs w:val="26"/>
      <w:lang w:val="en-US" w:eastAsia="en-US"/>
    </w:rPr>
  </w:style>
  <w:style w:type="paragraph" w:styleId="Heading4">
    <w:name w:val="heading 4"/>
    <w:basedOn w:val="Normal"/>
    <w:next w:val="Normal"/>
    <w:link w:val="Heading4Char"/>
    <w:uiPriority w:val="99"/>
    <w:qFormat/>
    <w:rsid w:val="000B3556"/>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0B3556"/>
    <w:pPr>
      <w:spacing w:before="240" w:after="60"/>
      <w:outlineLvl w:val="4"/>
    </w:pPr>
    <w:rPr>
      <w:b/>
      <w:bCs/>
      <w:i/>
      <w:iCs/>
      <w:sz w:val="26"/>
      <w:szCs w:val="26"/>
    </w:rPr>
  </w:style>
  <w:style w:type="paragraph" w:styleId="Heading6">
    <w:name w:val="heading 6"/>
    <w:basedOn w:val="Normal"/>
    <w:next w:val="Normal"/>
    <w:link w:val="Heading6Char"/>
    <w:uiPriority w:val="99"/>
    <w:qFormat/>
    <w:rsid w:val="000B3556"/>
    <w:pPr>
      <w:spacing w:before="240" w:after="60"/>
      <w:outlineLvl w:val="5"/>
    </w:pPr>
    <w:rPr>
      <w:rFonts w:ascii="Times New Roman" w:hAnsi="Times New Roman"/>
      <w:b/>
      <w:bCs/>
      <w:sz w:val="22"/>
      <w:szCs w:val="22"/>
    </w:rPr>
  </w:style>
  <w:style w:type="paragraph" w:styleId="Heading9">
    <w:name w:val="heading 9"/>
    <w:basedOn w:val="Normal"/>
    <w:next w:val="Normal"/>
    <w:link w:val="Heading9Char"/>
    <w:uiPriority w:val="99"/>
    <w:qFormat/>
    <w:locked/>
    <w:rsid w:val="000541F2"/>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1470"/>
    <w:rPr>
      <w:rFonts w:ascii="Arial Narrow" w:hAnsi="Arial Narrow" w:cs="Times New Roman"/>
      <w:b/>
      <w:smallCaps/>
      <w:kern w:val="32"/>
      <w:sz w:val="27"/>
      <w:lang w:val="en-US" w:eastAsia="en-US"/>
    </w:rPr>
  </w:style>
  <w:style w:type="character" w:customStyle="1" w:styleId="Heading2Char">
    <w:name w:val="Heading 2 Char"/>
    <w:basedOn w:val="DefaultParagraphFont"/>
    <w:link w:val="Heading2"/>
    <w:uiPriority w:val="99"/>
    <w:locked/>
    <w:rsid w:val="00366465"/>
    <w:rPr>
      <w:rFonts w:ascii="Arial Narrow" w:eastAsia="MS Gothic" w:hAnsi="Arial Narrow" w:cs="Times New Roman"/>
      <w:b/>
      <w:smallCaps/>
      <w:sz w:val="28"/>
    </w:rPr>
  </w:style>
  <w:style w:type="character" w:customStyle="1" w:styleId="Heading3Char">
    <w:name w:val="Heading 3 Char"/>
    <w:basedOn w:val="DefaultParagraphFont"/>
    <w:link w:val="Heading3"/>
    <w:uiPriority w:val="99"/>
    <w:semiHidden/>
    <w:locked/>
    <w:rsid w:val="00F5413A"/>
    <w:rPr>
      <w:rFonts w:ascii="Cambria" w:hAnsi="Cambria" w:cs="Times New Roman"/>
      <w:b/>
      <w:bCs/>
      <w:sz w:val="26"/>
      <w:szCs w:val="26"/>
    </w:rPr>
  </w:style>
  <w:style w:type="character" w:customStyle="1" w:styleId="Heading4Char">
    <w:name w:val="Heading 4 Char"/>
    <w:basedOn w:val="DefaultParagraphFont"/>
    <w:link w:val="Heading4"/>
    <w:uiPriority w:val="99"/>
    <w:locked/>
    <w:rsid w:val="00321470"/>
    <w:rPr>
      <w:rFonts w:cs="Times New Roman"/>
      <w:b/>
      <w:sz w:val="28"/>
    </w:rPr>
  </w:style>
  <w:style w:type="character" w:customStyle="1" w:styleId="Heading5Char">
    <w:name w:val="Heading 5 Char"/>
    <w:basedOn w:val="DefaultParagraphFont"/>
    <w:link w:val="Heading5"/>
    <w:uiPriority w:val="99"/>
    <w:semiHidden/>
    <w:locked/>
    <w:rsid w:val="00F5413A"/>
    <w:rPr>
      <w:rFonts w:ascii="Calibri" w:hAnsi="Calibri" w:cs="Times New Roman"/>
      <w:b/>
      <w:bCs/>
      <w:i/>
      <w:iCs/>
      <w:sz w:val="26"/>
      <w:szCs w:val="26"/>
    </w:rPr>
  </w:style>
  <w:style w:type="character" w:customStyle="1" w:styleId="Heading6Char">
    <w:name w:val="Heading 6 Char"/>
    <w:basedOn w:val="DefaultParagraphFont"/>
    <w:link w:val="Heading6"/>
    <w:uiPriority w:val="99"/>
    <w:locked/>
    <w:rsid w:val="001307BF"/>
    <w:rPr>
      <w:rFonts w:cs="Times New Roman"/>
      <w:b/>
      <w:bCs/>
      <w:sz w:val="22"/>
      <w:szCs w:val="22"/>
    </w:rPr>
  </w:style>
  <w:style w:type="character" w:customStyle="1" w:styleId="Heading9Char">
    <w:name w:val="Heading 9 Char"/>
    <w:basedOn w:val="DefaultParagraphFont"/>
    <w:link w:val="Heading9"/>
    <w:uiPriority w:val="99"/>
    <w:semiHidden/>
    <w:locked/>
    <w:rsid w:val="000541F2"/>
    <w:rPr>
      <w:rFonts w:ascii="Cambria" w:hAnsi="Cambria" w:cs="Times New Roman"/>
      <w:i/>
      <w:iCs/>
      <w:color w:val="404040"/>
    </w:rPr>
  </w:style>
  <w:style w:type="paragraph" w:styleId="BalloonText">
    <w:name w:val="Balloon Text"/>
    <w:basedOn w:val="Normal"/>
    <w:link w:val="BalloonTextChar"/>
    <w:uiPriority w:val="99"/>
    <w:semiHidden/>
    <w:rsid w:val="000B3556"/>
    <w:rPr>
      <w:rFonts w:ascii="Tahoma" w:hAnsi="Tahoma" w:cs="Tahoma"/>
      <w:sz w:val="16"/>
      <w:szCs w:val="16"/>
    </w:rPr>
  </w:style>
  <w:style w:type="character" w:customStyle="1" w:styleId="BalloonTextChar">
    <w:name w:val="Balloon Text Char"/>
    <w:basedOn w:val="DefaultParagraphFont"/>
    <w:link w:val="BalloonText"/>
    <w:uiPriority w:val="99"/>
    <w:locked/>
    <w:rsid w:val="000B3556"/>
    <w:rPr>
      <w:rFonts w:ascii="Tahoma" w:hAnsi="Tahoma" w:cs="Times New Roman"/>
      <w:sz w:val="16"/>
      <w:lang w:val="en-AU" w:eastAsia="en-AU"/>
    </w:rPr>
  </w:style>
  <w:style w:type="character" w:styleId="Hyperlink">
    <w:name w:val="Hyperlink"/>
    <w:basedOn w:val="DefaultParagraphFont"/>
    <w:uiPriority w:val="99"/>
    <w:rsid w:val="000B3556"/>
    <w:rPr>
      <w:rFonts w:cs="Times New Roman"/>
      <w:color w:val="0000FF"/>
      <w:u w:val="single"/>
    </w:rPr>
  </w:style>
  <w:style w:type="paragraph" w:customStyle="1" w:styleId="A2JBodyText">
    <w:name w:val="A2J Body Text"/>
    <w:link w:val="A2JBodyTextChar"/>
    <w:uiPriority w:val="99"/>
    <w:rsid w:val="000B3556"/>
    <w:pPr>
      <w:widowControl w:val="0"/>
      <w:adjustRightInd w:val="0"/>
      <w:spacing w:line="288" w:lineRule="auto"/>
      <w:jc w:val="both"/>
      <w:textAlignment w:val="baseline"/>
    </w:pPr>
    <w:rPr>
      <w:rFonts w:ascii="Arial" w:hAnsi="Arial"/>
      <w:lang w:eastAsia="en-US"/>
    </w:rPr>
  </w:style>
  <w:style w:type="character" w:customStyle="1" w:styleId="A2JBodyTextChar">
    <w:name w:val="A2J Body Text Char"/>
    <w:link w:val="A2JBodyText"/>
    <w:uiPriority w:val="99"/>
    <w:locked/>
    <w:rsid w:val="000B3556"/>
    <w:rPr>
      <w:rFonts w:ascii="Arial" w:hAnsi="Arial"/>
      <w:sz w:val="22"/>
      <w:lang w:val="en-AU" w:eastAsia="en-US"/>
    </w:rPr>
  </w:style>
  <w:style w:type="paragraph" w:customStyle="1" w:styleId="NormalGaramond">
    <w:name w:val="Normal + Garamond"/>
    <w:basedOn w:val="Normal"/>
    <w:uiPriority w:val="99"/>
    <w:rsid w:val="000B3556"/>
    <w:pPr>
      <w:widowControl w:val="0"/>
      <w:adjustRightInd w:val="0"/>
      <w:spacing w:line="360" w:lineRule="atLeast"/>
      <w:jc w:val="both"/>
      <w:textAlignment w:val="baseline"/>
    </w:pPr>
    <w:rPr>
      <w:rFonts w:ascii="Garamond" w:hAnsi="Garamond"/>
      <w:lang w:eastAsia="en-US"/>
    </w:rPr>
  </w:style>
  <w:style w:type="table" w:styleId="TableGrid">
    <w:name w:val="Table Grid"/>
    <w:basedOn w:val="TableNormal"/>
    <w:uiPriority w:val="99"/>
    <w:rsid w:val="000B355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Justified">
    <w:name w:val="Normal (Justified)"/>
    <w:basedOn w:val="Normal"/>
    <w:link w:val="NormalJustifiedChar"/>
    <w:uiPriority w:val="99"/>
    <w:rsid w:val="000B3556"/>
    <w:pPr>
      <w:jc w:val="both"/>
    </w:pPr>
    <w:rPr>
      <w:rFonts w:ascii="Arial" w:hAnsi="Arial"/>
      <w:kern w:val="28"/>
      <w:sz w:val="20"/>
      <w:szCs w:val="20"/>
      <w:lang w:val="en-US" w:eastAsia="fr-FR"/>
    </w:rPr>
  </w:style>
  <w:style w:type="character" w:customStyle="1" w:styleId="NormalJustifiedChar">
    <w:name w:val="Normal (Justified) Char"/>
    <w:link w:val="NormalJustified"/>
    <w:uiPriority w:val="99"/>
    <w:locked/>
    <w:rsid w:val="000B3556"/>
    <w:rPr>
      <w:rFonts w:ascii="Arial" w:hAnsi="Arial"/>
      <w:kern w:val="28"/>
      <w:lang w:val="en-US" w:eastAsia="fr-FR"/>
    </w:rPr>
  </w:style>
  <w:style w:type="paragraph" w:styleId="FootnoteText">
    <w:name w:val="footnote text"/>
    <w:aliases w:val="Footnote Text Char,Footnote Text Char1 Char,Footnote Text Char Char Char,Footnote Text Char1,Footnote Text Char Char,Footnote Text Char1 Char Char Char Char,Footnote Text Char Char1,single space,Footnote Text Char Char Char1"/>
    <w:basedOn w:val="Normal"/>
    <w:link w:val="FootnoteTextChar2"/>
    <w:uiPriority w:val="99"/>
    <w:rsid w:val="000B3556"/>
    <w:rPr>
      <w:rFonts w:ascii="Verdana" w:hAnsi="Verdana"/>
      <w:sz w:val="20"/>
      <w:szCs w:val="20"/>
      <w:lang w:val="en-US" w:eastAsia="en-US"/>
    </w:rPr>
  </w:style>
  <w:style w:type="character" w:customStyle="1" w:styleId="FootnoteTextChar2">
    <w:name w:val="Footnote Text Char2"/>
    <w:aliases w:val="Footnote Text Char Char2,Footnote Text Char1 Char Char,Footnote Text Char Char Char Char,Footnote Text Char1 Char1,Footnote Text Char Char Char2,Footnote Text Char1 Char Char Char Char Char,Footnote Text Char Char1 Char"/>
    <w:basedOn w:val="DefaultParagraphFont"/>
    <w:link w:val="FootnoteText"/>
    <w:uiPriority w:val="99"/>
    <w:locked/>
    <w:rsid w:val="000B3556"/>
    <w:rPr>
      <w:rFonts w:ascii="Verdana" w:hAnsi="Verdana" w:cs="Times New Roman"/>
      <w:lang w:val="en-US" w:eastAsia="en-US"/>
    </w:rPr>
  </w:style>
  <w:style w:type="character" w:styleId="FootnoteReference">
    <w:name w:val="footnote reference"/>
    <w:aliases w:val="BVI fnr"/>
    <w:basedOn w:val="DefaultParagraphFont"/>
    <w:uiPriority w:val="99"/>
    <w:rsid w:val="000B3556"/>
    <w:rPr>
      <w:rFonts w:cs="Times New Roman"/>
      <w:vertAlign w:val="superscript"/>
    </w:rPr>
  </w:style>
  <w:style w:type="character" w:styleId="CommentReference">
    <w:name w:val="annotation reference"/>
    <w:basedOn w:val="DefaultParagraphFont"/>
    <w:uiPriority w:val="99"/>
    <w:semiHidden/>
    <w:rsid w:val="000B3556"/>
    <w:rPr>
      <w:rFonts w:cs="Times New Roman"/>
      <w:sz w:val="16"/>
    </w:rPr>
  </w:style>
  <w:style w:type="paragraph" w:styleId="CommentText">
    <w:name w:val="annotation text"/>
    <w:basedOn w:val="Normal"/>
    <w:link w:val="CommentTextChar"/>
    <w:uiPriority w:val="99"/>
    <w:semiHidden/>
    <w:rsid w:val="000B3556"/>
    <w:rPr>
      <w:rFonts w:ascii="Verdana" w:hAnsi="Verdana"/>
      <w:sz w:val="20"/>
      <w:szCs w:val="20"/>
    </w:rPr>
  </w:style>
  <w:style w:type="character" w:customStyle="1" w:styleId="CommentTextChar">
    <w:name w:val="Comment Text Char"/>
    <w:basedOn w:val="DefaultParagraphFont"/>
    <w:link w:val="CommentText"/>
    <w:uiPriority w:val="99"/>
    <w:locked/>
    <w:rsid w:val="000B3556"/>
    <w:rPr>
      <w:rFonts w:ascii="Verdana" w:hAnsi="Verdana" w:cs="Times New Roman"/>
      <w:lang w:val="en-AU" w:eastAsia="en-AU"/>
    </w:rPr>
  </w:style>
  <w:style w:type="paragraph" w:styleId="CommentSubject">
    <w:name w:val="annotation subject"/>
    <w:basedOn w:val="CommentText"/>
    <w:next w:val="CommentText"/>
    <w:link w:val="CommentSubjectChar"/>
    <w:uiPriority w:val="99"/>
    <w:semiHidden/>
    <w:rsid w:val="000B3556"/>
    <w:rPr>
      <w:b/>
      <w:bCs/>
    </w:rPr>
  </w:style>
  <w:style w:type="character" w:customStyle="1" w:styleId="CommentSubjectChar">
    <w:name w:val="Comment Subject Char"/>
    <w:basedOn w:val="CommentTextChar"/>
    <w:link w:val="CommentSubject"/>
    <w:uiPriority w:val="99"/>
    <w:locked/>
    <w:rsid w:val="000B3556"/>
    <w:rPr>
      <w:b/>
    </w:rPr>
  </w:style>
  <w:style w:type="paragraph" w:styleId="Header">
    <w:name w:val="header"/>
    <w:basedOn w:val="Normal"/>
    <w:link w:val="HeaderChar"/>
    <w:uiPriority w:val="99"/>
    <w:rsid w:val="000B3556"/>
    <w:pPr>
      <w:tabs>
        <w:tab w:val="center" w:pos="4513"/>
        <w:tab w:val="right" w:pos="9026"/>
      </w:tabs>
    </w:pPr>
    <w:rPr>
      <w:rFonts w:ascii="Verdana" w:hAnsi="Verdana"/>
      <w:sz w:val="24"/>
    </w:rPr>
  </w:style>
  <w:style w:type="character" w:customStyle="1" w:styleId="HeaderChar">
    <w:name w:val="Header Char"/>
    <w:basedOn w:val="DefaultParagraphFont"/>
    <w:link w:val="Header"/>
    <w:uiPriority w:val="99"/>
    <w:locked/>
    <w:rsid w:val="000B3556"/>
    <w:rPr>
      <w:rFonts w:ascii="Verdana" w:hAnsi="Verdana" w:cs="Times New Roman"/>
      <w:sz w:val="24"/>
      <w:lang w:val="en-AU" w:eastAsia="en-AU"/>
    </w:rPr>
  </w:style>
  <w:style w:type="paragraph" w:styleId="Footer">
    <w:name w:val="footer"/>
    <w:basedOn w:val="Normal"/>
    <w:link w:val="FooterChar"/>
    <w:uiPriority w:val="99"/>
    <w:rsid w:val="000B3556"/>
    <w:pPr>
      <w:tabs>
        <w:tab w:val="center" w:pos="4513"/>
        <w:tab w:val="right" w:pos="9026"/>
      </w:tabs>
    </w:pPr>
    <w:rPr>
      <w:rFonts w:ascii="Verdana" w:hAnsi="Verdana"/>
      <w:sz w:val="24"/>
    </w:rPr>
  </w:style>
  <w:style w:type="character" w:customStyle="1" w:styleId="FooterChar">
    <w:name w:val="Footer Char"/>
    <w:basedOn w:val="DefaultParagraphFont"/>
    <w:link w:val="Footer"/>
    <w:uiPriority w:val="99"/>
    <w:locked/>
    <w:rsid w:val="000B3556"/>
    <w:rPr>
      <w:rFonts w:ascii="Verdana" w:hAnsi="Verdana" w:cs="Times New Roman"/>
      <w:sz w:val="24"/>
      <w:lang w:val="en-AU" w:eastAsia="en-AU"/>
    </w:rPr>
  </w:style>
  <w:style w:type="paragraph" w:styleId="PlainText">
    <w:name w:val="Plain Text"/>
    <w:basedOn w:val="Normal"/>
    <w:link w:val="PlainTextChar"/>
    <w:uiPriority w:val="99"/>
    <w:rsid w:val="000B3556"/>
    <w:pPr>
      <w:spacing w:before="100" w:beforeAutospacing="1" w:after="100" w:afterAutospacing="1"/>
    </w:pPr>
    <w:rPr>
      <w:lang w:val="en-US" w:eastAsia="en-US"/>
    </w:rPr>
  </w:style>
  <w:style w:type="character" w:customStyle="1" w:styleId="PlainTextChar">
    <w:name w:val="Plain Text Char"/>
    <w:basedOn w:val="DefaultParagraphFont"/>
    <w:link w:val="PlainText"/>
    <w:uiPriority w:val="99"/>
    <w:semiHidden/>
    <w:locked/>
    <w:rsid w:val="00F5413A"/>
    <w:rPr>
      <w:rFonts w:ascii="Courier New" w:hAnsi="Courier New" w:cs="Courier New"/>
      <w:sz w:val="20"/>
      <w:szCs w:val="20"/>
    </w:rPr>
  </w:style>
  <w:style w:type="paragraph" w:styleId="TOC3">
    <w:name w:val="toc 3"/>
    <w:basedOn w:val="Normal"/>
    <w:next w:val="Normal"/>
    <w:autoRedefine/>
    <w:uiPriority w:val="99"/>
    <w:rsid w:val="000B3556"/>
    <w:pPr>
      <w:ind w:left="480"/>
    </w:pPr>
  </w:style>
  <w:style w:type="paragraph" w:styleId="TOC1">
    <w:name w:val="toc 1"/>
    <w:basedOn w:val="Normal"/>
    <w:next w:val="Normal"/>
    <w:autoRedefine/>
    <w:uiPriority w:val="99"/>
    <w:rsid w:val="00BA0C33"/>
    <w:pPr>
      <w:tabs>
        <w:tab w:val="right" w:leader="dot" w:pos="9072"/>
      </w:tabs>
      <w:ind w:left="1349" w:hanging="1349"/>
    </w:pPr>
  </w:style>
  <w:style w:type="paragraph" w:styleId="TOC2">
    <w:name w:val="toc 2"/>
    <w:basedOn w:val="Normal"/>
    <w:next w:val="Normal"/>
    <w:autoRedefine/>
    <w:uiPriority w:val="99"/>
    <w:rsid w:val="000B3556"/>
    <w:pPr>
      <w:ind w:left="200"/>
    </w:pPr>
  </w:style>
  <w:style w:type="character" w:styleId="FollowedHyperlink">
    <w:name w:val="FollowedHyperlink"/>
    <w:basedOn w:val="DefaultParagraphFont"/>
    <w:uiPriority w:val="99"/>
    <w:rsid w:val="000B3556"/>
    <w:rPr>
      <w:rFonts w:cs="Times New Roman"/>
      <w:color w:val="800080"/>
      <w:u w:val="single"/>
    </w:rPr>
  </w:style>
  <w:style w:type="paragraph" w:styleId="ListParagraph">
    <w:name w:val="List Paragraph"/>
    <w:aliases w:val="Table Bullet"/>
    <w:basedOn w:val="Normal"/>
    <w:link w:val="ListParagraphChar"/>
    <w:uiPriority w:val="99"/>
    <w:qFormat/>
    <w:rsid w:val="00033B83"/>
    <w:pPr>
      <w:ind w:left="720"/>
    </w:pPr>
    <w:rPr>
      <w:szCs w:val="20"/>
    </w:rPr>
  </w:style>
  <w:style w:type="character" w:styleId="PageNumber">
    <w:name w:val="page number"/>
    <w:basedOn w:val="DefaultParagraphFont"/>
    <w:uiPriority w:val="99"/>
    <w:rsid w:val="000B3556"/>
    <w:rPr>
      <w:rFonts w:cs="Times New Roman"/>
    </w:rPr>
  </w:style>
  <w:style w:type="paragraph" w:styleId="List">
    <w:name w:val="List"/>
    <w:basedOn w:val="Normal"/>
    <w:uiPriority w:val="99"/>
    <w:rsid w:val="000B3556"/>
    <w:pPr>
      <w:ind w:left="283" w:hanging="283"/>
    </w:pPr>
  </w:style>
  <w:style w:type="paragraph" w:styleId="List2">
    <w:name w:val="List 2"/>
    <w:basedOn w:val="Normal"/>
    <w:uiPriority w:val="99"/>
    <w:rsid w:val="000B3556"/>
    <w:pPr>
      <w:ind w:left="566" w:hanging="283"/>
    </w:pPr>
  </w:style>
  <w:style w:type="paragraph" w:styleId="ListBullet">
    <w:name w:val="List Bullet"/>
    <w:basedOn w:val="Normal"/>
    <w:uiPriority w:val="99"/>
    <w:rsid w:val="000B3556"/>
    <w:pPr>
      <w:numPr>
        <w:numId w:val="3"/>
      </w:numPr>
    </w:pPr>
  </w:style>
  <w:style w:type="paragraph" w:styleId="ListBullet2">
    <w:name w:val="List Bullet 2"/>
    <w:basedOn w:val="Normal"/>
    <w:uiPriority w:val="99"/>
    <w:rsid w:val="000B3556"/>
    <w:pPr>
      <w:numPr>
        <w:numId w:val="4"/>
      </w:numPr>
    </w:pPr>
  </w:style>
  <w:style w:type="paragraph" w:styleId="BodyText">
    <w:name w:val="Body Text"/>
    <w:basedOn w:val="Normal"/>
    <w:link w:val="BodyTextChar"/>
    <w:uiPriority w:val="99"/>
    <w:rsid w:val="000B3556"/>
    <w:pPr>
      <w:spacing w:after="120"/>
    </w:pPr>
  </w:style>
  <w:style w:type="character" w:customStyle="1" w:styleId="BodyTextChar">
    <w:name w:val="Body Text Char"/>
    <w:basedOn w:val="DefaultParagraphFont"/>
    <w:link w:val="BodyText"/>
    <w:uiPriority w:val="99"/>
    <w:semiHidden/>
    <w:locked/>
    <w:rsid w:val="00F5413A"/>
    <w:rPr>
      <w:rFonts w:ascii="Arial Narrow" w:hAnsi="Arial Narrow" w:cs="Times New Roman"/>
      <w:sz w:val="24"/>
      <w:szCs w:val="24"/>
    </w:rPr>
  </w:style>
  <w:style w:type="paragraph" w:styleId="BodyTextIndent">
    <w:name w:val="Body Text Indent"/>
    <w:basedOn w:val="Normal"/>
    <w:link w:val="BodyTextIndentChar"/>
    <w:uiPriority w:val="99"/>
    <w:rsid w:val="000B3556"/>
    <w:pPr>
      <w:spacing w:after="120"/>
      <w:ind w:left="283"/>
    </w:pPr>
  </w:style>
  <w:style w:type="character" w:customStyle="1" w:styleId="BodyTextIndentChar">
    <w:name w:val="Body Text Indent Char"/>
    <w:basedOn w:val="DefaultParagraphFont"/>
    <w:link w:val="BodyTextIndent"/>
    <w:uiPriority w:val="99"/>
    <w:semiHidden/>
    <w:locked/>
    <w:rsid w:val="00F5413A"/>
    <w:rPr>
      <w:rFonts w:ascii="Arial Narrow" w:hAnsi="Arial Narrow" w:cs="Times New Roman"/>
      <w:sz w:val="24"/>
      <w:szCs w:val="24"/>
    </w:rPr>
  </w:style>
  <w:style w:type="paragraph" w:styleId="BodyTextFirstIndent2">
    <w:name w:val="Body Text First Indent 2"/>
    <w:basedOn w:val="BodyTextIndent"/>
    <w:link w:val="BodyTextFirstIndent2Char"/>
    <w:uiPriority w:val="99"/>
    <w:rsid w:val="000B3556"/>
    <w:pPr>
      <w:ind w:firstLine="210"/>
    </w:pPr>
  </w:style>
  <w:style w:type="character" w:customStyle="1" w:styleId="BodyTextFirstIndent2Char">
    <w:name w:val="Body Text First Indent 2 Char"/>
    <w:basedOn w:val="BodyTextIndentChar"/>
    <w:link w:val="BodyTextFirstIndent2"/>
    <w:uiPriority w:val="99"/>
    <w:semiHidden/>
    <w:locked/>
    <w:rsid w:val="00F5413A"/>
  </w:style>
  <w:style w:type="paragraph" w:customStyle="1" w:styleId="DocumentLabel">
    <w:name w:val="Document Label"/>
    <w:basedOn w:val="Normal"/>
    <w:uiPriority w:val="99"/>
    <w:rsid w:val="000B3556"/>
    <w:pPr>
      <w:keepNext/>
      <w:keepLines/>
      <w:spacing w:before="400" w:after="120" w:line="240" w:lineRule="atLeast"/>
    </w:pPr>
    <w:rPr>
      <w:rFonts w:ascii="Arial Black" w:hAnsi="Arial Black"/>
      <w:spacing w:val="-100"/>
      <w:kern w:val="28"/>
      <w:sz w:val="108"/>
      <w:szCs w:val="20"/>
      <w:lang w:eastAsia="en-US"/>
    </w:rPr>
  </w:style>
  <w:style w:type="paragraph" w:styleId="Revision">
    <w:name w:val="Revision"/>
    <w:hidden/>
    <w:uiPriority w:val="99"/>
    <w:semiHidden/>
    <w:rsid w:val="00926055"/>
    <w:rPr>
      <w:rFonts w:ascii="Verdana" w:hAnsi="Verdana"/>
      <w:sz w:val="20"/>
      <w:szCs w:val="24"/>
    </w:rPr>
  </w:style>
  <w:style w:type="paragraph" w:customStyle="1" w:styleId="CharCharChar">
    <w:name w:val="Char Char Char"/>
    <w:basedOn w:val="Normal"/>
    <w:uiPriority w:val="99"/>
    <w:rsid w:val="00343498"/>
    <w:pPr>
      <w:spacing w:after="160" w:line="240" w:lineRule="exact"/>
    </w:pPr>
    <w:rPr>
      <w:rFonts w:ascii="Tahoma" w:hAnsi="Tahoma"/>
      <w:szCs w:val="20"/>
      <w:lang w:val="en-GB" w:eastAsia="en-US"/>
    </w:rPr>
  </w:style>
  <w:style w:type="character" w:customStyle="1" w:styleId="ListParagraphChar">
    <w:name w:val="List Paragraph Char"/>
    <w:aliases w:val="Table Bullet Char"/>
    <w:link w:val="ListParagraph"/>
    <w:uiPriority w:val="99"/>
    <w:locked/>
    <w:rsid w:val="00033B83"/>
    <w:rPr>
      <w:rFonts w:ascii="Arial Narrow" w:hAnsi="Arial Narrow"/>
      <w:sz w:val="20"/>
    </w:rPr>
  </w:style>
  <w:style w:type="paragraph" w:customStyle="1" w:styleId="Default">
    <w:name w:val="Default"/>
    <w:uiPriority w:val="99"/>
    <w:rsid w:val="00321470"/>
    <w:pPr>
      <w:autoSpaceDE w:val="0"/>
      <w:autoSpaceDN w:val="0"/>
      <w:adjustRightInd w:val="0"/>
    </w:pPr>
    <w:rPr>
      <w:rFonts w:ascii="Arial" w:hAnsi="Arial" w:cs="Arial"/>
      <w:color w:val="000000"/>
      <w:sz w:val="24"/>
      <w:szCs w:val="24"/>
    </w:rPr>
  </w:style>
  <w:style w:type="paragraph" w:customStyle="1" w:styleId="CharCharChar1">
    <w:name w:val="Char Char Char1"/>
    <w:basedOn w:val="Normal"/>
    <w:uiPriority w:val="99"/>
    <w:rsid w:val="00784C2B"/>
    <w:pPr>
      <w:spacing w:after="160" w:line="240" w:lineRule="exact"/>
    </w:pPr>
    <w:rPr>
      <w:rFonts w:ascii="Tahoma" w:hAnsi="Tahoma"/>
      <w:sz w:val="20"/>
      <w:szCs w:val="20"/>
      <w:lang w:val="en-GB" w:eastAsia="en-US"/>
    </w:rPr>
  </w:style>
  <w:style w:type="paragraph" w:styleId="BodyText3">
    <w:name w:val="Body Text 3"/>
    <w:basedOn w:val="Normal"/>
    <w:link w:val="BodyText3Char"/>
    <w:uiPriority w:val="99"/>
    <w:rsid w:val="006B591A"/>
    <w:pPr>
      <w:spacing w:after="120"/>
    </w:pPr>
    <w:rPr>
      <w:sz w:val="16"/>
      <w:szCs w:val="16"/>
    </w:rPr>
  </w:style>
  <w:style w:type="character" w:customStyle="1" w:styleId="BodyText3Char">
    <w:name w:val="Body Text 3 Char"/>
    <w:basedOn w:val="DefaultParagraphFont"/>
    <w:link w:val="BodyText3"/>
    <w:uiPriority w:val="99"/>
    <w:locked/>
    <w:rsid w:val="006B591A"/>
    <w:rPr>
      <w:rFonts w:ascii="Arial Narrow" w:hAnsi="Arial Narrow" w:cs="Times New Roman"/>
      <w:sz w:val="16"/>
    </w:rPr>
  </w:style>
  <w:style w:type="character" w:styleId="SubtleEmphasis">
    <w:name w:val="Subtle Emphasis"/>
    <w:basedOn w:val="DefaultParagraphFont"/>
    <w:uiPriority w:val="99"/>
    <w:qFormat/>
    <w:rsid w:val="000541F2"/>
    <w:rPr>
      <w:rFonts w:cs="Times New Roman"/>
      <w:i/>
      <w:iCs/>
      <w:color w:val="808080"/>
    </w:rPr>
  </w:style>
  <w:style w:type="paragraph" w:customStyle="1" w:styleId="Heading2followon">
    <w:name w:val="Heading 2 follow on"/>
    <w:basedOn w:val="Normal"/>
    <w:uiPriority w:val="99"/>
    <w:rsid w:val="000541F2"/>
    <w:pPr>
      <w:spacing w:before="120" w:after="120"/>
      <w:ind w:left="1134"/>
      <w:jc w:val="both"/>
    </w:pPr>
    <w:rPr>
      <w:rFonts w:ascii="Calibri" w:hAnsi="Calibri"/>
      <w:sz w:val="22"/>
      <w:szCs w:val="18"/>
      <w:lang w:val="en-US"/>
    </w:rPr>
  </w:style>
  <w:style w:type="paragraph" w:customStyle="1" w:styleId="Heading2Bullet">
    <w:name w:val="Heading 2 Bullet"/>
    <w:basedOn w:val="ListParagraph"/>
    <w:uiPriority w:val="99"/>
    <w:rsid w:val="000541F2"/>
    <w:pPr>
      <w:spacing w:before="60" w:after="240"/>
      <w:ind w:left="0"/>
      <w:contextualSpacing/>
      <w:jc w:val="both"/>
    </w:pPr>
    <w:rPr>
      <w:szCs w:val="24"/>
    </w:rPr>
  </w:style>
  <w:style w:type="paragraph" w:customStyle="1" w:styleId="Heading1followon">
    <w:name w:val="Heading 1 follow on"/>
    <w:basedOn w:val="Normal"/>
    <w:uiPriority w:val="99"/>
    <w:rsid w:val="000541F2"/>
    <w:pPr>
      <w:spacing w:before="120" w:after="120"/>
      <w:ind w:left="357"/>
      <w:jc w:val="both"/>
    </w:pPr>
    <w:rPr>
      <w:rFonts w:ascii="Calibri" w:hAnsi="Calibri"/>
      <w:sz w:val="22"/>
      <w:szCs w:val="18"/>
    </w:rPr>
  </w:style>
  <w:style w:type="paragraph" w:customStyle="1" w:styleId="TableHeader">
    <w:name w:val="Table Header"/>
    <w:uiPriority w:val="99"/>
    <w:rsid w:val="000541F2"/>
    <w:pPr>
      <w:shd w:val="clear" w:color="auto" w:fill="36434C"/>
      <w:spacing w:before="20" w:after="20"/>
      <w:jc w:val="center"/>
    </w:pPr>
    <w:rPr>
      <w:rFonts w:ascii="Calibri" w:hAnsi="Calibri"/>
      <w:b/>
      <w:color w:val="FFFFFF"/>
      <w:sz w:val="24"/>
      <w:szCs w:val="28"/>
      <w:lang w:val="en-GB"/>
    </w:rPr>
  </w:style>
  <w:style w:type="paragraph" w:customStyle="1" w:styleId="TableSubHeading">
    <w:name w:val="Table Sub Heading"/>
    <w:uiPriority w:val="99"/>
    <w:rsid w:val="000541F2"/>
    <w:pPr>
      <w:spacing w:before="60" w:after="60"/>
    </w:pPr>
    <w:rPr>
      <w:rFonts w:ascii="Calibri" w:hAnsi="Calibri"/>
      <w:b/>
      <w:color w:val="36434C"/>
      <w:szCs w:val="24"/>
    </w:rPr>
  </w:style>
  <w:style w:type="paragraph" w:customStyle="1" w:styleId="Standard">
    <w:name w:val="Standard"/>
    <w:uiPriority w:val="99"/>
    <w:rsid w:val="000541F2"/>
    <w:pPr>
      <w:widowControl w:val="0"/>
      <w:suppressAutoHyphens/>
      <w:autoSpaceDN w:val="0"/>
      <w:textAlignment w:val="baseline"/>
    </w:pPr>
    <w:rPr>
      <w:rFonts w:ascii="Arial" w:hAnsi="Arial" w:cs="Arial"/>
      <w:kern w:val="3"/>
      <w:sz w:val="24"/>
      <w:szCs w:val="24"/>
      <w:lang w:val="en-GB" w:eastAsia="zh-CN" w:bidi="hi-IN"/>
    </w:rPr>
  </w:style>
  <w:style w:type="paragraph" w:customStyle="1" w:styleId="Heading3bullet">
    <w:name w:val="Heading 3 bullet"/>
    <w:basedOn w:val="Normal"/>
    <w:uiPriority w:val="99"/>
    <w:rsid w:val="000541F2"/>
    <w:pPr>
      <w:numPr>
        <w:numId w:val="7"/>
      </w:numPr>
      <w:spacing w:before="30" w:after="30"/>
      <w:jc w:val="both"/>
    </w:pPr>
    <w:rPr>
      <w:rFonts w:ascii="Calibri" w:hAnsi="Calibri"/>
      <w:sz w:val="22"/>
      <w:szCs w:val="18"/>
    </w:rPr>
  </w:style>
  <w:style w:type="paragraph" w:styleId="TOCHeading">
    <w:name w:val="TOC Heading"/>
    <w:basedOn w:val="Heading1"/>
    <w:next w:val="Normal"/>
    <w:uiPriority w:val="99"/>
    <w:qFormat/>
    <w:rsid w:val="00BB5AA3"/>
    <w:pPr>
      <w:keepLines/>
      <w:spacing w:before="480" w:line="276" w:lineRule="auto"/>
      <w:ind w:left="0" w:firstLine="0"/>
      <w:outlineLvl w:val="9"/>
    </w:pPr>
    <w:rPr>
      <w:rFonts w:ascii="Cambria" w:hAnsi="Cambria"/>
      <w:smallCaps w:val="0"/>
      <w:color w:val="365F91"/>
      <w:kern w:val="0"/>
      <w:sz w:val="28"/>
      <w:szCs w:val="28"/>
    </w:rPr>
  </w:style>
  <w:style w:type="character" w:customStyle="1" w:styleId="apple-style-span">
    <w:name w:val="apple-style-span"/>
    <w:basedOn w:val="DefaultParagraphFont"/>
    <w:uiPriority w:val="99"/>
    <w:rsid w:val="00E71BCE"/>
    <w:rPr>
      <w:rFonts w:cs="Times New Roman"/>
    </w:rPr>
  </w:style>
  <w:style w:type="paragraph" w:styleId="NormalWeb">
    <w:name w:val="Normal (Web)"/>
    <w:basedOn w:val="Normal"/>
    <w:uiPriority w:val="99"/>
    <w:rsid w:val="00F9359E"/>
    <w:pPr>
      <w:spacing w:before="100" w:beforeAutospacing="1" w:after="100" w:afterAutospacing="1"/>
    </w:pPr>
    <w:rPr>
      <w:rFonts w:ascii="Times New Roman" w:hAnsi="Times New Roman"/>
      <w:sz w:val="24"/>
    </w:rPr>
  </w:style>
  <w:style w:type="paragraph" w:styleId="BodyText2">
    <w:name w:val="Body Text 2"/>
    <w:basedOn w:val="Normal"/>
    <w:link w:val="BodyText2Char"/>
    <w:uiPriority w:val="99"/>
    <w:rsid w:val="00215DE0"/>
    <w:pPr>
      <w:spacing w:after="120" w:line="480" w:lineRule="auto"/>
    </w:pPr>
  </w:style>
  <w:style w:type="character" w:customStyle="1" w:styleId="BodyText2Char">
    <w:name w:val="Body Text 2 Char"/>
    <w:basedOn w:val="DefaultParagraphFont"/>
    <w:link w:val="BodyText2"/>
    <w:uiPriority w:val="99"/>
    <w:locked/>
    <w:rsid w:val="00215DE0"/>
    <w:rPr>
      <w:rFonts w:ascii="Arial Narrow" w:hAnsi="Arial Narrow" w:cs="Times New Roman"/>
      <w:sz w:val="24"/>
      <w:szCs w:val="24"/>
    </w:rPr>
  </w:style>
  <w:style w:type="paragraph" w:customStyle="1" w:styleId="TableHeading">
    <w:name w:val="Table Heading"/>
    <w:basedOn w:val="BodyText"/>
    <w:uiPriority w:val="99"/>
    <w:rsid w:val="00215DE0"/>
    <w:pPr>
      <w:spacing w:after="0" w:line="276" w:lineRule="auto"/>
    </w:pPr>
    <w:rPr>
      <w:rFonts w:ascii="Verdana" w:hAnsi="Verdana"/>
      <w:b/>
      <w:sz w:val="18"/>
      <w:lang w:val="en-NZ" w:eastAsia="en-US" w:bidi="ar-DZ"/>
    </w:rPr>
  </w:style>
  <w:style w:type="paragraph" w:styleId="EndnoteText">
    <w:name w:val="endnote text"/>
    <w:basedOn w:val="Normal"/>
    <w:link w:val="EndnoteTextChar"/>
    <w:uiPriority w:val="99"/>
    <w:rsid w:val="000B20FB"/>
    <w:rPr>
      <w:rFonts w:ascii="Arial" w:hAnsi="Arial"/>
      <w:sz w:val="20"/>
      <w:szCs w:val="20"/>
      <w:lang w:eastAsia="en-US"/>
    </w:rPr>
  </w:style>
  <w:style w:type="character" w:customStyle="1" w:styleId="EndnoteTextChar">
    <w:name w:val="Endnote Text Char"/>
    <w:basedOn w:val="DefaultParagraphFont"/>
    <w:link w:val="EndnoteText"/>
    <w:uiPriority w:val="99"/>
    <w:locked/>
    <w:rsid w:val="000B20FB"/>
    <w:rPr>
      <w:rFonts w:ascii="Arial" w:hAnsi="Arial" w:cs="Times New Roman"/>
      <w:lang w:eastAsia="en-US"/>
    </w:rPr>
  </w:style>
  <w:style w:type="character" w:styleId="EndnoteReference">
    <w:name w:val="endnote reference"/>
    <w:basedOn w:val="DefaultParagraphFont"/>
    <w:uiPriority w:val="99"/>
    <w:rsid w:val="000B20FB"/>
    <w:rPr>
      <w:rFonts w:cs="Times New Roman"/>
      <w:vertAlign w:val="superscript"/>
    </w:rPr>
  </w:style>
  <w:style w:type="paragraph" w:styleId="TOC4">
    <w:name w:val="toc 4"/>
    <w:basedOn w:val="Normal"/>
    <w:next w:val="Normal"/>
    <w:autoRedefine/>
    <w:uiPriority w:val="99"/>
    <w:locked/>
    <w:rsid w:val="002719DE"/>
    <w:pPr>
      <w:ind w:left="720"/>
    </w:pPr>
    <w:rPr>
      <w:rFonts w:ascii="Times New Roman" w:hAnsi="Times New Roman"/>
      <w:sz w:val="24"/>
    </w:rPr>
  </w:style>
  <w:style w:type="paragraph" w:styleId="TOC5">
    <w:name w:val="toc 5"/>
    <w:basedOn w:val="Normal"/>
    <w:next w:val="Normal"/>
    <w:autoRedefine/>
    <w:uiPriority w:val="99"/>
    <w:locked/>
    <w:rsid w:val="002719DE"/>
    <w:pPr>
      <w:ind w:left="960"/>
    </w:pPr>
    <w:rPr>
      <w:rFonts w:ascii="Times New Roman" w:hAnsi="Times New Roman"/>
      <w:sz w:val="24"/>
    </w:rPr>
  </w:style>
  <w:style w:type="paragraph" w:styleId="TOC6">
    <w:name w:val="toc 6"/>
    <w:basedOn w:val="Normal"/>
    <w:next w:val="Normal"/>
    <w:autoRedefine/>
    <w:uiPriority w:val="99"/>
    <w:locked/>
    <w:rsid w:val="002719DE"/>
    <w:pPr>
      <w:ind w:left="1200"/>
    </w:pPr>
    <w:rPr>
      <w:rFonts w:ascii="Times New Roman" w:hAnsi="Times New Roman"/>
      <w:sz w:val="24"/>
    </w:rPr>
  </w:style>
  <w:style w:type="paragraph" w:styleId="TOC7">
    <w:name w:val="toc 7"/>
    <w:basedOn w:val="Normal"/>
    <w:next w:val="Normal"/>
    <w:autoRedefine/>
    <w:uiPriority w:val="99"/>
    <w:locked/>
    <w:rsid w:val="002719DE"/>
    <w:pPr>
      <w:ind w:left="1440"/>
    </w:pPr>
    <w:rPr>
      <w:rFonts w:ascii="Times New Roman" w:hAnsi="Times New Roman"/>
      <w:sz w:val="24"/>
    </w:rPr>
  </w:style>
  <w:style w:type="paragraph" w:styleId="TOC8">
    <w:name w:val="toc 8"/>
    <w:basedOn w:val="Normal"/>
    <w:next w:val="Normal"/>
    <w:autoRedefine/>
    <w:uiPriority w:val="99"/>
    <w:locked/>
    <w:rsid w:val="002719DE"/>
    <w:pPr>
      <w:ind w:left="1680"/>
    </w:pPr>
    <w:rPr>
      <w:rFonts w:ascii="Times New Roman" w:hAnsi="Times New Roman"/>
      <w:sz w:val="24"/>
    </w:rPr>
  </w:style>
  <w:style w:type="paragraph" w:styleId="TOC9">
    <w:name w:val="toc 9"/>
    <w:basedOn w:val="Normal"/>
    <w:next w:val="Normal"/>
    <w:autoRedefine/>
    <w:uiPriority w:val="99"/>
    <w:locked/>
    <w:rsid w:val="002719DE"/>
    <w:pPr>
      <w:ind w:left="1920"/>
    </w:pPr>
    <w:rPr>
      <w:rFonts w:ascii="Times New Roman" w:hAnsi="Times New Roman"/>
      <w:sz w:val="24"/>
    </w:rPr>
  </w:style>
  <w:style w:type="table" w:customStyle="1" w:styleId="TableGrid1">
    <w:name w:val="Table Grid1"/>
    <w:uiPriority w:val="99"/>
    <w:rsid w:val="009478B4"/>
    <w:pPr>
      <w:widowControl w:val="0"/>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0C6654"/>
    <w:rPr>
      <w:rFonts w:ascii="Calibri" w:hAnsi="Calibri"/>
      <w:lang w:eastAsia="en-US"/>
    </w:rPr>
  </w:style>
  <w:style w:type="paragraph" w:customStyle="1" w:styleId="BulletPoints">
    <w:name w:val="Bullet Points"/>
    <w:basedOn w:val="Normal"/>
    <w:uiPriority w:val="99"/>
    <w:rsid w:val="00410919"/>
    <w:pPr>
      <w:numPr>
        <w:numId w:val="34"/>
      </w:numPr>
      <w:overflowPunct w:val="0"/>
      <w:autoSpaceDE w:val="0"/>
      <w:autoSpaceDN w:val="0"/>
      <w:adjustRightInd w:val="0"/>
      <w:spacing w:after="240"/>
      <w:jc w:val="both"/>
      <w:textAlignment w:val="baseline"/>
    </w:pPr>
    <w:rPr>
      <w:rFonts w:ascii="Arial" w:hAnsi="Arial"/>
      <w:sz w:val="24"/>
      <w:szCs w:val="20"/>
      <w:lang w:val="en-NZ" w:eastAsia="en-US" w:bidi="ar-DZ"/>
    </w:rPr>
  </w:style>
</w:styles>
</file>

<file path=word/webSettings.xml><?xml version="1.0" encoding="utf-8"?>
<w:webSettings xmlns:r="http://schemas.openxmlformats.org/officeDocument/2006/relationships" xmlns:w="http://schemas.openxmlformats.org/wordprocessingml/2006/main">
  <w:divs>
    <w:div w:id="1348480294">
      <w:marLeft w:val="0"/>
      <w:marRight w:val="0"/>
      <w:marTop w:val="0"/>
      <w:marBottom w:val="0"/>
      <w:divBdr>
        <w:top w:val="none" w:sz="0" w:space="0" w:color="auto"/>
        <w:left w:val="none" w:sz="0" w:space="0" w:color="auto"/>
        <w:bottom w:val="none" w:sz="0" w:space="0" w:color="auto"/>
        <w:right w:val="none" w:sz="0" w:space="0" w:color="auto"/>
      </w:divBdr>
    </w:div>
    <w:div w:id="1348480295">
      <w:marLeft w:val="0"/>
      <w:marRight w:val="0"/>
      <w:marTop w:val="0"/>
      <w:marBottom w:val="0"/>
      <w:divBdr>
        <w:top w:val="none" w:sz="0" w:space="0" w:color="auto"/>
        <w:left w:val="none" w:sz="0" w:space="0" w:color="auto"/>
        <w:bottom w:val="none" w:sz="0" w:space="0" w:color="auto"/>
        <w:right w:val="none" w:sz="0" w:space="0" w:color="auto"/>
      </w:divBdr>
    </w:div>
    <w:div w:id="1348480296">
      <w:marLeft w:val="0"/>
      <w:marRight w:val="0"/>
      <w:marTop w:val="0"/>
      <w:marBottom w:val="0"/>
      <w:divBdr>
        <w:top w:val="none" w:sz="0" w:space="0" w:color="auto"/>
        <w:left w:val="none" w:sz="0" w:space="0" w:color="auto"/>
        <w:bottom w:val="none" w:sz="0" w:space="0" w:color="auto"/>
        <w:right w:val="none" w:sz="0" w:space="0" w:color="auto"/>
      </w:divBdr>
    </w:div>
    <w:div w:id="1348480297">
      <w:marLeft w:val="0"/>
      <w:marRight w:val="0"/>
      <w:marTop w:val="0"/>
      <w:marBottom w:val="0"/>
      <w:divBdr>
        <w:top w:val="none" w:sz="0" w:space="0" w:color="auto"/>
        <w:left w:val="none" w:sz="0" w:space="0" w:color="auto"/>
        <w:bottom w:val="none" w:sz="0" w:space="0" w:color="auto"/>
        <w:right w:val="none" w:sz="0" w:space="0" w:color="auto"/>
      </w:divBdr>
    </w:div>
    <w:div w:id="1348480298">
      <w:marLeft w:val="0"/>
      <w:marRight w:val="0"/>
      <w:marTop w:val="0"/>
      <w:marBottom w:val="0"/>
      <w:divBdr>
        <w:top w:val="none" w:sz="0" w:space="0" w:color="auto"/>
        <w:left w:val="none" w:sz="0" w:space="0" w:color="auto"/>
        <w:bottom w:val="none" w:sz="0" w:space="0" w:color="auto"/>
        <w:right w:val="none" w:sz="0" w:space="0" w:color="auto"/>
      </w:divBdr>
    </w:div>
    <w:div w:id="1348480299">
      <w:marLeft w:val="0"/>
      <w:marRight w:val="0"/>
      <w:marTop w:val="0"/>
      <w:marBottom w:val="0"/>
      <w:divBdr>
        <w:top w:val="none" w:sz="0" w:space="0" w:color="auto"/>
        <w:left w:val="none" w:sz="0" w:space="0" w:color="auto"/>
        <w:bottom w:val="none" w:sz="0" w:space="0" w:color="auto"/>
        <w:right w:val="none" w:sz="0" w:space="0" w:color="auto"/>
      </w:divBdr>
    </w:div>
    <w:div w:id="1348480300">
      <w:marLeft w:val="0"/>
      <w:marRight w:val="0"/>
      <w:marTop w:val="0"/>
      <w:marBottom w:val="0"/>
      <w:divBdr>
        <w:top w:val="none" w:sz="0" w:space="0" w:color="auto"/>
        <w:left w:val="none" w:sz="0" w:space="0" w:color="auto"/>
        <w:bottom w:val="none" w:sz="0" w:space="0" w:color="auto"/>
        <w:right w:val="none" w:sz="0" w:space="0" w:color="auto"/>
      </w:divBdr>
    </w:div>
    <w:div w:id="1348480302">
      <w:marLeft w:val="0"/>
      <w:marRight w:val="0"/>
      <w:marTop w:val="0"/>
      <w:marBottom w:val="0"/>
      <w:divBdr>
        <w:top w:val="none" w:sz="0" w:space="0" w:color="auto"/>
        <w:left w:val="none" w:sz="0" w:space="0" w:color="auto"/>
        <w:bottom w:val="none" w:sz="0" w:space="0" w:color="auto"/>
        <w:right w:val="none" w:sz="0" w:space="0" w:color="auto"/>
      </w:divBdr>
      <w:divsChild>
        <w:div w:id="1348480308">
          <w:marLeft w:val="547"/>
          <w:marRight w:val="0"/>
          <w:marTop w:val="134"/>
          <w:marBottom w:val="0"/>
          <w:divBdr>
            <w:top w:val="none" w:sz="0" w:space="0" w:color="auto"/>
            <w:left w:val="none" w:sz="0" w:space="0" w:color="auto"/>
            <w:bottom w:val="none" w:sz="0" w:space="0" w:color="auto"/>
            <w:right w:val="none" w:sz="0" w:space="0" w:color="auto"/>
          </w:divBdr>
        </w:div>
        <w:div w:id="1348480310">
          <w:marLeft w:val="547"/>
          <w:marRight w:val="0"/>
          <w:marTop w:val="134"/>
          <w:marBottom w:val="0"/>
          <w:divBdr>
            <w:top w:val="none" w:sz="0" w:space="0" w:color="auto"/>
            <w:left w:val="none" w:sz="0" w:space="0" w:color="auto"/>
            <w:bottom w:val="none" w:sz="0" w:space="0" w:color="auto"/>
            <w:right w:val="none" w:sz="0" w:space="0" w:color="auto"/>
          </w:divBdr>
        </w:div>
      </w:divsChild>
    </w:div>
    <w:div w:id="1348480303">
      <w:marLeft w:val="0"/>
      <w:marRight w:val="0"/>
      <w:marTop w:val="0"/>
      <w:marBottom w:val="0"/>
      <w:divBdr>
        <w:top w:val="none" w:sz="0" w:space="0" w:color="auto"/>
        <w:left w:val="none" w:sz="0" w:space="0" w:color="auto"/>
        <w:bottom w:val="none" w:sz="0" w:space="0" w:color="auto"/>
        <w:right w:val="none" w:sz="0" w:space="0" w:color="auto"/>
      </w:divBdr>
    </w:div>
    <w:div w:id="1348480307">
      <w:marLeft w:val="0"/>
      <w:marRight w:val="0"/>
      <w:marTop w:val="0"/>
      <w:marBottom w:val="0"/>
      <w:divBdr>
        <w:top w:val="none" w:sz="0" w:space="0" w:color="auto"/>
        <w:left w:val="none" w:sz="0" w:space="0" w:color="auto"/>
        <w:bottom w:val="none" w:sz="0" w:space="0" w:color="auto"/>
        <w:right w:val="none" w:sz="0" w:space="0" w:color="auto"/>
      </w:divBdr>
    </w:div>
    <w:div w:id="1348480309">
      <w:marLeft w:val="0"/>
      <w:marRight w:val="0"/>
      <w:marTop w:val="0"/>
      <w:marBottom w:val="0"/>
      <w:divBdr>
        <w:top w:val="none" w:sz="0" w:space="0" w:color="auto"/>
        <w:left w:val="none" w:sz="0" w:space="0" w:color="auto"/>
        <w:bottom w:val="none" w:sz="0" w:space="0" w:color="auto"/>
        <w:right w:val="none" w:sz="0" w:space="0" w:color="auto"/>
      </w:divBdr>
    </w:div>
    <w:div w:id="1348480315">
      <w:marLeft w:val="0"/>
      <w:marRight w:val="0"/>
      <w:marTop w:val="0"/>
      <w:marBottom w:val="0"/>
      <w:divBdr>
        <w:top w:val="none" w:sz="0" w:space="0" w:color="auto"/>
        <w:left w:val="none" w:sz="0" w:space="0" w:color="auto"/>
        <w:bottom w:val="none" w:sz="0" w:space="0" w:color="auto"/>
        <w:right w:val="none" w:sz="0" w:space="0" w:color="auto"/>
      </w:divBdr>
      <w:divsChild>
        <w:div w:id="1348480305">
          <w:marLeft w:val="547"/>
          <w:marRight w:val="0"/>
          <w:marTop w:val="134"/>
          <w:marBottom w:val="0"/>
          <w:divBdr>
            <w:top w:val="none" w:sz="0" w:space="0" w:color="auto"/>
            <w:left w:val="none" w:sz="0" w:space="0" w:color="auto"/>
            <w:bottom w:val="none" w:sz="0" w:space="0" w:color="auto"/>
            <w:right w:val="none" w:sz="0" w:space="0" w:color="auto"/>
          </w:divBdr>
        </w:div>
        <w:div w:id="1348480313">
          <w:marLeft w:val="547"/>
          <w:marRight w:val="0"/>
          <w:marTop w:val="134"/>
          <w:marBottom w:val="0"/>
          <w:divBdr>
            <w:top w:val="none" w:sz="0" w:space="0" w:color="auto"/>
            <w:left w:val="none" w:sz="0" w:space="0" w:color="auto"/>
            <w:bottom w:val="none" w:sz="0" w:space="0" w:color="auto"/>
            <w:right w:val="none" w:sz="0" w:space="0" w:color="auto"/>
          </w:divBdr>
        </w:div>
        <w:div w:id="1348480322">
          <w:marLeft w:val="547"/>
          <w:marRight w:val="0"/>
          <w:marTop w:val="134"/>
          <w:marBottom w:val="0"/>
          <w:divBdr>
            <w:top w:val="none" w:sz="0" w:space="0" w:color="auto"/>
            <w:left w:val="none" w:sz="0" w:space="0" w:color="auto"/>
            <w:bottom w:val="none" w:sz="0" w:space="0" w:color="auto"/>
            <w:right w:val="none" w:sz="0" w:space="0" w:color="auto"/>
          </w:divBdr>
        </w:div>
        <w:div w:id="1348480325">
          <w:marLeft w:val="547"/>
          <w:marRight w:val="0"/>
          <w:marTop w:val="134"/>
          <w:marBottom w:val="0"/>
          <w:divBdr>
            <w:top w:val="none" w:sz="0" w:space="0" w:color="auto"/>
            <w:left w:val="none" w:sz="0" w:space="0" w:color="auto"/>
            <w:bottom w:val="none" w:sz="0" w:space="0" w:color="auto"/>
            <w:right w:val="none" w:sz="0" w:space="0" w:color="auto"/>
          </w:divBdr>
        </w:div>
        <w:div w:id="1348480328">
          <w:marLeft w:val="547"/>
          <w:marRight w:val="0"/>
          <w:marTop w:val="134"/>
          <w:marBottom w:val="0"/>
          <w:divBdr>
            <w:top w:val="none" w:sz="0" w:space="0" w:color="auto"/>
            <w:left w:val="none" w:sz="0" w:space="0" w:color="auto"/>
            <w:bottom w:val="none" w:sz="0" w:space="0" w:color="auto"/>
            <w:right w:val="none" w:sz="0" w:space="0" w:color="auto"/>
          </w:divBdr>
        </w:div>
        <w:div w:id="1348480329">
          <w:marLeft w:val="547"/>
          <w:marRight w:val="0"/>
          <w:marTop w:val="134"/>
          <w:marBottom w:val="0"/>
          <w:divBdr>
            <w:top w:val="none" w:sz="0" w:space="0" w:color="auto"/>
            <w:left w:val="none" w:sz="0" w:space="0" w:color="auto"/>
            <w:bottom w:val="none" w:sz="0" w:space="0" w:color="auto"/>
            <w:right w:val="none" w:sz="0" w:space="0" w:color="auto"/>
          </w:divBdr>
        </w:div>
        <w:div w:id="1348480336">
          <w:marLeft w:val="547"/>
          <w:marRight w:val="0"/>
          <w:marTop w:val="134"/>
          <w:marBottom w:val="0"/>
          <w:divBdr>
            <w:top w:val="none" w:sz="0" w:space="0" w:color="auto"/>
            <w:left w:val="none" w:sz="0" w:space="0" w:color="auto"/>
            <w:bottom w:val="none" w:sz="0" w:space="0" w:color="auto"/>
            <w:right w:val="none" w:sz="0" w:space="0" w:color="auto"/>
          </w:divBdr>
        </w:div>
        <w:div w:id="1348480337">
          <w:marLeft w:val="547"/>
          <w:marRight w:val="0"/>
          <w:marTop w:val="134"/>
          <w:marBottom w:val="0"/>
          <w:divBdr>
            <w:top w:val="none" w:sz="0" w:space="0" w:color="auto"/>
            <w:left w:val="none" w:sz="0" w:space="0" w:color="auto"/>
            <w:bottom w:val="none" w:sz="0" w:space="0" w:color="auto"/>
            <w:right w:val="none" w:sz="0" w:space="0" w:color="auto"/>
          </w:divBdr>
        </w:div>
        <w:div w:id="1348480340">
          <w:marLeft w:val="547"/>
          <w:marRight w:val="0"/>
          <w:marTop w:val="134"/>
          <w:marBottom w:val="0"/>
          <w:divBdr>
            <w:top w:val="none" w:sz="0" w:space="0" w:color="auto"/>
            <w:left w:val="none" w:sz="0" w:space="0" w:color="auto"/>
            <w:bottom w:val="none" w:sz="0" w:space="0" w:color="auto"/>
            <w:right w:val="none" w:sz="0" w:space="0" w:color="auto"/>
          </w:divBdr>
        </w:div>
        <w:div w:id="1348480345">
          <w:marLeft w:val="547"/>
          <w:marRight w:val="0"/>
          <w:marTop w:val="134"/>
          <w:marBottom w:val="0"/>
          <w:divBdr>
            <w:top w:val="none" w:sz="0" w:space="0" w:color="auto"/>
            <w:left w:val="none" w:sz="0" w:space="0" w:color="auto"/>
            <w:bottom w:val="none" w:sz="0" w:space="0" w:color="auto"/>
            <w:right w:val="none" w:sz="0" w:space="0" w:color="auto"/>
          </w:divBdr>
        </w:div>
      </w:divsChild>
    </w:div>
    <w:div w:id="1348480317">
      <w:marLeft w:val="0"/>
      <w:marRight w:val="0"/>
      <w:marTop w:val="0"/>
      <w:marBottom w:val="0"/>
      <w:divBdr>
        <w:top w:val="none" w:sz="0" w:space="0" w:color="auto"/>
        <w:left w:val="none" w:sz="0" w:space="0" w:color="auto"/>
        <w:bottom w:val="none" w:sz="0" w:space="0" w:color="auto"/>
        <w:right w:val="none" w:sz="0" w:space="0" w:color="auto"/>
      </w:divBdr>
      <w:divsChild>
        <w:div w:id="1348480301">
          <w:marLeft w:val="547"/>
          <w:marRight w:val="0"/>
          <w:marTop w:val="134"/>
          <w:marBottom w:val="0"/>
          <w:divBdr>
            <w:top w:val="none" w:sz="0" w:space="0" w:color="auto"/>
            <w:left w:val="none" w:sz="0" w:space="0" w:color="auto"/>
            <w:bottom w:val="none" w:sz="0" w:space="0" w:color="auto"/>
            <w:right w:val="none" w:sz="0" w:space="0" w:color="auto"/>
          </w:divBdr>
        </w:div>
        <w:div w:id="1348480314">
          <w:marLeft w:val="547"/>
          <w:marRight w:val="0"/>
          <w:marTop w:val="134"/>
          <w:marBottom w:val="0"/>
          <w:divBdr>
            <w:top w:val="none" w:sz="0" w:space="0" w:color="auto"/>
            <w:left w:val="none" w:sz="0" w:space="0" w:color="auto"/>
            <w:bottom w:val="none" w:sz="0" w:space="0" w:color="auto"/>
            <w:right w:val="none" w:sz="0" w:space="0" w:color="auto"/>
          </w:divBdr>
        </w:div>
        <w:div w:id="1348480316">
          <w:marLeft w:val="547"/>
          <w:marRight w:val="0"/>
          <w:marTop w:val="134"/>
          <w:marBottom w:val="0"/>
          <w:divBdr>
            <w:top w:val="none" w:sz="0" w:space="0" w:color="auto"/>
            <w:left w:val="none" w:sz="0" w:space="0" w:color="auto"/>
            <w:bottom w:val="none" w:sz="0" w:space="0" w:color="auto"/>
            <w:right w:val="none" w:sz="0" w:space="0" w:color="auto"/>
          </w:divBdr>
        </w:div>
        <w:div w:id="1348480326">
          <w:marLeft w:val="547"/>
          <w:marRight w:val="0"/>
          <w:marTop w:val="134"/>
          <w:marBottom w:val="0"/>
          <w:divBdr>
            <w:top w:val="none" w:sz="0" w:space="0" w:color="auto"/>
            <w:left w:val="none" w:sz="0" w:space="0" w:color="auto"/>
            <w:bottom w:val="none" w:sz="0" w:space="0" w:color="auto"/>
            <w:right w:val="none" w:sz="0" w:space="0" w:color="auto"/>
          </w:divBdr>
        </w:div>
        <w:div w:id="1348480327">
          <w:marLeft w:val="547"/>
          <w:marRight w:val="0"/>
          <w:marTop w:val="134"/>
          <w:marBottom w:val="0"/>
          <w:divBdr>
            <w:top w:val="none" w:sz="0" w:space="0" w:color="auto"/>
            <w:left w:val="none" w:sz="0" w:space="0" w:color="auto"/>
            <w:bottom w:val="none" w:sz="0" w:space="0" w:color="auto"/>
            <w:right w:val="none" w:sz="0" w:space="0" w:color="auto"/>
          </w:divBdr>
        </w:div>
        <w:div w:id="1348480330">
          <w:marLeft w:val="547"/>
          <w:marRight w:val="0"/>
          <w:marTop w:val="134"/>
          <w:marBottom w:val="0"/>
          <w:divBdr>
            <w:top w:val="none" w:sz="0" w:space="0" w:color="auto"/>
            <w:left w:val="none" w:sz="0" w:space="0" w:color="auto"/>
            <w:bottom w:val="none" w:sz="0" w:space="0" w:color="auto"/>
            <w:right w:val="none" w:sz="0" w:space="0" w:color="auto"/>
          </w:divBdr>
        </w:div>
        <w:div w:id="1348480344">
          <w:marLeft w:val="547"/>
          <w:marRight w:val="0"/>
          <w:marTop w:val="134"/>
          <w:marBottom w:val="0"/>
          <w:divBdr>
            <w:top w:val="none" w:sz="0" w:space="0" w:color="auto"/>
            <w:left w:val="none" w:sz="0" w:space="0" w:color="auto"/>
            <w:bottom w:val="none" w:sz="0" w:space="0" w:color="auto"/>
            <w:right w:val="none" w:sz="0" w:space="0" w:color="auto"/>
          </w:divBdr>
        </w:div>
      </w:divsChild>
    </w:div>
    <w:div w:id="1348480319">
      <w:marLeft w:val="0"/>
      <w:marRight w:val="0"/>
      <w:marTop w:val="0"/>
      <w:marBottom w:val="0"/>
      <w:divBdr>
        <w:top w:val="none" w:sz="0" w:space="0" w:color="auto"/>
        <w:left w:val="none" w:sz="0" w:space="0" w:color="auto"/>
        <w:bottom w:val="none" w:sz="0" w:space="0" w:color="auto"/>
        <w:right w:val="none" w:sz="0" w:space="0" w:color="auto"/>
      </w:divBdr>
      <w:divsChild>
        <w:div w:id="1348480311">
          <w:marLeft w:val="547"/>
          <w:marRight w:val="0"/>
          <w:marTop w:val="134"/>
          <w:marBottom w:val="0"/>
          <w:divBdr>
            <w:top w:val="none" w:sz="0" w:space="0" w:color="auto"/>
            <w:left w:val="none" w:sz="0" w:space="0" w:color="auto"/>
            <w:bottom w:val="none" w:sz="0" w:space="0" w:color="auto"/>
            <w:right w:val="none" w:sz="0" w:space="0" w:color="auto"/>
          </w:divBdr>
        </w:div>
        <w:div w:id="1348480312">
          <w:marLeft w:val="547"/>
          <w:marRight w:val="0"/>
          <w:marTop w:val="134"/>
          <w:marBottom w:val="0"/>
          <w:divBdr>
            <w:top w:val="none" w:sz="0" w:space="0" w:color="auto"/>
            <w:left w:val="none" w:sz="0" w:space="0" w:color="auto"/>
            <w:bottom w:val="none" w:sz="0" w:space="0" w:color="auto"/>
            <w:right w:val="none" w:sz="0" w:space="0" w:color="auto"/>
          </w:divBdr>
        </w:div>
        <w:div w:id="1348480321">
          <w:marLeft w:val="547"/>
          <w:marRight w:val="0"/>
          <w:marTop w:val="134"/>
          <w:marBottom w:val="0"/>
          <w:divBdr>
            <w:top w:val="none" w:sz="0" w:space="0" w:color="auto"/>
            <w:left w:val="none" w:sz="0" w:space="0" w:color="auto"/>
            <w:bottom w:val="none" w:sz="0" w:space="0" w:color="auto"/>
            <w:right w:val="none" w:sz="0" w:space="0" w:color="auto"/>
          </w:divBdr>
        </w:div>
      </w:divsChild>
    </w:div>
    <w:div w:id="1348480333">
      <w:marLeft w:val="0"/>
      <w:marRight w:val="0"/>
      <w:marTop w:val="0"/>
      <w:marBottom w:val="0"/>
      <w:divBdr>
        <w:top w:val="none" w:sz="0" w:space="0" w:color="auto"/>
        <w:left w:val="none" w:sz="0" w:space="0" w:color="auto"/>
        <w:bottom w:val="none" w:sz="0" w:space="0" w:color="auto"/>
        <w:right w:val="none" w:sz="0" w:space="0" w:color="auto"/>
      </w:divBdr>
      <w:divsChild>
        <w:div w:id="1348480304">
          <w:marLeft w:val="547"/>
          <w:marRight w:val="0"/>
          <w:marTop w:val="134"/>
          <w:marBottom w:val="0"/>
          <w:divBdr>
            <w:top w:val="none" w:sz="0" w:space="0" w:color="auto"/>
            <w:left w:val="none" w:sz="0" w:space="0" w:color="auto"/>
            <w:bottom w:val="none" w:sz="0" w:space="0" w:color="auto"/>
            <w:right w:val="none" w:sz="0" w:space="0" w:color="auto"/>
          </w:divBdr>
        </w:div>
        <w:div w:id="1348480306">
          <w:marLeft w:val="547"/>
          <w:marRight w:val="0"/>
          <w:marTop w:val="134"/>
          <w:marBottom w:val="0"/>
          <w:divBdr>
            <w:top w:val="none" w:sz="0" w:space="0" w:color="auto"/>
            <w:left w:val="none" w:sz="0" w:space="0" w:color="auto"/>
            <w:bottom w:val="none" w:sz="0" w:space="0" w:color="auto"/>
            <w:right w:val="none" w:sz="0" w:space="0" w:color="auto"/>
          </w:divBdr>
        </w:div>
        <w:div w:id="1348480320">
          <w:marLeft w:val="547"/>
          <w:marRight w:val="0"/>
          <w:marTop w:val="134"/>
          <w:marBottom w:val="0"/>
          <w:divBdr>
            <w:top w:val="none" w:sz="0" w:space="0" w:color="auto"/>
            <w:left w:val="none" w:sz="0" w:space="0" w:color="auto"/>
            <w:bottom w:val="none" w:sz="0" w:space="0" w:color="auto"/>
            <w:right w:val="none" w:sz="0" w:space="0" w:color="auto"/>
          </w:divBdr>
        </w:div>
        <w:div w:id="1348480323">
          <w:marLeft w:val="547"/>
          <w:marRight w:val="0"/>
          <w:marTop w:val="134"/>
          <w:marBottom w:val="0"/>
          <w:divBdr>
            <w:top w:val="none" w:sz="0" w:space="0" w:color="auto"/>
            <w:left w:val="none" w:sz="0" w:space="0" w:color="auto"/>
            <w:bottom w:val="none" w:sz="0" w:space="0" w:color="auto"/>
            <w:right w:val="none" w:sz="0" w:space="0" w:color="auto"/>
          </w:divBdr>
        </w:div>
        <w:div w:id="1348480331">
          <w:marLeft w:val="547"/>
          <w:marRight w:val="0"/>
          <w:marTop w:val="134"/>
          <w:marBottom w:val="0"/>
          <w:divBdr>
            <w:top w:val="none" w:sz="0" w:space="0" w:color="auto"/>
            <w:left w:val="none" w:sz="0" w:space="0" w:color="auto"/>
            <w:bottom w:val="none" w:sz="0" w:space="0" w:color="auto"/>
            <w:right w:val="none" w:sz="0" w:space="0" w:color="auto"/>
          </w:divBdr>
        </w:div>
        <w:div w:id="1348480332">
          <w:marLeft w:val="547"/>
          <w:marRight w:val="0"/>
          <w:marTop w:val="134"/>
          <w:marBottom w:val="0"/>
          <w:divBdr>
            <w:top w:val="none" w:sz="0" w:space="0" w:color="auto"/>
            <w:left w:val="none" w:sz="0" w:space="0" w:color="auto"/>
            <w:bottom w:val="none" w:sz="0" w:space="0" w:color="auto"/>
            <w:right w:val="none" w:sz="0" w:space="0" w:color="auto"/>
          </w:divBdr>
        </w:div>
        <w:div w:id="1348480334">
          <w:marLeft w:val="547"/>
          <w:marRight w:val="0"/>
          <w:marTop w:val="134"/>
          <w:marBottom w:val="0"/>
          <w:divBdr>
            <w:top w:val="none" w:sz="0" w:space="0" w:color="auto"/>
            <w:left w:val="none" w:sz="0" w:space="0" w:color="auto"/>
            <w:bottom w:val="none" w:sz="0" w:space="0" w:color="auto"/>
            <w:right w:val="none" w:sz="0" w:space="0" w:color="auto"/>
          </w:divBdr>
        </w:div>
        <w:div w:id="1348480335">
          <w:marLeft w:val="547"/>
          <w:marRight w:val="0"/>
          <w:marTop w:val="134"/>
          <w:marBottom w:val="0"/>
          <w:divBdr>
            <w:top w:val="none" w:sz="0" w:space="0" w:color="auto"/>
            <w:left w:val="none" w:sz="0" w:space="0" w:color="auto"/>
            <w:bottom w:val="none" w:sz="0" w:space="0" w:color="auto"/>
            <w:right w:val="none" w:sz="0" w:space="0" w:color="auto"/>
          </w:divBdr>
        </w:div>
        <w:div w:id="1348480338">
          <w:marLeft w:val="547"/>
          <w:marRight w:val="0"/>
          <w:marTop w:val="134"/>
          <w:marBottom w:val="0"/>
          <w:divBdr>
            <w:top w:val="none" w:sz="0" w:space="0" w:color="auto"/>
            <w:left w:val="none" w:sz="0" w:space="0" w:color="auto"/>
            <w:bottom w:val="none" w:sz="0" w:space="0" w:color="auto"/>
            <w:right w:val="none" w:sz="0" w:space="0" w:color="auto"/>
          </w:divBdr>
        </w:div>
        <w:div w:id="1348480342">
          <w:marLeft w:val="547"/>
          <w:marRight w:val="0"/>
          <w:marTop w:val="134"/>
          <w:marBottom w:val="0"/>
          <w:divBdr>
            <w:top w:val="none" w:sz="0" w:space="0" w:color="auto"/>
            <w:left w:val="none" w:sz="0" w:space="0" w:color="auto"/>
            <w:bottom w:val="none" w:sz="0" w:space="0" w:color="auto"/>
            <w:right w:val="none" w:sz="0" w:space="0" w:color="auto"/>
          </w:divBdr>
        </w:div>
      </w:divsChild>
    </w:div>
    <w:div w:id="1348480339">
      <w:marLeft w:val="0"/>
      <w:marRight w:val="0"/>
      <w:marTop w:val="0"/>
      <w:marBottom w:val="0"/>
      <w:divBdr>
        <w:top w:val="none" w:sz="0" w:space="0" w:color="auto"/>
        <w:left w:val="none" w:sz="0" w:space="0" w:color="auto"/>
        <w:bottom w:val="none" w:sz="0" w:space="0" w:color="auto"/>
        <w:right w:val="none" w:sz="0" w:space="0" w:color="auto"/>
      </w:divBdr>
    </w:div>
    <w:div w:id="1348480341">
      <w:marLeft w:val="0"/>
      <w:marRight w:val="0"/>
      <w:marTop w:val="0"/>
      <w:marBottom w:val="0"/>
      <w:divBdr>
        <w:top w:val="none" w:sz="0" w:space="0" w:color="auto"/>
        <w:left w:val="none" w:sz="0" w:space="0" w:color="auto"/>
        <w:bottom w:val="none" w:sz="0" w:space="0" w:color="auto"/>
        <w:right w:val="none" w:sz="0" w:space="0" w:color="auto"/>
      </w:divBdr>
      <w:divsChild>
        <w:div w:id="1348480318">
          <w:marLeft w:val="547"/>
          <w:marRight w:val="0"/>
          <w:marTop w:val="134"/>
          <w:marBottom w:val="0"/>
          <w:divBdr>
            <w:top w:val="none" w:sz="0" w:space="0" w:color="auto"/>
            <w:left w:val="none" w:sz="0" w:space="0" w:color="auto"/>
            <w:bottom w:val="none" w:sz="0" w:space="0" w:color="auto"/>
            <w:right w:val="none" w:sz="0" w:space="0" w:color="auto"/>
          </w:divBdr>
        </w:div>
        <w:div w:id="1348480324">
          <w:marLeft w:val="547"/>
          <w:marRight w:val="0"/>
          <w:marTop w:val="134"/>
          <w:marBottom w:val="0"/>
          <w:divBdr>
            <w:top w:val="none" w:sz="0" w:space="0" w:color="auto"/>
            <w:left w:val="none" w:sz="0" w:space="0" w:color="auto"/>
            <w:bottom w:val="none" w:sz="0" w:space="0" w:color="auto"/>
            <w:right w:val="none" w:sz="0" w:space="0" w:color="auto"/>
          </w:divBdr>
        </w:div>
      </w:divsChild>
    </w:div>
    <w:div w:id="1348480343">
      <w:marLeft w:val="0"/>
      <w:marRight w:val="0"/>
      <w:marTop w:val="0"/>
      <w:marBottom w:val="0"/>
      <w:divBdr>
        <w:top w:val="none" w:sz="0" w:space="0" w:color="auto"/>
        <w:left w:val="none" w:sz="0" w:space="0" w:color="auto"/>
        <w:bottom w:val="none" w:sz="0" w:space="0" w:color="auto"/>
        <w:right w:val="none" w:sz="0" w:space="0" w:color="auto"/>
      </w:divBdr>
    </w:div>
    <w:div w:id="1348480346">
      <w:marLeft w:val="0"/>
      <w:marRight w:val="0"/>
      <w:marTop w:val="0"/>
      <w:marBottom w:val="0"/>
      <w:divBdr>
        <w:top w:val="none" w:sz="0" w:space="0" w:color="auto"/>
        <w:left w:val="none" w:sz="0" w:space="0" w:color="auto"/>
        <w:bottom w:val="none" w:sz="0" w:space="0" w:color="auto"/>
        <w:right w:val="none" w:sz="0" w:space="0" w:color="auto"/>
      </w:divBdr>
    </w:div>
    <w:div w:id="1348480347">
      <w:marLeft w:val="0"/>
      <w:marRight w:val="0"/>
      <w:marTop w:val="0"/>
      <w:marBottom w:val="0"/>
      <w:divBdr>
        <w:top w:val="none" w:sz="0" w:space="0" w:color="auto"/>
        <w:left w:val="none" w:sz="0" w:space="0" w:color="auto"/>
        <w:bottom w:val="none" w:sz="0" w:space="0" w:color="auto"/>
        <w:right w:val="none" w:sz="0" w:space="0" w:color="auto"/>
      </w:divBdr>
    </w:div>
    <w:div w:id="1348480348">
      <w:marLeft w:val="0"/>
      <w:marRight w:val="0"/>
      <w:marTop w:val="0"/>
      <w:marBottom w:val="0"/>
      <w:divBdr>
        <w:top w:val="none" w:sz="0" w:space="0" w:color="auto"/>
        <w:left w:val="none" w:sz="0" w:space="0" w:color="auto"/>
        <w:bottom w:val="none" w:sz="0" w:space="0" w:color="auto"/>
        <w:right w:val="none" w:sz="0" w:space="0" w:color="auto"/>
      </w:divBdr>
    </w:div>
    <w:div w:id="1348480349">
      <w:marLeft w:val="0"/>
      <w:marRight w:val="0"/>
      <w:marTop w:val="0"/>
      <w:marBottom w:val="0"/>
      <w:divBdr>
        <w:top w:val="none" w:sz="0" w:space="0" w:color="auto"/>
        <w:left w:val="none" w:sz="0" w:space="0" w:color="auto"/>
        <w:bottom w:val="none" w:sz="0" w:space="0" w:color="auto"/>
        <w:right w:val="none" w:sz="0" w:space="0" w:color="auto"/>
      </w:divBdr>
    </w:div>
    <w:div w:id="1348480350">
      <w:marLeft w:val="0"/>
      <w:marRight w:val="0"/>
      <w:marTop w:val="0"/>
      <w:marBottom w:val="0"/>
      <w:divBdr>
        <w:top w:val="none" w:sz="0" w:space="0" w:color="auto"/>
        <w:left w:val="none" w:sz="0" w:space="0" w:color="auto"/>
        <w:bottom w:val="none" w:sz="0" w:space="0" w:color="auto"/>
        <w:right w:val="none" w:sz="0" w:space="0" w:color="auto"/>
      </w:divBdr>
    </w:div>
    <w:div w:id="1348480351">
      <w:marLeft w:val="0"/>
      <w:marRight w:val="0"/>
      <w:marTop w:val="0"/>
      <w:marBottom w:val="0"/>
      <w:divBdr>
        <w:top w:val="none" w:sz="0" w:space="0" w:color="auto"/>
        <w:left w:val="none" w:sz="0" w:space="0" w:color="auto"/>
        <w:bottom w:val="none" w:sz="0" w:space="0" w:color="auto"/>
        <w:right w:val="none" w:sz="0" w:space="0" w:color="auto"/>
      </w:divBdr>
    </w:div>
    <w:div w:id="1348480352">
      <w:marLeft w:val="0"/>
      <w:marRight w:val="0"/>
      <w:marTop w:val="0"/>
      <w:marBottom w:val="0"/>
      <w:divBdr>
        <w:top w:val="none" w:sz="0" w:space="0" w:color="auto"/>
        <w:left w:val="none" w:sz="0" w:space="0" w:color="auto"/>
        <w:bottom w:val="none" w:sz="0" w:space="0" w:color="auto"/>
        <w:right w:val="none" w:sz="0" w:space="0" w:color="auto"/>
      </w:divBdr>
    </w:div>
    <w:div w:id="1348480353">
      <w:marLeft w:val="0"/>
      <w:marRight w:val="0"/>
      <w:marTop w:val="0"/>
      <w:marBottom w:val="0"/>
      <w:divBdr>
        <w:top w:val="none" w:sz="0" w:space="0" w:color="auto"/>
        <w:left w:val="none" w:sz="0" w:space="0" w:color="auto"/>
        <w:bottom w:val="none" w:sz="0" w:space="0" w:color="auto"/>
        <w:right w:val="none" w:sz="0" w:space="0" w:color="auto"/>
      </w:divBdr>
    </w:div>
    <w:div w:id="1348480354">
      <w:marLeft w:val="0"/>
      <w:marRight w:val="0"/>
      <w:marTop w:val="0"/>
      <w:marBottom w:val="0"/>
      <w:divBdr>
        <w:top w:val="none" w:sz="0" w:space="0" w:color="auto"/>
        <w:left w:val="none" w:sz="0" w:space="0" w:color="auto"/>
        <w:bottom w:val="none" w:sz="0" w:space="0" w:color="auto"/>
        <w:right w:val="none" w:sz="0" w:space="0" w:color="auto"/>
      </w:divBdr>
    </w:div>
    <w:div w:id="1348480355">
      <w:marLeft w:val="0"/>
      <w:marRight w:val="0"/>
      <w:marTop w:val="0"/>
      <w:marBottom w:val="0"/>
      <w:divBdr>
        <w:top w:val="none" w:sz="0" w:space="0" w:color="auto"/>
        <w:left w:val="none" w:sz="0" w:space="0" w:color="auto"/>
        <w:bottom w:val="none" w:sz="0" w:space="0" w:color="auto"/>
        <w:right w:val="none" w:sz="0" w:space="0" w:color="auto"/>
      </w:divBdr>
    </w:div>
    <w:div w:id="1348480356">
      <w:marLeft w:val="0"/>
      <w:marRight w:val="0"/>
      <w:marTop w:val="0"/>
      <w:marBottom w:val="0"/>
      <w:divBdr>
        <w:top w:val="none" w:sz="0" w:space="0" w:color="auto"/>
        <w:left w:val="none" w:sz="0" w:space="0" w:color="auto"/>
        <w:bottom w:val="none" w:sz="0" w:space="0" w:color="auto"/>
        <w:right w:val="none" w:sz="0" w:space="0" w:color="auto"/>
      </w:divBdr>
    </w:div>
    <w:div w:id="1348480357">
      <w:marLeft w:val="0"/>
      <w:marRight w:val="0"/>
      <w:marTop w:val="0"/>
      <w:marBottom w:val="0"/>
      <w:divBdr>
        <w:top w:val="none" w:sz="0" w:space="0" w:color="auto"/>
        <w:left w:val="none" w:sz="0" w:space="0" w:color="auto"/>
        <w:bottom w:val="none" w:sz="0" w:space="0" w:color="auto"/>
        <w:right w:val="none" w:sz="0" w:space="0" w:color="auto"/>
      </w:divBdr>
    </w:div>
    <w:div w:id="1348480358">
      <w:marLeft w:val="0"/>
      <w:marRight w:val="0"/>
      <w:marTop w:val="0"/>
      <w:marBottom w:val="0"/>
      <w:divBdr>
        <w:top w:val="none" w:sz="0" w:space="0" w:color="auto"/>
        <w:left w:val="none" w:sz="0" w:space="0" w:color="auto"/>
        <w:bottom w:val="none" w:sz="0" w:space="0" w:color="auto"/>
        <w:right w:val="none" w:sz="0" w:space="0" w:color="auto"/>
      </w:divBdr>
    </w:div>
    <w:div w:id="1348480359">
      <w:marLeft w:val="0"/>
      <w:marRight w:val="0"/>
      <w:marTop w:val="0"/>
      <w:marBottom w:val="0"/>
      <w:divBdr>
        <w:top w:val="none" w:sz="0" w:space="0" w:color="auto"/>
        <w:left w:val="none" w:sz="0" w:space="0" w:color="auto"/>
        <w:bottom w:val="none" w:sz="0" w:space="0" w:color="auto"/>
        <w:right w:val="none" w:sz="0" w:space="0" w:color="auto"/>
      </w:divBdr>
    </w:div>
    <w:div w:id="1348480360">
      <w:marLeft w:val="0"/>
      <w:marRight w:val="0"/>
      <w:marTop w:val="0"/>
      <w:marBottom w:val="0"/>
      <w:divBdr>
        <w:top w:val="none" w:sz="0" w:space="0" w:color="auto"/>
        <w:left w:val="none" w:sz="0" w:space="0" w:color="auto"/>
        <w:bottom w:val="none" w:sz="0" w:space="0" w:color="auto"/>
        <w:right w:val="none" w:sz="0" w:space="0" w:color="auto"/>
      </w:divBdr>
    </w:div>
    <w:div w:id="1348480361">
      <w:marLeft w:val="0"/>
      <w:marRight w:val="0"/>
      <w:marTop w:val="0"/>
      <w:marBottom w:val="0"/>
      <w:divBdr>
        <w:top w:val="none" w:sz="0" w:space="0" w:color="auto"/>
        <w:left w:val="none" w:sz="0" w:space="0" w:color="auto"/>
        <w:bottom w:val="none" w:sz="0" w:space="0" w:color="auto"/>
        <w:right w:val="none" w:sz="0" w:space="0" w:color="auto"/>
      </w:divBdr>
    </w:div>
    <w:div w:id="1348480362">
      <w:marLeft w:val="0"/>
      <w:marRight w:val="0"/>
      <w:marTop w:val="0"/>
      <w:marBottom w:val="0"/>
      <w:divBdr>
        <w:top w:val="none" w:sz="0" w:space="0" w:color="auto"/>
        <w:left w:val="none" w:sz="0" w:space="0" w:color="auto"/>
        <w:bottom w:val="none" w:sz="0" w:space="0" w:color="auto"/>
        <w:right w:val="none" w:sz="0" w:space="0" w:color="auto"/>
      </w:divBdr>
    </w:div>
    <w:div w:id="1348480363">
      <w:marLeft w:val="0"/>
      <w:marRight w:val="0"/>
      <w:marTop w:val="0"/>
      <w:marBottom w:val="0"/>
      <w:divBdr>
        <w:top w:val="none" w:sz="0" w:space="0" w:color="auto"/>
        <w:left w:val="none" w:sz="0" w:space="0" w:color="auto"/>
        <w:bottom w:val="none" w:sz="0" w:space="0" w:color="auto"/>
        <w:right w:val="none" w:sz="0" w:space="0" w:color="auto"/>
      </w:divBdr>
    </w:div>
    <w:div w:id="1348480364">
      <w:marLeft w:val="0"/>
      <w:marRight w:val="0"/>
      <w:marTop w:val="0"/>
      <w:marBottom w:val="0"/>
      <w:divBdr>
        <w:top w:val="none" w:sz="0" w:space="0" w:color="auto"/>
        <w:left w:val="none" w:sz="0" w:space="0" w:color="auto"/>
        <w:bottom w:val="none" w:sz="0" w:space="0" w:color="auto"/>
        <w:right w:val="none" w:sz="0" w:space="0" w:color="auto"/>
      </w:divBdr>
    </w:div>
    <w:div w:id="1348480365">
      <w:marLeft w:val="0"/>
      <w:marRight w:val="0"/>
      <w:marTop w:val="0"/>
      <w:marBottom w:val="0"/>
      <w:divBdr>
        <w:top w:val="none" w:sz="0" w:space="0" w:color="auto"/>
        <w:left w:val="none" w:sz="0" w:space="0" w:color="auto"/>
        <w:bottom w:val="none" w:sz="0" w:space="0" w:color="auto"/>
        <w:right w:val="none" w:sz="0" w:space="0" w:color="auto"/>
      </w:divBdr>
    </w:div>
    <w:div w:id="1348480366">
      <w:marLeft w:val="0"/>
      <w:marRight w:val="0"/>
      <w:marTop w:val="0"/>
      <w:marBottom w:val="0"/>
      <w:divBdr>
        <w:top w:val="none" w:sz="0" w:space="0" w:color="auto"/>
        <w:left w:val="none" w:sz="0" w:space="0" w:color="auto"/>
        <w:bottom w:val="none" w:sz="0" w:space="0" w:color="auto"/>
        <w:right w:val="none" w:sz="0" w:space="0" w:color="auto"/>
      </w:divBdr>
    </w:div>
    <w:div w:id="1348480367">
      <w:marLeft w:val="0"/>
      <w:marRight w:val="0"/>
      <w:marTop w:val="0"/>
      <w:marBottom w:val="0"/>
      <w:divBdr>
        <w:top w:val="none" w:sz="0" w:space="0" w:color="auto"/>
        <w:left w:val="none" w:sz="0" w:space="0" w:color="auto"/>
        <w:bottom w:val="none" w:sz="0" w:space="0" w:color="auto"/>
        <w:right w:val="none" w:sz="0" w:space="0" w:color="auto"/>
      </w:divBdr>
    </w:div>
    <w:div w:id="1348480368">
      <w:marLeft w:val="0"/>
      <w:marRight w:val="0"/>
      <w:marTop w:val="0"/>
      <w:marBottom w:val="0"/>
      <w:divBdr>
        <w:top w:val="none" w:sz="0" w:space="0" w:color="auto"/>
        <w:left w:val="none" w:sz="0" w:space="0" w:color="auto"/>
        <w:bottom w:val="none" w:sz="0" w:space="0" w:color="auto"/>
        <w:right w:val="none" w:sz="0" w:space="0" w:color="auto"/>
      </w:divBdr>
    </w:div>
    <w:div w:id="1348480369">
      <w:marLeft w:val="0"/>
      <w:marRight w:val="0"/>
      <w:marTop w:val="0"/>
      <w:marBottom w:val="0"/>
      <w:divBdr>
        <w:top w:val="none" w:sz="0" w:space="0" w:color="auto"/>
        <w:left w:val="none" w:sz="0" w:space="0" w:color="auto"/>
        <w:bottom w:val="none" w:sz="0" w:space="0" w:color="auto"/>
        <w:right w:val="none" w:sz="0" w:space="0" w:color="auto"/>
      </w:divBdr>
    </w:div>
    <w:div w:id="1348480370">
      <w:marLeft w:val="0"/>
      <w:marRight w:val="0"/>
      <w:marTop w:val="0"/>
      <w:marBottom w:val="0"/>
      <w:divBdr>
        <w:top w:val="none" w:sz="0" w:space="0" w:color="auto"/>
        <w:left w:val="none" w:sz="0" w:space="0" w:color="auto"/>
        <w:bottom w:val="none" w:sz="0" w:space="0" w:color="auto"/>
        <w:right w:val="none" w:sz="0" w:space="0" w:color="auto"/>
      </w:divBdr>
    </w:div>
    <w:div w:id="1348480371">
      <w:marLeft w:val="0"/>
      <w:marRight w:val="0"/>
      <w:marTop w:val="0"/>
      <w:marBottom w:val="0"/>
      <w:divBdr>
        <w:top w:val="none" w:sz="0" w:space="0" w:color="auto"/>
        <w:left w:val="none" w:sz="0" w:space="0" w:color="auto"/>
        <w:bottom w:val="none" w:sz="0" w:space="0" w:color="auto"/>
        <w:right w:val="none" w:sz="0" w:space="0" w:color="auto"/>
      </w:divBdr>
    </w:div>
    <w:div w:id="1348480372">
      <w:marLeft w:val="0"/>
      <w:marRight w:val="0"/>
      <w:marTop w:val="0"/>
      <w:marBottom w:val="0"/>
      <w:divBdr>
        <w:top w:val="none" w:sz="0" w:space="0" w:color="auto"/>
        <w:left w:val="none" w:sz="0" w:space="0" w:color="auto"/>
        <w:bottom w:val="none" w:sz="0" w:space="0" w:color="auto"/>
        <w:right w:val="none" w:sz="0" w:space="0" w:color="auto"/>
      </w:divBdr>
    </w:div>
    <w:div w:id="1348480373">
      <w:marLeft w:val="0"/>
      <w:marRight w:val="0"/>
      <w:marTop w:val="0"/>
      <w:marBottom w:val="0"/>
      <w:divBdr>
        <w:top w:val="none" w:sz="0" w:space="0" w:color="auto"/>
        <w:left w:val="none" w:sz="0" w:space="0" w:color="auto"/>
        <w:bottom w:val="none" w:sz="0" w:space="0" w:color="auto"/>
        <w:right w:val="none" w:sz="0" w:space="0" w:color="auto"/>
      </w:divBdr>
    </w:div>
    <w:div w:id="1348480374">
      <w:marLeft w:val="0"/>
      <w:marRight w:val="0"/>
      <w:marTop w:val="0"/>
      <w:marBottom w:val="0"/>
      <w:divBdr>
        <w:top w:val="none" w:sz="0" w:space="0" w:color="auto"/>
        <w:left w:val="none" w:sz="0" w:space="0" w:color="auto"/>
        <w:bottom w:val="none" w:sz="0" w:space="0" w:color="auto"/>
        <w:right w:val="none" w:sz="0" w:space="0" w:color="auto"/>
      </w:divBdr>
    </w:div>
    <w:div w:id="1348480375">
      <w:marLeft w:val="0"/>
      <w:marRight w:val="0"/>
      <w:marTop w:val="0"/>
      <w:marBottom w:val="0"/>
      <w:divBdr>
        <w:top w:val="none" w:sz="0" w:space="0" w:color="auto"/>
        <w:left w:val="none" w:sz="0" w:space="0" w:color="auto"/>
        <w:bottom w:val="none" w:sz="0" w:space="0" w:color="auto"/>
        <w:right w:val="none" w:sz="0" w:space="0" w:color="auto"/>
      </w:divBdr>
    </w:div>
    <w:div w:id="1348480376">
      <w:marLeft w:val="0"/>
      <w:marRight w:val="0"/>
      <w:marTop w:val="0"/>
      <w:marBottom w:val="0"/>
      <w:divBdr>
        <w:top w:val="none" w:sz="0" w:space="0" w:color="auto"/>
        <w:left w:val="none" w:sz="0" w:space="0" w:color="auto"/>
        <w:bottom w:val="none" w:sz="0" w:space="0" w:color="auto"/>
        <w:right w:val="none" w:sz="0" w:space="0" w:color="auto"/>
      </w:divBdr>
    </w:div>
    <w:div w:id="1348480377">
      <w:marLeft w:val="0"/>
      <w:marRight w:val="0"/>
      <w:marTop w:val="0"/>
      <w:marBottom w:val="0"/>
      <w:divBdr>
        <w:top w:val="none" w:sz="0" w:space="0" w:color="auto"/>
        <w:left w:val="none" w:sz="0" w:space="0" w:color="auto"/>
        <w:bottom w:val="none" w:sz="0" w:space="0" w:color="auto"/>
        <w:right w:val="none" w:sz="0" w:space="0" w:color="auto"/>
      </w:divBdr>
    </w:div>
    <w:div w:id="1348480378">
      <w:marLeft w:val="0"/>
      <w:marRight w:val="0"/>
      <w:marTop w:val="0"/>
      <w:marBottom w:val="0"/>
      <w:divBdr>
        <w:top w:val="none" w:sz="0" w:space="0" w:color="auto"/>
        <w:left w:val="none" w:sz="0" w:space="0" w:color="auto"/>
        <w:bottom w:val="none" w:sz="0" w:space="0" w:color="auto"/>
        <w:right w:val="none" w:sz="0" w:space="0" w:color="auto"/>
      </w:divBdr>
    </w:div>
    <w:div w:id="1348480379">
      <w:marLeft w:val="0"/>
      <w:marRight w:val="0"/>
      <w:marTop w:val="0"/>
      <w:marBottom w:val="0"/>
      <w:divBdr>
        <w:top w:val="none" w:sz="0" w:space="0" w:color="auto"/>
        <w:left w:val="none" w:sz="0" w:space="0" w:color="auto"/>
        <w:bottom w:val="none" w:sz="0" w:space="0" w:color="auto"/>
        <w:right w:val="none" w:sz="0" w:space="0" w:color="auto"/>
      </w:divBdr>
    </w:div>
    <w:div w:id="13484803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7.png"/><Relationship Id="rId25" Type="http://schemas.openxmlformats.org/officeDocument/2006/relationships/footer" Target="footer6.xml"/><Relationship Id="rId33" Type="http://schemas.openxmlformats.org/officeDocument/2006/relationships/footer" Target="footer9.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4.xml"/><Relationship Id="rId29"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5.xml"/><Relationship Id="rId32" Type="http://schemas.openxmlformats.org/officeDocument/2006/relationships/header" Target="header7.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3.xml"/><Relationship Id="rId31"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png"/><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image" Target="media/image11.png"/><Relationship Id="rId35" Type="http://schemas.openxmlformats.org/officeDocument/2006/relationships/footer" Target="footer10.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52</TotalTime>
  <Pages>54</Pages>
  <Words>19919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PACIFIC JUDICIAL DEVELOPMENT PROGRAMME</dc:title>
  <dc:subject/>
  <dc:creator/>
  <cp:keywords/>
  <dc:description/>
  <cp:lastModifiedBy/>
  <cp:revision>7</cp:revision>
  <cp:lastPrinted>2013-07-14T18:21:00Z</cp:lastPrinted>
  <dcterms:created xsi:type="dcterms:W3CDTF">2013-06-14T02:30:00Z</dcterms:created>
  <dcterms:modified xsi:type="dcterms:W3CDTF">2013-07-24T01:41:00Z</dcterms:modified>
</cp:coreProperties>
</file>