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16E" w:rsidRDefault="005F616E" w:rsidP="00F4471D">
      <w:pPr>
        <w:shd w:val="clear" w:color="auto" w:fill="FFFFFF"/>
        <w:spacing w:after="0"/>
        <w:jc w:val="center"/>
        <w:textAlignment w:val="baseline"/>
        <w:outlineLvl w:val="0"/>
        <w:rPr>
          <w:rFonts w:eastAsia="Times New Roman" w:cs="Times New Roman"/>
          <w:b/>
          <w:color w:val="000000"/>
          <w:kern w:val="36"/>
          <w:sz w:val="44"/>
          <w:szCs w:val="44"/>
          <w:lang w:eastAsia="en-AU"/>
        </w:rPr>
      </w:pPr>
      <w:r>
        <w:rPr>
          <w:noProof/>
          <w:lang w:eastAsia="en-AU"/>
        </w:rPr>
        <w:drawing>
          <wp:inline distT="0" distB="0" distL="0" distR="0" wp14:anchorId="7FC4CA22" wp14:editId="719E8342">
            <wp:extent cx="2277110" cy="517525"/>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8" cstate="print">
                      <a:extLst>
                        <a:ext uri="{28A0092B-C50C-407E-A947-70E740481C1C}">
                          <a14:useLocalDpi xmlns:a14="http://schemas.microsoft.com/office/drawing/2010/main" val="0"/>
                        </a:ext>
                      </a:extLst>
                    </a:blip>
                    <a:srcRect l="1344" t="5076" r="1344" b="5076"/>
                    <a:stretch/>
                  </pic:blipFill>
                  <pic:spPr bwMode="auto">
                    <a:xfrm>
                      <a:off x="0" y="0"/>
                      <a:ext cx="2277110" cy="517525"/>
                    </a:xfrm>
                    <a:prstGeom prst="rect">
                      <a:avLst/>
                    </a:prstGeom>
                    <a:noFill/>
                    <a:ln>
                      <a:noFill/>
                    </a:ln>
                  </pic:spPr>
                </pic:pic>
              </a:graphicData>
            </a:graphic>
          </wp:inline>
        </w:drawing>
      </w:r>
    </w:p>
    <w:p w:rsidR="005F616E" w:rsidRDefault="005F616E" w:rsidP="00F4471D">
      <w:pPr>
        <w:shd w:val="clear" w:color="auto" w:fill="FFFFFF"/>
        <w:spacing w:after="0"/>
        <w:jc w:val="center"/>
        <w:textAlignment w:val="baseline"/>
        <w:outlineLvl w:val="0"/>
        <w:rPr>
          <w:rFonts w:eastAsia="Times New Roman" w:cs="Times New Roman"/>
          <w:b/>
          <w:color w:val="000000"/>
          <w:kern w:val="36"/>
          <w:sz w:val="44"/>
          <w:szCs w:val="44"/>
          <w:lang w:eastAsia="en-AU"/>
        </w:rPr>
      </w:pPr>
    </w:p>
    <w:p w:rsidR="00446186" w:rsidRPr="001E38D0" w:rsidRDefault="00D547E1" w:rsidP="00F4471D">
      <w:pPr>
        <w:shd w:val="clear" w:color="auto" w:fill="FFFFFF"/>
        <w:spacing w:after="0"/>
        <w:jc w:val="center"/>
        <w:textAlignment w:val="baseline"/>
        <w:outlineLvl w:val="0"/>
        <w:rPr>
          <w:rFonts w:eastAsia="Times New Roman" w:cs="Times New Roman"/>
          <w:b/>
          <w:color w:val="000000"/>
          <w:kern w:val="36"/>
          <w:sz w:val="44"/>
          <w:szCs w:val="44"/>
          <w:lang w:eastAsia="en-AU"/>
        </w:rPr>
      </w:pPr>
      <w:r w:rsidRPr="001E38D0">
        <w:rPr>
          <w:rFonts w:eastAsia="Times New Roman" w:cs="Times New Roman"/>
          <w:b/>
          <w:color w:val="000000"/>
          <w:kern w:val="36"/>
          <w:sz w:val="44"/>
          <w:szCs w:val="44"/>
          <w:lang w:eastAsia="en-AU"/>
        </w:rPr>
        <w:t xml:space="preserve">Bankruptcy </w:t>
      </w:r>
      <w:r w:rsidR="006A115F" w:rsidRPr="001E38D0">
        <w:rPr>
          <w:rFonts w:eastAsia="Times New Roman" w:cs="Times New Roman"/>
          <w:b/>
          <w:color w:val="000000"/>
          <w:kern w:val="36"/>
          <w:sz w:val="44"/>
          <w:szCs w:val="44"/>
          <w:lang w:eastAsia="en-AU"/>
        </w:rPr>
        <w:t>Info</w:t>
      </w:r>
      <w:r w:rsidR="001F3BB9" w:rsidRPr="001E38D0">
        <w:rPr>
          <w:rFonts w:eastAsia="Times New Roman" w:cs="Times New Roman"/>
          <w:b/>
          <w:color w:val="000000"/>
          <w:kern w:val="36"/>
          <w:sz w:val="44"/>
          <w:szCs w:val="44"/>
          <w:lang w:eastAsia="en-AU"/>
        </w:rPr>
        <w:t>rmation</w:t>
      </w:r>
      <w:r w:rsidRPr="001E38D0">
        <w:rPr>
          <w:rFonts w:eastAsia="Times New Roman" w:cs="Times New Roman"/>
          <w:b/>
          <w:color w:val="000000"/>
          <w:kern w:val="36"/>
          <w:sz w:val="44"/>
          <w:szCs w:val="44"/>
          <w:lang w:eastAsia="en-AU"/>
        </w:rPr>
        <w:t xml:space="preserve"> Sheet </w:t>
      </w:r>
      <w:r w:rsidR="001E38D0">
        <w:rPr>
          <w:rFonts w:eastAsia="Times New Roman" w:cs="Times New Roman"/>
          <w:b/>
          <w:color w:val="000000"/>
          <w:kern w:val="36"/>
          <w:sz w:val="44"/>
          <w:szCs w:val="44"/>
          <w:lang w:eastAsia="en-AU"/>
        </w:rPr>
        <w:t>5</w:t>
      </w:r>
      <w:r w:rsidR="001A0806" w:rsidRPr="001E38D0">
        <w:rPr>
          <w:rFonts w:eastAsia="Times New Roman" w:cs="Times New Roman"/>
          <w:b/>
          <w:color w:val="000000"/>
          <w:kern w:val="36"/>
          <w:sz w:val="44"/>
          <w:szCs w:val="44"/>
          <w:lang w:eastAsia="en-AU"/>
        </w:rPr>
        <w:t>:</w:t>
      </w:r>
    </w:p>
    <w:p w:rsidR="00407A22" w:rsidRPr="001E38D0" w:rsidRDefault="00407A22" w:rsidP="00F4471D">
      <w:pPr>
        <w:shd w:val="clear" w:color="auto" w:fill="FFFFFF"/>
        <w:spacing w:after="0"/>
        <w:jc w:val="center"/>
        <w:textAlignment w:val="baseline"/>
        <w:outlineLvl w:val="0"/>
        <w:rPr>
          <w:rFonts w:eastAsia="Times New Roman" w:cs="Times New Roman"/>
          <w:b/>
          <w:color w:val="000000"/>
          <w:kern w:val="36"/>
          <w:sz w:val="44"/>
          <w:szCs w:val="44"/>
          <w:lang w:eastAsia="en-AU"/>
        </w:rPr>
      </w:pPr>
      <w:r w:rsidRPr="001E38D0">
        <w:rPr>
          <w:rFonts w:eastAsia="Times New Roman" w:cs="Times New Roman"/>
          <w:b/>
          <w:color w:val="000000"/>
          <w:kern w:val="36"/>
          <w:sz w:val="44"/>
          <w:szCs w:val="44"/>
          <w:lang w:eastAsia="en-AU"/>
        </w:rPr>
        <w:t>Substituted Service</w:t>
      </w:r>
      <w:r w:rsidR="009B727B" w:rsidRPr="001E38D0">
        <w:rPr>
          <w:rFonts w:eastAsia="Times New Roman" w:cs="Times New Roman"/>
          <w:b/>
          <w:color w:val="000000"/>
          <w:kern w:val="36"/>
          <w:sz w:val="44"/>
          <w:szCs w:val="44"/>
          <w:lang w:eastAsia="en-AU"/>
        </w:rPr>
        <w:t xml:space="preserve"> Applications </w:t>
      </w:r>
    </w:p>
    <w:p w:rsidR="00446186" w:rsidRPr="00005CB6" w:rsidRDefault="00446186" w:rsidP="00F4471D">
      <w:pPr>
        <w:shd w:val="clear" w:color="auto" w:fill="FFFFFF"/>
        <w:spacing w:after="0"/>
        <w:jc w:val="both"/>
        <w:textAlignment w:val="baseline"/>
        <w:rPr>
          <w:rFonts w:eastAsia="Times New Roman" w:cs="Times New Roman"/>
          <w:sz w:val="24"/>
          <w:szCs w:val="24"/>
          <w:lang w:eastAsia="en-AU"/>
        </w:rPr>
      </w:pPr>
    </w:p>
    <w:p w:rsidR="001B0334" w:rsidRPr="00794560" w:rsidRDefault="001B0334" w:rsidP="001B0334">
      <w:pPr>
        <w:spacing w:line="23" w:lineRule="atLeast"/>
        <w:jc w:val="both"/>
        <w:rPr>
          <w:rFonts w:cs="Times New Roman"/>
          <w:b/>
          <w:sz w:val="28"/>
          <w:szCs w:val="28"/>
        </w:rPr>
      </w:pPr>
      <w:r w:rsidRPr="00794560">
        <w:rPr>
          <w:rFonts w:cs="Times New Roman"/>
          <w:b/>
          <w:sz w:val="28"/>
          <w:szCs w:val="28"/>
        </w:rPr>
        <w:t xml:space="preserve">About this </w:t>
      </w:r>
      <w:r w:rsidR="00AF0981">
        <w:rPr>
          <w:rFonts w:cs="Times New Roman"/>
          <w:b/>
          <w:sz w:val="28"/>
          <w:szCs w:val="28"/>
        </w:rPr>
        <w:t>i</w:t>
      </w:r>
      <w:r w:rsidR="006A115F">
        <w:rPr>
          <w:rFonts w:cs="Times New Roman"/>
          <w:b/>
          <w:sz w:val="28"/>
          <w:szCs w:val="28"/>
        </w:rPr>
        <w:t>nfo</w:t>
      </w:r>
      <w:r w:rsidR="000B7636">
        <w:rPr>
          <w:rFonts w:cs="Times New Roman"/>
          <w:b/>
          <w:sz w:val="28"/>
          <w:szCs w:val="28"/>
        </w:rPr>
        <w:t>rmation</w:t>
      </w:r>
      <w:r w:rsidRPr="00794560">
        <w:rPr>
          <w:rFonts w:cs="Times New Roman"/>
          <w:b/>
          <w:sz w:val="28"/>
          <w:szCs w:val="28"/>
        </w:rPr>
        <w:t xml:space="preserve"> </w:t>
      </w:r>
      <w:r w:rsidR="00AF0981">
        <w:rPr>
          <w:rFonts w:cs="Times New Roman"/>
          <w:b/>
          <w:sz w:val="28"/>
          <w:szCs w:val="28"/>
        </w:rPr>
        <w:t>s</w:t>
      </w:r>
      <w:r w:rsidRPr="00794560">
        <w:rPr>
          <w:rFonts w:cs="Times New Roman"/>
          <w:b/>
          <w:sz w:val="28"/>
          <w:szCs w:val="28"/>
        </w:rPr>
        <w:t xml:space="preserve">heet </w:t>
      </w:r>
    </w:p>
    <w:p w:rsidR="008000E9" w:rsidRDefault="00AF0981" w:rsidP="001B0334">
      <w:pPr>
        <w:shd w:val="clear" w:color="auto" w:fill="FFFFFF"/>
        <w:spacing w:after="240"/>
        <w:jc w:val="both"/>
        <w:textAlignment w:val="baseline"/>
        <w:rPr>
          <w:rFonts w:eastAsia="Times New Roman" w:cs="Times New Roman"/>
          <w:sz w:val="24"/>
          <w:szCs w:val="24"/>
          <w:lang w:eastAsia="en-AU"/>
        </w:rPr>
      </w:pPr>
      <w:r>
        <w:rPr>
          <w:rFonts w:eastAsia="Times New Roman" w:cs="Times New Roman"/>
          <w:sz w:val="24"/>
          <w:szCs w:val="24"/>
          <w:lang w:eastAsia="en-AU"/>
        </w:rPr>
        <w:t>This i</w:t>
      </w:r>
      <w:r w:rsidR="006E4F15">
        <w:rPr>
          <w:rFonts w:eastAsia="Times New Roman" w:cs="Times New Roman"/>
          <w:sz w:val="24"/>
          <w:szCs w:val="24"/>
          <w:lang w:eastAsia="en-AU"/>
        </w:rPr>
        <w:t xml:space="preserve">nformation </w:t>
      </w:r>
      <w:r>
        <w:rPr>
          <w:rFonts w:eastAsia="Times New Roman" w:cs="Times New Roman"/>
          <w:sz w:val="24"/>
          <w:szCs w:val="24"/>
          <w:lang w:eastAsia="en-AU"/>
        </w:rPr>
        <w:t>s</w:t>
      </w:r>
      <w:r w:rsidR="008000E9">
        <w:rPr>
          <w:rFonts w:eastAsia="Times New Roman" w:cs="Times New Roman"/>
          <w:sz w:val="24"/>
          <w:szCs w:val="24"/>
          <w:lang w:eastAsia="en-AU"/>
        </w:rPr>
        <w:t xml:space="preserve">heet </w:t>
      </w:r>
      <w:r w:rsidR="0014273C">
        <w:rPr>
          <w:rFonts w:eastAsia="Times New Roman" w:cs="Times New Roman"/>
          <w:sz w:val="24"/>
          <w:szCs w:val="24"/>
          <w:lang w:eastAsia="en-AU"/>
        </w:rPr>
        <w:t xml:space="preserve">explains how to apply for a substituted service order and provides a brief guide on the affidavit evidence that should accompany these applications. </w:t>
      </w:r>
    </w:p>
    <w:p w:rsidR="009B0A38" w:rsidRDefault="0073292F" w:rsidP="001B0334">
      <w:pPr>
        <w:shd w:val="clear" w:color="auto" w:fill="FFFFFF"/>
        <w:spacing w:after="240"/>
        <w:jc w:val="both"/>
        <w:textAlignment w:val="baseline"/>
        <w:rPr>
          <w:rFonts w:eastAsia="Times New Roman" w:cs="Times New Roman"/>
          <w:sz w:val="24"/>
          <w:szCs w:val="24"/>
          <w:lang w:eastAsia="en-AU"/>
        </w:rPr>
      </w:pPr>
      <w:r w:rsidRPr="00005CB6">
        <w:rPr>
          <w:rFonts w:eastAsia="Times New Roman" w:cs="Times New Roman"/>
          <w:sz w:val="24"/>
          <w:szCs w:val="24"/>
          <w:lang w:eastAsia="en-AU"/>
        </w:rPr>
        <w:t>Applications for ord</w:t>
      </w:r>
      <w:r w:rsidR="00AF0981">
        <w:rPr>
          <w:rFonts w:eastAsia="Times New Roman" w:cs="Times New Roman"/>
          <w:sz w:val="24"/>
          <w:szCs w:val="24"/>
          <w:lang w:eastAsia="en-AU"/>
        </w:rPr>
        <w:t>ers for substituted service of bankruptcy notices or creditor’s p</w:t>
      </w:r>
      <w:r w:rsidRPr="00005CB6">
        <w:rPr>
          <w:rFonts w:eastAsia="Times New Roman" w:cs="Times New Roman"/>
          <w:sz w:val="24"/>
          <w:szCs w:val="24"/>
          <w:lang w:eastAsia="en-AU"/>
        </w:rPr>
        <w:t xml:space="preserve">etitions will ordinarily be dealt with </w:t>
      </w:r>
      <w:r w:rsidR="00EE36EA" w:rsidRPr="00005CB6">
        <w:rPr>
          <w:rFonts w:eastAsia="Times New Roman" w:cs="Times New Roman"/>
          <w:sz w:val="24"/>
          <w:szCs w:val="24"/>
          <w:lang w:eastAsia="en-AU"/>
        </w:rPr>
        <w:t xml:space="preserve">by a </w:t>
      </w:r>
      <w:r w:rsidR="006E4F15">
        <w:rPr>
          <w:rFonts w:eastAsia="Times New Roman" w:cs="Times New Roman"/>
          <w:sz w:val="24"/>
          <w:szCs w:val="24"/>
          <w:lang w:eastAsia="en-AU"/>
        </w:rPr>
        <w:t xml:space="preserve">Judicial </w:t>
      </w:r>
      <w:r w:rsidR="00EE36EA" w:rsidRPr="00005CB6">
        <w:rPr>
          <w:rFonts w:eastAsia="Times New Roman" w:cs="Times New Roman"/>
          <w:sz w:val="24"/>
          <w:szCs w:val="24"/>
          <w:lang w:eastAsia="en-AU"/>
        </w:rPr>
        <w:t xml:space="preserve">Registrar </w:t>
      </w:r>
      <w:r w:rsidRPr="00005CB6">
        <w:rPr>
          <w:rFonts w:eastAsia="Times New Roman" w:cs="Times New Roman"/>
          <w:sz w:val="24"/>
          <w:szCs w:val="24"/>
          <w:lang w:eastAsia="en-AU"/>
        </w:rPr>
        <w:t xml:space="preserve">online by hearing in </w:t>
      </w:r>
      <w:proofErr w:type="spellStart"/>
      <w:r w:rsidRPr="00005CB6">
        <w:rPr>
          <w:rFonts w:eastAsia="Times New Roman" w:cs="Times New Roman"/>
          <w:sz w:val="24"/>
          <w:szCs w:val="24"/>
          <w:lang w:eastAsia="en-AU"/>
        </w:rPr>
        <w:t>eCourtroom</w:t>
      </w:r>
      <w:proofErr w:type="spellEnd"/>
      <w:r w:rsidRPr="00005CB6">
        <w:rPr>
          <w:rFonts w:eastAsia="Times New Roman" w:cs="Times New Roman"/>
          <w:sz w:val="24"/>
          <w:szCs w:val="24"/>
          <w:lang w:eastAsia="en-AU"/>
        </w:rPr>
        <w:t xml:space="preserve">.  </w:t>
      </w:r>
      <w:proofErr w:type="spellStart"/>
      <w:proofErr w:type="gramStart"/>
      <w:r w:rsidRPr="00005CB6">
        <w:rPr>
          <w:rFonts w:eastAsia="Times New Roman" w:cs="Times New Roman"/>
          <w:sz w:val="24"/>
          <w:szCs w:val="24"/>
          <w:lang w:eastAsia="en-AU"/>
        </w:rPr>
        <w:t>eCourtroom</w:t>
      </w:r>
      <w:proofErr w:type="spellEnd"/>
      <w:proofErr w:type="gramEnd"/>
      <w:r w:rsidRPr="00005CB6">
        <w:rPr>
          <w:rFonts w:eastAsia="Times New Roman" w:cs="Times New Roman"/>
          <w:sz w:val="24"/>
          <w:szCs w:val="24"/>
          <w:lang w:eastAsia="en-AU"/>
        </w:rPr>
        <w:t xml:space="preserve"> is a virtual courtroom that assists in the management of pre-trial matters by allowing directions and other orders to be made online.</w:t>
      </w:r>
      <w:r w:rsidR="009B0A38" w:rsidRPr="00005CB6">
        <w:rPr>
          <w:rFonts w:eastAsia="Times New Roman" w:cs="Times New Roman"/>
          <w:sz w:val="24"/>
          <w:szCs w:val="24"/>
          <w:lang w:eastAsia="en-AU"/>
        </w:rPr>
        <w:t xml:space="preserve"> </w:t>
      </w:r>
      <w:r w:rsidR="001B0334">
        <w:rPr>
          <w:rFonts w:eastAsia="Times New Roman" w:cs="Times New Roman"/>
          <w:sz w:val="24"/>
          <w:szCs w:val="24"/>
          <w:lang w:eastAsia="en-AU"/>
        </w:rPr>
        <w:t xml:space="preserve">Further information on </w:t>
      </w:r>
      <w:proofErr w:type="spellStart"/>
      <w:r w:rsidR="001B0334">
        <w:rPr>
          <w:rFonts w:eastAsia="Times New Roman" w:cs="Times New Roman"/>
          <w:sz w:val="24"/>
          <w:szCs w:val="24"/>
          <w:lang w:eastAsia="en-AU"/>
        </w:rPr>
        <w:t>eCourtroom</w:t>
      </w:r>
      <w:proofErr w:type="spellEnd"/>
      <w:r w:rsidR="001B0334">
        <w:rPr>
          <w:rFonts w:eastAsia="Times New Roman" w:cs="Times New Roman"/>
          <w:sz w:val="24"/>
          <w:szCs w:val="24"/>
          <w:lang w:eastAsia="en-AU"/>
        </w:rPr>
        <w:t xml:space="preserve"> and the Court’s </w:t>
      </w:r>
      <w:r w:rsidR="00AF0981">
        <w:rPr>
          <w:rFonts w:eastAsia="Times New Roman" w:cs="Times New Roman"/>
          <w:sz w:val="24"/>
          <w:szCs w:val="24"/>
          <w:lang w:eastAsia="en-AU"/>
        </w:rPr>
        <w:t>online s</w:t>
      </w:r>
      <w:r w:rsidR="006E4F15">
        <w:rPr>
          <w:rFonts w:eastAsia="Times New Roman" w:cs="Times New Roman"/>
          <w:sz w:val="24"/>
          <w:szCs w:val="24"/>
          <w:lang w:eastAsia="en-AU"/>
        </w:rPr>
        <w:t>ervices</w:t>
      </w:r>
      <w:r w:rsidR="001B0334">
        <w:rPr>
          <w:rFonts w:eastAsia="Times New Roman" w:cs="Times New Roman"/>
          <w:sz w:val="24"/>
          <w:szCs w:val="24"/>
          <w:lang w:eastAsia="en-AU"/>
        </w:rPr>
        <w:t xml:space="preserve"> is </w:t>
      </w:r>
      <w:r w:rsidR="009B727B">
        <w:rPr>
          <w:rFonts w:eastAsia="Times New Roman" w:cs="Times New Roman"/>
          <w:sz w:val="24"/>
          <w:szCs w:val="24"/>
          <w:lang w:eastAsia="en-AU"/>
        </w:rPr>
        <w:t xml:space="preserve">set out at </w:t>
      </w:r>
      <w:r w:rsidR="00633CB7">
        <w:rPr>
          <w:rFonts w:eastAsia="Times New Roman" w:cs="Times New Roman"/>
          <w:sz w:val="24"/>
          <w:szCs w:val="24"/>
          <w:lang w:eastAsia="en-AU"/>
        </w:rPr>
        <w:t>sections</w:t>
      </w:r>
      <w:r w:rsidR="009B727B">
        <w:rPr>
          <w:rFonts w:eastAsia="Times New Roman" w:cs="Times New Roman"/>
          <w:sz w:val="24"/>
          <w:szCs w:val="24"/>
          <w:lang w:eastAsia="en-AU"/>
        </w:rPr>
        <w:t xml:space="preserve"> [</w:t>
      </w:r>
      <w:r w:rsidR="00633CB7">
        <w:rPr>
          <w:rFonts w:eastAsia="Times New Roman" w:cs="Times New Roman"/>
          <w:sz w:val="24"/>
          <w:szCs w:val="24"/>
          <w:lang w:eastAsia="en-AU"/>
        </w:rPr>
        <w:t>7</w:t>
      </w:r>
      <w:r w:rsidR="009B727B">
        <w:rPr>
          <w:rFonts w:eastAsia="Times New Roman" w:cs="Times New Roman"/>
          <w:sz w:val="24"/>
          <w:szCs w:val="24"/>
          <w:lang w:eastAsia="en-AU"/>
        </w:rPr>
        <w:t>]</w:t>
      </w:r>
      <w:r w:rsidR="00633CB7">
        <w:rPr>
          <w:rFonts w:eastAsia="Times New Roman" w:cs="Times New Roman"/>
          <w:sz w:val="24"/>
          <w:szCs w:val="24"/>
          <w:lang w:eastAsia="en-AU"/>
        </w:rPr>
        <w:t xml:space="preserve"> and [8]</w:t>
      </w:r>
      <w:r w:rsidR="009B727B">
        <w:rPr>
          <w:rFonts w:eastAsia="Times New Roman" w:cs="Times New Roman"/>
          <w:sz w:val="24"/>
          <w:szCs w:val="24"/>
          <w:lang w:eastAsia="en-AU"/>
        </w:rPr>
        <w:t xml:space="preserve"> </w:t>
      </w:r>
      <w:r w:rsidR="00AF0981">
        <w:rPr>
          <w:rFonts w:eastAsia="Times New Roman" w:cs="Times New Roman"/>
          <w:sz w:val="24"/>
          <w:szCs w:val="24"/>
          <w:lang w:eastAsia="en-AU"/>
        </w:rPr>
        <w:t>of this i</w:t>
      </w:r>
      <w:r w:rsidR="006E4F15">
        <w:rPr>
          <w:rFonts w:eastAsia="Times New Roman" w:cs="Times New Roman"/>
          <w:sz w:val="24"/>
          <w:szCs w:val="24"/>
          <w:lang w:eastAsia="en-AU"/>
        </w:rPr>
        <w:t xml:space="preserve">nformation </w:t>
      </w:r>
      <w:r w:rsidR="00AF0981">
        <w:rPr>
          <w:rFonts w:eastAsia="Times New Roman" w:cs="Times New Roman"/>
          <w:sz w:val="24"/>
          <w:szCs w:val="24"/>
          <w:lang w:eastAsia="en-AU"/>
        </w:rPr>
        <w:t>s</w:t>
      </w:r>
      <w:r w:rsidR="00633CB7">
        <w:rPr>
          <w:rFonts w:eastAsia="Times New Roman" w:cs="Times New Roman"/>
          <w:sz w:val="24"/>
          <w:szCs w:val="24"/>
          <w:lang w:eastAsia="en-AU"/>
        </w:rPr>
        <w:t>heet</w:t>
      </w:r>
      <w:r w:rsidR="00136914">
        <w:rPr>
          <w:rFonts w:eastAsia="Times New Roman" w:cs="Times New Roman"/>
          <w:sz w:val="24"/>
          <w:szCs w:val="24"/>
          <w:lang w:eastAsia="en-AU"/>
        </w:rPr>
        <w:t>.</w:t>
      </w:r>
      <w:r w:rsidR="001B0334">
        <w:rPr>
          <w:rFonts w:eastAsia="Times New Roman" w:cs="Times New Roman"/>
          <w:sz w:val="24"/>
          <w:szCs w:val="24"/>
          <w:lang w:eastAsia="en-AU"/>
        </w:rPr>
        <w:t xml:space="preserve"> </w:t>
      </w:r>
    </w:p>
    <w:p w:rsidR="001B0334" w:rsidRPr="00C74C5E" w:rsidRDefault="001B0334" w:rsidP="001B0334">
      <w:pPr>
        <w:spacing w:after="240" w:line="23" w:lineRule="atLeast"/>
        <w:jc w:val="both"/>
        <w:rPr>
          <w:rFonts w:cs="Times New Roman"/>
          <w:sz w:val="24"/>
          <w:szCs w:val="24"/>
        </w:rPr>
      </w:pPr>
      <w:r w:rsidRPr="00C74C5E">
        <w:rPr>
          <w:rFonts w:cs="Times New Roman"/>
          <w:sz w:val="24"/>
          <w:szCs w:val="24"/>
        </w:rPr>
        <w:t xml:space="preserve">It is important to note the following information.  </w:t>
      </w:r>
    </w:p>
    <w:p w:rsidR="001B0334" w:rsidRPr="00C74C5E" w:rsidRDefault="001B0334" w:rsidP="003918BC">
      <w:pPr>
        <w:pStyle w:val="ListParagraph"/>
        <w:numPr>
          <w:ilvl w:val="0"/>
          <w:numId w:val="8"/>
        </w:numPr>
        <w:spacing w:after="240" w:line="23" w:lineRule="atLeast"/>
        <w:ind w:left="714" w:hanging="357"/>
        <w:contextualSpacing w:val="0"/>
        <w:jc w:val="both"/>
        <w:rPr>
          <w:rFonts w:cs="Times New Roman"/>
          <w:sz w:val="24"/>
          <w:szCs w:val="24"/>
        </w:rPr>
      </w:pPr>
      <w:r w:rsidRPr="00C74C5E">
        <w:rPr>
          <w:rFonts w:cs="Times New Roman"/>
          <w:sz w:val="24"/>
          <w:szCs w:val="24"/>
        </w:rPr>
        <w:t xml:space="preserve">This </w:t>
      </w:r>
      <w:r w:rsidR="002D1446">
        <w:rPr>
          <w:rFonts w:cs="Times New Roman"/>
          <w:sz w:val="24"/>
          <w:szCs w:val="24"/>
        </w:rPr>
        <w:t>i</w:t>
      </w:r>
      <w:r w:rsidR="006A115F">
        <w:rPr>
          <w:rFonts w:cs="Times New Roman"/>
          <w:sz w:val="24"/>
          <w:szCs w:val="24"/>
        </w:rPr>
        <w:t>nfo</w:t>
      </w:r>
      <w:r w:rsidR="001F3BB9">
        <w:rPr>
          <w:rFonts w:cs="Times New Roman"/>
          <w:sz w:val="24"/>
          <w:szCs w:val="24"/>
        </w:rPr>
        <w:t>rmation</w:t>
      </w:r>
      <w:r w:rsidR="006E4F15">
        <w:rPr>
          <w:rFonts w:cs="Times New Roman"/>
          <w:sz w:val="24"/>
          <w:szCs w:val="24"/>
        </w:rPr>
        <w:t xml:space="preserve"> </w:t>
      </w:r>
      <w:r w:rsidR="002D1446">
        <w:rPr>
          <w:rFonts w:cs="Times New Roman"/>
          <w:sz w:val="24"/>
          <w:szCs w:val="24"/>
        </w:rPr>
        <w:t>s</w:t>
      </w:r>
      <w:r w:rsidRPr="00C74C5E">
        <w:rPr>
          <w:rFonts w:cs="Times New Roman"/>
          <w:sz w:val="24"/>
          <w:szCs w:val="24"/>
        </w:rPr>
        <w:t xml:space="preserve">heet is published as part of a series of </w:t>
      </w:r>
      <w:r w:rsidR="006A115F">
        <w:rPr>
          <w:rFonts w:cs="Times New Roman"/>
          <w:sz w:val="24"/>
          <w:szCs w:val="24"/>
        </w:rPr>
        <w:t>info</w:t>
      </w:r>
      <w:r w:rsidR="001F3BB9">
        <w:rPr>
          <w:rFonts w:cs="Times New Roman"/>
          <w:sz w:val="24"/>
          <w:szCs w:val="24"/>
        </w:rPr>
        <w:t>rmation</w:t>
      </w:r>
      <w:r w:rsidRPr="00C74C5E">
        <w:rPr>
          <w:rFonts w:cs="Times New Roman"/>
          <w:sz w:val="24"/>
          <w:szCs w:val="24"/>
        </w:rPr>
        <w:t xml:space="preserve"> sheets and practical guides and contains links to the most commonly used forms approved or prescribed by the relevant legislation or court rules. </w:t>
      </w:r>
    </w:p>
    <w:p w:rsidR="001B0334" w:rsidRPr="00C74C5E" w:rsidRDefault="006E4F15" w:rsidP="003918BC">
      <w:pPr>
        <w:pStyle w:val="ListParagraph"/>
        <w:numPr>
          <w:ilvl w:val="0"/>
          <w:numId w:val="8"/>
        </w:numPr>
        <w:spacing w:after="240" w:line="23" w:lineRule="atLeast"/>
        <w:ind w:left="714" w:hanging="357"/>
        <w:contextualSpacing w:val="0"/>
        <w:jc w:val="both"/>
        <w:rPr>
          <w:rFonts w:cs="Times New Roman"/>
          <w:sz w:val="24"/>
          <w:szCs w:val="24"/>
        </w:rPr>
      </w:pPr>
      <w:r>
        <w:rPr>
          <w:sz w:val="24"/>
          <w:szCs w:val="24"/>
        </w:rPr>
        <w:t xml:space="preserve">This </w:t>
      </w:r>
      <w:r w:rsidR="002D1446">
        <w:rPr>
          <w:sz w:val="24"/>
          <w:szCs w:val="24"/>
        </w:rPr>
        <w:t>i</w:t>
      </w:r>
      <w:r w:rsidR="006A115F">
        <w:rPr>
          <w:sz w:val="24"/>
          <w:szCs w:val="24"/>
        </w:rPr>
        <w:t>nfo</w:t>
      </w:r>
      <w:r w:rsidR="001F3BB9">
        <w:rPr>
          <w:sz w:val="24"/>
          <w:szCs w:val="24"/>
        </w:rPr>
        <w:t>rmation</w:t>
      </w:r>
      <w:r>
        <w:rPr>
          <w:sz w:val="24"/>
          <w:szCs w:val="24"/>
        </w:rPr>
        <w:t xml:space="preserve"> </w:t>
      </w:r>
      <w:r w:rsidR="002D1446">
        <w:rPr>
          <w:sz w:val="24"/>
          <w:szCs w:val="24"/>
        </w:rPr>
        <w:t>s</w:t>
      </w:r>
      <w:r w:rsidR="001B0334" w:rsidRPr="00C74C5E">
        <w:rPr>
          <w:sz w:val="24"/>
          <w:szCs w:val="24"/>
        </w:rPr>
        <w:t xml:space="preserve">heet contains general information only and is not a substitute for the </w:t>
      </w:r>
      <w:r w:rsidR="001B0334" w:rsidRPr="00C74C5E">
        <w:rPr>
          <w:i/>
          <w:sz w:val="24"/>
          <w:szCs w:val="24"/>
        </w:rPr>
        <w:t>Bankruptcy Act</w:t>
      </w:r>
      <w:r w:rsidR="00136914">
        <w:rPr>
          <w:i/>
          <w:sz w:val="24"/>
          <w:szCs w:val="24"/>
        </w:rPr>
        <w:t xml:space="preserve"> 1966</w:t>
      </w:r>
      <w:r w:rsidR="001B0334" w:rsidRPr="00C74C5E">
        <w:rPr>
          <w:i/>
          <w:sz w:val="24"/>
          <w:szCs w:val="24"/>
        </w:rPr>
        <w:t xml:space="preserve"> </w:t>
      </w:r>
      <w:r w:rsidR="001B0334" w:rsidRPr="00C74C5E">
        <w:rPr>
          <w:sz w:val="24"/>
          <w:szCs w:val="24"/>
        </w:rPr>
        <w:t xml:space="preserve">or the </w:t>
      </w:r>
      <w:r w:rsidR="001B0334" w:rsidRPr="00C74C5E">
        <w:rPr>
          <w:rFonts w:cs="Times New Roman"/>
          <w:i/>
          <w:sz w:val="24"/>
          <w:szCs w:val="24"/>
        </w:rPr>
        <w:t>Bankruptcy</w:t>
      </w:r>
      <w:r w:rsidR="001B0334" w:rsidRPr="00C74C5E">
        <w:rPr>
          <w:i/>
          <w:sz w:val="24"/>
          <w:szCs w:val="24"/>
        </w:rPr>
        <w:t xml:space="preserve"> Rules</w:t>
      </w:r>
      <w:r w:rsidR="00136914">
        <w:rPr>
          <w:i/>
          <w:sz w:val="24"/>
          <w:szCs w:val="24"/>
        </w:rPr>
        <w:t xml:space="preserve"> 2016</w:t>
      </w:r>
      <w:r w:rsidR="001B0334" w:rsidRPr="00C74C5E">
        <w:rPr>
          <w:sz w:val="24"/>
          <w:szCs w:val="24"/>
        </w:rPr>
        <w:t xml:space="preserve">. To the extent that there is any inconsistency or discrepancy, the </w:t>
      </w:r>
      <w:r w:rsidR="001B0334" w:rsidRPr="00136914">
        <w:rPr>
          <w:sz w:val="24"/>
          <w:szCs w:val="24"/>
        </w:rPr>
        <w:t>Bankruptcy Act</w:t>
      </w:r>
      <w:r w:rsidR="001B0334" w:rsidRPr="00C74C5E">
        <w:rPr>
          <w:sz w:val="24"/>
          <w:szCs w:val="24"/>
        </w:rPr>
        <w:t xml:space="preserve"> and </w:t>
      </w:r>
      <w:r w:rsidR="001B0334" w:rsidRPr="00136914">
        <w:rPr>
          <w:sz w:val="24"/>
          <w:szCs w:val="24"/>
        </w:rPr>
        <w:t>Bankruptcy Rules</w:t>
      </w:r>
      <w:r>
        <w:rPr>
          <w:sz w:val="24"/>
          <w:szCs w:val="24"/>
        </w:rPr>
        <w:t xml:space="preserve"> as interpreted by the Courts</w:t>
      </w:r>
      <w:r w:rsidR="0027471D">
        <w:rPr>
          <w:sz w:val="24"/>
          <w:szCs w:val="24"/>
        </w:rPr>
        <w:t xml:space="preserve"> prevail. L</w:t>
      </w:r>
      <w:r w:rsidR="001B0334" w:rsidRPr="00C74C5E">
        <w:rPr>
          <w:sz w:val="24"/>
          <w:szCs w:val="24"/>
        </w:rPr>
        <w:t>ink</w:t>
      </w:r>
      <w:r w:rsidR="0027471D">
        <w:rPr>
          <w:sz w:val="24"/>
          <w:szCs w:val="24"/>
        </w:rPr>
        <w:t>s</w:t>
      </w:r>
      <w:r w:rsidR="001B0334" w:rsidRPr="00C74C5E">
        <w:rPr>
          <w:sz w:val="24"/>
          <w:szCs w:val="24"/>
        </w:rPr>
        <w:t xml:space="preserve"> to th</w:t>
      </w:r>
      <w:r w:rsidR="0027471D">
        <w:rPr>
          <w:sz w:val="24"/>
          <w:szCs w:val="24"/>
        </w:rPr>
        <w:t>e legislation and court rules are</w:t>
      </w:r>
      <w:r w:rsidR="001B0334" w:rsidRPr="00C74C5E">
        <w:rPr>
          <w:sz w:val="24"/>
          <w:szCs w:val="24"/>
        </w:rPr>
        <w:t xml:space="preserve"> set out below. </w:t>
      </w:r>
    </w:p>
    <w:p w:rsidR="001B0334" w:rsidRPr="00C74C5E" w:rsidRDefault="001B0334" w:rsidP="003918BC">
      <w:pPr>
        <w:pStyle w:val="ListParagraph"/>
        <w:numPr>
          <w:ilvl w:val="0"/>
          <w:numId w:val="8"/>
        </w:numPr>
        <w:spacing w:after="240" w:line="23" w:lineRule="atLeast"/>
        <w:ind w:left="714" w:hanging="357"/>
        <w:contextualSpacing w:val="0"/>
        <w:jc w:val="both"/>
        <w:rPr>
          <w:rFonts w:cs="Times New Roman"/>
          <w:sz w:val="24"/>
          <w:szCs w:val="24"/>
        </w:rPr>
      </w:pPr>
      <w:r w:rsidRPr="00C74C5E">
        <w:rPr>
          <w:sz w:val="24"/>
          <w:szCs w:val="24"/>
        </w:rPr>
        <w:t xml:space="preserve">While Registry staff can provide practical assistance to litigants they cannot provide legal advice or assist with the content of any document. The onus is on the party presenting the petition to </w:t>
      </w:r>
      <w:r>
        <w:rPr>
          <w:sz w:val="24"/>
          <w:szCs w:val="24"/>
        </w:rPr>
        <w:t>undertake their own enquiries and assessment of the legal issues</w:t>
      </w:r>
      <w:r w:rsidRPr="00C74C5E">
        <w:rPr>
          <w:sz w:val="24"/>
          <w:szCs w:val="24"/>
        </w:rPr>
        <w:t xml:space="preserve">. </w:t>
      </w:r>
    </w:p>
    <w:p w:rsidR="001B0334" w:rsidRPr="004951AE" w:rsidRDefault="001B0334" w:rsidP="001B0334">
      <w:pPr>
        <w:spacing w:line="23" w:lineRule="atLeast"/>
        <w:jc w:val="both"/>
        <w:rPr>
          <w:sz w:val="24"/>
          <w:szCs w:val="24"/>
        </w:rPr>
      </w:pPr>
      <w:r w:rsidRPr="004951AE">
        <w:rPr>
          <w:sz w:val="24"/>
          <w:szCs w:val="24"/>
        </w:rPr>
        <w:t xml:space="preserve">References and </w:t>
      </w:r>
      <w:r w:rsidR="00136914">
        <w:rPr>
          <w:sz w:val="24"/>
          <w:szCs w:val="24"/>
        </w:rPr>
        <w:t>l</w:t>
      </w:r>
      <w:r w:rsidRPr="004951AE">
        <w:rPr>
          <w:sz w:val="24"/>
          <w:szCs w:val="24"/>
        </w:rPr>
        <w:t>i</w:t>
      </w:r>
      <w:r w:rsidR="00730CB1">
        <w:rPr>
          <w:sz w:val="24"/>
          <w:szCs w:val="24"/>
        </w:rPr>
        <w:t>nks to legislation, c</w:t>
      </w:r>
      <w:r w:rsidRPr="004951AE">
        <w:rPr>
          <w:sz w:val="24"/>
          <w:szCs w:val="24"/>
        </w:rPr>
        <w:t xml:space="preserve">ourt </w:t>
      </w:r>
      <w:r w:rsidR="00730CB1">
        <w:rPr>
          <w:sz w:val="24"/>
          <w:szCs w:val="24"/>
        </w:rPr>
        <w:t>rules and approved f</w:t>
      </w:r>
      <w:r w:rsidRPr="004951AE">
        <w:rPr>
          <w:sz w:val="24"/>
          <w:szCs w:val="24"/>
        </w:rPr>
        <w:t>orms:</w:t>
      </w:r>
    </w:p>
    <w:p w:rsidR="001B0334" w:rsidRPr="00136914" w:rsidRDefault="00407BA7" w:rsidP="003918BC">
      <w:pPr>
        <w:pStyle w:val="ListParagraph"/>
        <w:numPr>
          <w:ilvl w:val="1"/>
          <w:numId w:val="1"/>
        </w:numPr>
        <w:shd w:val="clear" w:color="auto" w:fill="FFFFFF"/>
        <w:spacing w:before="100" w:beforeAutospacing="1" w:after="100" w:afterAutospacing="1" w:line="23" w:lineRule="atLeast"/>
        <w:ind w:left="851" w:hanging="284"/>
        <w:jc w:val="both"/>
        <w:rPr>
          <w:rFonts w:cs="Times New Roman"/>
          <w:i/>
          <w:sz w:val="24"/>
          <w:szCs w:val="24"/>
        </w:rPr>
      </w:pPr>
      <w:hyperlink r:id="rId9" w:history="1">
        <w:r w:rsidR="001B0334" w:rsidRPr="00136914">
          <w:rPr>
            <w:rStyle w:val="Hyperlink"/>
            <w:i/>
            <w:sz w:val="24"/>
            <w:szCs w:val="24"/>
          </w:rPr>
          <w:t>Bankruptcy Act 1966</w:t>
        </w:r>
      </w:hyperlink>
      <w:r w:rsidR="00136914">
        <w:rPr>
          <w:rStyle w:val="Emphasis"/>
          <w:rFonts w:cs="Times New Roman"/>
          <w:sz w:val="24"/>
          <w:szCs w:val="24"/>
        </w:rPr>
        <w:t xml:space="preserve"> </w:t>
      </w:r>
      <w:r w:rsidR="0011206D">
        <w:rPr>
          <w:rStyle w:val="Emphasis"/>
          <w:rFonts w:cs="Times New Roman"/>
          <w:i w:val="0"/>
          <w:sz w:val="24"/>
          <w:szCs w:val="24"/>
        </w:rPr>
        <w:t xml:space="preserve">(the </w:t>
      </w:r>
      <w:r w:rsidR="00136914" w:rsidRPr="00136914">
        <w:rPr>
          <w:rStyle w:val="Emphasis"/>
          <w:rFonts w:cs="Times New Roman"/>
          <w:i w:val="0"/>
          <w:sz w:val="24"/>
          <w:szCs w:val="24"/>
        </w:rPr>
        <w:t>Bankruptcy Act</w:t>
      </w:r>
      <w:r w:rsidR="001B0334" w:rsidRPr="00136914">
        <w:rPr>
          <w:rStyle w:val="Emphasis"/>
          <w:rFonts w:cs="Times New Roman"/>
          <w:i w:val="0"/>
          <w:sz w:val="24"/>
          <w:szCs w:val="24"/>
        </w:rPr>
        <w:t>)</w:t>
      </w:r>
      <w:r w:rsidR="001B0334" w:rsidRPr="00136914">
        <w:rPr>
          <w:rStyle w:val="Emphasis"/>
          <w:rFonts w:cs="Times New Roman"/>
          <w:sz w:val="24"/>
          <w:szCs w:val="24"/>
        </w:rPr>
        <w:t xml:space="preserve"> </w:t>
      </w:r>
    </w:p>
    <w:p w:rsidR="001B0334" w:rsidRPr="00136914" w:rsidRDefault="00407BA7" w:rsidP="003918BC">
      <w:pPr>
        <w:pStyle w:val="ListParagraph"/>
        <w:numPr>
          <w:ilvl w:val="1"/>
          <w:numId w:val="1"/>
        </w:numPr>
        <w:shd w:val="clear" w:color="auto" w:fill="FFFFFF"/>
        <w:spacing w:before="100" w:beforeAutospacing="1" w:after="100" w:afterAutospacing="1" w:line="23" w:lineRule="atLeast"/>
        <w:ind w:left="851" w:hanging="284"/>
        <w:jc w:val="both"/>
        <w:rPr>
          <w:rStyle w:val="Hyperlink"/>
          <w:i/>
          <w:iCs/>
          <w:sz w:val="24"/>
          <w:szCs w:val="24"/>
        </w:rPr>
      </w:pPr>
      <w:hyperlink r:id="rId10" w:history="1">
        <w:r w:rsidR="001B0334" w:rsidRPr="00136914">
          <w:rPr>
            <w:rStyle w:val="Hyperlink"/>
            <w:i/>
            <w:sz w:val="24"/>
            <w:szCs w:val="24"/>
          </w:rPr>
          <w:t>Federal Court (Bankruptcy) Rules 2016</w:t>
        </w:r>
      </w:hyperlink>
      <w:r w:rsidR="001B0334" w:rsidRPr="00136914">
        <w:rPr>
          <w:rStyle w:val="Hyperlink"/>
          <w:rFonts w:cs="Times New Roman"/>
          <w:i/>
          <w:iCs/>
          <w:color w:val="auto"/>
          <w:sz w:val="24"/>
          <w:szCs w:val="24"/>
          <w:u w:val="none"/>
        </w:rPr>
        <w:t xml:space="preserve"> </w:t>
      </w:r>
      <w:r w:rsidR="001B0334" w:rsidRPr="00136914">
        <w:rPr>
          <w:rStyle w:val="Hyperlink"/>
          <w:rFonts w:cs="Times New Roman"/>
          <w:iCs/>
          <w:color w:val="auto"/>
          <w:sz w:val="24"/>
          <w:szCs w:val="24"/>
          <w:u w:val="none"/>
        </w:rPr>
        <w:t xml:space="preserve">(the </w:t>
      </w:r>
      <w:r w:rsidR="0011206D">
        <w:rPr>
          <w:rStyle w:val="Hyperlink"/>
          <w:rFonts w:cs="Times New Roman"/>
          <w:iCs/>
          <w:color w:val="auto"/>
          <w:sz w:val="24"/>
          <w:szCs w:val="24"/>
          <w:u w:val="none"/>
        </w:rPr>
        <w:t>Bankruptcy Rules</w:t>
      </w:r>
      <w:r w:rsidR="001B0334" w:rsidRPr="00136914">
        <w:rPr>
          <w:rStyle w:val="Hyperlink"/>
          <w:rFonts w:cs="Times New Roman"/>
          <w:iCs/>
          <w:color w:val="auto"/>
          <w:sz w:val="24"/>
          <w:szCs w:val="24"/>
          <w:u w:val="none"/>
        </w:rPr>
        <w:t xml:space="preserve">) </w:t>
      </w:r>
    </w:p>
    <w:p w:rsidR="001B0334" w:rsidRPr="0011206D" w:rsidRDefault="00407BA7" w:rsidP="003918BC">
      <w:pPr>
        <w:pStyle w:val="ListParagraph"/>
        <w:numPr>
          <w:ilvl w:val="1"/>
          <w:numId w:val="1"/>
        </w:numPr>
        <w:shd w:val="clear" w:color="auto" w:fill="FFFFFF"/>
        <w:spacing w:before="100" w:beforeAutospacing="1" w:after="100" w:afterAutospacing="1" w:line="23" w:lineRule="atLeast"/>
        <w:ind w:left="851" w:hanging="284"/>
        <w:jc w:val="both"/>
        <w:rPr>
          <w:i/>
          <w:color w:val="0000FF" w:themeColor="hyperlink"/>
          <w:sz w:val="24"/>
          <w:szCs w:val="24"/>
          <w:u w:val="single"/>
        </w:rPr>
      </w:pPr>
      <w:hyperlink r:id="rId11" w:history="1">
        <w:r w:rsidR="001B0334" w:rsidRPr="00136914">
          <w:rPr>
            <w:rStyle w:val="Hyperlink"/>
            <w:i/>
            <w:sz w:val="24"/>
            <w:szCs w:val="24"/>
          </w:rPr>
          <w:t xml:space="preserve">Bankruptcy Regulations </w:t>
        </w:r>
      </w:hyperlink>
      <w:r w:rsidR="006E4F15">
        <w:rPr>
          <w:rStyle w:val="Hyperlink"/>
          <w:i/>
          <w:sz w:val="24"/>
          <w:szCs w:val="24"/>
        </w:rPr>
        <w:t>2021</w:t>
      </w:r>
      <w:hyperlink r:id="rId12" w:history="1">
        <w:r w:rsidR="001B0334" w:rsidRPr="00136914">
          <w:rPr>
            <w:rStyle w:val="apple-converted-space"/>
            <w:rFonts w:cs="Times New Roman"/>
            <w:sz w:val="24"/>
            <w:szCs w:val="24"/>
          </w:rPr>
          <w:t> </w:t>
        </w:r>
      </w:hyperlink>
      <w:r w:rsidR="001B0334" w:rsidRPr="00136914">
        <w:rPr>
          <w:rStyle w:val="Emphasis"/>
          <w:rFonts w:cs="Times New Roman"/>
          <w:sz w:val="24"/>
          <w:szCs w:val="24"/>
        </w:rPr>
        <w:t> </w:t>
      </w:r>
      <w:r w:rsidR="00136914">
        <w:rPr>
          <w:rFonts w:cs="Times New Roman"/>
          <w:sz w:val="24"/>
          <w:szCs w:val="24"/>
        </w:rPr>
        <w:t>(</w:t>
      </w:r>
      <w:r w:rsidR="0011206D">
        <w:rPr>
          <w:rFonts w:cs="Times New Roman"/>
          <w:sz w:val="24"/>
          <w:szCs w:val="24"/>
        </w:rPr>
        <w:t>the Regulations</w:t>
      </w:r>
      <w:r w:rsidR="001B0334" w:rsidRPr="00136914">
        <w:rPr>
          <w:rFonts w:cs="Times New Roman"/>
          <w:sz w:val="24"/>
          <w:szCs w:val="24"/>
        </w:rPr>
        <w:t xml:space="preserve">) </w:t>
      </w:r>
    </w:p>
    <w:p w:rsidR="0011206D" w:rsidRDefault="00407BA7" w:rsidP="0011206D">
      <w:pPr>
        <w:pStyle w:val="ListParagraph"/>
        <w:numPr>
          <w:ilvl w:val="1"/>
          <w:numId w:val="1"/>
        </w:numPr>
        <w:shd w:val="clear" w:color="auto" w:fill="FFFFFF"/>
        <w:spacing w:before="100" w:beforeAutospacing="1" w:after="100" w:afterAutospacing="1" w:line="23" w:lineRule="atLeast"/>
        <w:ind w:left="851" w:hanging="284"/>
        <w:jc w:val="both"/>
        <w:rPr>
          <w:rFonts w:cs="Times New Roman"/>
          <w:sz w:val="24"/>
          <w:szCs w:val="24"/>
        </w:rPr>
      </w:pPr>
      <w:hyperlink r:id="rId13" w:history="1">
        <w:r w:rsidR="0011206D" w:rsidRPr="00C60192">
          <w:rPr>
            <w:rStyle w:val="Hyperlink"/>
            <w:i/>
            <w:sz w:val="24"/>
            <w:szCs w:val="24"/>
          </w:rPr>
          <w:t>Federal Court of Australia Act 1976</w:t>
        </w:r>
      </w:hyperlink>
      <w:r w:rsidR="0011206D" w:rsidRPr="00C60192">
        <w:rPr>
          <w:rFonts w:cs="Times New Roman"/>
          <w:sz w:val="24"/>
          <w:szCs w:val="24"/>
        </w:rPr>
        <w:t xml:space="preserve"> </w:t>
      </w:r>
      <w:r w:rsidR="0011206D" w:rsidRPr="00136914">
        <w:rPr>
          <w:rFonts w:cs="Times New Roman"/>
          <w:sz w:val="24"/>
          <w:szCs w:val="24"/>
        </w:rPr>
        <w:t xml:space="preserve">(the </w:t>
      </w:r>
      <w:r w:rsidR="0011206D">
        <w:rPr>
          <w:rFonts w:cs="Times New Roman"/>
          <w:sz w:val="24"/>
          <w:szCs w:val="24"/>
        </w:rPr>
        <w:t>Court</w:t>
      </w:r>
      <w:r w:rsidR="0011206D" w:rsidRPr="00136914">
        <w:rPr>
          <w:rFonts w:cs="Times New Roman"/>
          <w:sz w:val="24"/>
          <w:szCs w:val="24"/>
        </w:rPr>
        <w:t xml:space="preserve"> Act)</w:t>
      </w:r>
      <w:r w:rsidR="0011206D" w:rsidRPr="002069EC">
        <w:rPr>
          <w:rFonts w:cs="Times New Roman"/>
          <w:sz w:val="24"/>
          <w:szCs w:val="24"/>
        </w:rPr>
        <w:t xml:space="preserve"> </w:t>
      </w:r>
    </w:p>
    <w:p w:rsidR="001B0334" w:rsidRPr="00136914" w:rsidRDefault="00407BA7" w:rsidP="003918BC">
      <w:pPr>
        <w:pStyle w:val="ListParagraph"/>
        <w:numPr>
          <w:ilvl w:val="1"/>
          <w:numId w:val="1"/>
        </w:numPr>
        <w:shd w:val="clear" w:color="auto" w:fill="FFFFFF"/>
        <w:spacing w:before="100" w:beforeAutospacing="1" w:after="100" w:afterAutospacing="1" w:line="23" w:lineRule="atLeast"/>
        <w:ind w:left="851" w:hanging="284"/>
        <w:jc w:val="both"/>
        <w:rPr>
          <w:rStyle w:val="Hyperlink"/>
          <w:i/>
          <w:iCs/>
          <w:color w:val="auto"/>
          <w:sz w:val="24"/>
          <w:szCs w:val="24"/>
        </w:rPr>
      </w:pPr>
      <w:hyperlink r:id="rId14" w:history="1">
        <w:r w:rsidR="001B0334" w:rsidRPr="00136914">
          <w:rPr>
            <w:rStyle w:val="Hyperlink"/>
            <w:i/>
            <w:sz w:val="24"/>
            <w:szCs w:val="24"/>
          </w:rPr>
          <w:t>Federal Court Rules 2011</w:t>
        </w:r>
      </w:hyperlink>
      <w:r w:rsidR="001B0334" w:rsidRPr="00136914">
        <w:rPr>
          <w:rStyle w:val="Hyperlink"/>
          <w:rFonts w:cs="Times New Roman"/>
          <w:i/>
          <w:iCs/>
          <w:sz w:val="24"/>
          <w:szCs w:val="24"/>
          <w:u w:val="none"/>
        </w:rPr>
        <w:t xml:space="preserve"> </w:t>
      </w:r>
      <w:r w:rsidR="001B0334" w:rsidRPr="00136914">
        <w:rPr>
          <w:rStyle w:val="Hyperlink"/>
          <w:rFonts w:cs="Times New Roman"/>
          <w:iCs/>
          <w:color w:val="auto"/>
          <w:sz w:val="24"/>
          <w:szCs w:val="24"/>
          <w:u w:val="none"/>
        </w:rPr>
        <w:t xml:space="preserve">(the </w:t>
      </w:r>
      <w:r w:rsidR="00261018">
        <w:rPr>
          <w:rStyle w:val="Hyperlink"/>
          <w:rFonts w:cs="Times New Roman"/>
          <w:iCs/>
          <w:color w:val="auto"/>
          <w:sz w:val="24"/>
          <w:szCs w:val="24"/>
          <w:u w:val="none"/>
        </w:rPr>
        <w:t>Court</w:t>
      </w:r>
      <w:r w:rsidR="00136914" w:rsidRPr="00136914">
        <w:rPr>
          <w:rStyle w:val="Hyperlink"/>
          <w:rFonts w:cs="Times New Roman"/>
          <w:iCs/>
          <w:color w:val="auto"/>
          <w:sz w:val="24"/>
          <w:szCs w:val="24"/>
          <w:u w:val="none"/>
        </w:rPr>
        <w:t xml:space="preserve"> Rules</w:t>
      </w:r>
      <w:r w:rsidR="001B0334" w:rsidRPr="00136914">
        <w:rPr>
          <w:rStyle w:val="Hyperlink"/>
          <w:rFonts w:cs="Times New Roman"/>
          <w:iCs/>
          <w:color w:val="auto"/>
          <w:sz w:val="24"/>
          <w:szCs w:val="24"/>
          <w:u w:val="none"/>
        </w:rPr>
        <w:t xml:space="preserve">) </w:t>
      </w:r>
    </w:p>
    <w:p w:rsidR="00136914" w:rsidRPr="00136914" w:rsidRDefault="00407BA7" w:rsidP="003918BC">
      <w:pPr>
        <w:pStyle w:val="ListParagraph"/>
        <w:numPr>
          <w:ilvl w:val="1"/>
          <w:numId w:val="1"/>
        </w:numPr>
        <w:shd w:val="clear" w:color="auto" w:fill="FFFFFF"/>
        <w:spacing w:before="100" w:beforeAutospacing="1" w:after="100" w:afterAutospacing="1" w:line="23" w:lineRule="atLeast"/>
        <w:ind w:left="851" w:hanging="284"/>
        <w:jc w:val="both"/>
        <w:rPr>
          <w:rFonts w:cs="Times New Roman"/>
          <w:sz w:val="24"/>
          <w:szCs w:val="24"/>
        </w:rPr>
      </w:pPr>
      <w:hyperlink r:id="rId15" w:history="1">
        <w:r w:rsidR="00136914" w:rsidRPr="00136914">
          <w:rPr>
            <w:rStyle w:val="Hyperlink"/>
            <w:sz w:val="24"/>
            <w:szCs w:val="24"/>
            <w:lang w:val="en-US"/>
          </w:rPr>
          <w:t>Prescribed forms</w:t>
        </w:r>
      </w:hyperlink>
      <w:r w:rsidR="00136914" w:rsidRPr="00136914">
        <w:rPr>
          <w:rFonts w:cs="Arial"/>
          <w:sz w:val="24"/>
          <w:szCs w:val="24"/>
          <w:lang w:val="en-US"/>
        </w:rPr>
        <w:t xml:space="preserve"> under the </w:t>
      </w:r>
      <w:r w:rsidR="00136914" w:rsidRPr="00136914">
        <w:rPr>
          <w:rFonts w:cs="Arial"/>
          <w:iCs/>
          <w:sz w:val="24"/>
          <w:szCs w:val="24"/>
          <w:lang w:val="en-US"/>
        </w:rPr>
        <w:t>Regulations</w:t>
      </w:r>
      <w:r w:rsidR="00136914" w:rsidRPr="00136914">
        <w:rPr>
          <w:rFonts w:cs="Arial"/>
          <w:sz w:val="24"/>
          <w:szCs w:val="24"/>
          <w:lang w:val="en-US"/>
        </w:rPr>
        <w:t>   </w:t>
      </w:r>
    </w:p>
    <w:p w:rsidR="00136914" w:rsidRPr="00136914" w:rsidRDefault="00407BA7" w:rsidP="003918BC">
      <w:pPr>
        <w:pStyle w:val="ListParagraph"/>
        <w:numPr>
          <w:ilvl w:val="1"/>
          <w:numId w:val="1"/>
        </w:numPr>
        <w:shd w:val="clear" w:color="auto" w:fill="FFFFFF"/>
        <w:spacing w:before="100" w:beforeAutospacing="1" w:after="100" w:afterAutospacing="1" w:line="23" w:lineRule="atLeast"/>
        <w:ind w:left="851" w:hanging="284"/>
        <w:jc w:val="both"/>
        <w:rPr>
          <w:rFonts w:cs="Times New Roman"/>
          <w:sz w:val="24"/>
          <w:szCs w:val="24"/>
        </w:rPr>
      </w:pPr>
      <w:hyperlink r:id="rId16" w:history="1">
        <w:r w:rsidR="00136914" w:rsidRPr="00136914">
          <w:rPr>
            <w:rStyle w:val="Hyperlink"/>
            <w:sz w:val="24"/>
            <w:szCs w:val="24"/>
            <w:lang w:val="en-US"/>
          </w:rPr>
          <w:t>Approved forms</w:t>
        </w:r>
      </w:hyperlink>
      <w:r w:rsidR="00136914" w:rsidRPr="00136914">
        <w:rPr>
          <w:rFonts w:cs="Arial"/>
          <w:sz w:val="24"/>
          <w:szCs w:val="24"/>
          <w:lang w:val="en-US"/>
        </w:rPr>
        <w:t xml:space="preserve"> under the </w:t>
      </w:r>
      <w:r w:rsidR="00136914" w:rsidRPr="00136914">
        <w:rPr>
          <w:rFonts w:cs="Arial"/>
          <w:iCs/>
          <w:sz w:val="24"/>
          <w:szCs w:val="24"/>
          <w:lang w:val="en-US"/>
        </w:rPr>
        <w:t>Bankruptcy Rules.</w:t>
      </w:r>
    </w:p>
    <w:p w:rsidR="006714CC" w:rsidRPr="00136914" w:rsidRDefault="006714CC" w:rsidP="003918BC">
      <w:pPr>
        <w:pStyle w:val="ListParagraph"/>
        <w:numPr>
          <w:ilvl w:val="1"/>
          <w:numId w:val="1"/>
        </w:numPr>
        <w:shd w:val="clear" w:color="auto" w:fill="FFFFFF"/>
        <w:spacing w:before="100" w:beforeAutospacing="1" w:after="100" w:afterAutospacing="1" w:line="23" w:lineRule="atLeast"/>
        <w:ind w:left="851" w:hanging="284"/>
        <w:jc w:val="both"/>
        <w:rPr>
          <w:rFonts w:cs="Times New Roman"/>
          <w:sz w:val="24"/>
          <w:szCs w:val="24"/>
        </w:rPr>
      </w:pPr>
      <w:r w:rsidRPr="00136914">
        <w:rPr>
          <w:rFonts w:eastAsia="Times New Roman" w:cs="Arial"/>
          <w:b/>
          <w:color w:val="000000"/>
          <w:sz w:val="28"/>
          <w:szCs w:val="24"/>
          <w:lang w:eastAsia="en-AU"/>
        </w:rPr>
        <w:br w:type="page"/>
      </w:r>
    </w:p>
    <w:p w:rsidR="00407A22" w:rsidRDefault="00446186" w:rsidP="003918BC">
      <w:pPr>
        <w:pStyle w:val="ListParagraph"/>
        <w:keepNext/>
        <w:numPr>
          <w:ilvl w:val="0"/>
          <w:numId w:val="3"/>
        </w:numPr>
        <w:shd w:val="clear" w:color="auto" w:fill="FFFFFF"/>
        <w:spacing w:before="360" w:after="240"/>
        <w:ind w:left="567" w:hanging="567"/>
        <w:contextualSpacing w:val="0"/>
        <w:jc w:val="both"/>
        <w:textAlignment w:val="baseline"/>
        <w:outlineLvl w:val="1"/>
        <w:rPr>
          <w:rFonts w:eastAsia="Times New Roman" w:cs="Arial"/>
          <w:b/>
          <w:color w:val="000000"/>
          <w:sz w:val="28"/>
          <w:szCs w:val="24"/>
          <w:lang w:eastAsia="en-AU"/>
        </w:rPr>
      </w:pPr>
      <w:r w:rsidRPr="00005CB6">
        <w:rPr>
          <w:rFonts w:eastAsia="Times New Roman" w:cs="Arial"/>
          <w:b/>
          <w:color w:val="000000"/>
          <w:sz w:val="28"/>
          <w:szCs w:val="24"/>
          <w:lang w:eastAsia="en-AU"/>
        </w:rPr>
        <w:lastRenderedPageBreak/>
        <w:t xml:space="preserve">Nature of </w:t>
      </w:r>
      <w:r w:rsidR="00261018">
        <w:rPr>
          <w:rFonts w:eastAsia="Times New Roman" w:cs="Arial"/>
          <w:b/>
          <w:color w:val="000000"/>
          <w:sz w:val="28"/>
          <w:szCs w:val="24"/>
          <w:lang w:eastAsia="en-AU"/>
        </w:rPr>
        <w:t>a</w:t>
      </w:r>
      <w:r w:rsidRPr="00005CB6">
        <w:rPr>
          <w:rFonts w:eastAsia="Times New Roman" w:cs="Arial"/>
          <w:b/>
          <w:color w:val="000000"/>
          <w:sz w:val="28"/>
          <w:szCs w:val="24"/>
          <w:lang w:eastAsia="en-AU"/>
        </w:rPr>
        <w:t>pplication</w:t>
      </w:r>
      <w:r w:rsidR="006E1CD9" w:rsidRPr="00005CB6">
        <w:rPr>
          <w:rFonts w:eastAsia="Times New Roman" w:cs="Arial"/>
          <w:b/>
          <w:color w:val="000000"/>
          <w:sz w:val="28"/>
          <w:szCs w:val="24"/>
          <w:lang w:eastAsia="en-AU"/>
        </w:rPr>
        <w:t xml:space="preserve"> </w:t>
      </w:r>
    </w:p>
    <w:p w:rsidR="009B0228" w:rsidRPr="00136914" w:rsidRDefault="00261018" w:rsidP="003918BC">
      <w:pPr>
        <w:pStyle w:val="NormalWeb"/>
        <w:keepNext/>
        <w:numPr>
          <w:ilvl w:val="1"/>
          <w:numId w:val="4"/>
        </w:numPr>
        <w:spacing w:before="0" w:beforeAutospacing="0" w:after="240" w:afterAutospacing="0" w:line="276" w:lineRule="auto"/>
        <w:ind w:left="567" w:hanging="567"/>
        <w:jc w:val="both"/>
        <w:rPr>
          <w:rFonts w:asciiTheme="minorHAnsi" w:hAnsiTheme="minorHAnsi"/>
        </w:rPr>
      </w:pPr>
      <w:r>
        <w:rPr>
          <w:rFonts w:asciiTheme="minorHAnsi" w:hAnsiTheme="minorHAnsi"/>
        </w:rPr>
        <w:t xml:space="preserve">Service of a </w:t>
      </w:r>
      <w:r w:rsidR="00AF0981">
        <w:rPr>
          <w:rFonts w:asciiTheme="minorHAnsi" w:hAnsiTheme="minorHAnsi"/>
        </w:rPr>
        <w:t>bankruptcy n</w:t>
      </w:r>
      <w:r w:rsidR="009B0228">
        <w:rPr>
          <w:rFonts w:asciiTheme="minorHAnsi" w:hAnsiTheme="minorHAnsi"/>
        </w:rPr>
        <w:t xml:space="preserve">otice </w:t>
      </w:r>
      <w:r w:rsidR="00C10328">
        <w:rPr>
          <w:rFonts w:asciiTheme="minorHAnsi" w:hAnsiTheme="minorHAnsi"/>
        </w:rPr>
        <w:t xml:space="preserve">on a debtor </w:t>
      </w:r>
      <w:r w:rsidR="00434444">
        <w:rPr>
          <w:rFonts w:asciiTheme="minorHAnsi" w:hAnsiTheme="minorHAnsi"/>
        </w:rPr>
        <w:t>must</w:t>
      </w:r>
      <w:r w:rsidR="00AC55A6">
        <w:rPr>
          <w:rFonts w:asciiTheme="minorHAnsi" w:hAnsiTheme="minorHAnsi"/>
        </w:rPr>
        <w:t xml:space="preserve"> ordinarily</w:t>
      </w:r>
      <w:r w:rsidR="00C7309C">
        <w:rPr>
          <w:rFonts w:asciiTheme="minorHAnsi" w:hAnsiTheme="minorHAnsi"/>
        </w:rPr>
        <w:t xml:space="preserve"> be </w:t>
      </w:r>
      <w:r w:rsidR="009B0228">
        <w:rPr>
          <w:rFonts w:asciiTheme="minorHAnsi" w:hAnsiTheme="minorHAnsi"/>
        </w:rPr>
        <w:t xml:space="preserve">effected in accordance with the </w:t>
      </w:r>
      <w:r w:rsidR="00C10328">
        <w:rPr>
          <w:rFonts w:asciiTheme="minorHAnsi" w:hAnsiTheme="minorHAnsi"/>
        </w:rPr>
        <w:t>methods provided in Regulation 1</w:t>
      </w:r>
      <w:r w:rsidR="00C8485E">
        <w:rPr>
          <w:rFonts w:asciiTheme="minorHAnsi" w:hAnsiTheme="minorHAnsi"/>
        </w:rPr>
        <w:t>02</w:t>
      </w:r>
      <w:r w:rsidR="00434444">
        <w:rPr>
          <w:rFonts w:asciiTheme="minorHAnsi" w:hAnsiTheme="minorHAnsi"/>
        </w:rPr>
        <w:t xml:space="preserve"> of the</w:t>
      </w:r>
      <w:r w:rsidR="00502613">
        <w:rPr>
          <w:rFonts w:asciiTheme="minorHAnsi" w:hAnsiTheme="minorHAnsi"/>
        </w:rPr>
        <w:t xml:space="preserve"> </w:t>
      </w:r>
      <w:r w:rsidR="00502613" w:rsidRPr="00136914">
        <w:rPr>
          <w:rFonts w:asciiTheme="minorHAnsi" w:hAnsiTheme="minorHAnsi"/>
        </w:rPr>
        <w:t>Bankruptcy Regulations</w:t>
      </w:r>
      <w:r w:rsidR="009B0228" w:rsidRPr="00136914">
        <w:rPr>
          <w:rFonts w:asciiTheme="minorHAnsi" w:hAnsiTheme="minorHAnsi"/>
        </w:rPr>
        <w:t>.</w:t>
      </w:r>
      <w:r w:rsidR="009B0228">
        <w:rPr>
          <w:rFonts w:asciiTheme="minorHAnsi" w:hAnsiTheme="minorHAnsi"/>
        </w:rPr>
        <w:t xml:space="preserve"> </w:t>
      </w:r>
      <w:r w:rsidR="00D37413">
        <w:rPr>
          <w:rFonts w:asciiTheme="minorHAnsi" w:hAnsiTheme="minorHAnsi"/>
        </w:rPr>
        <w:t xml:space="preserve">And service of a </w:t>
      </w:r>
      <w:r w:rsidR="00AF0981">
        <w:rPr>
          <w:rFonts w:asciiTheme="minorHAnsi" w:hAnsiTheme="minorHAnsi"/>
        </w:rPr>
        <w:t>creditor’s p</w:t>
      </w:r>
      <w:r w:rsidR="00C7309C" w:rsidRPr="006714CC">
        <w:rPr>
          <w:rFonts w:asciiTheme="minorHAnsi" w:hAnsiTheme="minorHAnsi"/>
        </w:rPr>
        <w:t xml:space="preserve">etition </w:t>
      </w:r>
      <w:r w:rsidR="00C10328">
        <w:rPr>
          <w:rFonts w:asciiTheme="minorHAnsi" w:hAnsiTheme="minorHAnsi"/>
        </w:rPr>
        <w:t xml:space="preserve">on a respondent </w:t>
      </w:r>
      <w:r w:rsidR="00434444" w:rsidRPr="006714CC">
        <w:rPr>
          <w:rFonts w:asciiTheme="minorHAnsi" w:hAnsiTheme="minorHAnsi"/>
        </w:rPr>
        <w:t xml:space="preserve">must ordinarily be effected by way of personal service </w:t>
      </w:r>
      <w:r w:rsidR="00C10328">
        <w:rPr>
          <w:rFonts w:asciiTheme="minorHAnsi" w:hAnsiTheme="minorHAnsi"/>
        </w:rPr>
        <w:t>within the meaning of</w:t>
      </w:r>
      <w:r w:rsidR="00146AF9">
        <w:rPr>
          <w:rFonts w:asciiTheme="minorHAnsi" w:hAnsiTheme="minorHAnsi"/>
        </w:rPr>
        <w:t xml:space="preserve"> </w:t>
      </w:r>
      <w:r w:rsidR="002E2A76">
        <w:rPr>
          <w:rFonts w:asciiTheme="minorHAnsi" w:hAnsiTheme="minorHAnsi"/>
        </w:rPr>
        <w:t>r</w:t>
      </w:r>
      <w:r w:rsidR="00D37413">
        <w:rPr>
          <w:rFonts w:asciiTheme="minorHAnsi" w:hAnsiTheme="minorHAnsi"/>
        </w:rPr>
        <w:t xml:space="preserve"> </w:t>
      </w:r>
      <w:r w:rsidR="002E2A76">
        <w:rPr>
          <w:rFonts w:asciiTheme="minorHAnsi" w:hAnsiTheme="minorHAnsi"/>
        </w:rPr>
        <w:t>10.01</w:t>
      </w:r>
      <w:r w:rsidR="00146AF9">
        <w:rPr>
          <w:rFonts w:asciiTheme="minorHAnsi" w:hAnsiTheme="minorHAnsi"/>
        </w:rPr>
        <w:t xml:space="preserve"> of the</w:t>
      </w:r>
      <w:r w:rsidR="002E2A76">
        <w:rPr>
          <w:rFonts w:asciiTheme="minorHAnsi" w:hAnsiTheme="minorHAnsi"/>
        </w:rPr>
        <w:t xml:space="preserve"> </w:t>
      </w:r>
      <w:r>
        <w:rPr>
          <w:rFonts w:asciiTheme="minorHAnsi" w:hAnsiTheme="minorHAnsi"/>
        </w:rPr>
        <w:t xml:space="preserve">Court </w:t>
      </w:r>
      <w:r w:rsidR="00146AF9" w:rsidRPr="00136914">
        <w:rPr>
          <w:rFonts w:asciiTheme="minorHAnsi" w:hAnsiTheme="minorHAnsi"/>
        </w:rPr>
        <w:t>Rules</w:t>
      </w:r>
      <w:r w:rsidR="00434444" w:rsidRPr="00136914">
        <w:rPr>
          <w:rFonts w:asciiTheme="minorHAnsi" w:hAnsiTheme="minorHAnsi"/>
        </w:rPr>
        <w:t>.</w:t>
      </w:r>
    </w:p>
    <w:p w:rsidR="00C23952" w:rsidRDefault="00C23952" w:rsidP="003918BC">
      <w:pPr>
        <w:pStyle w:val="NormalWeb"/>
        <w:numPr>
          <w:ilvl w:val="1"/>
          <w:numId w:val="4"/>
        </w:numPr>
        <w:spacing w:before="0" w:beforeAutospacing="0" w:after="240" w:afterAutospacing="0" w:line="276" w:lineRule="auto"/>
        <w:ind w:left="567" w:hanging="567"/>
        <w:jc w:val="both"/>
        <w:rPr>
          <w:rFonts w:asciiTheme="minorHAnsi" w:hAnsiTheme="minorHAnsi"/>
        </w:rPr>
      </w:pPr>
      <w:r>
        <w:rPr>
          <w:rFonts w:asciiTheme="minorHAnsi" w:hAnsiTheme="minorHAnsi"/>
        </w:rPr>
        <w:t>Where appropriate, a</w:t>
      </w:r>
      <w:r w:rsidR="00C10328">
        <w:rPr>
          <w:rFonts w:asciiTheme="minorHAnsi" w:hAnsiTheme="minorHAnsi"/>
        </w:rPr>
        <w:t xml:space="preserve"> creditor may apply to the Court </w:t>
      </w:r>
      <w:r w:rsidR="0055264E">
        <w:rPr>
          <w:rFonts w:asciiTheme="minorHAnsi" w:hAnsiTheme="minorHAnsi"/>
        </w:rPr>
        <w:t xml:space="preserve">for </w:t>
      </w:r>
      <w:r>
        <w:rPr>
          <w:rFonts w:asciiTheme="minorHAnsi" w:hAnsiTheme="minorHAnsi"/>
        </w:rPr>
        <w:t xml:space="preserve">orders for substituted service. These orders dispense with the ordinary requirements </w:t>
      </w:r>
      <w:r w:rsidR="00D51865">
        <w:rPr>
          <w:rFonts w:asciiTheme="minorHAnsi" w:hAnsiTheme="minorHAnsi"/>
        </w:rPr>
        <w:t xml:space="preserve">for service </w:t>
      </w:r>
      <w:r>
        <w:rPr>
          <w:rFonts w:asciiTheme="minorHAnsi" w:hAnsiTheme="minorHAnsi"/>
        </w:rPr>
        <w:t xml:space="preserve">and provide that service is to be deemed on condition that </w:t>
      </w:r>
      <w:r w:rsidR="001F3BB9">
        <w:rPr>
          <w:rFonts w:asciiTheme="minorHAnsi" w:hAnsiTheme="minorHAnsi"/>
        </w:rPr>
        <w:t>alternative</w:t>
      </w:r>
      <w:r>
        <w:rPr>
          <w:rFonts w:asciiTheme="minorHAnsi" w:hAnsiTheme="minorHAnsi"/>
        </w:rPr>
        <w:t xml:space="preserve"> requirements are complied with.</w:t>
      </w:r>
    </w:p>
    <w:p w:rsidR="00A30550" w:rsidRDefault="00A30550" w:rsidP="003918BC">
      <w:pPr>
        <w:pStyle w:val="NormalWeb"/>
        <w:numPr>
          <w:ilvl w:val="1"/>
          <w:numId w:val="4"/>
        </w:numPr>
        <w:spacing w:before="0" w:beforeAutospacing="0" w:after="240" w:afterAutospacing="0" w:line="276" w:lineRule="auto"/>
        <w:ind w:left="567" w:hanging="567"/>
        <w:jc w:val="both"/>
        <w:rPr>
          <w:rFonts w:asciiTheme="minorHAnsi" w:hAnsiTheme="minorHAnsi"/>
        </w:rPr>
      </w:pPr>
      <w:r w:rsidRPr="00005CB6">
        <w:rPr>
          <w:rFonts w:asciiTheme="minorHAnsi" w:hAnsiTheme="minorHAnsi"/>
        </w:rPr>
        <w:t>Substituted service applications are not appropriate where service in the ordinary course is merely inconven</w:t>
      </w:r>
      <w:r w:rsidR="009B727B">
        <w:rPr>
          <w:rFonts w:asciiTheme="minorHAnsi" w:hAnsiTheme="minorHAnsi"/>
        </w:rPr>
        <w:t xml:space="preserve">ient or less efficient.  Rather, </w:t>
      </w:r>
      <w:r w:rsidRPr="00005CB6">
        <w:rPr>
          <w:rFonts w:asciiTheme="minorHAnsi" w:hAnsiTheme="minorHAnsi"/>
        </w:rPr>
        <w:t>substituted service is appropriate where:</w:t>
      </w:r>
    </w:p>
    <w:p w:rsidR="00A30550" w:rsidRDefault="00A30550" w:rsidP="003918BC">
      <w:pPr>
        <w:pStyle w:val="NormalWeb"/>
        <w:numPr>
          <w:ilvl w:val="0"/>
          <w:numId w:val="5"/>
        </w:numPr>
        <w:spacing w:before="0" w:beforeAutospacing="0" w:after="240" w:afterAutospacing="0" w:line="276" w:lineRule="auto"/>
        <w:ind w:left="993" w:hanging="426"/>
        <w:jc w:val="both"/>
        <w:rPr>
          <w:rFonts w:asciiTheme="minorHAnsi" w:hAnsiTheme="minorHAnsi"/>
        </w:rPr>
      </w:pPr>
      <w:r>
        <w:rPr>
          <w:rFonts w:asciiTheme="minorHAnsi" w:hAnsiTheme="minorHAnsi"/>
        </w:rPr>
        <w:t>p</w:t>
      </w:r>
      <w:r w:rsidRPr="00005CB6">
        <w:rPr>
          <w:rFonts w:asciiTheme="minorHAnsi" w:hAnsiTheme="minorHAnsi"/>
        </w:rPr>
        <w:t>e</w:t>
      </w:r>
      <w:r w:rsidR="009B727B">
        <w:rPr>
          <w:rFonts w:asciiTheme="minorHAnsi" w:hAnsiTheme="minorHAnsi"/>
        </w:rPr>
        <w:t>rsonal service is impracticable or delivery cannot be effected</w:t>
      </w:r>
      <w:r w:rsidRPr="00005CB6">
        <w:rPr>
          <w:rFonts w:asciiTheme="minorHAnsi" w:hAnsiTheme="minorHAnsi"/>
        </w:rPr>
        <w:t xml:space="preserve"> and</w:t>
      </w:r>
    </w:p>
    <w:p w:rsidR="00A30550" w:rsidRPr="00F4471D" w:rsidRDefault="00A30550" w:rsidP="003918BC">
      <w:pPr>
        <w:pStyle w:val="NormalWeb"/>
        <w:numPr>
          <w:ilvl w:val="0"/>
          <w:numId w:val="5"/>
        </w:numPr>
        <w:spacing w:before="0" w:beforeAutospacing="0" w:after="240" w:afterAutospacing="0" w:line="276" w:lineRule="auto"/>
        <w:ind w:left="992" w:hanging="425"/>
        <w:jc w:val="both"/>
        <w:rPr>
          <w:rStyle w:val="Emphasis"/>
          <w:rFonts w:asciiTheme="minorHAnsi" w:hAnsiTheme="minorHAnsi"/>
          <w:iCs w:val="0"/>
        </w:rPr>
      </w:pPr>
      <w:proofErr w:type="gramStart"/>
      <w:r>
        <w:rPr>
          <w:rFonts w:asciiTheme="minorHAnsi" w:hAnsiTheme="minorHAnsi"/>
        </w:rPr>
        <w:t>t</w:t>
      </w:r>
      <w:r w:rsidRPr="00005CB6">
        <w:rPr>
          <w:rFonts w:asciiTheme="minorHAnsi" w:hAnsiTheme="minorHAnsi"/>
        </w:rPr>
        <w:t>h</w:t>
      </w:r>
      <w:r w:rsidRPr="00005CB6">
        <w:rPr>
          <w:rStyle w:val="Emphasis"/>
          <w:rFonts w:asciiTheme="minorHAnsi" w:hAnsiTheme="minorHAnsi"/>
          <w:i w:val="0"/>
        </w:rPr>
        <w:t>e</w:t>
      </w:r>
      <w:proofErr w:type="gramEnd"/>
      <w:r w:rsidRPr="00005CB6">
        <w:rPr>
          <w:rStyle w:val="Emphasis"/>
          <w:rFonts w:asciiTheme="minorHAnsi" w:hAnsiTheme="minorHAnsi"/>
          <w:i w:val="0"/>
        </w:rPr>
        <w:t xml:space="preserve"> proposed alternative means of service will, in all reasonable probability, be effective in bringing the documents</w:t>
      </w:r>
      <w:r w:rsidRPr="00005CB6">
        <w:rPr>
          <w:rStyle w:val="apple-converted-space"/>
          <w:rFonts w:asciiTheme="minorHAnsi" w:hAnsiTheme="minorHAnsi"/>
          <w:i/>
        </w:rPr>
        <w:t> </w:t>
      </w:r>
      <w:r w:rsidRPr="00005CB6">
        <w:rPr>
          <w:rStyle w:val="Emphasis"/>
          <w:rFonts w:asciiTheme="minorHAnsi" w:hAnsiTheme="minorHAnsi"/>
          <w:i w:val="0"/>
        </w:rPr>
        <w:t>to the attention of the respondent debtor.</w:t>
      </w:r>
    </w:p>
    <w:p w:rsidR="00407A22" w:rsidRDefault="00407A22" w:rsidP="003918BC">
      <w:pPr>
        <w:pStyle w:val="ListParagraph"/>
        <w:numPr>
          <w:ilvl w:val="0"/>
          <w:numId w:val="3"/>
        </w:numPr>
        <w:shd w:val="clear" w:color="auto" w:fill="FFFFFF"/>
        <w:spacing w:before="360" w:after="240"/>
        <w:ind w:left="567" w:hanging="567"/>
        <w:contextualSpacing w:val="0"/>
        <w:jc w:val="both"/>
        <w:textAlignment w:val="baseline"/>
        <w:outlineLvl w:val="1"/>
        <w:rPr>
          <w:rFonts w:eastAsia="Times New Roman" w:cs="Arial"/>
          <w:b/>
          <w:color w:val="000000"/>
          <w:sz w:val="28"/>
          <w:szCs w:val="24"/>
          <w:lang w:eastAsia="en-AU"/>
        </w:rPr>
      </w:pPr>
      <w:r w:rsidRPr="00F4471D">
        <w:rPr>
          <w:rFonts w:eastAsia="Times New Roman" w:cs="Arial"/>
          <w:b/>
          <w:color w:val="000000"/>
          <w:sz w:val="28"/>
          <w:szCs w:val="24"/>
          <w:lang w:eastAsia="en-AU"/>
        </w:rPr>
        <w:t xml:space="preserve">How </w:t>
      </w:r>
      <w:r w:rsidR="00446186" w:rsidRPr="00F4471D">
        <w:rPr>
          <w:rFonts w:eastAsia="Times New Roman" w:cs="Arial"/>
          <w:b/>
          <w:color w:val="000000"/>
          <w:sz w:val="28"/>
          <w:szCs w:val="24"/>
          <w:lang w:eastAsia="en-AU"/>
        </w:rPr>
        <w:t xml:space="preserve">to </w:t>
      </w:r>
      <w:r w:rsidR="00261018">
        <w:rPr>
          <w:rFonts w:eastAsia="Times New Roman" w:cs="Arial"/>
          <w:b/>
          <w:color w:val="000000"/>
          <w:sz w:val="28"/>
          <w:szCs w:val="24"/>
          <w:lang w:eastAsia="en-AU"/>
        </w:rPr>
        <w:t>m</w:t>
      </w:r>
      <w:r w:rsidR="00446186" w:rsidRPr="00F4471D">
        <w:rPr>
          <w:rFonts w:eastAsia="Times New Roman" w:cs="Arial"/>
          <w:b/>
          <w:color w:val="000000"/>
          <w:sz w:val="28"/>
          <w:szCs w:val="24"/>
          <w:lang w:eastAsia="en-AU"/>
        </w:rPr>
        <w:t xml:space="preserve">ake </w:t>
      </w:r>
      <w:r w:rsidR="00F4471D">
        <w:rPr>
          <w:rFonts w:eastAsia="Times New Roman" w:cs="Arial"/>
          <w:b/>
          <w:color w:val="000000"/>
          <w:sz w:val="28"/>
          <w:szCs w:val="24"/>
          <w:lang w:eastAsia="en-AU"/>
        </w:rPr>
        <w:t xml:space="preserve">an </w:t>
      </w:r>
      <w:r w:rsidR="00261018">
        <w:rPr>
          <w:rFonts w:eastAsia="Times New Roman" w:cs="Arial"/>
          <w:b/>
          <w:color w:val="000000"/>
          <w:sz w:val="28"/>
          <w:szCs w:val="24"/>
          <w:lang w:eastAsia="en-AU"/>
        </w:rPr>
        <w:t>a</w:t>
      </w:r>
      <w:r w:rsidR="00446186" w:rsidRPr="00F4471D">
        <w:rPr>
          <w:rFonts w:eastAsia="Times New Roman" w:cs="Arial"/>
          <w:b/>
          <w:color w:val="000000"/>
          <w:sz w:val="28"/>
          <w:szCs w:val="24"/>
          <w:lang w:eastAsia="en-AU"/>
        </w:rPr>
        <w:t>pplication</w:t>
      </w:r>
      <w:r w:rsidR="00261018">
        <w:rPr>
          <w:rFonts w:eastAsia="Times New Roman" w:cs="Arial"/>
          <w:b/>
          <w:color w:val="000000"/>
          <w:sz w:val="28"/>
          <w:szCs w:val="24"/>
          <w:lang w:eastAsia="en-AU"/>
        </w:rPr>
        <w:t xml:space="preserve"> for substituted s</w:t>
      </w:r>
      <w:r w:rsidR="00AA34A9">
        <w:rPr>
          <w:rFonts w:eastAsia="Times New Roman" w:cs="Arial"/>
          <w:b/>
          <w:color w:val="000000"/>
          <w:sz w:val="28"/>
          <w:szCs w:val="24"/>
          <w:lang w:eastAsia="en-AU"/>
        </w:rPr>
        <w:t>ervice</w:t>
      </w:r>
    </w:p>
    <w:p w:rsidR="001B0D1F" w:rsidRPr="00136914" w:rsidRDefault="00261018" w:rsidP="00DE2660">
      <w:pPr>
        <w:pStyle w:val="ListParagraph"/>
        <w:spacing w:after="240"/>
        <w:ind w:left="567"/>
        <w:contextualSpacing w:val="0"/>
        <w:jc w:val="both"/>
        <w:rPr>
          <w:lang w:val="en-US" w:eastAsia="en-AU"/>
        </w:rPr>
      </w:pPr>
      <w:r>
        <w:rPr>
          <w:rFonts w:eastAsia="Times New Roman" w:cs="Times New Roman"/>
          <w:i/>
          <w:sz w:val="24"/>
          <w:szCs w:val="24"/>
          <w:lang w:val="en-US" w:eastAsia="en-AU"/>
        </w:rPr>
        <w:t xml:space="preserve">Substituted service of a </w:t>
      </w:r>
      <w:r w:rsidR="00AF0981">
        <w:rPr>
          <w:rFonts w:eastAsia="Times New Roman" w:cs="Times New Roman"/>
          <w:i/>
          <w:sz w:val="24"/>
          <w:szCs w:val="24"/>
          <w:lang w:val="en-US" w:eastAsia="en-AU"/>
        </w:rPr>
        <w:t>bankruptcy n</w:t>
      </w:r>
      <w:r w:rsidR="005D796E" w:rsidRPr="00136914">
        <w:rPr>
          <w:rFonts w:eastAsia="Times New Roman" w:cs="Times New Roman"/>
          <w:i/>
          <w:sz w:val="24"/>
          <w:szCs w:val="24"/>
          <w:lang w:val="en-US" w:eastAsia="en-AU"/>
        </w:rPr>
        <w:t>otice</w:t>
      </w:r>
    </w:p>
    <w:p w:rsidR="005225D5" w:rsidRPr="00DE2660" w:rsidRDefault="00DC6575" w:rsidP="003918BC">
      <w:pPr>
        <w:pStyle w:val="ListParagraph"/>
        <w:numPr>
          <w:ilvl w:val="1"/>
          <w:numId w:val="3"/>
        </w:numPr>
        <w:spacing w:before="240" w:after="240"/>
        <w:ind w:left="567" w:hanging="567"/>
        <w:contextualSpacing w:val="0"/>
        <w:jc w:val="both"/>
        <w:rPr>
          <w:rFonts w:eastAsia="Times New Roman" w:cs="Times New Roman"/>
          <w:sz w:val="24"/>
          <w:szCs w:val="24"/>
          <w:lang w:val="en-US" w:eastAsia="en-AU"/>
        </w:rPr>
      </w:pPr>
      <w:r>
        <w:rPr>
          <w:rFonts w:eastAsia="Times New Roman" w:cs="Times New Roman"/>
          <w:sz w:val="24"/>
          <w:szCs w:val="24"/>
          <w:lang w:val="en-US" w:eastAsia="en-AU"/>
        </w:rPr>
        <w:t>An applicatio</w:t>
      </w:r>
      <w:r w:rsidR="00AF0981">
        <w:rPr>
          <w:rFonts w:eastAsia="Times New Roman" w:cs="Times New Roman"/>
          <w:sz w:val="24"/>
          <w:szCs w:val="24"/>
          <w:lang w:val="en-US" w:eastAsia="en-AU"/>
        </w:rPr>
        <w:t>n for substituted service of a b</w:t>
      </w:r>
      <w:r>
        <w:rPr>
          <w:rFonts w:eastAsia="Times New Roman" w:cs="Times New Roman"/>
          <w:sz w:val="24"/>
          <w:szCs w:val="24"/>
          <w:lang w:val="en-US" w:eastAsia="en-AU"/>
        </w:rPr>
        <w:t xml:space="preserve">ankruptcy </w:t>
      </w:r>
      <w:r w:rsidR="00AF0981">
        <w:rPr>
          <w:rFonts w:eastAsia="Times New Roman" w:cs="Times New Roman"/>
          <w:sz w:val="24"/>
          <w:szCs w:val="24"/>
          <w:lang w:val="en-US" w:eastAsia="en-AU"/>
        </w:rPr>
        <w:t>n</w:t>
      </w:r>
      <w:r>
        <w:rPr>
          <w:rFonts w:eastAsia="Times New Roman" w:cs="Times New Roman"/>
          <w:sz w:val="24"/>
          <w:szCs w:val="24"/>
          <w:lang w:val="en-US" w:eastAsia="en-AU"/>
        </w:rPr>
        <w:t>otice must be filed</w:t>
      </w:r>
      <w:r w:rsidR="002D1446">
        <w:rPr>
          <w:rFonts w:eastAsia="Times New Roman" w:cs="Times New Roman"/>
          <w:sz w:val="24"/>
          <w:szCs w:val="24"/>
          <w:lang w:val="en-US" w:eastAsia="en-AU"/>
        </w:rPr>
        <w:t xml:space="preserve"> by way of a</w:t>
      </w:r>
      <w:r w:rsidR="009B727B">
        <w:rPr>
          <w:rFonts w:eastAsia="Times New Roman" w:cs="Times New Roman"/>
          <w:sz w:val="24"/>
          <w:szCs w:val="24"/>
          <w:lang w:val="en-US" w:eastAsia="en-AU"/>
        </w:rPr>
        <w:t>pplication</w:t>
      </w:r>
      <w:r>
        <w:rPr>
          <w:rFonts w:eastAsia="Times New Roman" w:cs="Times New Roman"/>
          <w:sz w:val="24"/>
          <w:szCs w:val="24"/>
          <w:lang w:val="en-US" w:eastAsia="en-AU"/>
        </w:rPr>
        <w:t xml:space="preserve"> </w:t>
      </w:r>
      <w:r w:rsidR="009B727B">
        <w:rPr>
          <w:rFonts w:eastAsia="Times New Roman" w:cs="Times New Roman"/>
          <w:sz w:val="24"/>
          <w:szCs w:val="24"/>
          <w:lang w:val="en-US" w:eastAsia="en-AU"/>
        </w:rPr>
        <w:t xml:space="preserve">using </w:t>
      </w:r>
      <w:hyperlink r:id="rId17" w:anchor="B2" w:history="1">
        <w:r w:rsidR="009B727B" w:rsidRPr="00261018">
          <w:rPr>
            <w:rStyle w:val="Hyperlink"/>
            <w:rFonts w:eastAsia="Times New Roman" w:cs="Times New Roman"/>
            <w:sz w:val="24"/>
            <w:szCs w:val="24"/>
            <w:lang w:val="en-US" w:eastAsia="en-AU"/>
          </w:rPr>
          <w:t>Bankruptcy Form B2</w:t>
        </w:r>
      </w:hyperlink>
      <w:r w:rsidR="009B727B">
        <w:rPr>
          <w:rFonts w:eastAsia="Times New Roman" w:cs="Times New Roman"/>
          <w:sz w:val="24"/>
          <w:szCs w:val="24"/>
          <w:lang w:val="en-US" w:eastAsia="en-AU"/>
        </w:rPr>
        <w:t xml:space="preserve">. </w:t>
      </w:r>
      <w:r>
        <w:rPr>
          <w:rFonts w:eastAsia="Times New Roman" w:cs="Times New Roman"/>
          <w:sz w:val="24"/>
          <w:szCs w:val="24"/>
          <w:lang w:val="en-US" w:eastAsia="en-AU"/>
        </w:rPr>
        <w:t xml:space="preserve">The applicant should include in </w:t>
      </w:r>
      <w:r w:rsidR="00407A22" w:rsidRPr="00DE2660">
        <w:rPr>
          <w:rFonts w:eastAsia="Times New Roman" w:cs="Times New Roman"/>
          <w:sz w:val="24"/>
          <w:szCs w:val="24"/>
          <w:lang w:val="en-US" w:eastAsia="en-AU"/>
        </w:rPr>
        <w:t xml:space="preserve">Form </w:t>
      </w:r>
      <w:r>
        <w:rPr>
          <w:rFonts w:eastAsia="Times New Roman" w:cs="Times New Roman"/>
          <w:sz w:val="24"/>
          <w:szCs w:val="24"/>
          <w:lang w:val="en-US" w:eastAsia="en-AU"/>
        </w:rPr>
        <w:t>B</w:t>
      </w:r>
      <w:r w:rsidR="00407A22" w:rsidRPr="00DE2660">
        <w:rPr>
          <w:rFonts w:eastAsia="Times New Roman" w:cs="Times New Roman"/>
          <w:sz w:val="24"/>
          <w:szCs w:val="24"/>
          <w:lang w:val="en-US" w:eastAsia="en-AU"/>
        </w:rPr>
        <w:t xml:space="preserve">2 </w:t>
      </w:r>
      <w:r w:rsidR="000D5955" w:rsidRPr="00DE2660">
        <w:rPr>
          <w:rFonts w:eastAsia="Times New Roman" w:cs="Times New Roman"/>
          <w:sz w:val="24"/>
          <w:szCs w:val="24"/>
          <w:lang w:val="en-US" w:eastAsia="en-AU"/>
        </w:rPr>
        <w:t xml:space="preserve">the orders </w:t>
      </w:r>
      <w:r w:rsidR="00EF2555">
        <w:rPr>
          <w:rFonts w:eastAsia="Times New Roman" w:cs="Times New Roman"/>
          <w:sz w:val="24"/>
          <w:szCs w:val="24"/>
          <w:lang w:val="en-US" w:eastAsia="en-AU"/>
        </w:rPr>
        <w:t>they are seeking</w:t>
      </w:r>
      <w:r w:rsidR="00407A22" w:rsidRPr="00DE2660">
        <w:rPr>
          <w:rFonts w:eastAsia="Times New Roman" w:cs="Times New Roman"/>
          <w:sz w:val="24"/>
          <w:szCs w:val="24"/>
          <w:lang w:val="en-US" w:eastAsia="en-AU"/>
        </w:rPr>
        <w:t xml:space="preserve">. </w:t>
      </w:r>
      <w:r w:rsidR="006E4F15">
        <w:rPr>
          <w:rFonts w:eastAsia="Times New Roman" w:cs="Times New Roman"/>
          <w:sz w:val="24"/>
          <w:szCs w:val="24"/>
          <w:lang w:val="en-US" w:eastAsia="en-AU"/>
        </w:rPr>
        <w:t>The</w:t>
      </w:r>
      <w:r w:rsidR="00EE36EA" w:rsidRPr="00DE2660">
        <w:rPr>
          <w:rFonts w:eastAsia="Times New Roman" w:cs="Times New Roman"/>
          <w:sz w:val="24"/>
          <w:szCs w:val="24"/>
          <w:lang w:val="en-US" w:eastAsia="en-AU"/>
        </w:rPr>
        <w:t xml:space="preserve"> </w:t>
      </w:r>
      <w:hyperlink r:id="rId18" w:history="1">
        <w:r w:rsidR="00DA09F3" w:rsidRPr="00DA09F3">
          <w:rPr>
            <w:rStyle w:val="Hyperlink"/>
            <w:rFonts w:eastAsia="Times New Roman" w:cs="Times New Roman"/>
            <w:sz w:val="24"/>
            <w:szCs w:val="24"/>
            <w:lang w:val="en-US" w:eastAsia="en-AU"/>
          </w:rPr>
          <w:t>standard form of orders for substituted service</w:t>
        </w:r>
      </w:hyperlink>
      <w:r w:rsidR="00FE7E70" w:rsidRPr="00DE2660">
        <w:rPr>
          <w:rFonts w:eastAsia="Times New Roman" w:cs="Times New Roman"/>
          <w:sz w:val="24"/>
          <w:szCs w:val="24"/>
          <w:lang w:val="en-US" w:eastAsia="en-AU"/>
        </w:rPr>
        <w:t xml:space="preserve"> </w:t>
      </w:r>
      <w:r w:rsidR="00BC4C1C">
        <w:rPr>
          <w:rFonts w:eastAsia="Times New Roman" w:cs="Times New Roman"/>
          <w:sz w:val="24"/>
          <w:szCs w:val="24"/>
          <w:lang w:val="en-US" w:eastAsia="en-AU"/>
        </w:rPr>
        <w:t xml:space="preserve">of a </w:t>
      </w:r>
      <w:r w:rsidR="00AF0981">
        <w:rPr>
          <w:rFonts w:eastAsia="Times New Roman" w:cs="Times New Roman"/>
          <w:sz w:val="24"/>
          <w:szCs w:val="24"/>
          <w:lang w:val="en-US" w:eastAsia="en-AU"/>
        </w:rPr>
        <w:t>b</w:t>
      </w:r>
      <w:r w:rsidR="00EE36EA" w:rsidRPr="00DE2660">
        <w:rPr>
          <w:rFonts w:eastAsia="Times New Roman" w:cs="Times New Roman"/>
          <w:sz w:val="24"/>
          <w:szCs w:val="24"/>
          <w:lang w:val="en-US" w:eastAsia="en-AU"/>
        </w:rPr>
        <w:t xml:space="preserve">ankruptcy </w:t>
      </w:r>
      <w:r w:rsidR="00AF0981">
        <w:rPr>
          <w:rFonts w:eastAsia="Times New Roman" w:cs="Times New Roman"/>
          <w:sz w:val="24"/>
          <w:szCs w:val="24"/>
          <w:lang w:val="en-US" w:eastAsia="en-AU"/>
        </w:rPr>
        <w:t>n</w:t>
      </w:r>
      <w:r w:rsidR="00EE36EA" w:rsidRPr="00DE2660">
        <w:rPr>
          <w:rFonts w:eastAsia="Times New Roman" w:cs="Times New Roman"/>
          <w:sz w:val="24"/>
          <w:szCs w:val="24"/>
          <w:lang w:val="en-US" w:eastAsia="en-AU"/>
        </w:rPr>
        <w:t>otice</w:t>
      </w:r>
      <w:r w:rsidR="00FE7E70">
        <w:rPr>
          <w:rFonts w:eastAsia="Times New Roman" w:cs="Times New Roman"/>
          <w:sz w:val="24"/>
          <w:szCs w:val="24"/>
          <w:lang w:val="en-US" w:eastAsia="en-AU"/>
        </w:rPr>
        <w:t xml:space="preserve"> </w:t>
      </w:r>
      <w:r w:rsidR="00C23952">
        <w:rPr>
          <w:rFonts w:eastAsia="Times New Roman" w:cs="Times New Roman"/>
          <w:sz w:val="24"/>
          <w:szCs w:val="24"/>
          <w:lang w:val="en-US" w:eastAsia="en-AU"/>
        </w:rPr>
        <w:t>is</w:t>
      </w:r>
      <w:r w:rsidR="00FE7E70">
        <w:rPr>
          <w:rFonts w:eastAsia="Times New Roman" w:cs="Times New Roman"/>
          <w:sz w:val="24"/>
          <w:szCs w:val="24"/>
          <w:lang w:val="en-US" w:eastAsia="en-AU"/>
        </w:rPr>
        <w:t xml:space="preserve"> </w:t>
      </w:r>
      <w:r w:rsidR="00261018">
        <w:rPr>
          <w:rFonts w:eastAsia="Times New Roman" w:cs="Times New Roman"/>
          <w:sz w:val="24"/>
          <w:szCs w:val="24"/>
          <w:lang w:val="en-US" w:eastAsia="en-AU"/>
        </w:rPr>
        <w:t xml:space="preserve">also </w:t>
      </w:r>
      <w:r w:rsidR="00FE7E70">
        <w:rPr>
          <w:rFonts w:eastAsia="Times New Roman" w:cs="Times New Roman"/>
          <w:sz w:val="24"/>
          <w:szCs w:val="24"/>
          <w:lang w:val="en-US" w:eastAsia="en-AU"/>
        </w:rPr>
        <w:t>available</w:t>
      </w:r>
      <w:r w:rsidR="00EE36EA" w:rsidRPr="00DE2660">
        <w:rPr>
          <w:rFonts w:eastAsia="Times New Roman" w:cs="Times New Roman"/>
          <w:sz w:val="24"/>
          <w:szCs w:val="24"/>
          <w:lang w:val="en-US" w:eastAsia="en-AU"/>
        </w:rPr>
        <w:t xml:space="preserve">. </w:t>
      </w:r>
      <w:r w:rsidR="00051399">
        <w:rPr>
          <w:rFonts w:eastAsia="Times New Roman" w:cs="Times New Roman"/>
          <w:sz w:val="24"/>
          <w:szCs w:val="24"/>
          <w:lang w:val="en-US" w:eastAsia="en-AU"/>
        </w:rPr>
        <w:t>The applicant should tailor the orders</w:t>
      </w:r>
      <w:r w:rsidR="00C23952">
        <w:rPr>
          <w:rFonts w:eastAsia="Times New Roman" w:cs="Times New Roman"/>
          <w:sz w:val="24"/>
          <w:szCs w:val="24"/>
          <w:lang w:val="en-US" w:eastAsia="en-AU"/>
        </w:rPr>
        <w:t xml:space="preserve"> sought</w:t>
      </w:r>
      <w:r w:rsidR="00051399">
        <w:rPr>
          <w:rFonts w:eastAsia="Times New Roman" w:cs="Times New Roman"/>
          <w:sz w:val="24"/>
          <w:szCs w:val="24"/>
          <w:lang w:val="en-US" w:eastAsia="en-AU"/>
        </w:rPr>
        <w:t xml:space="preserve"> as appropriate </w:t>
      </w:r>
      <w:r w:rsidR="00AE3688">
        <w:rPr>
          <w:rFonts w:eastAsia="Times New Roman" w:cs="Times New Roman"/>
          <w:sz w:val="24"/>
          <w:szCs w:val="24"/>
          <w:lang w:val="en-US" w:eastAsia="en-AU"/>
        </w:rPr>
        <w:t>to</w:t>
      </w:r>
      <w:r w:rsidR="00051399">
        <w:rPr>
          <w:rFonts w:eastAsia="Times New Roman" w:cs="Times New Roman"/>
          <w:sz w:val="24"/>
          <w:szCs w:val="24"/>
          <w:lang w:val="en-US" w:eastAsia="en-AU"/>
        </w:rPr>
        <w:t xml:space="preserve"> the circumstances.</w:t>
      </w:r>
      <w:r w:rsidR="00EE36EA" w:rsidRPr="00DE2660">
        <w:rPr>
          <w:rFonts w:eastAsia="Times New Roman" w:cs="Times New Roman"/>
          <w:sz w:val="24"/>
          <w:szCs w:val="24"/>
          <w:lang w:val="en-US" w:eastAsia="en-AU"/>
        </w:rPr>
        <w:t xml:space="preserve">  </w:t>
      </w:r>
    </w:p>
    <w:p w:rsidR="00407A22" w:rsidRPr="00136914" w:rsidRDefault="00AF0981" w:rsidP="00DE2660">
      <w:pPr>
        <w:pStyle w:val="ListParagraph"/>
        <w:spacing w:before="240" w:after="240"/>
        <w:ind w:left="567"/>
        <w:contextualSpacing w:val="0"/>
        <w:jc w:val="both"/>
        <w:rPr>
          <w:rFonts w:eastAsia="Times New Roman" w:cs="Times New Roman"/>
          <w:i/>
          <w:sz w:val="24"/>
          <w:szCs w:val="24"/>
          <w:lang w:val="en-US" w:eastAsia="en-AU"/>
        </w:rPr>
      </w:pPr>
      <w:r>
        <w:rPr>
          <w:rFonts w:eastAsia="Times New Roman" w:cs="Times New Roman"/>
          <w:i/>
          <w:sz w:val="24"/>
          <w:szCs w:val="24"/>
          <w:lang w:val="en-US" w:eastAsia="en-AU"/>
        </w:rPr>
        <w:t>Substituted service of a creditor’s p</w:t>
      </w:r>
      <w:r w:rsidR="005225D5" w:rsidRPr="00136914">
        <w:rPr>
          <w:rFonts w:eastAsia="Times New Roman" w:cs="Times New Roman"/>
          <w:i/>
          <w:sz w:val="24"/>
          <w:szCs w:val="24"/>
          <w:lang w:val="en-US" w:eastAsia="en-AU"/>
        </w:rPr>
        <w:t>etition</w:t>
      </w:r>
    </w:p>
    <w:p w:rsidR="00407A22" w:rsidRPr="00DE2660" w:rsidRDefault="0049316B" w:rsidP="003918BC">
      <w:pPr>
        <w:pStyle w:val="ListParagraph"/>
        <w:numPr>
          <w:ilvl w:val="1"/>
          <w:numId w:val="3"/>
        </w:numPr>
        <w:spacing w:after="240"/>
        <w:ind w:left="567" w:hanging="567"/>
        <w:contextualSpacing w:val="0"/>
        <w:jc w:val="both"/>
        <w:rPr>
          <w:rFonts w:eastAsia="Times New Roman" w:cs="Times New Roman"/>
          <w:sz w:val="24"/>
          <w:szCs w:val="24"/>
          <w:lang w:val="en-US" w:eastAsia="en-AU"/>
        </w:rPr>
      </w:pPr>
      <w:r>
        <w:rPr>
          <w:rFonts w:eastAsia="Times New Roman" w:cs="Times New Roman"/>
          <w:sz w:val="24"/>
          <w:szCs w:val="24"/>
          <w:lang w:val="en-US" w:eastAsia="en-AU"/>
        </w:rPr>
        <w:t>A</w:t>
      </w:r>
      <w:r w:rsidR="000D5955" w:rsidRPr="00DE2660">
        <w:rPr>
          <w:rFonts w:eastAsia="Times New Roman" w:cs="Times New Roman"/>
          <w:sz w:val="24"/>
          <w:szCs w:val="24"/>
          <w:lang w:val="en-US" w:eastAsia="en-AU"/>
        </w:rPr>
        <w:t xml:space="preserve">n application </w:t>
      </w:r>
      <w:r w:rsidR="00BC4C1C">
        <w:rPr>
          <w:rFonts w:eastAsia="Times New Roman" w:cs="Times New Roman"/>
          <w:sz w:val="24"/>
          <w:szCs w:val="24"/>
          <w:lang w:val="en-US" w:eastAsia="en-AU"/>
        </w:rPr>
        <w:t xml:space="preserve">for substituted service of a </w:t>
      </w:r>
      <w:r w:rsidR="00AF0981">
        <w:rPr>
          <w:rFonts w:eastAsia="Times New Roman" w:cs="Times New Roman"/>
          <w:sz w:val="24"/>
          <w:szCs w:val="24"/>
          <w:lang w:val="en-US" w:eastAsia="en-AU"/>
        </w:rPr>
        <w:t>creditor's p</w:t>
      </w:r>
      <w:r w:rsidR="00407A22" w:rsidRPr="00DE2660">
        <w:rPr>
          <w:rFonts w:eastAsia="Times New Roman" w:cs="Times New Roman"/>
          <w:sz w:val="24"/>
          <w:szCs w:val="24"/>
          <w:lang w:val="en-US" w:eastAsia="en-AU"/>
        </w:rPr>
        <w:t>etition</w:t>
      </w:r>
      <w:r w:rsidR="000C5A7A">
        <w:rPr>
          <w:rFonts w:eastAsia="Times New Roman" w:cs="Times New Roman"/>
          <w:sz w:val="24"/>
          <w:szCs w:val="24"/>
          <w:lang w:val="en-US" w:eastAsia="en-AU"/>
        </w:rPr>
        <w:t xml:space="preserve"> must be filed</w:t>
      </w:r>
      <w:r w:rsidR="000D5955" w:rsidRPr="00DE2660">
        <w:rPr>
          <w:rFonts w:eastAsia="Times New Roman" w:cs="Times New Roman"/>
          <w:sz w:val="24"/>
          <w:szCs w:val="24"/>
          <w:lang w:val="en-US" w:eastAsia="en-AU"/>
        </w:rPr>
        <w:t xml:space="preserve"> in</w:t>
      </w:r>
      <w:r w:rsidR="0054610A">
        <w:rPr>
          <w:rFonts w:eastAsia="Times New Roman" w:cs="Times New Roman"/>
          <w:sz w:val="24"/>
          <w:szCs w:val="24"/>
          <w:lang w:val="en-US" w:eastAsia="en-AU"/>
        </w:rPr>
        <w:t xml:space="preserve"> accordance with</w:t>
      </w:r>
      <w:r w:rsidR="000D5955" w:rsidRPr="00DE2660">
        <w:rPr>
          <w:rFonts w:eastAsia="Times New Roman" w:cs="Times New Roman"/>
          <w:sz w:val="24"/>
          <w:szCs w:val="24"/>
          <w:lang w:val="en-US" w:eastAsia="en-AU"/>
        </w:rPr>
        <w:t xml:space="preserve"> </w:t>
      </w:r>
      <w:hyperlink r:id="rId19" w:anchor="formB3" w:history="1">
        <w:r w:rsidR="00407A22" w:rsidRPr="00261018">
          <w:rPr>
            <w:rStyle w:val="Hyperlink"/>
            <w:rFonts w:eastAsia="Times New Roman" w:cs="Times New Roman"/>
            <w:sz w:val="24"/>
            <w:szCs w:val="24"/>
            <w:lang w:val="en-US" w:eastAsia="en-AU"/>
          </w:rPr>
          <w:t xml:space="preserve">Bankruptcy Form </w:t>
        </w:r>
        <w:r w:rsidR="002314FB" w:rsidRPr="00261018">
          <w:rPr>
            <w:rStyle w:val="Hyperlink"/>
            <w:rFonts w:eastAsia="Times New Roman" w:cs="Times New Roman"/>
            <w:sz w:val="24"/>
            <w:szCs w:val="24"/>
            <w:lang w:val="en-US" w:eastAsia="en-AU"/>
          </w:rPr>
          <w:t>B</w:t>
        </w:r>
        <w:r w:rsidR="00407A22" w:rsidRPr="00261018">
          <w:rPr>
            <w:rStyle w:val="Hyperlink"/>
            <w:rFonts w:eastAsia="Times New Roman" w:cs="Times New Roman"/>
            <w:sz w:val="24"/>
            <w:szCs w:val="24"/>
            <w:lang w:val="en-US" w:eastAsia="en-AU"/>
          </w:rPr>
          <w:t>3</w:t>
        </w:r>
      </w:hyperlink>
      <w:r w:rsidR="00EE36EA" w:rsidRPr="00261018">
        <w:rPr>
          <w:rFonts w:eastAsia="Times New Roman" w:cs="Times New Roman"/>
          <w:sz w:val="24"/>
          <w:szCs w:val="24"/>
          <w:lang w:val="en-US" w:eastAsia="en-AU"/>
        </w:rPr>
        <w:t xml:space="preserve">. </w:t>
      </w:r>
      <w:r w:rsidR="00037536">
        <w:rPr>
          <w:rFonts w:eastAsia="Times New Roman" w:cs="Times New Roman"/>
          <w:sz w:val="24"/>
          <w:szCs w:val="24"/>
          <w:lang w:val="en-US" w:eastAsia="en-AU"/>
        </w:rPr>
        <w:t>Form B3 is the form</w:t>
      </w:r>
      <w:r w:rsidR="008D0C03">
        <w:rPr>
          <w:rFonts w:eastAsia="Times New Roman" w:cs="Times New Roman"/>
          <w:sz w:val="24"/>
          <w:szCs w:val="24"/>
          <w:lang w:val="en-US" w:eastAsia="en-AU"/>
        </w:rPr>
        <w:t xml:space="preserve"> for an</w:t>
      </w:r>
      <w:r w:rsidR="00407A22" w:rsidRPr="00DE2660">
        <w:rPr>
          <w:rFonts w:eastAsia="Times New Roman" w:cs="Times New Roman"/>
          <w:sz w:val="24"/>
          <w:szCs w:val="24"/>
          <w:lang w:val="en-US" w:eastAsia="en-AU"/>
        </w:rPr>
        <w:t xml:space="preserve"> interim application to the Court and </w:t>
      </w:r>
      <w:r w:rsidR="00C23952">
        <w:rPr>
          <w:rFonts w:eastAsia="Times New Roman" w:cs="Times New Roman"/>
          <w:sz w:val="24"/>
          <w:szCs w:val="24"/>
          <w:lang w:val="en-US" w:eastAsia="en-AU"/>
        </w:rPr>
        <w:t>must</w:t>
      </w:r>
      <w:r w:rsidR="00407A22" w:rsidRPr="00DE2660">
        <w:rPr>
          <w:rFonts w:eastAsia="Times New Roman" w:cs="Times New Roman"/>
          <w:sz w:val="24"/>
          <w:szCs w:val="24"/>
          <w:lang w:val="en-US" w:eastAsia="en-AU"/>
        </w:rPr>
        <w:t xml:space="preserve"> be filed in </w:t>
      </w:r>
      <w:r w:rsidR="00FD7BB1" w:rsidRPr="00DE2660">
        <w:rPr>
          <w:rFonts w:eastAsia="Times New Roman" w:cs="Times New Roman"/>
          <w:sz w:val="24"/>
          <w:szCs w:val="24"/>
          <w:lang w:val="en-US" w:eastAsia="en-AU"/>
        </w:rPr>
        <w:t>the</w:t>
      </w:r>
      <w:r w:rsidR="00BC4C1C">
        <w:rPr>
          <w:rFonts w:eastAsia="Times New Roman" w:cs="Times New Roman"/>
          <w:sz w:val="24"/>
          <w:szCs w:val="24"/>
          <w:lang w:val="en-US" w:eastAsia="en-AU"/>
        </w:rPr>
        <w:t xml:space="preserve"> </w:t>
      </w:r>
      <w:r w:rsidR="00AF0981">
        <w:rPr>
          <w:rFonts w:eastAsia="Times New Roman" w:cs="Times New Roman"/>
          <w:sz w:val="24"/>
          <w:szCs w:val="24"/>
          <w:lang w:val="en-US" w:eastAsia="en-AU"/>
        </w:rPr>
        <w:t>c</w:t>
      </w:r>
      <w:r w:rsidR="00407A22" w:rsidRPr="00DE2660">
        <w:rPr>
          <w:rFonts w:eastAsia="Times New Roman" w:cs="Times New Roman"/>
          <w:sz w:val="24"/>
          <w:szCs w:val="24"/>
          <w:lang w:val="en-US" w:eastAsia="en-AU"/>
        </w:rPr>
        <w:t>reditor</w:t>
      </w:r>
      <w:r w:rsidR="000D5955" w:rsidRPr="00DE2660">
        <w:rPr>
          <w:rFonts w:eastAsia="Times New Roman" w:cs="Times New Roman"/>
          <w:sz w:val="24"/>
          <w:szCs w:val="24"/>
          <w:lang w:val="en-US" w:eastAsia="en-AU"/>
        </w:rPr>
        <w:t>’</w:t>
      </w:r>
      <w:r w:rsidR="00407A22" w:rsidRPr="00DE2660">
        <w:rPr>
          <w:rFonts w:eastAsia="Times New Roman" w:cs="Times New Roman"/>
          <w:sz w:val="24"/>
          <w:szCs w:val="24"/>
          <w:lang w:val="en-US" w:eastAsia="en-AU"/>
        </w:rPr>
        <w:t xml:space="preserve">s </w:t>
      </w:r>
      <w:r w:rsidR="00AF0981">
        <w:rPr>
          <w:rFonts w:eastAsia="Times New Roman" w:cs="Times New Roman"/>
          <w:sz w:val="24"/>
          <w:szCs w:val="24"/>
          <w:lang w:val="en-US" w:eastAsia="en-AU"/>
        </w:rPr>
        <w:t>p</w:t>
      </w:r>
      <w:r w:rsidR="00407A22" w:rsidRPr="00DE2660">
        <w:rPr>
          <w:rFonts w:eastAsia="Times New Roman" w:cs="Times New Roman"/>
          <w:sz w:val="24"/>
          <w:szCs w:val="24"/>
          <w:lang w:val="en-US" w:eastAsia="en-AU"/>
        </w:rPr>
        <w:t xml:space="preserve">etition file. </w:t>
      </w:r>
      <w:r w:rsidR="00037536">
        <w:rPr>
          <w:rFonts w:eastAsia="Times New Roman" w:cs="Times New Roman"/>
          <w:sz w:val="24"/>
          <w:szCs w:val="24"/>
          <w:lang w:val="en-US" w:eastAsia="en-AU"/>
        </w:rPr>
        <w:t xml:space="preserve">The applicant should include in Form B3 the orders that they are seeking. </w:t>
      </w:r>
      <w:r w:rsidR="00C23952">
        <w:rPr>
          <w:rFonts w:eastAsia="Times New Roman" w:cs="Times New Roman"/>
          <w:sz w:val="24"/>
          <w:szCs w:val="24"/>
          <w:lang w:val="en-US" w:eastAsia="en-AU"/>
        </w:rPr>
        <w:t>The standard form of orders for subst</w:t>
      </w:r>
      <w:r w:rsidR="00AF0981">
        <w:rPr>
          <w:rFonts w:eastAsia="Times New Roman" w:cs="Times New Roman"/>
          <w:sz w:val="24"/>
          <w:szCs w:val="24"/>
          <w:lang w:val="en-US" w:eastAsia="en-AU"/>
        </w:rPr>
        <w:t>ituted service of a creditor’s p</w:t>
      </w:r>
      <w:r w:rsidR="00C23952">
        <w:rPr>
          <w:rFonts w:eastAsia="Times New Roman" w:cs="Times New Roman"/>
          <w:sz w:val="24"/>
          <w:szCs w:val="24"/>
          <w:lang w:val="en-US" w:eastAsia="en-AU"/>
        </w:rPr>
        <w:t>etition</w:t>
      </w:r>
      <w:r w:rsidR="00BC4C1C">
        <w:rPr>
          <w:rFonts w:eastAsia="Times New Roman" w:cs="Times New Roman"/>
          <w:sz w:val="24"/>
          <w:szCs w:val="24"/>
          <w:lang w:val="en-US" w:eastAsia="en-AU"/>
        </w:rPr>
        <w:t xml:space="preserve"> is also available</w:t>
      </w:r>
      <w:r w:rsidR="00EE36EA" w:rsidRPr="00DE2660">
        <w:rPr>
          <w:rFonts w:eastAsia="Times New Roman" w:cs="Times New Roman"/>
          <w:sz w:val="24"/>
          <w:szCs w:val="24"/>
          <w:lang w:val="en-US" w:eastAsia="en-AU"/>
        </w:rPr>
        <w:t xml:space="preserve">. </w:t>
      </w:r>
      <w:r w:rsidR="00C23952">
        <w:rPr>
          <w:rFonts w:eastAsia="Times New Roman" w:cs="Times New Roman"/>
          <w:sz w:val="24"/>
          <w:szCs w:val="24"/>
          <w:lang w:val="en-US" w:eastAsia="en-AU"/>
        </w:rPr>
        <w:t>The applicant</w:t>
      </w:r>
      <w:r w:rsidR="00EE36EA" w:rsidRPr="00DE2660">
        <w:rPr>
          <w:rFonts w:eastAsia="Times New Roman" w:cs="Times New Roman"/>
          <w:sz w:val="24"/>
          <w:szCs w:val="24"/>
          <w:lang w:val="en-US" w:eastAsia="en-AU"/>
        </w:rPr>
        <w:t xml:space="preserve"> should tailor the orders </w:t>
      </w:r>
      <w:r w:rsidR="00C23952">
        <w:rPr>
          <w:rFonts w:eastAsia="Times New Roman" w:cs="Times New Roman"/>
          <w:sz w:val="24"/>
          <w:szCs w:val="24"/>
          <w:lang w:val="en-US" w:eastAsia="en-AU"/>
        </w:rPr>
        <w:t xml:space="preserve">sought </w:t>
      </w:r>
      <w:r w:rsidR="00EE36EA" w:rsidRPr="00DE2660">
        <w:rPr>
          <w:rFonts w:eastAsia="Times New Roman" w:cs="Times New Roman"/>
          <w:sz w:val="24"/>
          <w:szCs w:val="24"/>
          <w:lang w:val="en-US" w:eastAsia="en-AU"/>
        </w:rPr>
        <w:t xml:space="preserve">as appropriate </w:t>
      </w:r>
      <w:r w:rsidR="00AE3688">
        <w:rPr>
          <w:rFonts w:eastAsia="Times New Roman" w:cs="Times New Roman"/>
          <w:sz w:val="24"/>
          <w:szCs w:val="24"/>
          <w:lang w:val="en-US" w:eastAsia="en-AU"/>
        </w:rPr>
        <w:t>to</w:t>
      </w:r>
      <w:r w:rsidR="00EE36EA" w:rsidRPr="00DE2660">
        <w:rPr>
          <w:rFonts w:eastAsia="Times New Roman" w:cs="Times New Roman"/>
          <w:sz w:val="24"/>
          <w:szCs w:val="24"/>
          <w:lang w:val="en-US" w:eastAsia="en-AU"/>
        </w:rPr>
        <w:t xml:space="preserve"> the circumstances. </w:t>
      </w:r>
    </w:p>
    <w:p w:rsidR="00B139AC" w:rsidRPr="00037536" w:rsidRDefault="00407A22" w:rsidP="0066403D">
      <w:pPr>
        <w:pStyle w:val="ListParagraph"/>
        <w:numPr>
          <w:ilvl w:val="1"/>
          <w:numId w:val="3"/>
        </w:numPr>
        <w:spacing w:after="240"/>
        <w:ind w:left="567" w:hanging="567"/>
        <w:contextualSpacing w:val="0"/>
        <w:jc w:val="both"/>
        <w:rPr>
          <w:rFonts w:eastAsia="Times New Roman" w:cs="Times New Roman"/>
          <w:sz w:val="24"/>
          <w:szCs w:val="24"/>
          <w:lang w:val="en-US" w:eastAsia="en-AU"/>
        </w:rPr>
      </w:pPr>
      <w:r w:rsidRPr="00B139AC">
        <w:rPr>
          <w:rFonts w:eastAsia="Times New Roman" w:cs="Times New Roman"/>
          <w:sz w:val="24"/>
          <w:szCs w:val="24"/>
          <w:lang w:val="en-US" w:eastAsia="en-AU"/>
        </w:rPr>
        <w:t>In either case</w:t>
      </w:r>
      <w:r w:rsidR="000D5955" w:rsidRPr="00B139AC">
        <w:rPr>
          <w:rFonts w:eastAsia="Times New Roman" w:cs="Times New Roman"/>
          <w:sz w:val="24"/>
          <w:szCs w:val="24"/>
          <w:lang w:val="en-US" w:eastAsia="en-AU"/>
        </w:rPr>
        <w:t xml:space="preserve">, the application </w:t>
      </w:r>
      <w:r w:rsidR="00037536" w:rsidRPr="00B139AC">
        <w:rPr>
          <w:rFonts w:eastAsia="Times New Roman" w:cs="Times New Roman"/>
          <w:sz w:val="24"/>
          <w:szCs w:val="24"/>
          <w:lang w:val="en-US" w:eastAsia="en-AU"/>
        </w:rPr>
        <w:t>must be accompanied by an affidavit giving evidence of certain matters</w:t>
      </w:r>
      <w:r w:rsidR="00843AC4" w:rsidRPr="00B139AC">
        <w:rPr>
          <w:rFonts w:eastAsia="Times New Roman" w:cs="Times New Roman"/>
          <w:sz w:val="24"/>
          <w:szCs w:val="24"/>
          <w:lang w:val="en-US" w:eastAsia="en-AU"/>
        </w:rPr>
        <w:t xml:space="preserve"> set out below</w:t>
      </w:r>
      <w:r w:rsidRPr="00B139AC">
        <w:rPr>
          <w:rFonts w:eastAsia="Times New Roman" w:cs="Times New Roman"/>
          <w:sz w:val="24"/>
          <w:szCs w:val="24"/>
          <w:lang w:val="en-US" w:eastAsia="en-AU"/>
        </w:rPr>
        <w:t xml:space="preserve">. </w:t>
      </w:r>
    </w:p>
    <w:p w:rsidR="00037536" w:rsidRDefault="00BC4C1C" w:rsidP="003918BC">
      <w:pPr>
        <w:pStyle w:val="ListParagraph"/>
        <w:numPr>
          <w:ilvl w:val="0"/>
          <w:numId w:val="3"/>
        </w:numPr>
        <w:shd w:val="clear" w:color="auto" w:fill="FFFFFF"/>
        <w:spacing w:before="360" w:after="240"/>
        <w:ind w:left="567" w:hanging="567"/>
        <w:contextualSpacing w:val="0"/>
        <w:jc w:val="both"/>
        <w:textAlignment w:val="baseline"/>
        <w:outlineLvl w:val="1"/>
        <w:rPr>
          <w:rFonts w:eastAsia="Times New Roman" w:cs="Arial"/>
          <w:b/>
          <w:color w:val="000000"/>
          <w:sz w:val="28"/>
          <w:szCs w:val="24"/>
          <w:lang w:eastAsia="en-AU"/>
        </w:rPr>
      </w:pPr>
      <w:r>
        <w:rPr>
          <w:rFonts w:eastAsia="Times New Roman" w:cs="Arial"/>
          <w:b/>
          <w:color w:val="000000"/>
          <w:sz w:val="28"/>
          <w:szCs w:val="24"/>
          <w:lang w:eastAsia="en-AU"/>
        </w:rPr>
        <w:t>Evidence in support of the a</w:t>
      </w:r>
      <w:r w:rsidR="00037536">
        <w:rPr>
          <w:rFonts w:eastAsia="Times New Roman" w:cs="Arial"/>
          <w:b/>
          <w:color w:val="000000"/>
          <w:sz w:val="28"/>
          <w:szCs w:val="24"/>
          <w:lang w:eastAsia="en-AU"/>
        </w:rPr>
        <w:t>pplication</w:t>
      </w:r>
    </w:p>
    <w:p w:rsidR="00540854" w:rsidRDefault="00540854" w:rsidP="003918BC">
      <w:pPr>
        <w:pStyle w:val="ListParagraph"/>
        <w:numPr>
          <w:ilvl w:val="1"/>
          <w:numId w:val="3"/>
        </w:numPr>
        <w:spacing w:before="240" w:after="240"/>
        <w:ind w:left="567" w:hanging="567"/>
        <w:contextualSpacing w:val="0"/>
        <w:jc w:val="both"/>
        <w:rPr>
          <w:rFonts w:eastAsia="Times New Roman" w:cs="Times New Roman"/>
          <w:sz w:val="24"/>
          <w:szCs w:val="24"/>
          <w:lang w:val="en-US" w:eastAsia="en-AU"/>
        </w:rPr>
      </w:pPr>
      <w:r>
        <w:rPr>
          <w:rFonts w:eastAsia="Times New Roman" w:cs="Times New Roman"/>
          <w:sz w:val="24"/>
          <w:szCs w:val="24"/>
          <w:lang w:val="en-US" w:eastAsia="en-AU"/>
        </w:rPr>
        <w:t>All evidence in support of the applicati</w:t>
      </w:r>
      <w:r w:rsidR="005231B0">
        <w:rPr>
          <w:rFonts w:eastAsia="Times New Roman" w:cs="Times New Roman"/>
          <w:sz w:val="24"/>
          <w:szCs w:val="24"/>
          <w:lang w:val="en-US" w:eastAsia="en-AU"/>
        </w:rPr>
        <w:t xml:space="preserve">on should be given on affidavit by someone with personal knowledge of the facts.  </w:t>
      </w:r>
    </w:p>
    <w:p w:rsidR="00037536" w:rsidRPr="00DE2660" w:rsidRDefault="00F65E94" w:rsidP="003918BC">
      <w:pPr>
        <w:pStyle w:val="ListParagraph"/>
        <w:numPr>
          <w:ilvl w:val="1"/>
          <w:numId w:val="3"/>
        </w:numPr>
        <w:spacing w:before="240" w:after="240"/>
        <w:ind w:left="567" w:hanging="567"/>
        <w:contextualSpacing w:val="0"/>
        <w:jc w:val="both"/>
        <w:rPr>
          <w:rFonts w:eastAsia="Times New Roman" w:cs="Times New Roman"/>
          <w:sz w:val="24"/>
          <w:szCs w:val="24"/>
          <w:lang w:val="en-US" w:eastAsia="en-AU"/>
        </w:rPr>
      </w:pPr>
      <w:r>
        <w:rPr>
          <w:rFonts w:eastAsia="Times New Roman" w:cs="Times New Roman"/>
          <w:sz w:val="24"/>
          <w:szCs w:val="24"/>
          <w:lang w:val="en-US" w:eastAsia="en-AU"/>
        </w:rPr>
        <w:t xml:space="preserve">An affidavit filed in the Federal Court should be in accordance with the prescribed </w:t>
      </w:r>
      <w:hyperlink r:id="rId20" w:anchor="form59" w:history="1">
        <w:r w:rsidRPr="00BC4C1C">
          <w:rPr>
            <w:rStyle w:val="Hyperlink"/>
            <w:rFonts w:eastAsia="Times New Roman" w:cs="Times New Roman"/>
            <w:sz w:val="24"/>
            <w:szCs w:val="24"/>
            <w:lang w:val="en-US" w:eastAsia="en-AU"/>
          </w:rPr>
          <w:t>Form 59</w:t>
        </w:r>
      </w:hyperlink>
      <w:r>
        <w:rPr>
          <w:rFonts w:eastAsia="Times New Roman" w:cs="Times New Roman"/>
          <w:sz w:val="24"/>
          <w:szCs w:val="24"/>
          <w:lang w:val="en-US" w:eastAsia="en-AU"/>
        </w:rPr>
        <w:t xml:space="preserve">. </w:t>
      </w:r>
    </w:p>
    <w:p w:rsidR="000D5955" w:rsidRDefault="00F05C5A" w:rsidP="003918BC">
      <w:pPr>
        <w:pStyle w:val="ListParagraph"/>
        <w:numPr>
          <w:ilvl w:val="1"/>
          <w:numId w:val="3"/>
        </w:numPr>
        <w:spacing w:after="240"/>
        <w:ind w:left="567" w:hanging="567"/>
        <w:contextualSpacing w:val="0"/>
        <w:jc w:val="both"/>
        <w:rPr>
          <w:rFonts w:eastAsia="Times New Roman" w:cs="Times New Roman"/>
          <w:sz w:val="24"/>
          <w:szCs w:val="24"/>
          <w:lang w:val="en-US" w:eastAsia="en-AU"/>
        </w:rPr>
      </w:pPr>
      <w:r>
        <w:rPr>
          <w:rFonts w:eastAsia="Times New Roman" w:cs="Times New Roman"/>
          <w:sz w:val="24"/>
          <w:szCs w:val="24"/>
          <w:lang w:val="en-US" w:eastAsia="en-AU"/>
        </w:rPr>
        <w:t xml:space="preserve">The applicant must </w:t>
      </w:r>
      <w:r w:rsidR="00BA7F25">
        <w:rPr>
          <w:rFonts w:eastAsia="Times New Roman" w:cs="Times New Roman"/>
          <w:sz w:val="24"/>
          <w:szCs w:val="24"/>
          <w:lang w:val="en-US" w:eastAsia="en-AU"/>
        </w:rPr>
        <w:t>prove to the Court, by evidence given on affidavit, that</w:t>
      </w:r>
      <w:r>
        <w:rPr>
          <w:rFonts w:eastAsia="Times New Roman" w:cs="Times New Roman"/>
          <w:sz w:val="24"/>
          <w:szCs w:val="24"/>
          <w:lang w:val="en-US" w:eastAsia="en-AU"/>
        </w:rPr>
        <w:t>:</w:t>
      </w:r>
    </w:p>
    <w:p w:rsidR="00F05C5A" w:rsidRDefault="00BA7F25" w:rsidP="003918BC">
      <w:pPr>
        <w:pStyle w:val="ListParagraph"/>
        <w:numPr>
          <w:ilvl w:val="0"/>
          <w:numId w:val="10"/>
        </w:numPr>
        <w:ind w:hanging="426"/>
        <w:rPr>
          <w:rFonts w:eastAsia="Times New Roman" w:cs="Times New Roman"/>
          <w:sz w:val="24"/>
          <w:szCs w:val="24"/>
          <w:lang w:val="en-US" w:eastAsia="en-AU"/>
        </w:rPr>
      </w:pPr>
      <w:r>
        <w:rPr>
          <w:rFonts w:eastAsia="Times New Roman" w:cs="Times New Roman"/>
          <w:sz w:val="24"/>
          <w:szCs w:val="24"/>
          <w:lang w:val="en-US" w:eastAsia="en-AU"/>
        </w:rPr>
        <w:t>p</w:t>
      </w:r>
      <w:r w:rsidR="00F05C5A">
        <w:rPr>
          <w:rFonts w:eastAsia="Times New Roman" w:cs="Times New Roman"/>
          <w:sz w:val="24"/>
          <w:szCs w:val="24"/>
          <w:lang w:val="en-US" w:eastAsia="en-AU"/>
        </w:rPr>
        <w:t>ersonal service is impracticable; and</w:t>
      </w:r>
    </w:p>
    <w:p w:rsidR="00F05C5A" w:rsidRPr="00F4471D" w:rsidRDefault="00BA7F25" w:rsidP="003918BC">
      <w:pPr>
        <w:pStyle w:val="NormalWeb"/>
        <w:numPr>
          <w:ilvl w:val="0"/>
          <w:numId w:val="10"/>
        </w:numPr>
        <w:spacing w:before="0" w:beforeAutospacing="0" w:after="240" w:afterAutospacing="0" w:line="276" w:lineRule="auto"/>
        <w:ind w:hanging="426"/>
        <w:jc w:val="both"/>
        <w:rPr>
          <w:rStyle w:val="Emphasis"/>
          <w:rFonts w:asciiTheme="minorHAnsi" w:hAnsiTheme="minorHAnsi"/>
          <w:iCs w:val="0"/>
        </w:rPr>
      </w:pPr>
      <w:proofErr w:type="gramStart"/>
      <w:r>
        <w:rPr>
          <w:rFonts w:asciiTheme="minorHAnsi" w:hAnsiTheme="minorHAnsi"/>
        </w:rPr>
        <w:t>t</w:t>
      </w:r>
      <w:r w:rsidR="00F05C5A" w:rsidRPr="00005CB6">
        <w:rPr>
          <w:rFonts w:asciiTheme="minorHAnsi" w:hAnsiTheme="minorHAnsi"/>
        </w:rPr>
        <w:t>h</w:t>
      </w:r>
      <w:r w:rsidR="00F05C5A" w:rsidRPr="00005CB6">
        <w:rPr>
          <w:rStyle w:val="Emphasis"/>
          <w:rFonts w:asciiTheme="minorHAnsi" w:hAnsiTheme="minorHAnsi"/>
          <w:i w:val="0"/>
        </w:rPr>
        <w:t>e</w:t>
      </w:r>
      <w:proofErr w:type="gramEnd"/>
      <w:r w:rsidR="00F05C5A" w:rsidRPr="00005CB6">
        <w:rPr>
          <w:rStyle w:val="Emphasis"/>
          <w:rFonts w:asciiTheme="minorHAnsi" w:hAnsiTheme="minorHAnsi"/>
          <w:i w:val="0"/>
        </w:rPr>
        <w:t xml:space="preserve"> proposed alternative means of service will, in all reasonable probability, be effective in bringing the documents</w:t>
      </w:r>
      <w:r w:rsidR="00F05C5A" w:rsidRPr="00005CB6">
        <w:rPr>
          <w:rStyle w:val="apple-converted-space"/>
          <w:rFonts w:asciiTheme="minorHAnsi" w:hAnsiTheme="minorHAnsi"/>
          <w:i/>
        </w:rPr>
        <w:t> </w:t>
      </w:r>
      <w:r w:rsidR="00F05C5A" w:rsidRPr="00005CB6">
        <w:rPr>
          <w:rStyle w:val="Emphasis"/>
          <w:rFonts w:asciiTheme="minorHAnsi" w:hAnsiTheme="minorHAnsi"/>
          <w:i w:val="0"/>
        </w:rPr>
        <w:t>to the attention of the respondent debtor.</w:t>
      </w:r>
    </w:p>
    <w:p w:rsidR="0014273C" w:rsidRPr="0014273C" w:rsidRDefault="00730CB1" w:rsidP="003918BC">
      <w:pPr>
        <w:pStyle w:val="ListParagraph"/>
        <w:numPr>
          <w:ilvl w:val="1"/>
          <w:numId w:val="3"/>
        </w:numPr>
        <w:spacing w:after="240"/>
        <w:ind w:left="567" w:hanging="567"/>
        <w:contextualSpacing w:val="0"/>
        <w:jc w:val="both"/>
        <w:rPr>
          <w:rFonts w:eastAsia="Times New Roman" w:cs="Times New Roman"/>
          <w:sz w:val="24"/>
          <w:szCs w:val="24"/>
          <w:lang w:val="en-US" w:eastAsia="en-AU"/>
        </w:rPr>
      </w:pPr>
      <w:r>
        <w:rPr>
          <w:rFonts w:eastAsia="Times New Roman" w:cs="Times New Roman"/>
          <w:sz w:val="24"/>
          <w:szCs w:val="24"/>
          <w:lang w:val="en-US" w:eastAsia="en-AU"/>
        </w:rPr>
        <w:t>The a</w:t>
      </w:r>
      <w:r w:rsidR="0014273C">
        <w:rPr>
          <w:rFonts w:eastAsia="Times New Roman" w:cs="Times New Roman"/>
          <w:sz w:val="24"/>
          <w:szCs w:val="24"/>
          <w:lang w:val="en-US" w:eastAsia="en-AU"/>
        </w:rPr>
        <w:t xml:space="preserve">ffidavit evidence in support of an application for a substituted service order must be in proper and admissible form from someone who has personal knowledge of the enquiries made, searches undertaken and investigations conducted. Annexing a report from a process server will not be considered sufficient evidence.  </w:t>
      </w:r>
    </w:p>
    <w:p w:rsidR="00F05C5A" w:rsidRPr="00F05C5A" w:rsidRDefault="00F05C5A" w:rsidP="003918BC">
      <w:pPr>
        <w:pStyle w:val="ListParagraph"/>
        <w:numPr>
          <w:ilvl w:val="1"/>
          <w:numId w:val="3"/>
        </w:numPr>
        <w:spacing w:after="240"/>
        <w:ind w:left="567" w:hanging="567"/>
        <w:contextualSpacing w:val="0"/>
        <w:jc w:val="both"/>
        <w:rPr>
          <w:rFonts w:eastAsia="Times New Roman" w:cs="Times New Roman"/>
          <w:sz w:val="24"/>
          <w:szCs w:val="24"/>
          <w:lang w:val="en-US" w:eastAsia="en-AU"/>
        </w:rPr>
      </w:pPr>
      <w:r w:rsidRPr="00F05C5A">
        <w:rPr>
          <w:rFonts w:eastAsia="Times New Roman" w:cs="Times New Roman"/>
          <w:sz w:val="24"/>
          <w:szCs w:val="24"/>
          <w:lang w:val="en-US" w:eastAsia="en-AU"/>
        </w:rPr>
        <w:t xml:space="preserve">Applications for substituted service of </w:t>
      </w:r>
      <w:r w:rsidR="00AF0981">
        <w:rPr>
          <w:rFonts w:eastAsia="Times New Roman" w:cs="Times New Roman"/>
          <w:sz w:val="24"/>
          <w:szCs w:val="24"/>
          <w:lang w:val="en-US" w:eastAsia="en-AU"/>
        </w:rPr>
        <w:t>b</w:t>
      </w:r>
      <w:r w:rsidRPr="00F05C5A">
        <w:rPr>
          <w:rFonts w:eastAsia="Times New Roman" w:cs="Times New Roman"/>
          <w:sz w:val="24"/>
          <w:szCs w:val="24"/>
          <w:lang w:val="en-US" w:eastAsia="en-AU"/>
        </w:rPr>
        <w:t xml:space="preserve">ankruptcy </w:t>
      </w:r>
      <w:r w:rsidR="00AF0981">
        <w:rPr>
          <w:rFonts w:eastAsia="Times New Roman" w:cs="Times New Roman"/>
          <w:sz w:val="24"/>
          <w:szCs w:val="24"/>
          <w:lang w:val="en-US" w:eastAsia="en-AU"/>
        </w:rPr>
        <w:t>notices and c</w:t>
      </w:r>
      <w:r w:rsidRPr="00F05C5A">
        <w:rPr>
          <w:rFonts w:eastAsia="Times New Roman" w:cs="Times New Roman"/>
          <w:sz w:val="24"/>
          <w:szCs w:val="24"/>
          <w:lang w:val="en-US" w:eastAsia="en-AU"/>
        </w:rPr>
        <w:t xml:space="preserve">reditor’s </w:t>
      </w:r>
      <w:r w:rsidR="00AF0981">
        <w:rPr>
          <w:rFonts w:eastAsia="Times New Roman" w:cs="Times New Roman"/>
          <w:sz w:val="24"/>
          <w:szCs w:val="24"/>
          <w:lang w:val="en-US" w:eastAsia="en-AU"/>
        </w:rPr>
        <w:t>p</w:t>
      </w:r>
      <w:r w:rsidRPr="00F05C5A">
        <w:rPr>
          <w:rFonts w:eastAsia="Times New Roman" w:cs="Times New Roman"/>
          <w:sz w:val="24"/>
          <w:szCs w:val="24"/>
          <w:lang w:val="en-US" w:eastAsia="en-AU"/>
        </w:rPr>
        <w:t>etitions should be supported by evidence of:</w:t>
      </w:r>
    </w:p>
    <w:p w:rsidR="00F05C5A" w:rsidRPr="00F05C5A" w:rsidRDefault="00BA7F25" w:rsidP="003918BC">
      <w:pPr>
        <w:pStyle w:val="ListParagraph"/>
        <w:numPr>
          <w:ilvl w:val="0"/>
          <w:numId w:val="11"/>
        </w:numPr>
        <w:spacing w:after="240"/>
        <w:ind w:left="993" w:hanging="426"/>
        <w:contextualSpacing w:val="0"/>
        <w:rPr>
          <w:sz w:val="24"/>
          <w:szCs w:val="24"/>
        </w:rPr>
      </w:pPr>
      <w:r>
        <w:rPr>
          <w:sz w:val="24"/>
          <w:szCs w:val="24"/>
        </w:rPr>
        <w:t>t</w:t>
      </w:r>
      <w:r w:rsidR="00F05C5A" w:rsidRPr="00F05C5A">
        <w:rPr>
          <w:sz w:val="24"/>
          <w:szCs w:val="24"/>
        </w:rPr>
        <w:t>he respondent debtor’s last known residential address (and/or place of employment);</w:t>
      </w:r>
    </w:p>
    <w:p w:rsidR="00F05C5A" w:rsidRPr="00F05C5A" w:rsidRDefault="00BA7F25" w:rsidP="003918BC">
      <w:pPr>
        <w:pStyle w:val="ListParagraph"/>
        <w:numPr>
          <w:ilvl w:val="0"/>
          <w:numId w:val="11"/>
        </w:numPr>
        <w:spacing w:after="240"/>
        <w:ind w:left="993" w:hanging="426"/>
        <w:contextualSpacing w:val="0"/>
        <w:rPr>
          <w:sz w:val="24"/>
          <w:szCs w:val="24"/>
        </w:rPr>
      </w:pPr>
      <w:r>
        <w:rPr>
          <w:sz w:val="24"/>
          <w:szCs w:val="24"/>
        </w:rPr>
        <w:t>p</w:t>
      </w:r>
      <w:r w:rsidR="00F05C5A" w:rsidRPr="00F05C5A">
        <w:rPr>
          <w:sz w:val="24"/>
          <w:szCs w:val="24"/>
        </w:rPr>
        <w:t>revious attempts to serve the respondent debtor, including direct evidence of actual conversations with residents, neighbours or work colleagues;</w:t>
      </w:r>
    </w:p>
    <w:p w:rsidR="00F05C5A" w:rsidRPr="00F05C5A" w:rsidRDefault="00BA7F25" w:rsidP="003918BC">
      <w:pPr>
        <w:pStyle w:val="ListParagraph"/>
        <w:numPr>
          <w:ilvl w:val="0"/>
          <w:numId w:val="11"/>
        </w:numPr>
        <w:spacing w:after="240"/>
        <w:ind w:left="993" w:hanging="426"/>
        <w:contextualSpacing w:val="0"/>
        <w:rPr>
          <w:sz w:val="24"/>
          <w:szCs w:val="24"/>
        </w:rPr>
      </w:pPr>
      <w:r>
        <w:rPr>
          <w:sz w:val="24"/>
          <w:szCs w:val="24"/>
        </w:rPr>
        <w:t>t</w:t>
      </w:r>
      <w:r w:rsidR="00F05C5A" w:rsidRPr="00F05C5A">
        <w:rPr>
          <w:sz w:val="24"/>
          <w:szCs w:val="24"/>
        </w:rPr>
        <w:t>he respondent debtor’s responses to attempts to serve or contact him</w:t>
      </w:r>
      <w:r w:rsidR="00A66B7C">
        <w:rPr>
          <w:sz w:val="24"/>
          <w:szCs w:val="24"/>
        </w:rPr>
        <w:t xml:space="preserve"> or </w:t>
      </w:r>
      <w:r w:rsidR="00F05C5A" w:rsidRPr="00F05C5A">
        <w:rPr>
          <w:sz w:val="24"/>
          <w:szCs w:val="24"/>
        </w:rPr>
        <w:t>her; and</w:t>
      </w:r>
    </w:p>
    <w:p w:rsidR="00F05C5A" w:rsidRPr="00F05C5A" w:rsidRDefault="00BA7F25" w:rsidP="003918BC">
      <w:pPr>
        <w:pStyle w:val="ListParagraph"/>
        <w:numPr>
          <w:ilvl w:val="0"/>
          <w:numId w:val="11"/>
        </w:numPr>
        <w:spacing w:after="240"/>
        <w:ind w:left="993" w:hanging="426"/>
        <w:contextualSpacing w:val="0"/>
        <w:rPr>
          <w:sz w:val="24"/>
          <w:szCs w:val="24"/>
        </w:rPr>
      </w:pPr>
      <w:proofErr w:type="gramStart"/>
      <w:r>
        <w:rPr>
          <w:sz w:val="24"/>
          <w:szCs w:val="24"/>
        </w:rPr>
        <w:t>i</w:t>
      </w:r>
      <w:r w:rsidR="00F05C5A" w:rsidRPr="00F05C5A">
        <w:rPr>
          <w:sz w:val="24"/>
          <w:szCs w:val="24"/>
        </w:rPr>
        <w:t>nvestigations</w:t>
      </w:r>
      <w:proofErr w:type="gramEnd"/>
      <w:r w:rsidR="00F05C5A" w:rsidRPr="00F05C5A">
        <w:rPr>
          <w:sz w:val="24"/>
          <w:szCs w:val="24"/>
        </w:rPr>
        <w:t xml:space="preserve"> made to locate the respondent debtor, including independent documentary evidence to suggest a nexus between the respondent debtor and the address in question.</w:t>
      </w:r>
    </w:p>
    <w:p w:rsidR="00F05C5A" w:rsidRDefault="00A66B7C" w:rsidP="003918BC">
      <w:pPr>
        <w:pStyle w:val="ListParagraph"/>
        <w:numPr>
          <w:ilvl w:val="1"/>
          <w:numId w:val="3"/>
        </w:numPr>
        <w:spacing w:after="240"/>
        <w:ind w:left="567" w:hanging="567"/>
        <w:contextualSpacing w:val="0"/>
        <w:jc w:val="both"/>
        <w:rPr>
          <w:rFonts w:eastAsia="Times New Roman" w:cs="Times New Roman"/>
          <w:sz w:val="24"/>
          <w:szCs w:val="24"/>
          <w:lang w:val="en-US" w:eastAsia="en-AU"/>
        </w:rPr>
      </w:pPr>
      <w:r>
        <w:rPr>
          <w:rFonts w:eastAsia="Times New Roman" w:cs="Times New Roman"/>
          <w:sz w:val="24"/>
          <w:szCs w:val="24"/>
          <w:lang w:val="en-US" w:eastAsia="en-AU"/>
        </w:rPr>
        <w:t xml:space="preserve">The investigations referred to in subparagraph (d) above </w:t>
      </w:r>
      <w:r w:rsidR="00F05C5A">
        <w:rPr>
          <w:rFonts w:eastAsia="Times New Roman" w:cs="Times New Roman"/>
          <w:sz w:val="24"/>
          <w:szCs w:val="24"/>
          <w:lang w:val="en-US" w:eastAsia="en-AU"/>
        </w:rPr>
        <w:t>may include searches or inquiries of the following:</w:t>
      </w:r>
    </w:p>
    <w:p w:rsidR="00F05C5A" w:rsidRDefault="00F05C5A" w:rsidP="003918BC">
      <w:pPr>
        <w:numPr>
          <w:ilvl w:val="0"/>
          <w:numId w:val="6"/>
        </w:numPr>
        <w:spacing w:after="240"/>
        <w:ind w:left="992" w:hanging="425"/>
        <w:jc w:val="both"/>
        <w:rPr>
          <w:rFonts w:eastAsia="Times New Roman" w:cs="Times New Roman"/>
          <w:sz w:val="24"/>
          <w:szCs w:val="24"/>
          <w:lang w:eastAsia="en-AU"/>
        </w:rPr>
      </w:pPr>
      <w:r w:rsidRPr="00005CB6">
        <w:rPr>
          <w:rFonts w:eastAsia="Times New Roman" w:cs="Times New Roman"/>
          <w:sz w:val="24"/>
          <w:szCs w:val="24"/>
          <w:lang w:eastAsia="en-AU"/>
        </w:rPr>
        <w:t>Australian Electoral Office;</w:t>
      </w:r>
    </w:p>
    <w:p w:rsidR="00F05C5A" w:rsidRPr="00005CB6" w:rsidRDefault="00F05C5A" w:rsidP="003918BC">
      <w:pPr>
        <w:numPr>
          <w:ilvl w:val="0"/>
          <w:numId w:val="6"/>
        </w:numPr>
        <w:spacing w:after="240"/>
        <w:ind w:left="992" w:hanging="425"/>
        <w:jc w:val="both"/>
        <w:rPr>
          <w:rFonts w:eastAsia="Times New Roman" w:cs="Times New Roman"/>
          <w:sz w:val="24"/>
          <w:szCs w:val="24"/>
          <w:lang w:eastAsia="en-AU"/>
        </w:rPr>
      </w:pPr>
      <w:r w:rsidRPr="00005CB6">
        <w:rPr>
          <w:rFonts w:eastAsia="Times New Roman" w:cs="Times New Roman"/>
          <w:sz w:val="24"/>
          <w:szCs w:val="24"/>
          <w:lang w:eastAsia="en-AU"/>
        </w:rPr>
        <w:t>Australian Securities and Investment Commission;</w:t>
      </w:r>
    </w:p>
    <w:p w:rsidR="00F05C5A" w:rsidRPr="00005CB6" w:rsidRDefault="00F05C5A" w:rsidP="003918BC">
      <w:pPr>
        <w:numPr>
          <w:ilvl w:val="0"/>
          <w:numId w:val="6"/>
        </w:numPr>
        <w:spacing w:after="240"/>
        <w:ind w:left="992" w:hanging="425"/>
        <w:jc w:val="both"/>
        <w:rPr>
          <w:rFonts w:eastAsia="Times New Roman" w:cs="Times New Roman"/>
          <w:sz w:val="24"/>
          <w:szCs w:val="24"/>
          <w:lang w:eastAsia="en-AU"/>
        </w:rPr>
      </w:pPr>
      <w:r w:rsidRPr="00005CB6">
        <w:rPr>
          <w:rFonts w:eastAsia="Times New Roman" w:cs="Times New Roman"/>
          <w:sz w:val="24"/>
          <w:szCs w:val="24"/>
          <w:lang w:eastAsia="en-AU"/>
        </w:rPr>
        <w:t>Registers for professional groups or organisations;</w:t>
      </w:r>
    </w:p>
    <w:p w:rsidR="00F05C5A" w:rsidRPr="00005CB6" w:rsidRDefault="00F05C5A" w:rsidP="003918BC">
      <w:pPr>
        <w:numPr>
          <w:ilvl w:val="0"/>
          <w:numId w:val="6"/>
        </w:numPr>
        <w:spacing w:after="240"/>
        <w:ind w:left="992" w:hanging="425"/>
        <w:jc w:val="both"/>
        <w:rPr>
          <w:rFonts w:eastAsia="Times New Roman" w:cs="Times New Roman"/>
          <w:sz w:val="24"/>
          <w:szCs w:val="24"/>
          <w:lang w:eastAsia="en-AU"/>
        </w:rPr>
      </w:pPr>
      <w:r w:rsidRPr="00005CB6">
        <w:rPr>
          <w:rFonts w:eastAsia="Times New Roman" w:cs="Times New Roman"/>
          <w:sz w:val="24"/>
          <w:szCs w:val="24"/>
          <w:lang w:eastAsia="en-AU"/>
        </w:rPr>
        <w:t>Telephone listings (such as White Pages Online);</w:t>
      </w:r>
    </w:p>
    <w:p w:rsidR="00F05C5A" w:rsidRPr="00005CB6" w:rsidRDefault="00F05C5A" w:rsidP="003918BC">
      <w:pPr>
        <w:numPr>
          <w:ilvl w:val="0"/>
          <w:numId w:val="6"/>
        </w:numPr>
        <w:spacing w:after="240"/>
        <w:ind w:left="992" w:hanging="425"/>
        <w:jc w:val="both"/>
        <w:rPr>
          <w:rFonts w:eastAsia="Times New Roman" w:cs="Times New Roman"/>
          <w:sz w:val="24"/>
          <w:szCs w:val="24"/>
          <w:lang w:eastAsia="en-AU"/>
        </w:rPr>
      </w:pPr>
      <w:r w:rsidRPr="00005CB6">
        <w:rPr>
          <w:rFonts w:eastAsia="Times New Roman" w:cs="Times New Roman"/>
          <w:sz w:val="24"/>
          <w:szCs w:val="24"/>
          <w:lang w:eastAsia="en-AU"/>
        </w:rPr>
        <w:t>Local Council land rates enquiries; and</w:t>
      </w:r>
    </w:p>
    <w:p w:rsidR="00F05C5A" w:rsidRPr="00F05C5A" w:rsidRDefault="00F05C5A" w:rsidP="003918BC">
      <w:pPr>
        <w:numPr>
          <w:ilvl w:val="0"/>
          <w:numId w:val="6"/>
        </w:numPr>
        <w:spacing w:after="240"/>
        <w:ind w:left="992" w:hanging="425"/>
        <w:jc w:val="both"/>
        <w:rPr>
          <w:rFonts w:eastAsia="Times New Roman" w:cs="Times New Roman"/>
          <w:sz w:val="24"/>
          <w:szCs w:val="24"/>
          <w:lang w:eastAsia="en-AU"/>
        </w:rPr>
      </w:pPr>
      <w:r w:rsidRPr="00005CB6">
        <w:rPr>
          <w:rFonts w:eastAsia="Times New Roman" w:cs="Times New Roman"/>
          <w:sz w:val="24"/>
          <w:szCs w:val="24"/>
          <w:lang w:eastAsia="en-AU"/>
        </w:rPr>
        <w:t>Land title searches (with the search result clearly showing the link between the street address and the volume / folio number of the property in question)</w:t>
      </w:r>
      <w:r>
        <w:rPr>
          <w:rFonts w:eastAsia="Times New Roman" w:cs="Times New Roman"/>
          <w:sz w:val="24"/>
          <w:szCs w:val="24"/>
          <w:lang w:eastAsia="en-AU"/>
        </w:rPr>
        <w:t>.</w:t>
      </w:r>
    </w:p>
    <w:p w:rsidR="00F05C5A" w:rsidRDefault="00F05C5A" w:rsidP="003918BC">
      <w:pPr>
        <w:pStyle w:val="ListParagraph"/>
        <w:numPr>
          <w:ilvl w:val="1"/>
          <w:numId w:val="3"/>
        </w:numPr>
        <w:spacing w:after="240"/>
        <w:ind w:left="567" w:hanging="567"/>
        <w:contextualSpacing w:val="0"/>
        <w:jc w:val="both"/>
        <w:rPr>
          <w:rFonts w:eastAsia="Times New Roman" w:cs="Times New Roman"/>
          <w:sz w:val="24"/>
          <w:szCs w:val="24"/>
          <w:lang w:val="en-US" w:eastAsia="en-AU"/>
        </w:rPr>
      </w:pPr>
      <w:r w:rsidRPr="00F05C5A">
        <w:rPr>
          <w:rFonts w:eastAsia="Times New Roman" w:cs="Times New Roman"/>
          <w:sz w:val="24"/>
          <w:szCs w:val="24"/>
          <w:lang w:val="en-US" w:eastAsia="en-AU"/>
        </w:rPr>
        <w:t xml:space="preserve">Evidence establishing a link between the debtor and the address at which documents are to be sent and/or delivered ought to show that the link existed no later than 6 weeks prior to the hearing of the application.  Parties are encouraged to obtain recent evidence of the link as close as possible to the hearing date.  </w:t>
      </w:r>
    </w:p>
    <w:p w:rsidR="005231B0" w:rsidRPr="00F05C5A" w:rsidRDefault="005231B0" w:rsidP="003918BC">
      <w:pPr>
        <w:pStyle w:val="ListParagraph"/>
        <w:numPr>
          <w:ilvl w:val="1"/>
          <w:numId w:val="3"/>
        </w:numPr>
        <w:spacing w:after="240"/>
        <w:ind w:left="567" w:hanging="567"/>
        <w:contextualSpacing w:val="0"/>
        <w:jc w:val="both"/>
        <w:rPr>
          <w:rFonts w:eastAsia="Times New Roman" w:cs="Times New Roman"/>
          <w:sz w:val="24"/>
          <w:szCs w:val="24"/>
          <w:lang w:val="en-US" w:eastAsia="en-AU"/>
        </w:rPr>
      </w:pPr>
      <w:r w:rsidRPr="00F05C5A">
        <w:rPr>
          <w:rFonts w:eastAsia="Times New Roman" w:cs="Times New Roman"/>
          <w:sz w:val="24"/>
          <w:szCs w:val="24"/>
          <w:lang w:val="en-US" w:eastAsia="en-AU"/>
        </w:rPr>
        <w:t xml:space="preserve">In certain circumstances, the Court may consider making an order for substituted service which includes </w:t>
      </w:r>
      <w:r>
        <w:rPr>
          <w:rFonts w:eastAsia="Times New Roman" w:cs="Times New Roman"/>
          <w:sz w:val="24"/>
          <w:szCs w:val="24"/>
          <w:lang w:val="en-US" w:eastAsia="en-AU"/>
        </w:rPr>
        <w:t>communication sent to</w:t>
      </w:r>
      <w:r w:rsidRPr="00F05C5A">
        <w:rPr>
          <w:rFonts w:eastAsia="Times New Roman" w:cs="Times New Roman"/>
          <w:sz w:val="24"/>
          <w:szCs w:val="24"/>
          <w:lang w:val="en-US" w:eastAsia="en-AU"/>
        </w:rPr>
        <w:t xml:space="preserve"> the respondent debtor via email or mobile phone (SMS).  If </w:t>
      </w:r>
      <w:r>
        <w:rPr>
          <w:rFonts w:eastAsia="Times New Roman" w:cs="Times New Roman"/>
          <w:sz w:val="24"/>
          <w:szCs w:val="24"/>
          <w:lang w:val="en-US" w:eastAsia="en-AU"/>
        </w:rPr>
        <w:t>an applicant</w:t>
      </w:r>
      <w:r w:rsidRPr="00F05C5A">
        <w:rPr>
          <w:rFonts w:eastAsia="Times New Roman" w:cs="Times New Roman"/>
          <w:sz w:val="24"/>
          <w:szCs w:val="24"/>
          <w:lang w:val="en-US" w:eastAsia="en-AU"/>
        </w:rPr>
        <w:t xml:space="preserve"> wish</w:t>
      </w:r>
      <w:r>
        <w:rPr>
          <w:rFonts w:eastAsia="Times New Roman" w:cs="Times New Roman"/>
          <w:sz w:val="24"/>
          <w:szCs w:val="24"/>
          <w:lang w:val="en-US" w:eastAsia="en-AU"/>
        </w:rPr>
        <w:t>es</w:t>
      </w:r>
      <w:r w:rsidRPr="00F05C5A">
        <w:rPr>
          <w:rFonts w:eastAsia="Times New Roman" w:cs="Times New Roman"/>
          <w:sz w:val="24"/>
          <w:szCs w:val="24"/>
          <w:lang w:val="en-US" w:eastAsia="en-AU"/>
        </w:rPr>
        <w:t xml:space="preserve"> to include such a method of service in an application they should provide details of:  </w:t>
      </w:r>
    </w:p>
    <w:p w:rsidR="005231B0" w:rsidRPr="00005CB6" w:rsidRDefault="005231B0" w:rsidP="003918BC">
      <w:pPr>
        <w:numPr>
          <w:ilvl w:val="0"/>
          <w:numId w:val="6"/>
        </w:numPr>
        <w:spacing w:after="240"/>
        <w:ind w:left="992" w:hanging="425"/>
        <w:jc w:val="both"/>
        <w:rPr>
          <w:rFonts w:eastAsia="Times New Roman" w:cs="Times New Roman"/>
          <w:sz w:val="24"/>
          <w:szCs w:val="24"/>
          <w:lang w:eastAsia="en-AU"/>
        </w:rPr>
      </w:pPr>
      <w:r>
        <w:rPr>
          <w:rFonts w:eastAsia="Times New Roman" w:cs="Times New Roman"/>
          <w:sz w:val="24"/>
          <w:szCs w:val="24"/>
          <w:lang w:eastAsia="en-AU"/>
        </w:rPr>
        <w:t>t</w:t>
      </w:r>
      <w:r w:rsidRPr="00005CB6">
        <w:rPr>
          <w:rFonts w:eastAsia="Times New Roman" w:cs="Times New Roman"/>
          <w:sz w:val="24"/>
          <w:szCs w:val="24"/>
          <w:lang w:eastAsia="en-AU"/>
        </w:rPr>
        <w:t>he email address or mobile phone number;</w:t>
      </w:r>
    </w:p>
    <w:p w:rsidR="005231B0" w:rsidRPr="00005CB6" w:rsidRDefault="005231B0" w:rsidP="003918BC">
      <w:pPr>
        <w:numPr>
          <w:ilvl w:val="0"/>
          <w:numId w:val="6"/>
        </w:numPr>
        <w:spacing w:after="240"/>
        <w:ind w:left="992" w:hanging="425"/>
        <w:jc w:val="both"/>
        <w:rPr>
          <w:rFonts w:eastAsia="Times New Roman" w:cs="Times New Roman"/>
          <w:sz w:val="24"/>
          <w:szCs w:val="24"/>
          <w:lang w:eastAsia="en-AU"/>
        </w:rPr>
      </w:pPr>
      <w:r>
        <w:rPr>
          <w:rFonts w:eastAsia="Times New Roman" w:cs="Times New Roman"/>
          <w:sz w:val="24"/>
          <w:szCs w:val="24"/>
          <w:lang w:eastAsia="en-AU"/>
        </w:rPr>
        <w:t>e</w:t>
      </w:r>
      <w:r w:rsidRPr="00005CB6">
        <w:rPr>
          <w:rFonts w:eastAsia="Times New Roman" w:cs="Times New Roman"/>
          <w:sz w:val="24"/>
          <w:szCs w:val="24"/>
          <w:lang w:eastAsia="en-AU"/>
        </w:rPr>
        <w:t xml:space="preserve">vidence that the relevant email or mobile phone accounts are owned by </w:t>
      </w:r>
      <w:r>
        <w:rPr>
          <w:rFonts w:eastAsia="Times New Roman" w:cs="Times New Roman"/>
          <w:sz w:val="24"/>
          <w:szCs w:val="24"/>
          <w:lang w:eastAsia="en-AU"/>
        </w:rPr>
        <w:t>and</w:t>
      </w:r>
      <w:r w:rsidRPr="00005CB6">
        <w:rPr>
          <w:rFonts w:eastAsia="Times New Roman" w:cs="Times New Roman"/>
          <w:sz w:val="24"/>
          <w:szCs w:val="24"/>
          <w:lang w:eastAsia="en-AU"/>
        </w:rPr>
        <w:t xml:space="preserve"> regularly used by the respondent debtor (including evidence of what contact has previously been made with the respondent debtor via either of these means); and</w:t>
      </w:r>
    </w:p>
    <w:p w:rsidR="005231B0" w:rsidRPr="00F05C5A" w:rsidRDefault="005231B0" w:rsidP="003918BC">
      <w:pPr>
        <w:numPr>
          <w:ilvl w:val="0"/>
          <w:numId w:val="6"/>
        </w:numPr>
        <w:spacing w:after="240"/>
        <w:ind w:left="992" w:hanging="425"/>
        <w:jc w:val="both"/>
        <w:rPr>
          <w:rFonts w:eastAsia="Times New Roman" w:cs="Times New Roman"/>
          <w:sz w:val="24"/>
          <w:szCs w:val="24"/>
          <w:lang w:eastAsia="en-AU"/>
        </w:rPr>
      </w:pPr>
      <w:proofErr w:type="gramStart"/>
      <w:r>
        <w:rPr>
          <w:rFonts w:eastAsia="Times New Roman" w:cs="Times New Roman"/>
          <w:sz w:val="24"/>
          <w:szCs w:val="24"/>
          <w:lang w:eastAsia="en-AU"/>
        </w:rPr>
        <w:t>e</w:t>
      </w:r>
      <w:r w:rsidRPr="00005CB6">
        <w:rPr>
          <w:rFonts w:eastAsia="Times New Roman" w:cs="Times New Roman"/>
          <w:sz w:val="24"/>
          <w:szCs w:val="24"/>
          <w:lang w:eastAsia="en-AU"/>
        </w:rPr>
        <w:t>vidence</w:t>
      </w:r>
      <w:proofErr w:type="gramEnd"/>
      <w:r w:rsidRPr="00005CB6">
        <w:rPr>
          <w:rFonts w:eastAsia="Times New Roman" w:cs="Times New Roman"/>
          <w:sz w:val="24"/>
          <w:szCs w:val="24"/>
          <w:lang w:eastAsia="en-AU"/>
        </w:rPr>
        <w:t xml:space="preserve"> of whether the relevant accounts remain current (i.e. whether a ‘disconnected message’ has been received, a voicemail message confirms ownership of a mobile phone number, or email messages have been returned without delivery by a provider).</w:t>
      </w:r>
    </w:p>
    <w:p w:rsidR="00910984" w:rsidRDefault="00DA09F3" w:rsidP="003918BC">
      <w:pPr>
        <w:pStyle w:val="ListParagraph"/>
        <w:numPr>
          <w:ilvl w:val="0"/>
          <w:numId w:val="3"/>
        </w:numPr>
        <w:shd w:val="clear" w:color="auto" w:fill="FFFFFF"/>
        <w:spacing w:before="360" w:after="240"/>
        <w:ind w:left="567" w:hanging="567"/>
        <w:contextualSpacing w:val="0"/>
        <w:jc w:val="both"/>
        <w:textAlignment w:val="baseline"/>
        <w:outlineLvl w:val="1"/>
        <w:rPr>
          <w:rFonts w:eastAsia="Times New Roman" w:cs="Arial"/>
          <w:b/>
          <w:color w:val="000000"/>
          <w:sz w:val="28"/>
          <w:szCs w:val="24"/>
          <w:lang w:eastAsia="en-AU"/>
        </w:rPr>
      </w:pPr>
      <w:r>
        <w:rPr>
          <w:rFonts w:eastAsia="Times New Roman" w:cs="Arial"/>
          <w:b/>
          <w:color w:val="000000"/>
          <w:sz w:val="28"/>
          <w:szCs w:val="24"/>
          <w:lang w:eastAsia="en-AU"/>
        </w:rPr>
        <w:t>Filing the application and accompanying a</w:t>
      </w:r>
      <w:r w:rsidR="00910984">
        <w:rPr>
          <w:rFonts w:eastAsia="Times New Roman" w:cs="Arial"/>
          <w:b/>
          <w:color w:val="000000"/>
          <w:sz w:val="28"/>
          <w:szCs w:val="24"/>
          <w:lang w:eastAsia="en-AU"/>
        </w:rPr>
        <w:t>ffidavit</w:t>
      </w:r>
    </w:p>
    <w:p w:rsidR="00D50425" w:rsidRDefault="00D50425" w:rsidP="003918BC">
      <w:pPr>
        <w:pStyle w:val="ListParagraph"/>
        <w:numPr>
          <w:ilvl w:val="1"/>
          <w:numId w:val="3"/>
        </w:numPr>
        <w:spacing w:after="240"/>
        <w:ind w:left="567" w:hanging="567"/>
        <w:contextualSpacing w:val="0"/>
        <w:jc w:val="both"/>
        <w:rPr>
          <w:rFonts w:eastAsia="Times New Roman" w:cs="Times New Roman"/>
          <w:sz w:val="24"/>
          <w:szCs w:val="24"/>
          <w:lang w:val="en-US" w:eastAsia="en-AU"/>
        </w:rPr>
      </w:pPr>
      <w:r w:rsidRPr="00AF325B">
        <w:rPr>
          <w:rFonts w:eastAsia="Times New Roman" w:cs="Times New Roman"/>
          <w:sz w:val="24"/>
          <w:szCs w:val="24"/>
          <w:lang w:val="en-US" w:eastAsia="en-AU"/>
        </w:rPr>
        <w:t xml:space="preserve">The application and </w:t>
      </w:r>
      <w:r>
        <w:rPr>
          <w:rFonts w:eastAsia="Times New Roman" w:cs="Times New Roman"/>
          <w:sz w:val="24"/>
          <w:szCs w:val="24"/>
          <w:lang w:val="en-US" w:eastAsia="en-AU"/>
        </w:rPr>
        <w:t xml:space="preserve">accompanying </w:t>
      </w:r>
      <w:r w:rsidRPr="00AF325B">
        <w:rPr>
          <w:rFonts w:eastAsia="Times New Roman" w:cs="Times New Roman"/>
          <w:sz w:val="24"/>
          <w:szCs w:val="24"/>
          <w:lang w:val="en-US" w:eastAsia="en-AU"/>
        </w:rPr>
        <w:t>affidavit must be filed in the Federal Court</w:t>
      </w:r>
      <w:r>
        <w:rPr>
          <w:rFonts w:eastAsia="Times New Roman" w:cs="Times New Roman"/>
          <w:sz w:val="24"/>
          <w:szCs w:val="24"/>
          <w:lang w:val="en-US" w:eastAsia="en-AU"/>
        </w:rPr>
        <w:t xml:space="preserve"> of Australia or the Federal Circuit</w:t>
      </w:r>
      <w:r w:rsidR="00C60192">
        <w:rPr>
          <w:rFonts w:eastAsia="Times New Roman" w:cs="Times New Roman"/>
          <w:sz w:val="24"/>
          <w:szCs w:val="24"/>
          <w:lang w:val="en-US" w:eastAsia="en-AU"/>
        </w:rPr>
        <w:t xml:space="preserve"> and Family</w:t>
      </w:r>
      <w:r>
        <w:rPr>
          <w:rFonts w:eastAsia="Times New Roman" w:cs="Times New Roman"/>
          <w:sz w:val="24"/>
          <w:szCs w:val="24"/>
          <w:lang w:val="en-US" w:eastAsia="en-AU"/>
        </w:rPr>
        <w:t xml:space="preserve"> Court of Australia</w:t>
      </w:r>
      <w:r w:rsidRPr="00AF325B">
        <w:rPr>
          <w:rFonts w:eastAsia="Times New Roman" w:cs="Times New Roman"/>
          <w:sz w:val="24"/>
          <w:szCs w:val="24"/>
          <w:lang w:val="en-US" w:eastAsia="en-AU"/>
        </w:rPr>
        <w:t xml:space="preserve">. </w:t>
      </w:r>
    </w:p>
    <w:p w:rsidR="00D50425" w:rsidRDefault="00D50425" w:rsidP="003918BC">
      <w:pPr>
        <w:pStyle w:val="ListParagraph"/>
        <w:numPr>
          <w:ilvl w:val="1"/>
          <w:numId w:val="3"/>
        </w:numPr>
        <w:spacing w:after="240"/>
        <w:ind w:left="567" w:hanging="567"/>
        <w:contextualSpacing w:val="0"/>
        <w:jc w:val="both"/>
        <w:rPr>
          <w:rFonts w:eastAsia="Times New Roman" w:cs="Times New Roman"/>
          <w:sz w:val="24"/>
          <w:szCs w:val="24"/>
          <w:lang w:val="en-US" w:eastAsia="en-AU"/>
        </w:rPr>
      </w:pPr>
      <w:r w:rsidRPr="00A23CAC">
        <w:rPr>
          <w:rFonts w:eastAsia="Times New Roman" w:cs="Times New Roman"/>
          <w:sz w:val="24"/>
          <w:szCs w:val="24"/>
          <w:lang w:val="en-US" w:eastAsia="en-AU"/>
        </w:rPr>
        <w:t xml:space="preserve">The </w:t>
      </w:r>
      <w:r>
        <w:rPr>
          <w:rFonts w:eastAsia="Times New Roman" w:cs="Times New Roman"/>
          <w:sz w:val="24"/>
          <w:szCs w:val="24"/>
          <w:lang w:val="en-US" w:eastAsia="en-AU"/>
        </w:rPr>
        <w:t>applicant</w:t>
      </w:r>
      <w:r w:rsidRPr="00A23CAC">
        <w:rPr>
          <w:rFonts w:eastAsia="Times New Roman" w:cs="Times New Roman"/>
          <w:sz w:val="24"/>
          <w:szCs w:val="24"/>
          <w:lang w:val="en-US" w:eastAsia="en-AU"/>
        </w:rPr>
        <w:t xml:space="preserve"> </w:t>
      </w:r>
      <w:r>
        <w:rPr>
          <w:rFonts w:eastAsia="Times New Roman" w:cs="Times New Roman"/>
          <w:sz w:val="24"/>
          <w:szCs w:val="24"/>
          <w:lang w:val="en-US" w:eastAsia="en-AU"/>
        </w:rPr>
        <w:t>may</w:t>
      </w:r>
      <w:r w:rsidRPr="00A23CAC">
        <w:rPr>
          <w:rFonts w:eastAsia="Times New Roman" w:cs="Times New Roman"/>
          <w:sz w:val="24"/>
          <w:szCs w:val="24"/>
          <w:lang w:val="en-US" w:eastAsia="en-AU"/>
        </w:rPr>
        <w:t xml:space="preserve"> </w:t>
      </w:r>
      <w:r>
        <w:rPr>
          <w:rFonts w:eastAsia="Times New Roman" w:cs="Times New Roman"/>
          <w:sz w:val="24"/>
          <w:szCs w:val="24"/>
          <w:lang w:val="en-US" w:eastAsia="en-AU"/>
        </w:rPr>
        <w:t>lodge</w:t>
      </w:r>
      <w:r w:rsidRPr="00A23CAC">
        <w:rPr>
          <w:rFonts w:eastAsia="Times New Roman" w:cs="Times New Roman"/>
          <w:sz w:val="24"/>
          <w:szCs w:val="24"/>
          <w:lang w:val="en-US" w:eastAsia="en-AU"/>
        </w:rPr>
        <w:t xml:space="preserve"> all required documents electronically through the Court’s </w:t>
      </w:r>
      <w:proofErr w:type="spellStart"/>
      <w:r w:rsidRPr="00A23CAC">
        <w:rPr>
          <w:rFonts w:eastAsia="Times New Roman" w:cs="Times New Roman"/>
          <w:sz w:val="24"/>
          <w:szCs w:val="24"/>
          <w:lang w:val="en-US" w:eastAsia="en-AU"/>
        </w:rPr>
        <w:t>eLodgment</w:t>
      </w:r>
      <w:proofErr w:type="spellEnd"/>
      <w:r w:rsidRPr="00A23CAC">
        <w:rPr>
          <w:rFonts w:eastAsia="Times New Roman" w:cs="Times New Roman"/>
          <w:sz w:val="24"/>
          <w:szCs w:val="24"/>
          <w:lang w:val="en-US" w:eastAsia="en-AU"/>
        </w:rPr>
        <w:t xml:space="preserve"> </w:t>
      </w:r>
      <w:r w:rsidR="00BC4C1C">
        <w:rPr>
          <w:rFonts w:eastAsia="Times New Roman" w:cs="Times New Roman"/>
          <w:sz w:val="24"/>
          <w:szCs w:val="24"/>
          <w:lang w:val="en-US" w:eastAsia="en-AU"/>
        </w:rPr>
        <w:t>facility</w:t>
      </w:r>
      <w:r>
        <w:rPr>
          <w:rFonts w:eastAsia="Times New Roman" w:cs="Times New Roman"/>
          <w:sz w:val="24"/>
          <w:szCs w:val="24"/>
          <w:lang w:val="en-US" w:eastAsia="en-AU"/>
        </w:rPr>
        <w:t xml:space="preserve">. For more information on </w:t>
      </w:r>
      <w:proofErr w:type="spellStart"/>
      <w:r>
        <w:rPr>
          <w:rFonts w:eastAsia="Times New Roman" w:cs="Times New Roman"/>
          <w:sz w:val="24"/>
          <w:szCs w:val="24"/>
          <w:lang w:val="en-US" w:eastAsia="en-AU"/>
        </w:rPr>
        <w:t>eLodgment</w:t>
      </w:r>
      <w:proofErr w:type="spellEnd"/>
      <w:r>
        <w:rPr>
          <w:rFonts w:eastAsia="Times New Roman" w:cs="Times New Roman"/>
          <w:sz w:val="24"/>
          <w:szCs w:val="24"/>
          <w:lang w:val="en-US" w:eastAsia="en-AU"/>
        </w:rPr>
        <w:t xml:space="preserve"> and the Court’s </w:t>
      </w:r>
      <w:r w:rsidR="00730CB1">
        <w:rPr>
          <w:rFonts w:eastAsia="Times New Roman" w:cs="Times New Roman"/>
          <w:sz w:val="24"/>
          <w:szCs w:val="24"/>
          <w:lang w:val="en-US" w:eastAsia="en-AU"/>
        </w:rPr>
        <w:t>online s</w:t>
      </w:r>
      <w:r w:rsidR="00BC4C1C">
        <w:rPr>
          <w:rFonts w:eastAsia="Times New Roman" w:cs="Times New Roman"/>
          <w:sz w:val="24"/>
          <w:szCs w:val="24"/>
          <w:lang w:val="en-US" w:eastAsia="en-AU"/>
        </w:rPr>
        <w:t>ervices</w:t>
      </w:r>
      <w:r>
        <w:rPr>
          <w:rFonts w:eastAsia="Times New Roman" w:cs="Times New Roman"/>
          <w:sz w:val="24"/>
          <w:szCs w:val="24"/>
          <w:lang w:val="en-US" w:eastAsia="en-AU"/>
        </w:rPr>
        <w:t xml:space="preserve">, </w:t>
      </w:r>
      <w:r w:rsidR="00730CB1">
        <w:rPr>
          <w:rFonts w:eastAsia="Times New Roman" w:cs="Times New Roman"/>
          <w:sz w:val="24"/>
          <w:szCs w:val="24"/>
          <w:lang w:val="en-US" w:eastAsia="en-AU"/>
        </w:rPr>
        <w:t>refer to s</w:t>
      </w:r>
      <w:r>
        <w:rPr>
          <w:rFonts w:eastAsia="Times New Roman" w:cs="Times New Roman"/>
          <w:sz w:val="24"/>
          <w:szCs w:val="24"/>
          <w:lang w:val="en-US" w:eastAsia="en-AU"/>
        </w:rPr>
        <w:t>ection [</w:t>
      </w:r>
      <w:r w:rsidR="00B32EE6">
        <w:rPr>
          <w:rFonts w:eastAsia="Times New Roman" w:cs="Times New Roman"/>
          <w:sz w:val="24"/>
          <w:szCs w:val="24"/>
          <w:lang w:val="en-US" w:eastAsia="en-AU"/>
        </w:rPr>
        <w:fldChar w:fldCharType="begin"/>
      </w:r>
      <w:r w:rsidR="00B32EE6">
        <w:rPr>
          <w:rFonts w:eastAsia="Times New Roman" w:cs="Times New Roman"/>
          <w:sz w:val="24"/>
          <w:szCs w:val="24"/>
          <w:lang w:val="en-US" w:eastAsia="en-AU"/>
        </w:rPr>
        <w:instrText xml:space="preserve"> REF _Ref466986379 \r \h </w:instrText>
      </w:r>
      <w:r w:rsidR="00B32EE6">
        <w:rPr>
          <w:rFonts w:eastAsia="Times New Roman" w:cs="Times New Roman"/>
          <w:sz w:val="24"/>
          <w:szCs w:val="24"/>
          <w:lang w:val="en-US" w:eastAsia="en-AU"/>
        </w:rPr>
      </w:r>
      <w:r w:rsidR="00B32EE6">
        <w:rPr>
          <w:rFonts w:eastAsia="Times New Roman" w:cs="Times New Roman"/>
          <w:sz w:val="24"/>
          <w:szCs w:val="24"/>
          <w:lang w:val="en-US" w:eastAsia="en-AU"/>
        </w:rPr>
        <w:fldChar w:fldCharType="separate"/>
      </w:r>
      <w:r w:rsidR="00B32EE6">
        <w:rPr>
          <w:rFonts w:eastAsia="Times New Roman" w:cs="Times New Roman"/>
          <w:sz w:val="24"/>
          <w:szCs w:val="24"/>
          <w:lang w:val="en-US" w:eastAsia="en-AU"/>
        </w:rPr>
        <w:t>8</w:t>
      </w:r>
      <w:r w:rsidR="00B32EE6">
        <w:rPr>
          <w:rFonts w:eastAsia="Times New Roman" w:cs="Times New Roman"/>
          <w:sz w:val="24"/>
          <w:szCs w:val="24"/>
          <w:lang w:val="en-US" w:eastAsia="en-AU"/>
        </w:rPr>
        <w:fldChar w:fldCharType="end"/>
      </w:r>
      <w:r>
        <w:rPr>
          <w:rFonts w:eastAsia="Times New Roman" w:cs="Times New Roman"/>
          <w:sz w:val="24"/>
          <w:szCs w:val="24"/>
          <w:lang w:val="en-US" w:eastAsia="en-AU"/>
        </w:rPr>
        <w:t xml:space="preserve">] of this </w:t>
      </w:r>
      <w:r w:rsidR="00730CB1">
        <w:rPr>
          <w:rFonts w:eastAsia="Times New Roman" w:cs="Times New Roman"/>
          <w:sz w:val="24"/>
          <w:szCs w:val="24"/>
          <w:lang w:val="en-US" w:eastAsia="en-AU"/>
        </w:rPr>
        <w:t>i</w:t>
      </w:r>
      <w:r w:rsidR="006A115F">
        <w:rPr>
          <w:rFonts w:eastAsia="Times New Roman" w:cs="Times New Roman"/>
          <w:sz w:val="24"/>
          <w:szCs w:val="24"/>
          <w:lang w:val="en-US" w:eastAsia="en-AU"/>
        </w:rPr>
        <w:t>nfo</w:t>
      </w:r>
      <w:r w:rsidR="001F3BB9">
        <w:rPr>
          <w:rFonts w:eastAsia="Times New Roman" w:cs="Times New Roman"/>
          <w:sz w:val="24"/>
          <w:szCs w:val="24"/>
          <w:lang w:val="en-US" w:eastAsia="en-AU"/>
        </w:rPr>
        <w:t>rmation</w:t>
      </w:r>
      <w:r>
        <w:rPr>
          <w:rFonts w:eastAsia="Times New Roman" w:cs="Times New Roman"/>
          <w:sz w:val="24"/>
          <w:szCs w:val="24"/>
          <w:lang w:val="en-US" w:eastAsia="en-AU"/>
        </w:rPr>
        <w:t xml:space="preserve"> </w:t>
      </w:r>
      <w:r w:rsidR="00730CB1">
        <w:rPr>
          <w:rFonts w:eastAsia="Times New Roman" w:cs="Times New Roman"/>
          <w:sz w:val="24"/>
          <w:szCs w:val="24"/>
          <w:lang w:val="en-US" w:eastAsia="en-AU"/>
        </w:rPr>
        <w:t>s</w:t>
      </w:r>
      <w:r>
        <w:rPr>
          <w:rFonts w:eastAsia="Times New Roman" w:cs="Times New Roman"/>
          <w:sz w:val="24"/>
          <w:szCs w:val="24"/>
          <w:lang w:val="en-US" w:eastAsia="en-AU"/>
        </w:rPr>
        <w:t>heet.</w:t>
      </w:r>
    </w:p>
    <w:p w:rsidR="00D50425" w:rsidRPr="00F4471D" w:rsidRDefault="00D50425" w:rsidP="003918BC">
      <w:pPr>
        <w:pStyle w:val="ListParagraph"/>
        <w:numPr>
          <w:ilvl w:val="1"/>
          <w:numId w:val="3"/>
        </w:numPr>
        <w:spacing w:after="240"/>
        <w:ind w:left="567" w:hanging="567"/>
        <w:contextualSpacing w:val="0"/>
        <w:jc w:val="both"/>
        <w:rPr>
          <w:rFonts w:eastAsia="Times New Roman" w:cs="Times New Roman"/>
          <w:sz w:val="24"/>
          <w:szCs w:val="24"/>
          <w:lang w:eastAsia="en-AU"/>
        </w:rPr>
      </w:pPr>
      <w:r w:rsidRPr="00D50425">
        <w:rPr>
          <w:rFonts w:eastAsia="Times New Roman" w:cs="Times New Roman"/>
          <w:sz w:val="24"/>
          <w:szCs w:val="24"/>
          <w:lang w:eastAsia="en-AU"/>
        </w:rPr>
        <w:t xml:space="preserve">Practitioners must ensure that when an application is lodged, the full name and email address of the practitioner who will be conducting the </w:t>
      </w:r>
      <w:proofErr w:type="spellStart"/>
      <w:r w:rsidRPr="00D50425">
        <w:rPr>
          <w:rFonts w:eastAsia="Times New Roman" w:cs="Times New Roman"/>
          <w:sz w:val="24"/>
          <w:szCs w:val="24"/>
          <w:lang w:eastAsia="en-AU"/>
        </w:rPr>
        <w:t>eCourtroom</w:t>
      </w:r>
      <w:proofErr w:type="spellEnd"/>
      <w:r w:rsidRPr="00D50425">
        <w:rPr>
          <w:rFonts w:eastAsia="Times New Roman" w:cs="Times New Roman"/>
          <w:sz w:val="24"/>
          <w:szCs w:val="24"/>
          <w:lang w:eastAsia="en-AU"/>
        </w:rPr>
        <w:t xml:space="preserve"> hearing is provided at the foot of the first page of the application</w:t>
      </w:r>
      <w:r w:rsidRPr="006A115F">
        <w:rPr>
          <w:rFonts w:eastAsia="Times New Roman" w:cs="Times New Roman"/>
          <w:sz w:val="24"/>
          <w:szCs w:val="24"/>
          <w:lang w:eastAsia="en-AU"/>
        </w:rPr>
        <w:t>.</w:t>
      </w:r>
      <w:r w:rsidRPr="00F4471D">
        <w:rPr>
          <w:rFonts w:eastAsia="Times New Roman" w:cs="Times New Roman"/>
          <w:sz w:val="24"/>
          <w:szCs w:val="24"/>
          <w:lang w:eastAsia="en-AU"/>
        </w:rPr>
        <w:t xml:space="preserve">  More than one practitioner’s name and email address may be provided.</w:t>
      </w:r>
      <w:r w:rsidR="006A115F">
        <w:rPr>
          <w:rFonts w:eastAsia="Times New Roman" w:cs="Times New Roman"/>
          <w:sz w:val="24"/>
          <w:szCs w:val="24"/>
          <w:lang w:eastAsia="en-AU"/>
        </w:rPr>
        <w:t xml:space="preserve"> The relevant practitioner</w:t>
      </w:r>
      <w:r w:rsidR="00A66B7C">
        <w:rPr>
          <w:rFonts w:eastAsia="Times New Roman" w:cs="Times New Roman"/>
          <w:sz w:val="24"/>
          <w:szCs w:val="24"/>
          <w:lang w:eastAsia="en-AU"/>
        </w:rPr>
        <w:t xml:space="preserve"> or practitioners</w:t>
      </w:r>
      <w:r w:rsidR="006A115F">
        <w:rPr>
          <w:rFonts w:eastAsia="Times New Roman" w:cs="Times New Roman"/>
          <w:sz w:val="24"/>
          <w:szCs w:val="24"/>
          <w:lang w:eastAsia="en-AU"/>
        </w:rPr>
        <w:t xml:space="preserve"> must ensure that they are registered for </w:t>
      </w:r>
      <w:proofErr w:type="spellStart"/>
      <w:r w:rsidR="006A115F">
        <w:rPr>
          <w:rFonts w:eastAsia="Times New Roman" w:cs="Times New Roman"/>
          <w:sz w:val="24"/>
          <w:szCs w:val="24"/>
          <w:lang w:eastAsia="en-AU"/>
        </w:rPr>
        <w:t>eCourtroom</w:t>
      </w:r>
      <w:proofErr w:type="spellEnd"/>
      <w:r w:rsidR="006A115F">
        <w:rPr>
          <w:rFonts w:eastAsia="Times New Roman" w:cs="Times New Roman"/>
          <w:sz w:val="24"/>
          <w:szCs w:val="24"/>
          <w:lang w:eastAsia="en-AU"/>
        </w:rPr>
        <w:t xml:space="preserve">. </w:t>
      </w:r>
    </w:p>
    <w:p w:rsidR="004247BF" w:rsidRPr="00DE511F" w:rsidRDefault="00AF0981" w:rsidP="003918BC">
      <w:pPr>
        <w:pStyle w:val="ListParagraph"/>
        <w:numPr>
          <w:ilvl w:val="0"/>
          <w:numId w:val="3"/>
        </w:numPr>
        <w:shd w:val="clear" w:color="auto" w:fill="FFFFFF"/>
        <w:spacing w:before="360" w:after="240"/>
        <w:ind w:left="567" w:hanging="567"/>
        <w:contextualSpacing w:val="0"/>
        <w:jc w:val="both"/>
        <w:textAlignment w:val="baseline"/>
        <w:outlineLvl w:val="1"/>
        <w:rPr>
          <w:rFonts w:eastAsia="Times New Roman" w:cs="Arial"/>
          <w:b/>
          <w:color w:val="000000"/>
          <w:sz w:val="28"/>
          <w:szCs w:val="24"/>
          <w:lang w:eastAsia="en-AU"/>
        </w:rPr>
      </w:pPr>
      <w:r>
        <w:rPr>
          <w:rFonts w:eastAsia="Times New Roman" w:cs="Arial"/>
          <w:b/>
          <w:color w:val="000000"/>
          <w:sz w:val="28"/>
          <w:szCs w:val="24"/>
          <w:lang w:eastAsia="en-AU"/>
        </w:rPr>
        <w:t xml:space="preserve">Related </w:t>
      </w:r>
      <w:r w:rsidR="004247BF" w:rsidRPr="00DE511F">
        <w:rPr>
          <w:rFonts w:eastAsia="Times New Roman" w:cs="Arial"/>
          <w:b/>
          <w:color w:val="000000"/>
          <w:sz w:val="28"/>
          <w:szCs w:val="24"/>
          <w:lang w:eastAsia="en-AU"/>
        </w:rPr>
        <w:t xml:space="preserve">materials </w:t>
      </w:r>
    </w:p>
    <w:p w:rsidR="004247BF" w:rsidRDefault="004247BF" w:rsidP="003918BC">
      <w:pPr>
        <w:pStyle w:val="Dimi05"/>
        <w:numPr>
          <w:ilvl w:val="1"/>
          <w:numId w:val="2"/>
        </w:numPr>
        <w:spacing w:before="0" w:after="240" w:line="276" w:lineRule="auto"/>
        <w:ind w:left="567" w:hanging="574"/>
        <w:contextualSpacing w:val="0"/>
        <w:jc w:val="both"/>
      </w:pPr>
      <w:r>
        <w:t xml:space="preserve">Debtors are also referred to the following related material: </w:t>
      </w:r>
    </w:p>
    <w:p w:rsidR="00BC4C1C" w:rsidRDefault="00407BA7" w:rsidP="003918BC">
      <w:pPr>
        <w:pStyle w:val="Dimi05"/>
        <w:numPr>
          <w:ilvl w:val="0"/>
          <w:numId w:val="14"/>
        </w:numPr>
        <w:spacing w:before="0" w:line="276" w:lineRule="auto"/>
        <w:contextualSpacing w:val="0"/>
        <w:jc w:val="both"/>
      </w:pPr>
      <w:hyperlink r:id="rId21" w:history="1">
        <w:r w:rsidR="00BC4C1C" w:rsidRPr="00065F82">
          <w:rPr>
            <w:rStyle w:val="Hyperlink"/>
          </w:rPr>
          <w:t>Guide for Practitioners and</w:t>
        </w:r>
        <w:r w:rsidR="00545816">
          <w:rPr>
            <w:rStyle w:val="Hyperlink"/>
          </w:rPr>
          <w:t xml:space="preserve"> Parties in Bankruptcy Matters listed b</w:t>
        </w:r>
        <w:r w:rsidR="00BC4C1C" w:rsidRPr="00065F82">
          <w:rPr>
            <w:rStyle w:val="Hyperlink"/>
          </w:rPr>
          <w:t xml:space="preserve">efore a </w:t>
        </w:r>
        <w:r w:rsidR="006E4F15">
          <w:rPr>
            <w:rStyle w:val="Hyperlink"/>
          </w:rPr>
          <w:t xml:space="preserve">Judicial </w:t>
        </w:r>
        <w:r w:rsidR="00BC4C1C" w:rsidRPr="00065F82">
          <w:rPr>
            <w:rStyle w:val="Hyperlink"/>
          </w:rPr>
          <w:t>Registrar</w:t>
        </w:r>
      </w:hyperlink>
    </w:p>
    <w:p w:rsidR="00BC4C1C" w:rsidRDefault="00407BA7" w:rsidP="003918BC">
      <w:pPr>
        <w:pStyle w:val="Dimi05"/>
        <w:numPr>
          <w:ilvl w:val="0"/>
          <w:numId w:val="14"/>
        </w:numPr>
        <w:spacing w:before="0" w:line="276" w:lineRule="auto"/>
        <w:contextualSpacing w:val="0"/>
        <w:jc w:val="both"/>
      </w:pPr>
      <w:hyperlink r:id="rId22" w:history="1">
        <w:r w:rsidR="00BC4C1C" w:rsidRPr="00545816">
          <w:rPr>
            <w:rStyle w:val="Hyperlink"/>
          </w:rPr>
          <w:t>Bankruptcy Information Sheet 1</w:t>
        </w:r>
      </w:hyperlink>
      <w:r w:rsidR="00BC4C1C">
        <w:t xml:space="preserve">: </w:t>
      </w:r>
      <w:r w:rsidR="00BC4C1C" w:rsidRPr="00545816">
        <w:t>Presenting a Creditor’s Petition</w:t>
      </w:r>
    </w:p>
    <w:p w:rsidR="00BC4C1C" w:rsidRPr="00C74C5E" w:rsidRDefault="00407BA7" w:rsidP="003918BC">
      <w:pPr>
        <w:pStyle w:val="Dimi05"/>
        <w:numPr>
          <w:ilvl w:val="0"/>
          <w:numId w:val="14"/>
        </w:numPr>
        <w:spacing w:before="0" w:line="276" w:lineRule="auto"/>
        <w:jc w:val="both"/>
      </w:pPr>
      <w:hyperlink r:id="rId23" w:history="1">
        <w:r w:rsidR="00BC4C1C" w:rsidRPr="00545816">
          <w:rPr>
            <w:rStyle w:val="Hyperlink"/>
          </w:rPr>
          <w:t>Bankruptcy Information Sheet 2</w:t>
        </w:r>
      </w:hyperlink>
      <w:r w:rsidR="00BC4C1C">
        <w:t xml:space="preserve">: </w:t>
      </w:r>
      <w:r w:rsidR="00BC4C1C" w:rsidRPr="00545816">
        <w:t xml:space="preserve">Creditor’s Petition </w:t>
      </w:r>
      <w:r w:rsidR="00545816" w:rsidRPr="00545816">
        <w:t>C</w:t>
      </w:r>
      <w:r w:rsidR="00BC4C1C" w:rsidRPr="00545816">
        <w:t>hecklist</w:t>
      </w:r>
    </w:p>
    <w:p w:rsidR="00BC4C1C" w:rsidRDefault="00407BA7" w:rsidP="003918BC">
      <w:pPr>
        <w:pStyle w:val="Dimi05"/>
        <w:numPr>
          <w:ilvl w:val="0"/>
          <w:numId w:val="14"/>
        </w:numPr>
        <w:spacing w:before="0" w:line="276" w:lineRule="auto"/>
        <w:jc w:val="both"/>
      </w:pPr>
      <w:hyperlink r:id="rId24" w:history="1">
        <w:r w:rsidR="00BC4C1C" w:rsidRPr="00545816">
          <w:rPr>
            <w:rStyle w:val="Hyperlink"/>
          </w:rPr>
          <w:t>Bankruptcy Information Sheet 3</w:t>
        </w:r>
      </w:hyperlink>
      <w:r w:rsidR="00BC4C1C">
        <w:t xml:space="preserve">: </w:t>
      </w:r>
      <w:r w:rsidR="00BC4C1C" w:rsidRPr="00545816">
        <w:t>Opposing a Creditor’s Petition</w:t>
      </w:r>
    </w:p>
    <w:p w:rsidR="00BC4C1C" w:rsidRDefault="00407BA7" w:rsidP="003918BC">
      <w:pPr>
        <w:pStyle w:val="Dimi05"/>
        <w:numPr>
          <w:ilvl w:val="0"/>
          <w:numId w:val="14"/>
        </w:numPr>
        <w:spacing w:before="0" w:line="276" w:lineRule="auto"/>
        <w:jc w:val="both"/>
      </w:pPr>
      <w:hyperlink r:id="rId25" w:history="1">
        <w:r w:rsidR="00BC4C1C" w:rsidRPr="00AF0981">
          <w:rPr>
            <w:rStyle w:val="Hyperlink"/>
          </w:rPr>
          <w:t>Bankruptcy Information Sheet 4</w:t>
        </w:r>
      </w:hyperlink>
      <w:r w:rsidR="00BC4C1C">
        <w:t xml:space="preserve">: </w:t>
      </w:r>
      <w:r w:rsidR="00BC4C1C" w:rsidRPr="00545816">
        <w:t>Setting aside a Bankruptcy Notice</w:t>
      </w:r>
      <w:r w:rsidR="00BC4C1C">
        <w:t xml:space="preserve"> </w:t>
      </w:r>
    </w:p>
    <w:p w:rsidR="00BC4C1C" w:rsidRPr="00C74C5E" w:rsidRDefault="00407BA7" w:rsidP="003918BC">
      <w:pPr>
        <w:pStyle w:val="Dimi05"/>
        <w:numPr>
          <w:ilvl w:val="0"/>
          <w:numId w:val="14"/>
        </w:numPr>
        <w:spacing w:before="0" w:line="276" w:lineRule="auto"/>
        <w:contextualSpacing w:val="0"/>
        <w:jc w:val="both"/>
      </w:pPr>
      <w:hyperlink r:id="rId26" w:history="1">
        <w:r w:rsidR="00BC4C1C" w:rsidRPr="00AF0981">
          <w:rPr>
            <w:rStyle w:val="Hyperlink"/>
          </w:rPr>
          <w:t>Bankruptcy</w:t>
        </w:r>
        <w:r w:rsidR="002D7E21" w:rsidRPr="00AF0981">
          <w:rPr>
            <w:rStyle w:val="Hyperlink"/>
          </w:rPr>
          <w:t xml:space="preserve"> Information Sheet 6</w:t>
        </w:r>
      </w:hyperlink>
      <w:r w:rsidR="00BC4C1C">
        <w:t xml:space="preserve">: </w:t>
      </w:r>
      <w:r w:rsidR="00545816" w:rsidRPr="00545816">
        <w:t>Consequences of a Sequestration O</w:t>
      </w:r>
      <w:r w:rsidR="0004482A" w:rsidRPr="00545816">
        <w:t>rder</w:t>
      </w:r>
    </w:p>
    <w:p w:rsidR="004247BF" w:rsidRPr="00DE511F" w:rsidRDefault="00DA09F3" w:rsidP="003918BC">
      <w:pPr>
        <w:pStyle w:val="ListParagraph"/>
        <w:numPr>
          <w:ilvl w:val="0"/>
          <w:numId w:val="3"/>
        </w:numPr>
        <w:shd w:val="clear" w:color="auto" w:fill="FFFFFF"/>
        <w:spacing w:before="360" w:after="240"/>
        <w:ind w:left="567" w:hanging="567"/>
        <w:contextualSpacing w:val="0"/>
        <w:jc w:val="both"/>
        <w:textAlignment w:val="baseline"/>
        <w:outlineLvl w:val="1"/>
        <w:rPr>
          <w:rFonts w:eastAsia="Times New Roman" w:cs="Arial"/>
          <w:b/>
          <w:color w:val="000000"/>
          <w:sz w:val="28"/>
          <w:szCs w:val="24"/>
          <w:lang w:eastAsia="en-AU"/>
        </w:rPr>
      </w:pPr>
      <w:r>
        <w:rPr>
          <w:rFonts w:eastAsia="Times New Roman" w:cs="Arial"/>
          <w:b/>
          <w:color w:val="000000"/>
          <w:sz w:val="28"/>
          <w:szCs w:val="24"/>
          <w:lang w:eastAsia="en-AU"/>
        </w:rPr>
        <w:t>Other r</w:t>
      </w:r>
      <w:r w:rsidR="004247BF" w:rsidRPr="00DE511F">
        <w:rPr>
          <w:rFonts w:eastAsia="Times New Roman" w:cs="Arial"/>
          <w:b/>
          <w:color w:val="000000"/>
          <w:sz w:val="28"/>
          <w:szCs w:val="24"/>
          <w:lang w:eastAsia="en-AU"/>
        </w:rPr>
        <w:t xml:space="preserve">esources </w:t>
      </w:r>
    </w:p>
    <w:p w:rsidR="00BC4C1C" w:rsidRPr="00D25891" w:rsidRDefault="00BC4C1C" w:rsidP="003918BC">
      <w:pPr>
        <w:pStyle w:val="Dimi05"/>
        <w:numPr>
          <w:ilvl w:val="1"/>
          <w:numId w:val="9"/>
        </w:numPr>
        <w:spacing w:before="0" w:after="240" w:line="276" w:lineRule="auto"/>
        <w:ind w:left="567" w:hanging="567"/>
        <w:contextualSpacing w:val="0"/>
        <w:jc w:val="both"/>
      </w:pPr>
      <w:r>
        <w:t xml:space="preserve">Debtors who are </w:t>
      </w:r>
      <w:r w:rsidR="00730CB1">
        <w:t>self-represented l</w:t>
      </w:r>
      <w:r w:rsidRPr="00D25891">
        <w:t xml:space="preserve">itigants will be supported by the Registry to assist them through the court process efficiently. </w:t>
      </w:r>
      <w:r w:rsidR="006977EF">
        <w:t xml:space="preserve">Refer to </w:t>
      </w:r>
      <w:hyperlink r:id="rId27" w:history="1">
        <w:r w:rsidR="006977EF" w:rsidRPr="006977EF">
          <w:rPr>
            <w:rStyle w:val="Hyperlink"/>
          </w:rPr>
          <w:t>Information for Litigants</w:t>
        </w:r>
      </w:hyperlink>
      <w:r w:rsidR="006977EF">
        <w:t xml:space="preserve"> for f</w:t>
      </w:r>
      <w:r w:rsidRPr="00D25891">
        <w:t>urther information</w:t>
      </w:r>
      <w:r>
        <w:t>.</w:t>
      </w:r>
    </w:p>
    <w:p w:rsidR="004247BF" w:rsidRDefault="00730CB1" w:rsidP="003918BC">
      <w:pPr>
        <w:pStyle w:val="Dimi05"/>
        <w:numPr>
          <w:ilvl w:val="1"/>
          <w:numId w:val="9"/>
        </w:numPr>
        <w:spacing w:before="0" w:after="240" w:line="276" w:lineRule="auto"/>
        <w:ind w:left="567" w:hanging="567"/>
        <w:contextualSpacing w:val="0"/>
        <w:jc w:val="both"/>
        <w:rPr>
          <w:rFonts w:eastAsia="Calibri"/>
          <w:color w:val="000000"/>
        </w:rPr>
      </w:pPr>
      <w:r>
        <w:rPr>
          <w:color w:val="000000"/>
        </w:rPr>
        <w:t>A self-representation s</w:t>
      </w:r>
      <w:r w:rsidR="004247BF" w:rsidRPr="00D25891">
        <w:rPr>
          <w:color w:val="000000"/>
        </w:rPr>
        <w:t xml:space="preserve">ervice is </w:t>
      </w:r>
      <w:r>
        <w:rPr>
          <w:color w:val="000000"/>
        </w:rPr>
        <w:t>available to litigants in each R</w:t>
      </w:r>
      <w:r w:rsidR="004247BF" w:rsidRPr="00D25891">
        <w:rPr>
          <w:color w:val="000000"/>
        </w:rPr>
        <w:t xml:space="preserve">egistry. The service </w:t>
      </w:r>
      <w:r w:rsidR="004247BF" w:rsidRPr="00D25891">
        <w:rPr>
          <w:rFonts w:eastAsia="Calibri"/>
          <w:color w:val="000000"/>
        </w:rPr>
        <w:t>provides free, confidential and impartial legal advice and assistance with F</w:t>
      </w:r>
      <w:r w:rsidR="00A96FDA">
        <w:rPr>
          <w:rFonts w:eastAsia="Calibri"/>
          <w:color w:val="000000"/>
        </w:rPr>
        <w:t xml:space="preserve">ederal Court </w:t>
      </w:r>
      <w:r w:rsidR="004247BF" w:rsidRPr="00D25891">
        <w:rPr>
          <w:rFonts w:eastAsia="Calibri"/>
          <w:color w:val="000000"/>
        </w:rPr>
        <w:t>and F</w:t>
      </w:r>
      <w:r w:rsidR="00A96FDA">
        <w:rPr>
          <w:rFonts w:eastAsia="Calibri"/>
          <w:color w:val="000000"/>
        </w:rPr>
        <w:t xml:space="preserve">ederal </w:t>
      </w:r>
      <w:r w:rsidR="004247BF" w:rsidRPr="00D25891">
        <w:rPr>
          <w:rFonts w:eastAsia="Calibri"/>
          <w:color w:val="000000"/>
        </w:rPr>
        <w:t>C</w:t>
      </w:r>
      <w:r w:rsidR="00A96FDA">
        <w:rPr>
          <w:rFonts w:eastAsia="Calibri"/>
          <w:color w:val="000000"/>
        </w:rPr>
        <w:t xml:space="preserve">ircuit </w:t>
      </w:r>
      <w:r w:rsidR="00407BA7">
        <w:rPr>
          <w:rFonts w:eastAsia="Calibri"/>
          <w:color w:val="000000"/>
        </w:rPr>
        <w:t>and Fa</w:t>
      </w:r>
      <w:bookmarkStart w:id="0" w:name="_GoBack"/>
      <w:bookmarkEnd w:id="0"/>
      <w:r w:rsidR="00407BA7">
        <w:rPr>
          <w:rFonts w:eastAsia="Calibri"/>
          <w:color w:val="000000"/>
        </w:rPr>
        <w:t xml:space="preserve">mily </w:t>
      </w:r>
      <w:r w:rsidR="004247BF" w:rsidRPr="00D25891">
        <w:rPr>
          <w:rFonts w:eastAsia="Calibri"/>
          <w:color w:val="000000"/>
        </w:rPr>
        <w:t>C</w:t>
      </w:r>
      <w:r w:rsidR="00A96FDA">
        <w:rPr>
          <w:rFonts w:eastAsia="Calibri"/>
          <w:color w:val="000000"/>
        </w:rPr>
        <w:t xml:space="preserve">ourt </w:t>
      </w:r>
      <w:r w:rsidR="004247BF" w:rsidRPr="003C6B45">
        <w:t>proceedings</w:t>
      </w:r>
      <w:r w:rsidR="004247BF">
        <w:rPr>
          <w:rFonts w:eastAsia="Calibri"/>
          <w:color w:val="000000"/>
        </w:rPr>
        <w:t xml:space="preserve"> </w:t>
      </w:r>
      <w:r w:rsidR="004247BF" w:rsidRPr="004A76E5">
        <w:rPr>
          <w:rFonts w:eastAsia="Calibri"/>
          <w:color w:val="000000"/>
        </w:rPr>
        <w:t xml:space="preserve">for individuals and community groups. For further details contact the nearest </w:t>
      </w:r>
      <w:hyperlink r:id="rId28" w:history="1">
        <w:r w:rsidR="004247BF" w:rsidRPr="00545816">
          <w:rPr>
            <w:rStyle w:val="Hyperlink"/>
            <w:rFonts w:eastAsia="Calibri"/>
          </w:rPr>
          <w:t>Registry</w:t>
        </w:r>
      </w:hyperlink>
      <w:r w:rsidR="004247BF" w:rsidRPr="004A76E5">
        <w:rPr>
          <w:rFonts w:eastAsia="Calibri"/>
          <w:color w:val="000000"/>
        </w:rPr>
        <w:t xml:space="preserve">. </w:t>
      </w:r>
    </w:p>
    <w:p w:rsidR="004247BF" w:rsidRDefault="004247BF" w:rsidP="003918BC">
      <w:pPr>
        <w:pStyle w:val="Dimi05"/>
        <w:numPr>
          <w:ilvl w:val="1"/>
          <w:numId w:val="9"/>
        </w:numPr>
        <w:spacing w:before="0" w:after="240" w:line="276" w:lineRule="auto"/>
        <w:ind w:left="567" w:hanging="567"/>
        <w:contextualSpacing w:val="0"/>
        <w:jc w:val="both"/>
      </w:pPr>
      <w:r>
        <w:t>In addition, debtors can also approach various ‘not for profit’ bodies for assistance and guidance and access free online information on bankrup</w:t>
      </w:r>
      <w:r w:rsidR="00AF0981">
        <w:t>tcy and opposing a creditor’s p</w:t>
      </w:r>
      <w:r>
        <w:t xml:space="preserve">etition including: </w:t>
      </w:r>
    </w:p>
    <w:p w:rsidR="00C615E9" w:rsidRPr="00C615E9" w:rsidRDefault="00407BA7" w:rsidP="003918BC">
      <w:pPr>
        <w:numPr>
          <w:ilvl w:val="0"/>
          <w:numId w:val="15"/>
        </w:numPr>
        <w:shd w:val="clear" w:color="auto" w:fill="FFFFFF"/>
        <w:spacing w:before="120" w:after="0"/>
        <w:textAlignment w:val="baseline"/>
        <w:rPr>
          <w:rFonts w:cs="Arial"/>
          <w:sz w:val="24"/>
          <w:szCs w:val="24"/>
        </w:rPr>
      </w:pPr>
      <w:hyperlink r:id="rId29" w:history="1">
        <w:proofErr w:type="spellStart"/>
        <w:r w:rsidR="006E4F15" w:rsidRPr="006E4F15">
          <w:rPr>
            <w:rStyle w:val="Hyperlink"/>
            <w:rFonts w:cs="Arial"/>
            <w:sz w:val="24"/>
            <w:szCs w:val="24"/>
          </w:rPr>
          <w:t>LawRight</w:t>
        </w:r>
        <w:proofErr w:type="spellEnd"/>
      </w:hyperlink>
      <w:r w:rsidR="00C615E9" w:rsidRPr="00C615E9">
        <w:rPr>
          <w:rStyle w:val="apple-converted-space"/>
          <w:rFonts w:cs="Arial"/>
          <w:sz w:val="24"/>
          <w:szCs w:val="24"/>
        </w:rPr>
        <w:t> </w:t>
      </w:r>
      <w:r w:rsidR="00C615E9" w:rsidRPr="00C615E9">
        <w:rPr>
          <w:rFonts w:cs="Arial"/>
          <w:sz w:val="24"/>
          <w:szCs w:val="24"/>
        </w:rPr>
        <w:t>(Q</w:t>
      </w:r>
      <w:r w:rsidR="006E4F15">
        <w:rPr>
          <w:rFonts w:cs="Arial"/>
          <w:sz w:val="24"/>
          <w:szCs w:val="24"/>
        </w:rPr>
        <w:t>ueensland</w:t>
      </w:r>
      <w:r w:rsidR="00C615E9" w:rsidRPr="00C615E9">
        <w:rPr>
          <w:rFonts w:cs="Arial"/>
          <w:sz w:val="24"/>
          <w:szCs w:val="24"/>
        </w:rPr>
        <w:t>)</w:t>
      </w:r>
    </w:p>
    <w:p w:rsidR="00C615E9" w:rsidRPr="00C615E9" w:rsidRDefault="00407BA7" w:rsidP="003918BC">
      <w:pPr>
        <w:numPr>
          <w:ilvl w:val="0"/>
          <w:numId w:val="15"/>
        </w:numPr>
        <w:shd w:val="clear" w:color="auto" w:fill="FFFFFF"/>
        <w:spacing w:before="120" w:after="0"/>
        <w:textAlignment w:val="baseline"/>
        <w:rPr>
          <w:rFonts w:cs="Arial"/>
          <w:sz w:val="24"/>
          <w:szCs w:val="24"/>
        </w:rPr>
      </w:pPr>
      <w:hyperlink r:id="rId30" w:history="1">
        <w:r w:rsidR="00C615E9" w:rsidRPr="00C615E9">
          <w:rPr>
            <w:rStyle w:val="Hyperlink"/>
            <w:rFonts w:cs="Arial"/>
            <w:sz w:val="24"/>
            <w:szCs w:val="24"/>
            <w:bdr w:val="none" w:sz="0" w:space="0" w:color="auto" w:frame="1"/>
          </w:rPr>
          <w:t>Justice Connect</w:t>
        </w:r>
      </w:hyperlink>
    </w:p>
    <w:p w:rsidR="00C615E9" w:rsidRPr="00C615E9" w:rsidRDefault="00407BA7" w:rsidP="003918BC">
      <w:pPr>
        <w:numPr>
          <w:ilvl w:val="0"/>
          <w:numId w:val="15"/>
        </w:numPr>
        <w:shd w:val="clear" w:color="auto" w:fill="FFFFFF"/>
        <w:spacing w:before="120" w:after="0"/>
        <w:textAlignment w:val="baseline"/>
        <w:rPr>
          <w:rFonts w:cs="Arial"/>
          <w:sz w:val="24"/>
          <w:szCs w:val="24"/>
        </w:rPr>
      </w:pPr>
      <w:hyperlink r:id="rId31" w:history="1">
        <w:r w:rsidR="00C615E9" w:rsidRPr="00C615E9">
          <w:rPr>
            <w:rStyle w:val="Hyperlink"/>
            <w:rFonts w:cs="Arial"/>
            <w:sz w:val="24"/>
            <w:szCs w:val="24"/>
            <w:bdr w:val="none" w:sz="0" w:space="0" w:color="auto" w:frame="1"/>
          </w:rPr>
          <w:t>Financial Rights Legal Centre</w:t>
        </w:r>
      </w:hyperlink>
    </w:p>
    <w:p w:rsidR="00C615E9" w:rsidRPr="00C615E9" w:rsidRDefault="00407BA7" w:rsidP="003918BC">
      <w:pPr>
        <w:numPr>
          <w:ilvl w:val="0"/>
          <w:numId w:val="15"/>
        </w:numPr>
        <w:shd w:val="clear" w:color="auto" w:fill="FFFFFF"/>
        <w:spacing w:before="120" w:after="0"/>
        <w:textAlignment w:val="baseline"/>
        <w:rPr>
          <w:rFonts w:cs="Arial"/>
          <w:sz w:val="24"/>
          <w:szCs w:val="24"/>
        </w:rPr>
      </w:pPr>
      <w:hyperlink r:id="rId32" w:history="1">
        <w:r w:rsidR="00C615E9" w:rsidRPr="00C615E9">
          <w:rPr>
            <w:rStyle w:val="Hyperlink"/>
            <w:rFonts w:cs="Arial"/>
            <w:sz w:val="24"/>
            <w:szCs w:val="24"/>
            <w:bdr w:val="none" w:sz="0" w:space="0" w:color="auto" w:frame="1"/>
          </w:rPr>
          <w:t>Australian Financial Security Authority</w:t>
        </w:r>
      </w:hyperlink>
      <w:r w:rsidR="00C615E9" w:rsidRPr="00C615E9">
        <w:rPr>
          <w:rStyle w:val="apple-converted-space"/>
          <w:rFonts w:cs="Arial"/>
          <w:sz w:val="24"/>
          <w:szCs w:val="24"/>
        </w:rPr>
        <w:t> </w:t>
      </w:r>
      <w:r w:rsidR="00C615E9" w:rsidRPr="00C615E9">
        <w:rPr>
          <w:rFonts w:cs="Arial"/>
          <w:sz w:val="24"/>
          <w:szCs w:val="24"/>
        </w:rPr>
        <w:t>(AFSA)</w:t>
      </w:r>
    </w:p>
    <w:p w:rsidR="00BB37CA" w:rsidRPr="00D50425" w:rsidRDefault="00D50425" w:rsidP="003918BC">
      <w:pPr>
        <w:pStyle w:val="ListParagraph"/>
        <w:keepNext/>
        <w:numPr>
          <w:ilvl w:val="0"/>
          <w:numId w:val="3"/>
        </w:numPr>
        <w:shd w:val="clear" w:color="auto" w:fill="FFFFFF"/>
        <w:spacing w:before="360" w:after="240"/>
        <w:ind w:left="567" w:hanging="567"/>
        <w:contextualSpacing w:val="0"/>
        <w:jc w:val="both"/>
        <w:textAlignment w:val="baseline"/>
        <w:outlineLvl w:val="1"/>
        <w:rPr>
          <w:rFonts w:eastAsia="Times New Roman" w:cs="Arial"/>
          <w:b/>
          <w:color w:val="000000"/>
          <w:sz w:val="28"/>
          <w:szCs w:val="24"/>
          <w:lang w:eastAsia="en-AU"/>
        </w:rPr>
      </w:pPr>
      <w:proofErr w:type="spellStart"/>
      <w:r>
        <w:rPr>
          <w:rFonts w:eastAsia="Times New Roman" w:cs="Arial"/>
          <w:b/>
          <w:color w:val="000000"/>
          <w:sz w:val="28"/>
          <w:szCs w:val="24"/>
          <w:lang w:eastAsia="en-AU"/>
        </w:rPr>
        <w:t>eCourtroom</w:t>
      </w:r>
      <w:proofErr w:type="spellEnd"/>
    </w:p>
    <w:p w:rsidR="00BB37CA" w:rsidRPr="00D37413" w:rsidRDefault="009F1341" w:rsidP="009E518C">
      <w:pPr>
        <w:pStyle w:val="ListParagraph"/>
        <w:keepNext/>
        <w:tabs>
          <w:tab w:val="left" w:pos="567"/>
        </w:tabs>
        <w:spacing w:after="240"/>
        <w:ind w:left="360" w:firstLine="207"/>
        <w:contextualSpacing w:val="0"/>
        <w:jc w:val="both"/>
        <w:rPr>
          <w:rFonts w:eastAsia="Times New Roman" w:cs="Times New Roman"/>
          <w:i/>
          <w:sz w:val="24"/>
          <w:szCs w:val="24"/>
          <w:lang w:eastAsia="en-AU"/>
        </w:rPr>
      </w:pPr>
      <w:r w:rsidRPr="00D37413">
        <w:rPr>
          <w:rFonts w:eastAsia="Times New Roman" w:cs="Times New Roman"/>
          <w:i/>
          <w:sz w:val="24"/>
          <w:szCs w:val="24"/>
          <w:lang w:eastAsia="en-AU"/>
        </w:rPr>
        <w:t>Register</w:t>
      </w:r>
      <w:r w:rsidR="00BA7F25" w:rsidRPr="00D37413">
        <w:rPr>
          <w:rFonts w:eastAsia="Times New Roman" w:cs="Times New Roman"/>
          <w:i/>
          <w:sz w:val="24"/>
          <w:szCs w:val="24"/>
          <w:lang w:eastAsia="en-AU"/>
        </w:rPr>
        <w:t>ing</w:t>
      </w:r>
      <w:r w:rsidR="00BB37CA" w:rsidRPr="00D37413">
        <w:rPr>
          <w:rFonts w:eastAsia="Times New Roman" w:cs="Times New Roman"/>
          <w:i/>
          <w:sz w:val="24"/>
          <w:szCs w:val="24"/>
          <w:lang w:eastAsia="en-AU"/>
        </w:rPr>
        <w:t xml:space="preserve"> for </w:t>
      </w:r>
      <w:proofErr w:type="spellStart"/>
      <w:r w:rsidR="00BB37CA" w:rsidRPr="00D37413">
        <w:rPr>
          <w:rFonts w:eastAsia="Times New Roman" w:cs="Times New Roman"/>
          <w:i/>
          <w:sz w:val="24"/>
          <w:szCs w:val="24"/>
          <w:lang w:eastAsia="en-AU"/>
        </w:rPr>
        <w:t>eCourtroom</w:t>
      </w:r>
      <w:proofErr w:type="spellEnd"/>
    </w:p>
    <w:p w:rsidR="00BA7F25" w:rsidRDefault="00BA7F25" w:rsidP="003918BC">
      <w:pPr>
        <w:pStyle w:val="ListParagraph"/>
        <w:keepNext/>
        <w:numPr>
          <w:ilvl w:val="1"/>
          <w:numId w:val="12"/>
        </w:numPr>
        <w:tabs>
          <w:tab w:val="left" w:pos="709"/>
        </w:tabs>
        <w:spacing w:after="240"/>
        <w:ind w:left="567" w:hanging="567"/>
        <w:contextualSpacing w:val="0"/>
        <w:jc w:val="both"/>
        <w:rPr>
          <w:rFonts w:eastAsia="Times New Roman" w:cs="Times New Roman"/>
          <w:sz w:val="24"/>
          <w:szCs w:val="24"/>
          <w:lang w:eastAsia="en-AU"/>
        </w:rPr>
      </w:pPr>
      <w:r>
        <w:rPr>
          <w:rFonts w:eastAsia="Times New Roman" w:cs="Times New Roman"/>
          <w:sz w:val="24"/>
          <w:szCs w:val="24"/>
          <w:lang w:eastAsia="en-AU"/>
        </w:rPr>
        <w:t xml:space="preserve">The practitioner who intends to participate in the </w:t>
      </w:r>
      <w:proofErr w:type="spellStart"/>
      <w:r>
        <w:rPr>
          <w:rFonts w:eastAsia="Times New Roman" w:cs="Times New Roman"/>
          <w:sz w:val="24"/>
          <w:szCs w:val="24"/>
          <w:lang w:eastAsia="en-AU"/>
        </w:rPr>
        <w:t>eCourtroom</w:t>
      </w:r>
      <w:proofErr w:type="spellEnd"/>
      <w:r>
        <w:rPr>
          <w:rFonts w:eastAsia="Times New Roman" w:cs="Times New Roman"/>
          <w:sz w:val="24"/>
          <w:szCs w:val="24"/>
          <w:lang w:eastAsia="en-AU"/>
        </w:rPr>
        <w:t xml:space="preserve"> hearing should </w:t>
      </w:r>
      <w:r w:rsidR="0047438F">
        <w:rPr>
          <w:rFonts w:eastAsia="Times New Roman" w:cs="Times New Roman"/>
          <w:sz w:val="24"/>
          <w:szCs w:val="24"/>
          <w:lang w:eastAsia="en-AU"/>
        </w:rPr>
        <w:t xml:space="preserve">ensure that they are registered for </w:t>
      </w:r>
      <w:hyperlink r:id="rId33" w:history="1">
        <w:proofErr w:type="spellStart"/>
        <w:r w:rsidR="0047438F" w:rsidRPr="00C615E9">
          <w:rPr>
            <w:rStyle w:val="Hyperlink"/>
            <w:rFonts w:eastAsia="Times New Roman" w:cs="Times New Roman"/>
            <w:sz w:val="24"/>
            <w:szCs w:val="24"/>
            <w:lang w:eastAsia="en-AU"/>
          </w:rPr>
          <w:t>eLodgment</w:t>
        </w:r>
        <w:proofErr w:type="spellEnd"/>
        <w:r w:rsidR="0047438F" w:rsidRPr="00C615E9">
          <w:rPr>
            <w:rStyle w:val="Hyperlink"/>
            <w:rFonts w:eastAsia="Times New Roman" w:cs="Times New Roman"/>
            <w:sz w:val="24"/>
            <w:szCs w:val="24"/>
            <w:lang w:eastAsia="en-AU"/>
          </w:rPr>
          <w:t xml:space="preserve"> and </w:t>
        </w:r>
        <w:proofErr w:type="spellStart"/>
        <w:r w:rsidR="0047438F" w:rsidRPr="00C615E9">
          <w:rPr>
            <w:rStyle w:val="Hyperlink"/>
            <w:rFonts w:eastAsia="Times New Roman" w:cs="Times New Roman"/>
            <w:sz w:val="24"/>
            <w:szCs w:val="24"/>
            <w:lang w:eastAsia="en-AU"/>
          </w:rPr>
          <w:t>eCourtroom</w:t>
        </w:r>
        <w:proofErr w:type="spellEnd"/>
      </w:hyperlink>
      <w:r w:rsidR="0047438F">
        <w:rPr>
          <w:rFonts w:eastAsia="Times New Roman" w:cs="Times New Roman"/>
          <w:sz w:val="24"/>
          <w:szCs w:val="24"/>
          <w:lang w:eastAsia="en-AU"/>
        </w:rPr>
        <w:t xml:space="preserve">. </w:t>
      </w:r>
    </w:p>
    <w:p w:rsidR="002637C0" w:rsidRPr="0047438F" w:rsidRDefault="006F09F8" w:rsidP="003918BC">
      <w:pPr>
        <w:pStyle w:val="ListParagraph"/>
        <w:numPr>
          <w:ilvl w:val="1"/>
          <w:numId w:val="12"/>
        </w:numPr>
        <w:spacing w:after="240"/>
        <w:ind w:left="567" w:hanging="567"/>
        <w:contextualSpacing w:val="0"/>
        <w:jc w:val="both"/>
        <w:rPr>
          <w:rFonts w:eastAsia="Times New Roman" w:cs="Times New Roman"/>
          <w:b/>
          <w:sz w:val="24"/>
          <w:szCs w:val="24"/>
          <w:lang w:eastAsia="en-AU"/>
        </w:rPr>
      </w:pPr>
      <w:r>
        <w:rPr>
          <w:rFonts w:eastAsia="Times New Roman" w:cs="Times New Roman"/>
          <w:sz w:val="24"/>
          <w:szCs w:val="24"/>
          <w:lang w:eastAsia="en-AU"/>
        </w:rPr>
        <w:t>The</w:t>
      </w:r>
      <w:r w:rsidR="0047438F">
        <w:rPr>
          <w:rFonts w:eastAsia="Times New Roman" w:cs="Times New Roman"/>
          <w:sz w:val="24"/>
          <w:szCs w:val="24"/>
          <w:lang w:eastAsia="en-AU"/>
        </w:rPr>
        <w:t xml:space="preserve"> user will receive an email from the Court notifying them </w:t>
      </w:r>
      <w:r>
        <w:rPr>
          <w:rFonts w:eastAsia="Times New Roman" w:cs="Times New Roman"/>
          <w:sz w:val="24"/>
          <w:szCs w:val="24"/>
          <w:lang w:eastAsia="en-AU"/>
        </w:rPr>
        <w:t>when</w:t>
      </w:r>
      <w:r w:rsidR="0047438F">
        <w:rPr>
          <w:rFonts w:eastAsia="Times New Roman" w:cs="Times New Roman"/>
          <w:sz w:val="24"/>
          <w:szCs w:val="24"/>
          <w:lang w:eastAsia="en-AU"/>
        </w:rPr>
        <w:t xml:space="preserve"> their registration has been accepted.</w:t>
      </w:r>
      <w:r w:rsidR="0047438F" w:rsidRPr="0047438F">
        <w:rPr>
          <w:rFonts w:eastAsia="Times New Roman" w:cs="Times New Roman"/>
          <w:sz w:val="24"/>
          <w:szCs w:val="24"/>
          <w:lang w:eastAsia="en-AU"/>
        </w:rPr>
        <w:t xml:space="preserve"> </w:t>
      </w:r>
    </w:p>
    <w:p w:rsidR="0073292F" w:rsidRPr="00C615E9" w:rsidRDefault="009A773C" w:rsidP="009E518C">
      <w:pPr>
        <w:pStyle w:val="ListParagraph"/>
        <w:tabs>
          <w:tab w:val="left" w:pos="1134"/>
        </w:tabs>
        <w:spacing w:after="240"/>
        <w:ind w:left="567"/>
        <w:contextualSpacing w:val="0"/>
        <w:jc w:val="both"/>
        <w:rPr>
          <w:rFonts w:eastAsia="Times New Roman" w:cs="Times New Roman"/>
          <w:i/>
          <w:sz w:val="24"/>
          <w:szCs w:val="24"/>
          <w:lang w:eastAsia="en-AU"/>
        </w:rPr>
      </w:pPr>
      <w:r w:rsidRPr="00C615E9">
        <w:rPr>
          <w:rFonts w:eastAsia="Times New Roman" w:cs="Times New Roman"/>
          <w:i/>
          <w:sz w:val="24"/>
          <w:szCs w:val="24"/>
          <w:lang w:eastAsia="en-AU"/>
        </w:rPr>
        <w:t>Administrative matters</w:t>
      </w:r>
    </w:p>
    <w:p w:rsidR="00013FFA" w:rsidRDefault="0047438F" w:rsidP="003918BC">
      <w:pPr>
        <w:pStyle w:val="ListParagraph"/>
        <w:numPr>
          <w:ilvl w:val="1"/>
          <w:numId w:val="12"/>
        </w:numPr>
        <w:spacing w:after="240"/>
        <w:ind w:left="567" w:hanging="567"/>
        <w:contextualSpacing w:val="0"/>
        <w:jc w:val="both"/>
        <w:rPr>
          <w:rFonts w:eastAsia="Times New Roman" w:cs="Times New Roman"/>
          <w:sz w:val="24"/>
          <w:szCs w:val="24"/>
          <w:lang w:eastAsia="en-AU"/>
        </w:rPr>
      </w:pPr>
      <w:r w:rsidRPr="009A773C">
        <w:rPr>
          <w:rFonts w:eastAsia="Times New Roman" w:cs="Times New Roman"/>
          <w:sz w:val="24"/>
          <w:szCs w:val="24"/>
          <w:lang w:eastAsia="en-AU"/>
        </w:rPr>
        <w:t xml:space="preserve">After an application is filed, Registry staff will set up the matter in </w:t>
      </w:r>
      <w:proofErr w:type="spellStart"/>
      <w:r w:rsidRPr="009A773C">
        <w:rPr>
          <w:rFonts w:eastAsia="Times New Roman" w:cs="Times New Roman"/>
          <w:sz w:val="24"/>
          <w:szCs w:val="24"/>
          <w:lang w:eastAsia="en-AU"/>
        </w:rPr>
        <w:t>eCase</w:t>
      </w:r>
      <w:proofErr w:type="spellEnd"/>
      <w:r w:rsidRPr="009A773C">
        <w:rPr>
          <w:rFonts w:eastAsia="Times New Roman" w:cs="Times New Roman"/>
          <w:sz w:val="24"/>
          <w:szCs w:val="24"/>
          <w:lang w:eastAsia="en-AU"/>
        </w:rPr>
        <w:t xml:space="preserve"> Administration. </w:t>
      </w:r>
      <w:r w:rsidR="00013FFA" w:rsidRPr="009A773C">
        <w:rPr>
          <w:rFonts w:eastAsia="Times New Roman" w:cs="Times New Roman"/>
          <w:sz w:val="24"/>
          <w:szCs w:val="24"/>
          <w:lang w:eastAsia="en-AU"/>
        </w:rPr>
        <w:t xml:space="preserve">This cannot be completed until the participating practitioner has successfully registered for </w:t>
      </w:r>
      <w:proofErr w:type="spellStart"/>
      <w:r w:rsidR="00013FFA" w:rsidRPr="009A773C">
        <w:rPr>
          <w:rFonts w:eastAsia="Times New Roman" w:cs="Times New Roman"/>
          <w:sz w:val="24"/>
          <w:szCs w:val="24"/>
          <w:lang w:eastAsia="en-AU"/>
        </w:rPr>
        <w:t>eCourtroom</w:t>
      </w:r>
      <w:proofErr w:type="spellEnd"/>
      <w:r w:rsidR="00013FFA" w:rsidRPr="009A773C">
        <w:rPr>
          <w:rFonts w:eastAsia="Times New Roman" w:cs="Times New Roman"/>
          <w:sz w:val="24"/>
          <w:szCs w:val="24"/>
          <w:lang w:eastAsia="en-AU"/>
        </w:rPr>
        <w:t xml:space="preserve">. If a practitioner has not registered, they should do so as soon as possible and inform the Court Registry when their </w:t>
      </w:r>
      <w:r w:rsidR="009A773C" w:rsidRPr="009A773C">
        <w:rPr>
          <w:rFonts w:eastAsia="Times New Roman" w:cs="Times New Roman"/>
          <w:sz w:val="24"/>
          <w:szCs w:val="24"/>
          <w:lang w:eastAsia="en-AU"/>
        </w:rPr>
        <w:t>registration has been accepted</w:t>
      </w:r>
      <w:r w:rsidR="009A773C">
        <w:rPr>
          <w:rFonts w:eastAsia="Times New Roman" w:cs="Times New Roman"/>
          <w:sz w:val="24"/>
          <w:szCs w:val="24"/>
          <w:lang w:eastAsia="en-AU"/>
        </w:rPr>
        <w:t>.</w:t>
      </w:r>
    </w:p>
    <w:p w:rsidR="00A66B7C" w:rsidRDefault="009A773C" w:rsidP="003918BC">
      <w:pPr>
        <w:pStyle w:val="ListParagraph"/>
        <w:numPr>
          <w:ilvl w:val="1"/>
          <w:numId w:val="12"/>
        </w:numPr>
        <w:spacing w:after="240"/>
        <w:ind w:left="567" w:hanging="567"/>
        <w:contextualSpacing w:val="0"/>
        <w:jc w:val="both"/>
        <w:rPr>
          <w:rFonts w:eastAsia="Times New Roman" w:cs="Times New Roman"/>
          <w:sz w:val="24"/>
          <w:szCs w:val="24"/>
          <w:lang w:eastAsia="en-AU"/>
        </w:rPr>
      </w:pPr>
      <w:r>
        <w:rPr>
          <w:rFonts w:eastAsia="Times New Roman" w:cs="Times New Roman"/>
          <w:sz w:val="24"/>
          <w:szCs w:val="24"/>
          <w:lang w:eastAsia="en-AU"/>
        </w:rPr>
        <w:t>The participating practitioner</w:t>
      </w:r>
      <w:r w:rsidRPr="00013FFA">
        <w:rPr>
          <w:rFonts w:eastAsia="Times New Roman" w:cs="Times New Roman"/>
          <w:sz w:val="24"/>
          <w:szCs w:val="24"/>
          <w:lang w:eastAsia="en-AU"/>
        </w:rPr>
        <w:t xml:space="preserve"> </w:t>
      </w:r>
      <w:r>
        <w:rPr>
          <w:rFonts w:eastAsia="Times New Roman" w:cs="Times New Roman"/>
          <w:sz w:val="24"/>
          <w:szCs w:val="24"/>
          <w:lang w:eastAsia="en-AU"/>
        </w:rPr>
        <w:t xml:space="preserve">will receive email notification once the matter has been set up for </w:t>
      </w:r>
      <w:proofErr w:type="spellStart"/>
      <w:r>
        <w:rPr>
          <w:rFonts w:eastAsia="Times New Roman" w:cs="Times New Roman"/>
          <w:sz w:val="24"/>
          <w:szCs w:val="24"/>
          <w:lang w:eastAsia="en-AU"/>
        </w:rPr>
        <w:t>eC</w:t>
      </w:r>
      <w:r w:rsidR="00AE39DF" w:rsidRPr="00013FFA">
        <w:rPr>
          <w:rFonts w:eastAsia="Times New Roman" w:cs="Times New Roman"/>
          <w:sz w:val="24"/>
          <w:szCs w:val="24"/>
          <w:lang w:eastAsia="en-AU"/>
        </w:rPr>
        <w:t>ourtroo</w:t>
      </w:r>
      <w:r w:rsidR="00A96673">
        <w:rPr>
          <w:rFonts w:eastAsia="Times New Roman" w:cs="Times New Roman"/>
          <w:sz w:val="24"/>
          <w:szCs w:val="24"/>
          <w:lang w:eastAsia="en-AU"/>
        </w:rPr>
        <w:t>m</w:t>
      </w:r>
      <w:proofErr w:type="spellEnd"/>
      <w:r w:rsidR="00A96673">
        <w:rPr>
          <w:rFonts w:eastAsia="Times New Roman" w:cs="Times New Roman"/>
          <w:sz w:val="24"/>
          <w:szCs w:val="24"/>
          <w:lang w:eastAsia="en-AU"/>
        </w:rPr>
        <w:t>.</w:t>
      </w:r>
    </w:p>
    <w:p w:rsidR="003E479C" w:rsidRPr="00C615E9" w:rsidRDefault="003E479C" w:rsidP="003E479C">
      <w:pPr>
        <w:pStyle w:val="NormalWeb"/>
        <w:spacing w:before="0" w:beforeAutospacing="0" w:after="240" w:afterAutospacing="0" w:line="276" w:lineRule="auto"/>
        <w:ind w:left="1134" w:hanging="567"/>
        <w:jc w:val="both"/>
        <w:rPr>
          <w:rFonts w:asciiTheme="minorHAnsi" w:hAnsiTheme="minorHAnsi"/>
          <w:i/>
        </w:rPr>
      </w:pPr>
      <w:r w:rsidRPr="00C615E9">
        <w:rPr>
          <w:rFonts w:asciiTheme="minorHAnsi" w:hAnsiTheme="minorHAnsi"/>
          <w:i/>
        </w:rPr>
        <w:t>General notes</w:t>
      </w:r>
    </w:p>
    <w:p w:rsidR="003E479C" w:rsidRDefault="006E4F15" w:rsidP="003918BC">
      <w:pPr>
        <w:pStyle w:val="NormalWeb"/>
        <w:numPr>
          <w:ilvl w:val="1"/>
          <w:numId w:val="12"/>
        </w:numPr>
        <w:spacing w:before="0" w:beforeAutospacing="0" w:after="240" w:afterAutospacing="0" w:line="276" w:lineRule="auto"/>
        <w:ind w:left="567" w:hanging="567"/>
        <w:jc w:val="both"/>
        <w:rPr>
          <w:rFonts w:asciiTheme="minorHAnsi" w:hAnsiTheme="minorHAnsi"/>
        </w:rPr>
      </w:pPr>
      <w:r>
        <w:rPr>
          <w:rFonts w:asciiTheme="minorHAnsi" w:hAnsiTheme="minorHAnsi"/>
        </w:rPr>
        <w:t xml:space="preserve">Judicial </w:t>
      </w:r>
      <w:r w:rsidR="003E479C" w:rsidRPr="00005CB6">
        <w:rPr>
          <w:rFonts w:asciiTheme="minorHAnsi" w:hAnsiTheme="minorHAnsi"/>
        </w:rPr>
        <w:t xml:space="preserve">Registrars will endeavour to respond to </w:t>
      </w:r>
      <w:proofErr w:type="spellStart"/>
      <w:r w:rsidR="003E479C" w:rsidRPr="00005CB6">
        <w:rPr>
          <w:rFonts w:asciiTheme="minorHAnsi" w:hAnsiTheme="minorHAnsi"/>
        </w:rPr>
        <w:t>eCourtroom</w:t>
      </w:r>
      <w:proofErr w:type="spellEnd"/>
      <w:r w:rsidR="003E479C" w:rsidRPr="00005CB6">
        <w:rPr>
          <w:rFonts w:asciiTheme="minorHAnsi" w:hAnsiTheme="minorHAnsi"/>
        </w:rPr>
        <w:t xml:space="preserve"> applications for substituted service within 10 working days, although this will depend on the particular workload of the </w:t>
      </w:r>
      <w:r>
        <w:rPr>
          <w:rFonts w:asciiTheme="minorHAnsi" w:hAnsiTheme="minorHAnsi"/>
        </w:rPr>
        <w:t xml:space="preserve">Judicial </w:t>
      </w:r>
      <w:r w:rsidR="003E479C" w:rsidRPr="00005CB6">
        <w:rPr>
          <w:rFonts w:asciiTheme="minorHAnsi" w:hAnsiTheme="minorHAnsi"/>
        </w:rPr>
        <w:t xml:space="preserve">Registrar presiding over the application.  Practitioners are expected to respond reasonably promptly to any message posted by a </w:t>
      </w:r>
      <w:r>
        <w:rPr>
          <w:rFonts w:asciiTheme="minorHAnsi" w:hAnsiTheme="minorHAnsi"/>
        </w:rPr>
        <w:t xml:space="preserve">Judicial </w:t>
      </w:r>
      <w:r w:rsidR="003E479C" w:rsidRPr="00005CB6">
        <w:rPr>
          <w:rFonts w:asciiTheme="minorHAnsi" w:hAnsiTheme="minorHAnsi"/>
        </w:rPr>
        <w:t xml:space="preserve">Registrar in </w:t>
      </w:r>
      <w:proofErr w:type="spellStart"/>
      <w:r w:rsidR="003E479C" w:rsidRPr="00005CB6">
        <w:rPr>
          <w:rFonts w:asciiTheme="minorHAnsi" w:hAnsiTheme="minorHAnsi"/>
        </w:rPr>
        <w:t>eCourtroom</w:t>
      </w:r>
      <w:proofErr w:type="spellEnd"/>
      <w:r w:rsidR="003E479C" w:rsidRPr="00005CB6">
        <w:rPr>
          <w:rFonts w:asciiTheme="minorHAnsi" w:hAnsiTheme="minorHAnsi"/>
        </w:rPr>
        <w:t xml:space="preserve">.  Applicants risk the </w:t>
      </w:r>
      <w:r w:rsidR="003E479C">
        <w:rPr>
          <w:rFonts w:asciiTheme="minorHAnsi" w:hAnsiTheme="minorHAnsi"/>
        </w:rPr>
        <w:t>possibility of</w:t>
      </w:r>
      <w:r w:rsidR="003E479C" w:rsidRPr="00005CB6">
        <w:rPr>
          <w:rFonts w:asciiTheme="minorHAnsi" w:hAnsiTheme="minorHAnsi"/>
        </w:rPr>
        <w:t xml:space="preserve"> dismissal of their application if they do not diligently prosecute the application by failing to respond to messages or deadlines for the filing of material.</w:t>
      </w:r>
    </w:p>
    <w:p w:rsidR="003E479C" w:rsidRPr="00005CB6" w:rsidRDefault="003E479C" w:rsidP="003918BC">
      <w:pPr>
        <w:pStyle w:val="NormalWeb"/>
        <w:numPr>
          <w:ilvl w:val="1"/>
          <w:numId w:val="12"/>
        </w:numPr>
        <w:spacing w:before="0" w:beforeAutospacing="0" w:after="240" w:afterAutospacing="0" w:line="276" w:lineRule="auto"/>
        <w:ind w:left="567" w:hanging="567"/>
        <w:jc w:val="both"/>
        <w:rPr>
          <w:rFonts w:asciiTheme="minorHAnsi" w:hAnsiTheme="minorHAnsi"/>
        </w:rPr>
      </w:pPr>
      <w:r w:rsidRPr="00005CB6">
        <w:rPr>
          <w:rFonts w:asciiTheme="minorHAnsi" w:hAnsiTheme="minorHAnsi"/>
        </w:rPr>
        <w:t xml:space="preserve">With respect to substituted service applications concerning </w:t>
      </w:r>
      <w:r w:rsidR="00AF0981">
        <w:rPr>
          <w:rFonts w:asciiTheme="minorHAnsi" w:hAnsiTheme="minorHAnsi"/>
        </w:rPr>
        <w:t>creditor’s p</w:t>
      </w:r>
      <w:r w:rsidRPr="00005CB6">
        <w:rPr>
          <w:rFonts w:asciiTheme="minorHAnsi" w:hAnsiTheme="minorHAnsi"/>
        </w:rPr>
        <w:t>etitions, practitioners should c</w:t>
      </w:r>
      <w:r w:rsidR="00AF0981">
        <w:rPr>
          <w:rFonts w:asciiTheme="minorHAnsi" w:hAnsiTheme="minorHAnsi"/>
        </w:rPr>
        <w:t>onsider the return date on the p</w:t>
      </w:r>
      <w:r w:rsidRPr="00005CB6">
        <w:rPr>
          <w:rFonts w:asciiTheme="minorHAnsi" w:hAnsiTheme="minorHAnsi"/>
        </w:rPr>
        <w:t>etition prior to making the application.  Practitioners may need to seek to have the return date extended to allow for:</w:t>
      </w:r>
    </w:p>
    <w:p w:rsidR="003E479C" w:rsidRPr="00005CB6" w:rsidRDefault="003E479C" w:rsidP="003918BC">
      <w:pPr>
        <w:pStyle w:val="NormalWeb"/>
        <w:numPr>
          <w:ilvl w:val="0"/>
          <w:numId w:val="7"/>
        </w:numPr>
        <w:spacing w:before="0" w:beforeAutospacing="0" w:after="240" w:afterAutospacing="0" w:line="276" w:lineRule="auto"/>
        <w:ind w:left="851" w:hanging="284"/>
        <w:jc w:val="both"/>
        <w:rPr>
          <w:rFonts w:asciiTheme="minorHAnsi" w:hAnsiTheme="minorHAnsi"/>
        </w:rPr>
      </w:pPr>
      <w:r w:rsidRPr="00005CB6">
        <w:rPr>
          <w:rFonts w:asciiTheme="minorHAnsi" w:hAnsiTheme="minorHAnsi"/>
        </w:rPr>
        <w:t xml:space="preserve">The 10 working day anticipated response period by the </w:t>
      </w:r>
      <w:r w:rsidR="006E4F15">
        <w:rPr>
          <w:rFonts w:asciiTheme="minorHAnsi" w:hAnsiTheme="minorHAnsi"/>
        </w:rPr>
        <w:t xml:space="preserve">Judicial </w:t>
      </w:r>
      <w:r w:rsidRPr="00005CB6">
        <w:rPr>
          <w:rFonts w:asciiTheme="minorHAnsi" w:hAnsiTheme="minorHAnsi"/>
        </w:rPr>
        <w:t>Registrar; and</w:t>
      </w:r>
    </w:p>
    <w:p w:rsidR="003E479C" w:rsidRPr="00005CB6" w:rsidRDefault="003E479C" w:rsidP="003918BC">
      <w:pPr>
        <w:pStyle w:val="NormalWeb"/>
        <w:numPr>
          <w:ilvl w:val="0"/>
          <w:numId w:val="7"/>
        </w:numPr>
        <w:spacing w:before="0" w:beforeAutospacing="0" w:after="240" w:afterAutospacing="0" w:line="276" w:lineRule="auto"/>
        <w:ind w:left="851" w:hanging="284"/>
        <w:jc w:val="both"/>
        <w:rPr>
          <w:rFonts w:asciiTheme="minorHAnsi" w:hAnsiTheme="minorHAnsi"/>
        </w:rPr>
      </w:pPr>
      <w:r w:rsidRPr="00005CB6">
        <w:rPr>
          <w:rFonts w:asciiTheme="minorHAnsi" w:hAnsiTheme="minorHAnsi"/>
        </w:rPr>
        <w:t>The proper hearing of the application (including possible adjournments for the provision of further evidence); and</w:t>
      </w:r>
    </w:p>
    <w:p w:rsidR="003E479C" w:rsidRPr="00005CB6" w:rsidRDefault="003E479C" w:rsidP="003918BC">
      <w:pPr>
        <w:pStyle w:val="NormalWeb"/>
        <w:numPr>
          <w:ilvl w:val="0"/>
          <w:numId w:val="7"/>
        </w:numPr>
        <w:spacing w:before="0" w:beforeAutospacing="0" w:after="240" w:afterAutospacing="0" w:line="276" w:lineRule="auto"/>
        <w:ind w:left="851" w:hanging="284"/>
        <w:jc w:val="both"/>
        <w:rPr>
          <w:rFonts w:asciiTheme="minorHAnsi" w:hAnsiTheme="minorHAnsi"/>
        </w:rPr>
      </w:pPr>
      <w:r w:rsidRPr="00005CB6">
        <w:rPr>
          <w:rFonts w:asciiTheme="minorHAnsi" w:hAnsiTheme="minorHAnsi"/>
        </w:rPr>
        <w:t>A 4 week timeframe for any substituted service order to be carried out and to take effect; and</w:t>
      </w:r>
    </w:p>
    <w:p w:rsidR="003E479C" w:rsidRDefault="006E4F15" w:rsidP="003918BC">
      <w:pPr>
        <w:pStyle w:val="NormalWeb"/>
        <w:numPr>
          <w:ilvl w:val="0"/>
          <w:numId w:val="7"/>
        </w:numPr>
        <w:spacing w:before="0" w:beforeAutospacing="0" w:after="240" w:afterAutospacing="0" w:line="276" w:lineRule="auto"/>
        <w:ind w:left="851" w:hanging="284"/>
        <w:jc w:val="both"/>
        <w:rPr>
          <w:rFonts w:asciiTheme="minorHAnsi" w:hAnsiTheme="minorHAnsi"/>
        </w:rPr>
      </w:pPr>
      <w:r>
        <w:rPr>
          <w:rFonts w:asciiTheme="minorHAnsi" w:hAnsiTheme="minorHAnsi"/>
        </w:rPr>
        <w:t xml:space="preserve">Rule 4.05 of the </w:t>
      </w:r>
      <w:r w:rsidR="003E479C" w:rsidRPr="00005CB6">
        <w:rPr>
          <w:rFonts w:asciiTheme="minorHAnsi" w:hAnsiTheme="minorHAnsi"/>
        </w:rPr>
        <w:t>Bankruptcy Rules</w:t>
      </w:r>
      <w:r w:rsidR="003E479C">
        <w:rPr>
          <w:rFonts w:asciiTheme="minorHAnsi" w:hAnsiTheme="minorHAnsi"/>
        </w:rPr>
        <w:t>,</w:t>
      </w:r>
      <w:r w:rsidR="00AF0981">
        <w:rPr>
          <w:rFonts w:asciiTheme="minorHAnsi" w:hAnsiTheme="minorHAnsi"/>
        </w:rPr>
        <w:t xml:space="preserve"> which requires service of the p</w:t>
      </w:r>
      <w:r w:rsidR="003E479C" w:rsidRPr="00005CB6">
        <w:rPr>
          <w:rFonts w:asciiTheme="minorHAnsi" w:hAnsiTheme="minorHAnsi"/>
        </w:rPr>
        <w:t xml:space="preserve">etition (and other documents) at least 5 days before the first return of the </w:t>
      </w:r>
      <w:r w:rsidR="00AF0981">
        <w:rPr>
          <w:rFonts w:asciiTheme="minorHAnsi" w:hAnsiTheme="minorHAnsi"/>
        </w:rPr>
        <w:t>p</w:t>
      </w:r>
      <w:r w:rsidR="003E479C" w:rsidRPr="00005CB6">
        <w:rPr>
          <w:rFonts w:asciiTheme="minorHAnsi" w:hAnsiTheme="minorHAnsi"/>
        </w:rPr>
        <w:t>etition.</w:t>
      </w:r>
    </w:p>
    <w:p w:rsidR="009A773C" w:rsidRPr="00C615E9" w:rsidRDefault="009A773C" w:rsidP="009E518C">
      <w:pPr>
        <w:pStyle w:val="ListParagraph"/>
        <w:spacing w:after="240"/>
        <w:ind w:left="1134" w:hanging="567"/>
        <w:contextualSpacing w:val="0"/>
        <w:jc w:val="both"/>
        <w:rPr>
          <w:rFonts w:eastAsia="Times New Roman" w:cs="Times New Roman"/>
          <w:i/>
          <w:sz w:val="24"/>
          <w:szCs w:val="24"/>
          <w:lang w:eastAsia="en-AU"/>
        </w:rPr>
      </w:pPr>
      <w:r w:rsidRPr="00C615E9">
        <w:rPr>
          <w:rFonts w:eastAsia="Times New Roman" w:cs="Times New Roman"/>
          <w:i/>
          <w:sz w:val="24"/>
          <w:szCs w:val="24"/>
          <w:lang w:eastAsia="en-AU"/>
        </w:rPr>
        <w:t xml:space="preserve">The </w:t>
      </w:r>
      <w:r w:rsidR="00C615E9">
        <w:rPr>
          <w:rFonts w:eastAsia="Times New Roman" w:cs="Times New Roman"/>
          <w:i/>
          <w:sz w:val="24"/>
          <w:szCs w:val="24"/>
          <w:lang w:eastAsia="en-AU"/>
        </w:rPr>
        <w:t>h</w:t>
      </w:r>
      <w:r w:rsidRPr="00C615E9">
        <w:rPr>
          <w:rFonts w:eastAsia="Times New Roman" w:cs="Times New Roman"/>
          <w:i/>
          <w:sz w:val="24"/>
          <w:szCs w:val="24"/>
          <w:lang w:eastAsia="en-AU"/>
        </w:rPr>
        <w:t>earing</w:t>
      </w:r>
    </w:p>
    <w:p w:rsidR="0073292F" w:rsidRDefault="00013FFA" w:rsidP="003918BC">
      <w:pPr>
        <w:pStyle w:val="ListParagraph"/>
        <w:numPr>
          <w:ilvl w:val="1"/>
          <w:numId w:val="12"/>
        </w:numPr>
        <w:spacing w:after="240"/>
        <w:ind w:left="567" w:hanging="567"/>
        <w:contextualSpacing w:val="0"/>
        <w:jc w:val="both"/>
        <w:rPr>
          <w:rFonts w:eastAsia="Times New Roman" w:cs="Times New Roman"/>
          <w:sz w:val="24"/>
          <w:szCs w:val="24"/>
          <w:lang w:eastAsia="en-AU"/>
        </w:rPr>
      </w:pPr>
      <w:r>
        <w:rPr>
          <w:rFonts w:eastAsia="Times New Roman" w:cs="Times New Roman"/>
          <w:sz w:val="24"/>
          <w:szCs w:val="24"/>
          <w:lang w:eastAsia="en-AU"/>
        </w:rPr>
        <w:t>The</w:t>
      </w:r>
      <w:r w:rsidR="009A773C">
        <w:rPr>
          <w:rFonts w:eastAsia="Times New Roman" w:cs="Times New Roman"/>
          <w:sz w:val="24"/>
          <w:szCs w:val="24"/>
          <w:lang w:eastAsia="en-AU"/>
        </w:rPr>
        <w:t xml:space="preserve"> presiding</w:t>
      </w:r>
      <w:r>
        <w:rPr>
          <w:rFonts w:eastAsia="Times New Roman" w:cs="Times New Roman"/>
          <w:sz w:val="24"/>
          <w:szCs w:val="24"/>
          <w:lang w:eastAsia="en-AU"/>
        </w:rPr>
        <w:t xml:space="preserve"> </w:t>
      </w:r>
      <w:r w:rsidR="006E4F15">
        <w:rPr>
          <w:rFonts w:eastAsia="Times New Roman" w:cs="Times New Roman"/>
          <w:sz w:val="24"/>
          <w:szCs w:val="24"/>
          <w:lang w:eastAsia="en-AU"/>
        </w:rPr>
        <w:t xml:space="preserve">Judicial </w:t>
      </w:r>
      <w:r>
        <w:rPr>
          <w:rFonts w:eastAsia="Times New Roman" w:cs="Times New Roman"/>
          <w:sz w:val="24"/>
          <w:szCs w:val="24"/>
          <w:lang w:eastAsia="en-AU"/>
        </w:rPr>
        <w:t xml:space="preserve">Registrar will commence the </w:t>
      </w:r>
      <w:proofErr w:type="spellStart"/>
      <w:r>
        <w:rPr>
          <w:rFonts w:eastAsia="Times New Roman" w:cs="Times New Roman"/>
          <w:sz w:val="24"/>
          <w:szCs w:val="24"/>
          <w:lang w:eastAsia="en-AU"/>
        </w:rPr>
        <w:t>eCourtroom</w:t>
      </w:r>
      <w:proofErr w:type="spellEnd"/>
      <w:r>
        <w:rPr>
          <w:rFonts w:eastAsia="Times New Roman" w:cs="Times New Roman"/>
          <w:sz w:val="24"/>
          <w:szCs w:val="24"/>
          <w:lang w:eastAsia="en-AU"/>
        </w:rPr>
        <w:t xml:space="preserve"> hearing </w:t>
      </w:r>
      <w:r w:rsidR="009A773C">
        <w:rPr>
          <w:rFonts w:eastAsia="Times New Roman" w:cs="Times New Roman"/>
          <w:sz w:val="24"/>
          <w:szCs w:val="24"/>
          <w:lang w:eastAsia="en-AU"/>
        </w:rPr>
        <w:t>at their convenience on the date of the hearing or shortly after.</w:t>
      </w:r>
      <w:r w:rsidR="009E518C">
        <w:rPr>
          <w:rFonts w:eastAsia="Times New Roman" w:cs="Times New Roman"/>
          <w:sz w:val="24"/>
          <w:szCs w:val="24"/>
          <w:lang w:eastAsia="en-AU"/>
        </w:rPr>
        <w:t xml:space="preserve"> The applicant will recei</w:t>
      </w:r>
      <w:r w:rsidR="0011206D">
        <w:rPr>
          <w:rFonts w:eastAsia="Times New Roman" w:cs="Times New Roman"/>
          <w:sz w:val="24"/>
          <w:szCs w:val="24"/>
          <w:lang w:eastAsia="en-AU"/>
        </w:rPr>
        <w:t>ve email notification when the hearing</w:t>
      </w:r>
      <w:r w:rsidR="009E518C">
        <w:rPr>
          <w:rFonts w:eastAsia="Times New Roman" w:cs="Times New Roman"/>
          <w:sz w:val="24"/>
          <w:szCs w:val="24"/>
          <w:lang w:eastAsia="en-AU"/>
        </w:rPr>
        <w:t xml:space="preserve"> </w:t>
      </w:r>
      <w:r w:rsidR="00CE4BCB">
        <w:rPr>
          <w:rFonts w:eastAsia="Times New Roman" w:cs="Times New Roman"/>
          <w:sz w:val="24"/>
          <w:szCs w:val="24"/>
          <w:lang w:eastAsia="en-AU"/>
        </w:rPr>
        <w:t xml:space="preserve">has </w:t>
      </w:r>
      <w:r w:rsidR="009E518C">
        <w:rPr>
          <w:rFonts w:eastAsia="Times New Roman" w:cs="Times New Roman"/>
          <w:sz w:val="24"/>
          <w:szCs w:val="24"/>
          <w:lang w:eastAsia="en-AU"/>
        </w:rPr>
        <w:t>commenced.</w:t>
      </w:r>
    </w:p>
    <w:p w:rsidR="009A773C" w:rsidRDefault="009A773C" w:rsidP="003918BC">
      <w:pPr>
        <w:pStyle w:val="NormalWeb"/>
        <w:numPr>
          <w:ilvl w:val="1"/>
          <w:numId w:val="12"/>
        </w:numPr>
        <w:spacing w:before="0" w:beforeAutospacing="0" w:after="240" w:afterAutospacing="0" w:line="276" w:lineRule="auto"/>
        <w:ind w:left="567" w:hanging="567"/>
        <w:jc w:val="both"/>
        <w:rPr>
          <w:rFonts w:asciiTheme="minorHAnsi" w:hAnsiTheme="minorHAnsi"/>
        </w:rPr>
      </w:pPr>
      <w:r w:rsidRPr="009A773C">
        <w:rPr>
          <w:rFonts w:asciiTheme="minorHAnsi" w:hAnsiTheme="minorHAnsi"/>
        </w:rPr>
        <w:t xml:space="preserve">The </w:t>
      </w:r>
      <w:r w:rsidR="006E4F15">
        <w:rPr>
          <w:rFonts w:asciiTheme="minorHAnsi" w:hAnsiTheme="minorHAnsi"/>
        </w:rPr>
        <w:t xml:space="preserve">Judicial </w:t>
      </w:r>
      <w:r w:rsidRPr="009A773C">
        <w:rPr>
          <w:rFonts w:asciiTheme="minorHAnsi" w:hAnsiTheme="minorHAnsi"/>
        </w:rPr>
        <w:t xml:space="preserve">Registrar will </w:t>
      </w:r>
      <w:r w:rsidR="006A115F" w:rsidRPr="009A773C">
        <w:rPr>
          <w:rFonts w:asciiTheme="minorHAnsi" w:hAnsiTheme="minorHAnsi"/>
        </w:rPr>
        <w:t>c</w:t>
      </w:r>
      <w:r w:rsidR="008A3765" w:rsidRPr="009A773C">
        <w:rPr>
          <w:rFonts w:asciiTheme="minorHAnsi" w:hAnsiTheme="minorHAnsi"/>
        </w:rPr>
        <w:t xml:space="preserve">onsider the filed evidence, </w:t>
      </w:r>
      <w:r w:rsidRPr="009A773C">
        <w:rPr>
          <w:rFonts w:asciiTheme="minorHAnsi" w:hAnsiTheme="minorHAnsi"/>
        </w:rPr>
        <w:t>draft orders, and any commun</w:t>
      </w:r>
      <w:r w:rsidR="002C176F">
        <w:rPr>
          <w:rFonts w:asciiTheme="minorHAnsi" w:hAnsiTheme="minorHAnsi"/>
        </w:rPr>
        <w:t xml:space="preserve">ication </w:t>
      </w:r>
      <w:r w:rsidR="001664E9">
        <w:rPr>
          <w:rFonts w:asciiTheme="minorHAnsi" w:hAnsiTheme="minorHAnsi"/>
        </w:rPr>
        <w:t>made by</w:t>
      </w:r>
      <w:r w:rsidR="002C176F">
        <w:rPr>
          <w:rFonts w:asciiTheme="minorHAnsi" w:hAnsiTheme="minorHAnsi"/>
        </w:rPr>
        <w:t xml:space="preserve"> </w:t>
      </w:r>
      <w:r w:rsidRPr="009A773C">
        <w:rPr>
          <w:rFonts w:asciiTheme="minorHAnsi" w:hAnsiTheme="minorHAnsi"/>
        </w:rPr>
        <w:t xml:space="preserve">the applicant through </w:t>
      </w:r>
      <w:proofErr w:type="spellStart"/>
      <w:r w:rsidRPr="009A773C">
        <w:rPr>
          <w:rFonts w:asciiTheme="minorHAnsi" w:hAnsiTheme="minorHAnsi"/>
        </w:rPr>
        <w:t>eCase</w:t>
      </w:r>
      <w:proofErr w:type="spellEnd"/>
      <w:r w:rsidRPr="009A773C">
        <w:rPr>
          <w:rFonts w:asciiTheme="minorHAnsi" w:hAnsiTheme="minorHAnsi"/>
        </w:rPr>
        <w:t xml:space="preserve"> Administration.  </w:t>
      </w:r>
    </w:p>
    <w:p w:rsidR="009A773C" w:rsidRDefault="009A773C" w:rsidP="003918BC">
      <w:pPr>
        <w:pStyle w:val="NormalWeb"/>
        <w:numPr>
          <w:ilvl w:val="1"/>
          <w:numId w:val="12"/>
        </w:numPr>
        <w:spacing w:before="0" w:beforeAutospacing="0" w:after="240" w:afterAutospacing="0" w:line="276" w:lineRule="auto"/>
        <w:ind w:left="567" w:hanging="567"/>
        <w:jc w:val="both"/>
        <w:rPr>
          <w:rFonts w:asciiTheme="minorHAnsi" w:hAnsiTheme="minorHAnsi"/>
        </w:rPr>
      </w:pPr>
      <w:r>
        <w:rPr>
          <w:rFonts w:asciiTheme="minorHAnsi" w:hAnsiTheme="minorHAnsi"/>
        </w:rPr>
        <w:t xml:space="preserve">If the </w:t>
      </w:r>
      <w:r w:rsidR="006E4F15">
        <w:rPr>
          <w:rFonts w:asciiTheme="minorHAnsi" w:hAnsiTheme="minorHAnsi"/>
        </w:rPr>
        <w:t xml:space="preserve">Judicial </w:t>
      </w:r>
      <w:r>
        <w:rPr>
          <w:rFonts w:asciiTheme="minorHAnsi" w:hAnsiTheme="minorHAnsi"/>
        </w:rPr>
        <w:t xml:space="preserve">Registrar is satisfied that the substituted service orders should be made, they will notify the applicant through </w:t>
      </w:r>
      <w:proofErr w:type="spellStart"/>
      <w:r>
        <w:rPr>
          <w:rFonts w:asciiTheme="minorHAnsi" w:hAnsiTheme="minorHAnsi"/>
        </w:rPr>
        <w:t>eCourtroom</w:t>
      </w:r>
      <w:proofErr w:type="spellEnd"/>
      <w:r>
        <w:rPr>
          <w:rFonts w:asciiTheme="minorHAnsi" w:hAnsiTheme="minorHAnsi"/>
        </w:rPr>
        <w:t xml:space="preserve"> and advise that a sealed copy of the orders will be made available through the Commonwealth Courts Portal.</w:t>
      </w:r>
    </w:p>
    <w:p w:rsidR="009A773C" w:rsidRDefault="0037001D" w:rsidP="003918BC">
      <w:pPr>
        <w:pStyle w:val="NormalWeb"/>
        <w:numPr>
          <w:ilvl w:val="1"/>
          <w:numId w:val="12"/>
        </w:numPr>
        <w:spacing w:before="0" w:beforeAutospacing="0" w:after="240" w:afterAutospacing="0" w:line="276" w:lineRule="auto"/>
        <w:ind w:left="567" w:hanging="567"/>
        <w:jc w:val="both"/>
        <w:rPr>
          <w:rFonts w:asciiTheme="minorHAnsi" w:hAnsiTheme="minorHAnsi"/>
        </w:rPr>
      </w:pPr>
      <w:r>
        <w:rPr>
          <w:rFonts w:asciiTheme="minorHAnsi" w:hAnsiTheme="minorHAnsi"/>
        </w:rPr>
        <w:t xml:space="preserve">If the </w:t>
      </w:r>
      <w:r w:rsidR="006E4F15">
        <w:rPr>
          <w:rFonts w:asciiTheme="minorHAnsi" w:hAnsiTheme="minorHAnsi"/>
        </w:rPr>
        <w:t xml:space="preserve">Judicial </w:t>
      </w:r>
      <w:r>
        <w:rPr>
          <w:rFonts w:asciiTheme="minorHAnsi" w:hAnsiTheme="minorHAnsi"/>
        </w:rPr>
        <w:t>Registrar is not satisfied that the substituted orders should be made, they may dismiss the application or adjourn the proceedings with a direction that the applicant file further evidence.</w:t>
      </w:r>
    </w:p>
    <w:p w:rsidR="007B0345" w:rsidRPr="002C176F" w:rsidRDefault="002C176F" w:rsidP="003918BC">
      <w:pPr>
        <w:pStyle w:val="NormalWeb"/>
        <w:numPr>
          <w:ilvl w:val="1"/>
          <w:numId w:val="12"/>
        </w:numPr>
        <w:spacing w:before="0" w:beforeAutospacing="0" w:after="0" w:afterAutospacing="0" w:line="276" w:lineRule="auto"/>
        <w:ind w:left="567" w:hanging="567"/>
        <w:jc w:val="both"/>
        <w:rPr>
          <w:rFonts w:asciiTheme="minorHAnsi" w:hAnsiTheme="minorHAnsi"/>
        </w:rPr>
      </w:pPr>
      <w:r>
        <w:rPr>
          <w:rFonts w:asciiTheme="minorHAnsi" w:hAnsiTheme="minorHAnsi"/>
        </w:rPr>
        <w:t xml:space="preserve">The </w:t>
      </w:r>
      <w:r w:rsidR="006E4F15">
        <w:rPr>
          <w:rFonts w:asciiTheme="minorHAnsi" w:hAnsiTheme="minorHAnsi"/>
        </w:rPr>
        <w:t xml:space="preserve">Judicial </w:t>
      </w:r>
      <w:r>
        <w:rPr>
          <w:rFonts w:asciiTheme="minorHAnsi" w:hAnsiTheme="minorHAnsi"/>
        </w:rPr>
        <w:t xml:space="preserve">Registrar may also request that the applicant provide further draft orders (to be sent in Microsoft Word </w:t>
      </w:r>
      <w:r w:rsidR="001F3BB9">
        <w:rPr>
          <w:rFonts w:asciiTheme="minorHAnsi" w:hAnsiTheme="minorHAnsi"/>
        </w:rPr>
        <w:t>(</w:t>
      </w:r>
      <w:r>
        <w:rPr>
          <w:rFonts w:asciiTheme="minorHAnsi" w:hAnsiTheme="minorHAnsi"/>
        </w:rPr>
        <w:t>.doc</w:t>
      </w:r>
      <w:r w:rsidR="00CE4BCB">
        <w:rPr>
          <w:rFonts w:asciiTheme="minorHAnsi" w:hAnsiTheme="minorHAnsi"/>
        </w:rPr>
        <w:t xml:space="preserve"> or .docx</w:t>
      </w:r>
      <w:r>
        <w:rPr>
          <w:rFonts w:asciiTheme="minorHAnsi" w:hAnsiTheme="minorHAnsi"/>
        </w:rPr>
        <w:t xml:space="preserve"> format). These orders should be uploaded through </w:t>
      </w:r>
      <w:proofErr w:type="spellStart"/>
      <w:r>
        <w:rPr>
          <w:rFonts w:asciiTheme="minorHAnsi" w:hAnsiTheme="minorHAnsi"/>
        </w:rPr>
        <w:t>eCase</w:t>
      </w:r>
      <w:proofErr w:type="spellEnd"/>
      <w:r>
        <w:rPr>
          <w:rFonts w:asciiTheme="minorHAnsi" w:hAnsiTheme="minorHAnsi"/>
        </w:rPr>
        <w:t xml:space="preserve"> Administration and not through </w:t>
      </w:r>
      <w:proofErr w:type="spellStart"/>
      <w:r>
        <w:rPr>
          <w:rFonts w:asciiTheme="minorHAnsi" w:hAnsiTheme="minorHAnsi"/>
        </w:rPr>
        <w:t>eLodgment</w:t>
      </w:r>
      <w:proofErr w:type="spellEnd"/>
      <w:r>
        <w:rPr>
          <w:rFonts w:asciiTheme="minorHAnsi" w:hAnsiTheme="minorHAnsi"/>
        </w:rPr>
        <w:t>.</w:t>
      </w:r>
    </w:p>
    <w:p w:rsidR="006E1CD9" w:rsidRPr="007B0345" w:rsidRDefault="006E1CD9" w:rsidP="003918BC">
      <w:pPr>
        <w:pStyle w:val="ListParagraph"/>
        <w:keepNext/>
        <w:numPr>
          <w:ilvl w:val="0"/>
          <w:numId w:val="3"/>
        </w:numPr>
        <w:shd w:val="clear" w:color="auto" w:fill="FFFFFF"/>
        <w:spacing w:before="360" w:after="240"/>
        <w:ind w:left="567" w:hanging="567"/>
        <w:contextualSpacing w:val="0"/>
        <w:jc w:val="both"/>
        <w:textAlignment w:val="baseline"/>
        <w:outlineLvl w:val="1"/>
        <w:rPr>
          <w:b/>
          <w:sz w:val="28"/>
        </w:rPr>
      </w:pPr>
      <w:bookmarkStart w:id="1" w:name="_Ref466986379"/>
      <w:r w:rsidRPr="000A1767">
        <w:rPr>
          <w:rFonts w:eastAsia="Times New Roman" w:cs="Arial"/>
          <w:b/>
          <w:color w:val="000000"/>
          <w:sz w:val="28"/>
          <w:szCs w:val="24"/>
          <w:lang w:eastAsia="en-AU"/>
        </w:rPr>
        <w:t>Information</w:t>
      </w:r>
      <w:r w:rsidRPr="007B0345">
        <w:rPr>
          <w:b/>
          <w:bCs/>
          <w:iCs/>
          <w:sz w:val="28"/>
        </w:rPr>
        <w:t xml:space="preserve"> on the Court</w:t>
      </w:r>
      <w:r w:rsidR="00297378">
        <w:rPr>
          <w:b/>
          <w:bCs/>
          <w:iCs/>
          <w:sz w:val="28"/>
        </w:rPr>
        <w:t>’</w:t>
      </w:r>
      <w:r w:rsidRPr="007B0345">
        <w:rPr>
          <w:b/>
          <w:bCs/>
          <w:iCs/>
          <w:sz w:val="28"/>
        </w:rPr>
        <w:t xml:space="preserve">s </w:t>
      </w:r>
      <w:r w:rsidR="00AF0981">
        <w:rPr>
          <w:b/>
          <w:bCs/>
          <w:iCs/>
          <w:sz w:val="28"/>
        </w:rPr>
        <w:t>o</w:t>
      </w:r>
      <w:r w:rsidR="00AE3688">
        <w:rPr>
          <w:b/>
          <w:bCs/>
          <w:iCs/>
          <w:sz w:val="28"/>
        </w:rPr>
        <w:t xml:space="preserve">nline </w:t>
      </w:r>
      <w:r w:rsidR="00AF0981">
        <w:rPr>
          <w:b/>
          <w:bCs/>
          <w:iCs/>
          <w:sz w:val="28"/>
        </w:rPr>
        <w:t>s</w:t>
      </w:r>
      <w:r w:rsidR="00AE3688">
        <w:rPr>
          <w:b/>
          <w:bCs/>
          <w:iCs/>
          <w:sz w:val="28"/>
        </w:rPr>
        <w:t>ervices</w:t>
      </w:r>
      <w:bookmarkEnd w:id="1"/>
    </w:p>
    <w:p w:rsidR="006F09F8" w:rsidRPr="00C615E9" w:rsidRDefault="001664E9" w:rsidP="001664E9">
      <w:pPr>
        <w:pStyle w:val="Dimi05"/>
        <w:spacing w:before="0" w:after="240" w:line="276" w:lineRule="auto"/>
        <w:ind w:left="567" w:hanging="567"/>
        <w:contextualSpacing w:val="0"/>
        <w:jc w:val="both"/>
        <w:rPr>
          <w:i/>
        </w:rPr>
      </w:pPr>
      <w:r w:rsidRPr="001664E9">
        <w:tab/>
      </w:r>
      <w:proofErr w:type="spellStart"/>
      <w:proofErr w:type="gramStart"/>
      <w:r w:rsidR="006F09F8" w:rsidRPr="00C615E9">
        <w:rPr>
          <w:i/>
        </w:rPr>
        <w:t>eLodgment</w:t>
      </w:r>
      <w:proofErr w:type="spellEnd"/>
      <w:proofErr w:type="gramEnd"/>
      <w:r w:rsidR="006F09F8" w:rsidRPr="00C615E9">
        <w:rPr>
          <w:i/>
        </w:rPr>
        <w:t xml:space="preserve"> </w:t>
      </w:r>
    </w:p>
    <w:p w:rsidR="00C615E9" w:rsidRPr="00C2510A" w:rsidRDefault="00C615E9" w:rsidP="003918BC">
      <w:pPr>
        <w:pStyle w:val="ListParagraph"/>
        <w:numPr>
          <w:ilvl w:val="1"/>
          <w:numId w:val="13"/>
        </w:numPr>
        <w:spacing w:after="240"/>
        <w:ind w:left="567" w:hanging="567"/>
        <w:contextualSpacing w:val="0"/>
        <w:jc w:val="both"/>
        <w:rPr>
          <w:sz w:val="24"/>
          <w:szCs w:val="24"/>
        </w:rPr>
      </w:pPr>
      <w:r w:rsidRPr="00C2510A">
        <w:rPr>
          <w:sz w:val="24"/>
          <w:szCs w:val="24"/>
        </w:rPr>
        <w:t xml:space="preserve">The Court </w:t>
      </w:r>
      <w:r w:rsidRPr="00C2510A">
        <w:rPr>
          <w:rFonts w:eastAsia="Times New Roman" w:cs="Times New Roman"/>
          <w:sz w:val="24"/>
          <w:szCs w:val="24"/>
          <w:lang w:val="en-US" w:eastAsia="en-AU"/>
        </w:rPr>
        <w:t>provides</w:t>
      </w:r>
      <w:r w:rsidRPr="00C2510A">
        <w:rPr>
          <w:sz w:val="24"/>
          <w:szCs w:val="24"/>
        </w:rPr>
        <w:t xml:space="preserve"> an electronic lodgement (</w:t>
      </w:r>
      <w:proofErr w:type="spellStart"/>
      <w:r w:rsidR="00B139AC">
        <w:fldChar w:fldCharType="begin"/>
      </w:r>
      <w:r w:rsidR="00B139AC">
        <w:instrText xml:space="preserve"> HYPERLINK "http://www.fedcourt.gov.au/online-services/elodgment" </w:instrText>
      </w:r>
      <w:r w:rsidR="00B139AC">
        <w:fldChar w:fldCharType="separate"/>
      </w:r>
      <w:r w:rsidRPr="00065F82">
        <w:rPr>
          <w:rStyle w:val="Hyperlink"/>
          <w:sz w:val="24"/>
          <w:szCs w:val="24"/>
        </w:rPr>
        <w:t>eLodgment</w:t>
      </w:r>
      <w:proofErr w:type="spellEnd"/>
      <w:r w:rsidR="00B139AC">
        <w:rPr>
          <w:rStyle w:val="Hyperlink"/>
          <w:sz w:val="24"/>
          <w:szCs w:val="24"/>
        </w:rPr>
        <w:fldChar w:fldCharType="end"/>
      </w:r>
      <w:r w:rsidRPr="00C2510A">
        <w:rPr>
          <w:sz w:val="24"/>
          <w:szCs w:val="24"/>
        </w:rPr>
        <w:t xml:space="preserve">) facility through which a document that </w:t>
      </w:r>
      <w:r w:rsidRPr="00C2510A">
        <w:rPr>
          <w:rFonts w:eastAsia="Times New Roman" w:cs="Times New Roman"/>
          <w:sz w:val="24"/>
          <w:szCs w:val="24"/>
          <w:lang w:val="en-US" w:eastAsia="en-AU"/>
        </w:rPr>
        <w:t>commences</w:t>
      </w:r>
      <w:r w:rsidRPr="00C2510A">
        <w:rPr>
          <w:sz w:val="24"/>
          <w:szCs w:val="24"/>
        </w:rPr>
        <w:t xml:space="preserve"> a proceeding or is relevant to an existing proceeding may be lodged for filing online.  </w:t>
      </w:r>
    </w:p>
    <w:p w:rsidR="006F09F8" w:rsidRPr="00C2510A" w:rsidRDefault="006F09F8" w:rsidP="003918BC">
      <w:pPr>
        <w:pStyle w:val="ListParagraph"/>
        <w:numPr>
          <w:ilvl w:val="1"/>
          <w:numId w:val="13"/>
        </w:numPr>
        <w:spacing w:after="240"/>
        <w:ind w:left="567" w:hanging="567"/>
        <w:contextualSpacing w:val="0"/>
        <w:jc w:val="both"/>
        <w:rPr>
          <w:sz w:val="24"/>
          <w:szCs w:val="24"/>
        </w:rPr>
      </w:pPr>
      <w:r w:rsidRPr="00C2510A">
        <w:rPr>
          <w:sz w:val="24"/>
          <w:szCs w:val="24"/>
        </w:rPr>
        <w:t xml:space="preserve">The use of </w:t>
      </w:r>
      <w:proofErr w:type="spellStart"/>
      <w:r w:rsidRPr="00C2510A">
        <w:rPr>
          <w:sz w:val="24"/>
          <w:szCs w:val="24"/>
        </w:rPr>
        <w:t>eLodgment</w:t>
      </w:r>
      <w:proofErr w:type="spellEnd"/>
      <w:r w:rsidRPr="00C2510A">
        <w:rPr>
          <w:sz w:val="24"/>
          <w:szCs w:val="24"/>
        </w:rPr>
        <w:t xml:space="preserve"> provides many benefits to court users.  It is available from each </w:t>
      </w:r>
      <w:r w:rsidRPr="00C2510A">
        <w:rPr>
          <w:rFonts w:eastAsia="Times New Roman" w:cs="Times New Roman"/>
          <w:sz w:val="24"/>
          <w:szCs w:val="24"/>
          <w:lang w:val="en-US" w:eastAsia="en-AU"/>
        </w:rPr>
        <w:t>user’s</w:t>
      </w:r>
      <w:r w:rsidRPr="00C2510A">
        <w:rPr>
          <w:sz w:val="24"/>
          <w:szCs w:val="24"/>
        </w:rPr>
        <w:t xml:space="preserve"> computer at any time and provides a complete record of all lodgement transactions with the Court.</w:t>
      </w:r>
    </w:p>
    <w:p w:rsidR="006F09F8" w:rsidRPr="00C2510A" w:rsidRDefault="006F09F8" w:rsidP="003918BC">
      <w:pPr>
        <w:pStyle w:val="ListParagraph"/>
        <w:numPr>
          <w:ilvl w:val="1"/>
          <w:numId w:val="13"/>
        </w:numPr>
        <w:spacing w:after="240"/>
        <w:ind w:left="567" w:hanging="567"/>
        <w:contextualSpacing w:val="0"/>
        <w:jc w:val="both"/>
        <w:rPr>
          <w:sz w:val="24"/>
          <w:szCs w:val="24"/>
        </w:rPr>
      </w:pPr>
      <w:proofErr w:type="spellStart"/>
      <w:proofErr w:type="gramStart"/>
      <w:r w:rsidRPr="00C2510A">
        <w:rPr>
          <w:sz w:val="24"/>
          <w:szCs w:val="24"/>
        </w:rPr>
        <w:t>eLodgment</w:t>
      </w:r>
      <w:proofErr w:type="spellEnd"/>
      <w:proofErr w:type="gramEnd"/>
      <w:r w:rsidRPr="00C2510A">
        <w:rPr>
          <w:sz w:val="24"/>
          <w:szCs w:val="24"/>
        </w:rPr>
        <w:t xml:space="preserve"> also allows court users to lodge other documents regarding a proceeding, for example: a draft order, terms of consent and case management correspondence. </w:t>
      </w:r>
    </w:p>
    <w:p w:rsidR="006F09F8" w:rsidRPr="00C2510A" w:rsidRDefault="006F09F8" w:rsidP="006977EF">
      <w:pPr>
        <w:pStyle w:val="ListParagraph"/>
        <w:numPr>
          <w:ilvl w:val="1"/>
          <w:numId w:val="13"/>
        </w:numPr>
        <w:spacing w:after="240"/>
        <w:ind w:left="567" w:hanging="567"/>
        <w:contextualSpacing w:val="0"/>
        <w:jc w:val="both"/>
        <w:rPr>
          <w:sz w:val="24"/>
          <w:szCs w:val="24"/>
        </w:rPr>
      </w:pPr>
      <w:r w:rsidRPr="00C2510A">
        <w:rPr>
          <w:sz w:val="24"/>
          <w:szCs w:val="24"/>
        </w:rPr>
        <w:t xml:space="preserve">A party must be registered to use </w:t>
      </w:r>
      <w:proofErr w:type="spellStart"/>
      <w:r w:rsidRPr="00C2510A">
        <w:rPr>
          <w:sz w:val="24"/>
          <w:szCs w:val="24"/>
        </w:rPr>
        <w:t>eLodgment</w:t>
      </w:r>
      <w:proofErr w:type="spellEnd"/>
      <w:r w:rsidRPr="00C2510A">
        <w:rPr>
          <w:sz w:val="24"/>
          <w:szCs w:val="24"/>
        </w:rPr>
        <w:t xml:space="preserve">. </w:t>
      </w:r>
      <w:r w:rsidR="00935A1D">
        <w:rPr>
          <w:sz w:val="24"/>
          <w:szCs w:val="24"/>
        </w:rPr>
        <w:t>The</w:t>
      </w:r>
      <w:r w:rsidR="00CA36A9">
        <w:rPr>
          <w:sz w:val="24"/>
          <w:szCs w:val="24"/>
        </w:rPr>
        <w:t xml:space="preserve"> </w:t>
      </w:r>
      <w:hyperlink r:id="rId34" w:history="1">
        <w:proofErr w:type="spellStart"/>
        <w:r w:rsidR="00CA36A9" w:rsidRPr="00935A1D">
          <w:rPr>
            <w:rStyle w:val="Hyperlink"/>
            <w:sz w:val="24"/>
            <w:szCs w:val="24"/>
          </w:rPr>
          <w:t>eLodgment</w:t>
        </w:r>
        <w:proofErr w:type="spellEnd"/>
        <w:r w:rsidR="00CA36A9" w:rsidRPr="00935A1D">
          <w:rPr>
            <w:rStyle w:val="Hyperlink"/>
            <w:sz w:val="24"/>
            <w:szCs w:val="24"/>
          </w:rPr>
          <w:t xml:space="preserve"> page</w:t>
        </w:r>
      </w:hyperlink>
      <w:r w:rsidR="00935A1D">
        <w:rPr>
          <w:sz w:val="24"/>
          <w:szCs w:val="24"/>
        </w:rPr>
        <w:t xml:space="preserve"> </w:t>
      </w:r>
      <w:r w:rsidR="00935A1D" w:rsidRPr="00935A1D">
        <w:rPr>
          <w:sz w:val="24"/>
          <w:szCs w:val="24"/>
        </w:rPr>
        <w:t>includes information about registering, preparing and lodging documents.</w:t>
      </w:r>
      <w:r>
        <w:rPr>
          <w:sz w:val="24"/>
          <w:szCs w:val="24"/>
        </w:rPr>
        <w:t xml:space="preserve">  </w:t>
      </w:r>
    </w:p>
    <w:p w:rsidR="006F09F8" w:rsidRPr="00C615E9" w:rsidRDefault="006F09F8" w:rsidP="001664E9">
      <w:pPr>
        <w:pStyle w:val="Dimi05"/>
        <w:keepNext/>
        <w:spacing w:before="0" w:after="240" w:line="276" w:lineRule="auto"/>
        <w:ind w:left="567"/>
        <w:contextualSpacing w:val="0"/>
        <w:jc w:val="both"/>
        <w:rPr>
          <w:i/>
        </w:rPr>
      </w:pPr>
      <w:proofErr w:type="spellStart"/>
      <w:proofErr w:type="gramStart"/>
      <w:r w:rsidRPr="00C615E9">
        <w:rPr>
          <w:i/>
        </w:rPr>
        <w:t>eCourtroom</w:t>
      </w:r>
      <w:proofErr w:type="spellEnd"/>
      <w:proofErr w:type="gramEnd"/>
      <w:r w:rsidRPr="00C615E9">
        <w:rPr>
          <w:i/>
        </w:rPr>
        <w:t xml:space="preserve"> </w:t>
      </w:r>
    </w:p>
    <w:p w:rsidR="006F09F8" w:rsidRPr="00C615E9" w:rsidRDefault="00407BA7" w:rsidP="003918BC">
      <w:pPr>
        <w:pStyle w:val="ListParagraph"/>
        <w:numPr>
          <w:ilvl w:val="1"/>
          <w:numId w:val="13"/>
        </w:numPr>
        <w:ind w:left="567" w:hanging="567"/>
        <w:rPr>
          <w:rStyle w:val="Hyperlink"/>
          <w:color w:val="auto"/>
          <w:sz w:val="24"/>
          <w:szCs w:val="24"/>
          <w:u w:val="none"/>
        </w:rPr>
      </w:pPr>
      <w:hyperlink r:id="rId35" w:history="1">
        <w:proofErr w:type="spellStart"/>
        <w:proofErr w:type="gramStart"/>
        <w:r w:rsidR="00C615E9" w:rsidRPr="00545816">
          <w:rPr>
            <w:rStyle w:val="Hyperlink"/>
            <w:sz w:val="24"/>
            <w:szCs w:val="24"/>
          </w:rPr>
          <w:t>eCourtroom</w:t>
        </w:r>
        <w:proofErr w:type="spellEnd"/>
        <w:proofErr w:type="gramEnd"/>
      </w:hyperlink>
      <w:r w:rsidR="00C615E9" w:rsidRPr="00545816">
        <w:rPr>
          <w:sz w:val="24"/>
          <w:szCs w:val="24"/>
        </w:rPr>
        <w:t xml:space="preserve"> i</w:t>
      </w:r>
      <w:r w:rsidR="00C615E9" w:rsidRPr="00C615E9">
        <w:rPr>
          <w:sz w:val="24"/>
          <w:szCs w:val="24"/>
        </w:rPr>
        <w:t xml:space="preserve">s a virtual courtroom that assists in the management of matters by allowing directions and final orders to be made online. </w:t>
      </w:r>
    </w:p>
    <w:p w:rsidR="006F09F8" w:rsidRPr="00C615E9" w:rsidRDefault="006F09F8" w:rsidP="001664E9">
      <w:pPr>
        <w:pStyle w:val="Dimi05"/>
        <w:spacing w:before="0" w:after="240" w:line="276" w:lineRule="auto"/>
        <w:ind w:left="567"/>
        <w:contextualSpacing w:val="0"/>
        <w:jc w:val="both"/>
        <w:rPr>
          <w:i/>
        </w:rPr>
      </w:pPr>
      <w:r w:rsidRPr="00C615E9">
        <w:rPr>
          <w:i/>
        </w:rPr>
        <w:t>Commonwealth Courts Portal</w:t>
      </w:r>
    </w:p>
    <w:p w:rsidR="006F09F8" w:rsidRPr="00C615E9" w:rsidRDefault="006F09F8" w:rsidP="003918BC">
      <w:pPr>
        <w:pStyle w:val="ListParagraph"/>
        <w:numPr>
          <w:ilvl w:val="1"/>
          <w:numId w:val="13"/>
        </w:numPr>
        <w:spacing w:after="240"/>
        <w:ind w:left="567" w:hanging="567"/>
        <w:contextualSpacing w:val="0"/>
        <w:jc w:val="both"/>
        <w:rPr>
          <w:sz w:val="24"/>
          <w:szCs w:val="24"/>
        </w:rPr>
      </w:pPr>
      <w:r w:rsidRPr="00C615E9">
        <w:rPr>
          <w:sz w:val="24"/>
          <w:szCs w:val="24"/>
        </w:rPr>
        <w:t xml:space="preserve">Filed documents in a matter can be viewed by parties or those authorised by a party on the </w:t>
      </w:r>
      <w:hyperlink r:id="rId36" w:history="1">
        <w:r w:rsidR="00C615E9" w:rsidRPr="00F64914">
          <w:rPr>
            <w:rStyle w:val="Hyperlink"/>
            <w:sz w:val="24"/>
            <w:szCs w:val="24"/>
          </w:rPr>
          <w:t>Commonwealth Courts Portal</w:t>
        </w:r>
      </w:hyperlink>
      <w:r w:rsidR="00C615E9" w:rsidRPr="00C2510A">
        <w:rPr>
          <w:sz w:val="24"/>
          <w:szCs w:val="24"/>
        </w:rPr>
        <w:t>.</w:t>
      </w:r>
      <w:r w:rsidR="00C615E9">
        <w:rPr>
          <w:sz w:val="24"/>
          <w:szCs w:val="24"/>
          <w:lang w:val="en"/>
        </w:rPr>
        <w:t xml:space="preserve"> The </w:t>
      </w:r>
      <w:r w:rsidR="002D1446">
        <w:rPr>
          <w:sz w:val="24"/>
          <w:szCs w:val="24"/>
          <w:lang w:val="en"/>
        </w:rPr>
        <w:t>Commonwealth Courts Portal (</w:t>
      </w:r>
      <w:r w:rsidR="00C615E9">
        <w:rPr>
          <w:sz w:val="24"/>
          <w:szCs w:val="24"/>
          <w:lang w:val="en"/>
        </w:rPr>
        <w:t>CCP</w:t>
      </w:r>
      <w:r w:rsidR="002D1446">
        <w:rPr>
          <w:sz w:val="24"/>
          <w:szCs w:val="24"/>
          <w:lang w:val="en"/>
        </w:rPr>
        <w:t>)</w:t>
      </w:r>
      <w:r w:rsidR="00C615E9" w:rsidRPr="00C2510A">
        <w:rPr>
          <w:sz w:val="24"/>
          <w:szCs w:val="24"/>
          <w:lang w:val="en"/>
        </w:rPr>
        <w:t xml:space="preserve"> provides web-based services for court users to access information about cases before the Court. Parties may register for the CCP to gain access to documents which have been </w:t>
      </w:r>
      <w:proofErr w:type="spellStart"/>
      <w:r w:rsidR="00C615E9" w:rsidRPr="00C2510A">
        <w:rPr>
          <w:sz w:val="24"/>
          <w:szCs w:val="24"/>
          <w:lang w:val="en"/>
        </w:rPr>
        <w:t>eLodged</w:t>
      </w:r>
      <w:proofErr w:type="spellEnd"/>
      <w:r w:rsidR="00C615E9" w:rsidRPr="00C2510A">
        <w:rPr>
          <w:sz w:val="24"/>
          <w:szCs w:val="24"/>
          <w:lang w:val="en"/>
        </w:rPr>
        <w:t>, as well as orders of the Court, judgments and li</w:t>
      </w:r>
      <w:r w:rsidR="00C615E9">
        <w:rPr>
          <w:sz w:val="24"/>
          <w:szCs w:val="24"/>
          <w:lang w:val="en"/>
        </w:rPr>
        <w:t>sting events (past or future).</w:t>
      </w:r>
      <w:r w:rsidR="00CE4BCB">
        <w:rPr>
          <w:sz w:val="24"/>
          <w:szCs w:val="24"/>
          <w:lang w:val="en"/>
        </w:rPr>
        <w:t xml:space="preserve"> More information about the CCP can be found in </w:t>
      </w:r>
      <w:hyperlink r:id="rId37" w:history="1">
        <w:r w:rsidR="00CE4BCB" w:rsidRPr="00CE4BCB">
          <w:rPr>
            <w:rStyle w:val="Hyperlink"/>
            <w:sz w:val="24"/>
            <w:szCs w:val="24"/>
            <w:lang w:val="en"/>
          </w:rPr>
          <w:t>Online Services</w:t>
        </w:r>
      </w:hyperlink>
      <w:r w:rsidR="00CE4BCB">
        <w:rPr>
          <w:sz w:val="24"/>
          <w:szCs w:val="24"/>
          <w:lang w:val="en"/>
        </w:rPr>
        <w:t>.</w:t>
      </w:r>
    </w:p>
    <w:p w:rsidR="006F09F8" w:rsidRPr="00C615E9" w:rsidRDefault="006F09F8" w:rsidP="000A1767">
      <w:pPr>
        <w:pStyle w:val="Dimi05"/>
        <w:keepNext/>
        <w:spacing w:before="0" w:after="240" w:line="276" w:lineRule="auto"/>
        <w:ind w:left="567"/>
        <w:contextualSpacing w:val="0"/>
        <w:jc w:val="both"/>
        <w:rPr>
          <w:i/>
        </w:rPr>
      </w:pPr>
      <w:r w:rsidRPr="00C615E9">
        <w:rPr>
          <w:i/>
        </w:rPr>
        <w:t xml:space="preserve">Federal Law Search </w:t>
      </w:r>
    </w:p>
    <w:p w:rsidR="006F09F8" w:rsidRPr="00C2510A" w:rsidRDefault="006F09F8" w:rsidP="003918BC">
      <w:pPr>
        <w:pStyle w:val="ListParagraph"/>
        <w:keepNext/>
        <w:numPr>
          <w:ilvl w:val="1"/>
          <w:numId w:val="13"/>
        </w:numPr>
        <w:spacing w:after="240"/>
        <w:ind w:left="567" w:hanging="567"/>
        <w:contextualSpacing w:val="0"/>
        <w:jc w:val="both"/>
        <w:rPr>
          <w:bCs/>
          <w:sz w:val="24"/>
          <w:szCs w:val="24"/>
        </w:rPr>
      </w:pPr>
      <w:r w:rsidRPr="00C2510A">
        <w:rPr>
          <w:sz w:val="24"/>
          <w:szCs w:val="24"/>
        </w:rPr>
        <w:t>Alternatively, stamped court orders are also available</w:t>
      </w:r>
      <w:r w:rsidR="00C615E9" w:rsidRPr="00C2510A">
        <w:rPr>
          <w:sz w:val="24"/>
          <w:szCs w:val="24"/>
        </w:rPr>
        <w:t xml:space="preserve"> online </w:t>
      </w:r>
      <w:r w:rsidR="0006225B">
        <w:rPr>
          <w:sz w:val="24"/>
          <w:szCs w:val="24"/>
        </w:rPr>
        <w:t>via</w:t>
      </w:r>
      <w:r w:rsidR="00C615E9" w:rsidRPr="00C2510A">
        <w:rPr>
          <w:sz w:val="24"/>
          <w:szCs w:val="24"/>
        </w:rPr>
        <w:t xml:space="preserve"> </w:t>
      </w:r>
      <w:hyperlink r:id="rId38" w:history="1">
        <w:r w:rsidR="00C615E9" w:rsidRPr="00F64914">
          <w:rPr>
            <w:rStyle w:val="Hyperlink"/>
            <w:sz w:val="24"/>
            <w:szCs w:val="24"/>
          </w:rPr>
          <w:t>Federal Law Search</w:t>
        </w:r>
      </w:hyperlink>
      <w:r w:rsidR="00C615E9">
        <w:rPr>
          <w:sz w:val="24"/>
          <w:szCs w:val="24"/>
        </w:rPr>
        <w:t xml:space="preserve">. </w:t>
      </w:r>
      <w:r w:rsidRPr="00C2510A">
        <w:rPr>
          <w:sz w:val="24"/>
          <w:szCs w:val="24"/>
        </w:rPr>
        <w:t xml:space="preserve">  </w:t>
      </w:r>
      <w:r w:rsidRPr="00C2510A">
        <w:rPr>
          <w:bCs/>
          <w:sz w:val="24"/>
          <w:szCs w:val="24"/>
        </w:rPr>
        <w:t xml:space="preserve">The Federal Law Search facility provides selected information on </w:t>
      </w:r>
      <w:r w:rsidR="00C615E9">
        <w:rPr>
          <w:bCs/>
          <w:sz w:val="24"/>
          <w:szCs w:val="24"/>
        </w:rPr>
        <w:t>cases to members of the public.</w:t>
      </w:r>
    </w:p>
    <w:p w:rsidR="008A3765" w:rsidRPr="00005CB6" w:rsidRDefault="008A3765" w:rsidP="00F4471D">
      <w:pPr>
        <w:pStyle w:val="NormalWeb"/>
        <w:spacing w:before="0" w:beforeAutospacing="0" w:after="0" w:afterAutospacing="0" w:line="276" w:lineRule="auto"/>
        <w:jc w:val="both"/>
        <w:rPr>
          <w:rFonts w:asciiTheme="minorHAnsi" w:hAnsiTheme="minorHAnsi"/>
        </w:rPr>
      </w:pPr>
    </w:p>
    <w:sectPr w:rsidR="008A3765" w:rsidRPr="00005CB6" w:rsidSect="008000E9">
      <w:footerReference w:type="even" r:id="rId39"/>
      <w:footerReference w:type="default" r:id="rId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AE6" w:rsidRDefault="00554AE6" w:rsidP="009B727B">
      <w:pPr>
        <w:spacing w:after="0" w:line="240" w:lineRule="auto"/>
      </w:pPr>
      <w:r>
        <w:separator/>
      </w:r>
    </w:p>
  </w:endnote>
  <w:endnote w:type="continuationSeparator" w:id="0">
    <w:p w:rsidR="00554AE6" w:rsidRDefault="00554AE6" w:rsidP="009B7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27B" w:rsidRDefault="009B727B" w:rsidP="008000E9">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9B727B" w:rsidRDefault="009B727B" w:rsidP="009B727B">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413" w:rsidRDefault="00D37413" w:rsidP="00D37413">
    <w:pPr>
      <w:pStyle w:val="Footer"/>
      <w:jc w:val="center"/>
      <w:rPr>
        <w:rStyle w:val="PageNumber"/>
        <w:sz w:val="20"/>
      </w:rPr>
    </w:pPr>
    <w:r>
      <w:rPr>
        <w:rStyle w:val="PageNumber"/>
        <w:sz w:val="20"/>
      </w:rPr>
      <w:t xml:space="preserve">Bankruptcy Information Sheet 5: </w:t>
    </w:r>
    <w:r w:rsidRPr="00D37413">
      <w:rPr>
        <w:rStyle w:val="PageNumber"/>
        <w:sz w:val="20"/>
      </w:rPr>
      <w:t>Substituted Service Applications</w:t>
    </w:r>
  </w:p>
  <w:p w:rsidR="009B727B" w:rsidRPr="00D37413" w:rsidRDefault="00B139AC" w:rsidP="00D37413">
    <w:pPr>
      <w:pStyle w:val="Footer"/>
      <w:jc w:val="right"/>
    </w:pPr>
    <w:r>
      <w:rPr>
        <w:sz w:val="20"/>
      </w:rPr>
      <w:t>July 2022</w:t>
    </w:r>
    <w:r w:rsidR="00D37413">
      <w:rPr>
        <w:sz w:val="20"/>
      </w:rPr>
      <w:tab/>
    </w:r>
    <w:r w:rsidR="00D37413">
      <w:rPr>
        <w:sz w:val="20"/>
      </w:rPr>
      <w:tab/>
    </w:r>
    <w:r w:rsidR="00D37413">
      <w:t>p</w:t>
    </w:r>
    <w:sdt>
      <w:sdtPr>
        <w:id w:val="-1519306101"/>
        <w:docPartObj>
          <w:docPartGallery w:val="Page Numbers (Bottom of Page)"/>
          <w:docPartUnique/>
        </w:docPartObj>
      </w:sdtPr>
      <w:sdtEndPr>
        <w:rPr>
          <w:noProof/>
        </w:rPr>
      </w:sdtEndPr>
      <w:sdtContent>
        <w:r w:rsidR="00D37413">
          <w:fldChar w:fldCharType="begin"/>
        </w:r>
        <w:r w:rsidR="00D37413">
          <w:instrText xml:space="preserve"> PAGE   \* MERGEFORMAT </w:instrText>
        </w:r>
        <w:r w:rsidR="00D37413">
          <w:fldChar w:fldCharType="separate"/>
        </w:r>
        <w:r w:rsidR="00407BA7">
          <w:rPr>
            <w:noProof/>
          </w:rPr>
          <w:t>8</w:t>
        </w:r>
        <w:r w:rsidR="00D37413">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AE6" w:rsidRDefault="00554AE6" w:rsidP="009B727B">
      <w:pPr>
        <w:spacing w:after="0" w:line="240" w:lineRule="auto"/>
      </w:pPr>
      <w:r>
        <w:separator/>
      </w:r>
    </w:p>
  </w:footnote>
  <w:footnote w:type="continuationSeparator" w:id="0">
    <w:p w:rsidR="00554AE6" w:rsidRDefault="00554AE6" w:rsidP="009B72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83F62"/>
    <w:multiLevelType w:val="multilevel"/>
    <w:tmpl w:val="8348C260"/>
    <w:lvl w:ilvl="0">
      <w:start w:val="1"/>
      <w:numFmt w:val="bullet"/>
      <w:lvlText w:val=""/>
      <w:lvlJc w:val="left"/>
      <w:pPr>
        <w:ind w:left="927" w:hanging="360"/>
      </w:pPr>
      <w:rPr>
        <w:rFonts w:ascii="Symbol" w:hAnsi="Symbol" w:hint="default"/>
        <w:b/>
      </w:rPr>
    </w:lvl>
    <w:lvl w:ilvl="1">
      <w:start w:val="1"/>
      <w:numFmt w:val="decimal"/>
      <w:lvlText w:val="5.%2."/>
      <w:lvlJc w:val="left"/>
      <w:pPr>
        <w:ind w:left="3551" w:hanging="432"/>
      </w:pPr>
      <w:rPr>
        <w:rFonts w:hint="default"/>
        <w:b w:val="0"/>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1" w15:restartNumberingAfterBreak="0">
    <w:nsid w:val="257F2563"/>
    <w:multiLevelType w:val="hybridMultilevel"/>
    <w:tmpl w:val="A42E2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E1B1027"/>
    <w:multiLevelType w:val="multilevel"/>
    <w:tmpl w:val="C96CC400"/>
    <w:lvl w:ilvl="0">
      <w:start w:val="1"/>
      <w:numFmt w:val="decimal"/>
      <w:lvlText w:val="%1."/>
      <w:lvlJc w:val="left"/>
      <w:pPr>
        <w:ind w:left="360" w:hanging="360"/>
      </w:pPr>
      <w:rPr>
        <w:rFonts w:hint="default"/>
        <w:b/>
      </w:rPr>
    </w:lvl>
    <w:lvl w:ilvl="1">
      <w:start w:val="1"/>
      <w:numFmt w:val="decimal"/>
      <w:lvlText w:val="5.%2."/>
      <w:lvlJc w:val="left"/>
      <w:pPr>
        <w:ind w:left="2984"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25D6433"/>
    <w:multiLevelType w:val="multilevel"/>
    <w:tmpl w:val="8348C260"/>
    <w:lvl w:ilvl="0">
      <w:start w:val="1"/>
      <w:numFmt w:val="bullet"/>
      <w:lvlText w:val=""/>
      <w:lvlJc w:val="left"/>
      <w:pPr>
        <w:ind w:left="927" w:hanging="360"/>
      </w:pPr>
      <w:rPr>
        <w:rFonts w:ascii="Symbol" w:hAnsi="Symbol" w:hint="default"/>
        <w:b/>
      </w:rPr>
    </w:lvl>
    <w:lvl w:ilvl="1">
      <w:start w:val="1"/>
      <w:numFmt w:val="decimal"/>
      <w:lvlText w:val="5.%2."/>
      <w:lvlJc w:val="left"/>
      <w:pPr>
        <w:ind w:left="3551" w:hanging="432"/>
      </w:pPr>
      <w:rPr>
        <w:rFonts w:hint="default"/>
        <w:b w:val="0"/>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4" w15:restartNumberingAfterBreak="0">
    <w:nsid w:val="39454C99"/>
    <w:multiLevelType w:val="multilevel"/>
    <w:tmpl w:val="CC4AAD3A"/>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D0B158E"/>
    <w:multiLevelType w:val="hybridMultilevel"/>
    <w:tmpl w:val="45AC6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04313FE"/>
    <w:multiLevelType w:val="hybridMultilevel"/>
    <w:tmpl w:val="1974F3C4"/>
    <w:lvl w:ilvl="0" w:tplc="C7466CD8">
      <w:start w:val="1"/>
      <w:numFmt w:val="lowerLetter"/>
      <w:lvlText w:val="(%1)"/>
      <w:lvlJc w:val="left"/>
      <w:pPr>
        <w:ind w:left="1512" w:hanging="360"/>
      </w:pPr>
      <w:rPr>
        <w:rFonts w:hint="default"/>
        <w:i w:val="0"/>
      </w:rPr>
    </w:lvl>
    <w:lvl w:ilvl="1" w:tplc="0C090019" w:tentative="1">
      <w:start w:val="1"/>
      <w:numFmt w:val="lowerLetter"/>
      <w:lvlText w:val="%2."/>
      <w:lvlJc w:val="left"/>
      <w:pPr>
        <w:ind w:left="2232" w:hanging="360"/>
      </w:pPr>
    </w:lvl>
    <w:lvl w:ilvl="2" w:tplc="0C09001B" w:tentative="1">
      <w:start w:val="1"/>
      <w:numFmt w:val="lowerRoman"/>
      <w:lvlText w:val="%3."/>
      <w:lvlJc w:val="right"/>
      <w:pPr>
        <w:ind w:left="2952" w:hanging="180"/>
      </w:pPr>
    </w:lvl>
    <w:lvl w:ilvl="3" w:tplc="0C09000F" w:tentative="1">
      <w:start w:val="1"/>
      <w:numFmt w:val="decimal"/>
      <w:lvlText w:val="%4."/>
      <w:lvlJc w:val="left"/>
      <w:pPr>
        <w:ind w:left="3672" w:hanging="360"/>
      </w:pPr>
    </w:lvl>
    <w:lvl w:ilvl="4" w:tplc="0C090019" w:tentative="1">
      <w:start w:val="1"/>
      <w:numFmt w:val="lowerLetter"/>
      <w:lvlText w:val="%5."/>
      <w:lvlJc w:val="left"/>
      <w:pPr>
        <w:ind w:left="4392" w:hanging="360"/>
      </w:pPr>
    </w:lvl>
    <w:lvl w:ilvl="5" w:tplc="0C09001B" w:tentative="1">
      <w:start w:val="1"/>
      <w:numFmt w:val="lowerRoman"/>
      <w:lvlText w:val="%6."/>
      <w:lvlJc w:val="right"/>
      <w:pPr>
        <w:ind w:left="5112" w:hanging="180"/>
      </w:pPr>
    </w:lvl>
    <w:lvl w:ilvl="6" w:tplc="0C09000F" w:tentative="1">
      <w:start w:val="1"/>
      <w:numFmt w:val="decimal"/>
      <w:lvlText w:val="%7."/>
      <w:lvlJc w:val="left"/>
      <w:pPr>
        <w:ind w:left="5832" w:hanging="360"/>
      </w:pPr>
    </w:lvl>
    <w:lvl w:ilvl="7" w:tplc="0C090019" w:tentative="1">
      <w:start w:val="1"/>
      <w:numFmt w:val="lowerLetter"/>
      <w:lvlText w:val="%8."/>
      <w:lvlJc w:val="left"/>
      <w:pPr>
        <w:ind w:left="6552" w:hanging="360"/>
      </w:pPr>
    </w:lvl>
    <w:lvl w:ilvl="8" w:tplc="0C09001B" w:tentative="1">
      <w:start w:val="1"/>
      <w:numFmt w:val="lowerRoman"/>
      <w:lvlText w:val="%9."/>
      <w:lvlJc w:val="right"/>
      <w:pPr>
        <w:ind w:left="7272" w:hanging="180"/>
      </w:pPr>
    </w:lvl>
  </w:abstractNum>
  <w:abstractNum w:abstractNumId="7" w15:restartNumberingAfterBreak="0">
    <w:nsid w:val="4C3C5359"/>
    <w:multiLevelType w:val="multilevel"/>
    <w:tmpl w:val="1BA4CE8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3CC7A48"/>
    <w:multiLevelType w:val="multilevel"/>
    <w:tmpl w:val="222C696E"/>
    <w:lvl w:ilvl="0">
      <w:start w:val="1"/>
      <w:numFmt w:val="decimal"/>
      <w:lvlText w:val="%1"/>
      <w:lvlJc w:val="left"/>
      <w:pPr>
        <w:ind w:left="360" w:hanging="360"/>
      </w:pPr>
      <w:rPr>
        <w:rFonts w:hint="default"/>
      </w:rPr>
    </w:lvl>
    <w:lvl w:ilvl="1">
      <w:start w:val="1"/>
      <w:numFmt w:val="decimal"/>
      <w:lvlText w:val="7.%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4493172"/>
    <w:multiLevelType w:val="hybridMultilevel"/>
    <w:tmpl w:val="421A4326"/>
    <w:lvl w:ilvl="0" w:tplc="9C38804A">
      <w:start w:val="1"/>
      <w:numFmt w:val="lowerLetter"/>
      <w:lvlText w:val="(%1)"/>
      <w:lvlJc w:val="left"/>
      <w:pPr>
        <w:ind w:left="927" w:hanging="360"/>
      </w:pPr>
      <w:rPr>
        <w:rFonts w:hint="default"/>
        <w:i w:val="0"/>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0" w15:restartNumberingAfterBreak="0">
    <w:nsid w:val="5D931CE9"/>
    <w:multiLevelType w:val="multilevel"/>
    <w:tmpl w:val="381E28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D675C9C"/>
    <w:multiLevelType w:val="multilevel"/>
    <w:tmpl w:val="21D43D3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DC9168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72F2000"/>
    <w:multiLevelType w:val="hybridMultilevel"/>
    <w:tmpl w:val="421A4326"/>
    <w:lvl w:ilvl="0" w:tplc="9C38804A">
      <w:start w:val="1"/>
      <w:numFmt w:val="lowerLetter"/>
      <w:lvlText w:val="(%1)"/>
      <w:lvlJc w:val="left"/>
      <w:pPr>
        <w:ind w:left="927" w:hanging="360"/>
      </w:pPr>
      <w:rPr>
        <w:rFonts w:hint="default"/>
        <w:i w:val="0"/>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4" w15:restartNumberingAfterBreak="0">
    <w:nsid w:val="7E4A3863"/>
    <w:multiLevelType w:val="multilevel"/>
    <w:tmpl w:val="E87204F8"/>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2"/>
  </w:num>
  <w:num w:numId="3">
    <w:abstractNumId w:val="12"/>
  </w:num>
  <w:num w:numId="4">
    <w:abstractNumId w:val="10"/>
  </w:num>
  <w:num w:numId="5">
    <w:abstractNumId w:val="6"/>
  </w:num>
  <w:num w:numId="6">
    <w:abstractNumId w:val="11"/>
  </w:num>
  <w:num w:numId="7">
    <w:abstractNumId w:val="5"/>
  </w:num>
  <w:num w:numId="8">
    <w:abstractNumId w:val="1"/>
  </w:num>
  <w:num w:numId="9">
    <w:abstractNumId w:val="14"/>
  </w:num>
  <w:num w:numId="10">
    <w:abstractNumId w:val="13"/>
  </w:num>
  <w:num w:numId="11">
    <w:abstractNumId w:val="9"/>
  </w:num>
  <w:num w:numId="12">
    <w:abstractNumId w:val="8"/>
  </w:num>
  <w:num w:numId="13">
    <w:abstractNumId w:val="4"/>
  </w:num>
  <w:num w:numId="14">
    <w:abstractNumId w:val="3"/>
  </w:num>
  <w:num w:numId="15">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A22"/>
    <w:rsid w:val="00005CB6"/>
    <w:rsid w:val="00013FFA"/>
    <w:rsid w:val="00037536"/>
    <w:rsid w:val="0004482A"/>
    <w:rsid w:val="00046FE1"/>
    <w:rsid w:val="00051399"/>
    <w:rsid w:val="0006225B"/>
    <w:rsid w:val="000A0B7A"/>
    <w:rsid w:val="000A1767"/>
    <w:rsid w:val="000B7636"/>
    <w:rsid w:val="000C5A7A"/>
    <w:rsid w:val="000D141A"/>
    <w:rsid w:val="000D5955"/>
    <w:rsid w:val="0011206D"/>
    <w:rsid w:val="00136914"/>
    <w:rsid w:val="0014273C"/>
    <w:rsid w:val="00146AF9"/>
    <w:rsid w:val="001664E9"/>
    <w:rsid w:val="001801A9"/>
    <w:rsid w:val="0019029B"/>
    <w:rsid w:val="001A0806"/>
    <w:rsid w:val="001B0334"/>
    <w:rsid w:val="001B0D1F"/>
    <w:rsid w:val="001E38D0"/>
    <w:rsid w:val="001F3BB9"/>
    <w:rsid w:val="00206D85"/>
    <w:rsid w:val="002160E7"/>
    <w:rsid w:val="002314FB"/>
    <w:rsid w:val="00261018"/>
    <w:rsid w:val="002637C0"/>
    <w:rsid w:val="0027471D"/>
    <w:rsid w:val="00293817"/>
    <w:rsid w:val="00297378"/>
    <w:rsid w:val="002C176F"/>
    <w:rsid w:val="002D1446"/>
    <w:rsid w:val="002D2517"/>
    <w:rsid w:val="002D7E21"/>
    <w:rsid w:val="002E2A76"/>
    <w:rsid w:val="003403FA"/>
    <w:rsid w:val="00354809"/>
    <w:rsid w:val="0037001D"/>
    <w:rsid w:val="003918BC"/>
    <w:rsid w:val="003D3488"/>
    <w:rsid w:val="003E479C"/>
    <w:rsid w:val="00407A22"/>
    <w:rsid w:val="00407BA7"/>
    <w:rsid w:val="004247BF"/>
    <w:rsid w:val="00431A76"/>
    <w:rsid w:val="00434444"/>
    <w:rsid w:val="00444D58"/>
    <w:rsid w:val="00446186"/>
    <w:rsid w:val="0046480A"/>
    <w:rsid w:val="0047438F"/>
    <w:rsid w:val="00484EBB"/>
    <w:rsid w:val="0049316B"/>
    <w:rsid w:val="004A738C"/>
    <w:rsid w:val="004C5A5D"/>
    <w:rsid w:val="00502613"/>
    <w:rsid w:val="00506659"/>
    <w:rsid w:val="005225D5"/>
    <w:rsid w:val="005231B0"/>
    <w:rsid w:val="00527D89"/>
    <w:rsid w:val="00540854"/>
    <w:rsid w:val="00545816"/>
    <w:rsid w:val="0054610A"/>
    <w:rsid w:val="0055261A"/>
    <w:rsid w:val="0055264E"/>
    <w:rsid w:val="00554AE6"/>
    <w:rsid w:val="00557C41"/>
    <w:rsid w:val="00561709"/>
    <w:rsid w:val="005D796E"/>
    <w:rsid w:val="005F0C1C"/>
    <w:rsid w:val="005F616E"/>
    <w:rsid w:val="00633CB7"/>
    <w:rsid w:val="00657F7F"/>
    <w:rsid w:val="006714CC"/>
    <w:rsid w:val="006977EF"/>
    <w:rsid w:val="006A115F"/>
    <w:rsid w:val="006A1DBF"/>
    <w:rsid w:val="006C6B79"/>
    <w:rsid w:val="006E1CD9"/>
    <w:rsid w:val="006E4F15"/>
    <w:rsid w:val="006F09F8"/>
    <w:rsid w:val="00730CB1"/>
    <w:rsid w:val="0073292F"/>
    <w:rsid w:val="007500F9"/>
    <w:rsid w:val="007810B6"/>
    <w:rsid w:val="007B0345"/>
    <w:rsid w:val="008000E9"/>
    <w:rsid w:val="00843AC4"/>
    <w:rsid w:val="00844E69"/>
    <w:rsid w:val="00852AD9"/>
    <w:rsid w:val="008A3765"/>
    <w:rsid w:val="008D0C03"/>
    <w:rsid w:val="008D2293"/>
    <w:rsid w:val="008D5AFC"/>
    <w:rsid w:val="00910984"/>
    <w:rsid w:val="00931A80"/>
    <w:rsid w:val="00935118"/>
    <w:rsid w:val="00935A1D"/>
    <w:rsid w:val="0098212E"/>
    <w:rsid w:val="00996510"/>
    <w:rsid w:val="009A5836"/>
    <w:rsid w:val="009A6C42"/>
    <w:rsid w:val="009A773C"/>
    <w:rsid w:val="009B0228"/>
    <w:rsid w:val="009B0A38"/>
    <w:rsid w:val="009B727B"/>
    <w:rsid w:val="009E518C"/>
    <w:rsid w:val="009E5957"/>
    <w:rsid w:val="009F1341"/>
    <w:rsid w:val="00A009FA"/>
    <w:rsid w:val="00A30550"/>
    <w:rsid w:val="00A55E32"/>
    <w:rsid w:val="00A66B7C"/>
    <w:rsid w:val="00A827DC"/>
    <w:rsid w:val="00A84AA3"/>
    <w:rsid w:val="00A96673"/>
    <w:rsid w:val="00A96FDA"/>
    <w:rsid w:val="00A97EF9"/>
    <w:rsid w:val="00AA34A9"/>
    <w:rsid w:val="00AC55A6"/>
    <w:rsid w:val="00AE3688"/>
    <w:rsid w:val="00AE39DF"/>
    <w:rsid w:val="00AF0981"/>
    <w:rsid w:val="00AF3B2B"/>
    <w:rsid w:val="00B139AC"/>
    <w:rsid w:val="00B3149A"/>
    <w:rsid w:val="00B32EE6"/>
    <w:rsid w:val="00BA57A0"/>
    <w:rsid w:val="00BA7F25"/>
    <w:rsid w:val="00BB37CA"/>
    <w:rsid w:val="00BC4C1C"/>
    <w:rsid w:val="00C10328"/>
    <w:rsid w:val="00C23952"/>
    <w:rsid w:val="00C60192"/>
    <w:rsid w:val="00C615E9"/>
    <w:rsid w:val="00C64831"/>
    <w:rsid w:val="00C7309C"/>
    <w:rsid w:val="00C77763"/>
    <w:rsid w:val="00C8485E"/>
    <w:rsid w:val="00C97990"/>
    <w:rsid w:val="00CA36A9"/>
    <w:rsid w:val="00CB40A3"/>
    <w:rsid w:val="00CB4E9B"/>
    <w:rsid w:val="00CC5A3B"/>
    <w:rsid w:val="00CE4BCB"/>
    <w:rsid w:val="00D21277"/>
    <w:rsid w:val="00D37413"/>
    <w:rsid w:val="00D50425"/>
    <w:rsid w:val="00D51865"/>
    <w:rsid w:val="00D547E1"/>
    <w:rsid w:val="00D73D41"/>
    <w:rsid w:val="00DA09F3"/>
    <w:rsid w:val="00DC6575"/>
    <w:rsid w:val="00DE2660"/>
    <w:rsid w:val="00DE511F"/>
    <w:rsid w:val="00DF6C2F"/>
    <w:rsid w:val="00E46F18"/>
    <w:rsid w:val="00E5484A"/>
    <w:rsid w:val="00EE36EA"/>
    <w:rsid w:val="00EF2555"/>
    <w:rsid w:val="00F0275F"/>
    <w:rsid w:val="00F05C5A"/>
    <w:rsid w:val="00F4471D"/>
    <w:rsid w:val="00F65E94"/>
    <w:rsid w:val="00F809EC"/>
    <w:rsid w:val="00F823BB"/>
    <w:rsid w:val="00F9524C"/>
    <w:rsid w:val="00FA1D47"/>
    <w:rsid w:val="00FD7BB1"/>
    <w:rsid w:val="00FE7E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1AB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07A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407A22"/>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next w:val="Normal"/>
    <w:link w:val="Heading3Char"/>
    <w:uiPriority w:val="9"/>
    <w:semiHidden/>
    <w:unhideWhenUsed/>
    <w:qFormat/>
    <w:rsid w:val="007329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A22"/>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407A22"/>
    <w:rPr>
      <w:rFonts w:ascii="Times New Roman" w:eastAsia="Times New Roman" w:hAnsi="Times New Roman" w:cs="Times New Roman"/>
      <w:b/>
      <w:bCs/>
      <w:sz w:val="36"/>
      <w:szCs w:val="36"/>
      <w:lang w:eastAsia="en-AU"/>
    </w:rPr>
  </w:style>
  <w:style w:type="paragraph" w:styleId="NormalWeb">
    <w:name w:val="Normal (Web)"/>
    <w:basedOn w:val="Normal"/>
    <w:unhideWhenUsed/>
    <w:rsid w:val="00407A2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407A22"/>
  </w:style>
  <w:style w:type="character" w:styleId="Hyperlink">
    <w:name w:val="Hyperlink"/>
    <w:basedOn w:val="DefaultParagraphFont"/>
    <w:unhideWhenUsed/>
    <w:rsid w:val="00407A22"/>
    <w:rPr>
      <w:color w:val="0000FF"/>
      <w:u w:val="single"/>
    </w:rPr>
  </w:style>
  <w:style w:type="character" w:styleId="Emphasis">
    <w:name w:val="Emphasis"/>
    <w:basedOn w:val="DefaultParagraphFont"/>
    <w:uiPriority w:val="20"/>
    <w:qFormat/>
    <w:rsid w:val="00407A22"/>
    <w:rPr>
      <w:i/>
      <w:iCs/>
    </w:rPr>
  </w:style>
  <w:style w:type="character" w:styleId="Strong">
    <w:name w:val="Strong"/>
    <w:basedOn w:val="DefaultParagraphFont"/>
    <w:uiPriority w:val="22"/>
    <w:qFormat/>
    <w:rsid w:val="00407A22"/>
    <w:rPr>
      <w:b/>
      <w:bCs/>
    </w:rPr>
  </w:style>
  <w:style w:type="paragraph" w:styleId="ListParagraph">
    <w:name w:val="List Paragraph"/>
    <w:basedOn w:val="Normal"/>
    <w:link w:val="ListParagraphChar"/>
    <w:uiPriority w:val="34"/>
    <w:qFormat/>
    <w:rsid w:val="00407A22"/>
    <w:pPr>
      <w:ind w:left="720"/>
      <w:contextualSpacing/>
    </w:pPr>
  </w:style>
  <w:style w:type="paragraph" w:styleId="BalloonText">
    <w:name w:val="Balloon Text"/>
    <w:basedOn w:val="Normal"/>
    <w:link w:val="BalloonTextChar"/>
    <w:uiPriority w:val="99"/>
    <w:semiHidden/>
    <w:unhideWhenUsed/>
    <w:rsid w:val="00407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A22"/>
    <w:rPr>
      <w:rFonts w:ascii="Tahoma" w:hAnsi="Tahoma" w:cs="Tahoma"/>
      <w:sz w:val="16"/>
      <w:szCs w:val="16"/>
    </w:rPr>
  </w:style>
  <w:style w:type="character" w:customStyle="1" w:styleId="Heading3Char">
    <w:name w:val="Heading 3 Char"/>
    <w:basedOn w:val="DefaultParagraphFont"/>
    <w:link w:val="Heading3"/>
    <w:uiPriority w:val="9"/>
    <w:semiHidden/>
    <w:rsid w:val="0073292F"/>
    <w:rPr>
      <w:rFonts w:asciiTheme="majorHAnsi" w:eastAsiaTheme="majorEastAsia" w:hAnsiTheme="majorHAnsi" w:cstheme="majorBidi"/>
      <w:b/>
      <w:bCs/>
      <w:color w:val="4F81BD" w:themeColor="accent1"/>
    </w:rPr>
  </w:style>
  <w:style w:type="paragraph" w:customStyle="1" w:styleId="Dimi05">
    <w:name w:val="Dimi 05"/>
    <w:basedOn w:val="Normal"/>
    <w:link w:val="Dimi05Char"/>
    <w:qFormat/>
    <w:rsid w:val="006E1CD9"/>
    <w:pPr>
      <w:spacing w:before="240" w:after="0" w:line="240" w:lineRule="auto"/>
      <w:contextualSpacing/>
    </w:pPr>
    <w:rPr>
      <w:rFonts w:eastAsia="Times New Roman" w:cs="Times New Roman"/>
      <w:sz w:val="24"/>
      <w:szCs w:val="24"/>
    </w:rPr>
  </w:style>
  <w:style w:type="character" w:customStyle="1" w:styleId="Dimi05Char">
    <w:name w:val="Dimi 05 Char"/>
    <w:basedOn w:val="DefaultParagraphFont"/>
    <w:link w:val="Dimi05"/>
    <w:rsid w:val="006E1CD9"/>
    <w:rPr>
      <w:rFonts w:eastAsia="Times New Roman" w:cs="Times New Roman"/>
      <w:sz w:val="24"/>
      <w:szCs w:val="24"/>
    </w:rPr>
  </w:style>
  <w:style w:type="character" w:customStyle="1" w:styleId="ListParagraphChar">
    <w:name w:val="List Paragraph Char"/>
    <w:basedOn w:val="DefaultParagraphFont"/>
    <w:link w:val="ListParagraph"/>
    <w:uiPriority w:val="34"/>
    <w:rsid w:val="00D50425"/>
  </w:style>
  <w:style w:type="paragraph" w:styleId="Header">
    <w:name w:val="header"/>
    <w:basedOn w:val="Normal"/>
    <w:link w:val="HeaderChar"/>
    <w:uiPriority w:val="99"/>
    <w:unhideWhenUsed/>
    <w:rsid w:val="009B72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727B"/>
  </w:style>
  <w:style w:type="paragraph" w:styleId="Footer">
    <w:name w:val="footer"/>
    <w:basedOn w:val="Normal"/>
    <w:link w:val="FooterChar"/>
    <w:uiPriority w:val="99"/>
    <w:unhideWhenUsed/>
    <w:rsid w:val="009B72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727B"/>
  </w:style>
  <w:style w:type="character" w:styleId="PageNumber">
    <w:name w:val="page number"/>
    <w:basedOn w:val="DefaultParagraphFont"/>
    <w:uiPriority w:val="99"/>
    <w:semiHidden/>
    <w:unhideWhenUsed/>
    <w:rsid w:val="009B7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360532">
      <w:bodyDiv w:val="1"/>
      <w:marLeft w:val="0"/>
      <w:marRight w:val="0"/>
      <w:marTop w:val="0"/>
      <w:marBottom w:val="0"/>
      <w:divBdr>
        <w:top w:val="none" w:sz="0" w:space="0" w:color="auto"/>
        <w:left w:val="none" w:sz="0" w:space="0" w:color="auto"/>
        <w:bottom w:val="none" w:sz="0" w:space="0" w:color="auto"/>
        <w:right w:val="none" w:sz="0" w:space="0" w:color="auto"/>
      </w:divBdr>
      <w:divsChild>
        <w:div w:id="1620337385">
          <w:marLeft w:val="0"/>
          <w:marRight w:val="0"/>
          <w:marTop w:val="0"/>
          <w:marBottom w:val="0"/>
          <w:divBdr>
            <w:top w:val="none" w:sz="0" w:space="0" w:color="auto"/>
            <w:left w:val="none" w:sz="0" w:space="0" w:color="auto"/>
            <w:bottom w:val="none" w:sz="0" w:space="0" w:color="auto"/>
            <w:right w:val="none" w:sz="0" w:space="0" w:color="auto"/>
          </w:divBdr>
          <w:divsChild>
            <w:div w:id="87508826">
              <w:marLeft w:val="0"/>
              <w:marRight w:val="0"/>
              <w:marTop w:val="0"/>
              <w:marBottom w:val="0"/>
              <w:divBdr>
                <w:top w:val="none" w:sz="0" w:space="0" w:color="auto"/>
                <w:left w:val="none" w:sz="0" w:space="0" w:color="auto"/>
                <w:bottom w:val="none" w:sz="0" w:space="0" w:color="auto"/>
                <w:right w:val="none" w:sz="0" w:space="0" w:color="auto"/>
              </w:divBdr>
              <w:divsChild>
                <w:div w:id="927007631">
                  <w:marLeft w:val="0"/>
                  <w:marRight w:val="0"/>
                  <w:marTop w:val="0"/>
                  <w:marBottom w:val="0"/>
                  <w:divBdr>
                    <w:top w:val="none" w:sz="0" w:space="0" w:color="auto"/>
                    <w:left w:val="none" w:sz="0" w:space="0" w:color="auto"/>
                    <w:bottom w:val="none" w:sz="0" w:space="0" w:color="auto"/>
                    <w:right w:val="none" w:sz="0" w:space="0" w:color="auto"/>
                  </w:divBdr>
                  <w:divsChild>
                    <w:div w:id="2085300652">
                      <w:marLeft w:val="0"/>
                      <w:marRight w:val="0"/>
                      <w:marTop w:val="0"/>
                      <w:marBottom w:val="0"/>
                      <w:divBdr>
                        <w:top w:val="none" w:sz="0" w:space="0" w:color="auto"/>
                        <w:left w:val="none" w:sz="0" w:space="0" w:color="auto"/>
                        <w:bottom w:val="none" w:sz="0" w:space="0" w:color="auto"/>
                        <w:right w:val="none" w:sz="0" w:space="0" w:color="auto"/>
                      </w:divBdr>
                      <w:divsChild>
                        <w:div w:id="2052916297">
                          <w:marLeft w:val="0"/>
                          <w:marRight w:val="0"/>
                          <w:marTop w:val="0"/>
                          <w:marBottom w:val="0"/>
                          <w:divBdr>
                            <w:top w:val="none" w:sz="0" w:space="0" w:color="auto"/>
                            <w:left w:val="none" w:sz="0" w:space="0" w:color="auto"/>
                            <w:bottom w:val="none" w:sz="0" w:space="0" w:color="auto"/>
                            <w:right w:val="none" w:sz="0" w:space="0" w:color="auto"/>
                          </w:divBdr>
                          <w:divsChild>
                            <w:div w:id="249587168">
                              <w:marLeft w:val="0"/>
                              <w:marRight w:val="0"/>
                              <w:marTop w:val="0"/>
                              <w:marBottom w:val="0"/>
                              <w:divBdr>
                                <w:top w:val="none" w:sz="0" w:space="0" w:color="auto"/>
                                <w:left w:val="none" w:sz="0" w:space="0" w:color="auto"/>
                                <w:bottom w:val="none" w:sz="0" w:space="0" w:color="auto"/>
                                <w:right w:val="none" w:sz="0" w:space="0" w:color="auto"/>
                              </w:divBdr>
                              <w:divsChild>
                                <w:div w:id="2141265332">
                                  <w:marLeft w:val="0"/>
                                  <w:marRight w:val="0"/>
                                  <w:marTop w:val="0"/>
                                  <w:marBottom w:val="0"/>
                                  <w:divBdr>
                                    <w:top w:val="none" w:sz="0" w:space="0" w:color="auto"/>
                                    <w:left w:val="none" w:sz="0" w:space="0" w:color="auto"/>
                                    <w:bottom w:val="none" w:sz="0" w:space="0" w:color="auto"/>
                                    <w:right w:val="none" w:sz="0" w:space="0" w:color="auto"/>
                                  </w:divBdr>
                                  <w:divsChild>
                                    <w:div w:id="134004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9352686">
      <w:bodyDiv w:val="1"/>
      <w:marLeft w:val="0"/>
      <w:marRight w:val="0"/>
      <w:marTop w:val="0"/>
      <w:marBottom w:val="0"/>
      <w:divBdr>
        <w:top w:val="none" w:sz="0" w:space="0" w:color="auto"/>
        <w:left w:val="none" w:sz="0" w:space="0" w:color="auto"/>
        <w:bottom w:val="none" w:sz="0" w:space="0" w:color="auto"/>
        <w:right w:val="none" w:sz="0" w:space="0" w:color="auto"/>
      </w:divBdr>
      <w:divsChild>
        <w:div w:id="724723806">
          <w:marLeft w:val="0"/>
          <w:marRight w:val="0"/>
          <w:marTop w:val="0"/>
          <w:marBottom w:val="0"/>
          <w:divBdr>
            <w:top w:val="none" w:sz="0" w:space="0" w:color="auto"/>
            <w:left w:val="none" w:sz="0" w:space="0" w:color="auto"/>
            <w:bottom w:val="none" w:sz="0" w:space="0" w:color="auto"/>
            <w:right w:val="none" w:sz="0" w:space="0" w:color="auto"/>
          </w:divBdr>
          <w:divsChild>
            <w:div w:id="12222537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12908">
      <w:bodyDiv w:val="1"/>
      <w:marLeft w:val="0"/>
      <w:marRight w:val="0"/>
      <w:marTop w:val="0"/>
      <w:marBottom w:val="0"/>
      <w:divBdr>
        <w:top w:val="none" w:sz="0" w:space="0" w:color="auto"/>
        <w:left w:val="none" w:sz="0" w:space="0" w:color="auto"/>
        <w:bottom w:val="none" w:sz="0" w:space="0" w:color="auto"/>
        <w:right w:val="none" w:sz="0" w:space="0" w:color="auto"/>
      </w:divBdr>
      <w:divsChild>
        <w:div w:id="917010600">
          <w:marLeft w:val="0"/>
          <w:marRight w:val="0"/>
          <w:marTop w:val="0"/>
          <w:marBottom w:val="0"/>
          <w:divBdr>
            <w:top w:val="none" w:sz="0" w:space="0" w:color="auto"/>
            <w:left w:val="none" w:sz="0" w:space="0" w:color="auto"/>
            <w:bottom w:val="none" w:sz="0" w:space="0" w:color="auto"/>
            <w:right w:val="none" w:sz="0" w:space="0" w:color="auto"/>
          </w:divBdr>
          <w:divsChild>
            <w:div w:id="1737626076">
              <w:marLeft w:val="0"/>
              <w:marRight w:val="0"/>
              <w:marTop w:val="0"/>
              <w:marBottom w:val="0"/>
              <w:divBdr>
                <w:top w:val="none" w:sz="0" w:space="0" w:color="auto"/>
                <w:left w:val="none" w:sz="0" w:space="0" w:color="auto"/>
                <w:bottom w:val="none" w:sz="0" w:space="0" w:color="auto"/>
                <w:right w:val="none" w:sz="0" w:space="0" w:color="auto"/>
              </w:divBdr>
              <w:divsChild>
                <w:div w:id="1928731229">
                  <w:marLeft w:val="0"/>
                  <w:marRight w:val="0"/>
                  <w:marTop w:val="0"/>
                  <w:marBottom w:val="0"/>
                  <w:divBdr>
                    <w:top w:val="none" w:sz="0" w:space="0" w:color="auto"/>
                    <w:left w:val="none" w:sz="0" w:space="0" w:color="auto"/>
                    <w:bottom w:val="none" w:sz="0" w:space="0" w:color="auto"/>
                    <w:right w:val="none" w:sz="0" w:space="0" w:color="auto"/>
                  </w:divBdr>
                  <w:divsChild>
                    <w:div w:id="998774859">
                      <w:marLeft w:val="0"/>
                      <w:marRight w:val="0"/>
                      <w:marTop w:val="0"/>
                      <w:marBottom w:val="0"/>
                      <w:divBdr>
                        <w:top w:val="none" w:sz="0" w:space="0" w:color="auto"/>
                        <w:left w:val="none" w:sz="0" w:space="0" w:color="auto"/>
                        <w:bottom w:val="none" w:sz="0" w:space="0" w:color="auto"/>
                        <w:right w:val="none" w:sz="0" w:space="0" w:color="auto"/>
                      </w:divBdr>
                      <w:divsChild>
                        <w:div w:id="41249914">
                          <w:marLeft w:val="0"/>
                          <w:marRight w:val="0"/>
                          <w:marTop w:val="0"/>
                          <w:marBottom w:val="0"/>
                          <w:divBdr>
                            <w:top w:val="none" w:sz="0" w:space="0" w:color="auto"/>
                            <w:left w:val="none" w:sz="0" w:space="0" w:color="auto"/>
                            <w:bottom w:val="none" w:sz="0" w:space="0" w:color="auto"/>
                            <w:right w:val="none" w:sz="0" w:space="0" w:color="auto"/>
                          </w:divBdr>
                          <w:divsChild>
                            <w:div w:id="456335342">
                              <w:marLeft w:val="0"/>
                              <w:marRight w:val="0"/>
                              <w:marTop w:val="0"/>
                              <w:marBottom w:val="0"/>
                              <w:divBdr>
                                <w:top w:val="none" w:sz="0" w:space="0" w:color="auto"/>
                                <w:left w:val="none" w:sz="0" w:space="0" w:color="auto"/>
                                <w:bottom w:val="none" w:sz="0" w:space="0" w:color="auto"/>
                                <w:right w:val="none" w:sz="0" w:space="0" w:color="auto"/>
                              </w:divBdr>
                              <w:divsChild>
                                <w:div w:id="1357922132">
                                  <w:marLeft w:val="0"/>
                                  <w:marRight w:val="0"/>
                                  <w:marTop w:val="0"/>
                                  <w:marBottom w:val="0"/>
                                  <w:divBdr>
                                    <w:top w:val="none" w:sz="0" w:space="0" w:color="auto"/>
                                    <w:left w:val="none" w:sz="0" w:space="0" w:color="auto"/>
                                    <w:bottom w:val="none" w:sz="0" w:space="0" w:color="auto"/>
                                    <w:right w:val="none" w:sz="0" w:space="0" w:color="auto"/>
                                  </w:divBdr>
                                  <w:divsChild>
                                    <w:div w:id="17564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egislation.gov.au/Series/C2004A01586" TargetMode="External"/><Relationship Id="rId18" Type="http://schemas.openxmlformats.org/officeDocument/2006/relationships/hyperlink" Target="https://www.fedcourt.gov.au/law-and-practice/guides/guides-bankruptcy/REGISTRARS-BANKRUPTCY-MATTERS-STANDARD-ORDERS-1-June-2016-3.docx" TargetMode="External"/><Relationship Id="rId26" Type="http://schemas.openxmlformats.org/officeDocument/2006/relationships/hyperlink" Target="http://www.fedcourt.gov.au/law-and-practice/guides/guides-bankruptcy/information-sheet-6"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fedcourt.gov.au/law-and-practice/guides/guides-bankruptcy/guide" TargetMode="External"/><Relationship Id="rId34" Type="http://schemas.openxmlformats.org/officeDocument/2006/relationships/hyperlink" Target="http://www.fedcourt.gov.au/online-services/elodgment"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mlaw.gov.au/ComLaw/Legislation/LegislativeInstrumentCompilation1.nsf/current/bytitle/43D3CF86890B290FCA25730800359128?OpenDocument&amp;mostrecent=1" TargetMode="External"/><Relationship Id="rId17" Type="http://schemas.openxmlformats.org/officeDocument/2006/relationships/hyperlink" Target="http://www.fedcourt.gov.au/forms-and-fees/forms/bankruptcy-rules" TargetMode="External"/><Relationship Id="rId25" Type="http://schemas.openxmlformats.org/officeDocument/2006/relationships/hyperlink" Target="https://www.fedcourt.gov.au/law-and-practice/guides/guides-bankruptcy/information-sheet-4/_nocache" TargetMode="External"/><Relationship Id="rId33" Type="http://schemas.openxmlformats.org/officeDocument/2006/relationships/hyperlink" Target="https://www.elodgment.fedcourt.gov.au/eLodgment/Register.aspx?ref=eCourtroom" TargetMode="External"/><Relationship Id="rId38" Type="http://schemas.openxmlformats.org/officeDocument/2006/relationships/hyperlink" Target="http://www.fedcourt.gov.au/online-services/federal-law-search" TargetMode="External"/><Relationship Id="rId2" Type="http://schemas.openxmlformats.org/officeDocument/2006/relationships/numbering" Target="numbering.xml"/><Relationship Id="rId16" Type="http://schemas.openxmlformats.org/officeDocument/2006/relationships/hyperlink" Target="http://www.fedcourt.gov.au/forms-and-fees/forms/bankruptcy-rules" TargetMode="External"/><Relationship Id="rId20" Type="http://schemas.openxmlformats.org/officeDocument/2006/relationships/hyperlink" Target="http://www.fedcourt.gov.au/forms-and-fees/forms/federal-court-rules" TargetMode="External"/><Relationship Id="rId29" Type="http://schemas.openxmlformats.org/officeDocument/2006/relationships/hyperlink" Target="http://www.lawright.org.a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au/Series/F2021L00261" TargetMode="External"/><Relationship Id="rId24" Type="http://schemas.openxmlformats.org/officeDocument/2006/relationships/hyperlink" Target="http://www.fedcourt.gov.au/law-and-practice/guides/guides-bankruptcy/information-sheet-3" TargetMode="External"/><Relationship Id="rId32" Type="http://schemas.openxmlformats.org/officeDocument/2006/relationships/hyperlink" Target="https://www.afsa.gov.au/insolvency" TargetMode="External"/><Relationship Id="rId37" Type="http://schemas.openxmlformats.org/officeDocument/2006/relationships/hyperlink" Target="https://www.fedcourt.gov.au/online-services"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legislation.gov.au/Series/F2021L00261" TargetMode="External"/><Relationship Id="rId23" Type="http://schemas.openxmlformats.org/officeDocument/2006/relationships/hyperlink" Target="http://www.fedcourt.gov.au/law-and-practice/guides/guides-bankruptcy/information-sheet-2" TargetMode="External"/><Relationship Id="rId28" Type="http://schemas.openxmlformats.org/officeDocument/2006/relationships/hyperlink" Target="https://www.fedcourt.gov.au/contact" TargetMode="External"/><Relationship Id="rId36" Type="http://schemas.openxmlformats.org/officeDocument/2006/relationships/hyperlink" Target="http://www.fedcourt.gov.au/online-services/commonwealth-courts-portal" TargetMode="External"/><Relationship Id="rId10" Type="http://schemas.openxmlformats.org/officeDocument/2006/relationships/hyperlink" Target="https://www.legislation.gov.au/Series/F2016L00386" TargetMode="External"/><Relationship Id="rId19" Type="http://schemas.openxmlformats.org/officeDocument/2006/relationships/hyperlink" Target="http://www.fedcourt.gov.au/forms-and-fees/forms/bankruptcy-rules" TargetMode="External"/><Relationship Id="rId31" Type="http://schemas.openxmlformats.org/officeDocument/2006/relationships/hyperlink" Target="https://financialrights.org.au/factsheets/help-im-being-made-bankrupt-factsheet/" TargetMode="External"/><Relationship Id="rId4" Type="http://schemas.openxmlformats.org/officeDocument/2006/relationships/settings" Target="settings.xml"/><Relationship Id="rId9" Type="http://schemas.openxmlformats.org/officeDocument/2006/relationships/hyperlink" Target="https://www.legislation.gov.au/Series/C1966A00033" TargetMode="External"/><Relationship Id="rId14" Type="http://schemas.openxmlformats.org/officeDocument/2006/relationships/hyperlink" Target="https://www.legislation.gov.au/Series/F2011L01551" TargetMode="External"/><Relationship Id="rId22" Type="http://schemas.openxmlformats.org/officeDocument/2006/relationships/hyperlink" Target="http://www.fedcourt.gov.au/law-and-practice/guides/guides-bankruptcy/information-sheet-1" TargetMode="External"/><Relationship Id="rId27" Type="http://schemas.openxmlformats.org/officeDocument/2006/relationships/hyperlink" Target="https://www.fedcourt.gov.au/going-to-court/i-am-a-party" TargetMode="External"/><Relationship Id="rId30" Type="http://schemas.openxmlformats.org/officeDocument/2006/relationships/hyperlink" Target="http://www.justiceconnect.org.au/get-help/self-representation-service/resources-and-fact-sheets/bankruptcy-factsheets" TargetMode="External"/><Relationship Id="rId35" Type="http://schemas.openxmlformats.org/officeDocument/2006/relationships/hyperlink" Target="http://www.fedcourt.gov.au/online-services/ecourtro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53304-B436-4178-8263-EF3BD7289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2548</Words>
  <Characters>14198</Characters>
  <Application>Microsoft Office Word</Application>
  <DocSecurity>0</DocSecurity>
  <Lines>262</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2021-12-11T04:50:00Z</dcterms:created>
  <dcterms:modified xsi:type="dcterms:W3CDTF">2022-07-26T07:54:00Z</dcterms:modified>
</cp:coreProperties>
</file>