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FA" w:rsidRDefault="001C23FA" w:rsidP="00281287">
      <w:pPr>
        <w:pStyle w:val="ListParagraph"/>
        <w:spacing w:after="0"/>
        <w:ind w:left="360"/>
        <w:jc w:val="center"/>
        <w:outlineLvl w:val="0"/>
        <w:rPr>
          <w:rFonts w:eastAsia="Times New Roman" w:cs="Times New Roman"/>
          <w:b/>
          <w:kern w:val="36"/>
          <w:sz w:val="44"/>
          <w:szCs w:val="44"/>
          <w:lang w:val="en-US" w:eastAsia="en-AU"/>
        </w:rPr>
      </w:pPr>
      <w:r>
        <w:rPr>
          <w:noProof/>
          <w:lang w:eastAsia="en-AU"/>
        </w:rPr>
        <w:drawing>
          <wp:inline distT="0" distB="0" distL="0" distR="0" wp14:anchorId="4555FFF9" wp14:editId="1ACC0B83">
            <wp:extent cx="2277110" cy="517525"/>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1344" t="5076" r="1344" b="5076"/>
                    <a:stretch/>
                  </pic:blipFill>
                  <pic:spPr bwMode="auto">
                    <a:xfrm>
                      <a:off x="0" y="0"/>
                      <a:ext cx="2277110" cy="517525"/>
                    </a:xfrm>
                    <a:prstGeom prst="rect">
                      <a:avLst/>
                    </a:prstGeom>
                    <a:noFill/>
                    <a:ln>
                      <a:noFill/>
                    </a:ln>
                  </pic:spPr>
                </pic:pic>
              </a:graphicData>
            </a:graphic>
          </wp:inline>
        </w:drawing>
      </w:r>
    </w:p>
    <w:p w:rsidR="001C23FA" w:rsidRDefault="001C23FA" w:rsidP="00281287">
      <w:pPr>
        <w:pStyle w:val="ListParagraph"/>
        <w:spacing w:after="0"/>
        <w:ind w:left="360"/>
        <w:jc w:val="center"/>
        <w:outlineLvl w:val="0"/>
        <w:rPr>
          <w:rFonts w:eastAsia="Times New Roman" w:cs="Times New Roman"/>
          <w:b/>
          <w:kern w:val="36"/>
          <w:sz w:val="44"/>
          <w:szCs w:val="44"/>
          <w:lang w:val="en-US" w:eastAsia="en-AU"/>
        </w:rPr>
      </w:pPr>
    </w:p>
    <w:p w:rsidR="00281287" w:rsidRPr="00281287" w:rsidRDefault="00281287" w:rsidP="00281287">
      <w:pPr>
        <w:pStyle w:val="ListParagraph"/>
        <w:spacing w:after="0"/>
        <w:ind w:left="360"/>
        <w:jc w:val="center"/>
        <w:outlineLvl w:val="0"/>
        <w:rPr>
          <w:rFonts w:eastAsia="Times New Roman" w:cs="Times New Roman"/>
          <w:b/>
          <w:kern w:val="36"/>
          <w:sz w:val="44"/>
          <w:szCs w:val="44"/>
          <w:lang w:val="en-US" w:eastAsia="en-AU"/>
        </w:rPr>
      </w:pPr>
      <w:r w:rsidRPr="00281287">
        <w:rPr>
          <w:rFonts w:eastAsia="Times New Roman" w:cs="Times New Roman"/>
          <w:b/>
          <w:kern w:val="36"/>
          <w:sz w:val="44"/>
          <w:szCs w:val="44"/>
          <w:lang w:val="en-US" w:eastAsia="en-AU"/>
        </w:rPr>
        <w:t xml:space="preserve">Bankruptcy </w:t>
      </w:r>
      <w:r w:rsidR="00895DE3">
        <w:rPr>
          <w:rFonts w:eastAsia="Times New Roman" w:cs="Times New Roman"/>
          <w:b/>
          <w:kern w:val="36"/>
          <w:sz w:val="44"/>
          <w:szCs w:val="44"/>
          <w:lang w:val="en-US" w:eastAsia="en-AU"/>
        </w:rPr>
        <w:t>Info</w:t>
      </w:r>
      <w:r w:rsidR="00004207">
        <w:rPr>
          <w:rFonts w:eastAsia="Times New Roman" w:cs="Times New Roman"/>
          <w:b/>
          <w:kern w:val="36"/>
          <w:sz w:val="44"/>
          <w:szCs w:val="44"/>
          <w:lang w:val="en-US" w:eastAsia="en-AU"/>
        </w:rPr>
        <w:t>rmation</w:t>
      </w:r>
      <w:r w:rsidRPr="00281287">
        <w:rPr>
          <w:rFonts w:eastAsia="Times New Roman" w:cs="Times New Roman"/>
          <w:b/>
          <w:kern w:val="36"/>
          <w:sz w:val="44"/>
          <w:szCs w:val="44"/>
          <w:lang w:val="en-US" w:eastAsia="en-AU"/>
        </w:rPr>
        <w:t xml:space="preserve"> Sheet </w:t>
      </w:r>
      <w:r w:rsidR="00647655">
        <w:rPr>
          <w:rFonts w:eastAsia="Times New Roman" w:cs="Times New Roman"/>
          <w:b/>
          <w:kern w:val="36"/>
          <w:sz w:val="44"/>
          <w:szCs w:val="44"/>
          <w:lang w:val="en-US" w:eastAsia="en-AU"/>
        </w:rPr>
        <w:t>4</w:t>
      </w:r>
      <w:r w:rsidRPr="00281287">
        <w:rPr>
          <w:rFonts w:eastAsia="Times New Roman" w:cs="Times New Roman"/>
          <w:b/>
          <w:kern w:val="36"/>
          <w:sz w:val="44"/>
          <w:szCs w:val="44"/>
          <w:lang w:val="en-US" w:eastAsia="en-AU"/>
        </w:rPr>
        <w:t>:</w:t>
      </w:r>
    </w:p>
    <w:p w:rsidR="00281287" w:rsidRPr="00281287" w:rsidRDefault="00105CAA" w:rsidP="00281287">
      <w:pPr>
        <w:pStyle w:val="ListParagraph"/>
        <w:spacing w:after="0"/>
        <w:ind w:left="360"/>
        <w:jc w:val="center"/>
        <w:outlineLvl w:val="0"/>
        <w:rPr>
          <w:rFonts w:eastAsia="Times New Roman" w:cs="Times New Roman"/>
          <w:b/>
          <w:kern w:val="36"/>
          <w:sz w:val="44"/>
          <w:szCs w:val="44"/>
          <w:lang w:val="en-US" w:eastAsia="en-AU"/>
        </w:rPr>
      </w:pPr>
      <w:r>
        <w:rPr>
          <w:rFonts w:eastAsia="Times New Roman" w:cs="Times New Roman"/>
          <w:b/>
          <w:kern w:val="36"/>
          <w:sz w:val="44"/>
          <w:szCs w:val="44"/>
          <w:lang w:val="en-US" w:eastAsia="en-AU"/>
        </w:rPr>
        <w:t>Setting a</w:t>
      </w:r>
      <w:r w:rsidR="00845C9E">
        <w:rPr>
          <w:rFonts w:eastAsia="Times New Roman" w:cs="Times New Roman"/>
          <w:b/>
          <w:kern w:val="36"/>
          <w:sz w:val="44"/>
          <w:szCs w:val="44"/>
          <w:lang w:val="en-US" w:eastAsia="en-AU"/>
        </w:rPr>
        <w:t xml:space="preserve">side a </w:t>
      </w:r>
      <w:r w:rsidR="00845C9E" w:rsidRPr="00281287">
        <w:rPr>
          <w:rFonts w:eastAsia="Times New Roman" w:cs="Times New Roman"/>
          <w:b/>
          <w:kern w:val="36"/>
          <w:sz w:val="44"/>
          <w:szCs w:val="44"/>
          <w:lang w:val="en-US" w:eastAsia="en-AU"/>
        </w:rPr>
        <w:t xml:space="preserve">Bankruptcy Notice </w:t>
      </w:r>
    </w:p>
    <w:p w:rsidR="00A259D7" w:rsidRPr="00281287" w:rsidRDefault="00A259D7" w:rsidP="0056690B">
      <w:pPr>
        <w:pStyle w:val="Heading1"/>
        <w:spacing w:after="0" w:line="276" w:lineRule="auto"/>
        <w:jc w:val="both"/>
        <w:rPr>
          <w:rFonts w:asciiTheme="minorHAnsi" w:hAnsiTheme="minorHAnsi"/>
          <w:sz w:val="24"/>
          <w:szCs w:val="24"/>
        </w:rPr>
      </w:pPr>
    </w:p>
    <w:p w:rsidR="00281287" w:rsidRPr="00794560" w:rsidRDefault="00281287" w:rsidP="00E353F6">
      <w:pPr>
        <w:spacing w:line="240" w:lineRule="auto"/>
        <w:jc w:val="both"/>
        <w:rPr>
          <w:rFonts w:cs="Times New Roman"/>
          <w:b/>
          <w:sz w:val="28"/>
          <w:szCs w:val="28"/>
        </w:rPr>
      </w:pPr>
      <w:r w:rsidRPr="00794560">
        <w:rPr>
          <w:rFonts w:cs="Times New Roman"/>
          <w:b/>
          <w:sz w:val="28"/>
          <w:szCs w:val="28"/>
        </w:rPr>
        <w:t xml:space="preserve">About this </w:t>
      </w:r>
      <w:r w:rsidR="003A531C">
        <w:rPr>
          <w:rFonts w:cs="Times New Roman"/>
          <w:b/>
          <w:sz w:val="28"/>
          <w:szCs w:val="28"/>
        </w:rPr>
        <w:t>i</w:t>
      </w:r>
      <w:r w:rsidR="00895DE3">
        <w:rPr>
          <w:rFonts w:cs="Times New Roman"/>
          <w:b/>
          <w:sz w:val="28"/>
          <w:szCs w:val="28"/>
        </w:rPr>
        <w:t>nfo</w:t>
      </w:r>
      <w:r w:rsidR="00004207">
        <w:rPr>
          <w:rFonts w:cs="Times New Roman"/>
          <w:b/>
          <w:sz w:val="28"/>
          <w:szCs w:val="28"/>
        </w:rPr>
        <w:t>rmation</w:t>
      </w:r>
      <w:r w:rsidR="003A531C">
        <w:rPr>
          <w:rFonts w:cs="Times New Roman"/>
          <w:b/>
          <w:sz w:val="28"/>
          <w:szCs w:val="28"/>
        </w:rPr>
        <w:t xml:space="preserve"> s</w:t>
      </w:r>
      <w:r w:rsidRPr="00794560">
        <w:rPr>
          <w:rFonts w:cs="Times New Roman"/>
          <w:b/>
          <w:sz w:val="28"/>
          <w:szCs w:val="28"/>
        </w:rPr>
        <w:t xml:space="preserve">heet </w:t>
      </w:r>
    </w:p>
    <w:p w:rsidR="00DD5808" w:rsidRDefault="00A259D7" w:rsidP="00E353F6">
      <w:pPr>
        <w:spacing w:after="240"/>
        <w:jc w:val="both"/>
        <w:rPr>
          <w:rFonts w:cs="Times New Roman"/>
          <w:sz w:val="24"/>
          <w:szCs w:val="24"/>
        </w:rPr>
      </w:pPr>
      <w:r w:rsidRPr="00281287">
        <w:rPr>
          <w:rFonts w:cs="Times New Roman"/>
          <w:sz w:val="24"/>
          <w:szCs w:val="24"/>
        </w:rPr>
        <w:t xml:space="preserve">This </w:t>
      </w:r>
      <w:r w:rsidR="00351BE2">
        <w:rPr>
          <w:rFonts w:cs="Times New Roman"/>
          <w:sz w:val="24"/>
          <w:szCs w:val="24"/>
        </w:rPr>
        <w:t>i</w:t>
      </w:r>
      <w:r w:rsidR="00895DE3">
        <w:rPr>
          <w:rFonts w:cs="Times New Roman"/>
          <w:sz w:val="24"/>
          <w:szCs w:val="24"/>
        </w:rPr>
        <w:t>nfo</w:t>
      </w:r>
      <w:r w:rsidR="00004207">
        <w:rPr>
          <w:rFonts w:cs="Times New Roman"/>
          <w:sz w:val="24"/>
          <w:szCs w:val="24"/>
        </w:rPr>
        <w:t>rmation</w:t>
      </w:r>
      <w:r w:rsidR="00351BE2">
        <w:rPr>
          <w:rFonts w:cs="Times New Roman"/>
          <w:sz w:val="24"/>
          <w:szCs w:val="24"/>
        </w:rPr>
        <w:t xml:space="preserve"> s</w:t>
      </w:r>
      <w:r w:rsidRPr="00281287">
        <w:rPr>
          <w:rFonts w:cs="Times New Roman"/>
          <w:sz w:val="24"/>
          <w:szCs w:val="24"/>
        </w:rPr>
        <w:t xml:space="preserve">heet </w:t>
      </w:r>
      <w:r w:rsidR="00DB1460" w:rsidRPr="00281287">
        <w:rPr>
          <w:rFonts w:cs="Times New Roman"/>
          <w:sz w:val="24"/>
          <w:szCs w:val="24"/>
        </w:rPr>
        <w:t xml:space="preserve">sets out general information on how to apply to the Court to set aside </w:t>
      </w:r>
      <w:r w:rsidR="00905EDF" w:rsidRPr="00281287">
        <w:rPr>
          <w:rFonts w:cs="Times New Roman"/>
          <w:sz w:val="24"/>
          <w:szCs w:val="24"/>
        </w:rPr>
        <w:t>and/</w:t>
      </w:r>
      <w:r w:rsidR="001B7834" w:rsidRPr="00281287">
        <w:rPr>
          <w:rFonts w:cs="Times New Roman"/>
          <w:sz w:val="24"/>
          <w:szCs w:val="24"/>
        </w:rPr>
        <w:t xml:space="preserve">or extend time for compliance with </w:t>
      </w:r>
      <w:r w:rsidR="00DB1460" w:rsidRPr="00281287">
        <w:rPr>
          <w:rFonts w:cs="Times New Roman"/>
          <w:sz w:val="24"/>
          <w:szCs w:val="24"/>
        </w:rPr>
        <w:t xml:space="preserve">a </w:t>
      </w:r>
      <w:r w:rsidR="00351BE2">
        <w:rPr>
          <w:rFonts w:cs="Times New Roman"/>
          <w:sz w:val="24"/>
          <w:szCs w:val="24"/>
        </w:rPr>
        <w:t>bankruptcy n</w:t>
      </w:r>
      <w:r w:rsidR="00DB1460" w:rsidRPr="00281287">
        <w:rPr>
          <w:rFonts w:cs="Times New Roman"/>
          <w:sz w:val="24"/>
          <w:szCs w:val="24"/>
        </w:rPr>
        <w:t xml:space="preserve">otice. </w:t>
      </w:r>
      <w:r w:rsidR="00351BE2">
        <w:rPr>
          <w:rFonts w:cs="Times New Roman"/>
          <w:sz w:val="24"/>
          <w:szCs w:val="24"/>
        </w:rPr>
        <w:t xml:space="preserve"> A bankruptcy n</w:t>
      </w:r>
      <w:r w:rsidR="00DD5808">
        <w:rPr>
          <w:rFonts w:cs="Times New Roman"/>
          <w:sz w:val="24"/>
          <w:szCs w:val="24"/>
        </w:rPr>
        <w:t>otice is an important document.  Failure to comply with</w:t>
      </w:r>
      <w:r w:rsidR="00463D7C">
        <w:rPr>
          <w:rFonts w:cs="Times New Roman"/>
          <w:sz w:val="24"/>
          <w:szCs w:val="24"/>
        </w:rPr>
        <w:t xml:space="preserve"> the notice or to apply to the C</w:t>
      </w:r>
      <w:r w:rsidR="00DD5808">
        <w:rPr>
          <w:rFonts w:cs="Times New Roman"/>
          <w:sz w:val="24"/>
          <w:szCs w:val="24"/>
        </w:rPr>
        <w:t>ourt to set it aside will e</w:t>
      </w:r>
      <w:r w:rsidR="00351BE2">
        <w:rPr>
          <w:rFonts w:cs="Times New Roman"/>
          <w:sz w:val="24"/>
          <w:szCs w:val="24"/>
        </w:rPr>
        <w:t>ntitle a creditor to present a creditor’s p</w:t>
      </w:r>
      <w:r w:rsidR="00DD5808">
        <w:rPr>
          <w:rFonts w:cs="Times New Roman"/>
          <w:sz w:val="24"/>
          <w:szCs w:val="24"/>
        </w:rPr>
        <w:t xml:space="preserve">etition for an order that the debtor be made a bankrupt. </w:t>
      </w:r>
    </w:p>
    <w:p w:rsidR="00281287" w:rsidRPr="00C74C5E" w:rsidRDefault="00281287" w:rsidP="00E353F6">
      <w:pPr>
        <w:spacing w:after="240"/>
        <w:jc w:val="both"/>
        <w:rPr>
          <w:rFonts w:cs="Times New Roman"/>
          <w:sz w:val="24"/>
          <w:szCs w:val="24"/>
        </w:rPr>
      </w:pPr>
      <w:r w:rsidRPr="00C74C5E">
        <w:rPr>
          <w:rFonts w:cs="Times New Roman"/>
          <w:sz w:val="24"/>
          <w:szCs w:val="24"/>
        </w:rPr>
        <w:t>It is important to note the following</w:t>
      </w:r>
      <w:r w:rsidR="00F16433">
        <w:rPr>
          <w:rFonts w:cs="Times New Roman"/>
          <w:sz w:val="24"/>
          <w:szCs w:val="24"/>
        </w:rPr>
        <w:t xml:space="preserve"> information.</w:t>
      </w:r>
    </w:p>
    <w:p w:rsidR="00281287" w:rsidRPr="00C74C5E" w:rsidRDefault="00281287" w:rsidP="00E353F6">
      <w:pPr>
        <w:pStyle w:val="ListParagraph"/>
        <w:numPr>
          <w:ilvl w:val="0"/>
          <w:numId w:val="25"/>
        </w:numPr>
        <w:spacing w:after="240"/>
        <w:ind w:left="714" w:hanging="357"/>
        <w:contextualSpacing w:val="0"/>
        <w:jc w:val="both"/>
        <w:rPr>
          <w:rFonts w:cs="Times New Roman"/>
          <w:sz w:val="24"/>
          <w:szCs w:val="24"/>
        </w:rPr>
      </w:pPr>
      <w:r w:rsidRPr="00C74C5E">
        <w:rPr>
          <w:rFonts w:cs="Times New Roman"/>
          <w:sz w:val="24"/>
          <w:szCs w:val="24"/>
        </w:rPr>
        <w:t xml:space="preserve">This </w:t>
      </w:r>
      <w:r w:rsidR="00E353F6">
        <w:rPr>
          <w:rFonts w:cs="Times New Roman"/>
          <w:sz w:val="24"/>
          <w:szCs w:val="24"/>
        </w:rPr>
        <w:t>i</w:t>
      </w:r>
      <w:r w:rsidR="00895DE3">
        <w:rPr>
          <w:rFonts w:cs="Times New Roman"/>
          <w:sz w:val="24"/>
          <w:szCs w:val="24"/>
        </w:rPr>
        <w:t>nfo</w:t>
      </w:r>
      <w:r w:rsidR="00004207">
        <w:rPr>
          <w:rFonts w:cs="Times New Roman"/>
          <w:sz w:val="24"/>
          <w:szCs w:val="24"/>
        </w:rPr>
        <w:t>rmation</w:t>
      </w:r>
      <w:r w:rsidR="00E353F6">
        <w:rPr>
          <w:rFonts w:cs="Times New Roman"/>
          <w:sz w:val="24"/>
          <w:szCs w:val="24"/>
        </w:rPr>
        <w:t xml:space="preserve"> s</w:t>
      </w:r>
      <w:r w:rsidRPr="00C74C5E">
        <w:rPr>
          <w:rFonts w:cs="Times New Roman"/>
          <w:sz w:val="24"/>
          <w:szCs w:val="24"/>
        </w:rPr>
        <w:t xml:space="preserve">heet is published as part of a series of </w:t>
      </w:r>
      <w:r w:rsidR="00895DE3">
        <w:rPr>
          <w:rFonts w:cs="Times New Roman"/>
          <w:sz w:val="24"/>
          <w:szCs w:val="24"/>
        </w:rPr>
        <w:t>info</w:t>
      </w:r>
      <w:r w:rsidR="00004207">
        <w:rPr>
          <w:rFonts w:cs="Times New Roman"/>
          <w:sz w:val="24"/>
          <w:szCs w:val="24"/>
        </w:rPr>
        <w:t>rmation</w:t>
      </w:r>
      <w:r w:rsidRPr="00C74C5E">
        <w:rPr>
          <w:rFonts w:cs="Times New Roman"/>
          <w:sz w:val="24"/>
          <w:szCs w:val="24"/>
        </w:rPr>
        <w:t xml:space="preserve"> sheets and practical guides and contains links to the most commonly used forms approved or prescribed by the relevant legislation or court rules. </w:t>
      </w:r>
    </w:p>
    <w:p w:rsidR="00281287" w:rsidRPr="00C74C5E" w:rsidRDefault="00281287" w:rsidP="00E353F6">
      <w:pPr>
        <w:pStyle w:val="ListParagraph"/>
        <w:numPr>
          <w:ilvl w:val="0"/>
          <w:numId w:val="25"/>
        </w:numPr>
        <w:spacing w:after="240"/>
        <w:ind w:left="714" w:hanging="357"/>
        <w:contextualSpacing w:val="0"/>
        <w:jc w:val="both"/>
        <w:rPr>
          <w:rFonts w:cs="Times New Roman"/>
          <w:sz w:val="24"/>
          <w:szCs w:val="24"/>
        </w:rPr>
      </w:pPr>
      <w:r w:rsidRPr="00C74C5E">
        <w:rPr>
          <w:sz w:val="24"/>
          <w:szCs w:val="24"/>
        </w:rPr>
        <w:t xml:space="preserve">This </w:t>
      </w:r>
      <w:r w:rsidR="00E353F6">
        <w:rPr>
          <w:sz w:val="24"/>
          <w:szCs w:val="24"/>
        </w:rPr>
        <w:t>i</w:t>
      </w:r>
      <w:r w:rsidR="00895DE3">
        <w:rPr>
          <w:sz w:val="24"/>
          <w:szCs w:val="24"/>
        </w:rPr>
        <w:t>nfo</w:t>
      </w:r>
      <w:r w:rsidR="00004207">
        <w:rPr>
          <w:sz w:val="24"/>
          <w:szCs w:val="24"/>
        </w:rPr>
        <w:t>rmation</w:t>
      </w:r>
      <w:r w:rsidR="00E353F6">
        <w:rPr>
          <w:sz w:val="24"/>
          <w:szCs w:val="24"/>
        </w:rPr>
        <w:t xml:space="preserve"> s</w:t>
      </w:r>
      <w:r w:rsidRPr="00C74C5E">
        <w:rPr>
          <w:sz w:val="24"/>
          <w:szCs w:val="24"/>
        </w:rPr>
        <w:t xml:space="preserve">heet contains general information only and is not a substitute for the </w:t>
      </w:r>
      <w:r w:rsidRPr="00C74C5E">
        <w:rPr>
          <w:i/>
          <w:sz w:val="24"/>
          <w:szCs w:val="24"/>
        </w:rPr>
        <w:t>Bankruptcy Act</w:t>
      </w:r>
      <w:r w:rsidR="00E353F6">
        <w:rPr>
          <w:i/>
          <w:sz w:val="24"/>
          <w:szCs w:val="24"/>
        </w:rPr>
        <w:t xml:space="preserve"> 1966</w:t>
      </w:r>
      <w:r w:rsidRPr="00C74C5E">
        <w:rPr>
          <w:i/>
          <w:sz w:val="24"/>
          <w:szCs w:val="24"/>
        </w:rPr>
        <w:t xml:space="preserve"> </w:t>
      </w:r>
      <w:r w:rsidRPr="00C74C5E">
        <w:rPr>
          <w:sz w:val="24"/>
          <w:szCs w:val="24"/>
        </w:rPr>
        <w:t xml:space="preserve">or the </w:t>
      </w:r>
      <w:r w:rsidRPr="00C74C5E">
        <w:rPr>
          <w:rFonts w:cs="Times New Roman"/>
          <w:i/>
          <w:sz w:val="24"/>
          <w:szCs w:val="24"/>
        </w:rPr>
        <w:t>Bankruptcy</w:t>
      </w:r>
      <w:r w:rsidRPr="00C74C5E">
        <w:rPr>
          <w:i/>
          <w:sz w:val="24"/>
          <w:szCs w:val="24"/>
        </w:rPr>
        <w:t xml:space="preserve"> Rules</w:t>
      </w:r>
      <w:r w:rsidR="00E353F6">
        <w:rPr>
          <w:i/>
          <w:sz w:val="24"/>
          <w:szCs w:val="24"/>
        </w:rPr>
        <w:t xml:space="preserve"> 2016</w:t>
      </w:r>
      <w:r w:rsidRPr="00C74C5E">
        <w:rPr>
          <w:sz w:val="24"/>
          <w:szCs w:val="24"/>
        </w:rPr>
        <w:t xml:space="preserve">. To the extent that there is any inconsistency or discrepancy, the </w:t>
      </w:r>
      <w:r w:rsidRPr="00E353F6">
        <w:rPr>
          <w:sz w:val="24"/>
          <w:szCs w:val="24"/>
        </w:rPr>
        <w:t>Bankruptcy Act</w:t>
      </w:r>
      <w:r w:rsidRPr="00C74C5E">
        <w:rPr>
          <w:sz w:val="24"/>
          <w:szCs w:val="24"/>
        </w:rPr>
        <w:t xml:space="preserve"> and </w:t>
      </w:r>
      <w:r w:rsidRPr="00E353F6">
        <w:rPr>
          <w:sz w:val="24"/>
          <w:szCs w:val="24"/>
        </w:rPr>
        <w:t>Bankruptcy Rules</w:t>
      </w:r>
      <w:r w:rsidRPr="00C74C5E">
        <w:rPr>
          <w:sz w:val="24"/>
          <w:szCs w:val="24"/>
        </w:rPr>
        <w:t xml:space="preserve"> as interpreted by the Courts prevail. </w:t>
      </w:r>
      <w:r w:rsidR="00E353F6">
        <w:rPr>
          <w:sz w:val="24"/>
          <w:szCs w:val="24"/>
        </w:rPr>
        <w:t>L</w:t>
      </w:r>
      <w:r w:rsidRPr="00C74C5E">
        <w:rPr>
          <w:sz w:val="24"/>
          <w:szCs w:val="24"/>
        </w:rPr>
        <w:t>ink</w:t>
      </w:r>
      <w:r w:rsidR="00E353F6">
        <w:rPr>
          <w:sz w:val="24"/>
          <w:szCs w:val="24"/>
        </w:rPr>
        <w:t>s</w:t>
      </w:r>
      <w:r w:rsidRPr="00C74C5E">
        <w:rPr>
          <w:sz w:val="24"/>
          <w:szCs w:val="24"/>
        </w:rPr>
        <w:t xml:space="preserve"> to the legislation and court rules </w:t>
      </w:r>
      <w:r w:rsidR="00E353F6">
        <w:rPr>
          <w:sz w:val="24"/>
          <w:szCs w:val="24"/>
        </w:rPr>
        <w:t>are</w:t>
      </w:r>
      <w:r w:rsidRPr="00C74C5E">
        <w:rPr>
          <w:sz w:val="24"/>
          <w:szCs w:val="24"/>
        </w:rPr>
        <w:t xml:space="preserve"> set out below. </w:t>
      </w:r>
    </w:p>
    <w:p w:rsidR="00281287" w:rsidRPr="0021250B" w:rsidRDefault="00281287" w:rsidP="00E353F6">
      <w:pPr>
        <w:pStyle w:val="ListParagraph"/>
        <w:numPr>
          <w:ilvl w:val="0"/>
          <w:numId w:val="25"/>
        </w:numPr>
        <w:spacing w:after="240"/>
        <w:ind w:left="714" w:hanging="357"/>
        <w:contextualSpacing w:val="0"/>
        <w:jc w:val="both"/>
        <w:rPr>
          <w:rFonts w:cs="Times New Roman"/>
          <w:sz w:val="24"/>
          <w:szCs w:val="24"/>
        </w:rPr>
      </w:pPr>
      <w:r w:rsidRPr="00C74C5E">
        <w:rPr>
          <w:sz w:val="24"/>
          <w:szCs w:val="24"/>
        </w:rPr>
        <w:t xml:space="preserve">While Registry staff can provide practical assistance to litigants they cannot provide legal advice or assist with the content of any document. The onus is on the party presenting the petition to </w:t>
      </w:r>
      <w:r>
        <w:rPr>
          <w:sz w:val="24"/>
          <w:szCs w:val="24"/>
        </w:rPr>
        <w:t xml:space="preserve">undertake their own enquiries and assessment of the legal </w:t>
      </w:r>
      <w:r w:rsidRPr="0021250B">
        <w:rPr>
          <w:sz w:val="24"/>
          <w:szCs w:val="24"/>
        </w:rPr>
        <w:t xml:space="preserve">issues. </w:t>
      </w:r>
    </w:p>
    <w:p w:rsidR="00281287" w:rsidRPr="0021250B" w:rsidRDefault="00E353F6" w:rsidP="00E353F6">
      <w:pPr>
        <w:jc w:val="both"/>
        <w:rPr>
          <w:sz w:val="24"/>
          <w:szCs w:val="24"/>
        </w:rPr>
      </w:pPr>
      <w:r>
        <w:rPr>
          <w:sz w:val="24"/>
          <w:szCs w:val="24"/>
        </w:rPr>
        <w:t>References and l</w:t>
      </w:r>
      <w:r w:rsidR="00281287" w:rsidRPr="0021250B">
        <w:rPr>
          <w:sz w:val="24"/>
          <w:szCs w:val="24"/>
        </w:rPr>
        <w:t xml:space="preserve">inks to </w:t>
      </w:r>
      <w:r w:rsidR="00351BE2">
        <w:rPr>
          <w:sz w:val="24"/>
          <w:szCs w:val="24"/>
        </w:rPr>
        <w:t>legislation, court rules and approved f</w:t>
      </w:r>
      <w:r w:rsidR="00281287" w:rsidRPr="0021250B">
        <w:rPr>
          <w:sz w:val="24"/>
          <w:szCs w:val="24"/>
        </w:rPr>
        <w:t>orms:</w:t>
      </w:r>
    </w:p>
    <w:p w:rsidR="00281287" w:rsidRPr="00FA307A" w:rsidRDefault="00351BBC" w:rsidP="00E353F6">
      <w:pPr>
        <w:pStyle w:val="ListParagraph"/>
        <w:numPr>
          <w:ilvl w:val="1"/>
          <w:numId w:val="26"/>
        </w:numPr>
        <w:shd w:val="clear" w:color="auto" w:fill="FFFFFF"/>
        <w:spacing w:before="100" w:beforeAutospacing="1" w:after="100" w:afterAutospacing="1"/>
        <w:ind w:left="851" w:hanging="284"/>
        <w:jc w:val="both"/>
        <w:rPr>
          <w:rFonts w:cs="Times New Roman"/>
          <w:i/>
          <w:color w:val="000000" w:themeColor="text1"/>
          <w:sz w:val="24"/>
          <w:szCs w:val="24"/>
        </w:rPr>
      </w:pPr>
      <w:hyperlink r:id="rId9" w:history="1">
        <w:r w:rsidR="00281287" w:rsidRPr="00FA307A">
          <w:rPr>
            <w:rStyle w:val="Hyperlink"/>
            <w:rFonts w:asciiTheme="minorHAnsi" w:hAnsiTheme="minorHAnsi"/>
            <w:i/>
            <w:sz w:val="24"/>
            <w:szCs w:val="24"/>
          </w:rPr>
          <w:t>Bankruptcy Act 1966</w:t>
        </w:r>
      </w:hyperlink>
      <w:r w:rsidR="00281287" w:rsidRPr="00FA307A">
        <w:rPr>
          <w:rStyle w:val="Emphasis"/>
          <w:rFonts w:cs="Times New Roman"/>
          <w:color w:val="000000" w:themeColor="text1"/>
          <w:sz w:val="24"/>
          <w:szCs w:val="24"/>
        </w:rPr>
        <w:t xml:space="preserve"> </w:t>
      </w:r>
      <w:r w:rsidR="00281287" w:rsidRPr="00FA307A">
        <w:rPr>
          <w:rStyle w:val="Emphasis"/>
          <w:rFonts w:cs="Times New Roman"/>
          <w:i w:val="0"/>
          <w:color w:val="000000" w:themeColor="text1"/>
          <w:sz w:val="24"/>
          <w:szCs w:val="24"/>
        </w:rPr>
        <w:t>(the Bankruptcy Act)</w:t>
      </w:r>
      <w:r w:rsidR="00281287" w:rsidRPr="00FA307A">
        <w:rPr>
          <w:rStyle w:val="Emphasis"/>
          <w:rFonts w:cs="Times New Roman"/>
          <w:color w:val="000000" w:themeColor="text1"/>
          <w:sz w:val="24"/>
          <w:szCs w:val="24"/>
        </w:rPr>
        <w:t xml:space="preserve"> </w:t>
      </w:r>
    </w:p>
    <w:p w:rsidR="00281287" w:rsidRPr="00FA307A" w:rsidRDefault="00351BBC" w:rsidP="00E353F6">
      <w:pPr>
        <w:pStyle w:val="ListParagraph"/>
        <w:numPr>
          <w:ilvl w:val="1"/>
          <w:numId w:val="26"/>
        </w:numPr>
        <w:shd w:val="clear" w:color="auto" w:fill="FFFFFF"/>
        <w:spacing w:before="100" w:beforeAutospacing="1" w:after="100" w:afterAutospacing="1"/>
        <w:ind w:left="851" w:hanging="284"/>
        <w:jc w:val="both"/>
        <w:rPr>
          <w:rStyle w:val="Hyperlink"/>
          <w:rFonts w:asciiTheme="minorHAnsi" w:hAnsiTheme="minorHAnsi"/>
          <w:i/>
          <w:iCs/>
          <w:color w:val="000000" w:themeColor="text1"/>
          <w:sz w:val="24"/>
          <w:szCs w:val="24"/>
        </w:rPr>
      </w:pPr>
      <w:hyperlink r:id="rId10" w:history="1">
        <w:r w:rsidR="00281287" w:rsidRPr="00351BE2">
          <w:rPr>
            <w:rStyle w:val="Hyperlink"/>
            <w:rFonts w:asciiTheme="minorHAnsi" w:hAnsiTheme="minorHAnsi"/>
            <w:i/>
            <w:sz w:val="24"/>
            <w:szCs w:val="24"/>
          </w:rPr>
          <w:t>Federal Court (Bankruptcy) Rules 2016</w:t>
        </w:r>
      </w:hyperlink>
      <w:r w:rsidR="00281287" w:rsidRPr="00FA307A">
        <w:rPr>
          <w:rStyle w:val="Hyperlink"/>
          <w:rFonts w:asciiTheme="minorHAnsi" w:hAnsiTheme="minorHAnsi" w:cs="Times New Roman"/>
          <w:i/>
          <w:iCs/>
          <w:color w:val="000000" w:themeColor="text1"/>
          <w:sz w:val="24"/>
          <w:szCs w:val="24"/>
          <w:u w:val="none"/>
        </w:rPr>
        <w:t xml:space="preserve"> </w:t>
      </w:r>
      <w:r w:rsidR="00281287" w:rsidRPr="00FA307A">
        <w:rPr>
          <w:rStyle w:val="Hyperlink"/>
          <w:rFonts w:asciiTheme="minorHAnsi" w:hAnsiTheme="minorHAnsi" w:cs="Times New Roman"/>
          <w:iCs/>
          <w:color w:val="000000" w:themeColor="text1"/>
          <w:sz w:val="24"/>
          <w:szCs w:val="24"/>
          <w:u w:val="none"/>
        </w:rPr>
        <w:t xml:space="preserve">(the </w:t>
      </w:r>
      <w:r w:rsidR="00CB0AF7">
        <w:rPr>
          <w:rStyle w:val="Hyperlink"/>
          <w:rFonts w:asciiTheme="minorHAnsi" w:hAnsiTheme="minorHAnsi" w:cs="Times New Roman"/>
          <w:iCs/>
          <w:color w:val="000000" w:themeColor="text1"/>
          <w:sz w:val="24"/>
          <w:szCs w:val="24"/>
          <w:u w:val="none"/>
        </w:rPr>
        <w:t>B</w:t>
      </w:r>
      <w:r w:rsidR="00281287" w:rsidRPr="00FA307A">
        <w:rPr>
          <w:rStyle w:val="Hyperlink"/>
          <w:rFonts w:asciiTheme="minorHAnsi" w:hAnsiTheme="minorHAnsi" w:cs="Times New Roman"/>
          <w:iCs/>
          <w:color w:val="000000" w:themeColor="text1"/>
          <w:sz w:val="24"/>
          <w:szCs w:val="24"/>
          <w:u w:val="none"/>
        </w:rPr>
        <w:t>ankruptcy Rules)</w:t>
      </w:r>
      <w:r w:rsidR="00281287" w:rsidRPr="00FA307A">
        <w:rPr>
          <w:rStyle w:val="Hyperlink"/>
          <w:rFonts w:asciiTheme="minorHAnsi" w:hAnsiTheme="minorHAnsi" w:cs="Times New Roman"/>
          <w:iCs/>
          <w:color w:val="000000" w:themeColor="text1"/>
          <w:sz w:val="24"/>
          <w:szCs w:val="24"/>
        </w:rPr>
        <w:t xml:space="preserve"> </w:t>
      </w:r>
    </w:p>
    <w:p w:rsidR="00351BE2" w:rsidRPr="00351BE2" w:rsidRDefault="00351BBC" w:rsidP="00E353F6">
      <w:pPr>
        <w:pStyle w:val="ListParagraph"/>
        <w:numPr>
          <w:ilvl w:val="1"/>
          <w:numId w:val="26"/>
        </w:numPr>
        <w:shd w:val="clear" w:color="auto" w:fill="FFFFFF"/>
        <w:spacing w:before="100" w:beforeAutospacing="1" w:after="100" w:afterAutospacing="1"/>
        <w:ind w:left="851" w:hanging="284"/>
        <w:jc w:val="both"/>
        <w:rPr>
          <w:i/>
          <w:color w:val="000000" w:themeColor="text1"/>
          <w:sz w:val="24"/>
          <w:szCs w:val="24"/>
          <w:u w:val="single"/>
        </w:rPr>
      </w:pPr>
      <w:hyperlink r:id="rId11" w:history="1">
        <w:r w:rsidR="00281287" w:rsidRPr="00FA307A">
          <w:rPr>
            <w:rStyle w:val="Hyperlink"/>
            <w:rFonts w:asciiTheme="minorHAnsi" w:hAnsiTheme="minorHAnsi"/>
            <w:i/>
            <w:sz w:val="24"/>
            <w:szCs w:val="24"/>
          </w:rPr>
          <w:t xml:space="preserve">Bankruptcy Regulations </w:t>
        </w:r>
        <w:r w:rsidR="00FA307A" w:rsidRPr="00FA307A">
          <w:rPr>
            <w:rStyle w:val="Hyperlink"/>
            <w:rFonts w:asciiTheme="minorHAnsi" w:hAnsiTheme="minorHAnsi"/>
            <w:i/>
            <w:sz w:val="24"/>
            <w:szCs w:val="24"/>
          </w:rPr>
          <w:t>2021</w:t>
        </w:r>
      </w:hyperlink>
      <w:hyperlink r:id="rId12" w:history="1">
        <w:r w:rsidR="00281287" w:rsidRPr="00FA307A">
          <w:rPr>
            <w:rStyle w:val="apple-converted-space"/>
            <w:rFonts w:cs="Times New Roman"/>
            <w:color w:val="000000" w:themeColor="text1"/>
            <w:sz w:val="24"/>
            <w:szCs w:val="24"/>
          </w:rPr>
          <w:t> </w:t>
        </w:r>
      </w:hyperlink>
      <w:r w:rsidR="00281287" w:rsidRPr="00FA307A">
        <w:rPr>
          <w:rStyle w:val="Emphasis"/>
          <w:rFonts w:cs="Times New Roman"/>
          <w:color w:val="000000" w:themeColor="text1"/>
          <w:sz w:val="24"/>
          <w:szCs w:val="24"/>
        </w:rPr>
        <w:t> </w:t>
      </w:r>
      <w:r w:rsidR="00281287" w:rsidRPr="00FA307A">
        <w:rPr>
          <w:rFonts w:cs="Times New Roman"/>
          <w:color w:val="000000" w:themeColor="text1"/>
          <w:sz w:val="24"/>
          <w:szCs w:val="24"/>
        </w:rPr>
        <w:t>(the Regulations)</w:t>
      </w:r>
    </w:p>
    <w:p w:rsidR="00351BE2" w:rsidRPr="00FA307A" w:rsidRDefault="00351BBC" w:rsidP="00351BE2">
      <w:pPr>
        <w:pStyle w:val="ListParagraph"/>
        <w:numPr>
          <w:ilvl w:val="1"/>
          <w:numId w:val="26"/>
        </w:numPr>
        <w:shd w:val="clear" w:color="auto" w:fill="FFFFFF"/>
        <w:spacing w:before="100" w:beforeAutospacing="1" w:after="100" w:afterAutospacing="1"/>
        <w:ind w:left="851" w:hanging="284"/>
        <w:jc w:val="both"/>
        <w:rPr>
          <w:rFonts w:cs="Times New Roman"/>
          <w:color w:val="000000" w:themeColor="text1"/>
          <w:sz w:val="24"/>
          <w:szCs w:val="24"/>
        </w:rPr>
      </w:pPr>
      <w:hyperlink r:id="rId13" w:history="1">
        <w:r w:rsidR="00351BE2" w:rsidRPr="00FA307A">
          <w:rPr>
            <w:rStyle w:val="Hyperlink"/>
            <w:rFonts w:asciiTheme="minorHAnsi" w:hAnsiTheme="minorHAnsi"/>
            <w:i/>
            <w:sz w:val="24"/>
            <w:szCs w:val="24"/>
          </w:rPr>
          <w:t>Federal Court of Australia Act 1976</w:t>
        </w:r>
      </w:hyperlink>
      <w:r w:rsidR="00351BE2" w:rsidRPr="00FA307A">
        <w:rPr>
          <w:rFonts w:cs="Times New Roman"/>
          <w:i/>
          <w:color w:val="000000" w:themeColor="text1"/>
          <w:sz w:val="24"/>
          <w:szCs w:val="24"/>
        </w:rPr>
        <w:t xml:space="preserve"> </w:t>
      </w:r>
      <w:r w:rsidR="00CB0AF7">
        <w:rPr>
          <w:rFonts w:cs="Times New Roman"/>
          <w:color w:val="000000" w:themeColor="text1"/>
          <w:sz w:val="24"/>
          <w:szCs w:val="24"/>
        </w:rPr>
        <w:t xml:space="preserve">(the </w:t>
      </w:r>
      <w:r w:rsidR="00351BE2" w:rsidRPr="00FA307A">
        <w:rPr>
          <w:rFonts w:cs="Times New Roman"/>
          <w:color w:val="000000" w:themeColor="text1"/>
          <w:sz w:val="24"/>
          <w:szCs w:val="24"/>
        </w:rPr>
        <w:t xml:space="preserve">Court Act)  </w:t>
      </w:r>
    </w:p>
    <w:p w:rsidR="00281287" w:rsidRPr="00FA307A" w:rsidRDefault="00351BBC" w:rsidP="00E353F6">
      <w:pPr>
        <w:pStyle w:val="ListParagraph"/>
        <w:numPr>
          <w:ilvl w:val="1"/>
          <w:numId w:val="26"/>
        </w:numPr>
        <w:shd w:val="clear" w:color="auto" w:fill="FFFFFF"/>
        <w:spacing w:before="100" w:beforeAutospacing="1" w:after="100" w:afterAutospacing="1"/>
        <w:ind w:left="851" w:hanging="284"/>
        <w:jc w:val="both"/>
        <w:rPr>
          <w:rStyle w:val="Hyperlink"/>
          <w:rFonts w:asciiTheme="minorHAnsi" w:hAnsiTheme="minorHAnsi"/>
          <w:i/>
          <w:iCs/>
          <w:color w:val="000000" w:themeColor="text1"/>
          <w:sz w:val="24"/>
          <w:szCs w:val="24"/>
        </w:rPr>
      </w:pPr>
      <w:hyperlink r:id="rId14" w:history="1">
        <w:r w:rsidR="00281287" w:rsidRPr="00FA307A">
          <w:rPr>
            <w:rStyle w:val="Hyperlink"/>
            <w:rFonts w:asciiTheme="minorHAnsi" w:hAnsiTheme="minorHAnsi"/>
            <w:i/>
            <w:sz w:val="24"/>
            <w:szCs w:val="24"/>
          </w:rPr>
          <w:t>Federal Court Rules 2011</w:t>
        </w:r>
      </w:hyperlink>
      <w:r w:rsidR="00281287" w:rsidRPr="00FA307A">
        <w:rPr>
          <w:rStyle w:val="Hyperlink"/>
          <w:rFonts w:asciiTheme="minorHAnsi" w:hAnsiTheme="minorHAnsi" w:cs="Times New Roman"/>
          <w:i/>
          <w:iCs/>
          <w:color w:val="000000" w:themeColor="text1"/>
          <w:sz w:val="24"/>
          <w:szCs w:val="24"/>
          <w:u w:val="none"/>
        </w:rPr>
        <w:t xml:space="preserve"> </w:t>
      </w:r>
      <w:r w:rsidR="00281287" w:rsidRPr="00FA307A">
        <w:rPr>
          <w:rStyle w:val="Hyperlink"/>
          <w:rFonts w:asciiTheme="minorHAnsi" w:hAnsiTheme="minorHAnsi" w:cs="Times New Roman"/>
          <w:iCs/>
          <w:color w:val="000000" w:themeColor="text1"/>
          <w:sz w:val="24"/>
          <w:szCs w:val="24"/>
          <w:u w:val="none"/>
        </w:rPr>
        <w:t xml:space="preserve">(the </w:t>
      </w:r>
      <w:r w:rsidR="0034348A" w:rsidRPr="00FA307A">
        <w:rPr>
          <w:rStyle w:val="Hyperlink"/>
          <w:rFonts w:asciiTheme="minorHAnsi" w:hAnsiTheme="minorHAnsi" w:cs="Times New Roman"/>
          <w:iCs/>
          <w:color w:val="000000" w:themeColor="text1"/>
          <w:sz w:val="24"/>
          <w:szCs w:val="24"/>
          <w:u w:val="none"/>
        </w:rPr>
        <w:t>Court</w:t>
      </w:r>
      <w:r w:rsidR="00281287" w:rsidRPr="00FA307A">
        <w:rPr>
          <w:rStyle w:val="Hyperlink"/>
          <w:rFonts w:asciiTheme="minorHAnsi" w:hAnsiTheme="minorHAnsi" w:cs="Times New Roman"/>
          <w:iCs/>
          <w:color w:val="000000" w:themeColor="text1"/>
          <w:sz w:val="24"/>
          <w:szCs w:val="24"/>
          <w:u w:val="none"/>
        </w:rPr>
        <w:t xml:space="preserve"> Rules) </w:t>
      </w:r>
    </w:p>
    <w:p w:rsidR="00281287" w:rsidRPr="00CB0AF7" w:rsidRDefault="00351BBC" w:rsidP="00E353F6">
      <w:pPr>
        <w:pStyle w:val="ListParagraph"/>
        <w:numPr>
          <w:ilvl w:val="1"/>
          <w:numId w:val="26"/>
        </w:numPr>
        <w:shd w:val="clear" w:color="auto" w:fill="FFFFFF"/>
        <w:spacing w:before="100" w:beforeAutospacing="1" w:after="100" w:afterAutospacing="1"/>
        <w:ind w:left="851" w:hanging="284"/>
        <w:jc w:val="both"/>
        <w:rPr>
          <w:rFonts w:cs="Times New Roman"/>
          <w:color w:val="000000" w:themeColor="text1"/>
          <w:sz w:val="24"/>
          <w:szCs w:val="24"/>
        </w:rPr>
      </w:pPr>
      <w:hyperlink r:id="rId15" w:history="1">
        <w:r w:rsidR="00792780" w:rsidRPr="00FA307A">
          <w:rPr>
            <w:rStyle w:val="Hyperlink"/>
            <w:rFonts w:asciiTheme="minorHAnsi" w:hAnsiTheme="minorHAnsi"/>
            <w:sz w:val="24"/>
            <w:szCs w:val="24"/>
          </w:rPr>
          <w:t>P</w:t>
        </w:r>
        <w:r w:rsidR="00281287" w:rsidRPr="00FA307A">
          <w:rPr>
            <w:rStyle w:val="Hyperlink"/>
            <w:rFonts w:asciiTheme="minorHAnsi" w:hAnsiTheme="minorHAnsi"/>
            <w:sz w:val="24"/>
            <w:szCs w:val="24"/>
          </w:rPr>
          <w:t>rescribed forms</w:t>
        </w:r>
      </w:hyperlink>
      <w:r w:rsidR="00281287" w:rsidRPr="00FA307A">
        <w:rPr>
          <w:rFonts w:cs="Times New Roman"/>
          <w:color w:val="000000" w:themeColor="text1"/>
          <w:sz w:val="24"/>
          <w:szCs w:val="24"/>
        </w:rPr>
        <w:t xml:space="preserve"> under </w:t>
      </w:r>
      <w:r w:rsidR="00281287" w:rsidRPr="00CB0AF7">
        <w:rPr>
          <w:rFonts w:cs="Times New Roman"/>
          <w:color w:val="000000" w:themeColor="text1"/>
          <w:sz w:val="24"/>
          <w:szCs w:val="24"/>
        </w:rPr>
        <w:t xml:space="preserve">the Regulations  </w:t>
      </w:r>
    </w:p>
    <w:p w:rsidR="00281287" w:rsidRPr="0021250B" w:rsidRDefault="00351BBC" w:rsidP="00E353F6">
      <w:pPr>
        <w:pStyle w:val="ListParagraph"/>
        <w:numPr>
          <w:ilvl w:val="1"/>
          <w:numId w:val="26"/>
        </w:numPr>
        <w:shd w:val="clear" w:color="auto" w:fill="FFFFFF"/>
        <w:spacing w:before="100" w:beforeAutospacing="1" w:after="100" w:afterAutospacing="1"/>
        <w:ind w:left="851" w:hanging="284"/>
        <w:jc w:val="both"/>
        <w:rPr>
          <w:rStyle w:val="Emphasis"/>
          <w:rFonts w:cs="Times New Roman"/>
          <w:i w:val="0"/>
          <w:iCs w:val="0"/>
          <w:sz w:val="24"/>
          <w:szCs w:val="24"/>
        </w:rPr>
      </w:pPr>
      <w:hyperlink r:id="rId16" w:history="1">
        <w:r w:rsidR="00792780" w:rsidRPr="00FA307A">
          <w:rPr>
            <w:rStyle w:val="Hyperlink"/>
            <w:rFonts w:asciiTheme="minorHAnsi" w:hAnsiTheme="minorHAnsi"/>
            <w:sz w:val="24"/>
            <w:szCs w:val="24"/>
          </w:rPr>
          <w:t>Approved forms</w:t>
        </w:r>
      </w:hyperlink>
      <w:r w:rsidR="00792780" w:rsidRPr="00FA307A">
        <w:rPr>
          <w:rStyle w:val="Hyperlink"/>
          <w:rFonts w:asciiTheme="minorHAnsi" w:hAnsiTheme="minorHAnsi"/>
          <w:color w:val="000000" w:themeColor="text1"/>
          <w:sz w:val="24"/>
          <w:szCs w:val="24"/>
          <w:u w:val="none"/>
        </w:rPr>
        <w:t xml:space="preserve"> </w:t>
      </w:r>
      <w:r w:rsidR="00281287" w:rsidRPr="00FA307A">
        <w:rPr>
          <w:rFonts w:cs="Times New Roman"/>
          <w:color w:val="000000" w:themeColor="text1"/>
          <w:sz w:val="24"/>
          <w:szCs w:val="24"/>
        </w:rPr>
        <w:t xml:space="preserve">under </w:t>
      </w:r>
      <w:r w:rsidR="00281287" w:rsidRPr="00CB0AF7">
        <w:rPr>
          <w:rFonts w:cs="Times New Roman"/>
          <w:color w:val="000000" w:themeColor="text1"/>
          <w:sz w:val="24"/>
          <w:szCs w:val="24"/>
        </w:rPr>
        <w:t xml:space="preserve">the </w:t>
      </w:r>
      <w:r w:rsidR="00CB0AF7">
        <w:rPr>
          <w:rStyle w:val="Hyperlink"/>
          <w:rFonts w:asciiTheme="minorHAnsi" w:hAnsiTheme="minorHAnsi" w:cs="Times New Roman"/>
          <w:iCs/>
          <w:color w:val="000000" w:themeColor="text1"/>
          <w:sz w:val="24"/>
          <w:szCs w:val="24"/>
          <w:u w:val="none"/>
        </w:rPr>
        <w:t>Bankruptcy Rules</w:t>
      </w:r>
      <w:r w:rsidR="00281287" w:rsidRPr="00CB0AF7">
        <w:rPr>
          <w:rStyle w:val="Emphasis"/>
          <w:rFonts w:cs="Times New Roman"/>
          <w:i w:val="0"/>
          <w:iCs w:val="0"/>
          <w:sz w:val="24"/>
          <w:szCs w:val="24"/>
        </w:rPr>
        <w:t xml:space="preserve"> </w:t>
      </w:r>
    </w:p>
    <w:p w:rsidR="00281287" w:rsidRPr="00281287" w:rsidRDefault="00281287" w:rsidP="008B0F46">
      <w:pPr>
        <w:spacing w:after="240" w:line="240" w:lineRule="auto"/>
        <w:jc w:val="both"/>
        <w:rPr>
          <w:rFonts w:cs="Times New Roman"/>
          <w:sz w:val="24"/>
          <w:szCs w:val="24"/>
        </w:rPr>
      </w:pPr>
    </w:p>
    <w:p w:rsidR="00A259D7" w:rsidRPr="00281287" w:rsidRDefault="00362EDD" w:rsidP="00281287">
      <w:pPr>
        <w:pStyle w:val="ListParagraph"/>
        <w:numPr>
          <w:ilvl w:val="0"/>
          <w:numId w:val="28"/>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Introduction</w:t>
      </w:r>
    </w:p>
    <w:p w:rsidR="005E3C3F" w:rsidRPr="00281287" w:rsidRDefault="00351BE2" w:rsidP="00281287">
      <w:pPr>
        <w:pStyle w:val="ListParagraph"/>
        <w:numPr>
          <w:ilvl w:val="1"/>
          <w:numId w:val="29"/>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 bankruptcy n</w:t>
      </w:r>
      <w:r w:rsidR="003448EA" w:rsidRPr="00281287">
        <w:rPr>
          <w:rFonts w:eastAsia="Times New Roman" w:cs="Times New Roman"/>
          <w:sz w:val="24"/>
          <w:szCs w:val="24"/>
          <w:lang w:val="en-US" w:eastAsia="en-AU"/>
        </w:rPr>
        <w:t xml:space="preserve">otice is a formal document issued by the Official Receiver (AFSA) </w:t>
      </w:r>
      <w:r w:rsidR="001F4ED8">
        <w:rPr>
          <w:rFonts w:eastAsia="Times New Roman" w:cs="Times New Roman"/>
          <w:sz w:val="24"/>
          <w:szCs w:val="24"/>
          <w:lang w:val="en-US" w:eastAsia="en-AU"/>
        </w:rPr>
        <w:t>requiring a debtor to pay a debt. The</w:t>
      </w:r>
      <w:r>
        <w:rPr>
          <w:rFonts w:eastAsia="Times New Roman" w:cs="Times New Roman"/>
          <w:sz w:val="24"/>
          <w:szCs w:val="24"/>
          <w:lang w:val="en-US" w:eastAsia="en-AU"/>
        </w:rPr>
        <w:t xml:space="preserve"> Official Receiver may issue a bankruptcy n</w:t>
      </w:r>
      <w:r w:rsidR="001F4ED8">
        <w:rPr>
          <w:rFonts w:eastAsia="Times New Roman" w:cs="Times New Roman"/>
          <w:sz w:val="24"/>
          <w:szCs w:val="24"/>
          <w:lang w:val="en-US" w:eastAsia="en-AU"/>
        </w:rPr>
        <w:t>otice on the application of a creditor if the creditor has obtained a final</w:t>
      </w:r>
      <w:r w:rsidR="001147D7">
        <w:rPr>
          <w:rFonts w:eastAsia="Times New Roman" w:cs="Times New Roman"/>
          <w:sz w:val="24"/>
          <w:szCs w:val="24"/>
          <w:lang w:val="en-US" w:eastAsia="en-AU"/>
        </w:rPr>
        <w:t xml:space="preserve"> judgment or order against the debtor</w:t>
      </w:r>
      <w:r w:rsidR="00230BA8">
        <w:rPr>
          <w:rFonts w:eastAsia="Times New Roman" w:cs="Times New Roman"/>
          <w:sz w:val="24"/>
          <w:szCs w:val="24"/>
          <w:lang w:val="en-US" w:eastAsia="en-AU"/>
        </w:rPr>
        <w:t xml:space="preserve"> </w:t>
      </w:r>
      <w:r w:rsidR="001F4ED8">
        <w:rPr>
          <w:rFonts w:eastAsia="Times New Roman" w:cs="Times New Roman"/>
          <w:sz w:val="24"/>
          <w:szCs w:val="24"/>
          <w:lang w:val="en-US" w:eastAsia="en-AU"/>
        </w:rPr>
        <w:t>for at least $</w:t>
      </w:r>
      <w:r w:rsidR="00123E65">
        <w:rPr>
          <w:rFonts w:eastAsia="Times New Roman" w:cs="Times New Roman"/>
          <w:sz w:val="24"/>
          <w:szCs w:val="24"/>
          <w:lang w:val="en-US" w:eastAsia="en-AU"/>
        </w:rPr>
        <w:t>10</w:t>
      </w:r>
      <w:r w:rsidR="001F4ED8">
        <w:rPr>
          <w:rFonts w:eastAsia="Times New Roman" w:cs="Times New Roman"/>
          <w:sz w:val="24"/>
          <w:szCs w:val="24"/>
          <w:lang w:val="en-US" w:eastAsia="en-AU"/>
        </w:rPr>
        <w:t>,000</w:t>
      </w:r>
      <w:r w:rsidR="00230BA8">
        <w:rPr>
          <w:rFonts w:eastAsia="Times New Roman" w:cs="Times New Roman"/>
          <w:sz w:val="24"/>
          <w:szCs w:val="24"/>
          <w:lang w:val="en-US" w:eastAsia="en-AU"/>
        </w:rPr>
        <w:t xml:space="preserve"> that </w:t>
      </w:r>
      <w:r w:rsidR="001147D7">
        <w:rPr>
          <w:rFonts w:eastAsia="Times New Roman" w:cs="Times New Roman"/>
          <w:sz w:val="24"/>
          <w:szCs w:val="24"/>
          <w:lang w:val="en-US" w:eastAsia="en-AU"/>
        </w:rPr>
        <w:t>has not been stayed and is</w:t>
      </w:r>
      <w:r w:rsidR="001F4ED8">
        <w:rPr>
          <w:rFonts w:eastAsia="Times New Roman" w:cs="Times New Roman"/>
          <w:sz w:val="24"/>
          <w:szCs w:val="24"/>
          <w:lang w:val="en-US" w:eastAsia="en-AU"/>
        </w:rPr>
        <w:t xml:space="preserve"> no more than six years old.  </w:t>
      </w:r>
    </w:p>
    <w:p w:rsidR="005E3C3F" w:rsidRPr="00D846F1" w:rsidRDefault="00351BE2" w:rsidP="00D846F1">
      <w:pPr>
        <w:pStyle w:val="ListParagraph"/>
        <w:numPr>
          <w:ilvl w:val="1"/>
          <w:numId w:val="29"/>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 bankruptcy n</w:t>
      </w:r>
      <w:r w:rsidR="001147D7">
        <w:rPr>
          <w:rFonts w:eastAsia="Times New Roman" w:cs="Times New Roman"/>
          <w:sz w:val="24"/>
          <w:szCs w:val="24"/>
          <w:lang w:val="en-US" w:eastAsia="en-AU"/>
        </w:rPr>
        <w:t xml:space="preserve">otice is given effect by serving the document on the debtor. </w:t>
      </w:r>
      <w:r>
        <w:rPr>
          <w:rFonts w:eastAsia="Times New Roman" w:cs="Times New Roman"/>
          <w:sz w:val="24"/>
          <w:szCs w:val="24"/>
          <w:lang w:val="en-US" w:eastAsia="en-AU"/>
        </w:rPr>
        <w:t>A creditor must serve the bankruptcy n</w:t>
      </w:r>
      <w:r w:rsidR="00F577F4" w:rsidRPr="00281287">
        <w:rPr>
          <w:rFonts w:eastAsia="Times New Roman" w:cs="Times New Roman"/>
          <w:sz w:val="24"/>
          <w:szCs w:val="24"/>
          <w:lang w:val="en-US" w:eastAsia="en-AU"/>
        </w:rPr>
        <w:t xml:space="preserve">otice within 6 months of the date it was issued unless AFSA has extended the life of the notice.  </w:t>
      </w:r>
    </w:p>
    <w:p w:rsidR="005E3C3F" w:rsidRPr="00281287" w:rsidRDefault="001147D7" w:rsidP="00281287">
      <w:pPr>
        <w:pStyle w:val="ListParagraph"/>
        <w:numPr>
          <w:ilvl w:val="1"/>
          <w:numId w:val="29"/>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Once served, the terms of a </w:t>
      </w:r>
      <w:r w:rsidR="00351BE2">
        <w:rPr>
          <w:rFonts w:eastAsia="Times New Roman" w:cs="Times New Roman"/>
          <w:sz w:val="24"/>
          <w:szCs w:val="24"/>
          <w:lang w:val="en-US" w:eastAsia="en-AU"/>
        </w:rPr>
        <w:t>b</w:t>
      </w:r>
      <w:r w:rsidR="00B60026">
        <w:rPr>
          <w:rFonts w:eastAsia="Times New Roman" w:cs="Times New Roman"/>
          <w:sz w:val="24"/>
          <w:szCs w:val="24"/>
          <w:lang w:val="en-US" w:eastAsia="en-AU"/>
        </w:rPr>
        <w:t>ankrupt</w:t>
      </w:r>
      <w:r w:rsidR="00351BE2">
        <w:rPr>
          <w:rFonts w:eastAsia="Times New Roman" w:cs="Times New Roman"/>
          <w:sz w:val="24"/>
          <w:szCs w:val="24"/>
          <w:lang w:val="en-US" w:eastAsia="en-AU"/>
        </w:rPr>
        <w:t>cy n</w:t>
      </w:r>
      <w:r>
        <w:rPr>
          <w:rFonts w:eastAsia="Times New Roman" w:cs="Times New Roman"/>
          <w:sz w:val="24"/>
          <w:szCs w:val="24"/>
          <w:lang w:val="en-US" w:eastAsia="en-AU"/>
        </w:rPr>
        <w:t>otice require the debtor to comply with the notice within 21 days. Relevantly, the debtor may:</w:t>
      </w:r>
    </w:p>
    <w:p w:rsidR="005E3C3F" w:rsidRDefault="001147D7" w:rsidP="00D846F1">
      <w:pPr>
        <w:pStyle w:val="ListParagraph"/>
        <w:numPr>
          <w:ilvl w:val="0"/>
          <w:numId w:val="4"/>
        </w:numPr>
        <w:spacing w:after="240"/>
        <w:ind w:left="1134" w:hanging="425"/>
        <w:contextualSpacing w:val="0"/>
        <w:jc w:val="both"/>
        <w:rPr>
          <w:rFonts w:cs="Times New Roman"/>
          <w:sz w:val="24"/>
          <w:szCs w:val="24"/>
        </w:rPr>
      </w:pPr>
      <w:r>
        <w:rPr>
          <w:rFonts w:cs="Times New Roman"/>
          <w:sz w:val="24"/>
          <w:szCs w:val="24"/>
        </w:rPr>
        <w:t xml:space="preserve">pay the creditor </w:t>
      </w:r>
      <w:r w:rsidR="00F6642A">
        <w:rPr>
          <w:rFonts w:cs="Times New Roman"/>
          <w:sz w:val="24"/>
          <w:szCs w:val="24"/>
        </w:rPr>
        <w:t>the amount of the debt claimed</w:t>
      </w:r>
    </w:p>
    <w:p w:rsidR="001147D7" w:rsidRPr="00D846F1" w:rsidRDefault="001147D7" w:rsidP="001147D7">
      <w:pPr>
        <w:pStyle w:val="ListParagraph"/>
        <w:numPr>
          <w:ilvl w:val="0"/>
          <w:numId w:val="4"/>
        </w:numPr>
        <w:spacing w:after="240"/>
        <w:ind w:left="1134" w:hanging="425"/>
        <w:contextualSpacing w:val="0"/>
        <w:jc w:val="both"/>
        <w:rPr>
          <w:rFonts w:cs="Times New Roman"/>
          <w:sz w:val="24"/>
          <w:szCs w:val="24"/>
        </w:rPr>
      </w:pPr>
      <w:r>
        <w:rPr>
          <w:rFonts w:cs="Times New Roman"/>
          <w:sz w:val="24"/>
          <w:szCs w:val="24"/>
        </w:rPr>
        <w:t>make arrangements to the creditor’s satisfac</w:t>
      </w:r>
      <w:r w:rsidR="00F6642A">
        <w:rPr>
          <w:rFonts w:cs="Times New Roman"/>
          <w:sz w:val="24"/>
          <w:szCs w:val="24"/>
        </w:rPr>
        <w:t>tion for settlement of the debt,</w:t>
      </w:r>
      <w:r>
        <w:rPr>
          <w:rFonts w:cs="Times New Roman"/>
          <w:sz w:val="24"/>
          <w:szCs w:val="24"/>
        </w:rPr>
        <w:t xml:space="preserve"> or</w:t>
      </w:r>
    </w:p>
    <w:p w:rsidR="005E3C3F" w:rsidRPr="00D846F1" w:rsidRDefault="001147D7" w:rsidP="00D846F1">
      <w:pPr>
        <w:pStyle w:val="ListParagraph"/>
        <w:numPr>
          <w:ilvl w:val="0"/>
          <w:numId w:val="4"/>
        </w:numPr>
        <w:spacing w:after="240"/>
        <w:ind w:left="1134" w:hanging="425"/>
        <w:contextualSpacing w:val="0"/>
        <w:jc w:val="both"/>
        <w:rPr>
          <w:rFonts w:cs="Times New Roman"/>
          <w:sz w:val="24"/>
          <w:szCs w:val="24"/>
        </w:rPr>
      </w:pPr>
      <w:r>
        <w:rPr>
          <w:rFonts w:cs="Times New Roman"/>
          <w:sz w:val="24"/>
          <w:szCs w:val="24"/>
        </w:rPr>
        <w:t>a</w:t>
      </w:r>
      <w:r w:rsidR="005E3C3F" w:rsidRPr="00281287">
        <w:rPr>
          <w:rFonts w:cs="Times New Roman"/>
          <w:sz w:val="24"/>
          <w:szCs w:val="24"/>
        </w:rPr>
        <w:t>pply to the Court to set aside</w:t>
      </w:r>
      <w:r w:rsidR="00351BE2">
        <w:rPr>
          <w:rFonts w:cs="Times New Roman"/>
          <w:sz w:val="24"/>
          <w:szCs w:val="24"/>
        </w:rPr>
        <w:t xml:space="preserve"> the bankruptcy n</w:t>
      </w:r>
      <w:r w:rsidR="00415709">
        <w:rPr>
          <w:rFonts w:cs="Times New Roman"/>
          <w:sz w:val="24"/>
          <w:szCs w:val="24"/>
        </w:rPr>
        <w:t>otice</w:t>
      </w:r>
      <w:r w:rsidR="005E3C3F" w:rsidRPr="00281287">
        <w:rPr>
          <w:rFonts w:cs="Times New Roman"/>
          <w:sz w:val="24"/>
          <w:szCs w:val="24"/>
        </w:rPr>
        <w:t xml:space="preserve"> and/or extend time for compliance with the notice. </w:t>
      </w:r>
    </w:p>
    <w:p w:rsidR="006B7F03" w:rsidRDefault="006B7F03" w:rsidP="00281287">
      <w:pPr>
        <w:pStyle w:val="ListParagraph"/>
        <w:numPr>
          <w:ilvl w:val="1"/>
          <w:numId w:val="29"/>
        </w:numPr>
        <w:spacing w:after="240"/>
        <w:ind w:left="709" w:hanging="709"/>
        <w:contextualSpacing w:val="0"/>
        <w:jc w:val="both"/>
        <w:rPr>
          <w:rFonts w:cs="Times New Roman"/>
          <w:sz w:val="24"/>
          <w:szCs w:val="24"/>
        </w:rPr>
      </w:pPr>
      <w:r>
        <w:rPr>
          <w:rFonts w:cs="Times New Roman"/>
          <w:sz w:val="24"/>
          <w:szCs w:val="24"/>
        </w:rPr>
        <w:t xml:space="preserve">If the debtor does not comply </w:t>
      </w:r>
      <w:r w:rsidR="00351BE2">
        <w:rPr>
          <w:rFonts w:cs="Times New Roman"/>
          <w:sz w:val="24"/>
          <w:szCs w:val="24"/>
        </w:rPr>
        <w:t>within 21 days of service of a b</w:t>
      </w:r>
      <w:r>
        <w:rPr>
          <w:rFonts w:cs="Times New Roman"/>
          <w:sz w:val="24"/>
          <w:szCs w:val="24"/>
        </w:rPr>
        <w:t xml:space="preserve">ankruptcy </w:t>
      </w:r>
      <w:r w:rsidR="00351BE2">
        <w:rPr>
          <w:rFonts w:cs="Times New Roman"/>
          <w:sz w:val="24"/>
          <w:szCs w:val="24"/>
        </w:rPr>
        <w:t>n</w:t>
      </w:r>
      <w:r>
        <w:rPr>
          <w:rFonts w:cs="Times New Roman"/>
          <w:sz w:val="24"/>
          <w:szCs w:val="24"/>
        </w:rPr>
        <w:t>otice, the debtor will commit an act of bankruptcy (see</w:t>
      </w:r>
      <w:r w:rsidRPr="00281287">
        <w:rPr>
          <w:rFonts w:cs="Times New Roman"/>
          <w:sz w:val="24"/>
          <w:szCs w:val="24"/>
        </w:rPr>
        <w:t xml:space="preserve"> s</w:t>
      </w:r>
      <w:r w:rsidR="00C96139">
        <w:rPr>
          <w:rFonts w:cs="Times New Roman"/>
          <w:sz w:val="24"/>
          <w:szCs w:val="24"/>
        </w:rPr>
        <w:t xml:space="preserve"> </w:t>
      </w:r>
      <w:r w:rsidRPr="00281287">
        <w:rPr>
          <w:rFonts w:cs="Times New Roman"/>
          <w:sz w:val="24"/>
          <w:szCs w:val="24"/>
        </w:rPr>
        <w:t xml:space="preserve">40(1)(g) of the </w:t>
      </w:r>
      <w:r w:rsidRPr="00C96139">
        <w:rPr>
          <w:rFonts w:cs="Times New Roman"/>
          <w:sz w:val="24"/>
          <w:szCs w:val="24"/>
        </w:rPr>
        <w:t>Bankruptcy Act</w:t>
      </w:r>
      <w:r>
        <w:rPr>
          <w:rFonts w:cs="Times New Roman"/>
          <w:sz w:val="24"/>
          <w:szCs w:val="24"/>
        </w:rPr>
        <w:t xml:space="preserve">). </w:t>
      </w:r>
      <w:r w:rsidR="00244337">
        <w:rPr>
          <w:rFonts w:cs="Times New Roman"/>
          <w:sz w:val="24"/>
          <w:szCs w:val="24"/>
        </w:rPr>
        <w:t xml:space="preserve">The </w:t>
      </w:r>
      <w:r>
        <w:rPr>
          <w:rFonts w:cs="Times New Roman"/>
          <w:sz w:val="24"/>
          <w:szCs w:val="24"/>
        </w:rPr>
        <w:t xml:space="preserve">creditor </w:t>
      </w:r>
      <w:r w:rsidR="00244337">
        <w:rPr>
          <w:rFonts w:cs="Times New Roman"/>
          <w:sz w:val="24"/>
          <w:szCs w:val="24"/>
        </w:rPr>
        <w:t xml:space="preserve">who served the notice </w:t>
      </w:r>
      <w:r>
        <w:rPr>
          <w:rFonts w:cs="Times New Roman"/>
          <w:sz w:val="24"/>
          <w:szCs w:val="24"/>
        </w:rPr>
        <w:t xml:space="preserve">may then present a </w:t>
      </w:r>
      <w:r w:rsidR="00351BE2">
        <w:rPr>
          <w:rFonts w:cs="Times New Roman"/>
          <w:sz w:val="24"/>
          <w:szCs w:val="24"/>
        </w:rPr>
        <w:t>c</w:t>
      </w:r>
      <w:r w:rsidR="00230BA8">
        <w:rPr>
          <w:rFonts w:cs="Times New Roman"/>
          <w:sz w:val="24"/>
          <w:szCs w:val="24"/>
        </w:rPr>
        <w:t xml:space="preserve">reditor’s </w:t>
      </w:r>
      <w:r w:rsidR="00351BE2">
        <w:rPr>
          <w:rFonts w:cs="Times New Roman"/>
          <w:sz w:val="24"/>
          <w:szCs w:val="24"/>
        </w:rPr>
        <w:t>p</w:t>
      </w:r>
      <w:r>
        <w:rPr>
          <w:rFonts w:cs="Times New Roman"/>
          <w:sz w:val="24"/>
          <w:szCs w:val="24"/>
        </w:rPr>
        <w:t xml:space="preserve">etition based on the act of bankruptcy seeking an order that the debtor be made </w:t>
      </w:r>
      <w:r w:rsidR="00230BA8">
        <w:rPr>
          <w:rFonts w:cs="Times New Roman"/>
          <w:sz w:val="24"/>
          <w:szCs w:val="24"/>
        </w:rPr>
        <w:t xml:space="preserve">a </w:t>
      </w:r>
      <w:r>
        <w:rPr>
          <w:rFonts w:cs="Times New Roman"/>
          <w:sz w:val="24"/>
          <w:szCs w:val="24"/>
        </w:rPr>
        <w:t xml:space="preserve">bankrupt. </w:t>
      </w:r>
    </w:p>
    <w:p w:rsidR="00362EDD" w:rsidRDefault="00362EDD" w:rsidP="006B7F03">
      <w:pPr>
        <w:pStyle w:val="ListParagraph"/>
        <w:numPr>
          <w:ilvl w:val="1"/>
          <w:numId w:val="29"/>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This </w:t>
      </w:r>
      <w:r w:rsidR="00C96139">
        <w:rPr>
          <w:rFonts w:eastAsia="Times New Roman" w:cs="Times New Roman"/>
          <w:sz w:val="24"/>
          <w:szCs w:val="24"/>
          <w:lang w:val="en-US" w:eastAsia="en-AU"/>
        </w:rPr>
        <w:t>i</w:t>
      </w:r>
      <w:r w:rsidR="00895DE3">
        <w:rPr>
          <w:rFonts w:eastAsia="Times New Roman" w:cs="Times New Roman"/>
          <w:sz w:val="24"/>
          <w:szCs w:val="24"/>
          <w:lang w:val="en-US" w:eastAsia="en-AU"/>
        </w:rPr>
        <w:t>nfo</w:t>
      </w:r>
      <w:r w:rsidR="00004207">
        <w:rPr>
          <w:rFonts w:eastAsia="Times New Roman" w:cs="Times New Roman"/>
          <w:sz w:val="24"/>
          <w:szCs w:val="24"/>
          <w:lang w:val="en-US" w:eastAsia="en-AU"/>
        </w:rPr>
        <w:t>rmation</w:t>
      </w:r>
      <w:r>
        <w:rPr>
          <w:rFonts w:eastAsia="Times New Roman" w:cs="Times New Roman"/>
          <w:sz w:val="24"/>
          <w:szCs w:val="24"/>
          <w:lang w:val="en-US" w:eastAsia="en-AU"/>
        </w:rPr>
        <w:t xml:space="preserve"> </w:t>
      </w:r>
      <w:r w:rsidR="00C96139">
        <w:rPr>
          <w:rFonts w:eastAsia="Times New Roman" w:cs="Times New Roman"/>
          <w:sz w:val="24"/>
          <w:szCs w:val="24"/>
          <w:lang w:val="en-US" w:eastAsia="en-AU"/>
        </w:rPr>
        <w:t>s</w:t>
      </w:r>
      <w:r>
        <w:rPr>
          <w:rFonts w:eastAsia="Times New Roman" w:cs="Times New Roman"/>
          <w:sz w:val="24"/>
          <w:szCs w:val="24"/>
          <w:lang w:val="en-US" w:eastAsia="en-AU"/>
        </w:rPr>
        <w:t>heet sets out general information on a debtor’s rights to apply to the Court to set aside and/or ext</w:t>
      </w:r>
      <w:r w:rsidR="00351BE2">
        <w:rPr>
          <w:rFonts w:eastAsia="Times New Roman" w:cs="Times New Roman"/>
          <w:sz w:val="24"/>
          <w:szCs w:val="24"/>
          <w:lang w:val="en-US" w:eastAsia="en-AU"/>
        </w:rPr>
        <w:t>end time for compliance with a bankruptcy n</w:t>
      </w:r>
      <w:r>
        <w:rPr>
          <w:rFonts w:eastAsia="Times New Roman" w:cs="Times New Roman"/>
          <w:sz w:val="24"/>
          <w:szCs w:val="24"/>
          <w:lang w:val="en-US" w:eastAsia="en-AU"/>
        </w:rPr>
        <w:t xml:space="preserve">otice. The </w:t>
      </w:r>
      <w:r w:rsidR="00B60026">
        <w:rPr>
          <w:rFonts w:eastAsia="Times New Roman" w:cs="Times New Roman"/>
          <w:sz w:val="24"/>
          <w:szCs w:val="24"/>
          <w:lang w:val="en-US" w:eastAsia="en-AU"/>
        </w:rPr>
        <w:t>i</w:t>
      </w:r>
      <w:r w:rsidR="00895DE3">
        <w:rPr>
          <w:rFonts w:eastAsia="Times New Roman" w:cs="Times New Roman"/>
          <w:sz w:val="24"/>
          <w:szCs w:val="24"/>
          <w:lang w:val="en-US" w:eastAsia="en-AU"/>
        </w:rPr>
        <w:t>nfo</w:t>
      </w:r>
      <w:r w:rsidR="00004207">
        <w:rPr>
          <w:rFonts w:eastAsia="Times New Roman" w:cs="Times New Roman"/>
          <w:sz w:val="24"/>
          <w:szCs w:val="24"/>
          <w:lang w:val="en-US" w:eastAsia="en-AU"/>
        </w:rPr>
        <w:t>rmation</w:t>
      </w:r>
      <w:r w:rsidR="00B60026">
        <w:rPr>
          <w:rFonts w:eastAsia="Times New Roman" w:cs="Times New Roman"/>
          <w:sz w:val="24"/>
          <w:szCs w:val="24"/>
          <w:lang w:val="en-US" w:eastAsia="en-AU"/>
        </w:rPr>
        <w:t xml:space="preserve"> s</w:t>
      </w:r>
      <w:r>
        <w:rPr>
          <w:rFonts w:eastAsia="Times New Roman" w:cs="Times New Roman"/>
          <w:sz w:val="24"/>
          <w:szCs w:val="24"/>
          <w:lang w:val="en-US" w:eastAsia="en-AU"/>
        </w:rPr>
        <w:t>heet is divided into the following parts:</w:t>
      </w:r>
    </w:p>
    <w:p w:rsidR="00362EDD" w:rsidRDefault="00362EDD" w:rsidP="00362EDD">
      <w:pPr>
        <w:pStyle w:val="ListParagraph"/>
        <w:numPr>
          <w:ilvl w:val="0"/>
          <w:numId w:val="42"/>
        </w:numPr>
        <w:spacing w:after="240"/>
        <w:ind w:left="1134" w:hanging="425"/>
        <w:contextualSpacing w:val="0"/>
        <w:jc w:val="both"/>
        <w:rPr>
          <w:rFonts w:eastAsia="Times New Roman" w:cs="Times New Roman"/>
          <w:sz w:val="24"/>
          <w:szCs w:val="24"/>
          <w:lang w:val="en-US" w:eastAsia="en-AU"/>
        </w:rPr>
      </w:pPr>
      <w:r w:rsidRPr="00362EDD">
        <w:rPr>
          <w:rFonts w:eastAsia="Times New Roman" w:cs="Times New Roman"/>
          <w:b/>
          <w:sz w:val="24"/>
          <w:szCs w:val="24"/>
          <w:lang w:val="en-US" w:eastAsia="en-AU"/>
        </w:rPr>
        <w:t>First</w:t>
      </w:r>
      <w:r>
        <w:rPr>
          <w:rFonts w:eastAsia="Times New Roman" w:cs="Times New Roman"/>
          <w:sz w:val="24"/>
          <w:szCs w:val="24"/>
          <w:lang w:val="en-US" w:eastAsia="en-AU"/>
        </w:rPr>
        <w:t>, t</w:t>
      </w:r>
      <w:r w:rsidRPr="00362EDD">
        <w:rPr>
          <w:rFonts w:eastAsia="Times New Roman" w:cs="Times New Roman"/>
          <w:sz w:val="24"/>
          <w:szCs w:val="24"/>
          <w:lang w:val="en-US" w:eastAsia="en-AU"/>
        </w:rPr>
        <w:t>he</w:t>
      </w:r>
      <w:r>
        <w:rPr>
          <w:rFonts w:eastAsia="Times New Roman" w:cs="Times New Roman"/>
          <w:sz w:val="24"/>
          <w:szCs w:val="24"/>
          <w:lang w:val="en-US" w:eastAsia="en-AU"/>
        </w:rPr>
        <w:t xml:space="preserve"> time period in which a set as</w:t>
      </w:r>
      <w:r w:rsidR="00F6642A">
        <w:rPr>
          <w:rFonts w:eastAsia="Times New Roman" w:cs="Times New Roman"/>
          <w:sz w:val="24"/>
          <w:szCs w:val="24"/>
          <w:lang w:val="en-US" w:eastAsia="en-AU"/>
        </w:rPr>
        <w:t>ide application must be brought</w:t>
      </w:r>
    </w:p>
    <w:p w:rsidR="00362EDD" w:rsidRDefault="0037133B" w:rsidP="00362EDD">
      <w:pPr>
        <w:pStyle w:val="ListParagraph"/>
        <w:numPr>
          <w:ilvl w:val="0"/>
          <w:numId w:val="42"/>
        </w:numPr>
        <w:spacing w:after="240"/>
        <w:ind w:left="1134" w:hanging="425"/>
        <w:contextualSpacing w:val="0"/>
        <w:jc w:val="both"/>
        <w:rPr>
          <w:rFonts w:eastAsia="Times New Roman" w:cs="Times New Roman"/>
          <w:sz w:val="24"/>
          <w:szCs w:val="24"/>
          <w:lang w:val="en-US" w:eastAsia="en-AU"/>
        </w:rPr>
      </w:pPr>
      <w:r>
        <w:rPr>
          <w:rFonts w:eastAsia="Times New Roman" w:cs="Times New Roman"/>
          <w:b/>
          <w:sz w:val="24"/>
          <w:szCs w:val="24"/>
          <w:lang w:val="en-US" w:eastAsia="en-AU"/>
        </w:rPr>
        <w:t>Secondly</w:t>
      </w:r>
      <w:r w:rsidR="002727FB">
        <w:rPr>
          <w:rFonts w:eastAsia="Times New Roman" w:cs="Times New Roman"/>
          <w:sz w:val="24"/>
          <w:szCs w:val="24"/>
          <w:lang w:val="en-US" w:eastAsia="en-AU"/>
        </w:rPr>
        <w:t xml:space="preserve">, </w:t>
      </w:r>
      <w:r w:rsidR="00362EDD" w:rsidRPr="002727FB">
        <w:rPr>
          <w:rFonts w:eastAsia="Times New Roman" w:cs="Times New Roman"/>
          <w:sz w:val="24"/>
          <w:szCs w:val="24"/>
          <w:lang w:val="en-US" w:eastAsia="en-AU"/>
        </w:rPr>
        <w:t>the</w:t>
      </w:r>
      <w:r w:rsidR="00362EDD">
        <w:rPr>
          <w:rFonts w:eastAsia="Times New Roman" w:cs="Times New Roman"/>
          <w:sz w:val="24"/>
          <w:szCs w:val="24"/>
          <w:lang w:val="en-US" w:eastAsia="en-AU"/>
        </w:rPr>
        <w:t xml:space="preserve"> grounds which may be relied </w:t>
      </w:r>
      <w:r w:rsidR="005849B4">
        <w:rPr>
          <w:rFonts w:eastAsia="Times New Roman" w:cs="Times New Roman"/>
          <w:sz w:val="24"/>
          <w:szCs w:val="24"/>
          <w:lang w:val="en-US" w:eastAsia="en-AU"/>
        </w:rPr>
        <w:t>on</w:t>
      </w:r>
      <w:r w:rsidR="00362EDD">
        <w:rPr>
          <w:rFonts w:eastAsia="Times New Roman" w:cs="Times New Roman"/>
          <w:sz w:val="24"/>
          <w:szCs w:val="24"/>
          <w:lang w:val="en-US" w:eastAsia="en-AU"/>
        </w:rPr>
        <w:t xml:space="preserve"> to </w:t>
      </w:r>
      <w:r w:rsidR="00230BA8">
        <w:rPr>
          <w:rFonts w:eastAsia="Times New Roman" w:cs="Times New Roman"/>
          <w:sz w:val="24"/>
          <w:szCs w:val="24"/>
          <w:lang w:val="en-US" w:eastAsia="en-AU"/>
        </w:rPr>
        <w:t>app</w:t>
      </w:r>
      <w:r w:rsidR="00B60026">
        <w:rPr>
          <w:rFonts w:eastAsia="Times New Roman" w:cs="Times New Roman"/>
          <w:sz w:val="24"/>
          <w:szCs w:val="24"/>
          <w:lang w:val="en-US" w:eastAsia="en-AU"/>
        </w:rPr>
        <w:t xml:space="preserve">ly to the </w:t>
      </w:r>
      <w:r w:rsidR="00351BE2">
        <w:rPr>
          <w:rFonts w:eastAsia="Times New Roman" w:cs="Times New Roman"/>
          <w:sz w:val="24"/>
          <w:szCs w:val="24"/>
          <w:lang w:val="en-US" w:eastAsia="en-AU"/>
        </w:rPr>
        <w:t>Court to set aside a b</w:t>
      </w:r>
      <w:r w:rsidR="00230BA8">
        <w:rPr>
          <w:rFonts w:eastAsia="Times New Roman" w:cs="Times New Roman"/>
          <w:sz w:val="24"/>
          <w:szCs w:val="24"/>
          <w:lang w:val="en-US" w:eastAsia="en-AU"/>
        </w:rPr>
        <w:t xml:space="preserve">ankruptcy </w:t>
      </w:r>
      <w:r w:rsidR="00351BE2">
        <w:rPr>
          <w:rFonts w:eastAsia="Times New Roman" w:cs="Times New Roman"/>
          <w:sz w:val="24"/>
          <w:szCs w:val="24"/>
          <w:lang w:val="en-US" w:eastAsia="en-AU"/>
        </w:rPr>
        <w:t>n</w:t>
      </w:r>
      <w:r w:rsidR="00230BA8">
        <w:rPr>
          <w:rFonts w:eastAsia="Times New Roman" w:cs="Times New Roman"/>
          <w:sz w:val="24"/>
          <w:szCs w:val="24"/>
          <w:lang w:val="en-US" w:eastAsia="en-AU"/>
        </w:rPr>
        <w:t>otice or extend time for compliance</w:t>
      </w:r>
      <w:r w:rsidR="00362EDD">
        <w:rPr>
          <w:rFonts w:eastAsia="Times New Roman" w:cs="Times New Roman"/>
          <w:sz w:val="24"/>
          <w:szCs w:val="24"/>
          <w:lang w:val="en-US" w:eastAsia="en-AU"/>
        </w:rPr>
        <w:t xml:space="preserve"> </w:t>
      </w:r>
    </w:p>
    <w:p w:rsidR="00362EDD" w:rsidRDefault="0037133B" w:rsidP="00362EDD">
      <w:pPr>
        <w:pStyle w:val="ListParagraph"/>
        <w:numPr>
          <w:ilvl w:val="0"/>
          <w:numId w:val="42"/>
        </w:numPr>
        <w:spacing w:after="240"/>
        <w:ind w:left="1134" w:hanging="425"/>
        <w:contextualSpacing w:val="0"/>
        <w:jc w:val="both"/>
        <w:rPr>
          <w:rFonts w:eastAsia="Times New Roman" w:cs="Times New Roman"/>
          <w:sz w:val="24"/>
          <w:szCs w:val="24"/>
          <w:lang w:val="en-US" w:eastAsia="en-AU"/>
        </w:rPr>
      </w:pPr>
      <w:r>
        <w:rPr>
          <w:rFonts w:eastAsia="Times New Roman" w:cs="Times New Roman"/>
          <w:b/>
          <w:sz w:val="24"/>
          <w:szCs w:val="24"/>
          <w:lang w:val="en-US" w:eastAsia="en-AU"/>
        </w:rPr>
        <w:t>Thirdly</w:t>
      </w:r>
      <w:r w:rsidR="00F6642A">
        <w:rPr>
          <w:rFonts w:eastAsia="Times New Roman" w:cs="Times New Roman"/>
          <w:sz w:val="24"/>
          <w:szCs w:val="24"/>
          <w:lang w:val="en-US" w:eastAsia="en-AU"/>
        </w:rPr>
        <w:t>, preparing the application</w:t>
      </w:r>
      <w:r w:rsidR="00230BA8">
        <w:rPr>
          <w:rFonts w:eastAsia="Times New Roman" w:cs="Times New Roman"/>
          <w:sz w:val="24"/>
          <w:szCs w:val="24"/>
          <w:lang w:val="en-US" w:eastAsia="en-AU"/>
        </w:rPr>
        <w:t xml:space="preserve"> </w:t>
      </w:r>
    </w:p>
    <w:p w:rsidR="00230BA8" w:rsidRDefault="0037133B" w:rsidP="00362EDD">
      <w:pPr>
        <w:pStyle w:val="ListParagraph"/>
        <w:numPr>
          <w:ilvl w:val="0"/>
          <w:numId w:val="42"/>
        </w:numPr>
        <w:spacing w:after="240"/>
        <w:ind w:left="1134" w:hanging="425"/>
        <w:contextualSpacing w:val="0"/>
        <w:jc w:val="both"/>
        <w:rPr>
          <w:rFonts w:eastAsia="Times New Roman" w:cs="Times New Roman"/>
          <w:sz w:val="24"/>
          <w:szCs w:val="24"/>
          <w:lang w:val="en-US" w:eastAsia="en-AU"/>
        </w:rPr>
      </w:pPr>
      <w:r>
        <w:rPr>
          <w:rFonts w:eastAsia="Times New Roman" w:cs="Times New Roman"/>
          <w:b/>
          <w:sz w:val="24"/>
          <w:szCs w:val="24"/>
          <w:lang w:val="en-US" w:eastAsia="en-AU"/>
        </w:rPr>
        <w:t>Fourthly</w:t>
      </w:r>
      <w:r w:rsidR="00362EDD">
        <w:rPr>
          <w:rFonts w:eastAsia="Times New Roman" w:cs="Times New Roman"/>
          <w:sz w:val="24"/>
          <w:szCs w:val="24"/>
          <w:lang w:val="en-US" w:eastAsia="en-AU"/>
        </w:rPr>
        <w:t xml:space="preserve">, </w:t>
      </w:r>
      <w:r w:rsidR="00230BA8">
        <w:rPr>
          <w:rFonts w:eastAsia="Times New Roman" w:cs="Times New Roman"/>
          <w:sz w:val="24"/>
          <w:szCs w:val="24"/>
          <w:lang w:val="en-US" w:eastAsia="en-AU"/>
        </w:rPr>
        <w:t>prepa</w:t>
      </w:r>
      <w:r w:rsidR="00F6642A">
        <w:rPr>
          <w:rFonts w:eastAsia="Times New Roman" w:cs="Times New Roman"/>
          <w:sz w:val="24"/>
          <w:szCs w:val="24"/>
          <w:lang w:val="en-US" w:eastAsia="en-AU"/>
        </w:rPr>
        <w:t>ring the accompanying documents,</w:t>
      </w:r>
      <w:r w:rsidR="00230BA8">
        <w:rPr>
          <w:rFonts w:eastAsia="Times New Roman" w:cs="Times New Roman"/>
          <w:sz w:val="24"/>
          <w:szCs w:val="24"/>
          <w:lang w:val="en-US" w:eastAsia="en-AU"/>
        </w:rPr>
        <w:t xml:space="preserve"> and</w:t>
      </w:r>
    </w:p>
    <w:p w:rsidR="00362EDD" w:rsidRDefault="00230BA8" w:rsidP="00362EDD">
      <w:pPr>
        <w:pStyle w:val="ListParagraph"/>
        <w:numPr>
          <w:ilvl w:val="0"/>
          <w:numId w:val="42"/>
        </w:numPr>
        <w:spacing w:after="240"/>
        <w:ind w:left="1134" w:hanging="425"/>
        <w:contextualSpacing w:val="0"/>
        <w:jc w:val="both"/>
        <w:rPr>
          <w:rFonts w:eastAsia="Times New Roman" w:cs="Times New Roman"/>
          <w:sz w:val="24"/>
          <w:szCs w:val="24"/>
          <w:lang w:val="en-US" w:eastAsia="en-AU"/>
        </w:rPr>
      </w:pPr>
      <w:r>
        <w:rPr>
          <w:rFonts w:eastAsia="Times New Roman" w:cs="Times New Roman"/>
          <w:b/>
          <w:sz w:val="24"/>
          <w:szCs w:val="24"/>
          <w:lang w:val="en-US" w:eastAsia="en-AU"/>
        </w:rPr>
        <w:t xml:space="preserve">Fifthly, </w:t>
      </w:r>
      <w:r w:rsidR="00362EDD">
        <w:rPr>
          <w:rFonts w:eastAsia="Times New Roman" w:cs="Times New Roman"/>
          <w:sz w:val="24"/>
          <w:szCs w:val="24"/>
          <w:lang w:val="en-US" w:eastAsia="en-AU"/>
        </w:rPr>
        <w:t>t</w:t>
      </w:r>
      <w:r w:rsidR="00362EDD" w:rsidRPr="00362EDD">
        <w:rPr>
          <w:rFonts w:eastAsia="Times New Roman" w:cs="Times New Roman"/>
          <w:sz w:val="24"/>
          <w:szCs w:val="24"/>
          <w:lang w:val="en-US" w:eastAsia="en-AU"/>
        </w:rPr>
        <w:t>he</w:t>
      </w:r>
      <w:r w:rsidR="00362EDD">
        <w:rPr>
          <w:rFonts w:eastAsia="Times New Roman" w:cs="Times New Roman"/>
          <w:sz w:val="24"/>
          <w:szCs w:val="24"/>
          <w:lang w:val="en-US" w:eastAsia="en-AU"/>
        </w:rPr>
        <w:t xml:space="preserve"> process for filing and </w:t>
      </w:r>
      <w:r w:rsidR="00544515">
        <w:rPr>
          <w:rFonts w:eastAsia="Times New Roman" w:cs="Times New Roman"/>
          <w:sz w:val="24"/>
          <w:szCs w:val="24"/>
          <w:lang w:val="en-US" w:eastAsia="en-AU"/>
        </w:rPr>
        <w:t>serving</w:t>
      </w:r>
      <w:r w:rsidR="00362EDD">
        <w:rPr>
          <w:rFonts w:eastAsia="Times New Roman" w:cs="Times New Roman"/>
          <w:sz w:val="24"/>
          <w:szCs w:val="24"/>
          <w:lang w:val="en-US" w:eastAsia="en-AU"/>
        </w:rPr>
        <w:t xml:space="preserve"> the application</w:t>
      </w:r>
      <w:r>
        <w:rPr>
          <w:rFonts w:eastAsia="Times New Roman" w:cs="Times New Roman"/>
          <w:sz w:val="24"/>
          <w:szCs w:val="24"/>
          <w:lang w:val="en-US" w:eastAsia="en-AU"/>
        </w:rPr>
        <w:t xml:space="preserve"> and accompanying documents</w:t>
      </w:r>
      <w:r w:rsidR="00362EDD">
        <w:rPr>
          <w:rFonts w:eastAsia="Times New Roman" w:cs="Times New Roman"/>
          <w:sz w:val="24"/>
          <w:szCs w:val="24"/>
          <w:lang w:val="en-US" w:eastAsia="en-AU"/>
        </w:rPr>
        <w:t>.</w:t>
      </w:r>
    </w:p>
    <w:p w:rsidR="00674405" w:rsidRPr="00281287" w:rsidRDefault="00C96139" w:rsidP="00672C38">
      <w:pPr>
        <w:pStyle w:val="ListParagraph"/>
        <w:keepNext/>
        <w:numPr>
          <w:ilvl w:val="0"/>
          <w:numId w:val="28"/>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When can an application be b</w:t>
      </w:r>
      <w:r w:rsidR="00230BA8">
        <w:rPr>
          <w:rFonts w:eastAsia="Times New Roman" w:cs="Arial"/>
          <w:b/>
          <w:sz w:val="28"/>
          <w:szCs w:val="28"/>
          <w:lang w:val="en-US" w:eastAsia="en-AU"/>
        </w:rPr>
        <w:t>rought?</w:t>
      </w:r>
    </w:p>
    <w:p w:rsidR="008C5E9C" w:rsidRDefault="006B7F03" w:rsidP="00672C38">
      <w:pPr>
        <w:pStyle w:val="ListParagraph"/>
        <w:keepNext/>
        <w:numPr>
          <w:ilvl w:val="1"/>
          <w:numId w:val="30"/>
        </w:numPr>
        <w:spacing w:after="240"/>
        <w:ind w:left="709" w:hanging="709"/>
        <w:contextualSpacing w:val="0"/>
        <w:jc w:val="both"/>
        <w:rPr>
          <w:rFonts w:eastAsia="Times New Roman" w:cs="Times New Roman"/>
          <w:sz w:val="24"/>
          <w:szCs w:val="24"/>
          <w:lang w:val="en-US" w:eastAsia="en-AU"/>
        </w:rPr>
      </w:pPr>
      <w:r w:rsidRPr="00281287">
        <w:rPr>
          <w:rFonts w:eastAsia="Times New Roman" w:cs="Times New Roman"/>
          <w:sz w:val="24"/>
          <w:szCs w:val="24"/>
          <w:lang w:val="en-US" w:eastAsia="en-AU"/>
        </w:rPr>
        <w:t>A debtor</w:t>
      </w:r>
      <w:r w:rsidR="009B38C7">
        <w:rPr>
          <w:rFonts w:eastAsia="Times New Roman" w:cs="Times New Roman"/>
          <w:sz w:val="24"/>
          <w:szCs w:val="24"/>
          <w:lang w:val="en-US" w:eastAsia="en-AU"/>
        </w:rPr>
        <w:t xml:space="preserve"> served in Australia</w:t>
      </w:r>
      <w:r w:rsidRPr="00281287">
        <w:rPr>
          <w:rFonts w:eastAsia="Times New Roman" w:cs="Times New Roman"/>
          <w:sz w:val="24"/>
          <w:szCs w:val="24"/>
          <w:lang w:val="en-US" w:eastAsia="en-AU"/>
        </w:rPr>
        <w:t xml:space="preserve"> has 21 days from the date of service</w:t>
      </w:r>
      <w:r w:rsidR="00351BE2">
        <w:rPr>
          <w:rFonts w:eastAsia="Times New Roman" w:cs="Times New Roman"/>
          <w:sz w:val="24"/>
          <w:szCs w:val="24"/>
          <w:lang w:val="en-US" w:eastAsia="en-AU"/>
        </w:rPr>
        <w:t xml:space="preserve"> of a bankruptcy n</w:t>
      </w:r>
      <w:r w:rsidR="00230BA8">
        <w:rPr>
          <w:rFonts w:eastAsia="Times New Roman" w:cs="Times New Roman"/>
          <w:sz w:val="24"/>
          <w:szCs w:val="24"/>
          <w:lang w:val="en-US" w:eastAsia="en-AU"/>
        </w:rPr>
        <w:t>otice</w:t>
      </w:r>
      <w:r w:rsidRPr="00281287">
        <w:rPr>
          <w:rFonts w:eastAsia="Times New Roman" w:cs="Times New Roman"/>
          <w:sz w:val="24"/>
          <w:szCs w:val="24"/>
          <w:lang w:val="en-US" w:eastAsia="en-AU"/>
        </w:rPr>
        <w:t xml:space="preserve"> to </w:t>
      </w:r>
      <w:r w:rsidR="00F70725">
        <w:rPr>
          <w:rFonts w:eastAsia="Times New Roman" w:cs="Times New Roman"/>
          <w:sz w:val="24"/>
          <w:szCs w:val="24"/>
          <w:lang w:val="en-US" w:eastAsia="en-AU"/>
        </w:rPr>
        <w:t xml:space="preserve">apply to </w:t>
      </w:r>
      <w:r w:rsidR="008C5E9C">
        <w:rPr>
          <w:rFonts w:eastAsia="Times New Roman" w:cs="Times New Roman"/>
          <w:sz w:val="24"/>
          <w:szCs w:val="24"/>
          <w:lang w:val="en-US" w:eastAsia="en-AU"/>
        </w:rPr>
        <w:t xml:space="preserve">the Court for it to be set aside. </w:t>
      </w:r>
    </w:p>
    <w:p w:rsidR="008C5E9C" w:rsidRDefault="00DA5E6B" w:rsidP="00672C38">
      <w:pPr>
        <w:pStyle w:val="ListParagraph"/>
        <w:numPr>
          <w:ilvl w:val="1"/>
          <w:numId w:val="30"/>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T</w:t>
      </w:r>
      <w:r w:rsidR="00E43A92">
        <w:rPr>
          <w:rFonts w:eastAsia="Times New Roman" w:cs="Times New Roman"/>
          <w:sz w:val="24"/>
          <w:szCs w:val="24"/>
          <w:lang w:val="en-US" w:eastAsia="en-AU"/>
        </w:rPr>
        <w:t>he Court will not have</w:t>
      </w:r>
      <w:r w:rsidR="00351BE2">
        <w:rPr>
          <w:rFonts w:eastAsia="Times New Roman" w:cs="Times New Roman"/>
          <w:sz w:val="24"/>
          <w:szCs w:val="24"/>
          <w:lang w:val="en-US" w:eastAsia="en-AU"/>
        </w:rPr>
        <w:t xml:space="preserve"> jurisdiction to set aside the bankruptcy n</w:t>
      </w:r>
      <w:r w:rsidR="00E43A92">
        <w:rPr>
          <w:rFonts w:eastAsia="Times New Roman" w:cs="Times New Roman"/>
          <w:sz w:val="24"/>
          <w:szCs w:val="24"/>
          <w:lang w:val="en-US" w:eastAsia="en-AU"/>
        </w:rPr>
        <w:t xml:space="preserve">otice or extend time for compliance if the debtor has brought the application outside of the </w:t>
      </w:r>
      <w:r w:rsidR="00F70725">
        <w:rPr>
          <w:rFonts w:eastAsia="Times New Roman" w:cs="Times New Roman"/>
          <w:sz w:val="24"/>
          <w:szCs w:val="24"/>
          <w:lang w:val="en-US" w:eastAsia="en-AU"/>
        </w:rPr>
        <w:t xml:space="preserve">21 day </w:t>
      </w:r>
      <w:r w:rsidR="00230BA8">
        <w:rPr>
          <w:rFonts w:eastAsia="Times New Roman" w:cs="Times New Roman"/>
          <w:sz w:val="24"/>
          <w:szCs w:val="24"/>
          <w:lang w:val="en-US" w:eastAsia="en-AU"/>
        </w:rPr>
        <w:t xml:space="preserve">compliance </w:t>
      </w:r>
      <w:r w:rsidR="00F70725">
        <w:rPr>
          <w:rFonts w:eastAsia="Times New Roman" w:cs="Times New Roman"/>
          <w:sz w:val="24"/>
          <w:szCs w:val="24"/>
          <w:lang w:val="en-US" w:eastAsia="en-AU"/>
        </w:rPr>
        <w:t>period</w:t>
      </w:r>
      <w:r w:rsidR="00E43A92">
        <w:rPr>
          <w:rFonts w:eastAsia="Times New Roman" w:cs="Times New Roman"/>
          <w:sz w:val="24"/>
          <w:szCs w:val="24"/>
          <w:lang w:val="en-US" w:eastAsia="en-AU"/>
        </w:rPr>
        <w:t xml:space="preserve">. The only exception is </w:t>
      </w:r>
      <w:r w:rsidR="002727FB">
        <w:rPr>
          <w:rFonts w:eastAsia="Times New Roman" w:cs="Times New Roman"/>
          <w:sz w:val="24"/>
          <w:szCs w:val="24"/>
          <w:lang w:val="en-US" w:eastAsia="en-AU"/>
        </w:rPr>
        <w:t>where the debtor has</w:t>
      </w:r>
      <w:r w:rsidR="00E43A92">
        <w:rPr>
          <w:rFonts w:eastAsia="Times New Roman" w:cs="Times New Roman"/>
          <w:sz w:val="24"/>
          <w:szCs w:val="24"/>
          <w:lang w:val="en-US" w:eastAsia="en-AU"/>
        </w:rPr>
        <w:t xml:space="preserve"> instituted separate proceedings </w:t>
      </w:r>
      <w:r w:rsidR="002727FB">
        <w:rPr>
          <w:rFonts w:eastAsia="Times New Roman" w:cs="Times New Roman"/>
          <w:sz w:val="24"/>
          <w:szCs w:val="24"/>
          <w:lang w:val="en-US" w:eastAsia="en-AU"/>
        </w:rPr>
        <w:t xml:space="preserve">within the 21 day period </w:t>
      </w:r>
      <w:r w:rsidR="00E43A92">
        <w:rPr>
          <w:rFonts w:eastAsia="Times New Roman" w:cs="Times New Roman"/>
          <w:sz w:val="24"/>
          <w:szCs w:val="24"/>
          <w:lang w:val="en-US" w:eastAsia="en-AU"/>
        </w:rPr>
        <w:t xml:space="preserve">to set aside </w:t>
      </w:r>
      <w:r w:rsidR="00C96139">
        <w:rPr>
          <w:rFonts w:eastAsia="Times New Roman" w:cs="Times New Roman"/>
          <w:sz w:val="24"/>
          <w:szCs w:val="24"/>
          <w:lang w:val="en-US" w:eastAsia="en-AU"/>
        </w:rPr>
        <w:t>the judgment debt on whi</w:t>
      </w:r>
      <w:r w:rsidR="00351BE2">
        <w:rPr>
          <w:rFonts w:eastAsia="Times New Roman" w:cs="Times New Roman"/>
          <w:sz w:val="24"/>
          <w:szCs w:val="24"/>
          <w:lang w:val="en-US" w:eastAsia="en-AU"/>
        </w:rPr>
        <w:t>ch the bankruptcy n</w:t>
      </w:r>
      <w:r w:rsidR="00E43A92">
        <w:rPr>
          <w:rFonts w:eastAsia="Times New Roman" w:cs="Times New Roman"/>
          <w:sz w:val="24"/>
          <w:szCs w:val="24"/>
          <w:lang w:val="en-US" w:eastAsia="en-AU"/>
        </w:rPr>
        <w:t>otice is founded.</w:t>
      </w:r>
    </w:p>
    <w:p w:rsidR="00955ED7" w:rsidRPr="00281287" w:rsidRDefault="00E43A92" w:rsidP="00281287">
      <w:pPr>
        <w:pStyle w:val="ListParagraph"/>
        <w:numPr>
          <w:ilvl w:val="1"/>
          <w:numId w:val="30"/>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Accordingly, a</w:t>
      </w:r>
      <w:r w:rsidR="00C96139">
        <w:rPr>
          <w:rFonts w:eastAsia="Times New Roman" w:cs="Times New Roman"/>
          <w:sz w:val="24"/>
          <w:szCs w:val="24"/>
          <w:lang w:val="en-US" w:eastAsia="en-AU"/>
        </w:rPr>
        <w:t xml:space="preserve"> debtor served with a </w:t>
      </w:r>
      <w:r w:rsidR="00351BE2">
        <w:rPr>
          <w:rFonts w:eastAsia="Times New Roman" w:cs="Times New Roman"/>
          <w:sz w:val="24"/>
          <w:szCs w:val="24"/>
          <w:lang w:val="en-US" w:eastAsia="en-AU"/>
        </w:rPr>
        <w:t>bankruptcy n</w:t>
      </w:r>
      <w:r w:rsidR="008C5E9C">
        <w:rPr>
          <w:rFonts w:eastAsia="Times New Roman" w:cs="Times New Roman"/>
          <w:sz w:val="24"/>
          <w:szCs w:val="24"/>
          <w:lang w:val="en-US" w:eastAsia="en-AU"/>
        </w:rPr>
        <w:t xml:space="preserve">otice should take care to accurately identify the time period within which </w:t>
      </w:r>
      <w:r w:rsidR="002727FB">
        <w:rPr>
          <w:rFonts w:eastAsia="Times New Roman" w:cs="Times New Roman"/>
          <w:sz w:val="24"/>
          <w:szCs w:val="24"/>
          <w:lang w:val="en-US" w:eastAsia="en-AU"/>
        </w:rPr>
        <w:t>he or she</w:t>
      </w:r>
      <w:r w:rsidR="008C5E9C">
        <w:rPr>
          <w:rFonts w:eastAsia="Times New Roman" w:cs="Times New Roman"/>
          <w:sz w:val="24"/>
          <w:szCs w:val="24"/>
          <w:lang w:val="en-US" w:eastAsia="en-AU"/>
        </w:rPr>
        <w:t xml:space="preserve"> may </w:t>
      </w:r>
      <w:r w:rsidR="00230BA8">
        <w:rPr>
          <w:rFonts w:eastAsia="Times New Roman" w:cs="Times New Roman"/>
          <w:sz w:val="24"/>
          <w:szCs w:val="24"/>
          <w:lang w:val="en-US" w:eastAsia="en-AU"/>
        </w:rPr>
        <w:t xml:space="preserve">make an application </w:t>
      </w:r>
      <w:r w:rsidR="00C96139">
        <w:rPr>
          <w:rFonts w:eastAsia="Times New Roman" w:cs="Times New Roman"/>
          <w:sz w:val="24"/>
          <w:szCs w:val="24"/>
          <w:lang w:val="en-US" w:eastAsia="en-AU"/>
        </w:rPr>
        <w:t xml:space="preserve">to the Court in respect of the </w:t>
      </w:r>
      <w:r w:rsidR="00351BE2">
        <w:rPr>
          <w:rFonts w:eastAsia="Times New Roman" w:cs="Times New Roman"/>
          <w:sz w:val="24"/>
          <w:szCs w:val="24"/>
          <w:lang w:val="en-US" w:eastAsia="en-AU"/>
        </w:rPr>
        <w:t>bankruptcy n</w:t>
      </w:r>
      <w:r w:rsidR="00230BA8">
        <w:rPr>
          <w:rFonts w:eastAsia="Times New Roman" w:cs="Times New Roman"/>
          <w:sz w:val="24"/>
          <w:szCs w:val="24"/>
          <w:lang w:val="en-US" w:eastAsia="en-AU"/>
        </w:rPr>
        <w:t>otice</w:t>
      </w:r>
      <w:r w:rsidR="008C5E9C">
        <w:rPr>
          <w:rFonts w:eastAsia="Times New Roman" w:cs="Times New Roman"/>
          <w:sz w:val="24"/>
          <w:szCs w:val="24"/>
          <w:lang w:val="en-US" w:eastAsia="en-AU"/>
        </w:rPr>
        <w:t xml:space="preserve">. </w:t>
      </w:r>
      <w:r w:rsidR="002727FB">
        <w:rPr>
          <w:rFonts w:eastAsia="Times New Roman" w:cs="Times New Roman"/>
          <w:sz w:val="24"/>
          <w:szCs w:val="24"/>
          <w:lang w:val="en-US" w:eastAsia="en-AU"/>
        </w:rPr>
        <w:t xml:space="preserve">This period is calculated by reference to the date the </w:t>
      </w:r>
      <w:r w:rsidR="00351BE2">
        <w:rPr>
          <w:rFonts w:eastAsia="Times New Roman" w:cs="Times New Roman"/>
          <w:sz w:val="24"/>
          <w:szCs w:val="24"/>
          <w:lang w:val="en-US" w:eastAsia="en-AU"/>
        </w:rPr>
        <w:t>bankruptcy n</w:t>
      </w:r>
      <w:r w:rsidR="002727FB">
        <w:rPr>
          <w:rFonts w:eastAsia="Times New Roman" w:cs="Times New Roman"/>
          <w:sz w:val="24"/>
          <w:szCs w:val="24"/>
          <w:lang w:val="en-US" w:eastAsia="en-AU"/>
        </w:rPr>
        <w:t>otice was served</w:t>
      </w:r>
      <w:r w:rsidR="004C2544">
        <w:rPr>
          <w:rFonts w:eastAsia="Times New Roman" w:cs="Times New Roman"/>
          <w:sz w:val="24"/>
          <w:szCs w:val="24"/>
          <w:lang w:val="en-US" w:eastAsia="en-AU"/>
        </w:rPr>
        <w:t xml:space="preserve">, which may depend on </w:t>
      </w:r>
      <w:r w:rsidR="002727FB">
        <w:rPr>
          <w:rFonts w:eastAsia="Times New Roman" w:cs="Times New Roman"/>
          <w:sz w:val="24"/>
          <w:szCs w:val="24"/>
          <w:lang w:val="en-US" w:eastAsia="en-AU"/>
        </w:rPr>
        <w:t>the method of service</w:t>
      </w:r>
      <w:r w:rsidR="004C2544">
        <w:rPr>
          <w:rFonts w:eastAsia="Times New Roman" w:cs="Times New Roman"/>
          <w:sz w:val="24"/>
          <w:szCs w:val="24"/>
          <w:lang w:val="en-US" w:eastAsia="en-AU"/>
        </w:rPr>
        <w:t xml:space="preserve"> relied on by the creditor. A</w:t>
      </w:r>
      <w:r w:rsidR="002727FB">
        <w:rPr>
          <w:rFonts w:eastAsia="Times New Roman" w:cs="Times New Roman"/>
          <w:sz w:val="24"/>
          <w:szCs w:val="24"/>
          <w:lang w:val="en-US" w:eastAsia="en-AU"/>
        </w:rPr>
        <w:t xml:space="preserve"> debtor should note the following </w:t>
      </w:r>
      <w:r w:rsidR="00955ED7" w:rsidRPr="00281287">
        <w:rPr>
          <w:rFonts w:eastAsia="Times New Roman" w:cs="Times New Roman"/>
          <w:sz w:val="24"/>
          <w:szCs w:val="24"/>
          <w:lang w:val="en-US" w:eastAsia="en-AU"/>
        </w:rPr>
        <w:t>principles</w:t>
      </w:r>
      <w:r w:rsidR="002727FB">
        <w:rPr>
          <w:rFonts w:eastAsia="Times New Roman" w:cs="Times New Roman"/>
          <w:sz w:val="24"/>
          <w:szCs w:val="24"/>
          <w:lang w:val="en-US" w:eastAsia="en-AU"/>
        </w:rPr>
        <w:t xml:space="preserve"> which</w:t>
      </w:r>
      <w:r w:rsidR="00955ED7" w:rsidRPr="00281287">
        <w:rPr>
          <w:rFonts w:eastAsia="Times New Roman" w:cs="Times New Roman"/>
          <w:sz w:val="24"/>
          <w:szCs w:val="24"/>
          <w:lang w:val="en-US" w:eastAsia="en-AU"/>
        </w:rPr>
        <w:t xml:space="preserve"> </w:t>
      </w:r>
      <w:r w:rsidR="00463D7C">
        <w:rPr>
          <w:rFonts w:eastAsia="Times New Roman" w:cs="Times New Roman"/>
          <w:sz w:val="24"/>
          <w:szCs w:val="24"/>
          <w:lang w:val="en-US" w:eastAsia="en-AU"/>
        </w:rPr>
        <w:t>guide the C</w:t>
      </w:r>
      <w:r w:rsidR="003B282B" w:rsidRPr="00281287">
        <w:rPr>
          <w:rFonts w:eastAsia="Times New Roman" w:cs="Times New Roman"/>
          <w:sz w:val="24"/>
          <w:szCs w:val="24"/>
          <w:lang w:val="en-US" w:eastAsia="en-AU"/>
        </w:rPr>
        <w:t xml:space="preserve">ourt </w:t>
      </w:r>
      <w:r w:rsidR="00955ED7" w:rsidRPr="00281287">
        <w:rPr>
          <w:rFonts w:eastAsia="Times New Roman" w:cs="Times New Roman"/>
          <w:sz w:val="24"/>
          <w:szCs w:val="24"/>
          <w:lang w:val="en-US" w:eastAsia="en-AU"/>
        </w:rPr>
        <w:t>in calcul</w:t>
      </w:r>
      <w:r w:rsidR="00B60026">
        <w:rPr>
          <w:rFonts w:eastAsia="Times New Roman" w:cs="Times New Roman"/>
          <w:sz w:val="24"/>
          <w:szCs w:val="24"/>
          <w:lang w:val="en-US" w:eastAsia="en-AU"/>
        </w:rPr>
        <w:t xml:space="preserve">ating the date of service of a </w:t>
      </w:r>
      <w:r w:rsidR="00351BE2">
        <w:rPr>
          <w:rFonts w:eastAsia="Times New Roman" w:cs="Times New Roman"/>
          <w:sz w:val="24"/>
          <w:szCs w:val="24"/>
          <w:lang w:val="en-US" w:eastAsia="en-AU"/>
        </w:rPr>
        <w:t>bankruptcy n</w:t>
      </w:r>
      <w:r w:rsidR="00955ED7" w:rsidRPr="00281287">
        <w:rPr>
          <w:rFonts w:eastAsia="Times New Roman" w:cs="Times New Roman"/>
          <w:sz w:val="24"/>
          <w:szCs w:val="24"/>
          <w:lang w:val="en-US" w:eastAsia="en-AU"/>
        </w:rPr>
        <w:t>otice:</w:t>
      </w:r>
    </w:p>
    <w:p w:rsidR="00281287" w:rsidRPr="00C74C5E" w:rsidRDefault="00281287" w:rsidP="00281287">
      <w:pPr>
        <w:shd w:val="clear" w:color="auto" w:fill="FFFFFF"/>
        <w:spacing w:after="240"/>
        <w:ind w:left="1276" w:hanging="567"/>
        <w:jc w:val="both"/>
        <w:rPr>
          <w:sz w:val="24"/>
          <w:szCs w:val="24"/>
        </w:rPr>
      </w:pPr>
      <w:r w:rsidRPr="00C74C5E">
        <w:rPr>
          <w:sz w:val="24"/>
          <w:szCs w:val="24"/>
        </w:rPr>
        <w:t>(a)</w:t>
      </w:r>
      <w:r w:rsidRPr="00C74C5E">
        <w:rPr>
          <w:sz w:val="24"/>
          <w:szCs w:val="24"/>
        </w:rPr>
        <w:tab/>
        <w:t>Where service is effected by hand or by delivery, the 21 day</w:t>
      </w:r>
      <w:r>
        <w:rPr>
          <w:sz w:val="24"/>
          <w:szCs w:val="24"/>
        </w:rPr>
        <w:t xml:space="preserve"> compliance period</w:t>
      </w:r>
      <w:r w:rsidRPr="00C74C5E">
        <w:rPr>
          <w:sz w:val="24"/>
          <w:szCs w:val="24"/>
        </w:rPr>
        <w:t xml:space="preserve"> is usually calculated from the date the document was handed to the debtor or delivered. </w:t>
      </w:r>
    </w:p>
    <w:p w:rsidR="002727FB" w:rsidRPr="00C74C5E" w:rsidRDefault="00281287" w:rsidP="002727FB">
      <w:pPr>
        <w:shd w:val="clear" w:color="auto" w:fill="FFFFFF"/>
        <w:spacing w:after="240"/>
        <w:ind w:left="1276" w:hanging="567"/>
        <w:jc w:val="both"/>
        <w:rPr>
          <w:sz w:val="24"/>
          <w:szCs w:val="24"/>
        </w:rPr>
      </w:pPr>
      <w:r w:rsidRPr="00C74C5E">
        <w:rPr>
          <w:sz w:val="24"/>
          <w:szCs w:val="24"/>
        </w:rPr>
        <w:t>(b)</w:t>
      </w:r>
      <w:r w:rsidRPr="00C74C5E">
        <w:rPr>
          <w:sz w:val="24"/>
          <w:szCs w:val="24"/>
        </w:rPr>
        <w:tab/>
        <w:t>Where service is effected by ordinary pre</w:t>
      </w:r>
      <w:r>
        <w:rPr>
          <w:sz w:val="24"/>
          <w:szCs w:val="24"/>
        </w:rPr>
        <w:t>-</w:t>
      </w:r>
      <w:r w:rsidRPr="00C74C5E">
        <w:rPr>
          <w:sz w:val="24"/>
          <w:szCs w:val="24"/>
        </w:rPr>
        <w:t>paid post</w:t>
      </w:r>
      <w:r>
        <w:rPr>
          <w:sz w:val="24"/>
          <w:szCs w:val="24"/>
        </w:rPr>
        <w:t xml:space="preserve"> to the debtor’s last-known address</w:t>
      </w:r>
      <w:r w:rsidRPr="00C74C5E">
        <w:rPr>
          <w:sz w:val="24"/>
          <w:szCs w:val="24"/>
        </w:rPr>
        <w:t>, the 21</w:t>
      </w:r>
      <w:r>
        <w:rPr>
          <w:sz w:val="24"/>
          <w:szCs w:val="24"/>
        </w:rPr>
        <w:t xml:space="preserve"> day</w:t>
      </w:r>
      <w:r w:rsidRPr="00C74C5E">
        <w:rPr>
          <w:sz w:val="24"/>
          <w:szCs w:val="24"/>
        </w:rPr>
        <w:t xml:space="preserve"> compliance period is</w:t>
      </w:r>
      <w:r w:rsidR="00DD5808">
        <w:rPr>
          <w:sz w:val="24"/>
          <w:szCs w:val="24"/>
        </w:rPr>
        <w:t>, subject to the contrary being proven,</w:t>
      </w:r>
      <w:r w:rsidRPr="00C74C5E">
        <w:rPr>
          <w:sz w:val="24"/>
          <w:szCs w:val="24"/>
        </w:rPr>
        <w:t xml:space="preserve"> usually calculated from the date the document would have been delivered in the ordinary course of post. </w:t>
      </w:r>
    </w:p>
    <w:p w:rsidR="00281287" w:rsidRPr="00C74C5E" w:rsidRDefault="00281287" w:rsidP="00281287">
      <w:pPr>
        <w:shd w:val="clear" w:color="auto" w:fill="FFFFFF"/>
        <w:spacing w:after="240"/>
        <w:ind w:left="1276" w:hanging="567"/>
        <w:jc w:val="both"/>
        <w:rPr>
          <w:sz w:val="24"/>
          <w:szCs w:val="24"/>
        </w:rPr>
      </w:pPr>
      <w:r w:rsidRPr="00C74C5E">
        <w:rPr>
          <w:sz w:val="24"/>
          <w:szCs w:val="24"/>
        </w:rPr>
        <w:t>(c)</w:t>
      </w:r>
      <w:r w:rsidRPr="00C74C5E">
        <w:rPr>
          <w:sz w:val="24"/>
          <w:szCs w:val="24"/>
        </w:rPr>
        <w:tab/>
        <w:t>Where service is effected pursuant to a substituted</w:t>
      </w:r>
      <w:r>
        <w:rPr>
          <w:sz w:val="24"/>
          <w:szCs w:val="24"/>
        </w:rPr>
        <w:t xml:space="preserve"> service</w:t>
      </w:r>
      <w:r w:rsidRPr="00C74C5E">
        <w:rPr>
          <w:sz w:val="24"/>
          <w:szCs w:val="24"/>
        </w:rPr>
        <w:t xml:space="preserve"> order of the Court, the 21 day </w:t>
      </w:r>
      <w:r>
        <w:rPr>
          <w:sz w:val="24"/>
          <w:szCs w:val="24"/>
        </w:rPr>
        <w:t xml:space="preserve">compliance </w:t>
      </w:r>
      <w:r w:rsidRPr="00C74C5E">
        <w:rPr>
          <w:sz w:val="24"/>
          <w:szCs w:val="24"/>
        </w:rPr>
        <w:t xml:space="preserve">period is calculated in accordance with the deemed date of service referred to in the order.  </w:t>
      </w:r>
    </w:p>
    <w:p w:rsidR="00281287" w:rsidRDefault="00281287" w:rsidP="00281287">
      <w:pPr>
        <w:shd w:val="clear" w:color="auto" w:fill="FFFFFF"/>
        <w:spacing w:after="240"/>
        <w:ind w:left="1276" w:hanging="567"/>
        <w:jc w:val="both"/>
        <w:rPr>
          <w:sz w:val="24"/>
          <w:szCs w:val="24"/>
        </w:rPr>
      </w:pPr>
      <w:r w:rsidRPr="00C74C5E">
        <w:rPr>
          <w:sz w:val="24"/>
          <w:szCs w:val="24"/>
        </w:rPr>
        <w:t>(d)</w:t>
      </w:r>
      <w:r w:rsidRPr="00C74C5E">
        <w:rPr>
          <w:sz w:val="24"/>
          <w:szCs w:val="24"/>
        </w:rPr>
        <w:tab/>
        <w:t xml:space="preserve">Where service is effected electronically, the 21 day compliance period is usually calculated from the time of transmission rather than </w:t>
      </w:r>
      <w:r>
        <w:rPr>
          <w:sz w:val="24"/>
          <w:szCs w:val="24"/>
        </w:rPr>
        <w:t xml:space="preserve">of </w:t>
      </w:r>
      <w:r w:rsidRPr="00C74C5E">
        <w:rPr>
          <w:sz w:val="24"/>
          <w:szCs w:val="24"/>
        </w:rPr>
        <w:t>actual receipt</w:t>
      </w:r>
      <w:r>
        <w:rPr>
          <w:sz w:val="24"/>
          <w:szCs w:val="24"/>
        </w:rPr>
        <w:t>.</w:t>
      </w:r>
    </w:p>
    <w:p w:rsidR="004C2544" w:rsidRDefault="007A5B87" w:rsidP="004C2544">
      <w:pPr>
        <w:pStyle w:val="ListParagraph"/>
        <w:numPr>
          <w:ilvl w:val="1"/>
          <w:numId w:val="30"/>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If a debtor has applied </w:t>
      </w:r>
      <w:r w:rsidR="00351BE2">
        <w:rPr>
          <w:rFonts w:eastAsia="Times New Roman" w:cs="Times New Roman"/>
          <w:sz w:val="24"/>
          <w:szCs w:val="24"/>
          <w:lang w:val="en-US" w:eastAsia="en-AU"/>
        </w:rPr>
        <w:t>to the Court within time for a bankruptcy n</w:t>
      </w:r>
      <w:r>
        <w:rPr>
          <w:rFonts w:eastAsia="Times New Roman" w:cs="Times New Roman"/>
          <w:sz w:val="24"/>
          <w:szCs w:val="24"/>
          <w:lang w:val="en-US" w:eastAsia="en-AU"/>
        </w:rPr>
        <w:t>otice</w:t>
      </w:r>
      <w:r w:rsidR="00672C38">
        <w:rPr>
          <w:rFonts w:eastAsia="Times New Roman" w:cs="Times New Roman"/>
          <w:sz w:val="24"/>
          <w:szCs w:val="24"/>
          <w:lang w:val="en-US" w:eastAsia="en-AU"/>
        </w:rPr>
        <w:t xml:space="preserve"> to be set aside</w:t>
      </w:r>
      <w:r>
        <w:rPr>
          <w:rFonts w:eastAsia="Times New Roman" w:cs="Times New Roman"/>
          <w:sz w:val="24"/>
          <w:szCs w:val="24"/>
          <w:lang w:val="en-US" w:eastAsia="en-AU"/>
        </w:rPr>
        <w:t xml:space="preserve">, the Court may make an </w:t>
      </w:r>
      <w:r w:rsidR="00415709">
        <w:rPr>
          <w:rFonts w:eastAsia="Times New Roman" w:cs="Times New Roman"/>
          <w:sz w:val="24"/>
          <w:szCs w:val="24"/>
          <w:lang w:val="en-US" w:eastAsia="en-AU"/>
        </w:rPr>
        <w:t xml:space="preserve">interim </w:t>
      </w:r>
      <w:r>
        <w:rPr>
          <w:rFonts w:eastAsia="Times New Roman" w:cs="Times New Roman"/>
          <w:sz w:val="24"/>
          <w:szCs w:val="24"/>
          <w:lang w:val="en-US" w:eastAsia="en-AU"/>
        </w:rPr>
        <w:t>order extending th</w:t>
      </w:r>
      <w:r w:rsidR="00351BE2">
        <w:rPr>
          <w:rFonts w:eastAsia="Times New Roman" w:cs="Times New Roman"/>
          <w:sz w:val="24"/>
          <w:szCs w:val="24"/>
          <w:lang w:val="en-US" w:eastAsia="en-AU"/>
        </w:rPr>
        <w:t>e time for compliance with the bankruptcy n</w:t>
      </w:r>
      <w:r>
        <w:rPr>
          <w:rFonts w:eastAsia="Times New Roman" w:cs="Times New Roman"/>
          <w:sz w:val="24"/>
          <w:szCs w:val="24"/>
          <w:lang w:val="en-US" w:eastAsia="en-AU"/>
        </w:rPr>
        <w:t xml:space="preserve">otice pending the determination of the application. If the debtor’s application asserts a counter-claim, set off or cross demand, </w:t>
      </w:r>
      <w:r w:rsidR="00DA5E6B">
        <w:rPr>
          <w:rFonts w:eastAsia="Times New Roman" w:cs="Times New Roman"/>
          <w:sz w:val="24"/>
          <w:szCs w:val="24"/>
          <w:lang w:val="en-US" w:eastAsia="en-AU"/>
        </w:rPr>
        <w:t xml:space="preserve">no order is necessary, as </w:t>
      </w:r>
      <w:r>
        <w:rPr>
          <w:rFonts w:eastAsia="Times New Roman" w:cs="Times New Roman"/>
          <w:sz w:val="24"/>
          <w:szCs w:val="24"/>
          <w:lang w:val="en-US" w:eastAsia="en-AU"/>
        </w:rPr>
        <w:t xml:space="preserve">the time for compliance is deemed to </w:t>
      </w:r>
      <w:r w:rsidR="00DA5E6B">
        <w:rPr>
          <w:rFonts w:eastAsia="Times New Roman" w:cs="Times New Roman"/>
          <w:sz w:val="24"/>
          <w:szCs w:val="24"/>
          <w:lang w:val="en-US" w:eastAsia="en-AU"/>
        </w:rPr>
        <w:t>be</w:t>
      </w:r>
      <w:r>
        <w:rPr>
          <w:rFonts w:eastAsia="Times New Roman" w:cs="Times New Roman"/>
          <w:sz w:val="24"/>
          <w:szCs w:val="24"/>
          <w:lang w:val="en-US" w:eastAsia="en-AU"/>
        </w:rPr>
        <w:t xml:space="preserve"> extended by operation of s</w:t>
      </w:r>
      <w:r w:rsidR="00792780">
        <w:rPr>
          <w:rFonts w:eastAsia="Times New Roman" w:cs="Times New Roman"/>
          <w:sz w:val="24"/>
          <w:szCs w:val="24"/>
          <w:lang w:val="en-US" w:eastAsia="en-AU"/>
        </w:rPr>
        <w:t xml:space="preserve"> </w:t>
      </w:r>
      <w:r>
        <w:rPr>
          <w:rFonts w:eastAsia="Times New Roman" w:cs="Times New Roman"/>
          <w:sz w:val="24"/>
          <w:szCs w:val="24"/>
          <w:lang w:val="en-US" w:eastAsia="en-AU"/>
        </w:rPr>
        <w:t>4</w:t>
      </w:r>
      <w:r w:rsidR="00291AC5">
        <w:rPr>
          <w:rFonts w:eastAsia="Times New Roman" w:cs="Times New Roman"/>
          <w:sz w:val="24"/>
          <w:szCs w:val="24"/>
          <w:lang w:val="en-US" w:eastAsia="en-AU"/>
        </w:rPr>
        <w:t>1(7</w:t>
      </w:r>
      <w:r>
        <w:rPr>
          <w:rFonts w:eastAsia="Times New Roman" w:cs="Times New Roman"/>
          <w:sz w:val="24"/>
          <w:szCs w:val="24"/>
          <w:lang w:val="en-US" w:eastAsia="en-AU"/>
        </w:rPr>
        <w:t xml:space="preserve">) of the </w:t>
      </w:r>
      <w:r w:rsidRPr="00C96139">
        <w:rPr>
          <w:rFonts w:eastAsia="Times New Roman" w:cs="Times New Roman"/>
          <w:sz w:val="24"/>
          <w:szCs w:val="24"/>
          <w:lang w:val="en-US" w:eastAsia="en-AU"/>
        </w:rPr>
        <w:t>Bankruptcy Act.</w:t>
      </w:r>
    </w:p>
    <w:p w:rsidR="0034348A" w:rsidRDefault="0034348A" w:rsidP="0034348A">
      <w:pPr>
        <w:pStyle w:val="ListParagraph"/>
        <w:spacing w:after="240"/>
        <w:ind w:left="709"/>
        <w:contextualSpacing w:val="0"/>
        <w:jc w:val="both"/>
        <w:rPr>
          <w:rFonts w:eastAsia="Times New Roman" w:cs="Times New Roman"/>
          <w:sz w:val="24"/>
          <w:szCs w:val="24"/>
          <w:lang w:val="en-US" w:eastAsia="en-AU"/>
        </w:rPr>
      </w:pPr>
    </w:p>
    <w:p w:rsidR="0034348A" w:rsidRPr="00281287" w:rsidRDefault="0034348A" w:rsidP="0034348A">
      <w:pPr>
        <w:pStyle w:val="ListParagraph"/>
        <w:spacing w:after="240"/>
        <w:ind w:left="709"/>
        <w:contextualSpacing w:val="0"/>
        <w:jc w:val="both"/>
        <w:rPr>
          <w:rFonts w:eastAsia="Times New Roman" w:cs="Times New Roman"/>
          <w:sz w:val="24"/>
          <w:szCs w:val="24"/>
          <w:lang w:val="en-US" w:eastAsia="en-AU"/>
        </w:rPr>
      </w:pPr>
    </w:p>
    <w:p w:rsidR="007502C6" w:rsidRPr="00281287" w:rsidRDefault="00672C38" w:rsidP="00281287">
      <w:pPr>
        <w:pStyle w:val="ListParagraph"/>
        <w:numPr>
          <w:ilvl w:val="0"/>
          <w:numId w:val="28"/>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Grounds which may</w:t>
      </w:r>
      <w:r w:rsidR="00AE0DB0">
        <w:rPr>
          <w:rFonts w:eastAsia="Times New Roman" w:cs="Arial"/>
          <w:b/>
          <w:sz w:val="28"/>
          <w:szCs w:val="28"/>
          <w:lang w:val="en-US" w:eastAsia="en-AU"/>
        </w:rPr>
        <w:t xml:space="preserve"> be relied upon to set aside a bankruptcy n</w:t>
      </w:r>
      <w:r>
        <w:rPr>
          <w:rFonts w:eastAsia="Times New Roman" w:cs="Arial"/>
          <w:b/>
          <w:sz w:val="28"/>
          <w:szCs w:val="28"/>
          <w:lang w:val="en-US" w:eastAsia="en-AU"/>
        </w:rPr>
        <w:t>otice</w:t>
      </w:r>
    </w:p>
    <w:p w:rsidR="00AA741D" w:rsidRPr="00F14BBC" w:rsidRDefault="00F14BBC" w:rsidP="00AA741D">
      <w:pPr>
        <w:pStyle w:val="ListParagraph"/>
        <w:numPr>
          <w:ilvl w:val="1"/>
          <w:numId w:val="31"/>
        </w:numPr>
        <w:spacing w:after="240"/>
        <w:ind w:left="709" w:hanging="709"/>
        <w:contextualSpacing w:val="0"/>
        <w:jc w:val="both"/>
        <w:rPr>
          <w:rFonts w:cs="Times New Roman"/>
          <w:i/>
          <w:sz w:val="24"/>
          <w:szCs w:val="24"/>
        </w:rPr>
      </w:pPr>
      <w:r>
        <w:rPr>
          <w:rFonts w:cs="Times New Roman"/>
          <w:sz w:val="24"/>
          <w:szCs w:val="24"/>
        </w:rPr>
        <w:t>The general grounds on which a debtor may apply</w:t>
      </w:r>
      <w:r w:rsidR="00351BE2">
        <w:rPr>
          <w:rFonts w:cs="Times New Roman"/>
          <w:sz w:val="24"/>
          <w:szCs w:val="24"/>
        </w:rPr>
        <w:t xml:space="preserve"> to the Court to set aside the bankruptcy n</w:t>
      </w:r>
      <w:r>
        <w:rPr>
          <w:rFonts w:cs="Times New Roman"/>
          <w:sz w:val="24"/>
          <w:szCs w:val="24"/>
        </w:rPr>
        <w:t>otice include the following:</w:t>
      </w:r>
    </w:p>
    <w:p w:rsidR="00F14BBC" w:rsidRPr="00F14BBC" w:rsidRDefault="00AF7F07" w:rsidP="00F14BBC">
      <w:pPr>
        <w:pStyle w:val="ListParagraph"/>
        <w:numPr>
          <w:ilvl w:val="0"/>
          <w:numId w:val="43"/>
        </w:numPr>
        <w:spacing w:after="240"/>
        <w:contextualSpacing w:val="0"/>
        <w:jc w:val="both"/>
        <w:rPr>
          <w:rFonts w:cs="Times New Roman"/>
          <w:i/>
          <w:sz w:val="24"/>
          <w:szCs w:val="24"/>
        </w:rPr>
      </w:pPr>
      <w:r>
        <w:rPr>
          <w:rFonts w:cs="Times New Roman"/>
          <w:sz w:val="24"/>
          <w:szCs w:val="24"/>
        </w:rPr>
        <w:t xml:space="preserve">that </w:t>
      </w:r>
      <w:r w:rsidR="00F14BBC">
        <w:rPr>
          <w:rFonts w:cs="Times New Roman"/>
          <w:sz w:val="24"/>
          <w:szCs w:val="24"/>
        </w:rPr>
        <w:t xml:space="preserve">the debtor has applied to set aside the judgment debt the </w:t>
      </w:r>
      <w:r w:rsidR="00351BE2">
        <w:rPr>
          <w:rFonts w:cs="Times New Roman"/>
          <w:sz w:val="24"/>
          <w:szCs w:val="24"/>
        </w:rPr>
        <w:t>bankruptcy n</w:t>
      </w:r>
      <w:r w:rsidR="008B6C29">
        <w:rPr>
          <w:rFonts w:cs="Times New Roman"/>
          <w:sz w:val="24"/>
          <w:szCs w:val="24"/>
        </w:rPr>
        <w:t>otice is founded on</w:t>
      </w:r>
    </w:p>
    <w:p w:rsidR="00F14BBC" w:rsidRPr="00F14BBC" w:rsidRDefault="00AF7F07" w:rsidP="00F14BBC">
      <w:pPr>
        <w:pStyle w:val="ListParagraph"/>
        <w:numPr>
          <w:ilvl w:val="0"/>
          <w:numId w:val="43"/>
        </w:numPr>
        <w:spacing w:after="240"/>
        <w:contextualSpacing w:val="0"/>
        <w:jc w:val="both"/>
        <w:rPr>
          <w:rFonts w:cs="Times New Roman"/>
          <w:i/>
          <w:sz w:val="24"/>
          <w:szCs w:val="24"/>
        </w:rPr>
      </w:pPr>
      <w:r>
        <w:rPr>
          <w:rFonts w:cs="Times New Roman"/>
          <w:sz w:val="24"/>
          <w:szCs w:val="24"/>
        </w:rPr>
        <w:t xml:space="preserve">that </w:t>
      </w:r>
      <w:r w:rsidR="00F14BBC">
        <w:rPr>
          <w:rFonts w:cs="Times New Roman"/>
          <w:sz w:val="24"/>
          <w:szCs w:val="24"/>
        </w:rPr>
        <w:t>the debtor can satisfy the Court that they have a counter-claim, set off or cross demand</w:t>
      </w:r>
      <w:r w:rsidR="000372E5">
        <w:rPr>
          <w:rFonts w:cs="Times New Roman"/>
          <w:sz w:val="24"/>
          <w:szCs w:val="24"/>
        </w:rPr>
        <w:t xml:space="preserve"> exceeding the amount of the judgment debt</w:t>
      </w:r>
      <w:r w:rsidR="00F6642A">
        <w:rPr>
          <w:rFonts w:cs="Times New Roman"/>
          <w:sz w:val="24"/>
          <w:szCs w:val="24"/>
        </w:rPr>
        <w:t>,</w:t>
      </w:r>
      <w:r w:rsidR="00F14BBC">
        <w:rPr>
          <w:rFonts w:cs="Times New Roman"/>
          <w:sz w:val="24"/>
          <w:szCs w:val="24"/>
        </w:rPr>
        <w:t xml:space="preserve"> and</w:t>
      </w:r>
    </w:p>
    <w:p w:rsidR="00451184" w:rsidRPr="00451184" w:rsidRDefault="00AF7F07" w:rsidP="00451184">
      <w:pPr>
        <w:pStyle w:val="ListParagraph"/>
        <w:numPr>
          <w:ilvl w:val="0"/>
          <w:numId w:val="43"/>
        </w:numPr>
        <w:spacing w:after="240"/>
        <w:contextualSpacing w:val="0"/>
        <w:jc w:val="both"/>
        <w:rPr>
          <w:rFonts w:cs="Times New Roman"/>
          <w:i/>
          <w:sz w:val="24"/>
          <w:szCs w:val="24"/>
        </w:rPr>
      </w:pPr>
      <w:r>
        <w:rPr>
          <w:rFonts w:cs="Times New Roman"/>
          <w:sz w:val="24"/>
          <w:szCs w:val="24"/>
        </w:rPr>
        <w:t xml:space="preserve">on </w:t>
      </w:r>
      <w:r w:rsidR="00F14BBC">
        <w:rPr>
          <w:rFonts w:cs="Times New Roman"/>
          <w:sz w:val="24"/>
          <w:szCs w:val="24"/>
        </w:rPr>
        <w:t xml:space="preserve">the basis of </w:t>
      </w:r>
      <w:r w:rsidR="00C80A92">
        <w:rPr>
          <w:rFonts w:cs="Times New Roman"/>
          <w:sz w:val="24"/>
          <w:szCs w:val="24"/>
        </w:rPr>
        <w:t>‘</w:t>
      </w:r>
      <w:r w:rsidR="000372E5">
        <w:rPr>
          <w:rFonts w:cs="Times New Roman"/>
          <w:sz w:val="24"/>
          <w:szCs w:val="24"/>
        </w:rPr>
        <w:t>o</w:t>
      </w:r>
      <w:r w:rsidR="00F14BBC">
        <w:rPr>
          <w:rFonts w:cs="Times New Roman"/>
          <w:sz w:val="24"/>
          <w:szCs w:val="24"/>
        </w:rPr>
        <w:t xml:space="preserve">ther </w:t>
      </w:r>
      <w:r w:rsidR="000372E5">
        <w:rPr>
          <w:rFonts w:cs="Times New Roman"/>
          <w:sz w:val="24"/>
          <w:szCs w:val="24"/>
        </w:rPr>
        <w:t>g</w:t>
      </w:r>
      <w:r w:rsidR="00F14BBC">
        <w:rPr>
          <w:rFonts w:cs="Times New Roman"/>
          <w:sz w:val="24"/>
          <w:szCs w:val="24"/>
        </w:rPr>
        <w:t>rounds</w:t>
      </w:r>
      <w:r w:rsidR="00C80A92">
        <w:rPr>
          <w:rFonts w:cs="Times New Roman"/>
          <w:sz w:val="24"/>
          <w:szCs w:val="24"/>
        </w:rPr>
        <w:t>’</w:t>
      </w:r>
      <w:r w:rsidR="00F14BBC">
        <w:rPr>
          <w:rFonts w:cs="Times New Roman"/>
          <w:sz w:val="24"/>
          <w:szCs w:val="24"/>
        </w:rPr>
        <w:t>.</w:t>
      </w:r>
    </w:p>
    <w:p w:rsidR="00FA73DE" w:rsidRPr="00F14BBC" w:rsidRDefault="00FA73DE" w:rsidP="00FA73DE">
      <w:pPr>
        <w:pStyle w:val="ListParagraph"/>
        <w:numPr>
          <w:ilvl w:val="1"/>
          <w:numId w:val="31"/>
        </w:numPr>
        <w:spacing w:after="240"/>
        <w:ind w:left="709" w:hanging="709"/>
        <w:contextualSpacing w:val="0"/>
        <w:jc w:val="both"/>
        <w:rPr>
          <w:rFonts w:cs="Times New Roman"/>
          <w:i/>
          <w:sz w:val="24"/>
          <w:szCs w:val="24"/>
        </w:rPr>
      </w:pPr>
      <w:r>
        <w:rPr>
          <w:rFonts w:cs="Times New Roman"/>
          <w:sz w:val="24"/>
          <w:szCs w:val="24"/>
        </w:rPr>
        <w:t>A summary of each ground is set out below.</w:t>
      </w:r>
    </w:p>
    <w:p w:rsidR="007502C6" w:rsidRPr="00D846F1" w:rsidRDefault="008B6C29" w:rsidP="008B6C29">
      <w:pPr>
        <w:pStyle w:val="ListParagraph"/>
        <w:spacing w:after="240"/>
        <w:ind w:left="709"/>
        <w:contextualSpacing w:val="0"/>
        <w:rPr>
          <w:rFonts w:cs="Times New Roman"/>
          <w:b/>
          <w:i/>
          <w:sz w:val="24"/>
          <w:szCs w:val="24"/>
        </w:rPr>
      </w:pPr>
      <w:r>
        <w:rPr>
          <w:rFonts w:cs="Times New Roman"/>
          <w:b/>
          <w:i/>
          <w:sz w:val="24"/>
          <w:szCs w:val="24"/>
        </w:rPr>
        <w:t>Application to set a</w:t>
      </w:r>
      <w:r w:rsidR="002A7A6E">
        <w:rPr>
          <w:rFonts w:cs="Times New Roman"/>
          <w:b/>
          <w:i/>
          <w:sz w:val="24"/>
          <w:szCs w:val="24"/>
        </w:rPr>
        <w:t>s</w:t>
      </w:r>
      <w:r w:rsidR="00351BE2">
        <w:rPr>
          <w:rFonts w:cs="Times New Roman"/>
          <w:b/>
          <w:i/>
          <w:sz w:val="24"/>
          <w:szCs w:val="24"/>
        </w:rPr>
        <w:t>ide a bankruptcy n</w:t>
      </w:r>
      <w:r>
        <w:rPr>
          <w:rFonts w:cs="Times New Roman"/>
          <w:b/>
          <w:i/>
          <w:sz w:val="24"/>
          <w:szCs w:val="24"/>
        </w:rPr>
        <w:t>otice on the basis that t</w:t>
      </w:r>
      <w:r w:rsidR="002A7A6E">
        <w:rPr>
          <w:rFonts w:cs="Times New Roman"/>
          <w:b/>
          <w:i/>
          <w:sz w:val="24"/>
          <w:szCs w:val="24"/>
        </w:rPr>
        <w:t xml:space="preserve">here are </w:t>
      </w:r>
      <w:r>
        <w:rPr>
          <w:rFonts w:cs="Times New Roman"/>
          <w:b/>
          <w:i/>
          <w:sz w:val="24"/>
          <w:szCs w:val="24"/>
        </w:rPr>
        <w:t>p</w:t>
      </w:r>
      <w:r w:rsidR="007502C6" w:rsidRPr="00D846F1">
        <w:rPr>
          <w:rFonts w:cs="Times New Roman"/>
          <w:b/>
          <w:i/>
          <w:sz w:val="24"/>
          <w:szCs w:val="24"/>
        </w:rPr>
        <w:t xml:space="preserve">roceedings to </w:t>
      </w:r>
      <w:r>
        <w:rPr>
          <w:rFonts w:cs="Times New Roman"/>
          <w:b/>
          <w:i/>
          <w:sz w:val="24"/>
          <w:szCs w:val="24"/>
        </w:rPr>
        <w:t>set a</w:t>
      </w:r>
      <w:r w:rsidR="007502C6" w:rsidRPr="00D846F1">
        <w:rPr>
          <w:rFonts w:cs="Times New Roman"/>
          <w:b/>
          <w:i/>
          <w:sz w:val="24"/>
          <w:szCs w:val="24"/>
        </w:rPr>
        <w:t>side the</w:t>
      </w:r>
      <w:r w:rsidR="00F14BBC" w:rsidRPr="002A7A6E">
        <w:rPr>
          <w:rFonts w:cs="Times New Roman"/>
          <w:b/>
          <w:i/>
          <w:sz w:val="24"/>
          <w:szCs w:val="24"/>
        </w:rPr>
        <w:t xml:space="preserve"> </w:t>
      </w:r>
      <w:r>
        <w:rPr>
          <w:rFonts w:cs="Times New Roman"/>
          <w:b/>
          <w:i/>
          <w:sz w:val="24"/>
          <w:szCs w:val="24"/>
        </w:rPr>
        <w:t>u</w:t>
      </w:r>
      <w:r w:rsidR="00F14BBC" w:rsidRPr="002A7A6E">
        <w:rPr>
          <w:rFonts w:cs="Times New Roman"/>
          <w:b/>
          <w:i/>
          <w:sz w:val="24"/>
          <w:szCs w:val="24"/>
        </w:rPr>
        <w:t xml:space="preserve">nderlying </w:t>
      </w:r>
      <w:r>
        <w:rPr>
          <w:rFonts w:cs="Times New Roman"/>
          <w:b/>
          <w:i/>
          <w:sz w:val="24"/>
          <w:szCs w:val="24"/>
        </w:rPr>
        <w:t>j</w:t>
      </w:r>
      <w:r w:rsidR="007502C6" w:rsidRPr="00D846F1">
        <w:rPr>
          <w:rFonts w:cs="Times New Roman"/>
          <w:b/>
          <w:i/>
          <w:sz w:val="24"/>
          <w:szCs w:val="24"/>
        </w:rPr>
        <w:t>udgment</w:t>
      </w:r>
      <w:r w:rsidR="00321CA5">
        <w:rPr>
          <w:rFonts w:cs="Times New Roman"/>
          <w:b/>
          <w:i/>
          <w:sz w:val="24"/>
          <w:szCs w:val="24"/>
        </w:rPr>
        <w:t xml:space="preserve"> – ss 41(6A)(a) and 41(6C) of the Bankruptcy Act </w:t>
      </w:r>
      <w:r w:rsidR="00F6642A">
        <w:rPr>
          <w:rFonts w:cs="Times New Roman"/>
          <w:b/>
          <w:i/>
          <w:sz w:val="24"/>
          <w:szCs w:val="24"/>
        </w:rPr>
        <w:t>and R</w:t>
      </w:r>
      <w:r w:rsidR="00321CA5">
        <w:rPr>
          <w:rFonts w:cs="Times New Roman"/>
          <w:b/>
          <w:i/>
          <w:sz w:val="24"/>
          <w:szCs w:val="24"/>
        </w:rPr>
        <w:t>ule 3.02(4) of the Bankruptcy Rules</w:t>
      </w:r>
    </w:p>
    <w:p w:rsidR="001F3F3D" w:rsidRDefault="00FA73DE" w:rsidP="00AA741D">
      <w:pPr>
        <w:pStyle w:val="ListParagraph"/>
        <w:numPr>
          <w:ilvl w:val="1"/>
          <w:numId w:val="31"/>
        </w:numPr>
        <w:spacing w:after="240"/>
        <w:ind w:left="709" w:hanging="709"/>
        <w:contextualSpacing w:val="0"/>
        <w:jc w:val="both"/>
        <w:rPr>
          <w:rFonts w:cs="Times New Roman"/>
          <w:sz w:val="24"/>
          <w:szCs w:val="24"/>
        </w:rPr>
      </w:pPr>
      <w:r w:rsidRPr="00FA73DE">
        <w:rPr>
          <w:rFonts w:cs="Times New Roman"/>
          <w:sz w:val="24"/>
          <w:szCs w:val="24"/>
        </w:rPr>
        <w:t xml:space="preserve">A debtor may apply for </w:t>
      </w:r>
      <w:r w:rsidR="00940371">
        <w:rPr>
          <w:rFonts w:cs="Times New Roman"/>
          <w:sz w:val="24"/>
          <w:szCs w:val="24"/>
        </w:rPr>
        <w:t xml:space="preserve">an </w:t>
      </w:r>
      <w:r w:rsidRPr="00FA73DE">
        <w:rPr>
          <w:rFonts w:cs="Times New Roman"/>
          <w:sz w:val="24"/>
          <w:szCs w:val="24"/>
        </w:rPr>
        <w:t xml:space="preserve">order that the Court </w:t>
      </w:r>
      <w:r w:rsidR="00C2510A">
        <w:rPr>
          <w:rFonts w:cs="Times New Roman"/>
          <w:sz w:val="24"/>
          <w:szCs w:val="24"/>
        </w:rPr>
        <w:t>set aside</w:t>
      </w:r>
      <w:r w:rsidR="00351BE2">
        <w:rPr>
          <w:rFonts w:cs="Times New Roman"/>
          <w:sz w:val="24"/>
          <w:szCs w:val="24"/>
        </w:rPr>
        <w:t xml:space="preserve"> a bankruptcy n</w:t>
      </w:r>
      <w:r w:rsidRPr="00FA73DE">
        <w:rPr>
          <w:rFonts w:cs="Times New Roman"/>
          <w:sz w:val="24"/>
          <w:szCs w:val="24"/>
        </w:rPr>
        <w:t xml:space="preserve">otice on the basis that the debtor has applied to </w:t>
      </w:r>
      <w:r w:rsidR="009F4CC6" w:rsidRPr="00FA73DE">
        <w:rPr>
          <w:rFonts w:cs="Times New Roman"/>
          <w:sz w:val="24"/>
          <w:szCs w:val="24"/>
        </w:rPr>
        <w:t xml:space="preserve">set aside </w:t>
      </w:r>
      <w:r w:rsidR="00CB6FA4" w:rsidRPr="00FA73DE">
        <w:rPr>
          <w:rFonts w:cs="Times New Roman"/>
          <w:sz w:val="24"/>
          <w:szCs w:val="24"/>
        </w:rPr>
        <w:t xml:space="preserve">(or appeal) </w:t>
      </w:r>
      <w:r w:rsidR="009F4CC6" w:rsidRPr="00FA73DE">
        <w:rPr>
          <w:rFonts w:cs="Times New Roman"/>
          <w:sz w:val="24"/>
          <w:szCs w:val="24"/>
        </w:rPr>
        <w:t xml:space="preserve">the judgment or order in respect of which </w:t>
      </w:r>
      <w:r w:rsidR="001F3F3D" w:rsidRPr="00FA73DE">
        <w:rPr>
          <w:rFonts w:cs="Times New Roman"/>
          <w:sz w:val="24"/>
          <w:szCs w:val="24"/>
        </w:rPr>
        <w:t>a</w:t>
      </w:r>
      <w:r w:rsidR="00351BE2">
        <w:rPr>
          <w:rFonts w:cs="Times New Roman"/>
          <w:sz w:val="24"/>
          <w:szCs w:val="24"/>
        </w:rPr>
        <w:t xml:space="preserve"> b</w:t>
      </w:r>
      <w:r w:rsidR="008B6C29">
        <w:rPr>
          <w:rFonts w:cs="Times New Roman"/>
          <w:sz w:val="24"/>
          <w:szCs w:val="24"/>
        </w:rPr>
        <w:t xml:space="preserve">ankruptcy </w:t>
      </w:r>
      <w:r w:rsidR="00351BE2">
        <w:rPr>
          <w:rFonts w:cs="Times New Roman"/>
          <w:sz w:val="24"/>
          <w:szCs w:val="24"/>
        </w:rPr>
        <w:t>n</w:t>
      </w:r>
      <w:r w:rsidRPr="00FA73DE">
        <w:rPr>
          <w:rFonts w:cs="Times New Roman"/>
          <w:sz w:val="24"/>
          <w:szCs w:val="24"/>
        </w:rPr>
        <w:t xml:space="preserve">otice was issued. </w:t>
      </w:r>
      <w:r w:rsidR="0021250B">
        <w:rPr>
          <w:rFonts w:cs="Times New Roman"/>
          <w:sz w:val="24"/>
          <w:szCs w:val="24"/>
        </w:rPr>
        <w:t>For an application under this ground to be competent, the debtor must have commenced proceedings to set-aside (or appeal) the</w:t>
      </w:r>
      <w:r w:rsidR="00334B72">
        <w:rPr>
          <w:rFonts w:cs="Times New Roman"/>
          <w:sz w:val="24"/>
          <w:szCs w:val="24"/>
        </w:rPr>
        <w:t xml:space="preserve"> underlying</w:t>
      </w:r>
      <w:r w:rsidR="0021250B">
        <w:rPr>
          <w:rFonts w:cs="Times New Roman"/>
          <w:sz w:val="24"/>
          <w:szCs w:val="24"/>
        </w:rPr>
        <w:t xml:space="preserve"> judgment. </w:t>
      </w:r>
      <w:r w:rsidRPr="00FA73DE">
        <w:rPr>
          <w:rFonts w:cs="Times New Roman"/>
          <w:sz w:val="24"/>
          <w:szCs w:val="24"/>
        </w:rPr>
        <w:t>It is noted that any challenge to the underlying judgment</w:t>
      </w:r>
      <w:r w:rsidR="00451184">
        <w:rPr>
          <w:rFonts w:cs="Times New Roman"/>
          <w:sz w:val="24"/>
          <w:szCs w:val="24"/>
        </w:rPr>
        <w:t xml:space="preserve"> or order</w:t>
      </w:r>
      <w:r w:rsidRPr="00FA73DE">
        <w:rPr>
          <w:rFonts w:cs="Times New Roman"/>
          <w:sz w:val="24"/>
          <w:szCs w:val="24"/>
        </w:rPr>
        <w:t xml:space="preserve"> is a separate application, and should be made in the Court that made the relevant judgment or order. </w:t>
      </w:r>
      <w:r w:rsidR="0021250B">
        <w:rPr>
          <w:rFonts w:cs="Times New Roman"/>
          <w:sz w:val="24"/>
          <w:szCs w:val="24"/>
        </w:rPr>
        <w:t xml:space="preserve"> </w:t>
      </w:r>
    </w:p>
    <w:p w:rsidR="001D02C8" w:rsidRPr="00281287" w:rsidRDefault="002A7A6E" w:rsidP="00AA741D">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Where</w:t>
      </w:r>
      <w:r w:rsidR="009F4CC6" w:rsidRPr="00281287">
        <w:rPr>
          <w:rFonts w:cs="Times New Roman"/>
          <w:sz w:val="24"/>
          <w:szCs w:val="24"/>
        </w:rPr>
        <w:t xml:space="preserve"> </w:t>
      </w:r>
      <w:r w:rsidR="0007495B" w:rsidRPr="00281287">
        <w:rPr>
          <w:rFonts w:cs="Times New Roman"/>
          <w:sz w:val="24"/>
          <w:szCs w:val="24"/>
        </w:rPr>
        <w:t>a</w:t>
      </w:r>
      <w:r w:rsidR="009F4CC6" w:rsidRPr="00281287">
        <w:rPr>
          <w:rFonts w:cs="Times New Roman"/>
          <w:sz w:val="24"/>
          <w:szCs w:val="24"/>
        </w:rPr>
        <w:t xml:space="preserve"> debtor has commenced</w:t>
      </w:r>
      <w:r w:rsidR="00FA73DE">
        <w:rPr>
          <w:rFonts w:cs="Times New Roman"/>
          <w:sz w:val="24"/>
          <w:szCs w:val="24"/>
        </w:rPr>
        <w:t xml:space="preserve"> separate</w:t>
      </w:r>
      <w:r w:rsidR="009F4CC6" w:rsidRPr="00281287">
        <w:rPr>
          <w:rFonts w:cs="Times New Roman"/>
          <w:sz w:val="24"/>
          <w:szCs w:val="24"/>
        </w:rPr>
        <w:t xml:space="preserve"> proceedings </w:t>
      </w:r>
      <w:r w:rsidR="00CB6FA4" w:rsidRPr="00281287">
        <w:rPr>
          <w:rFonts w:cs="Times New Roman"/>
          <w:sz w:val="24"/>
          <w:szCs w:val="24"/>
        </w:rPr>
        <w:t xml:space="preserve">to set aside (or appeal) the </w:t>
      </w:r>
      <w:r w:rsidR="00940371">
        <w:rPr>
          <w:rFonts w:cs="Times New Roman"/>
          <w:sz w:val="24"/>
          <w:szCs w:val="24"/>
        </w:rPr>
        <w:t xml:space="preserve">underlying </w:t>
      </w:r>
      <w:r w:rsidR="00CB6FA4" w:rsidRPr="00281287">
        <w:rPr>
          <w:rFonts w:cs="Times New Roman"/>
          <w:sz w:val="24"/>
          <w:szCs w:val="24"/>
        </w:rPr>
        <w:t>judgment</w:t>
      </w:r>
      <w:r w:rsidR="009F4CC6" w:rsidRPr="00281287">
        <w:rPr>
          <w:rFonts w:cs="Times New Roman"/>
          <w:sz w:val="24"/>
          <w:szCs w:val="24"/>
        </w:rPr>
        <w:t xml:space="preserve">, the Court </w:t>
      </w:r>
      <w:r w:rsidR="00874738">
        <w:rPr>
          <w:rFonts w:cs="Times New Roman"/>
          <w:sz w:val="24"/>
          <w:szCs w:val="24"/>
        </w:rPr>
        <w:t xml:space="preserve">has an explicit power to </w:t>
      </w:r>
      <w:r w:rsidR="00F600B1" w:rsidRPr="00281287">
        <w:rPr>
          <w:rFonts w:cs="Times New Roman"/>
          <w:sz w:val="24"/>
          <w:szCs w:val="24"/>
        </w:rPr>
        <w:t>extend</w:t>
      </w:r>
      <w:r w:rsidR="009F4CC6" w:rsidRPr="00281287">
        <w:rPr>
          <w:rFonts w:cs="Times New Roman"/>
          <w:sz w:val="24"/>
          <w:szCs w:val="24"/>
        </w:rPr>
        <w:t xml:space="preserve"> </w:t>
      </w:r>
      <w:r w:rsidR="00D74B92" w:rsidRPr="00281287">
        <w:rPr>
          <w:rFonts w:cs="Times New Roman"/>
          <w:sz w:val="24"/>
          <w:szCs w:val="24"/>
        </w:rPr>
        <w:t xml:space="preserve">time for compliance with </w:t>
      </w:r>
      <w:r w:rsidR="00D404F5" w:rsidRPr="00281287">
        <w:rPr>
          <w:rFonts w:cs="Times New Roman"/>
          <w:sz w:val="24"/>
          <w:szCs w:val="24"/>
        </w:rPr>
        <w:t>the</w:t>
      </w:r>
      <w:r w:rsidR="00351BE2">
        <w:rPr>
          <w:rFonts w:cs="Times New Roman"/>
          <w:sz w:val="24"/>
          <w:szCs w:val="24"/>
        </w:rPr>
        <w:t xml:space="preserve"> bankruptcy n</w:t>
      </w:r>
      <w:r w:rsidR="00D74B92" w:rsidRPr="00281287">
        <w:rPr>
          <w:rFonts w:cs="Times New Roman"/>
          <w:sz w:val="24"/>
          <w:szCs w:val="24"/>
        </w:rPr>
        <w:t>otice under s</w:t>
      </w:r>
      <w:r w:rsidR="008B6C29">
        <w:rPr>
          <w:rFonts w:cs="Times New Roman"/>
          <w:sz w:val="24"/>
          <w:szCs w:val="24"/>
        </w:rPr>
        <w:t xml:space="preserve"> </w:t>
      </w:r>
      <w:r w:rsidR="00D74B92" w:rsidRPr="00281287">
        <w:rPr>
          <w:rFonts w:cs="Times New Roman"/>
          <w:sz w:val="24"/>
          <w:szCs w:val="24"/>
        </w:rPr>
        <w:t xml:space="preserve">41(6A)(a) of the </w:t>
      </w:r>
      <w:r w:rsidR="008B6C29" w:rsidRPr="008B6C29">
        <w:rPr>
          <w:rFonts w:cs="Times New Roman"/>
          <w:sz w:val="24"/>
          <w:szCs w:val="24"/>
        </w:rPr>
        <w:t>Bankruptcy Act</w:t>
      </w:r>
      <w:r w:rsidR="00D74B92" w:rsidRPr="008B6C29">
        <w:rPr>
          <w:rFonts w:cs="Times New Roman"/>
          <w:sz w:val="24"/>
          <w:szCs w:val="24"/>
        </w:rPr>
        <w:t xml:space="preserve">. </w:t>
      </w:r>
      <w:r w:rsidR="00D74B92" w:rsidRPr="00281287">
        <w:rPr>
          <w:rFonts w:cs="Times New Roman"/>
          <w:sz w:val="24"/>
          <w:szCs w:val="24"/>
        </w:rPr>
        <w:t>However, the Court</w:t>
      </w:r>
      <w:r w:rsidR="00940371">
        <w:rPr>
          <w:rFonts w:cs="Times New Roman"/>
          <w:sz w:val="24"/>
          <w:szCs w:val="24"/>
        </w:rPr>
        <w:t xml:space="preserve"> will not make this order if it considers</w:t>
      </w:r>
      <w:r w:rsidR="00D74B92" w:rsidRPr="00281287">
        <w:rPr>
          <w:rFonts w:cs="Times New Roman"/>
          <w:sz w:val="24"/>
          <w:szCs w:val="24"/>
        </w:rPr>
        <w:t xml:space="preserve"> that the proceedings to set aside the judgment or order</w:t>
      </w:r>
      <w:r w:rsidR="00940371">
        <w:rPr>
          <w:rFonts w:cs="Times New Roman"/>
          <w:sz w:val="24"/>
          <w:szCs w:val="24"/>
        </w:rPr>
        <w:t xml:space="preserve"> </w:t>
      </w:r>
      <w:r w:rsidR="00940371" w:rsidRPr="00281287">
        <w:rPr>
          <w:rFonts w:cs="Times New Roman"/>
          <w:sz w:val="24"/>
          <w:szCs w:val="24"/>
        </w:rPr>
        <w:t>(s</w:t>
      </w:r>
      <w:r w:rsidR="008B6C29">
        <w:rPr>
          <w:rFonts w:cs="Times New Roman"/>
          <w:sz w:val="24"/>
          <w:szCs w:val="24"/>
        </w:rPr>
        <w:t xml:space="preserve"> </w:t>
      </w:r>
      <w:r w:rsidR="00940371" w:rsidRPr="00281287">
        <w:rPr>
          <w:rFonts w:cs="Times New Roman"/>
          <w:sz w:val="24"/>
          <w:szCs w:val="24"/>
        </w:rPr>
        <w:t xml:space="preserve">41(6C) of the </w:t>
      </w:r>
      <w:r w:rsidR="00940371" w:rsidRPr="008B6C29">
        <w:rPr>
          <w:rFonts w:cs="Times New Roman"/>
          <w:sz w:val="24"/>
          <w:szCs w:val="24"/>
        </w:rPr>
        <w:t>Bankruptcy Act</w:t>
      </w:r>
      <w:r w:rsidR="00940371" w:rsidRPr="00C36A5F">
        <w:rPr>
          <w:rFonts w:cs="Times New Roman"/>
          <w:sz w:val="24"/>
          <w:szCs w:val="24"/>
        </w:rPr>
        <w:t>)</w:t>
      </w:r>
      <w:r w:rsidR="00D74B92" w:rsidRPr="00281287">
        <w:rPr>
          <w:rFonts w:cs="Times New Roman"/>
          <w:sz w:val="24"/>
          <w:szCs w:val="24"/>
        </w:rPr>
        <w:t>:</w:t>
      </w:r>
    </w:p>
    <w:p w:rsidR="00D74B92" w:rsidRPr="00281287" w:rsidRDefault="002A7A6E" w:rsidP="00AA741D">
      <w:pPr>
        <w:pStyle w:val="ListParagraph"/>
        <w:numPr>
          <w:ilvl w:val="0"/>
          <w:numId w:val="8"/>
        </w:numPr>
        <w:spacing w:after="240"/>
        <w:ind w:left="1134" w:hanging="425"/>
        <w:contextualSpacing w:val="0"/>
        <w:jc w:val="both"/>
        <w:rPr>
          <w:rFonts w:cs="Times New Roman"/>
          <w:sz w:val="24"/>
          <w:szCs w:val="24"/>
        </w:rPr>
      </w:pPr>
      <w:r>
        <w:rPr>
          <w:rFonts w:cs="Times New Roman"/>
          <w:sz w:val="24"/>
          <w:szCs w:val="24"/>
        </w:rPr>
        <w:t>h</w:t>
      </w:r>
      <w:r w:rsidR="00D74B92" w:rsidRPr="00281287">
        <w:rPr>
          <w:rFonts w:cs="Times New Roman"/>
          <w:sz w:val="24"/>
          <w:szCs w:val="24"/>
        </w:rPr>
        <w:t>ave not been instituted bona fide</w:t>
      </w:r>
      <w:r w:rsidR="003A531C">
        <w:rPr>
          <w:rFonts w:cs="Times New Roman"/>
          <w:sz w:val="24"/>
          <w:szCs w:val="24"/>
        </w:rPr>
        <w:t>,</w:t>
      </w:r>
      <w:r w:rsidR="00D74B92" w:rsidRPr="00281287">
        <w:rPr>
          <w:rFonts w:cs="Times New Roman"/>
          <w:sz w:val="24"/>
          <w:szCs w:val="24"/>
        </w:rPr>
        <w:t xml:space="preserve"> or</w:t>
      </w:r>
    </w:p>
    <w:p w:rsidR="00D74B92" w:rsidRPr="00281287" w:rsidRDefault="002A7A6E" w:rsidP="00AA741D">
      <w:pPr>
        <w:pStyle w:val="ListParagraph"/>
        <w:numPr>
          <w:ilvl w:val="0"/>
          <w:numId w:val="8"/>
        </w:numPr>
        <w:spacing w:after="240"/>
        <w:ind w:left="1134" w:hanging="425"/>
        <w:contextualSpacing w:val="0"/>
        <w:jc w:val="both"/>
        <w:rPr>
          <w:rFonts w:cs="Times New Roman"/>
          <w:sz w:val="24"/>
          <w:szCs w:val="24"/>
        </w:rPr>
      </w:pPr>
      <w:r>
        <w:rPr>
          <w:rFonts w:cs="Times New Roman"/>
          <w:sz w:val="24"/>
          <w:szCs w:val="24"/>
        </w:rPr>
        <w:t>a</w:t>
      </w:r>
      <w:r w:rsidR="00D74B92" w:rsidRPr="00281287">
        <w:rPr>
          <w:rFonts w:cs="Times New Roman"/>
          <w:sz w:val="24"/>
          <w:szCs w:val="24"/>
        </w:rPr>
        <w:t>re not being prosecuted with due diligence.</w:t>
      </w:r>
    </w:p>
    <w:p w:rsidR="00FA73DE" w:rsidRDefault="002A7A6E" w:rsidP="00D846F1">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T</w:t>
      </w:r>
      <w:r w:rsidR="00F7718D" w:rsidRPr="00281287">
        <w:rPr>
          <w:rFonts w:cs="Times New Roman"/>
          <w:sz w:val="24"/>
          <w:szCs w:val="24"/>
        </w:rPr>
        <w:t xml:space="preserve">here </w:t>
      </w:r>
      <w:r w:rsidR="00451184">
        <w:rPr>
          <w:rFonts w:cs="Times New Roman"/>
          <w:sz w:val="24"/>
          <w:szCs w:val="24"/>
        </w:rPr>
        <w:t>is</w:t>
      </w:r>
      <w:r w:rsidR="00F7718D" w:rsidRPr="00281287">
        <w:rPr>
          <w:rFonts w:cs="Times New Roman"/>
          <w:sz w:val="24"/>
          <w:szCs w:val="24"/>
        </w:rPr>
        <w:t xml:space="preserve"> a</w:t>
      </w:r>
      <w:r>
        <w:rPr>
          <w:rFonts w:cs="Times New Roman"/>
          <w:sz w:val="24"/>
          <w:szCs w:val="24"/>
        </w:rPr>
        <w:t>lso a</w:t>
      </w:r>
      <w:r w:rsidR="00F7718D" w:rsidRPr="00281287">
        <w:rPr>
          <w:rFonts w:cs="Times New Roman"/>
          <w:sz w:val="24"/>
          <w:szCs w:val="24"/>
        </w:rPr>
        <w:t xml:space="preserve"> broad spectrum of other matters and considerations which </w:t>
      </w:r>
      <w:r w:rsidR="00FA73DE">
        <w:rPr>
          <w:rFonts w:cs="Times New Roman"/>
          <w:sz w:val="24"/>
          <w:szCs w:val="24"/>
        </w:rPr>
        <w:t>will</w:t>
      </w:r>
      <w:r w:rsidR="00F7718D" w:rsidRPr="00281287">
        <w:rPr>
          <w:rFonts w:cs="Times New Roman"/>
          <w:sz w:val="24"/>
          <w:szCs w:val="24"/>
        </w:rPr>
        <w:t xml:space="preserve"> ordinarily</w:t>
      </w:r>
      <w:r w:rsidR="00FA73DE">
        <w:rPr>
          <w:rFonts w:cs="Times New Roman"/>
          <w:sz w:val="24"/>
          <w:szCs w:val="24"/>
        </w:rPr>
        <w:t xml:space="preserve"> be</w:t>
      </w:r>
      <w:r w:rsidR="00F7718D" w:rsidRPr="00281287">
        <w:rPr>
          <w:rFonts w:cs="Times New Roman"/>
          <w:sz w:val="24"/>
          <w:szCs w:val="24"/>
        </w:rPr>
        <w:t xml:space="preserve"> relevant to whether the Court will </w:t>
      </w:r>
      <w:r w:rsidR="00FA73DE">
        <w:rPr>
          <w:rFonts w:cs="Times New Roman"/>
          <w:sz w:val="24"/>
          <w:szCs w:val="24"/>
        </w:rPr>
        <w:t>exercise its power to extend time</w:t>
      </w:r>
      <w:r w:rsidR="00CB6FA4" w:rsidRPr="00281287">
        <w:rPr>
          <w:rFonts w:cs="Times New Roman"/>
          <w:sz w:val="24"/>
          <w:szCs w:val="24"/>
        </w:rPr>
        <w:t>.</w:t>
      </w:r>
      <w:r w:rsidR="00F7718D" w:rsidRPr="00281287">
        <w:rPr>
          <w:rFonts w:cs="Times New Roman"/>
          <w:sz w:val="24"/>
          <w:szCs w:val="24"/>
        </w:rPr>
        <w:t xml:space="preserve"> Some of these factors include</w:t>
      </w:r>
      <w:r w:rsidR="00FA73DE">
        <w:rPr>
          <w:rFonts w:cs="Times New Roman"/>
          <w:sz w:val="24"/>
          <w:szCs w:val="24"/>
        </w:rPr>
        <w:t>:</w:t>
      </w:r>
      <w:r w:rsidR="00F7718D" w:rsidRPr="00281287">
        <w:rPr>
          <w:rFonts w:cs="Times New Roman"/>
          <w:sz w:val="24"/>
          <w:szCs w:val="24"/>
        </w:rPr>
        <w:t xml:space="preserve"> </w:t>
      </w:r>
    </w:p>
    <w:p w:rsidR="002A7A6E" w:rsidRDefault="00F7718D" w:rsidP="009B38C7">
      <w:pPr>
        <w:pStyle w:val="ListParagraph"/>
        <w:numPr>
          <w:ilvl w:val="0"/>
          <w:numId w:val="44"/>
        </w:numPr>
        <w:spacing w:after="240"/>
        <w:ind w:left="1134" w:hanging="425"/>
        <w:contextualSpacing w:val="0"/>
        <w:jc w:val="both"/>
        <w:rPr>
          <w:rFonts w:cs="Times New Roman"/>
          <w:sz w:val="24"/>
          <w:szCs w:val="24"/>
        </w:rPr>
      </w:pPr>
      <w:r w:rsidRPr="00281287">
        <w:rPr>
          <w:rFonts w:cs="Times New Roman"/>
          <w:sz w:val="24"/>
          <w:szCs w:val="24"/>
        </w:rPr>
        <w:t>whether the debtor has applied for or o</w:t>
      </w:r>
      <w:r w:rsidR="008B6C29">
        <w:rPr>
          <w:rFonts w:cs="Times New Roman"/>
          <w:sz w:val="24"/>
          <w:szCs w:val="24"/>
        </w:rPr>
        <w:t>btained a stay on the judgment</w:t>
      </w:r>
    </w:p>
    <w:p w:rsidR="002A7A6E" w:rsidRDefault="00F7718D" w:rsidP="009B38C7">
      <w:pPr>
        <w:pStyle w:val="ListParagraph"/>
        <w:numPr>
          <w:ilvl w:val="0"/>
          <w:numId w:val="44"/>
        </w:numPr>
        <w:spacing w:after="240"/>
        <w:ind w:left="1134" w:hanging="425"/>
        <w:contextualSpacing w:val="0"/>
        <w:jc w:val="both"/>
        <w:rPr>
          <w:rFonts w:cs="Times New Roman"/>
          <w:sz w:val="24"/>
          <w:szCs w:val="24"/>
        </w:rPr>
      </w:pPr>
      <w:r w:rsidRPr="00281287">
        <w:rPr>
          <w:rFonts w:cs="Times New Roman"/>
          <w:sz w:val="24"/>
          <w:szCs w:val="24"/>
        </w:rPr>
        <w:t xml:space="preserve">whether the grounds on which the judgment are challenged have </w:t>
      </w:r>
      <w:r w:rsidR="00A02A58" w:rsidRPr="00281287">
        <w:rPr>
          <w:rFonts w:cs="Times New Roman"/>
          <w:sz w:val="24"/>
          <w:szCs w:val="24"/>
        </w:rPr>
        <w:t xml:space="preserve">some sound basis or </w:t>
      </w:r>
      <w:r w:rsidRPr="00281287">
        <w:rPr>
          <w:rFonts w:cs="Times New Roman"/>
          <w:sz w:val="24"/>
          <w:szCs w:val="24"/>
        </w:rPr>
        <w:t xml:space="preserve">a </w:t>
      </w:r>
      <w:r w:rsidR="00A02A58" w:rsidRPr="00281287">
        <w:rPr>
          <w:rFonts w:cs="Times New Roman"/>
          <w:sz w:val="24"/>
          <w:szCs w:val="24"/>
        </w:rPr>
        <w:t xml:space="preserve">rational </w:t>
      </w:r>
      <w:r w:rsidRPr="00281287">
        <w:rPr>
          <w:rFonts w:cs="Times New Roman"/>
          <w:sz w:val="24"/>
          <w:szCs w:val="24"/>
        </w:rPr>
        <w:t>chance of success</w:t>
      </w:r>
    </w:p>
    <w:p w:rsidR="002A7A6E" w:rsidRDefault="000372E5" w:rsidP="009B38C7">
      <w:pPr>
        <w:pStyle w:val="ListParagraph"/>
        <w:numPr>
          <w:ilvl w:val="0"/>
          <w:numId w:val="44"/>
        </w:numPr>
        <w:spacing w:after="240"/>
        <w:ind w:left="1134" w:hanging="425"/>
        <w:contextualSpacing w:val="0"/>
        <w:jc w:val="both"/>
        <w:rPr>
          <w:rFonts w:cs="Times New Roman"/>
          <w:sz w:val="24"/>
          <w:szCs w:val="24"/>
        </w:rPr>
      </w:pPr>
      <w:r>
        <w:rPr>
          <w:rFonts w:cs="Times New Roman"/>
          <w:sz w:val="24"/>
          <w:szCs w:val="24"/>
        </w:rPr>
        <w:t xml:space="preserve">any </w:t>
      </w:r>
      <w:r w:rsidR="00A02A58" w:rsidRPr="00281287">
        <w:rPr>
          <w:rFonts w:cs="Times New Roman"/>
          <w:sz w:val="24"/>
          <w:szCs w:val="24"/>
        </w:rPr>
        <w:t xml:space="preserve">prejudice </w:t>
      </w:r>
      <w:r>
        <w:rPr>
          <w:rFonts w:cs="Times New Roman"/>
          <w:sz w:val="24"/>
          <w:szCs w:val="24"/>
        </w:rPr>
        <w:t xml:space="preserve">there may be </w:t>
      </w:r>
      <w:r w:rsidR="00A02A58" w:rsidRPr="00281287">
        <w:rPr>
          <w:rFonts w:cs="Times New Roman"/>
          <w:sz w:val="24"/>
          <w:szCs w:val="24"/>
        </w:rPr>
        <w:t xml:space="preserve">to the debtor and creditors </w:t>
      </w:r>
    </w:p>
    <w:p w:rsidR="002A7A6E" w:rsidRDefault="002A7A6E" w:rsidP="009B38C7">
      <w:pPr>
        <w:pStyle w:val="ListParagraph"/>
        <w:numPr>
          <w:ilvl w:val="0"/>
          <w:numId w:val="44"/>
        </w:numPr>
        <w:spacing w:after="240"/>
        <w:ind w:left="1134" w:hanging="425"/>
        <w:contextualSpacing w:val="0"/>
        <w:jc w:val="both"/>
        <w:rPr>
          <w:rFonts w:cs="Times New Roman"/>
          <w:sz w:val="24"/>
          <w:szCs w:val="24"/>
        </w:rPr>
      </w:pPr>
      <w:r>
        <w:rPr>
          <w:rFonts w:cs="Times New Roman"/>
          <w:sz w:val="24"/>
          <w:szCs w:val="24"/>
        </w:rPr>
        <w:t xml:space="preserve">any </w:t>
      </w:r>
      <w:r w:rsidR="00A02A58" w:rsidRPr="00281287">
        <w:rPr>
          <w:rFonts w:cs="Times New Roman"/>
          <w:sz w:val="24"/>
          <w:szCs w:val="24"/>
        </w:rPr>
        <w:t>impact</w:t>
      </w:r>
      <w:r>
        <w:rPr>
          <w:rFonts w:cs="Times New Roman"/>
          <w:sz w:val="24"/>
          <w:szCs w:val="24"/>
        </w:rPr>
        <w:t xml:space="preserve"> there may be</w:t>
      </w:r>
      <w:r w:rsidR="008B6C29">
        <w:rPr>
          <w:rFonts w:cs="Times New Roman"/>
          <w:sz w:val="24"/>
          <w:szCs w:val="24"/>
        </w:rPr>
        <w:t xml:space="preserve"> on the date of bankruptcy</w:t>
      </w:r>
      <w:r w:rsidR="00A02A58" w:rsidRPr="00281287">
        <w:rPr>
          <w:rFonts w:cs="Times New Roman"/>
          <w:sz w:val="24"/>
          <w:szCs w:val="24"/>
        </w:rPr>
        <w:t xml:space="preserve"> </w:t>
      </w:r>
    </w:p>
    <w:p w:rsidR="002A7A6E" w:rsidRDefault="002A7A6E" w:rsidP="009B38C7">
      <w:pPr>
        <w:pStyle w:val="ListParagraph"/>
        <w:numPr>
          <w:ilvl w:val="0"/>
          <w:numId w:val="44"/>
        </w:numPr>
        <w:spacing w:after="240"/>
        <w:ind w:left="1134" w:hanging="425"/>
        <w:contextualSpacing w:val="0"/>
        <w:jc w:val="both"/>
        <w:rPr>
          <w:rFonts w:cs="Times New Roman"/>
          <w:sz w:val="24"/>
          <w:szCs w:val="24"/>
        </w:rPr>
      </w:pPr>
      <w:r>
        <w:rPr>
          <w:rFonts w:cs="Times New Roman"/>
          <w:sz w:val="24"/>
          <w:szCs w:val="24"/>
        </w:rPr>
        <w:t xml:space="preserve">any impact there may be on </w:t>
      </w:r>
      <w:r w:rsidR="00A02A58" w:rsidRPr="00281287">
        <w:rPr>
          <w:rFonts w:cs="Times New Roman"/>
          <w:sz w:val="24"/>
          <w:szCs w:val="24"/>
        </w:rPr>
        <w:t xml:space="preserve">legal </w:t>
      </w:r>
      <w:r w:rsidR="00CB6FA4" w:rsidRPr="00281287">
        <w:rPr>
          <w:rFonts w:cs="Times New Roman"/>
          <w:sz w:val="24"/>
          <w:szCs w:val="24"/>
        </w:rPr>
        <w:t>proceedings</w:t>
      </w:r>
    </w:p>
    <w:p w:rsidR="002A7A6E" w:rsidRDefault="002A7A6E" w:rsidP="009B38C7">
      <w:pPr>
        <w:pStyle w:val="ListParagraph"/>
        <w:numPr>
          <w:ilvl w:val="0"/>
          <w:numId w:val="44"/>
        </w:numPr>
        <w:spacing w:after="240"/>
        <w:ind w:left="1134" w:hanging="425"/>
        <w:contextualSpacing w:val="0"/>
        <w:jc w:val="both"/>
        <w:rPr>
          <w:rFonts w:cs="Times New Roman"/>
          <w:sz w:val="24"/>
          <w:szCs w:val="24"/>
        </w:rPr>
      </w:pPr>
      <w:r>
        <w:rPr>
          <w:rFonts w:cs="Times New Roman"/>
          <w:sz w:val="24"/>
          <w:szCs w:val="24"/>
        </w:rPr>
        <w:t>any</w:t>
      </w:r>
      <w:r w:rsidR="00A02A58" w:rsidRPr="00281287">
        <w:rPr>
          <w:rFonts w:cs="Times New Roman"/>
          <w:sz w:val="24"/>
          <w:szCs w:val="24"/>
        </w:rPr>
        <w:t xml:space="preserve"> information relating to a</w:t>
      </w:r>
      <w:r w:rsidR="00F7718D" w:rsidRPr="00281287">
        <w:rPr>
          <w:rFonts w:cs="Times New Roman"/>
          <w:sz w:val="24"/>
          <w:szCs w:val="24"/>
        </w:rPr>
        <w:t xml:space="preserve"> debtor’s general financial position</w:t>
      </w:r>
      <w:r w:rsidR="003A531C">
        <w:rPr>
          <w:rFonts w:cs="Times New Roman"/>
          <w:sz w:val="24"/>
          <w:szCs w:val="24"/>
        </w:rPr>
        <w:t>,</w:t>
      </w:r>
      <w:r w:rsidR="00A02A58" w:rsidRPr="00281287">
        <w:rPr>
          <w:rFonts w:cs="Times New Roman"/>
          <w:sz w:val="24"/>
          <w:szCs w:val="24"/>
        </w:rPr>
        <w:t xml:space="preserve"> and</w:t>
      </w:r>
    </w:p>
    <w:p w:rsidR="002A7A6E" w:rsidRDefault="00A02A58" w:rsidP="009B38C7">
      <w:pPr>
        <w:pStyle w:val="ListParagraph"/>
        <w:numPr>
          <w:ilvl w:val="0"/>
          <w:numId w:val="44"/>
        </w:numPr>
        <w:spacing w:after="240"/>
        <w:ind w:left="1134" w:hanging="425"/>
        <w:contextualSpacing w:val="0"/>
        <w:jc w:val="both"/>
        <w:rPr>
          <w:rFonts w:cs="Times New Roman"/>
          <w:sz w:val="24"/>
          <w:szCs w:val="24"/>
        </w:rPr>
      </w:pPr>
      <w:r w:rsidRPr="00281287">
        <w:rPr>
          <w:rFonts w:cs="Times New Roman"/>
          <w:sz w:val="24"/>
          <w:szCs w:val="24"/>
        </w:rPr>
        <w:t>the risk of assets being dissipated</w:t>
      </w:r>
      <w:r w:rsidR="00F7718D" w:rsidRPr="00281287">
        <w:rPr>
          <w:rFonts w:cs="Times New Roman"/>
          <w:sz w:val="24"/>
          <w:szCs w:val="24"/>
        </w:rPr>
        <w:t xml:space="preserve">. </w:t>
      </w:r>
    </w:p>
    <w:p w:rsidR="00AA741D" w:rsidRDefault="000372E5" w:rsidP="002A7A6E">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 xml:space="preserve">The Court will balance these considerations, </w:t>
      </w:r>
      <w:r w:rsidR="004410D6" w:rsidRPr="00281287">
        <w:rPr>
          <w:rFonts w:cs="Times New Roman"/>
          <w:sz w:val="24"/>
          <w:szCs w:val="24"/>
        </w:rPr>
        <w:t>having regard to the circumstances of the application, the evidence</w:t>
      </w:r>
      <w:r w:rsidR="00451184">
        <w:rPr>
          <w:rFonts w:cs="Times New Roman"/>
          <w:sz w:val="24"/>
          <w:szCs w:val="24"/>
        </w:rPr>
        <w:t>,</w:t>
      </w:r>
      <w:r w:rsidR="004410D6" w:rsidRPr="00281287">
        <w:rPr>
          <w:rFonts w:cs="Times New Roman"/>
          <w:sz w:val="24"/>
          <w:szCs w:val="24"/>
        </w:rPr>
        <w:t xml:space="preserve"> and </w:t>
      </w:r>
      <w:r w:rsidR="00451184">
        <w:rPr>
          <w:rFonts w:cs="Times New Roman"/>
          <w:sz w:val="24"/>
          <w:szCs w:val="24"/>
        </w:rPr>
        <w:t>any</w:t>
      </w:r>
      <w:r w:rsidR="004410D6" w:rsidRPr="00281287">
        <w:rPr>
          <w:rFonts w:cs="Times New Roman"/>
          <w:sz w:val="24"/>
          <w:szCs w:val="24"/>
        </w:rPr>
        <w:t xml:space="preserve"> legal submissions </w:t>
      </w:r>
      <w:r w:rsidR="004030CC">
        <w:rPr>
          <w:rFonts w:cs="Times New Roman"/>
          <w:sz w:val="24"/>
          <w:szCs w:val="24"/>
        </w:rPr>
        <w:t>that have been made</w:t>
      </w:r>
      <w:r w:rsidR="004410D6" w:rsidRPr="00281287">
        <w:rPr>
          <w:rFonts w:cs="Times New Roman"/>
          <w:sz w:val="24"/>
          <w:szCs w:val="24"/>
        </w:rPr>
        <w:t xml:space="preserve">.  </w:t>
      </w:r>
    </w:p>
    <w:p w:rsidR="00195007" w:rsidRPr="00C2510A" w:rsidRDefault="00940371">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The forms and documents required to make an application under this ground</w:t>
      </w:r>
      <w:r w:rsidR="00195007" w:rsidRPr="005D78C5">
        <w:rPr>
          <w:rFonts w:cs="Times New Roman"/>
          <w:sz w:val="24"/>
          <w:szCs w:val="24"/>
        </w:rPr>
        <w:t xml:space="preserve"> are explained below at Sections [4] and [5], and at paragraphs [5.</w:t>
      </w:r>
      <w:r w:rsidR="00F16433">
        <w:rPr>
          <w:rFonts w:cs="Times New Roman"/>
          <w:sz w:val="24"/>
          <w:szCs w:val="24"/>
        </w:rPr>
        <w:t>9</w:t>
      </w:r>
      <w:r w:rsidR="00195007" w:rsidRPr="005D78C5">
        <w:rPr>
          <w:rFonts w:cs="Times New Roman"/>
          <w:sz w:val="24"/>
          <w:szCs w:val="24"/>
        </w:rPr>
        <w:t>]-[5.</w:t>
      </w:r>
      <w:r w:rsidR="00F16433">
        <w:rPr>
          <w:rFonts w:cs="Times New Roman"/>
          <w:sz w:val="24"/>
          <w:szCs w:val="24"/>
        </w:rPr>
        <w:t>10</w:t>
      </w:r>
      <w:r w:rsidR="00195007" w:rsidRPr="005D78C5">
        <w:rPr>
          <w:rFonts w:cs="Times New Roman"/>
          <w:sz w:val="24"/>
          <w:szCs w:val="24"/>
        </w:rPr>
        <w:t>].</w:t>
      </w:r>
    </w:p>
    <w:p w:rsidR="00FA73DE" w:rsidRPr="00D846F1" w:rsidRDefault="00FA73DE" w:rsidP="00FA73DE">
      <w:pPr>
        <w:pStyle w:val="ListParagraph"/>
        <w:spacing w:after="240"/>
        <w:ind w:left="709"/>
        <w:contextualSpacing w:val="0"/>
        <w:jc w:val="both"/>
        <w:rPr>
          <w:rFonts w:cs="Times New Roman"/>
          <w:sz w:val="24"/>
          <w:szCs w:val="24"/>
        </w:rPr>
      </w:pPr>
      <w:r w:rsidRPr="00D846F1">
        <w:rPr>
          <w:rFonts w:cs="Times New Roman"/>
          <w:b/>
          <w:i/>
          <w:sz w:val="24"/>
          <w:szCs w:val="24"/>
        </w:rPr>
        <w:t xml:space="preserve">Application to </w:t>
      </w:r>
      <w:r w:rsidR="00F6642A">
        <w:rPr>
          <w:rFonts w:cs="Times New Roman"/>
          <w:b/>
          <w:i/>
          <w:sz w:val="24"/>
          <w:szCs w:val="24"/>
        </w:rPr>
        <w:t>set a</w:t>
      </w:r>
      <w:r w:rsidR="00351BE2">
        <w:rPr>
          <w:rFonts w:cs="Times New Roman"/>
          <w:b/>
          <w:i/>
          <w:sz w:val="24"/>
          <w:szCs w:val="24"/>
        </w:rPr>
        <w:t>side a bankruptcy n</w:t>
      </w:r>
      <w:r w:rsidRPr="00D846F1">
        <w:rPr>
          <w:rFonts w:cs="Times New Roman"/>
          <w:b/>
          <w:i/>
          <w:sz w:val="24"/>
          <w:szCs w:val="24"/>
        </w:rPr>
        <w:t xml:space="preserve">otice on the </w:t>
      </w:r>
      <w:r w:rsidR="00F6642A">
        <w:rPr>
          <w:rFonts w:cs="Times New Roman"/>
          <w:b/>
          <w:i/>
          <w:sz w:val="24"/>
          <w:szCs w:val="24"/>
        </w:rPr>
        <w:t>g</w:t>
      </w:r>
      <w:r w:rsidRPr="00D846F1">
        <w:rPr>
          <w:rFonts w:cs="Times New Roman"/>
          <w:b/>
          <w:i/>
          <w:sz w:val="24"/>
          <w:szCs w:val="24"/>
        </w:rPr>
        <w:t xml:space="preserve">round of a </w:t>
      </w:r>
      <w:r w:rsidR="00351BE2">
        <w:rPr>
          <w:rFonts w:cs="Times New Roman"/>
          <w:b/>
          <w:i/>
          <w:sz w:val="24"/>
          <w:szCs w:val="24"/>
        </w:rPr>
        <w:t>c</w:t>
      </w:r>
      <w:r w:rsidRPr="00D846F1">
        <w:rPr>
          <w:rFonts w:cs="Times New Roman"/>
          <w:b/>
          <w:i/>
          <w:sz w:val="24"/>
          <w:szCs w:val="24"/>
        </w:rPr>
        <w:t>ounter-</w:t>
      </w:r>
      <w:r w:rsidR="00351BE2">
        <w:rPr>
          <w:rFonts w:cs="Times New Roman"/>
          <w:b/>
          <w:i/>
          <w:sz w:val="24"/>
          <w:szCs w:val="24"/>
        </w:rPr>
        <w:t>claim, set-o</w:t>
      </w:r>
      <w:r w:rsidRPr="00D846F1">
        <w:rPr>
          <w:rFonts w:cs="Times New Roman"/>
          <w:b/>
          <w:i/>
          <w:sz w:val="24"/>
          <w:szCs w:val="24"/>
        </w:rPr>
        <w:t xml:space="preserve">ff or </w:t>
      </w:r>
      <w:r w:rsidR="00351BE2">
        <w:rPr>
          <w:rFonts w:cs="Times New Roman"/>
          <w:b/>
          <w:i/>
          <w:sz w:val="24"/>
          <w:szCs w:val="24"/>
        </w:rPr>
        <w:t>cross d</w:t>
      </w:r>
      <w:r w:rsidRPr="00D846F1">
        <w:rPr>
          <w:rFonts w:cs="Times New Roman"/>
          <w:b/>
          <w:i/>
          <w:sz w:val="24"/>
          <w:szCs w:val="24"/>
        </w:rPr>
        <w:t>emand – s</w:t>
      </w:r>
      <w:r w:rsidR="00321CA5">
        <w:rPr>
          <w:rFonts w:cs="Times New Roman"/>
          <w:b/>
          <w:i/>
          <w:sz w:val="24"/>
          <w:szCs w:val="24"/>
        </w:rPr>
        <w:t>s</w:t>
      </w:r>
      <w:r w:rsidR="00792780">
        <w:rPr>
          <w:rFonts w:cs="Times New Roman"/>
          <w:b/>
          <w:i/>
          <w:sz w:val="24"/>
          <w:szCs w:val="24"/>
        </w:rPr>
        <w:t xml:space="preserve"> </w:t>
      </w:r>
      <w:r w:rsidRPr="00D846F1">
        <w:rPr>
          <w:rFonts w:cs="Times New Roman"/>
          <w:b/>
          <w:i/>
          <w:sz w:val="24"/>
          <w:szCs w:val="24"/>
        </w:rPr>
        <w:t>40(1)(g)</w:t>
      </w:r>
      <w:r w:rsidR="00321CA5">
        <w:rPr>
          <w:rFonts w:cs="Times New Roman"/>
          <w:b/>
          <w:i/>
          <w:sz w:val="24"/>
          <w:szCs w:val="24"/>
        </w:rPr>
        <w:t xml:space="preserve"> and</w:t>
      </w:r>
      <w:r w:rsidR="00792780">
        <w:rPr>
          <w:rFonts w:cs="Times New Roman"/>
          <w:b/>
          <w:i/>
          <w:sz w:val="24"/>
          <w:szCs w:val="24"/>
        </w:rPr>
        <w:t xml:space="preserve"> </w:t>
      </w:r>
      <w:r w:rsidRPr="00D846F1">
        <w:rPr>
          <w:rFonts w:cs="Times New Roman"/>
          <w:b/>
          <w:i/>
          <w:sz w:val="24"/>
          <w:szCs w:val="24"/>
        </w:rPr>
        <w:t>41(7)</w:t>
      </w:r>
      <w:r w:rsidR="00321CA5">
        <w:rPr>
          <w:rFonts w:cs="Times New Roman"/>
          <w:b/>
          <w:i/>
          <w:sz w:val="24"/>
          <w:szCs w:val="24"/>
        </w:rPr>
        <w:t xml:space="preserve"> of the Bankruptcy Act</w:t>
      </w:r>
      <w:r w:rsidR="0021250B">
        <w:rPr>
          <w:rFonts w:cs="Times New Roman"/>
          <w:b/>
          <w:i/>
          <w:sz w:val="24"/>
          <w:szCs w:val="24"/>
        </w:rPr>
        <w:t xml:space="preserve"> </w:t>
      </w:r>
      <w:r w:rsidR="00F6642A">
        <w:rPr>
          <w:rFonts w:cs="Times New Roman"/>
          <w:b/>
          <w:i/>
          <w:sz w:val="24"/>
          <w:szCs w:val="24"/>
        </w:rPr>
        <w:t>and</w:t>
      </w:r>
      <w:r w:rsidR="0021250B">
        <w:rPr>
          <w:rFonts w:cs="Times New Roman"/>
          <w:b/>
          <w:i/>
          <w:sz w:val="24"/>
          <w:szCs w:val="24"/>
        </w:rPr>
        <w:t xml:space="preserve"> </w:t>
      </w:r>
      <w:r w:rsidR="000C14E5">
        <w:rPr>
          <w:rFonts w:cs="Times New Roman"/>
          <w:b/>
          <w:i/>
          <w:sz w:val="24"/>
          <w:szCs w:val="24"/>
        </w:rPr>
        <w:t>R</w:t>
      </w:r>
      <w:r w:rsidR="00321CA5">
        <w:rPr>
          <w:rFonts w:cs="Times New Roman"/>
          <w:b/>
          <w:i/>
          <w:sz w:val="24"/>
          <w:szCs w:val="24"/>
        </w:rPr>
        <w:t>ule</w:t>
      </w:r>
      <w:r w:rsidR="00F6642A">
        <w:rPr>
          <w:rFonts w:cs="Times New Roman"/>
          <w:b/>
          <w:i/>
          <w:sz w:val="24"/>
          <w:szCs w:val="24"/>
        </w:rPr>
        <w:t xml:space="preserve"> </w:t>
      </w:r>
      <w:r w:rsidR="0021250B">
        <w:rPr>
          <w:rFonts w:cs="Times New Roman"/>
          <w:b/>
          <w:i/>
          <w:sz w:val="24"/>
          <w:szCs w:val="24"/>
        </w:rPr>
        <w:t>3.02(3)</w:t>
      </w:r>
      <w:r w:rsidR="000C14E5">
        <w:rPr>
          <w:rFonts w:cs="Times New Roman"/>
          <w:b/>
          <w:i/>
          <w:sz w:val="24"/>
          <w:szCs w:val="24"/>
        </w:rPr>
        <w:t xml:space="preserve"> of the Bankruptcy Rules</w:t>
      </w:r>
    </w:p>
    <w:p w:rsidR="00FA73DE" w:rsidRPr="00281287" w:rsidRDefault="00FA73DE" w:rsidP="00FA73DE">
      <w:pPr>
        <w:pStyle w:val="ListParagraph"/>
        <w:numPr>
          <w:ilvl w:val="1"/>
          <w:numId w:val="31"/>
        </w:numPr>
        <w:spacing w:after="240"/>
        <w:ind w:left="709" w:hanging="709"/>
        <w:contextualSpacing w:val="0"/>
        <w:jc w:val="both"/>
        <w:rPr>
          <w:rFonts w:cs="Times New Roman"/>
          <w:sz w:val="24"/>
          <w:szCs w:val="24"/>
        </w:rPr>
      </w:pPr>
      <w:r w:rsidRPr="00281287">
        <w:rPr>
          <w:rFonts w:cs="Times New Roman"/>
          <w:sz w:val="24"/>
          <w:szCs w:val="24"/>
        </w:rPr>
        <w:t>A debtor may file</w:t>
      </w:r>
      <w:r w:rsidR="00351BE2">
        <w:rPr>
          <w:rFonts w:cs="Times New Roman"/>
          <w:sz w:val="24"/>
          <w:szCs w:val="24"/>
        </w:rPr>
        <w:t xml:space="preserve"> an application to set aside a bankruptcy n</w:t>
      </w:r>
      <w:r w:rsidRPr="00281287">
        <w:rPr>
          <w:rFonts w:cs="Times New Roman"/>
          <w:sz w:val="24"/>
          <w:szCs w:val="24"/>
        </w:rPr>
        <w:t xml:space="preserve">otice on the ground </w:t>
      </w:r>
      <w:r w:rsidR="00874738">
        <w:rPr>
          <w:rFonts w:cs="Times New Roman"/>
          <w:sz w:val="24"/>
          <w:szCs w:val="24"/>
        </w:rPr>
        <w:t>that they have</w:t>
      </w:r>
      <w:r w:rsidR="00874738" w:rsidRPr="00281287">
        <w:rPr>
          <w:rFonts w:cs="Times New Roman"/>
          <w:sz w:val="24"/>
          <w:szCs w:val="24"/>
        </w:rPr>
        <w:t xml:space="preserve"> </w:t>
      </w:r>
      <w:r w:rsidRPr="00281287">
        <w:rPr>
          <w:rFonts w:cs="Times New Roman"/>
          <w:sz w:val="24"/>
          <w:szCs w:val="24"/>
        </w:rPr>
        <w:t>a counter-claim, set-off or cross demand</w:t>
      </w:r>
      <w:r w:rsidR="00112E2E">
        <w:rPr>
          <w:rFonts w:cs="Times New Roman"/>
          <w:sz w:val="24"/>
          <w:szCs w:val="24"/>
        </w:rPr>
        <w:t xml:space="preserve"> </w:t>
      </w:r>
      <w:r w:rsidR="006C0075">
        <w:rPr>
          <w:rFonts w:cs="Times New Roman"/>
          <w:sz w:val="24"/>
          <w:szCs w:val="24"/>
        </w:rPr>
        <w:t>that</w:t>
      </w:r>
      <w:r w:rsidR="00112E2E">
        <w:rPr>
          <w:rFonts w:cs="Times New Roman"/>
          <w:sz w:val="24"/>
          <w:szCs w:val="24"/>
        </w:rPr>
        <w:t xml:space="preserve"> satisfies the requirements of the </w:t>
      </w:r>
      <w:r w:rsidR="00112E2E" w:rsidRPr="00F6642A">
        <w:rPr>
          <w:rFonts w:cs="Times New Roman"/>
          <w:sz w:val="24"/>
          <w:szCs w:val="24"/>
        </w:rPr>
        <w:t>Bankruptcy Act</w:t>
      </w:r>
      <w:r w:rsidRPr="00281287">
        <w:rPr>
          <w:rFonts w:cs="Times New Roman"/>
          <w:sz w:val="24"/>
          <w:szCs w:val="24"/>
        </w:rPr>
        <w:t xml:space="preserve">. </w:t>
      </w:r>
    </w:p>
    <w:p w:rsidR="00FA73DE" w:rsidRPr="00281287" w:rsidRDefault="00FA73DE" w:rsidP="00FA73DE">
      <w:pPr>
        <w:pStyle w:val="ListParagraph"/>
        <w:numPr>
          <w:ilvl w:val="1"/>
          <w:numId w:val="31"/>
        </w:numPr>
        <w:spacing w:after="240"/>
        <w:ind w:left="709" w:hanging="709"/>
        <w:contextualSpacing w:val="0"/>
        <w:jc w:val="both"/>
        <w:rPr>
          <w:rFonts w:cs="Times New Roman"/>
          <w:sz w:val="24"/>
          <w:szCs w:val="24"/>
        </w:rPr>
      </w:pPr>
      <w:r w:rsidRPr="00281287">
        <w:rPr>
          <w:rFonts w:cs="Times New Roman"/>
          <w:sz w:val="24"/>
          <w:szCs w:val="24"/>
        </w:rPr>
        <w:t>Under s</w:t>
      </w:r>
      <w:r w:rsidR="008B6C29">
        <w:rPr>
          <w:rFonts w:cs="Times New Roman"/>
          <w:sz w:val="24"/>
          <w:szCs w:val="24"/>
        </w:rPr>
        <w:t xml:space="preserve"> </w:t>
      </w:r>
      <w:r w:rsidRPr="00281287">
        <w:rPr>
          <w:rFonts w:cs="Times New Roman"/>
          <w:sz w:val="24"/>
          <w:szCs w:val="24"/>
        </w:rPr>
        <w:t>40(1)(g)</w:t>
      </w:r>
      <w:r w:rsidR="006C0075">
        <w:rPr>
          <w:rFonts w:cs="Times New Roman"/>
          <w:sz w:val="24"/>
          <w:szCs w:val="24"/>
        </w:rPr>
        <w:t xml:space="preserve"> of the </w:t>
      </w:r>
      <w:r w:rsidR="006C0075" w:rsidRPr="008B6C29">
        <w:rPr>
          <w:rFonts w:cs="Times New Roman"/>
          <w:sz w:val="24"/>
          <w:szCs w:val="24"/>
        </w:rPr>
        <w:t>Bankruptcy Act</w:t>
      </w:r>
      <w:r w:rsidRPr="00281287">
        <w:rPr>
          <w:rFonts w:cs="Times New Roman"/>
          <w:sz w:val="24"/>
          <w:szCs w:val="24"/>
        </w:rPr>
        <w:t xml:space="preserve">, a debtor may have a </w:t>
      </w:r>
      <w:r w:rsidR="00874738">
        <w:rPr>
          <w:rFonts w:cs="Times New Roman"/>
          <w:sz w:val="24"/>
          <w:szCs w:val="24"/>
        </w:rPr>
        <w:t>c</w:t>
      </w:r>
      <w:r w:rsidR="00874738" w:rsidRPr="00281287">
        <w:rPr>
          <w:rFonts w:cs="Times New Roman"/>
          <w:sz w:val="24"/>
          <w:szCs w:val="24"/>
        </w:rPr>
        <w:t>ounter</w:t>
      </w:r>
      <w:r w:rsidRPr="00281287">
        <w:rPr>
          <w:rFonts w:cs="Times New Roman"/>
          <w:sz w:val="24"/>
          <w:szCs w:val="24"/>
        </w:rPr>
        <w:t>-</w:t>
      </w:r>
      <w:r w:rsidR="00874738">
        <w:rPr>
          <w:rFonts w:cs="Times New Roman"/>
          <w:sz w:val="24"/>
          <w:szCs w:val="24"/>
        </w:rPr>
        <w:t>c</w:t>
      </w:r>
      <w:r w:rsidR="00874738" w:rsidRPr="00281287">
        <w:rPr>
          <w:rFonts w:cs="Times New Roman"/>
          <w:sz w:val="24"/>
          <w:szCs w:val="24"/>
        </w:rPr>
        <w:t>laim</w:t>
      </w:r>
      <w:r w:rsidRPr="00281287">
        <w:rPr>
          <w:rFonts w:cs="Times New Roman"/>
          <w:sz w:val="24"/>
          <w:szCs w:val="24"/>
        </w:rPr>
        <w:t xml:space="preserve">, </w:t>
      </w:r>
      <w:r w:rsidR="00874738">
        <w:rPr>
          <w:rFonts w:cs="Times New Roman"/>
          <w:sz w:val="24"/>
          <w:szCs w:val="24"/>
        </w:rPr>
        <w:t>s</w:t>
      </w:r>
      <w:r w:rsidR="00874738" w:rsidRPr="00281287">
        <w:rPr>
          <w:rFonts w:cs="Times New Roman"/>
          <w:sz w:val="24"/>
          <w:szCs w:val="24"/>
        </w:rPr>
        <w:t>et</w:t>
      </w:r>
      <w:r w:rsidRPr="00281287">
        <w:rPr>
          <w:rFonts w:cs="Times New Roman"/>
          <w:sz w:val="24"/>
          <w:szCs w:val="24"/>
        </w:rPr>
        <w:t>-</w:t>
      </w:r>
      <w:r w:rsidR="00874738">
        <w:rPr>
          <w:rFonts w:cs="Times New Roman"/>
          <w:sz w:val="24"/>
          <w:szCs w:val="24"/>
        </w:rPr>
        <w:t>o</w:t>
      </w:r>
      <w:r w:rsidR="00874738" w:rsidRPr="00281287">
        <w:rPr>
          <w:rFonts w:cs="Times New Roman"/>
          <w:sz w:val="24"/>
          <w:szCs w:val="24"/>
        </w:rPr>
        <w:t xml:space="preserve">ff </w:t>
      </w:r>
      <w:r w:rsidRPr="00281287">
        <w:rPr>
          <w:rFonts w:cs="Times New Roman"/>
          <w:sz w:val="24"/>
          <w:szCs w:val="24"/>
        </w:rPr>
        <w:t xml:space="preserve">or </w:t>
      </w:r>
      <w:r w:rsidR="00874738">
        <w:rPr>
          <w:rFonts w:cs="Times New Roman"/>
          <w:sz w:val="24"/>
          <w:szCs w:val="24"/>
        </w:rPr>
        <w:t>c</w:t>
      </w:r>
      <w:r w:rsidR="00874738" w:rsidRPr="00281287">
        <w:rPr>
          <w:rFonts w:cs="Times New Roman"/>
          <w:sz w:val="24"/>
          <w:szCs w:val="24"/>
        </w:rPr>
        <w:t>ross</w:t>
      </w:r>
      <w:r w:rsidRPr="00281287">
        <w:rPr>
          <w:rFonts w:cs="Times New Roman"/>
          <w:sz w:val="24"/>
          <w:szCs w:val="24"/>
        </w:rPr>
        <w:t xml:space="preserve"> </w:t>
      </w:r>
      <w:r w:rsidR="00940371">
        <w:rPr>
          <w:rFonts w:cs="Times New Roman"/>
          <w:sz w:val="24"/>
          <w:szCs w:val="24"/>
        </w:rPr>
        <w:t xml:space="preserve">demand </w:t>
      </w:r>
      <w:r w:rsidRPr="00281287">
        <w:rPr>
          <w:rFonts w:cs="Times New Roman"/>
          <w:sz w:val="24"/>
          <w:szCs w:val="24"/>
        </w:rPr>
        <w:t>to the creditor’s</w:t>
      </w:r>
      <w:r w:rsidR="00351BE2">
        <w:rPr>
          <w:rFonts w:cs="Times New Roman"/>
          <w:sz w:val="24"/>
          <w:szCs w:val="24"/>
        </w:rPr>
        <w:t xml:space="preserve"> judgment debt attached to the b</w:t>
      </w:r>
      <w:r w:rsidR="00B60026">
        <w:rPr>
          <w:rFonts w:cs="Times New Roman"/>
          <w:sz w:val="24"/>
          <w:szCs w:val="24"/>
        </w:rPr>
        <w:t xml:space="preserve">ankruptcy </w:t>
      </w:r>
      <w:r w:rsidR="00351BE2">
        <w:rPr>
          <w:rFonts w:cs="Times New Roman"/>
          <w:sz w:val="24"/>
          <w:szCs w:val="24"/>
        </w:rPr>
        <w:t>n</w:t>
      </w:r>
      <w:r w:rsidRPr="00281287">
        <w:rPr>
          <w:rFonts w:cs="Times New Roman"/>
          <w:sz w:val="24"/>
          <w:szCs w:val="24"/>
        </w:rPr>
        <w:t xml:space="preserve">otice where: </w:t>
      </w:r>
    </w:p>
    <w:p w:rsidR="00FA73DE" w:rsidRPr="00281287" w:rsidRDefault="00FA73DE" w:rsidP="00D846F1">
      <w:pPr>
        <w:pStyle w:val="ListParagraph"/>
        <w:numPr>
          <w:ilvl w:val="0"/>
          <w:numId w:val="33"/>
        </w:numPr>
        <w:spacing w:after="240"/>
        <w:ind w:left="1134" w:hanging="425"/>
        <w:contextualSpacing w:val="0"/>
        <w:jc w:val="both"/>
        <w:rPr>
          <w:rFonts w:cs="Times New Roman"/>
          <w:sz w:val="24"/>
          <w:szCs w:val="24"/>
        </w:rPr>
      </w:pPr>
      <w:r w:rsidRPr="00281287">
        <w:rPr>
          <w:rFonts w:cs="Times New Roman"/>
          <w:sz w:val="24"/>
          <w:szCs w:val="24"/>
        </w:rPr>
        <w:t>the debtor has a sufficiently arguable claim measurable in monetary terms for an amount equivalent to or exce</w:t>
      </w:r>
      <w:r w:rsidR="00F6642A">
        <w:rPr>
          <w:rFonts w:cs="Times New Roman"/>
          <w:sz w:val="24"/>
          <w:szCs w:val="24"/>
        </w:rPr>
        <w:t>eding the judgment debt amount,</w:t>
      </w:r>
      <w:r w:rsidRPr="00281287">
        <w:rPr>
          <w:rFonts w:cs="Times New Roman"/>
          <w:sz w:val="24"/>
          <w:szCs w:val="24"/>
        </w:rPr>
        <w:t xml:space="preserve"> </w:t>
      </w:r>
    </w:p>
    <w:p w:rsidR="00FA73DE" w:rsidRPr="00281287" w:rsidRDefault="00FA73DE" w:rsidP="00D846F1">
      <w:pPr>
        <w:pStyle w:val="ListParagraph"/>
        <w:numPr>
          <w:ilvl w:val="0"/>
          <w:numId w:val="33"/>
        </w:numPr>
        <w:spacing w:after="240"/>
        <w:ind w:left="1134" w:hanging="425"/>
        <w:contextualSpacing w:val="0"/>
        <w:jc w:val="both"/>
        <w:rPr>
          <w:rFonts w:cs="Times New Roman"/>
          <w:sz w:val="24"/>
          <w:szCs w:val="24"/>
        </w:rPr>
      </w:pPr>
      <w:r w:rsidRPr="00D846F1">
        <w:rPr>
          <w:rFonts w:cs="Times New Roman"/>
          <w:sz w:val="24"/>
          <w:szCs w:val="24"/>
        </w:rPr>
        <w:t>the claim is mutual as between the creditor in the notice and the debtor</w:t>
      </w:r>
      <w:r w:rsidR="00544515">
        <w:rPr>
          <w:rFonts w:cs="Times New Roman"/>
          <w:sz w:val="24"/>
          <w:szCs w:val="24"/>
        </w:rPr>
        <w:t>,</w:t>
      </w:r>
      <w:r w:rsidRPr="00D846F1">
        <w:rPr>
          <w:rFonts w:cs="Times New Roman"/>
          <w:sz w:val="24"/>
          <w:szCs w:val="24"/>
        </w:rPr>
        <w:t xml:space="preserve"> and</w:t>
      </w:r>
      <w:r w:rsidR="00F6642A">
        <w:rPr>
          <w:rFonts w:cs="Times New Roman"/>
          <w:sz w:val="24"/>
          <w:szCs w:val="24"/>
        </w:rPr>
        <w:t xml:space="preserve"> in the same right and capacity,</w:t>
      </w:r>
      <w:r w:rsidRPr="00D846F1">
        <w:rPr>
          <w:rFonts w:cs="Times New Roman"/>
          <w:sz w:val="24"/>
          <w:szCs w:val="24"/>
        </w:rPr>
        <w:t xml:space="preserve"> </w:t>
      </w:r>
      <w:r w:rsidRPr="00281287">
        <w:rPr>
          <w:rFonts w:cs="Times New Roman"/>
          <w:sz w:val="24"/>
          <w:szCs w:val="24"/>
        </w:rPr>
        <w:t xml:space="preserve">and </w:t>
      </w:r>
    </w:p>
    <w:p w:rsidR="00FA73DE" w:rsidRDefault="00FA73DE" w:rsidP="00D846F1">
      <w:pPr>
        <w:pStyle w:val="ListParagraph"/>
        <w:numPr>
          <w:ilvl w:val="0"/>
          <w:numId w:val="33"/>
        </w:numPr>
        <w:spacing w:after="240"/>
        <w:ind w:left="1134" w:hanging="425"/>
        <w:contextualSpacing w:val="0"/>
        <w:jc w:val="both"/>
        <w:rPr>
          <w:rFonts w:cs="Times New Roman"/>
          <w:sz w:val="24"/>
          <w:szCs w:val="24"/>
        </w:rPr>
      </w:pPr>
      <w:r w:rsidRPr="00D846F1">
        <w:rPr>
          <w:rFonts w:cs="Times New Roman"/>
          <w:sz w:val="24"/>
          <w:szCs w:val="24"/>
        </w:rPr>
        <w:t xml:space="preserve">the claim could not have been litigated in the proceeding in which the creditor’s judgment was obtained.   </w:t>
      </w:r>
    </w:p>
    <w:p w:rsidR="009374B1" w:rsidRPr="00281287" w:rsidRDefault="008150CE" w:rsidP="009374B1">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A debtor must provide material evidence of their claim. The Court will not be satisfied by a mere assertion that a claim exists.</w:t>
      </w:r>
    </w:p>
    <w:p w:rsidR="00334B72" w:rsidRPr="00C2510A" w:rsidRDefault="008150CE" w:rsidP="00FA73DE">
      <w:pPr>
        <w:pStyle w:val="ListParagraph"/>
        <w:numPr>
          <w:ilvl w:val="1"/>
          <w:numId w:val="31"/>
        </w:numPr>
        <w:spacing w:after="240"/>
        <w:ind w:left="709" w:hanging="709"/>
        <w:contextualSpacing w:val="0"/>
        <w:jc w:val="both"/>
      </w:pPr>
      <w:r>
        <w:rPr>
          <w:rFonts w:cs="Times New Roman"/>
          <w:sz w:val="24"/>
          <w:szCs w:val="24"/>
        </w:rPr>
        <w:t>Where a competent application has been brought under this ground</w:t>
      </w:r>
      <w:r w:rsidR="00FA73DE" w:rsidRPr="00281287">
        <w:rPr>
          <w:rFonts w:cs="Times New Roman"/>
          <w:sz w:val="24"/>
          <w:szCs w:val="24"/>
        </w:rPr>
        <w:t xml:space="preserve">, there will be a deemed extension of time for compliance with the </w:t>
      </w:r>
      <w:r w:rsidR="00351BE2">
        <w:rPr>
          <w:rFonts w:cs="Times New Roman"/>
          <w:sz w:val="24"/>
          <w:szCs w:val="24"/>
        </w:rPr>
        <w:t>bankruptcy n</w:t>
      </w:r>
      <w:r w:rsidR="00FA73DE" w:rsidRPr="00281287">
        <w:rPr>
          <w:rFonts w:cs="Times New Roman"/>
          <w:sz w:val="24"/>
          <w:szCs w:val="24"/>
        </w:rPr>
        <w:t xml:space="preserve">otice until the </w:t>
      </w:r>
      <w:r w:rsidR="00281DE5">
        <w:rPr>
          <w:rFonts w:cs="Times New Roman"/>
          <w:sz w:val="24"/>
          <w:szCs w:val="24"/>
        </w:rPr>
        <w:t>C</w:t>
      </w:r>
      <w:r w:rsidR="00281DE5" w:rsidRPr="00281287">
        <w:rPr>
          <w:rFonts w:cs="Times New Roman"/>
          <w:sz w:val="24"/>
          <w:szCs w:val="24"/>
        </w:rPr>
        <w:t xml:space="preserve">ourt </w:t>
      </w:r>
      <w:r w:rsidR="00FA73DE" w:rsidRPr="00281287">
        <w:rPr>
          <w:rFonts w:cs="Times New Roman"/>
          <w:sz w:val="24"/>
          <w:szCs w:val="24"/>
        </w:rPr>
        <w:t>determines whether the debtor has a counter claim, set off or cross demand</w:t>
      </w:r>
      <w:r w:rsidR="00281DE5">
        <w:rPr>
          <w:rFonts w:cs="Times New Roman"/>
          <w:sz w:val="24"/>
          <w:szCs w:val="24"/>
        </w:rPr>
        <w:t xml:space="preserve"> (s</w:t>
      </w:r>
      <w:r w:rsidR="008B6C29">
        <w:rPr>
          <w:rFonts w:cs="Times New Roman"/>
          <w:sz w:val="24"/>
          <w:szCs w:val="24"/>
        </w:rPr>
        <w:t xml:space="preserve"> </w:t>
      </w:r>
      <w:r w:rsidR="00281DE5">
        <w:rPr>
          <w:rFonts w:cs="Times New Roman"/>
          <w:sz w:val="24"/>
          <w:szCs w:val="24"/>
        </w:rPr>
        <w:t>41(7))</w:t>
      </w:r>
      <w:r w:rsidR="00FA73DE" w:rsidRPr="00281287">
        <w:rPr>
          <w:rFonts w:cs="Times New Roman"/>
          <w:sz w:val="24"/>
          <w:szCs w:val="24"/>
        </w:rPr>
        <w:t xml:space="preserve">.  </w:t>
      </w:r>
    </w:p>
    <w:p w:rsidR="00FA73DE" w:rsidRPr="00281287" w:rsidRDefault="00334B72" w:rsidP="00FA73DE">
      <w:pPr>
        <w:pStyle w:val="ListParagraph"/>
        <w:numPr>
          <w:ilvl w:val="1"/>
          <w:numId w:val="31"/>
        </w:numPr>
        <w:spacing w:after="240"/>
        <w:ind w:left="709" w:hanging="709"/>
        <w:contextualSpacing w:val="0"/>
        <w:jc w:val="both"/>
      </w:pPr>
      <w:r>
        <w:rPr>
          <w:rFonts w:cs="Times New Roman"/>
          <w:sz w:val="24"/>
          <w:szCs w:val="24"/>
        </w:rPr>
        <w:t>If</w:t>
      </w:r>
      <w:r w:rsidR="00FA73DE" w:rsidRPr="00281287">
        <w:rPr>
          <w:rFonts w:cs="Times New Roman"/>
          <w:sz w:val="24"/>
          <w:szCs w:val="24"/>
        </w:rPr>
        <w:t xml:space="preserve"> the </w:t>
      </w:r>
      <w:r w:rsidR="00F67530">
        <w:rPr>
          <w:rFonts w:cs="Times New Roman"/>
          <w:sz w:val="24"/>
          <w:szCs w:val="24"/>
        </w:rPr>
        <w:t>C</w:t>
      </w:r>
      <w:r w:rsidR="00FA73DE" w:rsidRPr="00281287">
        <w:rPr>
          <w:rFonts w:cs="Times New Roman"/>
          <w:sz w:val="24"/>
          <w:szCs w:val="24"/>
        </w:rPr>
        <w:t xml:space="preserve">ourt </w:t>
      </w:r>
      <w:r w:rsidR="00874738">
        <w:rPr>
          <w:rFonts w:cs="Times New Roman"/>
          <w:sz w:val="24"/>
          <w:szCs w:val="24"/>
        </w:rPr>
        <w:t>decides</w:t>
      </w:r>
      <w:r w:rsidR="00874738" w:rsidRPr="00281287">
        <w:rPr>
          <w:rFonts w:cs="Times New Roman"/>
          <w:sz w:val="24"/>
          <w:szCs w:val="24"/>
        </w:rPr>
        <w:t xml:space="preserve"> </w:t>
      </w:r>
      <w:r w:rsidR="00FA73DE" w:rsidRPr="00281287">
        <w:rPr>
          <w:rFonts w:cs="Times New Roman"/>
          <w:sz w:val="24"/>
          <w:szCs w:val="24"/>
        </w:rPr>
        <w:t>the application in favour of the debtor, he or she will be e</w:t>
      </w:r>
      <w:r w:rsidR="00351BE2">
        <w:rPr>
          <w:rFonts w:cs="Times New Roman"/>
          <w:sz w:val="24"/>
          <w:szCs w:val="24"/>
        </w:rPr>
        <w:t>xcused from complying with the bankruptcy n</w:t>
      </w:r>
      <w:r w:rsidR="00FA73DE" w:rsidRPr="00281287">
        <w:rPr>
          <w:rFonts w:cs="Times New Roman"/>
          <w:sz w:val="24"/>
          <w:szCs w:val="24"/>
        </w:rPr>
        <w:t xml:space="preserve">otice and an act of bankruptcy will be avoided. </w:t>
      </w:r>
    </w:p>
    <w:p w:rsidR="00FA73DE" w:rsidRPr="00D846F1" w:rsidRDefault="00281DE5" w:rsidP="00FA73DE">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Because this</w:t>
      </w:r>
      <w:r w:rsidRPr="00D846F1">
        <w:rPr>
          <w:rFonts w:cs="Times New Roman"/>
          <w:sz w:val="24"/>
          <w:szCs w:val="24"/>
        </w:rPr>
        <w:t xml:space="preserve"> </w:t>
      </w:r>
      <w:r w:rsidR="00FA73DE" w:rsidRPr="00D846F1">
        <w:rPr>
          <w:rFonts w:cs="Times New Roman"/>
          <w:sz w:val="24"/>
          <w:szCs w:val="24"/>
        </w:rPr>
        <w:t xml:space="preserve">is a </w:t>
      </w:r>
      <w:r w:rsidR="00DD5808">
        <w:rPr>
          <w:rFonts w:cs="Times New Roman"/>
          <w:sz w:val="24"/>
          <w:szCs w:val="24"/>
        </w:rPr>
        <w:t xml:space="preserve">technical and </w:t>
      </w:r>
      <w:r w:rsidR="00FA73DE" w:rsidRPr="00D846F1">
        <w:rPr>
          <w:rFonts w:cs="Times New Roman"/>
          <w:sz w:val="24"/>
          <w:szCs w:val="24"/>
        </w:rPr>
        <w:t>complex area of the law</w:t>
      </w:r>
      <w:r>
        <w:rPr>
          <w:rFonts w:cs="Times New Roman"/>
          <w:sz w:val="24"/>
          <w:szCs w:val="24"/>
        </w:rPr>
        <w:t>,</w:t>
      </w:r>
      <w:r w:rsidR="00FA73DE" w:rsidRPr="00D846F1">
        <w:rPr>
          <w:rFonts w:cs="Times New Roman"/>
          <w:sz w:val="24"/>
          <w:szCs w:val="24"/>
        </w:rPr>
        <w:t xml:space="preserve"> </w:t>
      </w:r>
      <w:r w:rsidR="00637CB0">
        <w:rPr>
          <w:rFonts w:cs="Times New Roman"/>
          <w:sz w:val="24"/>
          <w:szCs w:val="24"/>
        </w:rPr>
        <w:t xml:space="preserve">a </w:t>
      </w:r>
      <w:r w:rsidR="00FA73DE" w:rsidRPr="00D846F1">
        <w:rPr>
          <w:rFonts w:cs="Times New Roman"/>
          <w:sz w:val="24"/>
          <w:szCs w:val="24"/>
        </w:rPr>
        <w:t xml:space="preserve">debtor may wish to obtain advice </w:t>
      </w:r>
      <w:r w:rsidR="00DD5808">
        <w:rPr>
          <w:rFonts w:cs="Times New Roman"/>
          <w:sz w:val="24"/>
          <w:szCs w:val="24"/>
        </w:rPr>
        <w:t xml:space="preserve">from a qualified professional </w:t>
      </w:r>
      <w:r w:rsidR="00FA73DE" w:rsidRPr="00D846F1">
        <w:rPr>
          <w:rFonts w:cs="Times New Roman"/>
          <w:sz w:val="24"/>
          <w:szCs w:val="24"/>
        </w:rPr>
        <w:t>on whether they have a claim that could be set up to defeat th</w:t>
      </w:r>
      <w:r w:rsidR="00351BE2">
        <w:rPr>
          <w:rFonts w:cs="Times New Roman"/>
          <w:sz w:val="24"/>
          <w:szCs w:val="24"/>
        </w:rPr>
        <w:t>e judgment debt referred to in bankruptcy n</w:t>
      </w:r>
      <w:r w:rsidR="00FA73DE" w:rsidRPr="00D846F1">
        <w:rPr>
          <w:rFonts w:cs="Times New Roman"/>
          <w:sz w:val="24"/>
          <w:szCs w:val="24"/>
        </w:rPr>
        <w:t xml:space="preserve">otice.  </w:t>
      </w:r>
    </w:p>
    <w:p w:rsidR="00FA73DE" w:rsidRPr="00281287" w:rsidRDefault="00334B72" w:rsidP="00FA73DE">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The forms and documents required to make an application under this ground</w:t>
      </w:r>
      <w:r w:rsidR="00FA73DE" w:rsidRPr="00281287">
        <w:rPr>
          <w:rFonts w:cs="Times New Roman"/>
          <w:sz w:val="24"/>
          <w:szCs w:val="24"/>
        </w:rPr>
        <w:t xml:space="preserve"> are explained below at </w:t>
      </w:r>
      <w:r w:rsidR="00351BE2">
        <w:rPr>
          <w:rFonts w:cs="Times New Roman"/>
          <w:sz w:val="24"/>
          <w:szCs w:val="24"/>
        </w:rPr>
        <w:t>s</w:t>
      </w:r>
      <w:r w:rsidR="00FA73DE" w:rsidRPr="00281287">
        <w:rPr>
          <w:rFonts w:cs="Times New Roman"/>
          <w:sz w:val="24"/>
          <w:szCs w:val="24"/>
        </w:rPr>
        <w:t>ection</w:t>
      </w:r>
      <w:r w:rsidR="008B0660">
        <w:rPr>
          <w:rFonts w:cs="Times New Roman"/>
          <w:sz w:val="24"/>
          <w:szCs w:val="24"/>
        </w:rPr>
        <w:t>s</w:t>
      </w:r>
      <w:r w:rsidR="00FA73DE" w:rsidRPr="00281287">
        <w:rPr>
          <w:rFonts w:cs="Times New Roman"/>
          <w:sz w:val="24"/>
          <w:szCs w:val="24"/>
        </w:rPr>
        <w:t xml:space="preserve"> [</w:t>
      </w:r>
      <w:r w:rsidR="008B0660">
        <w:rPr>
          <w:rFonts w:cs="Times New Roman"/>
          <w:sz w:val="24"/>
          <w:szCs w:val="24"/>
        </w:rPr>
        <w:t>4</w:t>
      </w:r>
      <w:r w:rsidR="00FA73DE" w:rsidRPr="00281287">
        <w:rPr>
          <w:rFonts w:cs="Times New Roman"/>
          <w:sz w:val="24"/>
          <w:szCs w:val="24"/>
        </w:rPr>
        <w:t>]</w:t>
      </w:r>
      <w:r w:rsidR="008B0660">
        <w:rPr>
          <w:rFonts w:cs="Times New Roman"/>
          <w:sz w:val="24"/>
          <w:szCs w:val="24"/>
        </w:rPr>
        <w:t xml:space="preserve"> and [5]</w:t>
      </w:r>
      <w:r w:rsidR="00FA73DE" w:rsidRPr="00281287">
        <w:rPr>
          <w:rFonts w:cs="Times New Roman"/>
          <w:sz w:val="24"/>
          <w:szCs w:val="24"/>
        </w:rPr>
        <w:t>, and at paragraph [</w:t>
      </w:r>
      <w:r w:rsidR="008B0660">
        <w:rPr>
          <w:rFonts w:cs="Times New Roman"/>
          <w:sz w:val="24"/>
          <w:szCs w:val="24"/>
        </w:rPr>
        <w:t>5.</w:t>
      </w:r>
      <w:r w:rsidR="00321CA5">
        <w:rPr>
          <w:rFonts w:cs="Times New Roman"/>
          <w:sz w:val="24"/>
          <w:szCs w:val="24"/>
        </w:rPr>
        <w:t>11</w:t>
      </w:r>
      <w:r w:rsidR="00FA73DE" w:rsidRPr="00281287">
        <w:rPr>
          <w:rFonts w:cs="Times New Roman"/>
          <w:sz w:val="24"/>
          <w:szCs w:val="24"/>
        </w:rPr>
        <w:t>]</w:t>
      </w:r>
      <w:r w:rsidR="00321CA5">
        <w:rPr>
          <w:rFonts w:cs="Times New Roman"/>
          <w:sz w:val="24"/>
          <w:szCs w:val="24"/>
        </w:rPr>
        <w:t>-[5.14]</w:t>
      </w:r>
      <w:r w:rsidR="00FA73DE" w:rsidRPr="00281287">
        <w:rPr>
          <w:rFonts w:cs="Times New Roman"/>
          <w:sz w:val="24"/>
          <w:szCs w:val="24"/>
        </w:rPr>
        <w:t>.</w:t>
      </w:r>
    </w:p>
    <w:p w:rsidR="00E04D79" w:rsidRPr="008B6C29" w:rsidRDefault="00D74B92" w:rsidP="00C2510A">
      <w:pPr>
        <w:pStyle w:val="ListParagraph"/>
        <w:keepNext/>
        <w:spacing w:after="240"/>
        <w:ind w:left="709"/>
        <w:contextualSpacing w:val="0"/>
        <w:jc w:val="both"/>
        <w:rPr>
          <w:rFonts w:cs="Times New Roman"/>
          <w:b/>
          <w:i/>
          <w:sz w:val="24"/>
          <w:szCs w:val="24"/>
        </w:rPr>
      </w:pPr>
      <w:r w:rsidRPr="008B6C29">
        <w:rPr>
          <w:rFonts w:cs="Times New Roman"/>
          <w:b/>
          <w:i/>
          <w:sz w:val="24"/>
          <w:szCs w:val="24"/>
        </w:rPr>
        <w:t xml:space="preserve">Application to </w:t>
      </w:r>
      <w:r w:rsidR="008B6C29">
        <w:rPr>
          <w:rFonts w:cs="Times New Roman"/>
          <w:b/>
          <w:i/>
          <w:sz w:val="24"/>
          <w:szCs w:val="24"/>
        </w:rPr>
        <w:t>set a</w:t>
      </w:r>
      <w:r w:rsidRPr="008B6C29">
        <w:rPr>
          <w:rFonts w:cs="Times New Roman"/>
          <w:b/>
          <w:i/>
          <w:sz w:val="24"/>
          <w:szCs w:val="24"/>
        </w:rPr>
        <w:t>side a</w:t>
      </w:r>
      <w:r w:rsidR="00351BE2">
        <w:rPr>
          <w:rFonts w:cs="Times New Roman"/>
          <w:b/>
          <w:i/>
          <w:sz w:val="24"/>
          <w:szCs w:val="24"/>
        </w:rPr>
        <w:t xml:space="preserve"> b</w:t>
      </w:r>
      <w:r w:rsidR="00E04D79" w:rsidRPr="008B6C29">
        <w:rPr>
          <w:rFonts w:cs="Times New Roman"/>
          <w:b/>
          <w:i/>
          <w:sz w:val="24"/>
          <w:szCs w:val="24"/>
        </w:rPr>
        <w:t xml:space="preserve">ankruptcy </w:t>
      </w:r>
      <w:r w:rsidR="00351BE2">
        <w:rPr>
          <w:rFonts w:cs="Times New Roman"/>
          <w:b/>
          <w:i/>
          <w:sz w:val="24"/>
          <w:szCs w:val="24"/>
        </w:rPr>
        <w:t>n</w:t>
      </w:r>
      <w:r w:rsidR="00E04D79" w:rsidRPr="008B6C29">
        <w:rPr>
          <w:rFonts w:cs="Times New Roman"/>
          <w:b/>
          <w:i/>
          <w:sz w:val="24"/>
          <w:szCs w:val="24"/>
        </w:rPr>
        <w:t xml:space="preserve">otice </w:t>
      </w:r>
      <w:r w:rsidR="008B6C29">
        <w:rPr>
          <w:rFonts w:cs="Times New Roman"/>
          <w:b/>
          <w:i/>
          <w:sz w:val="24"/>
          <w:szCs w:val="24"/>
        </w:rPr>
        <w:t xml:space="preserve">on </w:t>
      </w:r>
      <w:r w:rsidR="00F624D6">
        <w:rPr>
          <w:rFonts w:cs="Times New Roman"/>
          <w:b/>
          <w:i/>
          <w:sz w:val="24"/>
          <w:szCs w:val="24"/>
        </w:rPr>
        <w:t>‘</w:t>
      </w:r>
      <w:r w:rsidR="008B6C29">
        <w:rPr>
          <w:rFonts w:cs="Times New Roman"/>
          <w:b/>
          <w:i/>
          <w:sz w:val="24"/>
          <w:szCs w:val="24"/>
        </w:rPr>
        <w:t>other g</w:t>
      </w:r>
      <w:r w:rsidR="00A56EFC" w:rsidRPr="008B6C29">
        <w:rPr>
          <w:rFonts w:cs="Times New Roman"/>
          <w:b/>
          <w:i/>
          <w:sz w:val="24"/>
          <w:szCs w:val="24"/>
        </w:rPr>
        <w:t>rounds</w:t>
      </w:r>
      <w:r w:rsidR="00F624D6">
        <w:rPr>
          <w:rFonts w:cs="Times New Roman"/>
          <w:b/>
          <w:i/>
          <w:sz w:val="24"/>
          <w:szCs w:val="24"/>
        </w:rPr>
        <w:t>’</w:t>
      </w:r>
      <w:r w:rsidR="00A56EFC" w:rsidRPr="008B6C29">
        <w:rPr>
          <w:rFonts w:cs="Times New Roman"/>
          <w:b/>
          <w:i/>
          <w:sz w:val="24"/>
          <w:szCs w:val="24"/>
        </w:rPr>
        <w:t xml:space="preserve"> </w:t>
      </w:r>
      <w:r w:rsidR="00C80A92">
        <w:rPr>
          <w:rFonts w:cs="Times New Roman"/>
          <w:b/>
          <w:i/>
          <w:sz w:val="24"/>
          <w:szCs w:val="24"/>
        </w:rPr>
        <w:t>–</w:t>
      </w:r>
      <w:r w:rsidR="00A56EFC" w:rsidRPr="008B6C29">
        <w:rPr>
          <w:rFonts w:cs="Times New Roman"/>
          <w:b/>
          <w:i/>
          <w:sz w:val="24"/>
          <w:szCs w:val="24"/>
        </w:rPr>
        <w:t xml:space="preserve"> </w:t>
      </w:r>
      <w:r w:rsidR="00C80A92">
        <w:rPr>
          <w:rFonts w:cs="Times New Roman"/>
          <w:b/>
          <w:i/>
          <w:sz w:val="24"/>
          <w:szCs w:val="24"/>
        </w:rPr>
        <w:t xml:space="preserve">power to extend time under </w:t>
      </w:r>
      <w:r w:rsidR="00A56EFC" w:rsidRPr="008B6C29">
        <w:rPr>
          <w:rFonts w:cs="Times New Roman"/>
          <w:b/>
          <w:i/>
          <w:sz w:val="24"/>
          <w:szCs w:val="24"/>
        </w:rPr>
        <w:t>s</w:t>
      </w:r>
      <w:r w:rsidR="008B6C29">
        <w:rPr>
          <w:rFonts w:cs="Times New Roman"/>
          <w:b/>
          <w:i/>
          <w:sz w:val="24"/>
          <w:szCs w:val="24"/>
        </w:rPr>
        <w:t xml:space="preserve"> </w:t>
      </w:r>
      <w:r w:rsidR="00E04D79" w:rsidRPr="008B6C29">
        <w:rPr>
          <w:rFonts w:cs="Times New Roman"/>
          <w:b/>
          <w:i/>
          <w:sz w:val="24"/>
          <w:szCs w:val="24"/>
        </w:rPr>
        <w:t>41(6A)(b)</w:t>
      </w:r>
      <w:r w:rsidR="000C14E5">
        <w:rPr>
          <w:rFonts w:cs="Times New Roman"/>
          <w:b/>
          <w:i/>
          <w:sz w:val="24"/>
          <w:szCs w:val="24"/>
        </w:rPr>
        <w:t xml:space="preserve"> of the Bankruptcy Act</w:t>
      </w:r>
    </w:p>
    <w:p w:rsidR="009E67DB" w:rsidRPr="00281287" w:rsidRDefault="002A7A6E" w:rsidP="00C2510A">
      <w:pPr>
        <w:pStyle w:val="ListParagraph"/>
        <w:keepNext/>
        <w:numPr>
          <w:ilvl w:val="1"/>
          <w:numId w:val="31"/>
        </w:numPr>
        <w:spacing w:after="240"/>
        <w:ind w:left="709" w:hanging="709"/>
        <w:contextualSpacing w:val="0"/>
        <w:jc w:val="both"/>
        <w:rPr>
          <w:rFonts w:cs="Times New Roman"/>
          <w:sz w:val="24"/>
          <w:szCs w:val="24"/>
        </w:rPr>
      </w:pPr>
      <w:r>
        <w:rPr>
          <w:rFonts w:cs="Times New Roman"/>
          <w:sz w:val="24"/>
          <w:szCs w:val="24"/>
        </w:rPr>
        <w:t>A</w:t>
      </w:r>
      <w:r w:rsidR="00A56EFC" w:rsidRPr="00281287">
        <w:rPr>
          <w:rFonts w:cs="Times New Roman"/>
          <w:sz w:val="24"/>
          <w:szCs w:val="24"/>
        </w:rPr>
        <w:t xml:space="preserve"> </w:t>
      </w:r>
      <w:r w:rsidR="00D74B92" w:rsidRPr="00281287">
        <w:rPr>
          <w:rFonts w:cs="Times New Roman"/>
          <w:sz w:val="24"/>
          <w:szCs w:val="24"/>
        </w:rPr>
        <w:t>debtor may file</w:t>
      </w:r>
      <w:r w:rsidR="00351BE2">
        <w:rPr>
          <w:rFonts w:cs="Times New Roman"/>
          <w:sz w:val="24"/>
          <w:szCs w:val="24"/>
        </w:rPr>
        <w:t xml:space="preserve"> an application to set aside a bankruptcy n</w:t>
      </w:r>
      <w:r w:rsidR="00D74B92" w:rsidRPr="00281287">
        <w:rPr>
          <w:rFonts w:cs="Times New Roman"/>
          <w:sz w:val="24"/>
          <w:szCs w:val="24"/>
        </w:rPr>
        <w:t>otice</w:t>
      </w:r>
      <w:r w:rsidR="00A56EFC" w:rsidRPr="00281287">
        <w:rPr>
          <w:rFonts w:cs="Times New Roman"/>
          <w:sz w:val="24"/>
          <w:szCs w:val="24"/>
        </w:rPr>
        <w:t xml:space="preserve"> on </w:t>
      </w:r>
      <w:r w:rsidR="00C80A92">
        <w:rPr>
          <w:rFonts w:cs="Times New Roman"/>
          <w:sz w:val="24"/>
          <w:szCs w:val="24"/>
        </w:rPr>
        <w:t>‘</w:t>
      </w:r>
      <w:r w:rsidR="00A56EFC" w:rsidRPr="00281287">
        <w:rPr>
          <w:rFonts w:cs="Times New Roman"/>
          <w:sz w:val="24"/>
          <w:szCs w:val="24"/>
        </w:rPr>
        <w:t>other grounds</w:t>
      </w:r>
      <w:r w:rsidR="00C80A92">
        <w:rPr>
          <w:rFonts w:cs="Times New Roman"/>
          <w:sz w:val="24"/>
          <w:szCs w:val="24"/>
        </w:rPr>
        <w:t>’</w:t>
      </w:r>
      <w:r w:rsidR="00D74B92" w:rsidRPr="00281287">
        <w:rPr>
          <w:rFonts w:cs="Times New Roman"/>
          <w:sz w:val="24"/>
          <w:szCs w:val="24"/>
        </w:rPr>
        <w:t xml:space="preserve">. </w:t>
      </w:r>
      <w:r w:rsidR="00A56EFC" w:rsidRPr="00281287">
        <w:rPr>
          <w:rFonts w:cs="Times New Roman"/>
          <w:sz w:val="24"/>
          <w:szCs w:val="24"/>
        </w:rPr>
        <w:t xml:space="preserve"> Some </w:t>
      </w:r>
      <w:r w:rsidR="009E67DB" w:rsidRPr="00281287">
        <w:rPr>
          <w:rFonts w:cs="Times New Roman"/>
          <w:sz w:val="24"/>
          <w:szCs w:val="24"/>
        </w:rPr>
        <w:t>comm</w:t>
      </w:r>
      <w:r w:rsidR="00351BE2">
        <w:rPr>
          <w:rFonts w:cs="Times New Roman"/>
          <w:sz w:val="24"/>
          <w:szCs w:val="24"/>
        </w:rPr>
        <w:t>on grounds for setting aside a b</w:t>
      </w:r>
      <w:r w:rsidR="009E67DB" w:rsidRPr="00281287">
        <w:rPr>
          <w:rFonts w:cs="Times New Roman"/>
          <w:sz w:val="24"/>
          <w:szCs w:val="24"/>
        </w:rPr>
        <w:t>ankruptcy</w:t>
      </w:r>
      <w:r w:rsidR="008B6C29">
        <w:rPr>
          <w:rFonts w:cs="Times New Roman"/>
          <w:sz w:val="24"/>
          <w:szCs w:val="24"/>
        </w:rPr>
        <w:t xml:space="preserve"> </w:t>
      </w:r>
      <w:r w:rsidR="00351BE2">
        <w:rPr>
          <w:rFonts w:cs="Times New Roman"/>
          <w:sz w:val="24"/>
          <w:szCs w:val="24"/>
        </w:rPr>
        <w:t>n</w:t>
      </w:r>
      <w:r w:rsidR="009E67DB" w:rsidRPr="00281287">
        <w:rPr>
          <w:rFonts w:cs="Times New Roman"/>
          <w:sz w:val="24"/>
          <w:szCs w:val="24"/>
        </w:rPr>
        <w:t xml:space="preserve">otice </w:t>
      </w:r>
      <w:r w:rsidR="00A56EFC" w:rsidRPr="00281287">
        <w:rPr>
          <w:rFonts w:cs="Times New Roman"/>
          <w:sz w:val="24"/>
          <w:szCs w:val="24"/>
        </w:rPr>
        <w:t xml:space="preserve">include </w:t>
      </w:r>
      <w:r w:rsidR="009E67DB" w:rsidRPr="00281287">
        <w:rPr>
          <w:rFonts w:cs="Times New Roman"/>
          <w:sz w:val="24"/>
          <w:szCs w:val="24"/>
        </w:rPr>
        <w:t>that:</w:t>
      </w:r>
    </w:p>
    <w:p w:rsidR="00A56EFC" w:rsidRPr="00281287" w:rsidRDefault="00637CB0" w:rsidP="00AA741D">
      <w:pPr>
        <w:pStyle w:val="ListParagraph"/>
        <w:numPr>
          <w:ilvl w:val="3"/>
          <w:numId w:val="18"/>
        </w:numPr>
        <w:spacing w:after="240"/>
        <w:ind w:left="1134" w:hanging="425"/>
        <w:contextualSpacing w:val="0"/>
        <w:jc w:val="both"/>
        <w:rPr>
          <w:rFonts w:cs="Times New Roman"/>
          <w:sz w:val="24"/>
          <w:szCs w:val="24"/>
        </w:rPr>
      </w:pPr>
      <w:r>
        <w:rPr>
          <w:rFonts w:cs="Times New Roman"/>
          <w:sz w:val="24"/>
          <w:szCs w:val="24"/>
        </w:rPr>
        <w:t>t</w:t>
      </w:r>
      <w:r w:rsidRPr="00281287">
        <w:rPr>
          <w:rFonts w:cs="Times New Roman"/>
          <w:sz w:val="24"/>
          <w:szCs w:val="24"/>
        </w:rPr>
        <w:t xml:space="preserve">here </w:t>
      </w:r>
      <w:r w:rsidR="00A56EFC" w:rsidRPr="00281287">
        <w:rPr>
          <w:rFonts w:cs="Times New Roman"/>
          <w:sz w:val="24"/>
          <w:szCs w:val="24"/>
        </w:rPr>
        <w:t xml:space="preserve">was a defect or irregularity in </w:t>
      </w:r>
      <w:r w:rsidR="002A7A6E">
        <w:rPr>
          <w:rFonts w:cs="Times New Roman"/>
          <w:sz w:val="24"/>
          <w:szCs w:val="24"/>
        </w:rPr>
        <w:t xml:space="preserve">a </w:t>
      </w:r>
      <w:r w:rsidR="00351BE2">
        <w:rPr>
          <w:rFonts w:cs="Times New Roman"/>
          <w:sz w:val="24"/>
          <w:szCs w:val="24"/>
        </w:rPr>
        <w:t>b</w:t>
      </w:r>
      <w:r w:rsidR="00A56EFC" w:rsidRPr="00281287">
        <w:rPr>
          <w:rFonts w:cs="Times New Roman"/>
          <w:sz w:val="24"/>
          <w:szCs w:val="24"/>
        </w:rPr>
        <w:t xml:space="preserve">ankruptcy </w:t>
      </w:r>
      <w:r w:rsidR="00351BE2">
        <w:rPr>
          <w:rFonts w:cs="Times New Roman"/>
          <w:sz w:val="24"/>
          <w:szCs w:val="24"/>
        </w:rPr>
        <w:t>n</w:t>
      </w:r>
      <w:r w:rsidR="00A56EFC" w:rsidRPr="00281287">
        <w:rPr>
          <w:rFonts w:cs="Times New Roman"/>
          <w:sz w:val="24"/>
          <w:szCs w:val="24"/>
        </w:rPr>
        <w:t>otice</w:t>
      </w:r>
      <w:r w:rsidR="00E54526">
        <w:rPr>
          <w:rFonts w:cs="Times New Roman"/>
          <w:sz w:val="24"/>
          <w:szCs w:val="24"/>
        </w:rPr>
        <w:t xml:space="preserve"> or its issue</w:t>
      </w:r>
      <w:r w:rsidR="00A56EFC" w:rsidRPr="00281287">
        <w:rPr>
          <w:rFonts w:cs="Times New Roman"/>
          <w:sz w:val="24"/>
          <w:szCs w:val="24"/>
        </w:rPr>
        <w:t xml:space="preserve"> </w:t>
      </w:r>
      <w:r w:rsidR="00880604">
        <w:rPr>
          <w:rFonts w:cs="Times New Roman"/>
          <w:sz w:val="24"/>
          <w:szCs w:val="24"/>
        </w:rPr>
        <w:t>that</w:t>
      </w:r>
      <w:r w:rsidR="00880604" w:rsidRPr="00281287">
        <w:rPr>
          <w:rFonts w:cs="Times New Roman"/>
          <w:sz w:val="24"/>
          <w:szCs w:val="24"/>
        </w:rPr>
        <w:t xml:space="preserve"> </w:t>
      </w:r>
      <w:r w:rsidR="00A56EFC" w:rsidRPr="00281287">
        <w:rPr>
          <w:rFonts w:cs="Times New Roman"/>
          <w:sz w:val="24"/>
          <w:szCs w:val="24"/>
        </w:rPr>
        <w:t xml:space="preserve">is substantial and not procedural or </w:t>
      </w:r>
      <w:r w:rsidR="00880604">
        <w:rPr>
          <w:rFonts w:cs="Times New Roman"/>
          <w:sz w:val="24"/>
          <w:szCs w:val="24"/>
        </w:rPr>
        <w:t>would be</w:t>
      </w:r>
      <w:r w:rsidR="00880604" w:rsidRPr="00281287">
        <w:rPr>
          <w:rFonts w:cs="Times New Roman"/>
          <w:sz w:val="24"/>
          <w:szCs w:val="24"/>
        </w:rPr>
        <w:t xml:space="preserve"> </w:t>
      </w:r>
      <w:r w:rsidR="00A56EFC" w:rsidRPr="00281287">
        <w:rPr>
          <w:rFonts w:cs="Times New Roman"/>
          <w:sz w:val="24"/>
          <w:szCs w:val="24"/>
        </w:rPr>
        <w:t>objectively c</w:t>
      </w:r>
      <w:r w:rsidR="00F6642A">
        <w:rPr>
          <w:rFonts w:cs="Times New Roman"/>
          <w:sz w:val="24"/>
          <w:szCs w:val="24"/>
        </w:rPr>
        <w:t>apable of misleading the debtor</w:t>
      </w:r>
      <w:r w:rsidR="00A56EFC" w:rsidRPr="00281287">
        <w:rPr>
          <w:rFonts w:cs="Times New Roman"/>
          <w:sz w:val="24"/>
          <w:szCs w:val="24"/>
        </w:rPr>
        <w:t xml:space="preserve"> </w:t>
      </w:r>
    </w:p>
    <w:p w:rsidR="009E67DB" w:rsidRPr="00281287" w:rsidRDefault="00830622" w:rsidP="00AA741D">
      <w:pPr>
        <w:pStyle w:val="ListParagraph"/>
        <w:numPr>
          <w:ilvl w:val="3"/>
          <w:numId w:val="18"/>
        </w:numPr>
        <w:spacing w:after="240"/>
        <w:ind w:left="1134" w:hanging="425"/>
        <w:contextualSpacing w:val="0"/>
        <w:jc w:val="both"/>
        <w:rPr>
          <w:rFonts w:cs="Times New Roman"/>
          <w:sz w:val="24"/>
          <w:szCs w:val="24"/>
        </w:rPr>
      </w:pPr>
      <w:r>
        <w:rPr>
          <w:rFonts w:cs="Times New Roman"/>
          <w:sz w:val="24"/>
          <w:szCs w:val="24"/>
        </w:rPr>
        <w:t xml:space="preserve">enforcement of the judgment or order was suspended or </w:t>
      </w:r>
      <w:r w:rsidR="00637CB0">
        <w:rPr>
          <w:rFonts w:cs="Times New Roman"/>
          <w:sz w:val="24"/>
          <w:szCs w:val="24"/>
        </w:rPr>
        <w:t>t</w:t>
      </w:r>
      <w:r w:rsidR="009E67DB" w:rsidRPr="00281287">
        <w:rPr>
          <w:rFonts w:cs="Times New Roman"/>
          <w:sz w:val="24"/>
          <w:szCs w:val="24"/>
        </w:rPr>
        <w:t xml:space="preserve">here was a stay on the judgment at the time the </w:t>
      </w:r>
      <w:r w:rsidR="00351BE2">
        <w:rPr>
          <w:rFonts w:cs="Times New Roman"/>
          <w:sz w:val="24"/>
          <w:szCs w:val="24"/>
        </w:rPr>
        <w:t>b</w:t>
      </w:r>
      <w:r w:rsidR="009E67DB" w:rsidRPr="00281287">
        <w:rPr>
          <w:rFonts w:cs="Times New Roman"/>
          <w:sz w:val="24"/>
          <w:szCs w:val="24"/>
        </w:rPr>
        <w:t xml:space="preserve">ankruptcy </w:t>
      </w:r>
      <w:r w:rsidR="00351BE2">
        <w:rPr>
          <w:rFonts w:cs="Times New Roman"/>
          <w:sz w:val="24"/>
          <w:szCs w:val="24"/>
        </w:rPr>
        <w:t>n</w:t>
      </w:r>
      <w:r w:rsidR="009E67DB" w:rsidRPr="00281287">
        <w:rPr>
          <w:rFonts w:cs="Times New Roman"/>
          <w:sz w:val="24"/>
          <w:szCs w:val="24"/>
        </w:rPr>
        <w:t xml:space="preserve">otice was issued and/or </w:t>
      </w:r>
      <w:r w:rsidR="00F6642A">
        <w:rPr>
          <w:rFonts w:cs="Times New Roman"/>
          <w:sz w:val="24"/>
          <w:szCs w:val="24"/>
        </w:rPr>
        <w:t>served</w:t>
      </w:r>
      <w:r>
        <w:rPr>
          <w:rFonts w:cs="Times New Roman"/>
          <w:sz w:val="24"/>
          <w:szCs w:val="24"/>
        </w:rPr>
        <w:t xml:space="preserve"> </w:t>
      </w:r>
    </w:p>
    <w:p w:rsidR="009E67DB" w:rsidRPr="00281287" w:rsidRDefault="00637CB0" w:rsidP="00AA741D">
      <w:pPr>
        <w:pStyle w:val="ListParagraph"/>
        <w:numPr>
          <w:ilvl w:val="3"/>
          <w:numId w:val="18"/>
        </w:numPr>
        <w:spacing w:after="240"/>
        <w:ind w:left="1134" w:hanging="425"/>
        <w:contextualSpacing w:val="0"/>
        <w:jc w:val="both"/>
        <w:rPr>
          <w:rFonts w:cs="Times New Roman"/>
          <w:sz w:val="24"/>
          <w:szCs w:val="24"/>
        </w:rPr>
      </w:pPr>
      <w:r>
        <w:rPr>
          <w:rFonts w:cs="Times New Roman"/>
          <w:sz w:val="24"/>
          <w:szCs w:val="24"/>
        </w:rPr>
        <w:t>t</w:t>
      </w:r>
      <w:r w:rsidR="009E67DB" w:rsidRPr="00281287">
        <w:rPr>
          <w:rFonts w:cs="Times New Roman"/>
          <w:sz w:val="24"/>
          <w:szCs w:val="24"/>
        </w:rPr>
        <w:t xml:space="preserve">he amount claimed in the </w:t>
      </w:r>
      <w:r w:rsidR="00351BE2">
        <w:rPr>
          <w:rFonts w:cs="Times New Roman"/>
          <w:sz w:val="24"/>
          <w:szCs w:val="24"/>
        </w:rPr>
        <w:t>bankruptcy n</w:t>
      </w:r>
      <w:r w:rsidR="009E67DB" w:rsidRPr="00281287">
        <w:rPr>
          <w:rFonts w:cs="Times New Roman"/>
          <w:sz w:val="24"/>
          <w:szCs w:val="24"/>
        </w:rPr>
        <w:t xml:space="preserve">otice </w:t>
      </w:r>
      <w:r w:rsidR="007C1EB3" w:rsidRPr="00281287">
        <w:rPr>
          <w:rFonts w:cs="Times New Roman"/>
          <w:sz w:val="24"/>
          <w:szCs w:val="24"/>
        </w:rPr>
        <w:t>is</w:t>
      </w:r>
      <w:r w:rsidR="00F6642A">
        <w:rPr>
          <w:rFonts w:cs="Times New Roman"/>
          <w:sz w:val="24"/>
          <w:szCs w:val="24"/>
        </w:rPr>
        <w:t xml:space="preserve"> overstated</w:t>
      </w:r>
    </w:p>
    <w:p w:rsidR="009E67DB" w:rsidRPr="00281287" w:rsidRDefault="00637CB0" w:rsidP="00AA741D">
      <w:pPr>
        <w:pStyle w:val="ListParagraph"/>
        <w:numPr>
          <w:ilvl w:val="3"/>
          <w:numId w:val="18"/>
        </w:numPr>
        <w:spacing w:after="240"/>
        <w:ind w:left="1134" w:hanging="425"/>
        <w:contextualSpacing w:val="0"/>
        <w:jc w:val="both"/>
        <w:rPr>
          <w:rFonts w:cs="Times New Roman"/>
          <w:sz w:val="24"/>
          <w:szCs w:val="24"/>
        </w:rPr>
      </w:pPr>
      <w:r>
        <w:rPr>
          <w:rFonts w:cs="Times New Roman"/>
          <w:sz w:val="24"/>
          <w:szCs w:val="24"/>
        </w:rPr>
        <w:t>t</w:t>
      </w:r>
      <w:r w:rsidR="009E67DB" w:rsidRPr="00281287">
        <w:rPr>
          <w:rFonts w:cs="Times New Roman"/>
          <w:sz w:val="24"/>
          <w:szCs w:val="24"/>
        </w:rPr>
        <w:t>here is an error in the name of the debtor or cr</w:t>
      </w:r>
      <w:r w:rsidR="00351BE2">
        <w:rPr>
          <w:rFonts w:cs="Times New Roman"/>
          <w:sz w:val="24"/>
          <w:szCs w:val="24"/>
        </w:rPr>
        <w:t>editor in the bankruptcy n</w:t>
      </w:r>
      <w:r w:rsidR="00F6642A">
        <w:rPr>
          <w:rFonts w:cs="Times New Roman"/>
          <w:sz w:val="24"/>
          <w:szCs w:val="24"/>
        </w:rPr>
        <w:t>otice</w:t>
      </w:r>
    </w:p>
    <w:p w:rsidR="009E67DB" w:rsidRPr="00281287" w:rsidRDefault="00637CB0" w:rsidP="00AA741D">
      <w:pPr>
        <w:pStyle w:val="ListParagraph"/>
        <w:numPr>
          <w:ilvl w:val="3"/>
          <w:numId w:val="18"/>
        </w:numPr>
        <w:spacing w:after="240"/>
        <w:ind w:left="1134" w:hanging="425"/>
        <w:contextualSpacing w:val="0"/>
        <w:jc w:val="both"/>
        <w:rPr>
          <w:rFonts w:cs="Times New Roman"/>
          <w:sz w:val="24"/>
          <w:szCs w:val="24"/>
        </w:rPr>
      </w:pPr>
      <w:r>
        <w:rPr>
          <w:rFonts w:cs="Times New Roman"/>
          <w:sz w:val="24"/>
          <w:szCs w:val="24"/>
        </w:rPr>
        <w:t>t</w:t>
      </w:r>
      <w:r w:rsidR="00351BE2">
        <w:rPr>
          <w:rFonts w:cs="Times New Roman"/>
          <w:sz w:val="24"/>
          <w:szCs w:val="24"/>
        </w:rPr>
        <w:t>he bankruptcy n</w:t>
      </w:r>
      <w:r w:rsidR="009E67DB" w:rsidRPr="00281287">
        <w:rPr>
          <w:rFonts w:cs="Times New Roman"/>
          <w:sz w:val="24"/>
          <w:szCs w:val="24"/>
        </w:rPr>
        <w:t xml:space="preserve">otice </w:t>
      </w:r>
      <w:r w:rsidR="00D404F5" w:rsidRPr="00281287">
        <w:rPr>
          <w:rFonts w:cs="Times New Roman"/>
          <w:sz w:val="24"/>
          <w:szCs w:val="24"/>
        </w:rPr>
        <w:t>has not been</w:t>
      </w:r>
      <w:r w:rsidR="009E67DB" w:rsidRPr="00281287">
        <w:rPr>
          <w:rFonts w:cs="Times New Roman"/>
          <w:sz w:val="24"/>
          <w:szCs w:val="24"/>
        </w:rPr>
        <w:t xml:space="preserve"> complet</w:t>
      </w:r>
      <w:r w:rsidR="00F6642A">
        <w:rPr>
          <w:rFonts w:cs="Times New Roman"/>
          <w:sz w:val="24"/>
          <w:szCs w:val="24"/>
        </w:rPr>
        <w:t>ed correctly or in its entirety,</w:t>
      </w:r>
      <w:r>
        <w:rPr>
          <w:rFonts w:cs="Times New Roman"/>
          <w:sz w:val="24"/>
          <w:szCs w:val="24"/>
        </w:rPr>
        <w:t xml:space="preserve"> and</w:t>
      </w:r>
    </w:p>
    <w:p w:rsidR="00C048B4" w:rsidRPr="00281287" w:rsidRDefault="00637CB0" w:rsidP="00AA741D">
      <w:pPr>
        <w:pStyle w:val="ListParagraph"/>
        <w:numPr>
          <w:ilvl w:val="3"/>
          <w:numId w:val="18"/>
        </w:numPr>
        <w:spacing w:after="240"/>
        <w:ind w:left="1134" w:hanging="425"/>
        <w:contextualSpacing w:val="0"/>
        <w:jc w:val="both"/>
        <w:rPr>
          <w:rFonts w:cs="Times New Roman"/>
          <w:sz w:val="24"/>
          <w:szCs w:val="24"/>
        </w:rPr>
      </w:pPr>
      <w:r>
        <w:rPr>
          <w:rFonts w:cs="Times New Roman"/>
          <w:sz w:val="24"/>
          <w:szCs w:val="24"/>
        </w:rPr>
        <w:t>t</w:t>
      </w:r>
      <w:r w:rsidR="00B7620B" w:rsidRPr="00281287">
        <w:rPr>
          <w:rFonts w:cs="Times New Roman"/>
          <w:sz w:val="24"/>
          <w:szCs w:val="24"/>
        </w:rPr>
        <w:t>he debtor does n</w:t>
      </w:r>
      <w:r w:rsidR="00351BE2">
        <w:rPr>
          <w:rFonts w:cs="Times New Roman"/>
          <w:sz w:val="24"/>
          <w:szCs w:val="24"/>
        </w:rPr>
        <w:t>ot owe the debt alleged in the bankruptcy n</w:t>
      </w:r>
      <w:r w:rsidR="00B7620B" w:rsidRPr="00281287">
        <w:rPr>
          <w:rFonts w:cs="Times New Roman"/>
          <w:sz w:val="24"/>
          <w:szCs w:val="24"/>
        </w:rPr>
        <w:t>otice</w:t>
      </w:r>
      <w:r w:rsidR="00281DE5">
        <w:rPr>
          <w:rFonts w:cs="Times New Roman"/>
          <w:sz w:val="24"/>
          <w:szCs w:val="24"/>
        </w:rPr>
        <w:t>.</w:t>
      </w:r>
    </w:p>
    <w:p w:rsidR="00354772" w:rsidRDefault="0092457E" w:rsidP="00B1325C">
      <w:pPr>
        <w:pStyle w:val="ListParagraph"/>
        <w:numPr>
          <w:ilvl w:val="1"/>
          <w:numId w:val="31"/>
        </w:numPr>
        <w:spacing w:after="240"/>
        <w:ind w:left="709" w:hanging="709"/>
        <w:contextualSpacing w:val="0"/>
        <w:jc w:val="both"/>
        <w:rPr>
          <w:rFonts w:cs="Times New Roman"/>
          <w:sz w:val="24"/>
          <w:szCs w:val="24"/>
        </w:rPr>
      </w:pPr>
      <w:r w:rsidRPr="00281287">
        <w:rPr>
          <w:rFonts w:cs="Times New Roman"/>
          <w:sz w:val="24"/>
          <w:szCs w:val="24"/>
        </w:rPr>
        <w:t xml:space="preserve">The </w:t>
      </w:r>
      <w:r w:rsidR="00880604">
        <w:rPr>
          <w:rFonts w:cs="Times New Roman"/>
          <w:sz w:val="24"/>
          <w:szCs w:val="24"/>
        </w:rPr>
        <w:t xml:space="preserve">above </w:t>
      </w:r>
      <w:r w:rsidRPr="00281287">
        <w:rPr>
          <w:rFonts w:cs="Times New Roman"/>
          <w:sz w:val="24"/>
          <w:szCs w:val="24"/>
        </w:rPr>
        <w:t xml:space="preserve">list is not exhaustive. </w:t>
      </w:r>
      <w:r w:rsidR="00880604">
        <w:rPr>
          <w:rFonts w:cs="Times New Roman"/>
          <w:sz w:val="24"/>
          <w:szCs w:val="24"/>
        </w:rPr>
        <w:t xml:space="preserve">This is a </w:t>
      </w:r>
      <w:r w:rsidR="00DD5808">
        <w:rPr>
          <w:rFonts w:cs="Times New Roman"/>
          <w:sz w:val="24"/>
          <w:szCs w:val="24"/>
        </w:rPr>
        <w:t xml:space="preserve">technical and complex area of law and ideally a </w:t>
      </w:r>
      <w:r w:rsidRPr="00281287">
        <w:rPr>
          <w:rFonts w:cs="Times New Roman"/>
          <w:sz w:val="24"/>
          <w:szCs w:val="24"/>
        </w:rPr>
        <w:t xml:space="preserve">debtor </w:t>
      </w:r>
      <w:r w:rsidR="00DD5808">
        <w:rPr>
          <w:rFonts w:cs="Times New Roman"/>
          <w:sz w:val="24"/>
          <w:szCs w:val="24"/>
        </w:rPr>
        <w:t xml:space="preserve">would </w:t>
      </w:r>
      <w:r w:rsidRPr="00281287">
        <w:rPr>
          <w:rFonts w:cs="Times New Roman"/>
          <w:sz w:val="24"/>
          <w:szCs w:val="24"/>
        </w:rPr>
        <w:t xml:space="preserve">obtain legal advice </w:t>
      </w:r>
      <w:r w:rsidR="00354772" w:rsidRPr="00281287">
        <w:rPr>
          <w:rFonts w:cs="Times New Roman"/>
          <w:sz w:val="24"/>
          <w:szCs w:val="24"/>
        </w:rPr>
        <w:t xml:space="preserve">as to what grounds may be available. </w:t>
      </w:r>
      <w:r w:rsidR="00354772" w:rsidRPr="00B1325C">
        <w:rPr>
          <w:rFonts w:cs="Times New Roman"/>
          <w:sz w:val="24"/>
          <w:szCs w:val="24"/>
          <w:highlight w:val="yellow"/>
        </w:rPr>
        <w:t xml:space="preserve"> </w:t>
      </w:r>
    </w:p>
    <w:p w:rsidR="00372E4F" w:rsidRPr="00D846F1" w:rsidRDefault="00880604" w:rsidP="00B1325C">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Where a</w:t>
      </w:r>
      <w:r w:rsidR="006925B9">
        <w:rPr>
          <w:rFonts w:cs="Times New Roman"/>
          <w:sz w:val="24"/>
          <w:szCs w:val="24"/>
        </w:rPr>
        <w:t xml:space="preserve"> debtor has brought an</w:t>
      </w:r>
      <w:r>
        <w:rPr>
          <w:rFonts w:cs="Times New Roman"/>
          <w:sz w:val="24"/>
          <w:szCs w:val="24"/>
        </w:rPr>
        <w:t xml:space="preserve"> application asserting </w:t>
      </w:r>
      <w:r w:rsidR="00F624D6">
        <w:rPr>
          <w:rFonts w:cs="Times New Roman"/>
          <w:sz w:val="24"/>
          <w:szCs w:val="24"/>
        </w:rPr>
        <w:t>‘</w:t>
      </w:r>
      <w:r>
        <w:rPr>
          <w:rFonts w:cs="Times New Roman"/>
          <w:sz w:val="24"/>
          <w:szCs w:val="24"/>
        </w:rPr>
        <w:t>other grounds</w:t>
      </w:r>
      <w:r w:rsidR="00F624D6">
        <w:rPr>
          <w:rFonts w:cs="Times New Roman"/>
          <w:sz w:val="24"/>
          <w:szCs w:val="24"/>
        </w:rPr>
        <w:t>’</w:t>
      </w:r>
      <w:r>
        <w:rPr>
          <w:rFonts w:cs="Times New Roman"/>
          <w:sz w:val="24"/>
          <w:szCs w:val="24"/>
        </w:rPr>
        <w:t>, t</w:t>
      </w:r>
      <w:r w:rsidR="00372E4F">
        <w:rPr>
          <w:rFonts w:cs="Times New Roman"/>
          <w:sz w:val="24"/>
          <w:szCs w:val="24"/>
        </w:rPr>
        <w:t>he Court has a broad</w:t>
      </w:r>
      <w:r>
        <w:rPr>
          <w:rFonts w:cs="Times New Roman"/>
          <w:sz w:val="24"/>
          <w:szCs w:val="24"/>
        </w:rPr>
        <w:t>, general</w:t>
      </w:r>
      <w:r w:rsidR="00372E4F">
        <w:rPr>
          <w:rFonts w:cs="Times New Roman"/>
          <w:sz w:val="24"/>
          <w:szCs w:val="24"/>
        </w:rPr>
        <w:t xml:space="preserve"> discretion under s</w:t>
      </w:r>
      <w:r w:rsidR="008B6C29">
        <w:rPr>
          <w:rFonts w:cs="Times New Roman"/>
          <w:sz w:val="24"/>
          <w:szCs w:val="24"/>
        </w:rPr>
        <w:t xml:space="preserve"> </w:t>
      </w:r>
      <w:r w:rsidR="00372E4F">
        <w:rPr>
          <w:rFonts w:cs="Times New Roman"/>
          <w:sz w:val="24"/>
          <w:szCs w:val="24"/>
        </w:rPr>
        <w:t>41(6</w:t>
      </w:r>
      <w:r w:rsidR="00E54526">
        <w:rPr>
          <w:rFonts w:cs="Times New Roman"/>
          <w:sz w:val="24"/>
          <w:szCs w:val="24"/>
        </w:rPr>
        <w:t>A</w:t>
      </w:r>
      <w:r w:rsidR="00372E4F">
        <w:rPr>
          <w:rFonts w:cs="Times New Roman"/>
          <w:sz w:val="24"/>
          <w:szCs w:val="24"/>
        </w:rPr>
        <w:t>)(b)</w:t>
      </w:r>
      <w:r>
        <w:rPr>
          <w:rFonts w:cs="Times New Roman"/>
          <w:sz w:val="24"/>
          <w:szCs w:val="24"/>
        </w:rPr>
        <w:t xml:space="preserve"> of </w:t>
      </w:r>
      <w:r w:rsidRPr="008B6C29">
        <w:rPr>
          <w:rFonts w:cs="Times New Roman"/>
          <w:sz w:val="24"/>
          <w:szCs w:val="24"/>
        </w:rPr>
        <w:t>the Bankruptcy Act</w:t>
      </w:r>
      <w:r w:rsidR="00372E4F">
        <w:rPr>
          <w:rFonts w:cs="Times New Roman"/>
          <w:sz w:val="24"/>
          <w:szCs w:val="24"/>
        </w:rPr>
        <w:t xml:space="preserve"> to extend time for comp</w:t>
      </w:r>
      <w:r w:rsidR="00351BE2">
        <w:rPr>
          <w:rFonts w:cs="Times New Roman"/>
          <w:sz w:val="24"/>
          <w:szCs w:val="24"/>
        </w:rPr>
        <w:t>liance with a bankruptcy n</w:t>
      </w:r>
      <w:r>
        <w:rPr>
          <w:rFonts w:cs="Times New Roman"/>
          <w:sz w:val="24"/>
          <w:szCs w:val="24"/>
        </w:rPr>
        <w:t>otice</w:t>
      </w:r>
      <w:r w:rsidR="00D60E3A">
        <w:rPr>
          <w:rFonts w:cs="Times New Roman"/>
          <w:sz w:val="24"/>
          <w:szCs w:val="24"/>
        </w:rPr>
        <w:t>.</w:t>
      </w:r>
    </w:p>
    <w:p w:rsidR="00AA741D" w:rsidRPr="00C2510A" w:rsidRDefault="001E7AC7" w:rsidP="00AA741D">
      <w:pPr>
        <w:pStyle w:val="ListParagraph"/>
        <w:numPr>
          <w:ilvl w:val="1"/>
          <w:numId w:val="31"/>
        </w:numPr>
        <w:spacing w:after="240"/>
        <w:ind w:left="709" w:hanging="709"/>
        <w:contextualSpacing w:val="0"/>
        <w:jc w:val="both"/>
        <w:rPr>
          <w:rFonts w:cs="Times New Roman"/>
          <w:sz w:val="24"/>
          <w:szCs w:val="24"/>
        </w:rPr>
      </w:pPr>
      <w:r>
        <w:rPr>
          <w:rFonts w:cs="Times New Roman"/>
          <w:sz w:val="24"/>
          <w:szCs w:val="24"/>
        </w:rPr>
        <w:t>The forms and documents required to make an application under this ground are</w:t>
      </w:r>
      <w:r w:rsidR="00EE1D09" w:rsidRPr="00C2510A">
        <w:rPr>
          <w:rFonts w:cs="Times New Roman"/>
          <w:sz w:val="24"/>
          <w:szCs w:val="24"/>
        </w:rPr>
        <w:t xml:space="preserve"> explained below at </w:t>
      </w:r>
      <w:r w:rsidR="00351BE2">
        <w:rPr>
          <w:rFonts w:cs="Times New Roman"/>
          <w:sz w:val="24"/>
          <w:szCs w:val="24"/>
        </w:rPr>
        <w:t>s</w:t>
      </w:r>
      <w:r w:rsidR="0036150C" w:rsidRPr="00C2510A">
        <w:rPr>
          <w:rFonts w:cs="Times New Roman"/>
          <w:sz w:val="24"/>
          <w:szCs w:val="24"/>
        </w:rPr>
        <w:t>ections [</w:t>
      </w:r>
      <w:r w:rsidR="008B0660" w:rsidRPr="00C2510A">
        <w:rPr>
          <w:rFonts w:cs="Times New Roman"/>
          <w:sz w:val="24"/>
          <w:szCs w:val="24"/>
        </w:rPr>
        <w:t>4</w:t>
      </w:r>
      <w:r w:rsidR="0036150C" w:rsidRPr="00C2510A">
        <w:rPr>
          <w:rFonts w:cs="Times New Roman"/>
          <w:sz w:val="24"/>
          <w:szCs w:val="24"/>
        </w:rPr>
        <w:t>] and [</w:t>
      </w:r>
      <w:r w:rsidR="008B0660" w:rsidRPr="00C2510A">
        <w:rPr>
          <w:rFonts w:cs="Times New Roman"/>
          <w:sz w:val="24"/>
          <w:szCs w:val="24"/>
        </w:rPr>
        <w:t>5</w:t>
      </w:r>
      <w:r w:rsidR="0036150C" w:rsidRPr="00C2510A">
        <w:rPr>
          <w:rFonts w:cs="Times New Roman"/>
          <w:sz w:val="24"/>
          <w:szCs w:val="24"/>
        </w:rPr>
        <w:t xml:space="preserve">], and at paragraphs </w:t>
      </w:r>
      <w:r w:rsidR="009367C4">
        <w:rPr>
          <w:rFonts w:cs="Times New Roman"/>
          <w:sz w:val="24"/>
          <w:szCs w:val="24"/>
        </w:rPr>
        <w:t>[5.9]-</w:t>
      </w:r>
      <w:r w:rsidR="0036150C" w:rsidRPr="00C2510A">
        <w:rPr>
          <w:rFonts w:cs="Times New Roman"/>
          <w:sz w:val="24"/>
          <w:szCs w:val="24"/>
        </w:rPr>
        <w:t>[</w:t>
      </w:r>
      <w:r w:rsidR="008B0660" w:rsidRPr="00C2510A">
        <w:rPr>
          <w:rFonts w:cs="Times New Roman"/>
          <w:sz w:val="24"/>
          <w:szCs w:val="24"/>
        </w:rPr>
        <w:t>5.</w:t>
      </w:r>
      <w:r w:rsidR="00321CA5">
        <w:rPr>
          <w:rFonts w:cs="Times New Roman"/>
          <w:sz w:val="24"/>
          <w:szCs w:val="24"/>
        </w:rPr>
        <w:t>10</w:t>
      </w:r>
      <w:r w:rsidR="0036150C" w:rsidRPr="00C2510A">
        <w:rPr>
          <w:rFonts w:cs="Times New Roman"/>
          <w:sz w:val="24"/>
          <w:szCs w:val="24"/>
        </w:rPr>
        <w:t>]</w:t>
      </w:r>
      <w:r w:rsidR="00EE1D09" w:rsidRPr="00C2510A">
        <w:rPr>
          <w:rFonts w:cs="Times New Roman"/>
          <w:sz w:val="24"/>
          <w:szCs w:val="24"/>
        </w:rPr>
        <w:t>.</w:t>
      </w:r>
    </w:p>
    <w:p w:rsidR="007502C6" w:rsidRPr="00451184" w:rsidRDefault="004F5B29" w:rsidP="001660F3">
      <w:pPr>
        <w:pStyle w:val="ListParagraph"/>
        <w:keepNext/>
        <w:numPr>
          <w:ilvl w:val="0"/>
          <w:numId w:val="28"/>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Preparing</w:t>
      </w:r>
      <w:r w:rsidR="008B6C29">
        <w:rPr>
          <w:rFonts w:eastAsia="Times New Roman" w:cs="Arial"/>
          <w:b/>
          <w:sz w:val="28"/>
          <w:szCs w:val="28"/>
          <w:lang w:val="en-US" w:eastAsia="en-AU"/>
        </w:rPr>
        <w:t xml:space="preserve"> an application to set a</w:t>
      </w:r>
      <w:r w:rsidR="007502C6" w:rsidRPr="00451184">
        <w:rPr>
          <w:rFonts w:eastAsia="Times New Roman" w:cs="Arial"/>
          <w:b/>
          <w:sz w:val="28"/>
          <w:szCs w:val="28"/>
          <w:lang w:val="en-US" w:eastAsia="en-AU"/>
        </w:rPr>
        <w:t xml:space="preserve">side </w:t>
      </w:r>
      <w:r w:rsidR="008B6C29">
        <w:rPr>
          <w:rFonts w:eastAsia="Times New Roman" w:cs="Arial"/>
          <w:b/>
          <w:sz w:val="28"/>
          <w:szCs w:val="28"/>
          <w:lang w:val="en-US" w:eastAsia="en-AU"/>
        </w:rPr>
        <w:t>and/or extend time for compliance w</w:t>
      </w:r>
      <w:r w:rsidR="00382A0C" w:rsidRPr="00451184">
        <w:rPr>
          <w:rFonts w:eastAsia="Times New Roman" w:cs="Arial"/>
          <w:b/>
          <w:sz w:val="28"/>
          <w:szCs w:val="28"/>
          <w:lang w:val="en-US" w:eastAsia="en-AU"/>
        </w:rPr>
        <w:t xml:space="preserve">ith </w:t>
      </w:r>
      <w:r w:rsidR="00351BE2">
        <w:rPr>
          <w:rFonts w:eastAsia="Times New Roman" w:cs="Arial"/>
          <w:b/>
          <w:sz w:val="28"/>
          <w:szCs w:val="28"/>
          <w:lang w:val="en-US" w:eastAsia="en-AU"/>
        </w:rPr>
        <w:t>a bankruptcy n</w:t>
      </w:r>
      <w:r w:rsidR="007502C6" w:rsidRPr="00451184">
        <w:rPr>
          <w:rFonts w:eastAsia="Times New Roman" w:cs="Arial"/>
          <w:b/>
          <w:sz w:val="28"/>
          <w:szCs w:val="28"/>
          <w:lang w:val="en-US" w:eastAsia="en-AU"/>
        </w:rPr>
        <w:t>otice</w:t>
      </w:r>
    </w:p>
    <w:p w:rsidR="002C07B0" w:rsidRPr="00281287" w:rsidRDefault="0016131B" w:rsidP="008B6C29">
      <w:pPr>
        <w:pStyle w:val="ListParagraph"/>
        <w:keepNext/>
        <w:numPr>
          <w:ilvl w:val="1"/>
          <w:numId w:val="35"/>
        </w:numPr>
        <w:spacing w:after="240"/>
        <w:ind w:left="709" w:hanging="709"/>
        <w:contextualSpacing w:val="0"/>
        <w:jc w:val="both"/>
        <w:rPr>
          <w:rStyle w:val="Hyperlink"/>
          <w:rFonts w:asciiTheme="minorHAnsi" w:hAnsiTheme="minorHAnsi" w:cs="Times New Roman"/>
          <w:color w:val="auto"/>
          <w:sz w:val="24"/>
          <w:szCs w:val="24"/>
          <w:u w:val="none"/>
        </w:rPr>
      </w:pPr>
      <w:r w:rsidRPr="00281287">
        <w:rPr>
          <w:rFonts w:cs="Times New Roman"/>
          <w:sz w:val="24"/>
          <w:szCs w:val="24"/>
        </w:rPr>
        <w:t>To</w:t>
      </w:r>
      <w:r w:rsidR="005D179A" w:rsidRPr="00281287">
        <w:rPr>
          <w:rFonts w:cs="Times New Roman"/>
          <w:sz w:val="24"/>
          <w:szCs w:val="24"/>
        </w:rPr>
        <w:t xml:space="preserve"> file an application to set aside </w:t>
      </w:r>
      <w:r w:rsidR="00D83386">
        <w:rPr>
          <w:rFonts w:cs="Times New Roman"/>
          <w:sz w:val="24"/>
          <w:szCs w:val="24"/>
        </w:rPr>
        <w:t>and/</w:t>
      </w:r>
      <w:r w:rsidR="007447E4" w:rsidRPr="00281287">
        <w:rPr>
          <w:rFonts w:cs="Times New Roman"/>
          <w:sz w:val="24"/>
          <w:szCs w:val="24"/>
        </w:rPr>
        <w:t xml:space="preserve">or extend time for compliance with </w:t>
      </w:r>
      <w:r w:rsidR="00AE0DB0">
        <w:rPr>
          <w:rFonts w:cs="Times New Roman"/>
          <w:sz w:val="24"/>
          <w:szCs w:val="24"/>
        </w:rPr>
        <w:t>a bankruptcy n</w:t>
      </w:r>
      <w:r w:rsidR="005D179A" w:rsidRPr="00281287">
        <w:rPr>
          <w:rFonts w:cs="Times New Roman"/>
          <w:sz w:val="24"/>
          <w:szCs w:val="24"/>
        </w:rPr>
        <w:t xml:space="preserve">otice, </w:t>
      </w:r>
      <w:r w:rsidR="002C07B0" w:rsidRPr="00281287">
        <w:rPr>
          <w:rFonts w:cs="Times New Roman"/>
          <w:sz w:val="24"/>
          <w:szCs w:val="24"/>
        </w:rPr>
        <w:t>a</w:t>
      </w:r>
      <w:r w:rsidR="005D179A" w:rsidRPr="00281287">
        <w:rPr>
          <w:rFonts w:cs="Times New Roman"/>
          <w:sz w:val="24"/>
          <w:szCs w:val="24"/>
        </w:rPr>
        <w:t xml:space="preserve"> debtor should obtain </w:t>
      </w:r>
      <w:r w:rsidR="0089093E" w:rsidRPr="00281287">
        <w:rPr>
          <w:rFonts w:cs="Times New Roman"/>
          <w:sz w:val="24"/>
          <w:szCs w:val="24"/>
        </w:rPr>
        <w:t xml:space="preserve">and complete </w:t>
      </w:r>
      <w:r w:rsidR="005D179A" w:rsidRPr="00281287">
        <w:rPr>
          <w:rFonts w:cs="Times New Roman"/>
          <w:sz w:val="24"/>
          <w:szCs w:val="24"/>
        </w:rPr>
        <w:t xml:space="preserve">a </w:t>
      </w:r>
      <w:hyperlink r:id="rId17" w:anchor="formB2" w:history="1">
        <w:r w:rsidR="005D179A" w:rsidRPr="008B6C29">
          <w:rPr>
            <w:rStyle w:val="Hyperlink"/>
            <w:rFonts w:asciiTheme="minorHAnsi" w:hAnsiTheme="minorHAnsi" w:cs="Times New Roman"/>
            <w:sz w:val="24"/>
            <w:szCs w:val="24"/>
          </w:rPr>
          <w:t>Bankruptcy Form B2 Application</w:t>
        </w:r>
      </w:hyperlink>
      <w:r w:rsidR="00D83386">
        <w:rPr>
          <w:rFonts w:cs="Times New Roman"/>
          <w:sz w:val="24"/>
          <w:szCs w:val="24"/>
        </w:rPr>
        <w:t>.</w:t>
      </w:r>
    </w:p>
    <w:p w:rsidR="005D179A" w:rsidRDefault="00451184" w:rsidP="00AA741D">
      <w:pPr>
        <w:pStyle w:val="ListParagraph"/>
        <w:numPr>
          <w:ilvl w:val="1"/>
          <w:numId w:val="35"/>
        </w:numPr>
        <w:spacing w:after="240"/>
        <w:ind w:left="709" w:hanging="709"/>
        <w:contextualSpacing w:val="0"/>
        <w:jc w:val="both"/>
        <w:rPr>
          <w:rFonts w:cs="Times New Roman"/>
          <w:sz w:val="24"/>
          <w:szCs w:val="24"/>
        </w:rPr>
      </w:pPr>
      <w:r>
        <w:rPr>
          <w:rFonts w:cs="Times New Roman"/>
          <w:sz w:val="24"/>
          <w:szCs w:val="24"/>
        </w:rPr>
        <w:t>The debtor applying to the Court for the relevant orders is referred to as</w:t>
      </w:r>
      <w:r w:rsidR="0089093E" w:rsidRPr="00281287">
        <w:rPr>
          <w:rFonts w:cs="Times New Roman"/>
          <w:sz w:val="24"/>
          <w:szCs w:val="24"/>
        </w:rPr>
        <w:t xml:space="preserve"> the </w:t>
      </w:r>
      <w:r w:rsidR="00C80A92">
        <w:rPr>
          <w:rFonts w:cs="Times New Roman"/>
          <w:sz w:val="24"/>
          <w:szCs w:val="24"/>
        </w:rPr>
        <w:t>‘</w:t>
      </w:r>
      <w:r w:rsidR="0089093E" w:rsidRPr="00281287">
        <w:rPr>
          <w:rFonts w:cs="Times New Roman"/>
          <w:sz w:val="24"/>
          <w:szCs w:val="24"/>
        </w:rPr>
        <w:t>Applicant</w:t>
      </w:r>
      <w:r w:rsidR="00C80A92">
        <w:rPr>
          <w:rFonts w:cs="Times New Roman"/>
          <w:sz w:val="24"/>
          <w:szCs w:val="24"/>
        </w:rPr>
        <w:t>’</w:t>
      </w:r>
      <w:r w:rsidR="0089093E" w:rsidRPr="00281287">
        <w:rPr>
          <w:rFonts w:cs="Times New Roman"/>
          <w:sz w:val="24"/>
          <w:szCs w:val="24"/>
        </w:rPr>
        <w:t>. The p</w:t>
      </w:r>
      <w:r w:rsidR="00AE0DB0">
        <w:rPr>
          <w:rFonts w:cs="Times New Roman"/>
          <w:sz w:val="24"/>
          <w:szCs w:val="24"/>
        </w:rPr>
        <w:t>erson or entity who served the b</w:t>
      </w:r>
      <w:r w:rsidR="0089093E" w:rsidRPr="00281287">
        <w:rPr>
          <w:rFonts w:cs="Times New Roman"/>
          <w:sz w:val="24"/>
          <w:szCs w:val="24"/>
        </w:rPr>
        <w:t xml:space="preserve">ankruptcy </w:t>
      </w:r>
      <w:r w:rsidR="00AE0DB0">
        <w:rPr>
          <w:rFonts w:cs="Times New Roman"/>
          <w:sz w:val="24"/>
          <w:szCs w:val="24"/>
        </w:rPr>
        <w:t>n</w:t>
      </w:r>
      <w:r w:rsidR="0089093E" w:rsidRPr="00281287">
        <w:rPr>
          <w:rFonts w:cs="Times New Roman"/>
          <w:sz w:val="24"/>
          <w:szCs w:val="24"/>
        </w:rPr>
        <w:t>otice, and i</w:t>
      </w:r>
      <w:r w:rsidR="00AE0DB0">
        <w:rPr>
          <w:rFonts w:cs="Times New Roman"/>
          <w:sz w:val="24"/>
          <w:szCs w:val="24"/>
        </w:rPr>
        <w:t>s named as the creditor in the bankruptcy n</w:t>
      </w:r>
      <w:r w:rsidR="0089093E" w:rsidRPr="00281287">
        <w:rPr>
          <w:rFonts w:cs="Times New Roman"/>
          <w:sz w:val="24"/>
          <w:szCs w:val="24"/>
        </w:rPr>
        <w:t>otice, is</w:t>
      </w:r>
      <w:r w:rsidR="00380187">
        <w:rPr>
          <w:rFonts w:cs="Times New Roman"/>
          <w:sz w:val="24"/>
          <w:szCs w:val="24"/>
        </w:rPr>
        <w:t xml:space="preserve"> referred to as the </w:t>
      </w:r>
      <w:r w:rsidR="00C80A92">
        <w:rPr>
          <w:rFonts w:cs="Times New Roman"/>
          <w:sz w:val="24"/>
          <w:szCs w:val="24"/>
        </w:rPr>
        <w:t>‘</w:t>
      </w:r>
      <w:r w:rsidR="0089093E" w:rsidRPr="00281287">
        <w:rPr>
          <w:rFonts w:cs="Times New Roman"/>
          <w:sz w:val="24"/>
          <w:szCs w:val="24"/>
        </w:rPr>
        <w:t>Respondent</w:t>
      </w:r>
      <w:r w:rsidR="00C80A92">
        <w:rPr>
          <w:rFonts w:cs="Times New Roman"/>
          <w:sz w:val="24"/>
          <w:szCs w:val="24"/>
        </w:rPr>
        <w:t>’</w:t>
      </w:r>
      <w:r w:rsidR="0089093E" w:rsidRPr="00281287">
        <w:rPr>
          <w:rFonts w:cs="Times New Roman"/>
          <w:sz w:val="24"/>
          <w:szCs w:val="24"/>
        </w:rPr>
        <w:t>. The debtor must complete the details of both the Applicant and Respondent</w:t>
      </w:r>
      <w:r>
        <w:rPr>
          <w:rFonts w:cs="Times New Roman"/>
          <w:sz w:val="24"/>
          <w:szCs w:val="24"/>
        </w:rPr>
        <w:t xml:space="preserve"> in the </w:t>
      </w:r>
      <w:hyperlink r:id="rId18" w:anchor="formB2" w:history="1">
        <w:r w:rsidRPr="008B6C29">
          <w:rPr>
            <w:rStyle w:val="Hyperlink"/>
            <w:rFonts w:asciiTheme="minorHAnsi" w:hAnsiTheme="minorHAnsi" w:cs="Times New Roman"/>
            <w:sz w:val="24"/>
            <w:szCs w:val="24"/>
          </w:rPr>
          <w:t>Form B2</w:t>
        </w:r>
      </w:hyperlink>
      <w:r>
        <w:rPr>
          <w:rFonts w:cs="Times New Roman"/>
          <w:sz w:val="24"/>
          <w:szCs w:val="24"/>
        </w:rPr>
        <w:t xml:space="preserve"> Application</w:t>
      </w:r>
      <w:r w:rsidR="0089093E" w:rsidRPr="00281287">
        <w:rPr>
          <w:rFonts w:cs="Times New Roman"/>
          <w:sz w:val="24"/>
          <w:szCs w:val="24"/>
        </w:rPr>
        <w:t xml:space="preserve">. </w:t>
      </w:r>
    </w:p>
    <w:p w:rsidR="007C052B" w:rsidRPr="00281287" w:rsidRDefault="007C052B" w:rsidP="00A45E03">
      <w:pPr>
        <w:pStyle w:val="ListParagraph"/>
        <w:numPr>
          <w:ilvl w:val="1"/>
          <w:numId w:val="35"/>
        </w:numPr>
        <w:spacing w:after="240"/>
        <w:ind w:left="709" w:hanging="709"/>
        <w:contextualSpacing w:val="0"/>
        <w:jc w:val="both"/>
        <w:rPr>
          <w:rFonts w:cs="Times New Roman"/>
          <w:sz w:val="24"/>
          <w:szCs w:val="24"/>
        </w:rPr>
      </w:pPr>
      <w:r w:rsidRPr="00281287">
        <w:rPr>
          <w:rFonts w:cs="Times New Roman"/>
          <w:sz w:val="24"/>
          <w:szCs w:val="24"/>
        </w:rPr>
        <w:t xml:space="preserve">Under the heading </w:t>
      </w:r>
      <w:r w:rsidR="00C80A92">
        <w:rPr>
          <w:rFonts w:cs="Times New Roman"/>
          <w:sz w:val="24"/>
          <w:szCs w:val="24"/>
        </w:rPr>
        <w:t>‘</w:t>
      </w:r>
      <w:r w:rsidRPr="00281287">
        <w:rPr>
          <w:rFonts w:cs="Times New Roman"/>
          <w:sz w:val="24"/>
          <w:szCs w:val="24"/>
        </w:rPr>
        <w:t>Details of Claim</w:t>
      </w:r>
      <w:r w:rsidR="00C80A92">
        <w:rPr>
          <w:rFonts w:cs="Times New Roman"/>
          <w:sz w:val="24"/>
          <w:szCs w:val="24"/>
        </w:rPr>
        <w:t>’</w:t>
      </w:r>
      <w:r w:rsidRPr="00281287">
        <w:rPr>
          <w:rFonts w:cs="Times New Roman"/>
          <w:sz w:val="24"/>
          <w:szCs w:val="24"/>
        </w:rPr>
        <w:t xml:space="preserve">, </w:t>
      </w:r>
      <w:r w:rsidR="00CD760F" w:rsidRPr="00281287">
        <w:rPr>
          <w:rFonts w:cs="Times New Roman"/>
          <w:sz w:val="24"/>
          <w:szCs w:val="24"/>
        </w:rPr>
        <w:t>the debtor</w:t>
      </w:r>
      <w:r w:rsidRPr="00281287">
        <w:rPr>
          <w:rFonts w:cs="Times New Roman"/>
          <w:sz w:val="24"/>
          <w:szCs w:val="24"/>
        </w:rPr>
        <w:t xml:space="preserve"> must state the </w:t>
      </w:r>
      <w:r w:rsidR="00F874D7">
        <w:rPr>
          <w:rFonts w:cs="Times New Roman"/>
          <w:sz w:val="24"/>
          <w:szCs w:val="24"/>
        </w:rPr>
        <w:t xml:space="preserve">final </w:t>
      </w:r>
      <w:r w:rsidRPr="00281287">
        <w:rPr>
          <w:rFonts w:cs="Times New Roman"/>
          <w:sz w:val="24"/>
          <w:szCs w:val="24"/>
        </w:rPr>
        <w:t xml:space="preserve">orders that </w:t>
      </w:r>
      <w:r w:rsidR="00F874D7">
        <w:rPr>
          <w:rFonts w:cs="Times New Roman"/>
          <w:sz w:val="24"/>
          <w:szCs w:val="24"/>
        </w:rPr>
        <w:t xml:space="preserve">they seek </w:t>
      </w:r>
      <w:r w:rsidR="00A8319E" w:rsidRPr="00281287">
        <w:rPr>
          <w:rFonts w:cs="Times New Roman"/>
          <w:sz w:val="24"/>
          <w:szCs w:val="24"/>
        </w:rPr>
        <w:t>from the Court</w:t>
      </w:r>
      <w:r w:rsidR="00CD760F" w:rsidRPr="00281287">
        <w:rPr>
          <w:rFonts w:cs="Times New Roman"/>
          <w:sz w:val="24"/>
          <w:szCs w:val="24"/>
        </w:rPr>
        <w:t xml:space="preserve">. </w:t>
      </w:r>
      <w:r w:rsidR="00F874D7">
        <w:rPr>
          <w:rFonts w:cs="Times New Roman"/>
          <w:sz w:val="24"/>
          <w:szCs w:val="24"/>
        </w:rPr>
        <w:t>In most instances, this will</w:t>
      </w:r>
      <w:r w:rsidR="00F67530">
        <w:rPr>
          <w:rFonts w:cs="Times New Roman"/>
          <w:sz w:val="24"/>
          <w:szCs w:val="24"/>
        </w:rPr>
        <w:t xml:space="preserve"> be an order that the relevant bankruptcy n</w:t>
      </w:r>
      <w:r w:rsidR="00F874D7">
        <w:rPr>
          <w:rFonts w:cs="Times New Roman"/>
          <w:sz w:val="24"/>
          <w:szCs w:val="24"/>
        </w:rPr>
        <w:t>otice be set aside</w:t>
      </w:r>
      <w:r w:rsidR="00A45E03">
        <w:rPr>
          <w:rFonts w:cs="Times New Roman"/>
          <w:sz w:val="24"/>
          <w:szCs w:val="24"/>
        </w:rPr>
        <w:t>. T</w:t>
      </w:r>
      <w:r w:rsidR="00C27259" w:rsidRPr="00281287">
        <w:rPr>
          <w:rFonts w:cs="Times New Roman"/>
          <w:sz w:val="24"/>
          <w:szCs w:val="24"/>
        </w:rPr>
        <w:t>he debtor</w:t>
      </w:r>
      <w:r w:rsidRPr="00281287">
        <w:rPr>
          <w:rFonts w:cs="Times New Roman"/>
          <w:sz w:val="24"/>
          <w:szCs w:val="24"/>
        </w:rPr>
        <w:t xml:space="preserve"> should specify the </w:t>
      </w:r>
      <w:r w:rsidR="00A07971">
        <w:rPr>
          <w:rFonts w:cs="Times New Roman"/>
          <w:sz w:val="24"/>
          <w:szCs w:val="24"/>
        </w:rPr>
        <w:t xml:space="preserve">number of the </w:t>
      </w:r>
      <w:r w:rsidR="00F67530">
        <w:rPr>
          <w:rFonts w:cs="Times New Roman"/>
          <w:sz w:val="24"/>
          <w:szCs w:val="24"/>
        </w:rPr>
        <w:t>b</w:t>
      </w:r>
      <w:r w:rsidR="008B6C29">
        <w:rPr>
          <w:rFonts w:cs="Times New Roman"/>
          <w:sz w:val="24"/>
          <w:szCs w:val="24"/>
        </w:rPr>
        <w:t xml:space="preserve">ankruptcy </w:t>
      </w:r>
      <w:r w:rsidR="00F67530">
        <w:rPr>
          <w:rFonts w:cs="Times New Roman"/>
          <w:sz w:val="24"/>
          <w:szCs w:val="24"/>
        </w:rPr>
        <w:t>n</w:t>
      </w:r>
      <w:r w:rsidRPr="00281287">
        <w:rPr>
          <w:rFonts w:cs="Times New Roman"/>
          <w:sz w:val="24"/>
          <w:szCs w:val="24"/>
        </w:rPr>
        <w:t>otice</w:t>
      </w:r>
      <w:r w:rsidR="00A45E03">
        <w:rPr>
          <w:rFonts w:cs="Times New Roman"/>
          <w:sz w:val="24"/>
          <w:szCs w:val="24"/>
        </w:rPr>
        <w:t xml:space="preserve"> and</w:t>
      </w:r>
      <w:r w:rsidR="00AE0DB0">
        <w:rPr>
          <w:rFonts w:cs="Times New Roman"/>
          <w:sz w:val="24"/>
          <w:szCs w:val="24"/>
        </w:rPr>
        <w:t xml:space="preserve"> the date on which the bankruptcy n</w:t>
      </w:r>
      <w:r w:rsidRPr="00281287">
        <w:rPr>
          <w:rFonts w:cs="Times New Roman"/>
          <w:sz w:val="24"/>
          <w:szCs w:val="24"/>
        </w:rPr>
        <w:t>otice was served</w:t>
      </w:r>
      <w:r w:rsidR="00A45E03">
        <w:rPr>
          <w:rFonts w:cs="Times New Roman"/>
          <w:sz w:val="24"/>
          <w:szCs w:val="24"/>
        </w:rPr>
        <w:t xml:space="preserve">, together with </w:t>
      </w:r>
      <w:r w:rsidR="00F874D7">
        <w:rPr>
          <w:rFonts w:cs="Times New Roman"/>
          <w:sz w:val="24"/>
          <w:szCs w:val="24"/>
        </w:rPr>
        <w:t>the grounds relied on</w:t>
      </w:r>
      <w:r w:rsidRPr="00281287">
        <w:rPr>
          <w:rFonts w:cs="Times New Roman"/>
          <w:sz w:val="24"/>
          <w:szCs w:val="24"/>
        </w:rPr>
        <w:t xml:space="preserve">. </w:t>
      </w:r>
      <w:r w:rsidR="00A8319E" w:rsidRPr="00281287">
        <w:rPr>
          <w:rFonts w:cs="Times New Roman"/>
          <w:sz w:val="24"/>
          <w:szCs w:val="24"/>
        </w:rPr>
        <w:t xml:space="preserve">For example, </w:t>
      </w:r>
      <w:r w:rsidR="00F874D7">
        <w:rPr>
          <w:rFonts w:cs="Times New Roman"/>
          <w:sz w:val="24"/>
          <w:szCs w:val="24"/>
        </w:rPr>
        <w:t>a</w:t>
      </w:r>
      <w:r w:rsidR="00F874D7" w:rsidRPr="00281287">
        <w:rPr>
          <w:rFonts w:cs="Times New Roman"/>
          <w:sz w:val="24"/>
          <w:szCs w:val="24"/>
        </w:rPr>
        <w:t xml:space="preserve"> </w:t>
      </w:r>
      <w:r w:rsidR="00F874D7">
        <w:rPr>
          <w:rFonts w:cs="Times New Roman"/>
          <w:sz w:val="24"/>
          <w:szCs w:val="24"/>
        </w:rPr>
        <w:t>debtor</w:t>
      </w:r>
      <w:r w:rsidR="00F874D7" w:rsidRPr="00281287">
        <w:rPr>
          <w:rFonts w:cs="Times New Roman"/>
          <w:sz w:val="24"/>
          <w:szCs w:val="24"/>
        </w:rPr>
        <w:t xml:space="preserve"> </w:t>
      </w:r>
      <w:r w:rsidR="001E3C76">
        <w:rPr>
          <w:rFonts w:cs="Times New Roman"/>
          <w:sz w:val="24"/>
          <w:szCs w:val="24"/>
        </w:rPr>
        <w:t>may</w:t>
      </w:r>
      <w:r w:rsidR="00F874D7">
        <w:rPr>
          <w:rFonts w:cs="Times New Roman"/>
          <w:sz w:val="24"/>
          <w:szCs w:val="24"/>
        </w:rPr>
        <w:t xml:space="preserve"> state their</w:t>
      </w:r>
      <w:r w:rsidR="001E3C76">
        <w:rPr>
          <w:rFonts w:cs="Times New Roman"/>
          <w:sz w:val="24"/>
          <w:szCs w:val="24"/>
        </w:rPr>
        <w:t xml:space="preserve"> </w:t>
      </w:r>
      <w:r w:rsidR="00F874D7">
        <w:rPr>
          <w:rFonts w:cs="Times New Roman"/>
          <w:sz w:val="24"/>
          <w:szCs w:val="24"/>
        </w:rPr>
        <w:t>claim in these terms:</w:t>
      </w:r>
    </w:p>
    <w:p w:rsidR="007C052B" w:rsidRPr="00281287" w:rsidRDefault="00AE0DB0" w:rsidP="00AA741D">
      <w:pPr>
        <w:pStyle w:val="ListParagraph"/>
        <w:numPr>
          <w:ilvl w:val="0"/>
          <w:numId w:val="19"/>
        </w:numPr>
        <w:spacing w:after="240"/>
        <w:ind w:hanging="578"/>
        <w:contextualSpacing w:val="0"/>
        <w:jc w:val="both"/>
        <w:rPr>
          <w:rFonts w:cs="Times New Roman"/>
          <w:sz w:val="24"/>
          <w:szCs w:val="24"/>
        </w:rPr>
      </w:pPr>
      <w:r>
        <w:rPr>
          <w:rFonts w:cs="Times New Roman"/>
          <w:sz w:val="24"/>
          <w:szCs w:val="24"/>
        </w:rPr>
        <w:t>That Bankruptcy N</w:t>
      </w:r>
      <w:r w:rsidR="007C052B" w:rsidRPr="00281287">
        <w:rPr>
          <w:rFonts w:cs="Times New Roman"/>
          <w:sz w:val="24"/>
          <w:szCs w:val="24"/>
        </w:rPr>
        <w:t>otice Number BN [</w:t>
      </w:r>
      <w:r w:rsidR="007C052B" w:rsidRPr="00C2510A">
        <w:rPr>
          <w:rFonts w:cs="Times New Roman"/>
          <w:i/>
          <w:sz w:val="24"/>
          <w:szCs w:val="24"/>
        </w:rPr>
        <w:t>insert</w:t>
      </w:r>
      <w:r w:rsidR="007C052B" w:rsidRPr="00281287">
        <w:rPr>
          <w:rFonts w:cs="Times New Roman"/>
          <w:sz w:val="24"/>
          <w:szCs w:val="24"/>
        </w:rPr>
        <w:t>] issued on [</w:t>
      </w:r>
      <w:r w:rsidR="007C052B" w:rsidRPr="00C2510A">
        <w:rPr>
          <w:rFonts w:cs="Times New Roman"/>
          <w:i/>
          <w:sz w:val="24"/>
          <w:szCs w:val="24"/>
        </w:rPr>
        <w:t>insert</w:t>
      </w:r>
      <w:r w:rsidR="007C052B" w:rsidRPr="00281287">
        <w:rPr>
          <w:rFonts w:cs="Times New Roman"/>
          <w:sz w:val="24"/>
          <w:szCs w:val="24"/>
        </w:rPr>
        <w:t>] which was served on me on [</w:t>
      </w:r>
      <w:r w:rsidR="007C052B" w:rsidRPr="00C2510A">
        <w:rPr>
          <w:rFonts w:cs="Times New Roman"/>
          <w:i/>
          <w:sz w:val="24"/>
          <w:szCs w:val="24"/>
        </w:rPr>
        <w:t>insert</w:t>
      </w:r>
      <w:r w:rsidR="007C052B" w:rsidRPr="00281287">
        <w:rPr>
          <w:rFonts w:cs="Times New Roman"/>
          <w:sz w:val="24"/>
          <w:szCs w:val="24"/>
        </w:rPr>
        <w:t>] be set aside</w:t>
      </w:r>
      <w:r w:rsidR="00C27259" w:rsidRPr="00281287">
        <w:rPr>
          <w:rFonts w:cs="Times New Roman"/>
          <w:sz w:val="24"/>
          <w:szCs w:val="24"/>
        </w:rPr>
        <w:t xml:space="preserve"> </w:t>
      </w:r>
      <w:r w:rsidR="00FD5729" w:rsidRPr="00281287">
        <w:rPr>
          <w:rFonts w:cs="Times New Roman"/>
          <w:sz w:val="24"/>
          <w:szCs w:val="24"/>
        </w:rPr>
        <w:t xml:space="preserve">on the following grounds: </w:t>
      </w:r>
      <w:r w:rsidR="00C27259" w:rsidRPr="00281287">
        <w:rPr>
          <w:rFonts w:cs="Times New Roman"/>
          <w:sz w:val="24"/>
          <w:szCs w:val="24"/>
        </w:rPr>
        <w:t>[</w:t>
      </w:r>
      <w:r w:rsidR="00C27259" w:rsidRPr="00C2510A">
        <w:rPr>
          <w:rFonts w:cs="Times New Roman"/>
          <w:i/>
          <w:sz w:val="24"/>
          <w:szCs w:val="24"/>
        </w:rPr>
        <w:t>insert</w:t>
      </w:r>
      <w:r w:rsidR="00C27259" w:rsidRPr="00281287">
        <w:rPr>
          <w:rFonts w:cs="Times New Roman"/>
          <w:sz w:val="24"/>
          <w:szCs w:val="24"/>
        </w:rPr>
        <w:t>]</w:t>
      </w:r>
      <w:r w:rsidR="007C052B" w:rsidRPr="00281287">
        <w:rPr>
          <w:rFonts w:cs="Times New Roman"/>
          <w:sz w:val="24"/>
          <w:szCs w:val="24"/>
        </w:rPr>
        <w:t>.</w:t>
      </w:r>
    </w:p>
    <w:p w:rsidR="00A45E03" w:rsidRDefault="00A45E03" w:rsidP="00AA741D">
      <w:pPr>
        <w:pStyle w:val="ListParagraph"/>
        <w:numPr>
          <w:ilvl w:val="1"/>
          <w:numId w:val="35"/>
        </w:numPr>
        <w:spacing w:after="240"/>
        <w:ind w:left="709" w:hanging="709"/>
        <w:contextualSpacing w:val="0"/>
        <w:jc w:val="both"/>
        <w:rPr>
          <w:rFonts w:cs="Times New Roman"/>
          <w:sz w:val="24"/>
          <w:szCs w:val="24"/>
        </w:rPr>
      </w:pPr>
      <w:r>
        <w:rPr>
          <w:rFonts w:cs="Times New Roman"/>
          <w:sz w:val="24"/>
          <w:szCs w:val="24"/>
        </w:rPr>
        <w:t>In identifying the grounds relied on, the applicant should note the following:</w:t>
      </w:r>
    </w:p>
    <w:p w:rsidR="00A45E03" w:rsidRDefault="00AE0DB0" w:rsidP="00A45E03">
      <w:pPr>
        <w:pStyle w:val="ListParagraph"/>
        <w:numPr>
          <w:ilvl w:val="0"/>
          <w:numId w:val="46"/>
        </w:numPr>
        <w:spacing w:after="240"/>
        <w:ind w:left="1276" w:hanging="556"/>
        <w:contextualSpacing w:val="0"/>
        <w:jc w:val="both"/>
        <w:rPr>
          <w:rFonts w:cs="Times New Roman"/>
          <w:sz w:val="24"/>
          <w:szCs w:val="24"/>
        </w:rPr>
      </w:pPr>
      <w:r>
        <w:rPr>
          <w:rFonts w:cs="Times New Roman"/>
          <w:sz w:val="24"/>
          <w:szCs w:val="24"/>
        </w:rPr>
        <w:t>where the bankruptcy n</w:t>
      </w:r>
      <w:r w:rsidR="00A45E03">
        <w:rPr>
          <w:rFonts w:cs="Times New Roman"/>
          <w:sz w:val="24"/>
          <w:szCs w:val="24"/>
        </w:rPr>
        <w:t>otice is to be set aside on the grounds of set aside or appeal of the judgment debt, the applicant should state so</w:t>
      </w:r>
    </w:p>
    <w:p w:rsidR="00A45E03" w:rsidRDefault="00A45E03" w:rsidP="00A45E03">
      <w:pPr>
        <w:pStyle w:val="ListParagraph"/>
        <w:numPr>
          <w:ilvl w:val="0"/>
          <w:numId w:val="46"/>
        </w:numPr>
        <w:spacing w:after="240"/>
        <w:ind w:left="1276" w:hanging="556"/>
        <w:contextualSpacing w:val="0"/>
        <w:jc w:val="both"/>
        <w:rPr>
          <w:rFonts w:cs="Times New Roman"/>
          <w:sz w:val="24"/>
          <w:szCs w:val="24"/>
        </w:rPr>
      </w:pPr>
      <w:r>
        <w:rPr>
          <w:rFonts w:cs="Times New Roman"/>
          <w:sz w:val="24"/>
          <w:szCs w:val="24"/>
        </w:rPr>
        <w:t>where the ground is in the nature of a counter claim, set off or cross demand, the applicant should state a general description of the clai</w:t>
      </w:r>
      <w:r w:rsidR="000C14E5">
        <w:rPr>
          <w:rFonts w:cs="Times New Roman"/>
          <w:sz w:val="24"/>
          <w:szCs w:val="24"/>
        </w:rPr>
        <w:t>m,</w:t>
      </w:r>
      <w:r w:rsidR="00FE71A8">
        <w:rPr>
          <w:rFonts w:cs="Times New Roman"/>
          <w:sz w:val="24"/>
          <w:szCs w:val="24"/>
        </w:rPr>
        <w:t xml:space="preserve"> and</w:t>
      </w:r>
    </w:p>
    <w:p w:rsidR="00A45E03" w:rsidRPr="00400507" w:rsidRDefault="00F929DC" w:rsidP="00A45E03">
      <w:pPr>
        <w:pStyle w:val="ListParagraph"/>
        <w:numPr>
          <w:ilvl w:val="0"/>
          <w:numId w:val="46"/>
        </w:numPr>
        <w:spacing w:after="240"/>
        <w:ind w:left="1276" w:hanging="556"/>
        <w:contextualSpacing w:val="0"/>
        <w:jc w:val="both"/>
        <w:rPr>
          <w:rFonts w:cs="Times New Roman"/>
          <w:sz w:val="24"/>
          <w:szCs w:val="24"/>
        </w:rPr>
      </w:pPr>
      <w:r>
        <w:rPr>
          <w:rFonts w:cs="Times New Roman"/>
          <w:sz w:val="24"/>
          <w:szCs w:val="24"/>
        </w:rPr>
        <w:t>w</w:t>
      </w:r>
      <w:r w:rsidR="00A45E03">
        <w:rPr>
          <w:rFonts w:cs="Times New Roman"/>
          <w:sz w:val="24"/>
          <w:szCs w:val="24"/>
        </w:rPr>
        <w:t xml:space="preserve">here </w:t>
      </w:r>
      <w:r w:rsidR="00C80A92">
        <w:rPr>
          <w:rFonts w:cs="Times New Roman"/>
          <w:sz w:val="24"/>
          <w:szCs w:val="24"/>
        </w:rPr>
        <w:t>‘</w:t>
      </w:r>
      <w:r w:rsidR="00A45E03">
        <w:rPr>
          <w:rFonts w:cs="Times New Roman"/>
          <w:sz w:val="24"/>
          <w:szCs w:val="24"/>
        </w:rPr>
        <w:t>other grounds</w:t>
      </w:r>
      <w:r w:rsidR="00C80A92">
        <w:rPr>
          <w:rFonts w:cs="Times New Roman"/>
          <w:sz w:val="24"/>
          <w:szCs w:val="24"/>
        </w:rPr>
        <w:t>’</w:t>
      </w:r>
      <w:r w:rsidR="00A45E03">
        <w:rPr>
          <w:rFonts w:cs="Times New Roman"/>
          <w:sz w:val="24"/>
          <w:szCs w:val="24"/>
        </w:rPr>
        <w:t xml:space="preserve"> are relied on, the applicant should </w:t>
      </w:r>
      <w:r>
        <w:rPr>
          <w:rFonts w:cs="Times New Roman"/>
          <w:sz w:val="24"/>
          <w:szCs w:val="24"/>
        </w:rPr>
        <w:t xml:space="preserve">specifically identify the nature of the </w:t>
      </w:r>
      <w:r w:rsidR="00F624D6">
        <w:rPr>
          <w:rFonts w:cs="Times New Roman"/>
          <w:sz w:val="24"/>
          <w:szCs w:val="24"/>
        </w:rPr>
        <w:t>‘</w:t>
      </w:r>
      <w:r>
        <w:rPr>
          <w:rFonts w:cs="Times New Roman"/>
          <w:sz w:val="24"/>
          <w:szCs w:val="24"/>
        </w:rPr>
        <w:t>other grounds</w:t>
      </w:r>
      <w:r w:rsidR="00F624D6">
        <w:rPr>
          <w:rFonts w:cs="Times New Roman"/>
          <w:sz w:val="24"/>
          <w:szCs w:val="24"/>
        </w:rPr>
        <w:t>’</w:t>
      </w:r>
      <w:r>
        <w:rPr>
          <w:rFonts w:cs="Times New Roman"/>
          <w:sz w:val="24"/>
          <w:szCs w:val="24"/>
        </w:rPr>
        <w:t xml:space="preserve"> and </w:t>
      </w:r>
      <w:r w:rsidR="00A45E03">
        <w:rPr>
          <w:rFonts w:cs="Times New Roman"/>
          <w:sz w:val="24"/>
          <w:szCs w:val="24"/>
        </w:rPr>
        <w:t xml:space="preserve">state </w:t>
      </w:r>
      <w:r>
        <w:rPr>
          <w:rFonts w:cs="Times New Roman"/>
          <w:sz w:val="24"/>
          <w:szCs w:val="24"/>
        </w:rPr>
        <w:t>this</w:t>
      </w:r>
      <w:r w:rsidR="00A45E03">
        <w:rPr>
          <w:rFonts w:cs="Times New Roman"/>
          <w:sz w:val="24"/>
          <w:szCs w:val="24"/>
        </w:rPr>
        <w:t xml:space="preserve"> in summary form.</w:t>
      </w:r>
    </w:p>
    <w:p w:rsidR="007C052B" w:rsidRPr="00281287" w:rsidRDefault="00F874D7" w:rsidP="00AA741D">
      <w:pPr>
        <w:pStyle w:val="ListParagraph"/>
        <w:numPr>
          <w:ilvl w:val="1"/>
          <w:numId w:val="35"/>
        </w:numPr>
        <w:spacing w:after="240"/>
        <w:ind w:left="709" w:hanging="709"/>
        <w:contextualSpacing w:val="0"/>
        <w:jc w:val="both"/>
        <w:rPr>
          <w:rFonts w:cs="Times New Roman"/>
          <w:sz w:val="24"/>
          <w:szCs w:val="24"/>
        </w:rPr>
      </w:pPr>
      <w:r>
        <w:rPr>
          <w:rFonts w:cs="Times New Roman"/>
          <w:sz w:val="24"/>
          <w:szCs w:val="24"/>
        </w:rPr>
        <w:t xml:space="preserve">Under the heading </w:t>
      </w:r>
      <w:r w:rsidR="00C80A92">
        <w:rPr>
          <w:rFonts w:cs="Times New Roman"/>
          <w:sz w:val="24"/>
          <w:szCs w:val="24"/>
        </w:rPr>
        <w:t>‘</w:t>
      </w:r>
      <w:r>
        <w:rPr>
          <w:rFonts w:cs="Times New Roman"/>
          <w:sz w:val="24"/>
          <w:szCs w:val="24"/>
        </w:rPr>
        <w:t>Claim for Interim Relief</w:t>
      </w:r>
      <w:r w:rsidR="00C80A92">
        <w:rPr>
          <w:rFonts w:cs="Times New Roman"/>
          <w:sz w:val="24"/>
          <w:szCs w:val="24"/>
        </w:rPr>
        <w:t>’</w:t>
      </w:r>
      <w:r>
        <w:rPr>
          <w:rFonts w:cs="Times New Roman"/>
          <w:sz w:val="24"/>
          <w:szCs w:val="24"/>
        </w:rPr>
        <w:t xml:space="preserve">, the debtor must state any interim orders they seek from the Court. </w:t>
      </w:r>
      <w:r w:rsidR="00953011" w:rsidRPr="00281287">
        <w:rPr>
          <w:rFonts w:cs="Times New Roman"/>
          <w:sz w:val="24"/>
          <w:szCs w:val="24"/>
        </w:rPr>
        <w:t>I</w:t>
      </w:r>
      <w:r w:rsidR="007C052B" w:rsidRPr="00281287">
        <w:rPr>
          <w:rFonts w:cs="Times New Roman"/>
          <w:sz w:val="24"/>
          <w:szCs w:val="24"/>
        </w:rPr>
        <w:t xml:space="preserve">f </w:t>
      </w:r>
      <w:r w:rsidR="003A74D8" w:rsidRPr="00281287">
        <w:rPr>
          <w:rFonts w:cs="Times New Roman"/>
          <w:sz w:val="24"/>
          <w:szCs w:val="24"/>
        </w:rPr>
        <w:t>the debtor is</w:t>
      </w:r>
      <w:r w:rsidR="007C052B" w:rsidRPr="00281287">
        <w:rPr>
          <w:rFonts w:cs="Times New Roman"/>
          <w:sz w:val="24"/>
          <w:szCs w:val="24"/>
        </w:rPr>
        <w:t xml:space="preserve"> seeking an order extendin</w:t>
      </w:r>
      <w:r w:rsidR="00B60026">
        <w:rPr>
          <w:rFonts w:cs="Times New Roman"/>
          <w:sz w:val="24"/>
          <w:szCs w:val="24"/>
        </w:rPr>
        <w:t>g ti</w:t>
      </w:r>
      <w:r w:rsidR="00F67530">
        <w:rPr>
          <w:rFonts w:cs="Times New Roman"/>
          <w:sz w:val="24"/>
          <w:szCs w:val="24"/>
        </w:rPr>
        <w:t>me for compliance with the bankruptcy n</w:t>
      </w:r>
      <w:r w:rsidR="007C052B" w:rsidRPr="00281287">
        <w:rPr>
          <w:rFonts w:cs="Times New Roman"/>
          <w:sz w:val="24"/>
          <w:szCs w:val="24"/>
        </w:rPr>
        <w:t>otice</w:t>
      </w:r>
      <w:r>
        <w:rPr>
          <w:rFonts w:cs="Times New Roman"/>
          <w:sz w:val="24"/>
          <w:szCs w:val="24"/>
        </w:rPr>
        <w:t xml:space="preserve"> until the </w:t>
      </w:r>
      <w:r w:rsidR="0000199D">
        <w:rPr>
          <w:rFonts w:cs="Times New Roman"/>
          <w:sz w:val="24"/>
          <w:szCs w:val="24"/>
        </w:rPr>
        <w:t>application to set aside</w:t>
      </w:r>
      <w:r>
        <w:rPr>
          <w:rFonts w:cs="Times New Roman"/>
          <w:sz w:val="24"/>
          <w:szCs w:val="24"/>
        </w:rPr>
        <w:t xml:space="preserve"> </w:t>
      </w:r>
      <w:r w:rsidR="0000199D">
        <w:rPr>
          <w:rFonts w:cs="Times New Roman"/>
          <w:sz w:val="24"/>
          <w:szCs w:val="24"/>
        </w:rPr>
        <w:t>is heard</w:t>
      </w:r>
      <w:r w:rsidR="007C052B" w:rsidRPr="00281287">
        <w:rPr>
          <w:rFonts w:cs="Times New Roman"/>
          <w:sz w:val="24"/>
          <w:szCs w:val="24"/>
        </w:rPr>
        <w:t xml:space="preserve">, </w:t>
      </w:r>
      <w:r w:rsidR="008C0C2F">
        <w:rPr>
          <w:rFonts w:cs="Times New Roman"/>
          <w:sz w:val="24"/>
          <w:szCs w:val="24"/>
        </w:rPr>
        <w:t>that</w:t>
      </w:r>
      <w:r w:rsidR="008C0C2F" w:rsidRPr="00281287">
        <w:rPr>
          <w:rFonts w:cs="Times New Roman"/>
          <w:sz w:val="24"/>
          <w:szCs w:val="24"/>
        </w:rPr>
        <w:t xml:space="preserve"> </w:t>
      </w:r>
      <w:r w:rsidR="007C052B" w:rsidRPr="00281287">
        <w:rPr>
          <w:rFonts w:cs="Times New Roman"/>
          <w:sz w:val="24"/>
          <w:szCs w:val="24"/>
        </w:rPr>
        <w:t xml:space="preserve">order should be stated in this section. </w:t>
      </w:r>
      <w:r w:rsidR="00A8319E" w:rsidRPr="00281287">
        <w:rPr>
          <w:rFonts w:cs="Times New Roman"/>
          <w:sz w:val="24"/>
          <w:szCs w:val="24"/>
        </w:rPr>
        <w:t xml:space="preserve">For example, </w:t>
      </w:r>
      <w:r w:rsidR="00352E2B">
        <w:rPr>
          <w:rFonts w:cs="Times New Roman"/>
          <w:sz w:val="24"/>
          <w:szCs w:val="24"/>
        </w:rPr>
        <w:t>an</w:t>
      </w:r>
      <w:r w:rsidR="00352E2B" w:rsidRPr="00281287">
        <w:rPr>
          <w:rFonts w:cs="Times New Roman"/>
          <w:sz w:val="24"/>
          <w:szCs w:val="24"/>
        </w:rPr>
        <w:t xml:space="preserve"> </w:t>
      </w:r>
      <w:r w:rsidR="00A8319E" w:rsidRPr="00281287">
        <w:rPr>
          <w:rFonts w:cs="Times New Roman"/>
          <w:sz w:val="24"/>
          <w:szCs w:val="24"/>
        </w:rPr>
        <w:t xml:space="preserve">Applicant </w:t>
      </w:r>
      <w:r w:rsidR="00352E2B">
        <w:rPr>
          <w:rFonts w:cs="Times New Roman"/>
          <w:sz w:val="24"/>
          <w:szCs w:val="24"/>
        </w:rPr>
        <w:t>may</w:t>
      </w:r>
      <w:r w:rsidR="00352E2B" w:rsidRPr="00281287">
        <w:rPr>
          <w:rFonts w:cs="Times New Roman"/>
          <w:sz w:val="24"/>
          <w:szCs w:val="24"/>
        </w:rPr>
        <w:t xml:space="preserve"> </w:t>
      </w:r>
      <w:r w:rsidR="00A8319E" w:rsidRPr="00281287">
        <w:rPr>
          <w:rFonts w:cs="Times New Roman"/>
          <w:sz w:val="24"/>
          <w:szCs w:val="24"/>
        </w:rPr>
        <w:t>claim interim relief</w:t>
      </w:r>
      <w:r w:rsidR="00352E2B">
        <w:rPr>
          <w:rFonts w:cs="Times New Roman"/>
          <w:sz w:val="24"/>
          <w:szCs w:val="24"/>
        </w:rPr>
        <w:t xml:space="preserve"> in these terms</w:t>
      </w:r>
      <w:r w:rsidR="00A8319E" w:rsidRPr="00281287">
        <w:rPr>
          <w:rFonts w:cs="Times New Roman"/>
          <w:sz w:val="24"/>
          <w:szCs w:val="24"/>
        </w:rPr>
        <w:t>:</w:t>
      </w:r>
    </w:p>
    <w:p w:rsidR="00A8319E" w:rsidRPr="00281287" w:rsidRDefault="00D02289" w:rsidP="00AA741D">
      <w:pPr>
        <w:pStyle w:val="ListParagraph"/>
        <w:numPr>
          <w:ilvl w:val="0"/>
          <w:numId w:val="19"/>
        </w:numPr>
        <w:spacing w:after="240"/>
        <w:ind w:hanging="578"/>
        <w:contextualSpacing w:val="0"/>
        <w:jc w:val="both"/>
        <w:rPr>
          <w:rFonts w:cs="Times New Roman"/>
          <w:sz w:val="24"/>
          <w:szCs w:val="24"/>
        </w:rPr>
      </w:pPr>
      <w:r w:rsidRPr="00281287">
        <w:rPr>
          <w:rFonts w:cs="Times New Roman"/>
          <w:sz w:val="24"/>
          <w:szCs w:val="24"/>
        </w:rPr>
        <w:t>That t</w:t>
      </w:r>
      <w:r w:rsidR="003A74D8" w:rsidRPr="00281287">
        <w:rPr>
          <w:rFonts w:cs="Times New Roman"/>
          <w:sz w:val="24"/>
          <w:szCs w:val="24"/>
        </w:rPr>
        <w:t>ime</w:t>
      </w:r>
      <w:r w:rsidR="00A8319E" w:rsidRPr="00281287">
        <w:rPr>
          <w:rFonts w:cs="Times New Roman"/>
          <w:sz w:val="24"/>
          <w:szCs w:val="24"/>
        </w:rPr>
        <w:t xml:space="preserve"> for compliance with Bankruptcy Notice Number BN [</w:t>
      </w:r>
      <w:r w:rsidR="00A8319E" w:rsidRPr="00C2510A">
        <w:rPr>
          <w:rFonts w:cs="Times New Roman"/>
          <w:i/>
          <w:sz w:val="24"/>
          <w:szCs w:val="24"/>
        </w:rPr>
        <w:t>insert</w:t>
      </w:r>
      <w:r w:rsidR="00A8319E" w:rsidRPr="00281287">
        <w:rPr>
          <w:rFonts w:cs="Times New Roman"/>
          <w:sz w:val="24"/>
          <w:szCs w:val="24"/>
        </w:rPr>
        <w:t>] issued on [</w:t>
      </w:r>
      <w:r w:rsidR="00A8319E" w:rsidRPr="00C2510A">
        <w:rPr>
          <w:rFonts w:cs="Times New Roman"/>
          <w:i/>
          <w:sz w:val="24"/>
          <w:szCs w:val="24"/>
        </w:rPr>
        <w:t>insert</w:t>
      </w:r>
      <w:r w:rsidR="00A8319E" w:rsidRPr="00281287">
        <w:rPr>
          <w:rFonts w:cs="Times New Roman"/>
          <w:sz w:val="24"/>
          <w:szCs w:val="24"/>
        </w:rPr>
        <w:t xml:space="preserve">] which was </w:t>
      </w:r>
      <w:r w:rsidR="00A8319E" w:rsidRPr="009367C4">
        <w:rPr>
          <w:sz w:val="24"/>
          <w:szCs w:val="24"/>
        </w:rPr>
        <w:t>served</w:t>
      </w:r>
      <w:r w:rsidR="00A8319E" w:rsidRPr="00281287">
        <w:rPr>
          <w:rFonts w:cs="Times New Roman"/>
          <w:sz w:val="24"/>
          <w:szCs w:val="24"/>
        </w:rPr>
        <w:t xml:space="preserve"> on me on [</w:t>
      </w:r>
      <w:r w:rsidR="00A8319E" w:rsidRPr="00C2510A">
        <w:rPr>
          <w:rFonts w:cs="Times New Roman"/>
          <w:i/>
          <w:sz w:val="24"/>
          <w:szCs w:val="24"/>
        </w:rPr>
        <w:t>insert</w:t>
      </w:r>
      <w:r w:rsidR="00A8319E" w:rsidRPr="00281287">
        <w:rPr>
          <w:rFonts w:cs="Times New Roman"/>
          <w:sz w:val="24"/>
          <w:szCs w:val="24"/>
        </w:rPr>
        <w:t xml:space="preserve">] </w:t>
      </w:r>
      <w:r w:rsidR="003A74D8" w:rsidRPr="00281287">
        <w:rPr>
          <w:rFonts w:cs="Times New Roman"/>
          <w:sz w:val="24"/>
          <w:szCs w:val="24"/>
        </w:rPr>
        <w:t xml:space="preserve">be extended </w:t>
      </w:r>
      <w:r w:rsidR="00A8319E" w:rsidRPr="00281287">
        <w:rPr>
          <w:rFonts w:cs="Times New Roman"/>
          <w:sz w:val="24"/>
          <w:szCs w:val="24"/>
        </w:rPr>
        <w:t>up to and including [</w:t>
      </w:r>
      <w:r w:rsidR="00A8319E" w:rsidRPr="00C2510A">
        <w:rPr>
          <w:rFonts w:cs="Times New Roman"/>
          <w:i/>
          <w:sz w:val="24"/>
          <w:szCs w:val="24"/>
        </w:rPr>
        <w:t>insert</w:t>
      </w:r>
      <w:r w:rsidR="00A8319E" w:rsidRPr="00281287">
        <w:rPr>
          <w:rFonts w:cs="Times New Roman"/>
          <w:sz w:val="24"/>
          <w:szCs w:val="24"/>
        </w:rPr>
        <w:t>].</w:t>
      </w:r>
    </w:p>
    <w:p w:rsidR="00352E2B" w:rsidRDefault="00F874D7" w:rsidP="00352E2B">
      <w:pPr>
        <w:pStyle w:val="ListParagraph"/>
        <w:numPr>
          <w:ilvl w:val="1"/>
          <w:numId w:val="35"/>
        </w:numPr>
        <w:spacing w:after="240"/>
        <w:ind w:left="709" w:hanging="709"/>
        <w:contextualSpacing w:val="0"/>
        <w:jc w:val="both"/>
        <w:rPr>
          <w:rFonts w:cs="Times New Roman"/>
          <w:sz w:val="24"/>
          <w:szCs w:val="24"/>
        </w:rPr>
      </w:pPr>
      <w:r>
        <w:rPr>
          <w:rFonts w:cs="Times New Roman"/>
          <w:sz w:val="24"/>
          <w:szCs w:val="24"/>
        </w:rPr>
        <w:t>Where such interim relief is sought, the</w:t>
      </w:r>
      <w:r w:rsidR="00352E2B" w:rsidRPr="00352E2B">
        <w:rPr>
          <w:rFonts w:cs="Times New Roman"/>
          <w:sz w:val="24"/>
          <w:szCs w:val="24"/>
        </w:rPr>
        <w:t xml:space="preserve"> Applicant should also </w:t>
      </w:r>
      <w:r w:rsidR="000C353E">
        <w:rPr>
          <w:rFonts w:cs="Times New Roman"/>
          <w:sz w:val="24"/>
          <w:szCs w:val="24"/>
        </w:rPr>
        <w:t>state</w:t>
      </w:r>
      <w:r w:rsidR="00352E2B" w:rsidRPr="00352E2B">
        <w:rPr>
          <w:rFonts w:cs="Times New Roman"/>
          <w:sz w:val="24"/>
          <w:szCs w:val="24"/>
        </w:rPr>
        <w:t xml:space="preserve"> the legislative basis of the Court’</w:t>
      </w:r>
      <w:r w:rsidR="00352E2B" w:rsidRPr="00654CDE">
        <w:rPr>
          <w:rFonts w:cs="Times New Roman"/>
          <w:sz w:val="24"/>
          <w:szCs w:val="24"/>
        </w:rPr>
        <w:t xml:space="preserve">s jurisdiction to make </w:t>
      </w:r>
      <w:r w:rsidR="00F26EA8">
        <w:rPr>
          <w:rFonts w:cs="Times New Roman"/>
          <w:sz w:val="24"/>
          <w:szCs w:val="24"/>
        </w:rPr>
        <w:t>an</w:t>
      </w:r>
      <w:r w:rsidR="00352E2B" w:rsidRPr="00654CDE">
        <w:rPr>
          <w:rFonts w:cs="Times New Roman"/>
          <w:sz w:val="24"/>
          <w:szCs w:val="24"/>
        </w:rPr>
        <w:t xml:space="preserve"> order extending time</w:t>
      </w:r>
      <w:r w:rsidR="00F26EA8">
        <w:rPr>
          <w:rFonts w:cs="Times New Roman"/>
          <w:sz w:val="24"/>
          <w:szCs w:val="24"/>
        </w:rPr>
        <w:t xml:space="preserve"> for com</w:t>
      </w:r>
      <w:r w:rsidR="003509ED">
        <w:rPr>
          <w:rFonts w:cs="Times New Roman"/>
          <w:sz w:val="24"/>
          <w:szCs w:val="24"/>
        </w:rPr>
        <w:t>pliance with the bankruptcy n</w:t>
      </w:r>
      <w:r w:rsidR="00F26EA8">
        <w:rPr>
          <w:rFonts w:cs="Times New Roman"/>
          <w:sz w:val="24"/>
          <w:szCs w:val="24"/>
        </w:rPr>
        <w:t>otice</w:t>
      </w:r>
      <w:r w:rsidR="00352E2B" w:rsidRPr="00654CDE">
        <w:rPr>
          <w:rFonts w:cs="Times New Roman"/>
          <w:sz w:val="24"/>
          <w:szCs w:val="24"/>
        </w:rPr>
        <w:t>. For example</w:t>
      </w:r>
      <w:r w:rsidR="00352E2B">
        <w:rPr>
          <w:rFonts w:cs="Times New Roman"/>
          <w:sz w:val="24"/>
          <w:szCs w:val="24"/>
        </w:rPr>
        <w:t>:</w:t>
      </w:r>
    </w:p>
    <w:p w:rsidR="00844234" w:rsidRPr="00400507" w:rsidRDefault="00844234" w:rsidP="0099229B">
      <w:pPr>
        <w:pStyle w:val="ListParagraph"/>
        <w:numPr>
          <w:ilvl w:val="0"/>
          <w:numId w:val="19"/>
        </w:numPr>
        <w:spacing w:after="240"/>
        <w:contextualSpacing w:val="0"/>
        <w:jc w:val="both"/>
        <w:rPr>
          <w:rFonts w:cs="Times New Roman"/>
          <w:sz w:val="24"/>
          <w:szCs w:val="24"/>
        </w:rPr>
      </w:pPr>
      <w:r w:rsidRPr="00C2510A">
        <w:rPr>
          <w:rFonts w:cs="Times New Roman"/>
          <w:sz w:val="24"/>
          <w:szCs w:val="24"/>
        </w:rPr>
        <w:t>where the extension is sought on the basis that proceedings have been commenced to set aside or appeal the judgment attached to the notice, the debtor should ask for time to be extended under s</w:t>
      </w:r>
      <w:r w:rsidR="00792780">
        <w:rPr>
          <w:rFonts w:cs="Times New Roman"/>
          <w:sz w:val="24"/>
          <w:szCs w:val="24"/>
        </w:rPr>
        <w:t xml:space="preserve"> </w:t>
      </w:r>
      <w:r w:rsidRPr="00C2510A">
        <w:rPr>
          <w:rFonts w:cs="Times New Roman"/>
          <w:sz w:val="24"/>
          <w:szCs w:val="24"/>
        </w:rPr>
        <w:t>41(6A)(a) of the</w:t>
      </w:r>
      <w:r w:rsidRPr="008B6C29">
        <w:rPr>
          <w:rFonts w:cs="Times New Roman"/>
          <w:sz w:val="24"/>
          <w:szCs w:val="24"/>
        </w:rPr>
        <w:t xml:space="preserve"> Bankruptcy Act</w:t>
      </w:r>
      <w:r w:rsidR="0099229B">
        <w:rPr>
          <w:rFonts w:cs="Times New Roman"/>
          <w:sz w:val="24"/>
          <w:szCs w:val="24"/>
        </w:rPr>
        <w:t>,</w:t>
      </w:r>
      <w:r w:rsidR="002A6E1F" w:rsidRPr="00400507">
        <w:rPr>
          <w:rFonts w:cs="Times New Roman"/>
          <w:sz w:val="24"/>
          <w:szCs w:val="24"/>
        </w:rPr>
        <w:t xml:space="preserve"> </w:t>
      </w:r>
      <w:r w:rsidR="0000199D">
        <w:rPr>
          <w:rFonts w:cs="Times New Roman"/>
          <w:sz w:val="24"/>
          <w:szCs w:val="24"/>
        </w:rPr>
        <w:t>and</w:t>
      </w:r>
    </w:p>
    <w:p w:rsidR="0099229B" w:rsidRDefault="00844234" w:rsidP="0099229B">
      <w:pPr>
        <w:pStyle w:val="ListParagraph"/>
        <w:numPr>
          <w:ilvl w:val="0"/>
          <w:numId w:val="19"/>
        </w:numPr>
        <w:spacing w:after="240"/>
        <w:jc w:val="both"/>
        <w:rPr>
          <w:rFonts w:cs="Times New Roman"/>
          <w:sz w:val="24"/>
          <w:szCs w:val="24"/>
        </w:rPr>
      </w:pPr>
      <w:r w:rsidRPr="0099229B">
        <w:rPr>
          <w:rFonts w:cs="Times New Roman"/>
          <w:sz w:val="24"/>
          <w:szCs w:val="24"/>
        </w:rPr>
        <w:t>where an extension is sough</w:t>
      </w:r>
      <w:r w:rsidR="00F874D7" w:rsidRPr="0099229B">
        <w:rPr>
          <w:rFonts w:cs="Times New Roman"/>
          <w:sz w:val="24"/>
          <w:szCs w:val="24"/>
        </w:rPr>
        <w:t xml:space="preserve">t on </w:t>
      </w:r>
      <w:r w:rsidR="003509ED">
        <w:rPr>
          <w:rFonts w:cs="Times New Roman"/>
          <w:sz w:val="24"/>
          <w:szCs w:val="24"/>
        </w:rPr>
        <w:t>the basis that the bankruptcy n</w:t>
      </w:r>
      <w:r w:rsidR="0000199D" w:rsidRPr="0099229B">
        <w:rPr>
          <w:rFonts w:cs="Times New Roman"/>
          <w:sz w:val="24"/>
          <w:szCs w:val="24"/>
        </w:rPr>
        <w:t xml:space="preserve">otice be set aside on </w:t>
      </w:r>
      <w:r w:rsidR="00C80A92">
        <w:rPr>
          <w:rFonts w:cs="Times New Roman"/>
          <w:sz w:val="24"/>
          <w:szCs w:val="24"/>
        </w:rPr>
        <w:t>‘</w:t>
      </w:r>
      <w:r w:rsidRPr="0099229B">
        <w:rPr>
          <w:rFonts w:cs="Times New Roman"/>
          <w:sz w:val="24"/>
          <w:szCs w:val="24"/>
        </w:rPr>
        <w:t>other grounds</w:t>
      </w:r>
      <w:r w:rsidR="00C80A92">
        <w:rPr>
          <w:rFonts w:cs="Times New Roman"/>
          <w:sz w:val="24"/>
          <w:szCs w:val="24"/>
        </w:rPr>
        <w:t>’</w:t>
      </w:r>
      <w:r w:rsidRPr="0099229B">
        <w:rPr>
          <w:rFonts w:cs="Times New Roman"/>
          <w:sz w:val="24"/>
          <w:szCs w:val="24"/>
        </w:rPr>
        <w:t>, the debtor should ask for time to be extended under s</w:t>
      </w:r>
      <w:r w:rsidR="00792780" w:rsidRPr="0099229B">
        <w:rPr>
          <w:rFonts w:cs="Times New Roman"/>
          <w:sz w:val="24"/>
          <w:szCs w:val="24"/>
        </w:rPr>
        <w:t xml:space="preserve"> </w:t>
      </w:r>
      <w:r w:rsidRPr="0099229B">
        <w:rPr>
          <w:rFonts w:cs="Times New Roman"/>
          <w:sz w:val="24"/>
          <w:szCs w:val="24"/>
        </w:rPr>
        <w:t>41(6A)(b)</w:t>
      </w:r>
      <w:r w:rsidR="00FE71A8" w:rsidRPr="0099229B">
        <w:rPr>
          <w:rFonts w:cs="Times New Roman"/>
          <w:sz w:val="24"/>
          <w:szCs w:val="24"/>
        </w:rPr>
        <w:t xml:space="preserve"> of the Bankruptcy Act.</w:t>
      </w:r>
      <w:r w:rsidR="00830622" w:rsidRPr="0099229B">
        <w:rPr>
          <w:rFonts w:cs="Times New Roman"/>
          <w:sz w:val="24"/>
          <w:szCs w:val="24"/>
        </w:rPr>
        <w:t xml:space="preserve"> </w:t>
      </w:r>
    </w:p>
    <w:p w:rsidR="00830622" w:rsidRPr="0099229B" w:rsidRDefault="00830622" w:rsidP="0099229B">
      <w:pPr>
        <w:spacing w:after="240"/>
        <w:ind w:left="927"/>
        <w:jc w:val="both"/>
        <w:rPr>
          <w:rFonts w:cs="Times New Roman"/>
          <w:sz w:val="24"/>
          <w:szCs w:val="24"/>
        </w:rPr>
      </w:pPr>
      <w:r w:rsidRPr="0099229B">
        <w:rPr>
          <w:rFonts w:cs="Times New Roman"/>
          <w:sz w:val="24"/>
          <w:szCs w:val="24"/>
        </w:rPr>
        <w:t>Note that time is extended by s</w:t>
      </w:r>
      <w:r w:rsidR="00792780" w:rsidRPr="0099229B">
        <w:rPr>
          <w:rFonts w:cs="Times New Roman"/>
          <w:sz w:val="24"/>
          <w:szCs w:val="24"/>
        </w:rPr>
        <w:t xml:space="preserve"> </w:t>
      </w:r>
      <w:r w:rsidRPr="0099229B">
        <w:rPr>
          <w:rFonts w:cs="Times New Roman"/>
          <w:sz w:val="24"/>
          <w:szCs w:val="24"/>
        </w:rPr>
        <w:t xml:space="preserve">41(7) </w:t>
      </w:r>
      <w:r w:rsidR="00FE71A8" w:rsidRPr="0099229B">
        <w:rPr>
          <w:rFonts w:cs="Times New Roman"/>
          <w:sz w:val="24"/>
          <w:szCs w:val="24"/>
        </w:rPr>
        <w:t xml:space="preserve">of the Bankruptcy Act </w:t>
      </w:r>
      <w:r w:rsidRPr="0099229B">
        <w:rPr>
          <w:rFonts w:cs="Times New Roman"/>
          <w:sz w:val="24"/>
          <w:szCs w:val="24"/>
        </w:rPr>
        <w:t xml:space="preserve">where the debtor has a counter claim, set off or cross demand; (see paragraph [3.11] of this document). </w:t>
      </w:r>
    </w:p>
    <w:p w:rsidR="00DF41F1" w:rsidRPr="00654CDE" w:rsidRDefault="00DF41F1" w:rsidP="00352E2B">
      <w:pPr>
        <w:pStyle w:val="ListParagraph"/>
        <w:numPr>
          <w:ilvl w:val="1"/>
          <w:numId w:val="35"/>
        </w:numPr>
        <w:spacing w:after="240"/>
        <w:ind w:left="709" w:hanging="709"/>
        <w:contextualSpacing w:val="0"/>
        <w:jc w:val="both"/>
        <w:rPr>
          <w:rFonts w:cs="Times New Roman"/>
          <w:sz w:val="24"/>
          <w:szCs w:val="24"/>
        </w:rPr>
      </w:pPr>
      <w:r w:rsidRPr="00352E2B">
        <w:rPr>
          <w:rFonts w:cs="Times New Roman"/>
          <w:sz w:val="24"/>
          <w:szCs w:val="24"/>
        </w:rPr>
        <w:t xml:space="preserve">The usual practice is for a debtor to </w:t>
      </w:r>
      <w:r w:rsidR="00953011" w:rsidRPr="00352E2B">
        <w:rPr>
          <w:rFonts w:cs="Times New Roman"/>
          <w:sz w:val="24"/>
          <w:szCs w:val="24"/>
        </w:rPr>
        <w:t>seek orders</w:t>
      </w:r>
      <w:r w:rsidRPr="00352E2B">
        <w:rPr>
          <w:rFonts w:cs="Times New Roman"/>
          <w:sz w:val="24"/>
          <w:szCs w:val="24"/>
        </w:rPr>
        <w:t xml:space="preserve"> under both </w:t>
      </w:r>
      <w:r w:rsidR="00C80A92">
        <w:rPr>
          <w:rFonts w:cs="Times New Roman"/>
          <w:sz w:val="24"/>
          <w:szCs w:val="24"/>
        </w:rPr>
        <w:t>‘</w:t>
      </w:r>
      <w:r w:rsidRPr="00352E2B">
        <w:rPr>
          <w:rFonts w:cs="Times New Roman"/>
          <w:sz w:val="24"/>
          <w:szCs w:val="24"/>
        </w:rPr>
        <w:t>Details of Claim</w:t>
      </w:r>
      <w:r w:rsidR="00C80A92">
        <w:rPr>
          <w:rFonts w:cs="Times New Roman"/>
          <w:sz w:val="24"/>
          <w:szCs w:val="24"/>
        </w:rPr>
        <w:t>’</w:t>
      </w:r>
      <w:r w:rsidRPr="00352E2B">
        <w:rPr>
          <w:rFonts w:cs="Times New Roman"/>
          <w:sz w:val="24"/>
          <w:szCs w:val="24"/>
        </w:rPr>
        <w:t xml:space="preserve"> and </w:t>
      </w:r>
      <w:r w:rsidR="00C80A92">
        <w:rPr>
          <w:rFonts w:cs="Times New Roman"/>
          <w:sz w:val="24"/>
          <w:szCs w:val="24"/>
        </w:rPr>
        <w:t>‘</w:t>
      </w:r>
      <w:r w:rsidRPr="00352E2B">
        <w:rPr>
          <w:rFonts w:cs="Times New Roman"/>
          <w:sz w:val="24"/>
          <w:szCs w:val="24"/>
        </w:rPr>
        <w:t>Claim for Interim Relief</w:t>
      </w:r>
      <w:r w:rsidR="00C80A92">
        <w:rPr>
          <w:rFonts w:cs="Times New Roman"/>
          <w:sz w:val="24"/>
          <w:szCs w:val="24"/>
        </w:rPr>
        <w:t>’</w:t>
      </w:r>
      <w:r w:rsidRPr="00352E2B">
        <w:rPr>
          <w:rFonts w:cs="Times New Roman"/>
          <w:sz w:val="24"/>
          <w:szCs w:val="24"/>
        </w:rPr>
        <w:t>.</w:t>
      </w:r>
    </w:p>
    <w:p w:rsidR="00A8319E" w:rsidRPr="00281287" w:rsidRDefault="007C052B" w:rsidP="00AA741D">
      <w:pPr>
        <w:pStyle w:val="ListParagraph"/>
        <w:numPr>
          <w:ilvl w:val="1"/>
          <w:numId w:val="35"/>
        </w:numPr>
        <w:spacing w:after="240"/>
        <w:ind w:left="709" w:hanging="709"/>
        <w:contextualSpacing w:val="0"/>
        <w:jc w:val="both"/>
        <w:rPr>
          <w:rFonts w:cs="Times New Roman"/>
          <w:sz w:val="24"/>
          <w:szCs w:val="24"/>
        </w:rPr>
      </w:pPr>
      <w:r w:rsidRPr="00281287">
        <w:rPr>
          <w:rFonts w:cs="Times New Roman"/>
          <w:sz w:val="24"/>
          <w:szCs w:val="24"/>
        </w:rPr>
        <w:t xml:space="preserve">The balance of the </w:t>
      </w:r>
      <w:hyperlink r:id="rId19" w:anchor="formB2" w:history="1">
        <w:r w:rsidR="00F26EA8" w:rsidRPr="008B6C29">
          <w:rPr>
            <w:rStyle w:val="Hyperlink"/>
            <w:rFonts w:asciiTheme="minorHAnsi" w:hAnsiTheme="minorHAnsi" w:cs="Times New Roman"/>
            <w:sz w:val="24"/>
            <w:szCs w:val="24"/>
          </w:rPr>
          <w:t>Form B2</w:t>
        </w:r>
      </w:hyperlink>
      <w:r w:rsidR="00F26EA8" w:rsidRPr="00281287">
        <w:rPr>
          <w:rFonts w:cs="Times New Roman"/>
          <w:sz w:val="24"/>
          <w:szCs w:val="24"/>
        </w:rPr>
        <w:t xml:space="preserve"> </w:t>
      </w:r>
      <w:r w:rsidRPr="00281287">
        <w:rPr>
          <w:rFonts w:cs="Times New Roman"/>
          <w:sz w:val="24"/>
          <w:szCs w:val="24"/>
        </w:rPr>
        <w:t xml:space="preserve">must be completed in full, signed and dated. </w:t>
      </w:r>
      <w:r w:rsidR="00A8319E" w:rsidRPr="00281287">
        <w:rPr>
          <w:rFonts w:cs="Times New Roman"/>
          <w:sz w:val="24"/>
          <w:szCs w:val="24"/>
        </w:rPr>
        <w:t xml:space="preserve">The form does not need to be witnessed. </w:t>
      </w:r>
      <w:r w:rsidR="003A74D8" w:rsidRPr="00281287">
        <w:rPr>
          <w:rFonts w:cs="Times New Roman"/>
          <w:sz w:val="24"/>
          <w:szCs w:val="24"/>
        </w:rPr>
        <w:t>The debtor</w:t>
      </w:r>
      <w:r w:rsidR="00A8319E" w:rsidRPr="00281287">
        <w:rPr>
          <w:rFonts w:cs="Times New Roman"/>
          <w:sz w:val="24"/>
          <w:szCs w:val="24"/>
        </w:rPr>
        <w:t xml:space="preserve"> should also insert at the footer of the form </w:t>
      </w:r>
      <w:r w:rsidR="003A74D8" w:rsidRPr="00281287">
        <w:rPr>
          <w:rFonts w:cs="Times New Roman"/>
          <w:sz w:val="24"/>
          <w:szCs w:val="24"/>
        </w:rPr>
        <w:t>their</w:t>
      </w:r>
      <w:r w:rsidR="00A8319E" w:rsidRPr="00281287">
        <w:rPr>
          <w:rFonts w:cs="Times New Roman"/>
          <w:sz w:val="24"/>
          <w:szCs w:val="24"/>
        </w:rPr>
        <w:t xml:space="preserve"> contact details, </w:t>
      </w:r>
      <w:r w:rsidR="00B23F4F" w:rsidRPr="00281287">
        <w:rPr>
          <w:rFonts w:cs="Times New Roman"/>
          <w:sz w:val="24"/>
          <w:szCs w:val="24"/>
        </w:rPr>
        <w:t>including</w:t>
      </w:r>
      <w:r w:rsidR="00B23F4F">
        <w:rPr>
          <w:rFonts w:cs="Times New Roman"/>
          <w:sz w:val="24"/>
          <w:szCs w:val="24"/>
        </w:rPr>
        <w:t xml:space="preserve"> (</w:t>
      </w:r>
      <w:r w:rsidR="00FD5729" w:rsidRPr="00281287">
        <w:rPr>
          <w:rFonts w:cs="Times New Roman"/>
          <w:sz w:val="24"/>
          <w:szCs w:val="24"/>
        </w:rPr>
        <w:t>where available</w:t>
      </w:r>
      <w:r w:rsidR="00C77DB6">
        <w:rPr>
          <w:rFonts w:cs="Times New Roman"/>
          <w:sz w:val="24"/>
          <w:szCs w:val="24"/>
        </w:rPr>
        <w:t>)</w:t>
      </w:r>
      <w:r w:rsidR="00FD5729" w:rsidRPr="00281287">
        <w:rPr>
          <w:rFonts w:cs="Times New Roman"/>
          <w:sz w:val="24"/>
          <w:szCs w:val="24"/>
        </w:rPr>
        <w:t xml:space="preserve"> an email address </w:t>
      </w:r>
      <w:r w:rsidR="00233C10" w:rsidRPr="00281287">
        <w:rPr>
          <w:rFonts w:cs="Times New Roman"/>
          <w:sz w:val="24"/>
          <w:szCs w:val="24"/>
        </w:rPr>
        <w:t xml:space="preserve">for service where documents in the proceedings </w:t>
      </w:r>
      <w:r w:rsidR="00A8319E" w:rsidRPr="00281287">
        <w:rPr>
          <w:rFonts w:cs="Times New Roman"/>
          <w:sz w:val="24"/>
          <w:szCs w:val="24"/>
        </w:rPr>
        <w:t>can be</w:t>
      </w:r>
      <w:r w:rsidR="00233C10" w:rsidRPr="00281287">
        <w:rPr>
          <w:rFonts w:cs="Times New Roman"/>
          <w:sz w:val="24"/>
          <w:szCs w:val="24"/>
        </w:rPr>
        <w:t xml:space="preserve"> posted, delivered or transmitted</w:t>
      </w:r>
      <w:r w:rsidR="00A8319E" w:rsidRPr="00281287">
        <w:rPr>
          <w:rFonts w:cs="Times New Roman"/>
          <w:sz w:val="24"/>
          <w:szCs w:val="24"/>
        </w:rPr>
        <w:t>.</w:t>
      </w:r>
    </w:p>
    <w:p w:rsidR="0089093E" w:rsidRPr="00451184" w:rsidRDefault="004E6748" w:rsidP="00AA741D">
      <w:pPr>
        <w:pStyle w:val="ListParagraph"/>
        <w:numPr>
          <w:ilvl w:val="0"/>
          <w:numId w:val="28"/>
        </w:numPr>
        <w:spacing w:after="240"/>
        <w:ind w:left="709" w:hanging="709"/>
        <w:contextualSpacing w:val="0"/>
        <w:jc w:val="both"/>
        <w:rPr>
          <w:rFonts w:eastAsia="Times New Roman" w:cs="Arial"/>
          <w:b/>
          <w:sz w:val="28"/>
          <w:szCs w:val="28"/>
          <w:lang w:val="en-US" w:eastAsia="en-AU"/>
        </w:rPr>
      </w:pPr>
      <w:r w:rsidRPr="00451184">
        <w:rPr>
          <w:rFonts w:eastAsia="Times New Roman" w:cs="Arial"/>
          <w:b/>
          <w:sz w:val="28"/>
          <w:szCs w:val="28"/>
          <w:lang w:val="en-US" w:eastAsia="en-AU"/>
        </w:rPr>
        <w:t xml:space="preserve">Documents </w:t>
      </w:r>
      <w:r w:rsidR="00F6642A">
        <w:rPr>
          <w:rFonts w:eastAsia="Times New Roman" w:cs="Arial"/>
          <w:b/>
          <w:sz w:val="28"/>
          <w:szCs w:val="28"/>
          <w:lang w:val="en-US" w:eastAsia="en-AU"/>
        </w:rPr>
        <w:t>which should a</w:t>
      </w:r>
      <w:r w:rsidRPr="00451184">
        <w:rPr>
          <w:rFonts w:eastAsia="Times New Roman" w:cs="Arial"/>
          <w:b/>
          <w:sz w:val="28"/>
          <w:szCs w:val="28"/>
          <w:lang w:val="en-US" w:eastAsia="en-AU"/>
        </w:rPr>
        <w:t xml:space="preserve">ccompany </w:t>
      </w:r>
      <w:r w:rsidR="00F6642A">
        <w:rPr>
          <w:rFonts w:eastAsia="Times New Roman" w:cs="Arial"/>
          <w:b/>
          <w:sz w:val="28"/>
          <w:szCs w:val="28"/>
          <w:lang w:val="en-US" w:eastAsia="en-AU"/>
        </w:rPr>
        <w:t>the a</w:t>
      </w:r>
      <w:r w:rsidR="001E3C76">
        <w:rPr>
          <w:rFonts w:eastAsia="Times New Roman" w:cs="Arial"/>
          <w:b/>
          <w:sz w:val="28"/>
          <w:szCs w:val="28"/>
          <w:lang w:val="en-US" w:eastAsia="en-AU"/>
        </w:rPr>
        <w:t>pplication</w:t>
      </w:r>
    </w:p>
    <w:p w:rsidR="00451184" w:rsidRDefault="008A5740" w:rsidP="00AA741D">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An</w:t>
      </w:r>
      <w:r w:rsidR="00451184">
        <w:rPr>
          <w:rFonts w:cs="Times New Roman"/>
          <w:sz w:val="24"/>
          <w:szCs w:val="24"/>
        </w:rPr>
        <w:t xml:space="preserve"> application to set aside a </w:t>
      </w:r>
      <w:r w:rsidR="003509ED">
        <w:rPr>
          <w:rFonts w:cs="Times New Roman"/>
          <w:sz w:val="24"/>
          <w:szCs w:val="24"/>
        </w:rPr>
        <w:t>bankruptcy n</w:t>
      </w:r>
      <w:r w:rsidR="00B60026">
        <w:rPr>
          <w:rFonts w:cs="Times New Roman"/>
          <w:sz w:val="24"/>
          <w:szCs w:val="24"/>
        </w:rPr>
        <w:t>otice</w:t>
      </w:r>
      <w:r w:rsidR="00451184">
        <w:rPr>
          <w:rFonts w:cs="Times New Roman"/>
          <w:sz w:val="24"/>
          <w:szCs w:val="24"/>
        </w:rPr>
        <w:t xml:space="preserve"> and/or extend time for compliance must be accompanied by a supporting affidavit providing</w:t>
      </w:r>
      <w:r w:rsidR="004030CC">
        <w:rPr>
          <w:rFonts w:cs="Times New Roman"/>
          <w:sz w:val="24"/>
          <w:szCs w:val="24"/>
        </w:rPr>
        <w:t xml:space="preserve"> evidence of matters relevant to the particular ground/s relied on.</w:t>
      </w:r>
      <w:r w:rsidR="0065183A">
        <w:rPr>
          <w:rFonts w:cs="Times New Roman"/>
          <w:sz w:val="24"/>
          <w:szCs w:val="24"/>
        </w:rPr>
        <w:t xml:space="preserve"> </w:t>
      </w:r>
    </w:p>
    <w:p w:rsidR="00451184" w:rsidRDefault="00451184" w:rsidP="00451184">
      <w:pPr>
        <w:pStyle w:val="ListParagraph"/>
        <w:numPr>
          <w:ilvl w:val="1"/>
          <w:numId w:val="36"/>
        </w:numPr>
        <w:spacing w:after="240"/>
        <w:ind w:left="709" w:hanging="709"/>
        <w:contextualSpacing w:val="0"/>
        <w:jc w:val="both"/>
        <w:rPr>
          <w:rFonts w:cs="Times New Roman"/>
          <w:sz w:val="24"/>
          <w:szCs w:val="24"/>
        </w:rPr>
      </w:pPr>
      <w:r w:rsidRPr="00281287">
        <w:rPr>
          <w:rFonts w:cs="Times New Roman"/>
          <w:sz w:val="24"/>
          <w:szCs w:val="24"/>
        </w:rPr>
        <w:t>An affidavit is a written form of evidence either sworn or affirmed before a solicitor, Justice of the Peace, Commissioner for Declarations or other authorised person. An affidavit must be divided into numbered paragraphs and must be signed on each</w:t>
      </w:r>
      <w:r w:rsidR="0095091C">
        <w:rPr>
          <w:rFonts w:cs="Times New Roman"/>
          <w:sz w:val="24"/>
          <w:szCs w:val="24"/>
        </w:rPr>
        <w:t xml:space="preserve"> page</w:t>
      </w:r>
      <w:r w:rsidRPr="00281287">
        <w:rPr>
          <w:rFonts w:cs="Times New Roman"/>
          <w:sz w:val="24"/>
          <w:szCs w:val="24"/>
        </w:rPr>
        <w:t>. Any document relevant to the matter may be annexed to the affidavit. Each document that is annexed must have an annexure certificate signed by the person before whom the affidavit is made identifying it as the particular annexure.</w:t>
      </w:r>
    </w:p>
    <w:p w:rsidR="00844234" w:rsidRPr="00C2510A" w:rsidRDefault="00844234" w:rsidP="00C2510A">
      <w:pPr>
        <w:numPr>
          <w:ilvl w:val="1"/>
          <w:numId w:val="36"/>
        </w:numPr>
        <w:spacing w:after="240"/>
        <w:ind w:left="709" w:hanging="709"/>
        <w:jc w:val="both"/>
        <w:rPr>
          <w:rFonts w:cs="Times New Roman"/>
          <w:sz w:val="24"/>
          <w:szCs w:val="24"/>
        </w:rPr>
      </w:pPr>
      <w:r w:rsidRPr="00C2510A">
        <w:rPr>
          <w:rFonts w:cs="Times New Roman"/>
          <w:sz w:val="24"/>
          <w:szCs w:val="24"/>
        </w:rPr>
        <w:t xml:space="preserve">Formal requirements for documents filed in bankruptcy proceedings in the </w:t>
      </w:r>
      <w:r w:rsidR="008B6C29">
        <w:rPr>
          <w:rFonts w:cs="Times New Roman"/>
          <w:sz w:val="24"/>
          <w:szCs w:val="24"/>
        </w:rPr>
        <w:t>Federal Court</w:t>
      </w:r>
      <w:r w:rsidRPr="00C2510A">
        <w:rPr>
          <w:rFonts w:cs="Times New Roman"/>
          <w:sz w:val="24"/>
          <w:szCs w:val="24"/>
        </w:rPr>
        <w:t xml:space="preserve"> are set out in Rule 1.07(5) and </w:t>
      </w:r>
      <w:hyperlink r:id="rId20" w:anchor="formB1" w:history="1">
        <w:r w:rsidRPr="008B6C29">
          <w:rPr>
            <w:rStyle w:val="Hyperlink"/>
            <w:rFonts w:asciiTheme="minorHAnsi" w:hAnsiTheme="minorHAnsi" w:cs="Times New Roman"/>
            <w:sz w:val="24"/>
            <w:szCs w:val="24"/>
          </w:rPr>
          <w:t>Form B1</w:t>
        </w:r>
      </w:hyperlink>
      <w:r w:rsidRPr="00C2510A">
        <w:rPr>
          <w:rFonts w:cs="Times New Roman"/>
          <w:sz w:val="24"/>
          <w:szCs w:val="24"/>
        </w:rPr>
        <w:t xml:space="preserve"> of the Bankruptcy Rules and Rules 2.11 to 2.16 of the Court Rules 2011. Formal require</w:t>
      </w:r>
      <w:r w:rsidR="00105CAA">
        <w:rPr>
          <w:rFonts w:cs="Times New Roman"/>
          <w:sz w:val="24"/>
          <w:szCs w:val="24"/>
        </w:rPr>
        <w:t>ments for a</w:t>
      </w:r>
      <w:r w:rsidRPr="00C2510A">
        <w:rPr>
          <w:rFonts w:cs="Times New Roman"/>
          <w:sz w:val="24"/>
          <w:szCs w:val="24"/>
        </w:rPr>
        <w:t xml:space="preserve">ffidavits filed in the </w:t>
      </w:r>
      <w:r w:rsidR="009367C4">
        <w:rPr>
          <w:rFonts w:cs="Times New Roman"/>
          <w:sz w:val="24"/>
          <w:szCs w:val="24"/>
        </w:rPr>
        <w:t xml:space="preserve">Court </w:t>
      </w:r>
      <w:r w:rsidRPr="00C2510A">
        <w:rPr>
          <w:rFonts w:cs="Times New Roman"/>
          <w:sz w:val="24"/>
          <w:szCs w:val="24"/>
        </w:rPr>
        <w:t xml:space="preserve">are set out in Rules 29.01 to 29.03 of the Court Rules 2011 but modified to include the heading in approved </w:t>
      </w:r>
      <w:r w:rsidR="00F26EA8">
        <w:rPr>
          <w:rFonts w:cs="Times New Roman"/>
          <w:sz w:val="24"/>
          <w:szCs w:val="24"/>
        </w:rPr>
        <w:t>F</w:t>
      </w:r>
      <w:r w:rsidRPr="00C2510A">
        <w:rPr>
          <w:rFonts w:cs="Times New Roman"/>
          <w:sz w:val="24"/>
          <w:szCs w:val="24"/>
        </w:rPr>
        <w:t>orm B1 prescribed by rule 1.07(5). For forms used in ba</w:t>
      </w:r>
      <w:r w:rsidR="0034348A">
        <w:rPr>
          <w:rFonts w:cs="Times New Roman"/>
          <w:sz w:val="24"/>
          <w:szCs w:val="24"/>
        </w:rPr>
        <w:t xml:space="preserve">nkruptcy proceedings in the Court, </w:t>
      </w:r>
      <w:r w:rsidR="00D83386">
        <w:rPr>
          <w:rFonts w:cs="Times New Roman"/>
          <w:sz w:val="24"/>
          <w:szCs w:val="24"/>
        </w:rPr>
        <w:t xml:space="preserve">refer to </w:t>
      </w:r>
      <w:r w:rsidR="0034348A">
        <w:rPr>
          <w:rFonts w:cs="Times New Roman"/>
          <w:sz w:val="24"/>
          <w:szCs w:val="24"/>
        </w:rPr>
        <w:t xml:space="preserve">the </w:t>
      </w:r>
      <w:hyperlink r:id="rId21" w:history="1">
        <w:r w:rsidR="0034348A" w:rsidRPr="0034348A">
          <w:rPr>
            <w:rStyle w:val="Hyperlink"/>
            <w:rFonts w:asciiTheme="minorHAnsi" w:hAnsiTheme="minorHAnsi" w:cs="Times New Roman"/>
            <w:sz w:val="24"/>
            <w:szCs w:val="24"/>
          </w:rPr>
          <w:t>Bankruptcy Forms</w:t>
        </w:r>
      </w:hyperlink>
      <w:r w:rsidR="0034348A">
        <w:rPr>
          <w:rFonts w:cs="Times New Roman"/>
          <w:sz w:val="24"/>
          <w:szCs w:val="24"/>
        </w:rPr>
        <w:t>.</w:t>
      </w:r>
    </w:p>
    <w:p w:rsidR="00F6642A" w:rsidRDefault="00F6642A" w:rsidP="00C2510A">
      <w:pPr>
        <w:spacing w:after="240"/>
        <w:ind w:left="709"/>
        <w:jc w:val="both"/>
        <w:rPr>
          <w:rFonts w:cs="Times New Roman"/>
          <w:b/>
          <w:i/>
          <w:sz w:val="24"/>
          <w:szCs w:val="24"/>
        </w:rPr>
      </w:pPr>
    </w:p>
    <w:p w:rsidR="008C0C2F" w:rsidRPr="00F6642A" w:rsidRDefault="008C0C2F" w:rsidP="00C2510A">
      <w:pPr>
        <w:spacing w:after="240"/>
        <w:ind w:left="709"/>
        <w:jc w:val="both"/>
        <w:rPr>
          <w:rFonts w:cs="Times New Roman"/>
          <w:b/>
          <w:i/>
          <w:sz w:val="24"/>
          <w:szCs w:val="24"/>
        </w:rPr>
      </w:pPr>
      <w:r w:rsidRPr="00F6642A">
        <w:rPr>
          <w:rFonts w:cs="Times New Roman"/>
          <w:b/>
          <w:i/>
          <w:sz w:val="24"/>
          <w:szCs w:val="24"/>
        </w:rPr>
        <w:t>General requirements</w:t>
      </w:r>
      <w:r w:rsidR="0000199D" w:rsidRPr="00F6642A">
        <w:rPr>
          <w:rFonts w:cs="Times New Roman"/>
          <w:b/>
          <w:i/>
          <w:sz w:val="24"/>
          <w:szCs w:val="24"/>
        </w:rPr>
        <w:t xml:space="preserve"> for the accompanying affidavit</w:t>
      </w:r>
    </w:p>
    <w:p w:rsidR="008C0C2F" w:rsidRDefault="008C0C2F" w:rsidP="001E3C76">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Where an applican</w:t>
      </w:r>
      <w:r w:rsidR="003509ED">
        <w:rPr>
          <w:rFonts w:cs="Times New Roman"/>
          <w:sz w:val="24"/>
          <w:szCs w:val="24"/>
        </w:rPr>
        <w:t>t seeks orders setting aside a b</w:t>
      </w:r>
      <w:r>
        <w:rPr>
          <w:rFonts w:cs="Times New Roman"/>
          <w:sz w:val="24"/>
          <w:szCs w:val="24"/>
        </w:rPr>
        <w:t xml:space="preserve">ankruptcy </w:t>
      </w:r>
      <w:r w:rsidR="003509ED">
        <w:rPr>
          <w:rFonts w:cs="Times New Roman"/>
          <w:sz w:val="24"/>
          <w:szCs w:val="24"/>
        </w:rPr>
        <w:t>n</w:t>
      </w:r>
      <w:r>
        <w:rPr>
          <w:rFonts w:cs="Times New Roman"/>
          <w:sz w:val="24"/>
          <w:szCs w:val="24"/>
        </w:rPr>
        <w:t xml:space="preserve">otice or extending time within which to comply with the notice, rules </w:t>
      </w:r>
      <w:r w:rsidR="001F38C3">
        <w:rPr>
          <w:rFonts w:cs="Times New Roman"/>
          <w:sz w:val="24"/>
          <w:szCs w:val="24"/>
        </w:rPr>
        <w:t xml:space="preserve">3.01, </w:t>
      </w:r>
      <w:r>
        <w:rPr>
          <w:rFonts w:cs="Times New Roman"/>
          <w:sz w:val="24"/>
          <w:szCs w:val="24"/>
        </w:rPr>
        <w:t xml:space="preserve">3.02 and 3.03 </w:t>
      </w:r>
      <w:r w:rsidRPr="0099229B">
        <w:rPr>
          <w:rFonts w:cs="Times New Roman"/>
          <w:sz w:val="24"/>
          <w:szCs w:val="24"/>
        </w:rPr>
        <w:t>of the Bankruptcy Rules</w:t>
      </w:r>
      <w:r w:rsidRPr="00A3179C">
        <w:rPr>
          <w:rFonts w:cs="Times New Roman"/>
          <w:i/>
          <w:sz w:val="24"/>
          <w:szCs w:val="24"/>
        </w:rPr>
        <w:t xml:space="preserve"> </w:t>
      </w:r>
      <w:r>
        <w:rPr>
          <w:rFonts w:cs="Times New Roman"/>
          <w:sz w:val="24"/>
          <w:szCs w:val="24"/>
        </w:rPr>
        <w:t>require that the application be accompanied by an affidavit:</w:t>
      </w:r>
    </w:p>
    <w:p w:rsidR="008C0C2F" w:rsidRPr="00281287" w:rsidRDefault="008C0C2F" w:rsidP="008C0C2F">
      <w:pPr>
        <w:pStyle w:val="ListParagraph"/>
        <w:numPr>
          <w:ilvl w:val="0"/>
          <w:numId w:val="24"/>
        </w:numPr>
        <w:spacing w:after="240"/>
        <w:ind w:left="1134" w:hanging="425"/>
        <w:contextualSpacing w:val="0"/>
        <w:jc w:val="both"/>
        <w:rPr>
          <w:rFonts w:cs="Times New Roman"/>
          <w:sz w:val="24"/>
          <w:szCs w:val="24"/>
        </w:rPr>
      </w:pPr>
      <w:r>
        <w:rPr>
          <w:rFonts w:cs="Times New Roman"/>
          <w:sz w:val="24"/>
          <w:szCs w:val="24"/>
        </w:rPr>
        <w:t>stating t</w:t>
      </w:r>
      <w:r w:rsidRPr="00281287">
        <w:rPr>
          <w:rFonts w:cs="Times New Roman"/>
          <w:sz w:val="24"/>
          <w:szCs w:val="24"/>
        </w:rPr>
        <w:t>he ground</w:t>
      </w:r>
      <w:r w:rsidR="0099229B">
        <w:rPr>
          <w:rFonts w:cs="Times New Roman"/>
          <w:sz w:val="24"/>
          <w:szCs w:val="24"/>
        </w:rPr>
        <w:t>s in support of the application</w:t>
      </w:r>
      <w:r w:rsidRPr="00281287">
        <w:rPr>
          <w:rFonts w:cs="Times New Roman"/>
          <w:sz w:val="24"/>
          <w:szCs w:val="24"/>
        </w:rPr>
        <w:t xml:space="preserve"> </w:t>
      </w:r>
    </w:p>
    <w:p w:rsidR="008C0C2F" w:rsidRPr="00281287" w:rsidRDefault="008C0C2F" w:rsidP="008C0C2F">
      <w:pPr>
        <w:pStyle w:val="ListParagraph"/>
        <w:numPr>
          <w:ilvl w:val="0"/>
          <w:numId w:val="24"/>
        </w:numPr>
        <w:spacing w:after="240"/>
        <w:ind w:left="1134" w:hanging="425"/>
        <w:contextualSpacing w:val="0"/>
        <w:jc w:val="both"/>
        <w:rPr>
          <w:rFonts w:cs="Times New Roman"/>
          <w:sz w:val="24"/>
          <w:szCs w:val="24"/>
        </w:rPr>
      </w:pPr>
      <w:r>
        <w:rPr>
          <w:rFonts w:cs="Times New Roman"/>
          <w:sz w:val="24"/>
          <w:szCs w:val="24"/>
        </w:rPr>
        <w:t>stating t</w:t>
      </w:r>
      <w:r w:rsidR="003509ED">
        <w:rPr>
          <w:rFonts w:cs="Times New Roman"/>
          <w:sz w:val="24"/>
          <w:szCs w:val="24"/>
        </w:rPr>
        <w:t>he date when the b</w:t>
      </w:r>
      <w:r w:rsidR="00B60026">
        <w:rPr>
          <w:rFonts w:cs="Times New Roman"/>
          <w:sz w:val="24"/>
          <w:szCs w:val="24"/>
        </w:rPr>
        <w:t>ank</w:t>
      </w:r>
      <w:r w:rsidR="003509ED">
        <w:rPr>
          <w:rFonts w:cs="Times New Roman"/>
          <w:sz w:val="24"/>
          <w:szCs w:val="24"/>
        </w:rPr>
        <w:t>ruptcy n</w:t>
      </w:r>
      <w:r w:rsidRPr="00281287">
        <w:rPr>
          <w:rFonts w:cs="Times New Roman"/>
          <w:sz w:val="24"/>
          <w:szCs w:val="24"/>
        </w:rPr>
        <w:t>ot</w:t>
      </w:r>
      <w:r w:rsidR="0099229B">
        <w:rPr>
          <w:rFonts w:cs="Times New Roman"/>
          <w:sz w:val="24"/>
          <w:szCs w:val="24"/>
        </w:rPr>
        <w:t>ice was served on the applicant,</w:t>
      </w:r>
      <w:r w:rsidRPr="00281287">
        <w:rPr>
          <w:rFonts w:cs="Times New Roman"/>
          <w:sz w:val="24"/>
          <w:szCs w:val="24"/>
        </w:rPr>
        <w:t xml:space="preserve"> </w:t>
      </w:r>
      <w:r>
        <w:rPr>
          <w:rFonts w:cs="Times New Roman"/>
          <w:sz w:val="24"/>
          <w:szCs w:val="24"/>
        </w:rPr>
        <w:t>and</w:t>
      </w:r>
    </w:p>
    <w:p w:rsidR="008C0C2F" w:rsidRDefault="003509ED" w:rsidP="008C0C2F">
      <w:pPr>
        <w:pStyle w:val="ListParagraph"/>
        <w:numPr>
          <w:ilvl w:val="0"/>
          <w:numId w:val="24"/>
        </w:numPr>
        <w:spacing w:after="240"/>
        <w:ind w:left="1134" w:hanging="425"/>
        <w:contextualSpacing w:val="0"/>
        <w:jc w:val="both"/>
        <w:rPr>
          <w:rFonts w:cs="Times New Roman"/>
          <w:sz w:val="24"/>
          <w:szCs w:val="24"/>
        </w:rPr>
      </w:pPr>
      <w:r>
        <w:rPr>
          <w:rFonts w:cs="Times New Roman"/>
          <w:sz w:val="24"/>
          <w:szCs w:val="24"/>
        </w:rPr>
        <w:t>attaching a copy of the bankruptcy n</w:t>
      </w:r>
      <w:r w:rsidR="008C0C2F">
        <w:rPr>
          <w:rFonts w:cs="Times New Roman"/>
          <w:sz w:val="24"/>
          <w:szCs w:val="24"/>
        </w:rPr>
        <w:t>otice.</w:t>
      </w:r>
    </w:p>
    <w:p w:rsidR="008C0C2F" w:rsidRDefault="001F38C3" w:rsidP="001E3C76">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The</w:t>
      </w:r>
      <w:r w:rsidR="008C0C2F">
        <w:rPr>
          <w:rFonts w:cs="Times New Roman"/>
          <w:sz w:val="24"/>
          <w:szCs w:val="24"/>
        </w:rPr>
        <w:t xml:space="preserve"> applicant should ensure that the grounds relied on are carefully articulated in the </w:t>
      </w:r>
      <w:r w:rsidR="00DD0630">
        <w:rPr>
          <w:rFonts w:cs="Times New Roman"/>
          <w:sz w:val="24"/>
          <w:szCs w:val="24"/>
        </w:rPr>
        <w:t>accompanying</w:t>
      </w:r>
      <w:r w:rsidR="008C0C2F">
        <w:rPr>
          <w:rFonts w:cs="Times New Roman"/>
          <w:sz w:val="24"/>
          <w:szCs w:val="24"/>
        </w:rPr>
        <w:t xml:space="preserve"> affidavit.</w:t>
      </w:r>
    </w:p>
    <w:p w:rsidR="008C0C2F" w:rsidRDefault="001F38C3" w:rsidP="001E3C76">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The</w:t>
      </w:r>
      <w:r w:rsidR="008C0C2F">
        <w:rPr>
          <w:rFonts w:cs="Times New Roman"/>
          <w:sz w:val="24"/>
          <w:szCs w:val="24"/>
        </w:rPr>
        <w:t xml:space="preserve"> applicant should also ensure that the </w:t>
      </w:r>
      <w:r w:rsidR="00DD0630">
        <w:rPr>
          <w:rFonts w:cs="Times New Roman"/>
          <w:sz w:val="24"/>
          <w:szCs w:val="24"/>
        </w:rPr>
        <w:t xml:space="preserve">accompanying </w:t>
      </w:r>
      <w:r w:rsidR="008C0C2F">
        <w:rPr>
          <w:rFonts w:cs="Times New Roman"/>
          <w:sz w:val="24"/>
          <w:szCs w:val="24"/>
        </w:rPr>
        <w:t>affidavit contains material evidence to support the ground</w:t>
      </w:r>
      <w:r w:rsidR="0000199D">
        <w:rPr>
          <w:rFonts w:cs="Times New Roman"/>
          <w:sz w:val="24"/>
          <w:szCs w:val="24"/>
        </w:rPr>
        <w:t xml:space="preserve"> or grounds</w:t>
      </w:r>
      <w:r w:rsidR="008C0C2F">
        <w:rPr>
          <w:rFonts w:cs="Times New Roman"/>
          <w:sz w:val="24"/>
          <w:szCs w:val="24"/>
        </w:rPr>
        <w:t xml:space="preserve"> relied </w:t>
      </w:r>
      <w:r>
        <w:rPr>
          <w:rFonts w:cs="Times New Roman"/>
          <w:sz w:val="24"/>
          <w:szCs w:val="24"/>
        </w:rPr>
        <w:t>on</w:t>
      </w:r>
      <w:r w:rsidR="008C0C2F">
        <w:rPr>
          <w:rFonts w:cs="Times New Roman"/>
          <w:sz w:val="24"/>
          <w:szCs w:val="24"/>
        </w:rPr>
        <w:t>. The Court will not be satisfied by a mere assertion that a ground exists.</w:t>
      </w:r>
    </w:p>
    <w:p w:rsidR="001E3C76" w:rsidRDefault="001F38C3">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 xml:space="preserve">Further to these general requirements, </w:t>
      </w:r>
      <w:r w:rsidR="00E64E53">
        <w:rPr>
          <w:rFonts w:cs="Times New Roman"/>
          <w:sz w:val="24"/>
          <w:szCs w:val="24"/>
        </w:rPr>
        <w:t>rules 3.01, 3.02 and 3.03 also set out the</w:t>
      </w:r>
      <w:r>
        <w:rPr>
          <w:rFonts w:cs="Times New Roman"/>
          <w:sz w:val="24"/>
          <w:szCs w:val="24"/>
        </w:rPr>
        <w:t xml:space="preserve"> specific </w:t>
      </w:r>
      <w:r w:rsidR="0000199D">
        <w:rPr>
          <w:rFonts w:cs="Times New Roman"/>
          <w:sz w:val="24"/>
          <w:szCs w:val="24"/>
        </w:rPr>
        <w:t>requirements for th</w:t>
      </w:r>
      <w:r>
        <w:rPr>
          <w:rFonts w:cs="Times New Roman"/>
          <w:sz w:val="24"/>
          <w:szCs w:val="24"/>
        </w:rPr>
        <w:t>e accompanying affidavit depending on the nature of the grounds asserted.</w:t>
      </w:r>
      <w:r w:rsidR="00E64E53">
        <w:rPr>
          <w:rFonts w:cs="Times New Roman"/>
          <w:sz w:val="24"/>
          <w:szCs w:val="24"/>
        </w:rPr>
        <w:t xml:space="preserve"> There requirements are considered below.</w:t>
      </w:r>
    </w:p>
    <w:p w:rsidR="004030CC" w:rsidRPr="00F6642A" w:rsidRDefault="004030CC" w:rsidP="00C2510A">
      <w:pPr>
        <w:pStyle w:val="ListParagraph"/>
        <w:keepNext/>
        <w:spacing w:after="240"/>
        <w:ind w:left="709"/>
        <w:contextualSpacing w:val="0"/>
        <w:jc w:val="both"/>
        <w:rPr>
          <w:rFonts w:cs="Times New Roman"/>
          <w:b/>
          <w:i/>
          <w:sz w:val="24"/>
          <w:szCs w:val="24"/>
        </w:rPr>
      </w:pPr>
      <w:r w:rsidRPr="00F6642A">
        <w:rPr>
          <w:rFonts w:cs="Times New Roman"/>
          <w:b/>
          <w:i/>
          <w:sz w:val="24"/>
          <w:szCs w:val="24"/>
        </w:rPr>
        <w:t xml:space="preserve">Application for extension of time </w:t>
      </w:r>
      <w:r w:rsidR="001F349C" w:rsidRPr="00F6642A">
        <w:rPr>
          <w:rFonts w:cs="Times New Roman"/>
          <w:b/>
          <w:i/>
          <w:sz w:val="24"/>
          <w:szCs w:val="24"/>
        </w:rPr>
        <w:t xml:space="preserve">on the basis of </w:t>
      </w:r>
      <w:r w:rsidR="00844234" w:rsidRPr="00F6642A">
        <w:rPr>
          <w:rFonts w:cs="Times New Roman"/>
          <w:b/>
          <w:i/>
          <w:sz w:val="24"/>
          <w:szCs w:val="24"/>
        </w:rPr>
        <w:t>proceedings</w:t>
      </w:r>
      <w:r w:rsidR="001F349C" w:rsidRPr="00F6642A">
        <w:rPr>
          <w:rFonts w:cs="Times New Roman"/>
          <w:b/>
          <w:i/>
          <w:sz w:val="24"/>
          <w:szCs w:val="24"/>
        </w:rPr>
        <w:t xml:space="preserve"> to set aside the underlying judgment</w:t>
      </w:r>
      <w:r w:rsidR="0000199D" w:rsidRPr="00F6642A">
        <w:rPr>
          <w:rFonts w:cs="Times New Roman"/>
          <w:b/>
          <w:i/>
          <w:sz w:val="24"/>
          <w:szCs w:val="24"/>
        </w:rPr>
        <w:t xml:space="preserve"> – r 3.02(4)</w:t>
      </w:r>
      <w:r w:rsidR="00A3179C">
        <w:rPr>
          <w:rFonts w:cs="Times New Roman"/>
          <w:b/>
          <w:i/>
          <w:sz w:val="24"/>
          <w:szCs w:val="24"/>
        </w:rPr>
        <w:t xml:space="preserve"> of the Bankruptcy Rules</w:t>
      </w:r>
    </w:p>
    <w:p w:rsidR="001F38C3" w:rsidRDefault="00233C10" w:rsidP="00C2510A">
      <w:pPr>
        <w:pStyle w:val="ListParagraph"/>
        <w:keepNext/>
        <w:numPr>
          <w:ilvl w:val="1"/>
          <w:numId w:val="36"/>
        </w:numPr>
        <w:spacing w:after="240"/>
        <w:ind w:left="709" w:hanging="709"/>
        <w:contextualSpacing w:val="0"/>
        <w:jc w:val="both"/>
        <w:rPr>
          <w:rFonts w:cs="Times New Roman"/>
          <w:sz w:val="24"/>
          <w:szCs w:val="24"/>
        </w:rPr>
      </w:pPr>
      <w:r w:rsidRPr="00C2510A">
        <w:rPr>
          <w:rFonts w:cs="Times New Roman"/>
          <w:sz w:val="24"/>
          <w:szCs w:val="24"/>
        </w:rPr>
        <w:t xml:space="preserve">Where the debtor is asking for </w:t>
      </w:r>
      <w:r w:rsidR="00BA22FB">
        <w:rPr>
          <w:rFonts w:cs="Times New Roman"/>
          <w:sz w:val="24"/>
          <w:szCs w:val="24"/>
        </w:rPr>
        <w:t xml:space="preserve">orders on the basis that </w:t>
      </w:r>
      <w:r w:rsidRPr="00C2510A">
        <w:rPr>
          <w:rFonts w:cs="Times New Roman"/>
          <w:sz w:val="24"/>
          <w:szCs w:val="24"/>
        </w:rPr>
        <w:t>proceedings</w:t>
      </w:r>
      <w:r w:rsidR="00BA22FB">
        <w:rPr>
          <w:rFonts w:cs="Times New Roman"/>
          <w:sz w:val="24"/>
          <w:szCs w:val="24"/>
        </w:rPr>
        <w:t xml:space="preserve"> have been instituted</w:t>
      </w:r>
      <w:r w:rsidRPr="00C2510A">
        <w:rPr>
          <w:rFonts w:cs="Times New Roman"/>
          <w:sz w:val="24"/>
          <w:szCs w:val="24"/>
        </w:rPr>
        <w:t xml:space="preserve"> to set aside the judgment </w:t>
      </w:r>
      <w:r w:rsidR="001F38C3">
        <w:rPr>
          <w:rFonts w:cs="Times New Roman"/>
          <w:sz w:val="24"/>
          <w:szCs w:val="24"/>
        </w:rPr>
        <w:t>u</w:t>
      </w:r>
      <w:r w:rsidR="00BA22FB">
        <w:rPr>
          <w:rFonts w:cs="Times New Roman"/>
          <w:sz w:val="24"/>
          <w:szCs w:val="24"/>
        </w:rPr>
        <w:t xml:space="preserve">nderlying a </w:t>
      </w:r>
      <w:r w:rsidR="003509ED">
        <w:rPr>
          <w:rFonts w:cs="Times New Roman"/>
          <w:sz w:val="24"/>
          <w:szCs w:val="24"/>
        </w:rPr>
        <w:t>bankruptcy no</w:t>
      </w:r>
      <w:r w:rsidR="00B60026">
        <w:rPr>
          <w:rFonts w:cs="Times New Roman"/>
          <w:sz w:val="24"/>
          <w:szCs w:val="24"/>
        </w:rPr>
        <w:t>tice</w:t>
      </w:r>
      <w:r w:rsidRPr="00C2510A">
        <w:rPr>
          <w:rFonts w:cs="Times New Roman"/>
          <w:sz w:val="24"/>
          <w:szCs w:val="24"/>
        </w:rPr>
        <w:t xml:space="preserve">, </w:t>
      </w:r>
      <w:r w:rsidR="001F38C3">
        <w:rPr>
          <w:rFonts w:cs="Times New Roman"/>
          <w:sz w:val="24"/>
          <w:szCs w:val="24"/>
        </w:rPr>
        <w:t>the accompanying affidavit must</w:t>
      </w:r>
      <w:r w:rsidR="00BA22FB">
        <w:rPr>
          <w:rFonts w:cs="Times New Roman"/>
          <w:sz w:val="24"/>
          <w:szCs w:val="24"/>
        </w:rPr>
        <w:t xml:space="preserve"> also</w:t>
      </w:r>
      <w:r w:rsidR="001F38C3">
        <w:rPr>
          <w:rFonts w:cs="Times New Roman"/>
          <w:sz w:val="24"/>
          <w:szCs w:val="24"/>
        </w:rPr>
        <w:t>:</w:t>
      </w:r>
    </w:p>
    <w:p w:rsidR="001F38C3" w:rsidRDefault="001F38C3" w:rsidP="00C2510A">
      <w:pPr>
        <w:pStyle w:val="ListParagraph"/>
        <w:numPr>
          <w:ilvl w:val="0"/>
          <w:numId w:val="50"/>
        </w:numPr>
        <w:spacing w:after="240"/>
        <w:ind w:left="1134" w:hanging="425"/>
        <w:contextualSpacing w:val="0"/>
        <w:jc w:val="both"/>
        <w:rPr>
          <w:rFonts w:cs="Times New Roman"/>
          <w:sz w:val="24"/>
          <w:szCs w:val="24"/>
        </w:rPr>
      </w:pPr>
      <w:r>
        <w:rPr>
          <w:rFonts w:cs="Times New Roman"/>
          <w:sz w:val="24"/>
          <w:szCs w:val="24"/>
        </w:rPr>
        <w:t>attach a copy of the applic</w:t>
      </w:r>
      <w:r w:rsidR="00F6642A">
        <w:rPr>
          <w:rFonts w:cs="Times New Roman"/>
          <w:sz w:val="24"/>
          <w:szCs w:val="24"/>
        </w:rPr>
        <w:t>ation to set aside the judgment,</w:t>
      </w:r>
      <w:r>
        <w:rPr>
          <w:rFonts w:cs="Times New Roman"/>
          <w:sz w:val="24"/>
          <w:szCs w:val="24"/>
        </w:rPr>
        <w:t xml:space="preserve"> and</w:t>
      </w:r>
    </w:p>
    <w:p w:rsidR="00233C10" w:rsidRPr="00C2510A" w:rsidRDefault="00BA22FB" w:rsidP="00C2510A">
      <w:pPr>
        <w:pStyle w:val="ListParagraph"/>
        <w:numPr>
          <w:ilvl w:val="0"/>
          <w:numId w:val="50"/>
        </w:numPr>
        <w:spacing w:after="240"/>
        <w:ind w:left="1134" w:hanging="425"/>
        <w:contextualSpacing w:val="0"/>
        <w:jc w:val="both"/>
        <w:rPr>
          <w:rFonts w:cs="Times New Roman"/>
          <w:sz w:val="24"/>
          <w:szCs w:val="24"/>
        </w:rPr>
      </w:pPr>
      <w:r>
        <w:rPr>
          <w:rFonts w:cs="Times New Roman"/>
          <w:sz w:val="24"/>
          <w:szCs w:val="24"/>
        </w:rPr>
        <w:t>any material in support of that application.</w:t>
      </w:r>
      <w:r w:rsidR="00830622">
        <w:rPr>
          <w:rFonts w:cs="Times New Roman"/>
          <w:sz w:val="24"/>
          <w:szCs w:val="24"/>
        </w:rPr>
        <w:t xml:space="preserve"> </w:t>
      </w:r>
    </w:p>
    <w:p w:rsidR="00830622" w:rsidRDefault="00830622" w:rsidP="00830622">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 xml:space="preserve">The affidavit material must show that the set aside or appeal proceedings have been commenced and the case has raised genuine and arguable grounds which has </w:t>
      </w:r>
      <w:r w:rsidR="00AC2A4B">
        <w:rPr>
          <w:rFonts w:cs="Times New Roman"/>
          <w:sz w:val="24"/>
          <w:szCs w:val="24"/>
        </w:rPr>
        <w:t xml:space="preserve">sufficient </w:t>
      </w:r>
      <w:r>
        <w:rPr>
          <w:rFonts w:cs="Times New Roman"/>
          <w:sz w:val="24"/>
          <w:szCs w:val="24"/>
        </w:rPr>
        <w:t xml:space="preserve">prospects of success.  </w:t>
      </w:r>
    </w:p>
    <w:p w:rsidR="004030CC" w:rsidRPr="00F6642A" w:rsidRDefault="004030CC" w:rsidP="004030CC">
      <w:pPr>
        <w:spacing w:after="240"/>
        <w:ind w:left="709"/>
        <w:jc w:val="both"/>
        <w:rPr>
          <w:rFonts w:cs="Times New Roman"/>
          <w:b/>
          <w:i/>
          <w:sz w:val="24"/>
          <w:szCs w:val="24"/>
        </w:rPr>
      </w:pPr>
      <w:r w:rsidRPr="00F6642A">
        <w:rPr>
          <w:rFonts w:cs="Times New Roman"/>
          <w:b/>
          <w:i/>
          <w:sz w:val="24"/>
          <w:szCs w:val="24"/>
        </w:rPr>
        <w:t xml:space="preserve">Application for set aside on </w:t>
      </w:r>
      <w:r w:rsidR="00C80A92">
        <w:rPr>
          <w:rFonts w:cs="Times New Roman"/>
          <w:b/>
          <w:i/>
          <w:sz w:val="24"/>
          <w:szCs w:val="24"/>
        </w:rPr>
        <w:t>‘</w:t>
      </w:r>
      <w:r w:rsidRPr="00F6642A">
        <w:rPr>
          <w:rFonts w:cs="Times New Roman"/>
          <w:b/>
          <w:i/>
          <w:sz w:val="24"/>
          <w:szCs w:val="24"/>
        </w:rPr>
        <w:t>other grounds</w:t>
      </w:r>
      <w:r w:rsidR="00C80A92">
        <w:rPr>
          <w:rFonts w:cs="Times New Roman"/>
          <w:b/>
          <w:i/>
          <w:sz w:val="24"/>
          <w:szCs w:val="24"/>
        </w:rPr>
        <w:t>’</w:t>
      </w:r>
      <w:r w:rsidR="0000199D" w:rsidRPr="00F6642A">
        <w:rPr>
          <w:rFonts w:cs="Times New Roman"/>
          <w:b/>
          <w:i/>
          <w:sz w:val="24"/>
          <w:szCs w:val="24"/>
        </w:rPr>
        <w:t xml:space="preserve"> – r 3.02</w:t>
      </w:r>
      <w:r w:rsidR="00A3179C">
        <w:rPr>
          <w:rFonts w:cs="Times New Roman"/>
          <w:b/>
          <w:i/>
          <w:sz w:val="24"/>
          <w:szCs w:val="24"/>
        </w:rPr>
        <w:t xml:space="preserve"> of the Bankruptcy Rules</w:t>
      </w:r>
    </w:p>
    <w:p w:rsidR="00074BF8" w:rsidRPr="00281287" w:rsidRDefault="00233C10" w:rsidP="00AA741D">
      <w:pPr>
        <w:pStyle w:val="ListParagraph"/>
        <w:numPr>
          <w:ilvl w:val="1"/>
          <w:numId w:val="36"/>
        </w:numPr>
        <w:spacing w:after="240"/>
        <w:ind w:left="709" w:hanging="709"/>
        <w:contextualSpacing w:val="0"/>
        <w:jc w:val="both"/>
        <w:rPr>
          <w:rFonts w:cs="Times New Roman"/>
          <w:sz w:val="24"/>
          <w:szCs w:val="24"/>
        </w:rPr>
      </w:pPr>
      <w:r w:rsidRPr="00C2510A">
        <w:rPr>
          <w:rFonts w:cs="Times New Roman"/>
          <w:sz w:val="24"/>
          <w:szCs w:val="24"/>
        </w:rPr>
        <w:t xml:space="preserve">Where the debtor is asking </w:t>
      </w:r>
      <w:r w:rsidR="00A57AC6">
        <w:rPr>
          <w:rFonts w:cs="Times New Roman"/>
          <w:sz w:val="24"/>
          <w:szCs w:val="24"/>
        </w:rPr>
        <w:t xml:space="preserve">for orders on the basis that the </w:t>
      </w:r>
      <w:r w:rsidR="00AE0DB0">
        <w:rPr>
          <w:rFonts w:cs="Times New Roman"/>
          <w:sz w:val="24"/>
          <w:szCs w:val="24"/>
        </w:rPr>
        <w:t>bankruptcy n</w:t>
      </w:r>
      <w:r w:rsidR="00B60026">
        <w:rPr>
          <w:rFonts w:cs="Times New Roman"/>
          <w:sz w:val="24"/>
          <w:szCs w:val="24"/>
        </w:rPr>
        <w:t>otice</w:t>
      </w:r>
      <w:r w:rsidR="00CD636E">
        <w:rPr>
          <w:rFonts w:cs="Times New Roman"/>
          <w:sz w:val="24"/>
          <w:szCs w:val="24"/>
        </w:rPr>
        <w:t xml:space="preserve"> be set aside</w:t>
      </w:r>
      <w:r w:rsidR="00074BF8" w:rsidRPr="00C2510A">
        <w:rPr>
          <w:rFonts w:cs="Times New Roman"/>
          <w:sz w:val="24"/>
          <w:szCs w:val="24"/>
        </w:rPr>
        <w:t xml:space="preserve"> on </w:t>
      </w:r>
      <w:r w:rsidR="00C80A92">
        <w:rPr>
          <w:rFonts w:cs="Times New Roman"/>
          <w:sz w:val="24"/>
          <w:szCs w:val="24"/>
        </w:rPr>
        <w:t>‘</w:t>
      </w:r>
      <w:r w:rsidR="00074BF8" w:rsidRPr="00C2510A">
        <w:rPr>
          <w:rFonts w:cs="Times New Roman"/>
          <w:sz w:val="24"/>
          <w:szCs w:val="24"/>
        </w:rPr>
        <w:t>other grounds</w:t>
      </w:r>
      <w:r w:rsidR="00C80A92">
        <w:rPr>
          <w:rFonts w:cs="Times New Roman"/>
          <w:sz w:val="24"/>
          <w:szCs w:val="24"/>
        </w:rPr>
        <w:t>’</w:t>
      </w:r>
      <w:r w:rsidR="004F5B29" w:rsidRPr="00C2510A">
        <w:rPr>
          <w:rFonts w:cs="Times New Roman"/>
          <w:sz w:val="24"/>
          <w:szCs w:val="24"/>
        </w:rPr>
        <w:t>,</w:t>
      </w:r>
      <w:r w:rsidR="00074BF8" w:rsidRPr="00C2510A">
        <w:rPr>
          <w:rFonts w:cs="Times New Roman"/>
          <w:sz w:val="24"/>
          <w:szCs w:val="24"/>
        </w:rPr>
        <w:t xml:space="preserve"> </w:t>
      </w:r>
      <w:r w:rsidR="00BA22FB">
        <w:rPr>
          <w:rFonts w:cs="Times New Roman"/>
          <w:sz w:val="24"/>
          <w:szCs w:val="24"/>
        </w:rPr>
        <w:t xml:space="preserve">the accompanying affidavit </w:t>
      </w:r>
      <w:r w:rsidR="003E0B83">
        <w:rPr>
          <w:rFonts w:cs="Times New Roman"/>
          <w:sz w:val="24"/>
          <w:szCs w:val="24"/>
        </w:rPr>
        <w:t>must</w:t>
      </w:r>
      <w:r w:rsidR="003639B8">
        <w:rPr>
          <w:rFonts w:cs="Times New Roman"/>
          <w:sz w:val="24"/>
          <w:szCs w:val="24"/>
        </w:rPr>
        <w:t xml:space="preserve"> articulate the nature of the </w:t>
      </w:r>
      <w:r w:rsidR="00C80A92">
        <w:rPr>
          <w:rFonts w:cs="Times New Roman"/>
          <w:sz w:val="24"/>
          <w:szCs w:val="24"/>
        </w:rPr>
        <w:t>‘</w:t>
      </w:r>
      <w:r w:rsidR="003639B8">
        <w:rPr>
          <w:rFonts w:cs="Times New Roman"/>
          <w:sz w:val="24"/>
          <w:szCs w:val="24"/>
        </w:rPr>
        <w:t>other grounds</w:t>
      </w:r>
      <w:r w:rsidR="00C80A92">
        <w:rPr>
          <w:rFonts w:cs="Times New Roman"/>
          <w:sz w:val="24"/>
          <w:szCs w:val="24"/>
        </w:rPr>
        <w:t>’</w:t>
      </w:r>
      <w:r w:rsidR="003639B8">
        <w:rPr>
          <w:rFonts w:cs="Times New Roman"/>
          <w:sz w:val="24"/>
          <w:szCs w:val="24"/>
        </w:rPr>
        <w:t xml:space="preserve"> and</w:t>
      </w:r>
      <w:r w:rsidR="00BA22FB">
        <w:rPr>
          <w:rFonts w:cs="Times New Roman"/>
          <w:sz w:val="24"/>
          <w:szCs w:val="24"/>
        </w:rPr>
        <w:t xml:space="preserve"> include any evidence the debtor intends to rely on. </w:t>
      </w:r>
      <w:r w:rsidR="00DD5808">
        <w:rPr>
          <w:rFonts w:cs="Times New Roman"/>
          <w:sz w:val="24"/>
          <w:szCs w:val="24"/>
        </w:rPr>
        <w:t>Some of the common grounds raised are canvassed at paragraph [</w:t>
      </w:r>
      <w:r w:rsidR="0034348A">
        <w:rPr>
          <w:rFonts w:cs="Times New Roman"/>
          <w:sz w:val="24"/>
          <w:szCs w:val="24"/>
        </w:rPr>
        <w:t>3.15</w:t>
      </w:r>
      <w:r w:rsidR="00DD5808">
        <w:rPr>
          <w:rFonts w:cs="Times New Roman"/>
          <w:sz w:val="24"/>
          <w:szCs w:val="24"/>
        </w:rPr>
        <w:t xml:space="preserve">] above.  </w:t>
      </w:r>
    </w:p>
    <w:p w:rsidR="00E60C4F" w:rsidRPr="00F6642A" w:rsidRDefault="00E60C4F" w:rsidP="00C2510A">
      <w:pPr>
        <w:ind w:left="709"/>
        <w:rPr>
          <w:rFonts w:cs="Times New Roman"/>
          <w:b/>
          <w:i/>
          <w:sz w:val="24"/>
          <w:szCs w:val="24"/>
        </w:rPr>
      </w:pPr>
      <w:r w:rsidRPr="00F6642A">
        <w:rPr>
          <w:rFonts w:cs="Times New Roman"/>
          <w:b/>
          <w:i/>
          <w:sz w:val="24"/>
          <w:szCs w:val="24"/>
        </w:rPr>
        <w:t xml:space="preserve">Application </w:t>
      </w:r>
      <w:r w:rsidR="0000199D" w:rsidRPr="00F6642A">
        <w:rPr>
          <w:rFonts w:cs="Times New Roman"/>
          <w:b/>
          <w:i/>
          <w:sz w:val="24"/>
          <w:szCs w:val="24"/>
        </w:rPr>
        <w:t>for set aside on the basis of a cross claim, set off or cross demand – r 3.02(3)</w:t>
      </w:r>
      <w:r w:rsidR="00A3179C">
        <w:rPr>
          <w:rFonts w:cs="Times New Roman"/>
          <w:b/>
          <w:i/>
          <w:sz w:val="24"/>
          <w:szCs w:val="24"/>
        </w:rPr>
        <w:t xml:space="preserve"> of the Bankruptcy Rules</w:t>
      </w:r>
    </w:p>
    <w:p w:rsidR="001410D8" w:rsidRPr="00281287" w:rsidRDefault="00CD636E">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 xml:space="preserve">Where the debtor is asking for the </w:t>
      </w:r>
      <w:r w:rsidR="003509ED">
        <w:rPr>
          <w:rFonts w:cs="Times New Roman"/>
          <w:sz w:val="24"/>
          <w:szCs w:val="24"/>
        </w:rPr>
        <w:t>bankruptcy n</w:t>
      </w:r>
      <w:r w:rsidR="00B60026">
        <w:rPr>
          <w:rFonts w:cs="Times New Roman"/>
          <w:sz w:val="24"/>
          <w:szCs w:val="24"/>
        </w:rPr>
        <w:t>otice</w:t>
      </w:r>
      <w:r>
        <w:rPr>
          <w:rFonts w:cs="Times New Roman"/>
          <w:sz w:val="24"/>
          <w:szCs w:val="24"/>
        </w:rPr>
        <w:t xml:space="preserve"> to be set aside on the basis of a cross claim, set off or cross demand, </w:t>
      </w:r>
      <w:r w:rsidR="001410D8" w:rsidRPr="00281287">
        <w:rPr>
          <w:rFonts w:cs="Times New Roman"/>
          <w:sz w:val="24"/>
          <w:szCs w:val="24"/>
        </w:rPr>
        <w:t>the accompanying affidavit must state (see r</w:t>
      </w:r>
      <w:r w:rsidR="003D2A9A">
        <w:rPr>
          <w:rFonts w:cs="Times New Roman"/>
          <w:sz w:val="24"/>
          <w:szCs w:val="24"/>
        </w:rPr>
        <w:t> </w:t>
      </w:r>
      <w:r w:rsidR="001410D8" w:rsidRPr="00281287">
        <w:rPr>
          <w:rFonts w:cs="Times New Roman"/>
          <w:sz w:val="24"/>
          <w:szCs w:val="24"/>
        </w:rPr>
        <w:t>3.02</w:t>
      </w:r>
      <w:r w:rsidR="00764352" w:rsidRPr="00281287">
        <w:rPr>
          <w:rFonts w:cs="Times New Roman"/>
          <w:sz w:val="24"/>
          <w:szCs w:val="24"/>
        </w:rPr>
        <w:t>(3)</w:t>
      </w:r>
      <w:r w:rsidR="001410D8" w:rsidRPr="00281287">
        <w:rPr>
          <w:rFonts w:cs="Times New Roman"/>
          <w:sz w:val="24"/>
          <w:szCs w:val="24"/>
        </w:rPr>
        <w:t xml:space="preserve"> of the </w:t>
      </w:r>
      <w:r w:rsidR="001410D8" w:rsidRPr="0034348A">
        <w:rPr>
          <w:rFonts w:cs="Times New Roman"/>
          <w:sz w:val="24"/>
          <w:szCs w:val="24"/>
        </w:rPr>
        <w:t>Bankruptcy Rules</w:t>
      </w:r>
      <w:r w:rsidR="001410D8" w:rsidRPr="00281287">
        <w:rPr>
          <w:rFonts w:cs="Times New Roman"/>
          <w:sz w:val="24"/>
          <w:szCs w:val="24"/>
        </w:rPr>
        <w:t>):</w:t>
      </w:r>
    </w:p>
    <w:p w:rsidR="00996F7F" w:rsidRPr="00A65264" w:rsidRDefault="002A6E1F" w:rsidP="00A65264">
      <w:pPr>
        <w:pStyle w:val="ListParagraph"/>
        <w:numPr>
          <w:ilvl w:val="0"/>
          <w:numId w:val="39"/>
        </w:numPr>
        <w:spacing w:after="240"/>
        <w:ind w:left="1134" w:hanging="425"/>
        <w:contextualSpacing w:val="0"/>
        <w:jc w:val="both"/>
        <w:rPr>
          <w:rFonts w:cs="Times New Roman"/>
          <w:sz w:val="24"/>
          <w:szCs w:val="24"/>
        </w:rPr>
      </w:pPr>
      <w:r>
        <w:rPr>
          <w:rFonts w:cs="Times New Roman"/>
          <w:sz w:val="24"/>
          <w:szCs w:val="24"/>
        </w:rPr>
        <w:t>t</w:t>
      </w:r>
      <w:r w:rsidRPr="00281287">
        <w:rPr>
          <w:rFonts w:cs="Times New Roman"/>
          <w:sz w:val="24"/>
          <w:szCs w:val="24"/>
        </w:rPr>
        <w:t xml:space="preserve">he </w:t>
      </w:r>
      <w:r w:rsidR="001410D8" w:rsidRPr="00281287">
        <w:rPr>
          <w:rFonts w:cs="Times New Roman"/>
          <w:sz w:val="24"/>
          <w:szCs w:val="24"/>
        </w:rPr>
        <w:t>full details of the counter</w:t>
      </w:r>
      <w:r w:rsidR="00E7741D">
        <w:rPr>
          <w:rFonts w:cs="Times New Roman"/>
          <w:sz w:val="24"/>
          <w:szCs w:val="24"/>
        </w:rPr>
        <w:t xml:space="preserve"> </w:t>
      </w:r>
      <w:r w:rsidR="001410D8" w:rsidRPr="00281287">
        <w:rPr>
          <w:rFonts w:cs="Times New Roman"/>
          <w:sz w:val="24"/>
          <w:szCs w:val="24"/>
        </w:rPr>
        <w:t>claim, set</w:t>
      </w:r>
      <w:r w:rsidR="00E7741D">
        <w:rPr>
          <w:rFonts w:cs="Times New Roman"/>
          <w:sz w:val="24"/>
          <w:szCs w:val="24"/>
        </w:rPr>
        <w:t xml:space="preserve"> </w:t>
      </w:r>
      <w:r w:rsidR="00ED517B">
        <w:rPr>
          <w:rFonts w:cs="Times New Roman"/>
          <w:sz w:val="24"/>
          <w:szCs w:val="24"/>
        </w:rPr>
        <w:t>off or cross demand</w:t>
      </w:r>
      <w:r w:rsidR="001410D8" w:rsidRPr="00281287">
        <w:rPr>
          <w:rFonts w:cs="Times New Roman"/>
          <w:sz w:val="24"/>
          <w:szCs w:val="24"/>
        </w:rPr>
        <w:t xml:space="preserve"> </w:t>
      </w:r>
    </w:p>
    <w:p w:rsidR="00996F7F" w:rsidRPr="00A65264" w:rsidRDefault="002A6E1F" w:rsidP="00A65264">
      <w:pPr>
        <w:pStyle w:val="ListParagraph"/>
        <w:numPr>
          <w:ilvl w:val="0"/>
          <w:numId w:val="39"/>
        </w:numPr>
        <w:spacing w:after="240"/>
        <w:ind w:left="1134" w:hanging="425"/>
        <w:contextualSpacing w:val="0"/>
        <w:jc w:val="both"/>
        <w:rPr>
          <w:rFonts w:cs="Times New Roman"/>
          <w:sz w:val="24"/>
          <w:szCs w:val="24"/>
        </w:rPr>
      </w:pPr>
      <w:r>
        <w:rPr>
          <w:rFonts w:cs="Times New Roman"/>
          <w:sz w:val="24"/>
          <w:szCs w:val="24"/>
        </w:rPr>
        <w:t>t</w:t>
      </w:r>
      <w:r w:rsidR="001410D8" w:rsidRPr="00281287">
        <w:rPr>
          <w:rFonts w:cs="Times New Roman"/>
          <w:sz w:val="24"/>
          <w:szCs w:val="24"/>
        </w:rPr>
        <w:t>he amount of the counter</w:t>
      </w:r>
      <w:r w:rsidR="00E7741D">
        <w:rPr>
          <w:rFonts w:cs="Times New Roman"/>
          <w:sz w:val="24"/>
          <w:szCs w:val="24"/>
        </w:rPr>
        <w:t xml:space="preserve"> </w:t>
      </w:r>
      <w:r w:rsidR="001410D8" w:rsidRPr="00281287">
        <w:rPr>
          <w:rFonts w:cs="Times New Roman"/>
          <w:sz w:val="24"/>
          <w:szCs w:val="24"/>
        </w:rPr>
        <w:t>claim, set</w:t>
      </w:r>
      <w:r w:rsidR="00E7741D">
        <w:rPr>
          <w:rFonts w:cs="Times New Roman"/>
          <w:sz w:val="24"/>
          <w:szCs w:val="24"/>
        </w:rPr>
        <w:t xml:space="preserve"> </w:t>
      </w:r>
      <w:r w:rsidR="001410D8" w:rsidRPr="00281287">
        <w:rPr>
          <w:rFonts w:cs="Times New Roman"/>
          <w:sz w:val="24"/>
          <w:szCs w:val="24"/>
        </w:rPr>
        <w:t xml:space="preserve">off or cross demand and the amount by which it exceeds the amount claimed in the </w:t>
      </w:r>
      <w:r w:rsidR="003509ED">
        <w:rPr>
          <w:rFonts w:cs="Times New Roman"/>
          <w:sz w:val="24"/>
          <w:szCs w:val="24"/>
        </w:rPr>
        <w:t>bankruptcy n</w:t>
      </w:r>
      <w:r w:rsidR="00B60026">
        <w:rPr>
          <w:rFonts w:cs="Times New Roman"/>
          <w:sz w:val="24"/>
          <w:szCs w:val="24"/>
        </w:rPr>
        <w:t>otice</w:t>
      </w:r>
      <w:r w:rsidR="00ED517B">
        <w:rPr>
          <w:rFonts w:cs="Times New Roman"/>
          <w:sz w:val="24"/>
          <w:szCs w:val="24"/>
        </w:rPr>
        <w:t>,</w:t>
      </w:r>
      <w:r w:rsidR="001410D8" w:rsidRPr="00281287">
        <w:rPr>
          <w:rFonts w:cs="Times New Roman"/>
          <w:sz w:val="24"/>
          <w:szCs w:val="24"/>
        </w:rPr>
        <w:t xml:space="preserve"> and</w:t>
      </w:r>
    </w:p>
    <w:p w:rsidR="001410D8" w:rsidRPr="00596752" w:rsidRDefault="002A6E1F" w:rsidP="00596752">
      <w:pPr>
        <w:pStyle w:val="ListParagraph"/>
        <w:numPr>
          <w:ilvl w:val="0"/>
          <w:numId w:val="39"/>
        </w:numPr>
        <w:spacing w:after="240"/>
        <w:ind w:left="1134" w:hanging="425"/>
        <w:contextualSpacing w:val="0"/>
        <w:jc w:val="both"/>
        <w:rPr>
          <w:rFonts w:cs="Times New Roman"/>
          <w:sz w:val="24"/>
          <w:szCs w:val="24"/>
        </w:rPr>
      </w:pPr>
      <w:r>
        <w:rPr>
          <w:rFonts w:cs="Times New Roman"/>
          <w:sz w:val="24"/>
          <w:szCs w:val="24"/>
        </w:rPr>
        <w:t>w</w:t>
      </w:r>
      <w:r w:rsidR="003509ED">
        <w:rPr>
          <w:rFonts w:cs="Times New Roman"/>
          <w:sz w:val="24"/>
          <w:szCs w:val="24"/>
        </w:rPr>
        <w:t xml:space="preserve">hy </w:t>
      </w:r>
      <w:r w:rsidR="001410D8" w:rsidRPr="00281287">
        <w:rPr>
          <w:rFonts w:cs="Times New Roman"/>
          <w:sz w:val="24"/>
          <w:szCs w:val="24"/>
        </w:rPr>
        <w:t>the counter</w:t>
      </w:r>
      <w:r w:rsidR="00E7741D">
        <w:rPr>
          <w:rFonts w:cs="Times New Roman"/>
          <w:sz w:val="24"/>
          <w:szCs w:val="24"/>
        </w:rPr>
        <w:t xml:space="preserve"> </w:t>
      </w:r>
      <w:r w:rsidR="001410D8" w:rsidRPr="00281287">
        <w:rPr>
          <w:rFonts w:cs="Times New Roman"/>
          <w:sz w:val="24"/>
          <w:szCs w:val="24"/>
        </w:rPr>
        <w:t>claim, set</w:t>
      </w:r>
      <w:r w:rsidR="00E7741D">
        <w:rPr>
          <w:rFonts w:cs="Times New Roman"/>
          <w:sz w:val="24"/>
          <w:szCs w:val="24"/>
        </w:rPr>
        <w:t xml:space="preserve"> </w:t>
      </w:r>
      <w:r w:rsidR="001410D8" w:rsidRPr="00281287">
        <w:rPr>
          <w:rFonts w:cs="Times New Roman"/>
          <w:sz w:val="24"/>
          <w:szCs w:val="24"/>
        </w:rPr>
        <w:t xml:space="preserve">off or cross demand was not raised in the proceedings that resulted in the judgments or orders to which the </w:t>
      </w:r>
      <w:r w:rsidR="003509ED">
        <w:rPr>
          <w:rFonts w:cs="Times New Roman"/>
          <w:sz w:val="24"/>
          <w:szCs w:val="24"/>
        </w:rPr>
        <w:t>b</w:t>
      </w:r>
      <w:r w:rsidR="001410D8" w:rsidRPr="00281287">
        <w:rPr>
          <w:rFonts w:cs="Times New Roman"/>
          <w:sz w:val="24"/>
          <w:szCs w:val="24"/>
        </w:rPr>
        <w:t xml:space="preserve">ankruptcy </w:t>
      </w:r>
      <w:r w:rsidR="003509ED">
        <w:rPr>
          <w:rFonts w:cs="Times New Roman"/>
          <w:sz w:val="24"/>
          <w:szCs w:val="24"/>
        </w:rPr>
        <w:t>n</w:t>
      </w:r>
      <w:r w:rsidR="001410D8" w:rsidRPr="00281287">
        <w:rPr>
          <w:rFonts w:cs="Times New Roman"/>
          <w:sz w:val="24"/>
          <w:szCs w:val="24"/>
        </w:rPr>
        <w:t>otice relates.</w:t>
      </w:r>
    </w:p>
    <w:p w:rsidR="00CD636E" w:rsidRPr="005D78C5" w:rsidRDefault="006E5E0F" w:rsidP="00CD636E">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T</w:t>
      </w:r>
      <w:r w:rsidR="00CD636E">
        <w:rPr>
          <w:rFonts w:cs="Times New Roman"/>
          <w:sz w:val="24"/>
          <w:szCs w:val="24"/>
        </w:rPr>
        <w:t xml:space="preserve">he affidavit must </w:t>
      </w:r>
      <w:r w:rsidR="00E64E53">
        <w:rPr>
          <w:rFonts w:cs="Times New Roman"/>
          <w:sz w:val="24"/>
          <w:szCs w:val="24"/>
        </w:rPr>
        <w:t xml:space="preserve">also </w:t>
      </w:r>
      <w:r w:rsidR="00CD636E">
        <w:rPr>
          <w:rFonts w:cs="Times New Roman"/>
          <w:sz w:val="24"/>
          <w:szCs w:val="24"/>
        </w:rPr>
        <w:t xml:space="preserve">provide material evidence in support of the asserted </w:t>
      </w:r>
      <w:r w:rsidR="009D1364">
        <w:rPr>
          <w:rFonts w:cs="Times New Roman"/>
          <w:sz w:val="24"/>
          <w:szCs w:val="24"/>
        </w:rPr>
        <w:t>cross claim, set off or cross demand</w:t>
      </w:r>
      <w:r w:rsidR="00CD636E">
        <w:rPr>
          <w:rFonts w:cs="Times New Roman"/>
          <w:sz w:val="24"/>
          <w:szCs w:val="24"/>
        </w:rPr>
        <w:t xml:space="preserve">. The Court will not be satisfied by a mere assertion </w:t>
      </w:r>
      <w:r w:rsidR="00FC5033">
        <w:rPr>
          <w:rFonts w:cs="Times New Roman"/>
          <w:sz w:val="24"/>
          <w:szCs w:val="24"/>
        </w:rPr>
        <w:t>that such a claim exists</w:t>
      </w:r>
      <w:r w:rsidR="00CD636E">
        <w:rPr>
          <w:rFonts w:cs="Times New Roman"/>
          <w:sz w:val="24"/>
          <w:szCs w:val="24"/>
        </w:rPr>
        <w:t>.</w:t>
      </w:r>
      <w:r w:rsidR="00DD5808">
        <w:rPr>
          <w:rFonts w:cs="Times New Roman"/>
          <w:sz w:val="24"/>
          <w:szCs w:val="24"/>
        </w:rPr>
        <w:t xml:space="preserve"> The debtor must be able to demonstrate that </w:t>
      </w:r>
      <w:r w:rsidR="004C5BE0">
        <w:rPr>
          <w:rFonts w:cs="Times New Roman"/>
          <w:sz w:val="24"/>
          <w:szCs w:val="24"/>
        </w:rPr>
        <w:t xml:space="preserve">the claim is mutual and in the same right as between the debtor and creditor named in the notice and that the claim is one that is presently available; a contingent or inchoate claim which is not payable immediately or at a certain future time will not be sufficient.  </w:t>
      </w:r>
    </w:p>
    <w:p w:rsidR="00996F7F" w:rsidRPr="00A65264" w:rsidRDefault="00CD636E" w:rsidP="00230BA8">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Critically, t</w:t>
      </w:r>
      <w:r w:rsidR="00E7741D">
        <w:rPr>
          <w:rFonts w:cs="Times New Roman"/>
          <w:sz w:val="24"/>
          <w:szCs w:val="24"/>
        </w:rPr>
        <w:t xml:space="preserve">he amount of the </w:t>
      </w:r>
      <w:r w:rsidR="00A07971">
        <w:rPr>
          <w:rFonts w:cs="Times New Roman"/>
          <w:sz w:val="24"/>
          <w:szCs w:val="24"/>
        </w:rPr>
        <w:t xml:space="preserve">asserted </w:t>
      </w:r>
      <w:r w:rsidR="00E7741D">
        <w:rPr>
          <w:rFonts w:cs="Times New Roman"/>
          <w:sz w:val="24"/>
          <w:szCs w:val="24"/>
        </w:rPr>
        <w:t>cross claim must equal or exceed the judgment debt.</w:t>
      </w:r>
      <w:r w:rsidR="008D48FE" w:rsidRPr="00281287">
        <w:rPr>
          <w:rFonts w:cs="Times New Roman"/>
          <w:sz w:val="24"/>
          <w:szCs w:val="24"/>
        </w:rPr>
        <w:t xml:space="preserve"> </w:t>
      </w:r>
    </w:p>
    <w:p w:rsidR="008D48FE" w:rsidRPr="00281287" w:rsidRDefault="00CD636E" w:rsidP="00230BA8">
      <w:pPr>
        <w:pStyle w:val="ListParagraph"/>
        <w:numPr>
          <w:ilvl w:val="1"/>
          <w:numId w:val="36"/>
        </w:numPr>
        <w:spacing w:after="240"/>
        <w:ind w:left="709" w:hanging="709"/>
        <w:contextualSpacing w:val="0"/>
        <w:jc w:val="both"/>
        <w:rPr>
          <w:rFonts w:cs="Times New Roman"/>
          <w:sz w:val="24"/>
          <w:szCs w:val="24"/>
        </w:rPr>
      </w:pPr>
      <w:r>
        <w:rPr>
          <w:rFonts w:cs="Times New Roman"/>
          <w:sz w:val="24"/>
          <w:szCs w:val="24"/>
        </w:rPr>
        <w:t>Furthermore, t</w:t>
      </w:r>
      <w:r w:rsidR="00996F7F" w:rsidRPr="00281287">
        <w:rPr>
          <w:rFonts w:cs="Times New Roman"/>
          <w:sz w:val="24"/>
          <w:szCs w:val="24"/>
        </w:rPr>
        <w:t>he</w:t>
      </w:r>
      <w:r w:rsidR="008D48FE" w:rsidRPr="00281287">
        <w:rPr>
          <w:rFonts w:cs="Times New Roman"/>
          <w:sz w:val="24"/>
          <w:szCs w:val="24"/>
        </w:rPr>
        <w:t xml:space="preserve"> cross-claim, set-off or cross demand must be one which could not have been set up in the proceeding </w:t>
      </w:r>
      <w:r w:rsidR="00996F7F" w:rsidRPr="00281287">
        <w:rPr>
          <w:rFonts w:cs="Times New Roman"/>
          <w:sz w:val="24"/>
          <w:szCs w:val="24"/>
        </w:rPr>
        <w:t xml:space="preserve">that resulted in the judgment to which the </w:t>
      </w:r>
      <w:r w:rsidR="003509ED">
        <w:rPr>
          <w:rFonts w:cs="Times New Roman"/>
          <w:sz w:val="24"/>
          <w:szCs w:val="24"/>
        </w:rPr>
        <w:t>bankruptcy n</w:t>
      </w:r>
      <w:r w:rsidR="00B60026">
        <w:rPr>
          <w:rFonts w:cs="Times New Roman"/>
          <w:sz w:val="24"/>
          <w:szCs w:val="24"/>
        </w:rPr>
        <w:t>otice</w:t>
      </w:r>
      <w:r w:rsidR="00996F7F" w:rsidRPr="00281287">
        <w:rPr>
          <w:rFonts w:cs="Times New Roman"/>
          <w:sz w:val="24"/>
          <w:szCs w:val="24"/>
        </w:rPr>
        <w:t xml:space="preserve"> relates. Therefore, the affidavit must explain why </w:t>
      </w:r>
      <w:r w:rsidR="004030CC">
        <w:rPr>
          <w:rFonts w:cs="Times New Roman"/>
          <w:sz w:val="24"/>
          <w:szCs w:val="24"/>
        </w:rPr>
        <w:t>the debtor</w:t>
      </w:r>
      <w:r w:rsidR="00996F7F" w:rsidRPr="00281287">
        <w:rPr>
          <w:rFonts w:cs="Times New Roman"/>
          <w:sz w:val="24"/>
          <w:szCs w:val="24"/>
        </w:rPr>
        <w:t xml:space="preserve"> could not raise the counter-claim, set-off or cross demand in the proceeding resulting in the judgment on which the </w:t>
      </w:r>
      <w:r w:rsidR="003509ED">
        <w:rPr>
          <w:rFonts w:cs="Times New Roman"/>
          <w:sz w:val="24"/>
          <w:szCs w:val="24"/>
        </w:rPr>
        <w:t>bankruptcy n</w:t>
      </w:r>
      <w:r w:rsidR="00B60026">
        <w:rPr>
          <w:rFonts w:cs="Times New Roman"/>
          <w:sz w:val="24"/>
          <w:szCs w:val="24"/>
        </w:rPr>
        <w:t>otice</w:t>
      </w:r>
      <w:r w:rsidR="00996F7F" w:rsidRPr="00281287">
        <w:rPr>
          <w:rFonts w:cs="Times New Roman"/>
          <w:sz w:val="24"/>
          <w:szCs w:val="24"/>
        </w:rPr>
        <w:t xml:space="preserve"> is based.</w:t>
      </w:r>
    </w:p>
    <w:p w:rsidR="008D48FE" w:rsidRPr="00451184" w:rsidRDefault="008D48FE" w:rsidP="00A65264">
      <w:pPr>
        <w:pStyle w:val="ListParagraph"/>
        <w:numPr>
          <w:ilvl w:val="0"/>
          <w:numId w:val="28"/>
        </w:numPr>
        <w:spacing w:after="240"/>
        <w:ind w:left="709" w:hanging="709"/>
        <w:contextualSpacing w:val="0"/>
        <w:jc w:val="both"/>
        <w:rPr>
          <w:rFonts w:eastAsia="Times New Roman" w:cs="Arial"/>
          <w:b/>
          <w:sz w:val="28"/>
          <w:szCs w:val="28"/>
          <w:lang w:val="en-US" w:eastAsia="en-AU"/>
        </w:rPr>
      </w:pPr>
      <w:r w:rsidRPr="00D846F1">
        <w:rPr>
          <w:rFonts w:eastAsia="Times New Roman" w:cs="Arial"/>
          <w:b/>
          <w:sz w:val="28"/>
          <w:szCs w:val="28"/>
          <w:lang w:val="en-US" w:eastAsia="en-AU"/>
        </w:rPr>
        <w:t xml:space="preserve">Filing and </w:t>
      </w:r>
      <w:r w:rsidR="00F6642A">
        <w:rPr>
          <w:rFonts w:eastAsia="Times New Roman" w:cs="Arial"/>
          <w:b/>
          <w:sz w:val="28"/>
          <w:szCs w:val="28"/>
          <w:lang w:val="en-US" w:eastAsia="en-AU"/>
        </w:rPr>
        <w:t>s</w:t>
      </w:r>
      <w:r w:rsidR="008C5690" w:rsidRPr="00D846F1">
        <w:rPr>
          <w:rFonts w:eastAsia="Times New Roman" w:cs="Arial"/>
          <w:b/>
          <w:sz w:val="28"/>
          <w:szCs w:val="28"/>
          <w:lang w:val="en-US" w:eastAsia="en-AU"/>
        </w:rPr>
        <w:t>erving</w:t>
      </w:r>
      <w:r w:rsidR="00F6642A">
        <w:rPr>
          <w:rFonts w:eastAsia="Times New Roman" w:cs="Arial"/>
          <w:b/>
          <w:sz w:val="28"/>
          <w:szCs w:val="28"/>
          <w:lang w:val="en-US" w:eastAsia="en-AU"/>
        </w:rPr>
        <w:t xml:space="preserve"> d</w:t>
      </w:r>
      <w:r w:rsidRPr="00D846F1">
        <w:rPr>
          <w:rFonts w:eastAsia="Times New Roman" w:cs="Arial"/>
          <w:b/>
          <w:sz w:val="28"/>
          <w:szCs w:val="28"/>
          <w:lang w:val="en-US" w:eastAsia="en-AU"/>
        </w:rPr>
        <w:t>ocuments</w:t>
      </w:r>
    </w:p>
    <w:p w:rsidR="00A65264" w:rsidRDefault="00A65264" w:rsidP="00230BA8">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sidRPr="00AF325B">
        <w:rPr>
          <w:rFonts w:eastAsia="Times New Roman" w:cs="Times New Roman"/>
          <w:sz w:val="24"/>
          <w:szCs w:val="24"/>
          <w:lang w:val="en-US" w:eastAsia="en-AU"/>
        </w:rPr>
        <w:t xml:space="preserve">The application and </w:t>
      </w:r>
      <w:r w:rsidR="0000199D">
        <w:rPr>
          <w:rFonts w:eastAsia="Times New Roman" w:cs="Times New Roman"/>
          <w:sz w:val="24"/>
          <w:szCs w:val="24"/>
          <w:lang w:val="en-US" w:eastAsia="en-AU"/>
        </w:rPr>
        <w:t xml:space="preserve">accompanying </w:t>
      </w:r>
      <w:r w:rsidRPr="00AF325B">
        <w:rPr>
          <w:rFonts w:eastAsia="Times New Roman" w:cs="Times New Roman"/>
          <w:sz w:val="24"/>
          <w:szCs w:val="24"/>
          <w:lang w:val="en-US" w:eastAsia="en-AU"/>
        </w:rPr>
        <w:t>affidavit must be filed in the Federal Court</w:t>
      </w:r>
      <w:r>
        <w:rPr>
          <w:rFonts w:eastAsia="Times New Roman" w:cs="Times New Roman"/>
          <w:sz w:val="24"/>
          <w:szCs w:val="24"/>
          <w:lang w:val="en-US" w:eastAsia="en-AU"/>
        </w:rPr>
        <w:t xml:space="preserve"> of Australia</w:t>
      </w:r>
      <w:r w:rsidRPr="00AF325B">
        <w:rPr>
          <w:rFonts w:eastAsia="Times New Roman" w:cs="Times New Roman"/>
          <w:sz w:val="24"/>
          <w:szCs w:val="24"/>
          <w:lang w:val="en-US" w:eastAsia="en-AU"/>
        </w:rPr>
        <w:t xml:space="preserve">. </w:t>
      </w:r>
    </w:p>
    <w:p w:rsidR="006E5E0F" w:rsidRPr="00C2510A" w:rsidRDefault="006E5E0F">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An application lodged after 4.30 pm on the fin</w:t>
      </w:r>
      <w:r w:rsidR="003509ED">
        <w:rPr>
          <w:rFonts w:eastAsia="Times New Roman" w:cs="Times New Roman"/>
          <w:sz w:val="24"/>
          <w:szCs w:val="24"/>
          <w:lang w:val="en-US" w:eastAsia="en-AU"/>
        </w:rPr>
        <w:t>al day for compliance with the b</w:t>
      </w:r>
      <w:r>
        <w:rPr>
          <w:rFonts w:eastAsia="Times New Roman" w:cs="Times New Roman"/>
          <w:sz w:val="24"/>
          <w:szCs w:val="24"/>
          <w:lang w:val="en-US" w:eastAsia="en-AU"/>
        </w:rPr>
        <w:t xml:space="preserve">ankruptcy </w:t>
      </w:r>
      <w:r w:rsidR="003509ED">
        <w:rPr>
          <w:rFonts w:eastAsia="Times New Roman" w:cs="Times New Roman"/>
          <w:sz w:val="24"/>
          <w:szCs w:val="24"/>
          <w:lang w:val="en-US" w:eastAsia="en-AU"/>
        </w:rPr>
        <w:t>n</w:t>
      </w:r>
      <w:r>
        <w:rPr>
          <w:rFonts w:eastAsia="Times New Roman" w:cs="Times New Roman"/>
          <w:sz w:val="24"/>
          <w:szCs w:val="24"/>
          <w:lang w:val="en-US" w:eastAsia="en-AU"/>
        </w:rPr>
        <w:t xml:space="preserve">otice will be outside of time and incompetent. </w:t>
      </w:r>
    </w:p>
    <w:p w:rsidR="00A65264" w:rsidRDefault="00A65264" w:rsidP="00230BA8">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sidRPr="00A23CAC">
        <w:rPr>
          <w:rFonts w:eastAsia="Times New Roman" w:cs="Times New Roman"/>
          <w:sz w:val="24"/>
          <w:szCs w:val="24"/>
          <w:lang w:val="en-US" w:eastAsia="en-AU"/>
        </w:rPr>
        <w:tab/>
        <w:t xml:space="preserve">The </w:t>
      </w:r>
      <w:r w:rsidR="002A6E1F">
        <w:rPr>
          <w:rFonts w:eastAsia="Times New Roman" w:cs="Times New Roman"/>
          <w:sz w:val="24"/>
          <w:szCs w:val="24"/>
          <w:lang w:val="en-US" w:eastAsia="en-AU"/>
        </w:rPr>
        <w:t>applicant</w:t>
      </w:r>
      <w:r w:rsidR="002A6E1F" w:rsidRPr="00A23CAC">
        <w:rPr>
          <w:rFonts w:eastAsia="Times New Roman" w:cs="Times New Roman"/>
          <w:sz w:val="24"/>
          <w:szCs w:val="24"/>
          <w:lang w:val="en-US" w:eastAsia="en-AU"/>
        </w:rPr>
        <w:t xml:space="preserve"> </w:t>
      </w:r>
      <w:r w:rsidR="00E95E77">
        <w:rPr>
          <w:rFonts w:eastAsia="Times New Roman" w:cs="Times New Roman"/>
          <w:sz w:val="24"/>
          <w:szCs w:val="24"/>
          <w:lang w:val="en-US" w:eastAsia="en-AU"/>
        </w:rPr>
        <w:t>may</w:t>
      </w:r>
      <w:r w:rsidR="00E95E77" w:rsidRPr="00A23CAC">
        <w:rPr>
          <w:rFonts w:eastAsia="Times New Roman" w:cs="Times New Roman"/>
          <w:sz w:val="24"/>
          <w:szCs w:val="24"/>
          <w:lang w:val="en-US" w:eastAsia="en-AU"/>
        </w:rPr>
        <w:t xml:space="preserve"> </w:t>
      </w:r>
      <w:r>
        <w:rPr>
          <w:rFonts w:eastAsia="Times New Roman" w:cs="Times New Roman"/>
          <w:sz w:val="24"/>
          <w:szCs w:val="24"/>
          <w:lang w:val="en-US" w:eastAsia="en-AU"/>
        </w:rPr>
        <w:t>lodge</w:t>
      </w:r>
      <w:r w:rsidRPr="00A23CAC">
        <w:rPr>
          <w:rFonts w:eastAsia="Times New Roman" w:cs="Times New Roman"/>
          <w:sz w:val="24"/>
          <w:szCs w:val="24"/>
          <w:lang w:val="en-US" w:eastAsia="en-AU"/>
        </w:rPr>
        <w:t xml:space="preserve"> all required documents electronically through the Court’s eLodgment </w:t>
      </w:r>
      <w:r w:rsidR="0034348A">
        <w:rPr>
          <w:rFonts w:eastAsia="Times New Roman" w:cs="Times New Roman"/>
          <w:sz w:val="24"/>
          <w:szCs w:val="24"/>
          <w:lang w:val="en-US" w:eastAsia="en-AU"/>
        </w:rPr>
        <w:t xml:space="preserve">facility. </w:t>
      </w:r>
      <w:r>
        <w:rPr>
          <w:rFonts w:eastAsia="Times New Roman" w:cs="Times New Roman"/>
          <w:sz w:val="24"/>
          <w:szCs w:val="24"/>
          <w:lang w:val="en-US" w:eastAsia="en-AU"/>
        </w:rPr>
        <w:t>For more information on eLodgment and the Court’s</w:t>
      </w:r>
      <w:r w:rsidR="0034348A">
        <w:rPr>
          <w:rFonts w:eastAsia="Times New Roman" w:cs="Times New Roman"/>
          <w:sz w:val="24"/>
          <w:szCs w:val="24"/>
          <w:lang w:val="en-US" w:eastAsia="en-AU"/>
        </w:rPr>
        <w:t xml:space="preserve"> Online Services</w:t>
      </w:r>
      <w:r>
        <w:rPr>
          <w:rFonts w:eastAsia="Times New Roman" w:cs="Times New Roman"/>
          <w:sz w:val="24"/>
          <w:szCs w:val="24"/>
          <w:lang w:val="en-US" w:eastAsia="en-AU"/>
        </w:rPr>
        <w:t xml:space="preserve">, refer to </w:t>
      </w:r>
      <w:r w:rsidR="006E5E0F">
        <w:rPr>
          <w:rFonts w:eastAsia="Times New Roman" w:cs="Times New Roman"/>
          <w:sz w:val="24"/>
          <w:szCs w:val="24"/>
          <w:lang w:val="en-US" w:eastAsia="en-AU"/>
        </w:rPr>
        <w:t xml:space="preserve">Section </w:t>
      </w:r>
      <w:r>
        <w:rPr>
          <w:rFonts w:eastAsia="Times New Roman" w:cs="Times New Roman"/>
          <w:sz w:val="24"/>
          <w:szCs w:val="24"/>
          <w:lang w:val="en-US" w:eastAsia="en-AU"/>
        </w:rPr>
        <w:t>[</w:t>
      </w:r>
      <w:r w:rsidR="00FF7A08">
        <w:rPr>
          <w:rFonts w:eastAsia="Times New Roman" w:cs="Times New Roman"/>
          <w:sz w:val="24"/>
          <w:szCs w:val="24"/>
          <w:lang w:val="en-US" w:eastAsia="en-AU"/>
        </w:rPr>
        <w:t>9</w:t>
      </w:r>
      <w:r>
        <w:rPr>
          <w:rFonts w:eastAsia="Times New Roman" w:cs="Times New Roman"/>
          <w:sz w:val="24"/>
          <w:szCs w:val="24"/>
          <w:lang w:val="en-US" w:eastAsia="en-AU"/>
        </w:rPr>
        <w:t xml:space="preserve">] of this </w:t>
      </w:r>
      <w:r w:rsidR="0034348A">
        <w:rPr>
          <w:rFonts w:eastAsia="Times New Roman" w:cs="Times New Roman"/>
          <w:sz w:val="24"/>
          <w:szCs w:val="24"/>
          <w:lang w:val="en-US" w:eastAsia="en-AU"/>
        </w:rPr>
        <w:t>i</w:t>
      </w:r>
      <w:r w:rsidR="00895DE3">
        <w:rPr>
          <w:rFonts w:eastAsia="Times New Roman" w:cs="Times New Roman"/>
          <w:sz w:val="24"/>
          <w:szCs w:val="24"/>
          <w:lang w:val="en-US" w:eastAsia="en-AU"/>
        </w:rPr>
        <w:t>nfo</w:t>
      </w:r>
      <w:r w:rsidR="00004207">
        <w:rPr>
          <w:rFonts w:eastAsia="Times New Roman" w:cs="Times New Roman"/>
          <w:sz w:val="24"/>
          <w:szCs w:val="24"/>
          <w:lang w:val="en-US" w:eastAsia="en-AU"/>
        </w:rPr>
        <w:t>rmation</w:t>
      </w:r>
      <w:r w:rsidR="0034348A">
        <w:rPr>
          <w:rFonts w:eastAsia="Times New Roman" w:cs="Times New Roman"/>
          <w:sz w:val="24"/>
          <w:szCs w:val="24"/>
          <w:lang w:val="en-US" w:eastAsia="en-AU"/>
        </w:rPr>
        <w:t xml:space="preserve"> s</w:t>
      </w:r>
      <w:r>
        <w:rPr>
          <w:rFonts w:eastAsia="Times New Roman" w:cs="Times New Roman"/>
          <w:sz w:val="24"/>
          <w:szCs w:val="24"/>
          <w:lang w:val="en-US" w:eastAsia="en-AU"/>
        </w:rPr>
        <w:t>heet.</w:t>
      </w:r>
    </w:p>
    <w:p w:rsidR="00A65264" w:rsidRDefault="00A65264" w:rsidP="00230BA8">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sidRPr="00A23CAC">
        <w:rPr>
          <w:rFonts w:eastAsia="Times New Roman" w:cs="Times New Roman"/>
          <w:sz w:val="24"/>
          <w:szCs w:val="24"/>
          <w:lang w:val="en-US" w:eastAsia="en-AU"/>
        </w:rPr>
        <w:tab/>
        <w:t xml:space="preserve">If the documents </w:t>
      </w:r>
      <w:r>
        <w:rPr>
          <w:rFonts w:eastAsia="Times New Roman" w:cs="Times New Roman"/>
          <w:sz w:val="24"/>
          <w:szCs w:val="24"/>
          <w:lang w:val="en-US" w:eastAsia="en-AU"/>
        </w:rPr>
        <w:t xml:space="preserve">lodged </w:t>
      </w:r>
      <w:r w:rsidRPr="00A23CAC">
        <w:rPr>
          <w:rFonts w:eastAsia="Times New Roman" w:cs="Times New Roman"/>
          <w:sz w:val="24"/>
          <w:szCs w:val="24"/>
          <w:lang w:val="en-US" w:eastAsia="en-AU"/>
        </w:rPr>
        <w:t xml:space="preserve">are in the correct form they will be accepted for filing and processed. </w:t>
      </w:r>
      <w:r>
        <w:rPr>
          <w:rFonts w:eastAsia="Times New Roman" w:cs="Times New Roman"/>
          <w:sz w:val="24"/>
          <w:szCs w:val="24"/>
          <w:lang w:val="en-US" w:eastAsia="en-AU"/>
        </w:rPr>
        <w:t>The</w:t>
      </w:r>
      <w:r w:rsidRPr="00A23CAC">
        <w:rPr>
          <w:rFonts w:eastAsia="Times New Roman" w:cs="Times New Roman"/>
          <w:sz w:val="24"/>
          <w:szCs w:val="24"/>
          <w:lang w:val="en-US" w:eastAsia="en-AU"/>
        </w:rPr>
        <w:t xml:space="preserve"> documents will be endorsed by the </w:t>
      </w:r>
      <w:r>
        <w:rPr>
          <w:rFonts w:eastAsia="Times New Roman" w:cs="Times New Roman"/>
          <w:sz w:val="24"/>
          <w:szCs w:val="24"/>
          <w:lang w:val="en-US" w:eastAsia="en-AU"/>
        </w:rPr>
        <w:t xml:space="preserve">Court and the application </w:t>
      </w:r>
      <w:r w:rsidRPr="00A23CAC">
        <w:rPr>
          <w:rFonts w:eastAsia="Times New Roman" w:cs="Times New Roman"/>
          <w:sz w:val="24"/>
          <w:szCs w:val="24"/>
          <w:lang w:val="en-US" w:eastAsia="en-AU"/>
        </w:rPr>
        <w:t>given a hearing date.</w:t>
      </w:r>
      <w:r>
        <w:rPr>
          <w:rFonts w:eastAsia="Times New Roman" w:cs="Times New Roman"/>
          <w:sz w:val="24"/>
          <w:szCs w:val="24"/>
          <w:lang w:val="en-US" w:eastAsia="en-AU"/>
        </w:rPr>
        <w:t xml:space="preserve"> Through eLodgment, an applicant can access the endorsed versions of the documents, which can be printed or emailed for the purposes of service.</w:t>
      </w:r>
    </w:p>
    <w:p w:rsidR="00596752" w:rsidRPr="00A3179C" w:rsidRDefault="00ED517B" w:rsidP="00596752">
      <w:pPr>
        <w:pStyle w:val="ListParagraph"/>
        <w:spacing w:after="240"/>
        <w:ind w:left="709"/>
        <w:contextualSpacing w:val="0"/>
        <w:jc w:val="both"/>
        <w:rPr>
          <w:rFonts w:eastAsia="Times New Roman" w:cs="Times New Roman"/>
          <w:i/>
          <w:sz w:val="24"/>
          <w:szCs w:val="24"/>
          <w:lang w:val="en-US" w:eastAsia="en-AU"/>
        </w:rPr>
      </w:pPr>
      <w:r>
        <w:rPr>
          <w:rFonts w:eastAsia="Times New Roman" w:cs="Times New Roman"/>
          <w:i/>
          <w:sz w:val="24"/>
          <w:szCs w:val="24"/>
          <w:lang w:val="en-US" w:eastAsia="en-AU"/>
        </w:rPr>
        <w:t>Filing f</w:t>
      </w:r>
      <w:r w:rsidR="00596752" w:rsidRPr="00A3179C">
        <w:rPr>
          <w:rFonts w:eastAsia="Times New Roman" w:cs="Times New Roman"/>
          <w:i/>
          <w:sz w:val="24"/>
          <w:szCs w:val="24"/>
          <w:lang w:val="en-US" w:eastAsia="en-AU"/>
        </w:rPr>
        <w:t>ee</w:t>
      </w:r>
    </w:p>
    <w:p w:rsidR="00596752" w:rsidRPr="00A23CAC" w:rsidRDefault="00596752" w:rsidP="00230BA8">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sidRPr="00A23CAC">
        <w:rPr>
          <w:rFonts w:eastAsia="Times New Roman" w:cs="Times New Roman"/>
          <w:sz w:val="24"/>
          <w:szCs w:val="24"/>
          <w:lang w:val="en-US" w:eastAsia="en-AU"/>
        </w:rPr>
        <w:t>A fee is pay</w:t>
      </w:r>
      <w:r>
        <w:rPr>
          <w:rFonts w:eastAsia="Times New Roman" w:cs="Times New Roman"/>
          <w:sz w:val="24"/>
          <w:szCs w:val="24"/>
          <w:lang w:val="en-US" w:eastAsia="en-AU"/>
        </w:rPr>
        <w:t xml:space="preserve">able for filing an application to set </w:t>
      </w:r>
      <w:r w:rsidR="003509ED">
        <w:rPr>
          <w:rFonts w:eastAsia="Times New Roman" w:cs="Times New Roman"/>
          <w:sz w:val="24"/>
          <w:szCs w:val="24"/>
          <w:lang w:val="en-US" w:eastAsia="en-AU"/>
        </w:rPr>
        <w:t>aside a bankruptcy n</w:t>
      </w:r>
      <w:r>
        <w:rPr>
          <w:rFonts w:eastAsia="Times New Roman" w:cs="Times New Roman"/>
          <w:sz w:val="24"/>
          <w:szCs w:val="24"/>
          <w:lang w:val="en-US" w:eastAsia="en-AU"/>
        </w:rPr>
        <w:t>otice</w:t>
      </w:r>
      <w:r w:rsidRPr="00A23CAC">
        <w:rPr>
          <w:rFonts w:eastAsia="Times New Roman" w:cs="Times New Roman"/>
          <w:sz w:val="24"/>
          <w:szCs w:val="24"/>
          <w:lang w:val="en-US" w:eastAsia="en-AU"/>
        </w:rPr>
        <w:t xml:space="preserve">. </w:t>
      </w:r>
    </w:p>
    <w:p w:rsidR="00596752" w:rsidRPr="00596752" w:rsidRDefault="00596752" w:rsidP="00230BA8">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sidRPr="00596752">
        <w:rPr>
          <w:rFonts w:eastAsia="Times New Roman" w:cs="Times New Roman"/>
          <w:sz w:val="24"/>
          <w:szCs w:val="24"/>
          <w:lang w:val="en-US" w:eastAsia="en-AU"/>
        </w:rPr>
        <w:t xml:space="preserve">If an applicant cannot afford this fee, they may be able to ask the Court to exempt them from having to pay it, or to defer the time for its payment. Information and the form to be used to request the Court to either exempt or defer payment can be obtained from the Registry </w:t>
      </w:r>
      <w:r w:rsidR="0034348A" w:rsidRPr="0034348A">
        <w:rPr>
          <w:rFonts w:eastAsia="Times New Roman" w:cs="Times New Roman"/>
          <w:sz w:val="24"/>
          <w:szCs w:val="24"/>
          <w:lang w:val="en-US" w:eastAsia="en-AU"/>
        </w:rPr>
        <w:t xml:space="preserve">or found in </w:t>
      </w:r>
      <w:hyperlink r:id="rId22" w:history="1">
        <w:r w:rsidR="0034348A" w:rsidRPr="0034348A">
          <w:rPr>
            <w:rStyle w:val="Hyperlink"/>
            <w:rFonts w:asciiTheme="minorHAnsi" w:eastAsia="Times New Roman" w:hAnsiTheme="minorHAnsi" w:cs="Times New Roman"/>
            <w:sz w:val="24"/>
            <w:szCs w:val="24"/>
            <w:lang w:val="en-US" w:eastAsia="en-AU"/>
          </w:rPr>
          <w:t>Court Fees</w:t>
        </w:r>
      </w:hyperlink>
      <w:r w:rsidR="0034348A">
        <w:rPr>
          <w:rFonts w:eastAsia="Times New Roman" w:cs="Times New Roman"/>
          <w:sz w:val="24"/>
          <w:szCs w:val="24"/>
          <w:lang w:val="en-US" w:eastAsia="en-AU"/>
        </w:rPr>
        <w:t xml:space="preserve">. </w:t>
      </w:r>
    </w:p>
    <w:p w:rsidR="00292533" w:rsidRPr="00A3179C" w:rsidRDefault="00ED517B" w:rsidP="00596752">
      <w:pPr>
        <w:pStyle w:val="ListParagraph"/>
        <w:spacing w:after="240"/>
        <w:ind w:left="709"/>
        <w:contextualSpacing w:val="0"/>
        <w:jc w:val="both"/>
        <w:rPr>
          <w:rFonts w:cs="Times New Roman"/>
          <w:sz w:val="24"/>
          <w:szCs w:val="24"/>
        </w:rPr>
      </w:pPr>
      <w:r>
        <w:rPr>
          <w:rFonts w:eastAsia="Times New Roman" w:cs="Times New Roman"/>
          <w:i/>
          <w:sz w:val="24"/>
          <w:szCs w:val="24"/>
          <w:lang w:val="en-US" w:eastAsia="en-AU"/>
        </w:rPr>
        <w:t>Hearing d</w:t>
      </w:r>
      <w:r w:rsidR="00C2732F" w:rsidRPr="00A3179C">
        <w:rPr>
          <w:rFonts w:eastAsia="Times New Roman" w:cs="Times New Roman"/>
          <w:i/>
          <w:sz w:val="24"/>
          <w:szCs w:val="24"/>
          <w:lang w:val="en-US" w:eastAsia="en-AU"/>
        </w:rPr>
        <w:t>ate</w:t>
      </w:r>
    </w:p>
    <w:p w:rsidR="000769CA" w:rsidRDefault="00C2732F" w:rsidP="00230BA8">
      <w:pPr>
        <w:pStyle w:val="ListParagraph"/>
        <w:numPr>
          <w:ilvl w:val="1"/>
          <w:numId w:val="38"/>
        </w:numPr>
        <w:spacing w:after="240"/>
        <w:ind w:left="709" w:hanging="709"/>
        <w:contextualSpacing w:val="0"/>
        <w:jc w:val="both"/>
        <w:rPr>
          <w:rFonts w:cs="Times New Roman"/>
          <w:sz w:val="24"/>
          <w:szCs w:val="24"/>
        </w:rPr>
      </w:pPr>
      <w:r w:rsidRPr="00281287">
        <w:rPr>
          <w:rFonts w:eastAsia="Times New Roman" w:cs="Times New Roman"/>
          <w:sz w:val="24"/>
          <w:szCs w:val="24"/>
          <w:lang w:val="en-US" w:eastAsia="en-AU"/>
        </w:rPr>
        <w:t xml:space="preserve">Upon </w:t>
      </w:r>
      <w:r w:rsidRPr="00596752">
        <w:rPr>
          <w:rFonts w:cs="Times New Roman"/>
          <w:sz w:val="24"/>
          <w:szCs w:val="24"/>
        </w:rPr>
        <w:t>receiving</w:t>
      </w:r>
      <w:r w:rsidRPr="00281287">
        <w:rPr>
          <w:rFonts w:eastAsia="Times New Roman" w:cs="Times New Roman"/>
          <w:sz w:val="24"/>
          <w:szCs w:val="24"/>
          <w:lang w:val="en-US" w:eastAsia="en-AU"/>
        </w:rPr>
        <w:t xml:space="preserve"> sealed copies </w:t>
      </w:r>
      <w:r w:rsidR="006E5E0F">
        <w:rPr>
          <w:rFonts w:eastAsia="Times New Roman" w:cs="Times New Roman"/>
          <w:sz w:val="24"/>
          <w:szCs w:val="24"/>
          <w:lang w:val="en-US" w:eastAsia="en-AU"/>
        </w:rPr>
        <w:t xml:space="preserve">of the documents </w:t>
      </w:r>
      <w:r w:rsidRPr="00281287">
        <w:rPr>
          <w:rFonts w:eastAsia="Times New Roman" w:cs="Times New Roman"/>
          <w:sz w:val="24"/>
          <w:szCs w:val="24"/>
          <w:lang w:val="en-US" w:eastAsia="en-AU"/>
        </w:rPr>
        <w:t xml:space="preserve">from the Registry, </w:t>
      </w:r>
      <w:r w:rsidR="002A6E1F">
        <w:rPr>
          <w:rFonts w:eastAsia="Times New Roman" w:cs="Times New Roman"/>
          <w:sz w:val="24"/>
          <w:szCs w:val="24"/>
          <w:lang w:val="en-US" w:eastAsia="en-AU"/>
        </w:rPr>
        <w:t>the applicant</w:t>
      </w:r>
      <w:r w:rsidR="002A6E1F" w:rsidRPr="00281287">
        <w:rPr>
          <w:rFonts w:eastAsia="Times New Roman" w:cs="Times New Roman"/>
          <w:sz w:val="24"/>
          <w:szCs w:val="24"/>
          <w:lang w:val="en-US" w:eastAsia="en-AU"/>
        </w:rPr>
        <w:t xml:space="preserve"> </w:t>
      </w:r>
      <w:r w:rsidRPr="00281287">
        <w:rPr>
          <w:rFonts w:eastAsia="Times New Roman" w:cs="Times New Roman"/>
          <w:sz w:val="24"/>
          <w:szCs w:val="24"/>
          <w:lang w:val="en-US" w:eastAsia="en-AU"/>
        </w:rPr>
        <w:t>should refer to the cover page of the application</w:t>
      </w:r>
      <w:r w:rsidR="002A6E1F">
        <w:rPr>
          <w:rFonts w:eastAsia="Times New Roman" w:cs="Times New Roman"/>
          <w:sz w:val="24"/>
          <w:szCs w:val="24"/>
          <w:lang w:val="en-US" w:eastAsia="en-AU"/>
        </w:rPr>
        <w:t>,</w:t>
      </w:r>
      <w:r w:rsidRPr="00281287">
        <w:rPr>
          <w:rFonts w:eastAsia="Times New Roman" w:cs="Times New Roman"/>
          <w:sz w:val="24"/>
          <w:szCs w:val="24"/>
          <w:lang w:val="en-US" w:eastAsia="en-AU"/>
        </w:rPr>
        <w:t xml:space="preserve"> which provides </w:t>
      </w:r>
      <w:r w:rsidRPr="00281287">
        <w:rPr>
          <w:rFonts w:cs="Times New Roman"/>
          <w:sz w:val="24"/>
          <w:szCs w:val="24"/>
        </w:rPr>
        <w:t xml:space="preserve">a time, date and place for </w:t>
      </w:r>
      <w:r w:rsidR="003509ED">
        <w:rPr>
          <w:rFonts w:cs="Times New Roman"/>
          <w:sz w:val="24"/>
          <w:szCs w:val="24"/>
        </w:rPr>
        <w:t>the first c</w:t>
      </w:r>
      <w:r w:rsidR="000769CA">
        <w:rPr>
          <w:rFonts w:cs="Times New Roman"/>
          <w:sz w:val="24"/>
          <w:szCs w:val="24"/>
        </w:rPr>
        <w:t>ourt date</w:t>
      </w:r>
      <w:r w:rsidRPr="00281287">
        <w:rPr>
          <w:rFonts w:cs="Times New Roman"/>
          <w:sz w:val="24"/>
          <w:szCs w:val="24"/>
        </w:rPr>
        <w:t xml:space="preserve">. </w:t>
      </w:r>
      <w:r w:rsidR="000769CA">
        <w:rPr>
          <w:rFonts w:cs="Times New Roman"/>
          <w:sz w:val="24"/>
          <w:szCs w:val="24"/>
        </w:rPr>
        <w:t>The applicant can also check when the matter is listed by using</w:t>
      </w:r>
      <w:r w:rsidRPr="00281287">
        <w:rPr>
          <w:rFonts w:cs="Times New Roman"/>
          <w:sz w:val="24"/>
          <w:szCs w:val="24"/>
        </w:rPr>
        <w:t xml:space="preserve"> </w:t>
      </w:r>
      <w:hyperlink r:id="rId23" w:history="1">
        <w:r w:rsidRPr="0034348A">
          <w:rPr>
            <w:rStyle w:val="Hyperlink"/>
            <w:rFonts w:asciiTheme="minorHAnsi" w:hAnsiTheme="minorHAnsi" w:cs="Times New Roman"/>
            <w:sz w:val="24"/>
            <w:szCs w:val="24"/>
          </w:rPr>
          <w:t xml:space="preserve">Federal Law </w:t>
        </w:r>
        <w:r w:rsidRPr="0034348A">
          <w:rPr>
            <w:rStyle w:val="Hyperlink"/>
            <w:rFonts w:asciiTheme="minorHAnsi" w:eastAsia="Times New Roman" w:hAnsiTheme="minorHAnsi" w:cs="Times New Roman"/>
            <w:sz w:val="24"/>
            <w:szCs w:val="24"/>
            <w:lang w:val="en-US" w:eastAsia="en-AU"/>
          </w:rPr>
          <w:t>Search</w:t>
        </w:r>
      </w:hyperlink>
      <w:r w:rsidR="000769CA">
        <w:rPr>
          <w:rFonts w:eastAsia="Times New Roman" w:cs="Times New Roman"/>
          <w:sz w:val="24"/>
          <w:szCs w:val="24"/>
          <w:lang w:val="en-US" w:eastAsia="en-AU"/>
        </w:rPr>
        <w:t xml:space="preserve">, which </w:t>
      </w:r>
      <w:r w:rsidR="006E5E0F">
        <w:rPr>
          <w:rFonts w:eastAsia="Times New Roman" w:cs="Times New Roman"/>
          <w:sz w:val="24"/>
          <w:szCs w:val="24"/>
          <w:lang w:val="en-US" w:eastAsia="en-AU"/>
        </w:rPr>
        <w:t>is</w:t>
      </w:r>
      <w:r w:rsidR="000769CA">
        <w:rPr>
          <w:rFonts w:eastAsia="Times New Roman" w:cs="Times New Roman"/>
          <w:sz w:val="24"/>
          <w:szCs w:val="24"/>
          <w:lang w:val="en-US" w:eastAsia="en-AU"/>
        </w:rPr>
        <w:t xml:space="preserve"> accessed through</w:t>
      </w:r>
      <w:r w:rsidR="000769CA" w:rsidRPr="00281287">
        <w:rPr>
          <w:rFonts w:cs="Times New Roman"/>
          <w:sz w:val="24"/>
          <w:szCs w:val="24"/>
        </w:rPr>
        <w:t xml:space="preserve"> </w:t>
      </w:r>
      <w:r w:rsidRPr="00281287">
        <w:rPr>
          <w:rFonts w:cs="Times New Roman"/>
          <w:sz w:val="24"/>
          <w:szCs w:val="24"/>
        </w:rPr>
        <w:t xml:space="preserve">the Court’s website. </w:t>
      </w:r>
    </w:p>
    <w:p w:rsidR="00CE1A1F" w:rsidRPr="00281287" w:rsidRDefault="00C2732F" w:rsidP="00230BA8">
      <w:pPr>
        <w:pStyle w:val="ListParagraph"/>
        <w:numPr>
          <w:ilvl w:val="1"/>
          <w:numId w:val="38"/>
        </w:numPr>
        <w:spacing w:after="240"/>
        <w:ind w:left="709" w:hanging="709"/>
        <w:contextualSpacing w:val="0"/>
        <w:jc w:val="both"/>
        <w:rPr>
          <w:rFonts w:cs="Times New Roman"/>
          <w:sz w:val="24"/>
          <w:szCs w:val="24"/>
        </w:rPr>
      </w:pPr>
      <w:r w:rsidRPr="00281287">
        <w:rPr>
          <w:rFonts w:cs="Times New Roman"/>
          <w:sz w:val="24"/>
          <w:szCs w:val="24"/>
        </w:rPr>
        <w:t xml:space="preserve">If </w:t>
      </w:r>
      <w:r w:rsidR="006E5E0F">
        <w:rPr>
          <w:rFonts w:cs="Times New Roman"/>
          <w:sz w:val="24"/>
          <w:szCs w:val="24"/>
        </w:rPr>
        <w:t xml:space="preserve">the </w:t>
      </w:r>
      <w:r w:rsidR="000769CA">
        <w:rPr>
          <w:rFonts w:cs="Times New Roman"/>
          <w:sz w:val="24"/>
          <w:szCs w:val="24"/>
        </w:rPr>
        <w:t>applicant fails</w:t>
      </w:r>
      <w:r w:rsidR="000769CA" w:rsidRPr="00281287">
        <w:rPr>
          <w:rFonts w:cs="Times New Roman"/>
          <w:sz w:val="24"/>
          <w:szCs w:val="24"/>
        </w:rPr>
        <w:t xml:space="preserve"> </w:t>
      </w:r>
      <w:r w:rsidR="003509ED">
        <w:rPr>
          <w:rFonts w:cs="Times New Roman"/>
          <w:sz w:val="24"/>
          <w:szCs w:val="24"/>
        </w:rPr>
        <w:t>to attend c</w:t>
      </w:r>
      <w:r w:rsidRPr="00281287">
        <w:rPr>
          <w:rFonts w:cs="Times New Roman"/>
          <w:sz w:val="24"/>
          <w:szCs w:val="24"/>
        </w:rPr>
        <w:t xml:space="preserve">ourt at the time specified, the Court may make orders in </w:t>
      </w:r>
      <w:r w:rsidR="000769CA">
        <w:rPr>
          <w:rFonts w:cs="Times New Roman"/>
          <w:sz w:val="24"/>
          <w:szCs w:val="24"/>
        </w:rPr>
        <w:t>their</w:t>
      </w:r>
      <w:r w:rsidR="000769CA" w:rsidRPr="00281287">
        <w:rPr>
          <w:rFonts w:cs="Times New Roman"/>
          <w:sz w:val="24"/>
          <w:szCs w:val="24"/>
        </w:rPr>
        <w:t xml:space="preserve"> </w:t>
      </w:r>
      <w:r w:rsidRPr="00281287">
        <w:rPr>
          <w:rFonts w:cs="Times New Roman"/>
          <w:sz w:val="24"/>
          <w:szCs w:val="24"/>
        </w:rPr>
        <w:t xml:space="preserve">absence, including an order that </w:t>
      </w:r>
      <w:r w:rsidR="000769CA">
        <w:rPr>
          <w:rFonts w:cs="Times New Roman"/>
          <w:sz w:val="24"/>
          <w:szCs w:val="24"/>
        </w:rPr>
        <w:t>the</w:t>
      </w:r>
      <w:r w:rsidR="000769CA" w:rsidRPr="00281287">
        <w:rPr>
          <w:rFonts w:cs="Times New Roman"/>
          <w:sz w:val="24"/>
          <w:szCs w:val="24"/>
        </w:rPr>
        <w:t xml:space="preserve"> </w:t>
      </w:r>
      <w:r w:rsidRPr="00281287">
        <w:rPr>
          <w:rFonts w:cs="Times New Roman"/>
          <w:sz w:val="24"/>
          <w:szCs w:val="24"/>
        </w:rPr>
        <w:t>application be dismissed.</w:t>
      </w:r>
      <w:r w:rsidR="00CE1A1F" w:rsidRPr="00281287">
        <w:rPr>
          <w:rFonts w:cs="Times New Roman"/>
          <w:sz w:val="24"/>
          <w:szCs w:val="24"/>
        </w:rPr>
        <w:t xml:space="preserve"> </w:t>
      </w:r>
    </w:p>
    <w:p w:rsidR="007F265B" w:rsidRPr="00A3179C" w:rsidRDefault="00C2732F" w:rsidP="00596752">
      <w:pPr>
        <w:pStyle w:val="ListParagraph"/>
        <w:spacing w:after="240"/>
        <w:ind w:left="709"/>
        <w:contextualSpacing w:val="0"/>
        <w:jc w:val="both"/>
        <w:rPr>
          <w:rFonts w:eastAsia="Times New Roman" w:cs="Times New Roman"/>
          <w:i/>
          <w:sz w:val="24"/>
          <w:szCs w:val="24"/>
          <w:lang w:val="en-US" w:eastAsia="en-AU"/>
        </w:rPr>
      </w:pPr>
      <w:r w:rsidRPr="00A3179C">
        <w:rPr>
          <w:rFonts w:eastAsia="Times New Roman" w:cs="Times New Roman"/>
          <w:i/>
          <w:sz w:val="24"/>
          <w:szCs w:val="24"/>
          <w:lang w:val="en-US" w:eastAsia="en-AU"/>
        </w:rPr>
        <w:t>Service</w:t>
      </w:r>
    </w:p>
    <w:p w:rsidR="007C70FD" w:rsidRPr="00C2510A" w:rsidRDefault="00350A79" w:rsidP="00230BA8">
      <w:pPr>
        <w:pStyle w:val="ListParagraph"/>
        <w:numPr>
          <w:ilvl w:val="1"/>
          <w:numId w:val="38"/>
        </w:numPr>
        <w:spacing w:after="240"/>
        <w:ind w:left="709" w:hanging="709"/>
        <w:contextualSpacing w:val="0"/>
        <w:jc w:val="both"/>
        <w:rPr>
          <w:rFonts w:eastAsia="Times New Roman" w:cs="Times New Roman"/>
          <w:sz w:val="24"/>
          <w:szCs w:val="24"/>
          <w:lang w:val="en-US" w:eastAsia="en-AU"/>
        </w:rPr>
      </w:pPr>
      <w:r w:rsidRPr="008405DC">
        <w:rPr>
          <w:rFonts w:eastAsia="Times New Roman" w:cs="Times New Roman"/>
          <w:sz w:val="24"/>
          <w:szCs w:val="24"/>
          <w:lang w:val="en-US" w:eastAsia="en-AU"/>
        </w:rPr>
        <w:t>W</w:t>
      </w:r>
      <w:r w:rsidR="007E270F" w:rsidRPr="008405DC">
        <w:rPr>
          <w:rFonts w:eastAsia="Times New Roman" w:cs="Times New Roman"/>
          <w:sz w:val="24"/>
          <w:szCs w:val="24"/>
          <w:lang w:val="en-US" w:eastAsia="en-AU"/>
        </w:rPr>
        <w:t xml:space="preserve">ithin 3 days </w:t>
      </w:r>
      <w:r w:rsidRPr="008405DC">
        <w:rPr>
          <w:rFonts w:eastAsia="Times New Roman" w:cs="Times New Roman"/>
          <w:sz w:val="24"/>
          <w:szCs w:val="24"/>
          <w:lang w:val="en-US" w:eastAsia="en-AU"/>
        </w:rPr>
        <w:t>of filing the application, the Applicant must serve a copy of the sealed documents on the Respondent at the add</w:t>
      </w:r>
      <w:r w:rsidR="00AE0DB0">
        <w:rPr>
          <w:rFonts w:eastAsia="Times New Roman" w:cs="Times New Roman"/>
          <w:sz w:val="24"/>
          <w:szCs w:val="24"/>
          <w:lang w:val="en-US" w:eastAsia="en-AU"/>
        </w:rPr>
        <w:t>ress for service stated on the bankruptcy n</w:t>
      </w:r>
      <w:r w:rsidRPr="008405DC">
        <w:rPr>
          <w:rFonts w:eastAsia="Times New Roman" w:cs="Times New Roman"/>
          <w:sz w:val="24"/>
          <w:szCs w:val="24"/>
          <w:lang w:val="en-US" w:eastAsia="en-AU"/>
        </w:rPr>
        <w:t>otice (r</w:t>
      </w:r>
      <w:r w:rsidR="0034348A">
        <w:rPr>
          <w:rFonts w:eastAsia="Times New Roman" w:cs="Times New Roman"/>
          <w:sz w:val="24"/>
          <w:szCs w:val="24"/>
          <w:lang w:val="en-US" w:eastAsia="en-AU"/>
        </w:rPr>
        <w:t xml:space="preserve"> </w:t>
      </w:r>
      <w:r w:rsidRPr="008405DC">
        <w:rPr>
          <w:rFonts w:eastAsia="Times New Roman" w:cs="Times New Roman"/>
          <w:sz w:val="24"/>
          <w:szCs w:val="24"/>
          <w:lang w:val="en-US" w:eastAsia="en-AU"/>
        </w:rPr>
        <w:t xml:space="preserve">3.02(5) of the </w:t>
      </w:r>
      <w:r w:rsidRPr="0034348A">
        <w:rPr>
          <w:rFonts w:eastAsia="Times New Roman" w:cs="Times New Roman"/>
          <w:sz w:val="24"/>
          <w:szCs w:val="24"/>
          <w:lang w:val="en-US" w:eastAsia="en-AU"/>
        </w:rPr>
        <w:t>Bankruptcy Rules</w:t>
      </w:r>
      <w:r w:rsidRPr="008405DC">
        <w:rPr>
          <w:rFonts w:eastAsia="Times New Roman" w:cs="Times New Roman"/>
          <w:sz w:val="24"/>
          <w:szCs w:val="24"/>
          <w:lang w:val="en-US" w:eastAsia="en-AU"/>
        </w:rPr>
        <w:t xml:space="preserve">).  </w:t>
      </w:r>
      <w:r w:rsidR="00074BF8" w:rsidRPr="00C2510A">
        <w:rPr>
          <w:rFonts w:eastAsia="Times New Roman" w:cs="Times New Roman"/>
          <w:sz w:val="24"/>
          <w:szCs w:val="24"/>
          <w:lang w:val="en-US" w:eastAsia="en-AU"/>
        </w:rPr>
        <w:t xml:space="preserve"> </w:t>
      </w:r>
    </w:p>
    <w:p w:rsidR="00C2732F" w:rsidRPr="00596752" w:rsidRDefault="00F6642A" w:rsidP="00860290">
      <w:pPr>
        <w:pStyle w:val="ListParagraph"/>
        <w:keepNext/>
        <w:numPr>
          <w:ilvl w:val="0"/>
          <w:numId w:val="28"/>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Hearing of the a</w:t>
      </w:r>
      <w:r w:rsidR="00596752" w:rsidRPr="00596752">
        <w:rPr>
          <w:rFonts w:eastAsia="Times New Roman" w:cs="Arial"/>
          <w:b/>
          <w:sz w:val="28"/>
          <w:szCs w:val="28"/>
          <w:lang w:val="en-US" w:eastAsia="en-AU"/>
        </w:rPr>
        <w:t>pplication</w:t>
      </w:r>
    </w:p>
    <w:p w:rsidR="00396D2C" w:rsidRPr="00396D2C" w:rsidRDefault="00ED517B" w:rsidP="00860290">
      <w:pPr>
        <w:pStyle w:val="ListParagraph"/>
        <w:keepNext/>
        <w:numPr>
          <w:ilvl w:val="1"/>
          <w:numId w:val="40"/>
        </w:numPr>
        <w:spacing w:after="240"/>
        <w:ind w:left="709" w:hanging="709"/>
        <w:contextualSpacing w:val="0"/>
        <w:jc w:val="both"/>
        <w:rPr>
          <w:rFonts w:cs="Times New Roman"/>
          <w:sz w:val="24"/>
          <w:szCs w:val="24"/>
        </w:rPr>
      </w:pPr>
      <w:r>
        <w:rPr>
          <w:rFonts w:cs="Times New Roman"/>
          <w:sz w:val="24"/>
          <w:szCs w:val="24"/>
        </w:rPr>
        <w:t>The a</w:t>
      </w:r>
      <w:r w:rsidR="00396D2C">
        <w:rPr>
          <w:rFonts w:cs="Times New Roman"/>
          <w:sz w:val="24"/>
          <w:szCs w:val="24"/>
        </w:rPr>
        <w:t xml:space="preserve">pplication to set aside the bankruptcy will be given a hearing date, time and place which can be </w:t>
      </w:r>
      <w:r>
        <w:rPr>
          <w:rFonts w:cs="Times New Roman"/>
          <w:sz w:val="24"/>
          <w:szCs w:val="24"/>
        </w:rPr>
        <w:t>found on the cover page of the a</w:t>
      </w:r>
      <w:r w:rsidR="00396D2C">
        <w:rPr>
          <w:rFonts w:cs="Times New Roman"/>
          <w:sz w:val="24"/>
          <w:szCs w:val="24"/>
        </w:rPr>
        <w:t xml:space="preserve">pplication. It is critical that the debtor attend the hearing otherwise the Court will dismiss the application and also make a cost order in favour of the creditor. If the proceedings are dismissed, the creditor may immediately </w:t>
      </w:r>
      <w:r w:rsidR="0034348A">
        <w:rPr>
          <w:rFonts w:cs="Times New Roman"/>
          <w:sz w:val="24"/>
          <w:szCs w:val="24"/>
        </w:rPr>
        <w:t>file/ present a petition for</w:t>
      </w:r>
      <w:r w:rsidR="003509ED">
        <w:rPr>
          <w:rFonts w:cs="Times New Roman"/>
          <w:sz w:val="24"/>
          <w:szCs w:val="24"/>
        </w:rPr>
        <w:t xml:space="preserve"> a s</w:t>
      </w:r>
      <w:r w:rsidR="00396D2C">
        <w:rPr>
          <w:rFonts w:cs="Times New Roman"/>
          <w:sz w:val="24"/>
          <w:szCs w:val="24"/>
        </w:rPr>
        <w:t xml:space="preserve">equestration </w:t>
      </w:r>
      <w:r w:rsidR="003509ED">
        <w:rPr>
          <w:rFonts w:cs="Times New Roman"/>
          <w:sz w:val="24"/>
          <w:szCs w:val="24"/>
        </w:rPr>
        <w:t>o</w:t>
      </w:r>
      <w:r w:rsidR="00396D2C">
        <w:rPr>
          <w:rFonts w:cs="Times New Roman"/>
          <w:sz w:val="24"/>
          <w:szCs w:val="24"/>
        </w:rPr>
        <w:t xml:space="preserve">rder that the debtor be made bankrupt. </w:t>
      </w:r>
    </w:p>
    <w:p w:rsidR="006A015A" w:rsidRPr="00C2510A" w:rsidRDefault="003509ED" w:rsidP="00860290">
      <w:pPr>
        <w:pStyle w:val="ListParagraph"/>
        <w:keepNext/>
        <w:numPr>
          <w:ilvl w:val="1"/>
          <w:numId w:val="40"/>
        </w:numPr>
        <w:spacing w:after="240"/>
        <w:ind w:left="709" w:hanging="709"/>
        <w:contextualSpacing w:val="0"/>
        <w:jc w:val="both"/>
        <w:rPr>
          <w:rFonts w:cs="Times New Roman"/>
          <w:sz w:val="24"/>
          <w:szCs w:val="24"/>
        </w:rPr>
      </w:pPr>
      <w:r>
        <w:rPr>
          <w:rFonts w:eastAsia="Times New Roman" w:cs="Times New Roman"/>
          <w:sz w:val="24"/>
          <w:szCs w:val="24"/>
          <w:lang w:val="en-US" w:eastAsia="en-AU"/>
        </w:rPr>
        <w:t>The creditor who issued the bankruptcy n</w:t>
      </w:r>
      <w:r w:rsidR="006A015A">
        <w:rPr>
          <w:rFonts w:eastAsia="Times New Roman" w:cs="Times New Roman"/>
          <w:sz w:val="24"/>
          <w:szCs w:val="24"/>
          <w:lang w:val="en-US" w:eastAsia="en-AU"/>
        </w:rPr>
        <w:t xml:space="preserve">otice may wish to oppose the debtor’s application. If so, the creditor will be required to file a notice </w:t>
      </w:r>
      <w:r w:rsidR="00DB08E8">
        <w:rPr>
          <w:rFonts w:eastAsia="Times New Roman" w:cs="Times New Roman"/>
          <w:sz w:val="24"/>
          <w:szCs w:val="24"/>
          <w:lang w:val="en-US" w:eastAsia="en-AU"/>
        </w:rPr>
        <w:t xml:space="preserve">stating grounds </w:t>
      </w:r>
      <w:r w:rsidR="006A015A">
        <w:rPr>
          <w:rFonts w:eastAsia="Times New Roman" w:cs="Times New Roman"/>
          <w:sz w:val="24"/>
          <w:szCs w:val="24"/>
          <w:lang w:val="en-US" w:eastAsia="en-AU"/>
        </w:rPr>
        <w:t>of opposition</w:t>
      </w:r>
      <w:r w:rsidR="00DB08E8">
        <w:rPr>
          <w:rFonts w:eastAsia="Times New Roman" w:cs="Times New Roman"/>
          <w:sz w:val="24"/>
          <w:szCs w:val="24"/>
          <w:lang w:val="en-US" w:eastAsia="en-AU"/>
        </w:rPr>
        <w:t xml:space="preserve"> to the </w:t>
      </w:r>
      <w:r w:rsidR="006D3726">
        <w:rPr>
          <w:rFonts w:eastAsia="Times New Roman" w:cs="Times New Roman"/>
          <w:sz w:val="24"/>
          <w:szCs w:val="24"/>
          <w:lang w:val="en-US" w:eastAsia="en-AU"/>
        </w:rPr>
        <w:t>application</w:t>
      </w:r>
      <w:r w:rsidR="006A015A">
        <w:rPr>
          <w:rFonts w:eastAsia="Times New Roman" w:cs="Times New Roman"/>
          <w:sz w:val="24"/>
          <w:szCs w:val="24"/>
          <w:lang w:val="en-US" w:eastAsia="en-AU"/>
        </w:rPr>
        <w:t>.</w:t>
      </w:r>
      <w:r w:rsidR="00093F41">
        <w:rPr>
          <w:rFonts w:eastAsia="Times New Roman" w:cs="Times New Roman"/>
          <w:sz w:val="24"/>
          <w:szCs w:val="24"/>
          <w:lang w:val="en-US" w:eastAsia="en-AU"/>
        </w:rPr>
        <w:t xml:space="preserve"> The creditor may also be required to file and serve evidence in support of its grounds of opposition.</w:t>
      </w:r>
    </w:p>
    <w:p w:rsidR="006A015A" w:rsidRPr="00C2510A" w:rsidRDefault="00093F41" w:rsidP="00230BA8">
      <w:pPr>
        <w:pStyle w:val="ListParagraph"/>
        <w:numPr>
          <w:ilvl w:val="1"/>
          <w:numId w:val="40"/>
        </w:numPr>
        <w:spacing w:after="240"/>
        <w:ind w:left="709" w:hanging="709"/>
        <w:contextualSpacing w:val="0"/>
        <w:jc w:val="both"/>
        <w:rPr>
          <w:rFonts w:cs="Times New Roman"/>
          <w:sz w:val="24"/>
          <w:szCs w:val="24"/>
        </w:rPr>
      </w:pPr>
      <w:r>
        <w:rPr>
          <w:rFonts w:eastAsia="Times New Roman" w:cs="Times New Roman"/>
          <w:sz w:val="24"/>
          <w:szCs w:val="24"/>
          <w:lang w:val="en-US" w:eastAsia="en-AU"/>
        </w:rPr>
        <w:t xml:space="preserve">At the hearing of the </w:t>
      </w:r>
      <w:r w:rsidR="00DE6531">
        <w:rPr>
          <w:rFonts w:eastAsia="Times New Roman" w:cs="Times New Roman"/>
          <w:sz w:val="24"/>
          <w:szCs w:val="24"/>
          <w:lang w:val="en-US" w:eastAsia="en-AU"/>
        </w:rPr>
        <w:t>matter</w:t>
      </w:r>
      <w:r>
        <w:rPr>
          <w:rFonts w:eastAsia="Times New Roman" w:cs="Times New Roman"/>
          <w:sz w:val="24"/>
          <w:szCs w:val="24"/>
          <w:lang w:val="en-US" w:eastAsia="en-AU"/>
        </w:rPr>
        <w:t xml:space="preserve">, the Court will consider </w:t>
      </w:r>
      <w:r w:rsidR="0011664F">
        <w:rPr>
          <w:rFonts w:eastAsia="Times New Roman" w:cs="Times New Roman"/>
          <w:sz w:val="24"/>
          <w:szCs w:val="24"/>
          <w:lang w:val="en-US" w:eastAsia="en-AU"/>
        </w:rPr>
        <w:t>the</w:t>
      </w:r>
      <w:r w:rsidR="00DE6531">
        <w:rPr>
          <w:rFonts w:eastAsia="Times New Roman" w:cs="Times New Roman"/>
          <w:sz w:val="24"/>
          <w:szCs w:val="24"/>
          <w:lang w:val="en-US" w:eastAsia="en-AU"/>
        </w:rPr>
        <w:t xml:space="preserve"> debtor’s application</w:t>
      </w:r>
      <w:r w:rsidR="00FB3A3B">
        <w:rPr>
          <w:rFonts w:eastAsia="Times New Roman" w:cs="Times New Roman"/>
          <w:sz w:val="24"/>
          <w:szCs w:val="24"/>
          <w:lang w:val="en-US" w:eastAsia="en-AU"/>
        </w:rPr>
        <w:t xml:space="preserve"> having regard to</w:t>
      </w:r>
      <w:r w:rsidR="00DE6531">
        <w:rPr>
          <w:rFonts w:eastAsia="Times New Roman" w:cs="Times New Roman"/>
          <w:sz w:val="24"/>
          <w:szCs w:val="24"/>
          <w:lang w:val="en-US" w:eastAsia="en-AU"/>
        </w:rPr>
        <w:t xml:space="preserve"> </w:t>
      </w:r>
      <w:r w:rsidR="006D3726">
        <w:rPr>
          <w:rFonts w:eastAsia="Times New Roman" w:cs="Times New Roman"/>
          <w:sz w:val="24"/>
          <w:szCs w:val="24"/>
          <w:lang w:val="en-US" w:eastAsia="en-AU"/>
        </w:rPr>
        <w:t xml:space="preserve">all </w:t>
      </w:r>
      <w:r w:rsidR="00FB3A3B">
        <w:rPr>
          <w:rFonts w:eastAsia="Times New Roman" w:cs="Times New Roman"/>
          <w:sz w:val="24"/>
          <w:szCs w:val="24"/>
          <w:lang w:val="en-US" w:eastAsia="en-AU"/>
        </w:rPr>
        <w:t xml:space="preserve">relevant </w:t>
      </w:r>
      <w:r w:rsidR="006D3726">
        <w:rPr>
          <w:rFonts w:eastAsia="Times New Roman" w:cs="Times New Roman"/>
          <w:sz w:val="24"/>
          <w:szCs w:val="24"/>
          <w:lang w:val="en-US" w:eastAsia="en-AU"/>
        </w:rPr>
        <w:t>evi</w:t>
      </w:r>
      <w:r w:rsidR="00396D2C">
        <w:rPr>
          <w:rFonts w:eastAsia="Times New Roman" w:cs="Times New Roman"/>
          <w:sz w:val="24"/>
          <w:szCs w:val="24"/>
          <w:lang w:val="en-US" w:eastAsia="en-AU"/>
        </w:rPr>
        <w:t xml:space="preserve">dence and submissions before it. </w:t>
      </w:r>
    </w:p>
    <w:p w:rsidR="000C7E00" w:rsidRPr="000C7E00" w:rsidRDefault="004C5857" w:rsidP="00230BA8">
      <w:pPr>
        <w:pStyle w:val="ListParagraph"/>
        <w:numPr>
          <w:ilvl w:val="1"/>
          <w:numId w:val="40"/>
        </w:numPr>
        <w:spacing w:after="240"/>
        <w:ind w:left="709" w:hanging="709"/>
        <w:contextualSpacing w:val="0"/>
        <w:jc w:val="both"/>
        <w:rPr>
          <w:rFonts w:cs="Times New Roman"/>
          <w:sz w:val="24"/>
          <w:szCs w:val="24"/>
        </w:rPr>
      </w:pPr>
      <w:r>
        <w:rPr>
          <w:rFonts w:eastAsia="Times New Roman" w:cs="Times New Roman"/>
          <w:sz w:val="24"/>
          <w:szCs w:val="24"/>
          <w:lang w:val="en-US" w:eastAsia="en-AU"/>
        </w:rPr>
        <w:t>The Court may make orders</w:t>
      </w:r>
      <w:r w:rsidR="00396D2C">
        <w:rPr>
          <w:rFonts w:eastAsia="Times New Roman" w:cs="Times New Roman"/>
          <w:sz w:val="24"/>
          <w:szCs w:val="24"/>
          <w:lang w:val="en-US" w:eastAsia="en-AU"/>
        </w:rPr>
        <w:t xml:space="preserve"> that: </w:t>
      </w:r>
    </w:p>
    <w:p w:rsidR="000C7E00" w:rsidRPr="000C7E00" w:rsidRDefault="003509ED" w:rsidP="000C7E00">
      <w:pPr>
        <w:pStyle w:val="ListParagraph"/>
        <w:numPr>
          <w:ilvl w:val="0"/>
          <w:numId w:val="19"/>
        </w:numPr>
        <w:spacing w:after="240"/>
        <w:contextualSpacing w:val="0"/>
        <w:jc w:val="both"/>
        <w:rPr>
          <w:rFonts w:cs="Times New Roman"/>
          <w:sz w:val="24"/>
          <w:szCs w:val="24"/>
        </w:rPr>
      </w:pPr>
      <w:r>
        <w:rPr>
          <w:rFonts w:eastAsia="Times New Roman" w:cs="Times New Roman"/>
          <w:sz w:val="24"/>
          <w:szCs w:val="24"/>
          <w:lang w:val="en-US" w:eastAsia="en-AU"/>
        </w:rPr>
        <w:t>set aside the b</w:t>
      </w:r>
      <w:r w:rsidR="00396D2C">
        <w:rPr>
          <w:rFonts w:eastAsia="Times New Roman" w:cs="Times New Roman"/>
          <w:sz w:val="24"/>
          <w:szCs w:val="24"/>
          <w:lang w:val="en-US" w:eastAsia="en-AU"/>
        </w:rPr>
        <w:t xml:space="preserve">ankruptcy </w:t>
      </w:r>
      <w:r>
        <w:rPr>
          <w:rFonts w:eastAsia="Times New Roman" w:cs="Times New Roman"/>
          <w:sz w:val="24"/>
          <w:szCs w:val="24"/>
          <w:lang w:val="en-US" w:eastAsia="en-AU"/>
        </w:rPr>
        <w:t>n</w:t>
      </w:r>
      <w:r w:rsidR="00396D2C">
        <w:rPr>
          <w:rFonts w:eastAsia="Times New Roman" w:cs="Times New Roman"/>
          <w:sz w:val="24"/>
          <w:szCs w:val="24"/>
          <w:lang w:val="en-US" w:eastAsia="en-AU"/>
        </w:rPr>
        <w:t>otice;</w:t>
      </w:r>
      <w:r w:rsidR="004C5857">
        <w:rPr>
          <w:rFonts w:eastAsia="Times New Roman" w:cs="Times New Roman"/>
          <w:sz w:val="24"/>
          <w:szCs w:val="24"/>
          <w:lang w:val="en-US" w:eastAsia="en-AU"/>
        </w:rPr>
        <w:t xml:space="preserve"> </w:t>
      </w:r>
    </w:p>
    <w:p w:rsidR="000C7E00" w:rsidRPr="000C7E00" w:rsidRDefault="00396D2C" w:rsidP="000C7E00">
      <w:pPr>
        <w:pStyle w:val="ListParagraph"/>
        <w:numPr>
          <w:ilvl w:val="0"/>
          <w:numId w:val="19"/>
        </w:numPr>
        <w:spacing w:after="240"/>
        <w:contextualSpacing w:val="0"/>
        <w:jc w:val="both"/>
        <w:rPr>
          <w:rFonts w:cs="Times New Roman"/>
          <w:sz w:val="24"/>
          <w:szCs w:val="24"/>
        </w:rPr>
      </w:pPr>
      <w:r>
        <w:rPr>
          <w:rFonts w:eastAsia="Times New Roman" w:cs="Times New Roman"/>
          <w:sz w:val="24"/>
          <w:szCs w:val="24"/>
          <w:lang w:val="en-US" w:eastAsia="en-AU"/>
        </w:rPr>
        <w:t>extend</w:t>
      </w:r>
      <w:r w:rsidR="00FB3A3B">
        <w:rPr>
          <w:rFonts w:eastAsia="Times New Roman" w:cs="Times New Roman"/>
          <w:sz w:val="24"/>
          <w:szCs w:val="24"/>
          <w:lang w:val="en-US" w:eastAsia="en-AU"/>
        </w:rPr>
        <w:t xml:space="preserve"> time for compli</w:t>
      </w:r>
      <w:r w:rsidR="003509ED">
        <w:rPr>
          <w:rFonts w:eastAsia="Times New Roman" w:cs="Times New Roman"/>
          <w:sz w:val="24"/>
          <w:szCs w:val="24"/>
          <w:lang w:val="en-US" w:eastAsia="en-AU"/>
        </w:rPr>
        <w:t>ance with the bankruptcy n</w:t>
      </w:r>
      <w:r>
        <w:rPr>
          <w:rFonts w:eastAsia="Times New Roman" w:cs="Times New Roman"/>
          <w:sz w:val="24"/>
          <w:szCs w:val="24"/>
          <w:lang w:val="en-US" w:eastAsia="en-AU"/>
        </w:rPr>
        <w:t>otice</w:t>
      </w:r>
      <w:r w:rsidR="00FB3A3B">
        <w:rPr>
          <w:rFonts w:eastAsia="Times New Roman" w:cs="Times New Roman"/>
          <w:sz w:val="24"/>
          <w:szCs w:val="24"/>
          <w:lang w:val="en-US" w:eastAsia="en-AU"/>
        </w:rPr>
        <w:t xml:space="preserve"> </w:t>
      </w:r>
      <w:r>
        <w:rPr>
          <w:rFonts w:eastAsia="Times New Roman" w:cs="Times New Roman"/>
          <w:sz w:val="24"/>
          <w:szCs w:val="24"/>
          <w:lang w:val="en-US" w:eastAsia="en-AU"/>
        </w:rPr>
        <w:t xml:space="preserve">until an adjourned date; or </w:t>
      </w:r>
    </w:p>
    <w:p w:rsidR="004C5857" w:rsidRPr="00C2510A" w:rsidRDefault="00396D2C" w:rsidP="000C7E00">
      <w:pPr>
        <w:pStyle w:val="ListParagraph"/>
        <w:numPr>
          <w:ilvl w:val="0"/>
          <w:numId w:val="19"/>
        </w:numPr>
        <w:spacing w:after="240"/>
        <w:contextualSpacing w:val="0"/>
        <w:jc w:val="both"/>
        <w:rPr>
          <w:rFonts w:cs="Times New Roman"/>
          <w:sz w:val="24"/>
          <w:szCs w:val="24"/>
        </w:rPr>
      </w:pPr>
      <w:r>
        <w:rPr>
          <w:rFonts w:eastAsia="Times New Roman" w:cs="Times New Roman"/>
          <w:sz w:val="24"/>
          <w:szCs w:val="24"/>
          <w:lang w:val="en-US" w:eastAsia="en-AU"/>
        </w:rPr>
        <w:t>dismiss</w:t>
      </w:r>
      <w:r w:rsidR="004C5857">
        <w:rPr>
          <w:rFonts w:eastAsia="Times New Roman" w:cs="Times New Roman"/>
          <w:sz w:val="24"/>
          <w:szCs w:val="24"/>
          <w:lang w:val="en-US" w:eastAsia="en-AU"/>
        </w:rPr>
        <w:t xml:space="preserve"> the application. </w:t>
      </w:r>
    </w:p>
    <w:p w:rsidR="000C7E00" w:rsidRDefault="00F67530" w:rsidP="005D41E9">
      <w:pPr>
        <w:pStyle w:val="ListParagraph"/>
        <w:numPr>
          <w:ilvl w:val="1"/>
          <w:numId w:val="40"/>
        </w:numPr>
        <w:spacing w:after="240"/>
        <w:ind w:left="709" w:hanging="709"/>
        <w:contextualSpacing w:val="0"/>
        <w:jc w:val="both"/>
        <w:rPr>
          <w:rFonts w:cs="Times New Roman"/>
          <w:sz w:val="24"/>
          <w:szCs w:val="24"/>
        </w:rPr>
      </w:pPr>
      <w:r>
        <w:rPr>
          <w:rFonts w:cs="Times New Roman"/>
          <w:sz w:val="24"/>
          <w:szCs w:val="24"/>
        </w:rPr>
        <w:t>If the C</w:t>
      </w:r>
      <w:r w:rsidR="003509ED">
        <w:rPr>
          <w:rFonts w:cs="Times New Roman"/>
          <w:sz w:val="24"/>
          <w:szCs w:val="24"/>
        </w:rPr>
        <w:t>ourt sets aside the bankruptcy n</w:t>
      </w:r>
      <w:r w:rsidR="000C7E00">
        <w:rPr>
          <w:rFonts w:cs="Times New Roman"/>
          <w:sz w:val="24"/>
          <w:szCs w:val="24"/>
        </w:rPr>
        <w:t xml:space="preserve">otice, there will be no act of bankruptcy that could </w:t>
      </w:r>
      <w:r w:rsidR="00E463B7">
        <w:rPr>
          <w:rFonts w:cs="Times New Roman"/>
          <w:sz w:val="24"/>
          <w:szCs w:val="24"/>
        </w:rPr>
        <w:t xml:space="preserve">support </w:t>
      </w:r>
      <w:r w:rsidR="000C7E00">
        <w:rPr>
          <w:rFonts w:cs="Times New Roman"/>
          <w:sz w:val="24"/>
          <w:szCs w:val="24"/>
        </w:rPr>
        <w:t>fili</w:t>
      </w:r>
      <w:r w:rsidR="003509ED">
        <w:rPr>
          <w:rFonts w:cs="Times New Roman"/>
          <w:sz w:val="24"/>
          <w:szCs w:val="24"/>
        </w:rPr>
        <w:t>ng a creditor’s petition for a sequestration o</w:t>
      </w:r>
      <w:r w:rsidR="000C7E00">
        <w:rPr>
          <w:rFonts w:cs="Times New Roman"/>
          <w:sz w:val="24"/>
          <w:szCs w:val="24"/>
        </w:rPr>
        <w:t>rder bankrupting the debtor. But depending on the</w:t>
      </w:r>
      <w:r w:rsidR="003509ED">
        <w:rPr>
          <w:rFonts w:cs="Times New Roman"/>
          <w:sz w:val="24"/>
          <w:szCs w:val="24"/>
        </w:rPr>
        <w:t xml:space="preserve"> reasons for setting aside the bankruptcy n</w:t>
      </w:r>
      <w:r w:rsidR="000C7E00">
        <w:rPr>
          <w:rFonts w:cs="Times New Roman"/>
          <w:sz w:val="24"/>
          <w:szCs w:val="24"/>
        </w:rPr>
        <w:t>otice, the creditor may seek to enforce the debt in a</w:t>
      </w:r>
      <w:r w:rsidR="003509ED">
        <w:rPr>
          <w:rFonts w:cs="Times New Roman"/>
          <w:sz w:val="24"/>
          <w:szCs w:val="24"/>
        </w:rPr>
        <w:t>nother way or to issue a fresh bankruptcy n</w:t>
      </w:r>
      <w:r w:rsidR="000C7E00">
        <w:rPr>
          <w:rFonts w:cs="Times New Roman"/>
          <w:sz w:val="24"/>
          <w:szCs w:val="24"/>
        </w:rPr>
        <w:t xml:space="preserve">otice.  </w:t>
      </w:r>
    </w:p>
    <w:p w:rsidR="000C7E00" w:rsidRDefault="000C7E00" w:rsidP="005D41E9">
      <w:pPr>
        <w:pStyle w:val="ListParagraph"/>
        <w:numPr>
          <w:ilvl w:val="1"/>
          <w:numId w:val="40"/>
        </w:numPr>
        <w:spacing w:after="240"/>
        <w:ind w:left="709" w:hanging="709"/>
        <w:contextualSpacing w:val="0"/>
        <w:jc w:val="both"/>
        <w:rPr>
          <w:rFonts w:cs="Times New Roman"/>
          <w:sz w:val="24"/>
          <w:szCs w:val="24"/>
        </w:rPr>
      </w:pPr>
      <w:r>
        <w:rPr>
          <w:rFonts w:cs="Times New Roman"/>
          <w:sz w:val="24"/>
          <w:szCs w:val="24"/>
        </w:rPr>
        <w:t xml:space="preserve">If the Court is persuaded to adjourn the application, it will also generally extend the time within which a </w:t>
      </w:r>
      <w:r w:rsidR="003509ED">
        <w:rPr>
          <w:rFonts w:cs="Times New Roman"/>
          <w:sz w:val="24"/>
          <w:szCs w:val="24"/>
        </w:rPr>
        <w:t>debtor has to comply with the bankruptcy n</w:t>
      </w:r>
      <w:r>
        <w:rPr>
          <w:rFonts w:cs="Times New Roman"/>
          <w:sz w:val="24"/>
          <w:szCs w:val="24"/>
        </w:rPr>
        <w:t xml:space="preserve">otice unless </w:t>
      </w:r>
      <w:r w:rsidR="00DD65CB">
        <w:rPr>
          <w:rFonts w:cs="Times New Roman"/>
          <w:sz w:val="24"/>
          <w:szCs w:val="24"/>
        </w:rPr>
        <w:t xml:space="preserve">there is a deemed extension time where a counterclaim, cross demand or set off is raised. </w:t>
      </w:r>
    </w:p>
    <w:p w:rsidR="00E463B7" w:rsidRPr="000C7E00" w:rsidRDefault="00E463B7" w:rsidP="005D41E9">
      <w:pPr>
        <w:pStyle w:val="ListParagraph"/>
        <w:numPr>
          <w:ilvl w:val="1"/>
          <w:numId w:val="40"/>
        </w:numPr>
        <w:spacing w:after="240"/>
        <w:ind w:left="709" w:hanging="709"/>
        <w:contextualSpacing w:val="0"/>
        <w:jc w:val="both"/>
        <w:rPr>
          <w:rFonts w:cs="Times New Roman"/>
          <w:sz w:val="24"/>
          <w:szCs w:val="24"/>
        </w:rPr>
      </w:pPr>
      <w:r>
        <w:rPr>
          <w:rFonts w:cs="Times New Roman"/>
          <w:sz w:val="24"/>
          <w:szCs w:val="24"/>
        </w:rPr>
        <w:t xml:space="preserve">If the Court dismisses the application, the debtor will commit an act of bankruptcy and the creditor may </w:t>
      </w:r>
      <w:r w:rsidR="00830A95">
        <w:rPr>
          <w:rFonts w:cs="Times New Roman"/>
          <w:sz w:val="24"/>
          <w:szCs w:val="24"/>
        </w:rPr>
        <w:t xml:space="preserve">commence separate proceedings by way of </w:t>
      </w:r>
      <w:r>
        <w:rPr>
          <w:rFonts w:cs="Times New Roman"/>
          <w:sz w:val="24"/>
          <w:szCs w:val="24"/>
        </w:rPr>
        <w:t xml:space="preserve">a petition applying for a sequestration order bankrupting the debtor. </w:t>
      </w:r>
    </w:p>
    <w:p w:rsidR="005D41E9" w:rsidRPr="005D41E9" w:rsidRDefault="00DE6531" w:rsidP="005D41E9">
      <w:pPr>
        <w:pStyle w:val="ListParagraph"/>
        <w:numPr>
          <w:ilvl w:val="1"/>
          <w:numId w:val="40"/>
        </w:numPr>
        <w:spacing w:after="240"/>
        <w:ind w:left="709" w:hanging="709"/>
        <w:contextualSpacing w:val="0"/>
        <w:jc w:val="both"/>
        <w:rPr>
          <w:rFonts w:cs="Times New Roman"/>
          <w:sz w:val="24"/>
          <w:szCs w:val="24"/>
        </w:rPr>
      </w:pPr>
      <w:r>
        <w:rPr>
          <w:rFonts w:eastAsia="Times New Roman" w:cs="Times New Roman"/>
          <w:sz w:val="24"/>
          <w:szCs w:val="24"/>
          <w:lang w:val="en-US" w:eastAsia="en-AU"/>
        </w:rPr>
        <w:t xml:space="preserve">The Court’s orders will be sealed </w:t>
      </w:r>
      <w:r w:rsidR="00396D2C">
        <w:rPr>
          <w:rFonts w:eastAsia="Times New Roman" w:cs="Times New Roman"/>
          <w:sz w:val="24"/>
          <w:szCs w:val="24"/>
          <w:lang w:val="en-US" w:eastAsia="en-AU"/>
        </w:rPr>
        <w:t xml:space="preserve">electronically </w:t>
      </w:r>
      <w:r>
        <w:rPr>
          <w:rFonts w:eastAsia="Times New Roman" w:cs="Times New Roman"/>
          <w:sz w:val="24"/>
          <w:szCs w:val="24"/>
          <w:lang w:val="en-US" w:eastAsia="en-AU"/>
        </w:rPr>
        <w:t xml:space="preserve">and made available online via the </w:t>
      </w:r>
      <w:hyperlink r:id="rId24" w:history="1">
        <w:r w:rsidRPr="0034348A">
          <w:rPr>
            <w:rStyle w:val="Hyperlink"/>
            <w:rFonts w:asciiTheme="minorHAnsi" w:eastAsia="Times New Roman" w:hAnsiTheme="minorHAnsi" w:cs="Times New Roman"/>
            <w:sz w:val="24"/>
            <w:szCs w:val="24"/>
            <w:lang w:val="en-US" w:eastAsia="en-AU"/>
          </w:rPr>
          <w:t>Commonwealth Courts Portal</w:t>
        </w:r>
      </w:hyperlink>
      <w:r>
        <w:rPr>
          <w:rFonts w:eastAsia="Times New Roman" w:cs="Times New Roman"/>
          <w:sz w:val="24"/>
          <w:szCs w:val="24"/>
          <w:lang w:val="en-US" w:eastAsia="en-AU"/>
        </w:rPr>
        <w:t xml:space="preserve"> within 24 hours.</w:t>
      </w:r>
      <w:r w:rsidR="005D41E9">
        <w:rPr>
          <w:rFonts w:eastAsia="Times New Roman" w:cs="Times New Roman"/>
          <w:sz w:val="24"/>
          <w:szCs w:val="24"/>
          <w:lang w:val="en-US" w:eastAsia="en-AU"/>
        </w:rPr>
        <w:t xml:space="preserve">  </w:t>
      </w:r>
    </w:p>
    <w:p w:rsidR="005D41E9" w:rsidRPr="006F62E9" w:rsidRDefault="00F6642A" w:rsidP="006F62E9">
      <w:pPr>
        <w:pStyle w:val="ListParagraph"/>
        <w:keepNext/>
        <w:numPr>
          <w:ilvl w:val="0"/>
          <w:numId w:val="28"/>
        </w:numPr>
        <w:spacing w:after="240"/>
        <w:ind w:left="709" w:hanging="709"/>
        <w:contextualSpacing w:val="0"/>
        <w:jc w:val="both"/>
        <w:rPr>
          <w:rFonts w:eastAsia="Times New Roman" w:cs="Arial"/>
          <w:b/>
          <w:sz w:val="28"/>
          <w:szCs w:val="28"/>
          <w:lang w:val="en-US" w:eastAsia="en-AU"/>
        </w:rPr>
      </w:pPr>
      <w:r>
        <w:rPr>
          <w:rFonts w:eastAsia="Times New Roman" w:cs="Arial"/>
          <w:b/>
          <w:sz w:val="28"/>
          <w:szCs w:val="28"/>
          <w:lang w:val="en-US" w:eastAsia="en-AU"/>
        </w:rPr>
        <w:t>Related m</w:t>
      </w:r>
      <w:r w:rsidR="00845C9E" w:rsidRPr="006F62E9">
        <w:rPr>
          <w:rFonts w:eastAsia="Times New Roman" w:cs="Arial"/>
          <w:b/>
          <w:sz w:val="28"/>
          <w:szCs w:val="28"/>
          <w:lang w:val="en-US" w:eastAsia="en-AU"/>
        </w:rPr>
        <w:t xml:space="preserve">aterials </w:t>
      </w:r>
    </w:p>
    <w:p w:rsidR="00845C9E" w:rsidRPr="00845C9E" w:rsidRDefault="00845C9E" w:rsidP="00845C9E">
      <w:pPr>
        <w:numPr>
          <w:ilvl w:val="1"/>
          <w:numId w:val="52"/>
        </w:numPr>
        <w:spacing w:after="240"/>
        <w:ind w:left="709" w:hanging="716"/>
        <w:jc w:val="both"/>
        <w:rPr>
          <w:rFonts w:eastAsia="Times New Roman" w:cs="Times New Roman"/>
          <w:sz w:val="24"/>
          <w:szCs w:val="24"/>
        </w:rPr>
      </w:pPr>
      <w:r w:rsidRPr="00845C9E">
        <w:rPr>
          <w:rFonts w:eastAsia="Times New Roman" w:cs="Times New Roman"/>
          <w:sz w:val="24"/>
          <w:szCs w:val="24"/>
        </w:rPr>
        <w:t xml:space="preserve">Debtors are also referred to the following related material: </w:t>
      </w:r>
    </w:p>
    <w:p w:rsidR="0034348A" w:rsidRPr="0034348A" w:rsidRDefault="00351BBC" w:rsidP="0034348A">
      <w:pPr>
        <w:pStyle w:val="Dimi05"/>
        <w:numPr>
          <w:ilvl w:val="0"/>
          <w:numId w:val="57"/>
        </w:numPr>
        <w:spacing w:before="0" w:line="276" w:lineRule="auto"/>
        <w:ind w:left="1066" w:hanging="357"/>
        <w:contextualSpacing w:val="0"/>
        <w:jc w:val="both"/>
      </w:pPr>
      <w:hyperlink r:id="rId25" w:history="1">
        <w:r w:rsidR="0034348A" w:rsidRPr="0034348A">
          <w:rPr>
            <w:rStyle w:val="Hyperlink"/>
            <w:rFonts w:asciiTheme="minorHAnsi" w:hAnsiTheme="minorHAnsi"/>
          </w:rPr>
          <w:t xml:space="preserve">Guide for Practitioners and Parties in Bankruptcy Matters </w:t>
        </w:r>
        <w:r w:rsidR="006F3D3F">
          <w:rPr>
            <w:rStyle w:val="Hyperlink"/>
            <w:rFonts w:asciiTheme="minorHAnsi" w:hAnsiTheme="minorHAnsi"/>
          </w:rPr>
          <w:t>listed b</w:t>
        </w:r>
        <w:r w:rsidR="0034348A" w:rsidRPr="0034348A">
          <w:rPr>
            <w:rStyle w:val="Hyperlink"/>
            <w:rFonts w:asciiTheme="minorHAnsi" w:hAnsiTheme="minorHAnsi"/>
          </w:rPr>
          <w:t xml:space="preserve">efore a </w:t>
        </w:r>
        <w:r w:rsidR="00733096">
          <w:rPr>
            <w:rStyle w:val="Hyperlink"/>
            <w:rFonts w:asciiTheme="minorHAnsi" w:hAnsiTheme="minorHAnsi"/>
          </w:rPr>
          <w:t xml:space="preserve">Judicial </w:t>
        </w:r>
        <w:r w:rsidR="0034348A" w:rsidRPr="0034348A">
          <w:rPr>
            <w:rStyle w:val="Hyperlink"/>
            <w:rFonts w:asciiTheme="minorHAnsi" w:hAnsiTheme="minorHAnsi"/>
          </w:rPr>
          <w:t>Registrar</w:t>
        </w:r>
      </w:hyperlink>
    </w:p>
    <w:p w:rsidR="0034348A" w:rsidRPr="0034348A" w:rsidRDefault="00351BBC" w:rsidP="0034348A">
      <w:pPr>
        <w:pStyle w:val="Dimi05"/>
        <w:numPr>
          <w:ilvl w:val="0"/>
          <w:numId w:val="57"/>
        </w:numPr>
        <w:spacing w:before="0" w:line="276" w:lineRule="auto"/>
        <w:contextualSpacing w:val="0"/>
        <w:jc w:val="both"/>
      </w:pPr>
      <w:hyperlink r:id="rId26" w:history="1">
        <w:r w:rsidR="0034348A" w:rsidRPr="00733096">
          <w:rPr>
            <w:rStyle w:val="Hyperlink"/>
            <w:rFonts w:asciiTheme="minorHAnsi" w:hAnsiTheme="minorHAnsi" w:cs="Times New Roman"/>
          </w:rPr>
          <w:t>Bankruptcy Information Sheet 1</w:t>
        </w:r>
      </w:hyperlink>
      <w:r w:rsidR="0034348A" w:rsidRPr="0034348A">
        <w:t xml:space="preserve">: </w:t>
      </w:r>
      <w:r w:rsidR="0034348A" w:rsidRPr="00733096">
        <w:rPr>
          <w:rFonts w:cs="Arial"/>
        </w:rPr>
        <w:t>Presenting a Creditor’s Petition</w:t>
      </w:r>
    </w:p>
    <w:p w:rsidR="0034348A" w:rsidRPr="0034348A" w:rsidRDefault="00351BBC" w:rsidP="0034348A">
      <w:pPr>
        <w:pStyle w:val="Dimi05"/>
        <w:numPr>
          <w:ilvl w:val="0"/>
          <w:numId w:val="57"/>
        </w:numPr>
        <w:spacing w:before="0" w:line="276" w:lineRule="auto"/>
        <w:jc w:val="both"/>
      </w:pPr>
      <w:hyperlink r:id="rId27" w:history="1">
        <w:r w:rsidR="0034348A" w:rsidRPr="00733096">
          <w:rPr>
            <w:rStyle w:val="Hyperlink"/>
            <w:rFonts w:asciiTheme="minorHAnsi" w:hAnsiTheme="minorHAnsi" w:cs="Times New Roman"/>
          </w:rPr>
          <w:t>Bankruptcy Information Sheet 2</w:t>
        </w:r>
      </w:hyperlink>
      <w:r w:rsidR="0034348A" w:rsidRPr="0034348A">
        <w:t xml:space="preserve">: </w:t>
      </w:r>
      <w:r w:rsidR="00733096">
        <w:rPr>
          <w:rFonts w:cs="Arial"/>
        </w:rPr>
        <w:t>Creditor’s Petition C</w:t>
      </w:r>
      <w:r w:rsidR="0034348A" w:rsidRPr="00733096">
        <w:rPr>
          <w:rFonts w:cs="Arial"/>
        </w:rPr>
        <w:t>hecklist</w:t>
      </w:r>
    </w:p>
    <w:p w:rsidR="0034348A" w:rsidRPr="0034348A" w:rsidRDefault="00351BBC" w:rsidP="0034348A">
      <w:pPr>
        <w:pStyle w:val="Dimi05"/>
        <w:numPr>
          <w:ilvl w:val="0"/>
          <w:numId w:val="57"/>
        </w:numPr>
        <w:spacing w:before="0" w:line="276" w:lineRule="auto"/>
        <w:jc w:val="both"/>
      </w:pPr>
      <w:hyperlink r:id="rId28" w:history="1">
        <w:r w:rsidR="0034348A" w:rsidRPr="00733096">
          <w:rPr>
            <w:rStyle w:val="Hyperlink"/>
            <w:rFonts w:asciiTheme="minorHAnsi" w:hAnsiTheme="minorHAnsi" w:cs="Times New Roman"/>
          </w:rPr>
          <w:t>Bankruptcy Information Sheet 3</w:t>
        </w:r>
      </w:hyperlink>
      <w:r w:rsidR="0034348A" w:rsidRPr="0034348A">
        <w:t xml:space="preserve">: </w:t>
      </w:r>
      <w:r w:rsidR="0034348A" w:rsidRPr="00733096">
        <w:rPr>
          <w:rFonts w:cs="Arial"/>
        </w:rPr>
        <w:t>Opposing a Creditor’s Petition</w:t>
      </w:r>
    </w:p>
    <w:p w:rsidR="0034348A" w:rsidRPr="0034348A" w:rsidRDefault="00351BBC" w:rsidP="0034348A">
      <w:pPr>
        <w:pStyle w:val="Dimi05"/>
        <w:numPr>
          <w:ilvl w:val="0"/>
          <w:numId w:val="57"/>
        </w:numPr>
        <w:spacing w:before="0" w:line="276" w:lineRule="auto"/>
        <w:contextualSpacing w:val="0"/>
        <w:jc w:val="both"/>
      </w:pPr>
      <w:hyperlink r:id="rId29" w:history="1">
        <w:r w:rsidR="0034348A" w:rsidRPr="00733096">
          <w:rPr>
            <w:rStyle w:val="Hyperlink"/>
            <w:rFonts w:asciiTheme="minorHAnsi" w:hAnsiTheme="minorHAnsi" w:cs="Times New Roman"/>
          </w:rPr>
          <w:t>Bankruptcy Information Sheet 5</w:t>
        </w:r>
      </w:hyperlink>
      <w:r w:rsidR="0034348A" w:rsidRPr="0034348A">
        <w:t xml:space="preserve">: </w:t>
      </w:r>
      <w:r w:rsidR="0034348A" w:rsidRPr="00733096">
        <w:rPr>
          <w:rFonts w:cs="Arial"/>
        </w:rPr>
        <w:t>Substituted Service Applications</w:t>
      </w:r>
    </w:p>
    <w:p w:rsidR="0034348A" w:rsidRPr="0034348A" w:rsidRDefault="00351BBC" w:rsidP="0034348A">
      <w:pPr>
        <w:pStyle w:val="Dimi05"/>
        <w:numPr>
          <w:ilvl w:val="0"/>
          <w:numId w:val="57"/>
        </w:numPr>
        <w:spacing w:before="0" w:line="276" w:lineRule="auto"/>
        <w:contextualSpacing w:val="0"/>
        <w:jc w:val="both"/>
      </w:pPr>
      <w:hyperlink r:id="rId30" w:history="1">
        <w:r w:rsidR="0034348A" w:rsidRPr="00733096">
          <w:rPr>
            <w:rStyle w:val="Hyperlink"/>
            <w:rFonts w:asciiTheme="minorHAnsi" w:hAnsiTheme="minorHAnsi" w:cs="Times New Roman"/>
          </w:rPr>
          <w:t>Bankruptcy</w:t>
        </w:r>
        <w:r w:rsidR="009367C4" w:rsidRPr="00733096">
          <w:rPr>
            <w:rStyle w:val="Hyperlink"/>
            <w:rFonts w:asciiTheme="minorHAnsi" w:hAnsiTheme="minorHAnsi" w:cs="Times New Roman"/>
          </w:rPr>
          <w:t xml:space="preserve"> Information Sheet 6</w:t>
        </w:r>
      </w:hyperlink>
      <w:r w:rsidR="0034348A" w:rsidRPr="0034348A">
        <w:t xml:space="preserve">: </w:t>
      </w:r>
      <w:r w:rsidR="00733096">
        <w:rPr>
          <w:rFonts w:cs="Arial"/>
        </w:rPr>
        <w:t>Consequences of a Sequestration O</w:t>
      </w:r>
      <w:r w:rsidR="00F10A7F" w:rsidRPr="00733096">
        <w:rPr>
          <w:rFonts w:cs="Arial"/>
        </w:rPr>
        <w:t>rder</w:t>
      </w:r>
    </w:p>
    <w:p w:rsidR="00845C9E" w:rsidRPr="00845C9E" w:rsidRDefault="00F6642A" w:rsidP="00845C9E">
      <w:pPr>
        <w:keepNext/>
        <w:numPr>
          <w:ilvl w:val="0"/>
          <w:numId w:val="28"/>
        </w:numPr>
        <w:spacing w:before="360" w:after="240"/>
        <w:ind w:left="709" w:hanging="709"/>
        <w:jc w:val="both"/>
        <w:rPr>
          <w:rFonts w:eastAsia="Times New Roman" w:cs="Arial"/>
          <w:b/>
          <w:sz w:val="28"/>
          <w:szCs w:val="28"/>
          <w:lang w:val="en-US" w:eastAsia="en-AU"/>
        </w:rPr>
      </w:pPr>
      <w:r>
        <w:rPr>
          <w:rFonts w:eastAsia="Times New Roman" w:cs="Arial"/>
          <w:b/>
          <w:sz w:val="28"/>
          <w:szCs w:val="28"/>
          <w:lang w:val="en-US" w:eastAsia="en-AU"/>
        </w:rPr>
        <w:t>Other r</w:t>
      </w:r>
      <w:r w:rsidR="00845C9E" w:rsidRPr="00845C9E">
        <w:rPr>
          <w:rFonts w:eastAsia="Times New Roman" w:cs="Arial"/>
          <w:b/>
          <w:sz w:val="28"/>
          <w:szCs w:val="28"/>
          <w:lang w:val="en-US" w:eastAsia="en-AU"/>
        </w:rPr>
        <w:t xml:space="preserve">esources </w:t>
      </w:r>
    </w:p>
    <w:p w:rsidR="0034348A" w:rsidRPr="00D25891" w:rsidRDefault="0034348A" w:rsidP="00CB6257">
      <w:pPr>
        <w:pStyle w:val="Dimi05"/>
        <w:numPr>
          <w:ilvl w:val="1"/>
          <w:numId w:val="28"/>
        </w:numPr>
        <w:spacing w:before="0" w:after="240" w:line="276" w:lineRule="auto"/>
        <w:ind w:left="709" w:hanging="709"/>
        <w:contextualSpacing w:val="0"/>
        <w:jc w:val="both"/>
      </w:pPr>
      <w:r>
        <w:t xml:space="preserve">Debtors who are </w:t>
      </w:r>
      <w:r w:rsidR="00463D7C">
        <w:t>self-represented l</w:t>
      </w:r>
      <w:r w:rsidRPr="00D25891">
        <w:t xml:space="preserve">itigants will be supported by the Registry to assist them through the court process efficiently. </w:t>
      </w:r>
      <w:r w:rsidR="00CB6257" w:rsidRPr="00CB6257">
        <w:t xml:space="preserve">Refer to </w:t>
      </w:r>
      <w:hyperlink r:id="rId31" w:history="1">
        <w:r w:rsidR="00CB6257" w:rsidRPr="00CB6257">
          <w:rPr>
            <w:rStyle w:val="Hyperlink"/>
            <w:rFonts w:asciiTheme="minorHAnsi" w:hAnsiTheme="minorHAnsi" w:cs="Times New Roman"/>
          </w:rPr>
          <w:t>Information for Litigants</w:t>
        </w:r>
      </w:hyperlink>
      <w:r w:rsidR="00CB6257" w:rsidRPr="00CB6257">
        <w:t xml:space="preserve"> for further information.</w:t>
      </w:r>
    </w:p>
    <w:p w:rsidR="0034348A" w:rsidRDefault="001442A7" w:rsidP="0034348A">
      <w:pPr>
        <w:pStyle w:val="Dimi05"/>
        <w:numPr>
          <w:ilvl w:val="1"/>
          <w:numId w:val="28"/>
        </w:numPr>
        <w:spacing w:before="0" w:after="240" w:line="276" w:lineRule="auto"/>
        <w:ind w:left="709" w:hanging="709"/>
        <w:contextualSpacing w:val="0"/>
        <w:jc w:val="both"/>
        <w:rPr>
          <w:rFonts w:eastAsia="Calibri"/>
          <w:color w:val="000000"/>
        </w:rPr>
      </w:pPr>
      <w:r>
        <w:rPr>
          <w:color w:val="000000"/>
        </w:rPr>
        <w:t>A self-representation s</w:t>
      </w:r>
      <w:r w:rsidR="0034348A" w:rsidRPr="00D25891">
        <w:rPr>
          <w:color w:val="000000"/>
        </w:rPr>
        <w:t xml:space="preserve">ervice is </w:t>
      </w:r>
      <w:r>
        <w:rPr>
          <w:color w:val="000000"/>
        </w:rPr>
        <w:t>available to litigants in each R</w:t>
      </w:r>
      <w:r w:rsidR="0034348A" w:rsidRPr="00D25891">
        <w:rPr>
          <w:color w:val="000000"/>
        </w:rPr>
        <w:t xml:space="preserve">egistry. The service </w:t>
      </w:r>
      <w:r w:rsidR="0034348A" w:rsidRPr="00D25891">
        <w:rPr>
          <w:rFonts w:eastAsia="Calibri"/>
          <w:color w:val="000000"/>
        </w:rPr>
        <w:t>provides free, confidential and impartial legal advice and assistance with F</w:t>
      </w:r>
      <w:r w:rsidR="009367C4">
        <w:rPr>
          <w:rFonts w:eastAsia="Calibri"/>
          <w:color w:val="000000"/>
        </w:rPr>
        <w:t xml:space="preserve">ederal Court and Federal Circuit </w:t>
      </w:r>
      <w:r w:rsidR="00351BBC">
        <w:rPr>
          <w:rFonts w:eastAsia="Calibri"/>
          <w:color w:val="000000"/>
        </w:rPr>
        <w:t xml:space="preserve">and Family </w:t>
      </w:r>
      <w:bookmarkStart w:id="0" w:name="_GoBack"/>
      <w:bookmarkEnd w:id="0"/>
      <w:r w:rsidR="009367C4">
        <w:rPr>
          <w:rFonts w:eastAsia="Calibri"/>
          <w:color w:val="000000"/>
        </w:rPr>
        <w:t>Court</w:t>
      </w:r>
      <w:r w:rsidR="0034348A" w:rsidRPr="00D25891">
        <w:rPr>
          <w:rFonts w:eastAsia="Calibri"/>
          <w:color w:val="000000"/>
        </w:rPr>
        <w:t xml:space="preserve"> </w:t>
      </w:r>
      <w:r w:rsidR="0034348A" w:rsidRPr="003C6B45">
        <w:t>proceedings</w:t>
      </w:r>
      <w:r w:rsidR="0034348A">
        <w:rPr>
          <w:rFonts w:eastAsia="Calibri"/>
          <w:color w:val="000000"/>
        </w:rPr>
        <w:t xml:space="preserve"> </w:t>
      </w:r>
      <w:r w:rsidR="0034348A" w:rsidRPr="004A76E5">
        <w:rPr>
          <w:rFonts w:eastAsia="Calibri"/>
          <w:color w:val="000000"/>
        </w:rPr>
        <w:t xml:space="preserve">for individuals and community groups. For further details contact the nearest </w:t>
      </w:r>
      <w:hyperlink r:id="rId32" w:history="1">
        <w:r w:rsidR="0034348A" w:rsidRPr="001442A7">
          <w:rPr>
            <w:rStyle w:val="Hyperlink"/>
            <w:rFonts w:asciiTheme="minorHAnsi" w:eastAsia="Calibri" w:hAnsiTheme="minorHAnsi" w:cs="Times New Roman"/>
          </w:rPr>
          <w:t>Registry</w:t>
        </w:r>
      </w:hyperlink>
      <w:r w:rsidR="0034348A" w:rsidRPr="004A76E5">
        <w:rPr>
          <w:rFonts w:eastAsia="Calibri"/>
          <w:color w:val="000000"/>
        </w:rPr>
        <w:t xml:space="preserve">. </w:t>
      </w:r>
    </w:p>
    <w:p w:rsidR="0034348A" w:rsidRPr="00792780" w:rsidRDefault="0034348A" w:rsidP="0034348A">
      <w:pPr>
        <w:pStyle w:val="Dimi05"/>
        <w:numPr>
          <w:ilvl w:val="1"/>
          <w:numId w:val="28"/>
        </w:numPr>
        <w:spacing w:before="0" w:after="240" w:line="276" w:lineRule="auto"/>
        <w:ind w:left="709" w:hanging="709"/>
        <w:contextualSpacing w:val="0"/>
        <w:jc w:val="both"/>
      </w:pPr>
      <w:r>
        <w:t xml:space="preserve">In addition, debtors can also approach various ‘not for profit’ bodies for assistance and guidance and access free online information on bankruptcy and opposing a </w:t>
      </w:r>
      <w:r w:rsidRPr="00792780">
        <w:t xml:space="preserve">Creditor’s Petition including: </w:t>
      </w:r>
    </w:p>
    <w:p w:rsidR="0034348A" w:rsidRPr="00792780" w:rsidRDefault="00351BBC" w:rsidP="00792780">
      <w:pPr>
        <w:numPr>
          <w:ilvl w:val="0"/>
          <w:numId w:val="58"/>
        </w:numPr>
        <w:shd w:val="clear" w:color="auto" w:fill="FFFFFF"/>
        <w:spacing w:after="0"/>
        <w:ind w:left="357" w:firstLine="352"/>
        <w:textAlignment w:val="baseline"/>
        <w:rPr>
          <w:rFonts w:cs="Arial"/>
          <w:sz w:val="24"/>
          <w:szCs w:val="24"/>
        </w:rPr>
      </w:pPr>
      <w:hyperlink r:id="rId33" w:history="1">
        <w:r w:rsidR="009367C4" w:rsidRPr="009367C4">
          <w:rPr>
            <w:rStyle w:val="Hyperlink"/>
            <w:rFonts w:asciiTheme="minorHAnsi" w:hAnsiTheme="minorHAnsi"/>
            <w:sz w:val="24"/>
            <w:szCs w:val="24"/>
          </w:rPr>
          <w:t>LawRight</w:t>
        </w:r>
      </w:hyperlink>
      <w:r w:rsidR="0034348A" w:rsidRPr="00792780">
        <w:rPr>
          <w:rStyle w:val="apple-converted-space"/>
          <w:rFonts w:cs="Arial"/>
          <w:sz w:val="24"/>
          <w:szCs w:val="24"/>
        </w:rPr>
        <w:t> </w:t>
      </w:r>
      <w:r w:rsidR="0034348A" w:rsidRPr="00792780">
        <w:rPr>
          <w:rFonts w:cs="Arial"/>
          <w:sz w:val="24"/>
          <w:szCs w:val="24"/>
        </w:rPr>
        <w:t>(Q</w:t>
      </w:r>
      <w:r w:rsidR="009367C4">
        <w:rPr>
          <w:rFonts w:cs="Arial"/>
          <w:sz w:val="24"/>
          <w:szCs w:val="24"/>
        </w:rPr>
        <w:t>ueensland</w:t>
      </w:r>
      <w:r w:rsidR="0034348A" w:rsidRPr="00792780">
        <w:rPr>
          <w:rFonts w:cs="Arial"/>
          <w:sz w:val="24"/>
          <w:szCs w:val="24"/>
        </w:rPr>
        <w:t>)</w:t>
      </w:r>
    </w:p>
    <w:p w:rsidR="0034348A" w:rsidRPr="00792780" w:rsidRDefault="00351BBC" w:rsidP="00792780">
      <w:pPr>
        <w:numPr>
          <w:ilvl w:val="0"/>
          <w:numId w:val="58"/>
        </w:numPr>
        <w:shd w:val="clear" w:color="auto" w:fill="FFFFFF"/>
        <w:spacing w:after="0"/>
        <w:ind w:left="357" w:firstLine="352"/>
        <w:textAlignment w:val="baseline"/>
        <w:rPr>
          <w:rFonts w:cs="Arial"/>
          <w:sz w:val="24"/>
          <w:szCs w:val="24"/>
        </w:rPr>
      </w:pPr>
      <w:hyperlink r:id="rId34" w:history="1">
        <w:r w:rsidR="0034348A" w:rsidRPr="009367C4">
          <w:rPr>
            <w:rStyle w:val="Hyperlink"/>
            <w:rFonts w:asciiTheme="minorHAnsi" w:hAnsiTheme="minorHAnsi"/>
            <w:sz w:val="24"/>
            <w:szCs w:val="24"/>
            <w:bdr w:val="none" w:sz="0" w:space="0" w:color="auto" w:frame="1"/>
          </w:rPr>
          <w:t>Justice Connect</w:t>
        </w:r>
      </w:hyperlink>
      <w:r w:rsidR="0034348A" w:rsidRPr="009367C4">
        <w:rPr>
          <w:rFonts w:cs="Arial"/>
          <w:sz w:val="24"/>
          <w:szCs w:val="24"/>
        </w:rPr>
        <w:t> </w:t>
      </w:r>
    </w:p>
    <w:p w:rsidR="0034348A" w:rsidRPr="00792780" w:rsidRDefault="00351BBC" w:rsidP="00792780">
      <w:pPr>
        <w:numPr>
          <w:ilvl w:val="0"/>
          <w:numId w:val="58"/>
        </w:numPr>
        <w:shd w:val="clear" w:color="auto" w:fill="FFFFFF"/>
        <w:spacing w:after="0"/>
        <w:ind w:left="357" w:firstLine="352"/>
        <w:textAlignment w:val="baseline"/>
        <w:rPr>
          <w:rFonts w:cs="Arial"/>
          <w:sz w:val="24"/>
          <w:szCs w:val="24"/>
        </w:rPr>
      </w:pPr>
      <w:hyperlink r:id="rId35" w:history="1">
        <w:r w:rsidR="0034348A" w:rsidRPr="009367C4">
          <w:rPr>
            <w:rStyle w:val="Hyperlink"/>
            <w:rFonts w:asciiTheme="minorHAnsi" w:hAnsiTheme="minorHAnsi"/>
            <w:sz w:val="24"/>
            <w:szCs w:val="24"/>
            <w:bdr w:val="none" w:sz="0" w:space="0" w:color="auto" w:frame="1"/>
          </w:rPr>
          <w:t>Financial Rights Legal Centre</w:t>
        </w:r>
      </w:hyperlink>
    </w:p>
    <w:p w:rsidR="0034348A" w:rsidRPr="00792780" w:rsidRDefault="00351BBC" w:rsidP="00792780">
      <w:pPr>
        <w:numPr>
          <w:ilvl w:val="0"/>
          <w:numId w:val="58"/>
        </w:numPr>
        <w:shd w:val="clear" w:color="auto" w:fill="FFFFFF"/>
        <w:spacing w:after="0"/>
        <w:ind w:left="357" w:firstLine="352"/>
        <w:textAlignment w:val="baseline"/>
        <w:rPr>
          <w:rFonts w:cs="Arial"/>
          <w:sz w:val="24"/>
          <w:szCs w:val="24"/>
        </w:rPr>
      </w:pPr>
      <w:hyperlink r:id="rId36" w:history="1">
        <w:r w:rsidR="0034348A" w:rsidRPr="009367C4">
          <w:rPr>
            <w:rStyle w:val="Hyperlink"/>
            <w:rFonts w:asciiTheme="minorHAnsi" w:hAnsiTheme="minorHAnsi"/>
            <w:sz w:val="24"/>
            <w:szCs w:val="24"/>
            <w:bdr w:val="none" w:sz="0" w:space="0" w:color="auto" w:frame="1"/>
          </w:rPr>
          <w:t>Australian Financial Security Authority</w:t>
        </w:r>
      </w:hyperlink>
      <w:r w:rsidR="0034348A" w:rsidRPr="00792780">
        <w:rPr>
          <w:rStyle w:val="apple-converted-space"/>
          <w:rFonts w:cs="Arial"/>
          <w:sz w:val="24"/>
          <w:szCs w:val="24"/>
        </w:rPr>
        <w:t> </w:t>
      </w:r>
      <w:r w:rsidR="0034348A" w:rsidRPr="00792780">
        <w:rPr>
          <w:rFonts w:cs="Arial"/>
          <w:sz w:val="24"/>
          <w:szCs w:val="24"/>
        </w:rPr>
        <w:t>(AFSA)</w:t>
      </w:r>
    </w:p>
    <w:p w:rsidR="00A65264" w:rsidRPr="00845C9E" w:rsidRDefault="00A65264" w:rsidP="006F62E9">
      <w:pPr>
        <w:keepNext/>
        <w:numPr>
          <w:ilvl w:val="0"/>
          <w:numId w:val="28"/>
        </w:numPr>
        <w:spacing w:before="360" w:after="240"/>
        <w:ind w:left="709" w:hanging="709"/>
        <w:jc w:val="both"/>
        <w:rPr>
          <w:rFonts w:eastAsia="Times New Roman" w:cs="Arial"/>
          <w:b/>
          <w:sz w:val="28"/>
          <w:szCs w:val="28"/>
          <w:lang w:val="en-US" w:eastAsia="en-AU"/>
        </w:rPr>
      </w:pPr>
      <w:r w:rsidRPr="00845C9E">
        <w:rPr>
          <w:rFonts w:eastAsia="Times New Roman" w:cs="Arial"/>
          <w:b/>
          <w:sz w:val="28"/>
          <w:szCs w:val="28"/>
          <w:lang w:val="en-US" w:eastAsia="en-AU"/>
        </w:rPr>
        <w:t xml:space="preserve">Information on the Court’s </w:t>
      </w:r>
      <w:r w:rsidR="00F36209">
        <w:rPr>
          <w:rFonts w:eastAsia="Times New Roman" w:cs="Arial"/>
          <w:b/>
          <w:sz w:val="28"/>
          <w:szCs w:val="28"/>
          <w:lang w:val="en-US" w:eastAsia="en-AU"/>
        </w:rPr>
        <w:t>online s</w:t>
      </w:r>
      <w:r w:rsidR="0034348A">
        <w:rPr>
          <w:rFonts w:eastAsia="Times New Roman" w:cs="Arial"/>
          <w:b/>
          <w:sz w:val="28"/>
          <w:szCs w:val="28"/>
          <w:lang w:val="en-US" w:eastAsia="en-AU"/>
        </w:rPr>
        <w:t xml:space="preserve">ervices </w:t>
      </w:r>
    </w:p>
    <w:p w:rsidR="00C2510A" w:rsidRPr="0034348A" w:rsidRDefault="00A65264" w:rsidP="00A62CA7">
      <w:pPr>
        <w:pStyle w:val="Dimi05"/>
        <w:spacing w:before="0" w:after="240" w:line="276" w:lineRule="auto"/>
        <w:ind w:left="709"/>
        <w:contextualSpacing w:val="0"/>
        <w:jc w:val="both"/>
        <w:rPr>
          <w:i/>
        </w:rPr>
      </w:pPr>
      <w:r w:rsidRPr="0034348A">
        <w:tab/>
      </w:r>
      <w:r w:rsidR="00C2510A" w:rsidRPr="0034348A">
        <w:rPr>
          <w:i/>
        </w:rPr>
        <w:t xml:space="preserve">eLodgment </w:t>
      </w:r>
    </w:p>
    <w:p w:rsidR="0034348A" w:rsidRPr="00C2510A" w:rsidRDefault="0034348A" w:rsidP="0034348A">
      <w:pPr>
        <w:pStyle w:val="ListParagraph"/>
        <w:numPr>
          <w:ilvl w:val="1"/>
          <w:numId w:val="41"/>
        </w:numPr>
        <w:spacing w:after="240"/>
        <w:ind w:left="709" w:hanging="709"/>
        <w:contextualSpacing w:val="0"/>
        <w:jc w:val="both"/>
        <w:rPr>
          <w:sz w:val="24"/>
          <w:szCs w:val="24"/>
        </w:rPr>
      </w:pPr>
      <w:r w:rsidRPr="00C2510A">
        <w:rPr>
          <w:sz w:val="24"/>
          <w:szCs w:val="24"/>
        </w:rPr>
        <w:t xml:space="preserve">The Court </w:t>
      </w:r>
      <w:r w:rsidRPr="00C2510A">
        <w:rPr>
          <w:rFonts w:eastAsia="Times New Roman" w:cs="Times New Roman"/>
          <w:sz w:val="24"/>
          <w:szCs w:val="24"/>
          <w:lang w:val="en-US" w:eastAsia="en-AU"/>
        </w:rPr>
        <w:t>provides</w:t>
      </w:r>
      <w:r w:rsidRPr="00C2510A">
        <w:rPr>
          <w:sz w:val="24"/>
          <w:szCs w:val="24"/>
        </w:rPr>
        <w:t xml:space="preserve"> an electronic </w:t>
      </w:r>
      <w:r w:rsidR="007C1A41">
        <w:rPr>
          <w:sz w:val="24"/>
          <w:szCs w:val="24"/>
        </w:rPr>
        <w:t>lodg</w:t>
      </w:r>
      <w:r w:rsidRPr="00F6642A">
        <w:rPr>
          <w:sz w:val="24"/>
          <w:szCs w:val="24"/>
        </w:rPr>
        <w:t>ment (</w:t>
      </w:r>
      <w:hyperlink r:id="rId37" w:history="1">
        <w:r w:rsidRPr="00F6642A">
          <w:rPr>
            <w:rStyle w:val="Hyperlink"/>
            <w:rFonts w:asciiTheme="minorHAnsi" w:hAnsiTheme="minorHAnsi"/>
            <w:sz w:val="24"/>
            <w:szCs w:val="24"/>
          </w:rPr>
          <w:t>eLodgment</w:t>
        </w:r>
      </w:hyperlink>
      <w:r w:rsidRPr="00F6642A">
        <w:rPr>
          <w:sz w:val="24"/>
          <w:szCs w:val="24"/>
        </w:rPr>
        <w:t>)</w:t>
      </w:r>
      <w:r w:rsidRPr="00C2510A">
        <w:rPr>
          <w:sz w:val="24"/>
          <w:szCs w:val="24"/>
        </w:rPr>
        <w:t xml:space="preserve"> facility through which a document that </w:t>
      </w:r>
      <w:r w:rsidRPr="00C2510A">
        <w:rPr>
          <w:rFonts w:eastAsia="Times New Roman" w:cs="Times New Roman"/>
          <w:sz w:val="24"/>
          <w:szCs w:val="24"/>
          <w:lang w:val="en-US" w:eastAsia="en-AU"/>
        </w:rPr>
        <w:t>commences</w:t>
      </w:r>
      <w:r w:rsidRPr="00C2510A">
        <w:rPr>
          <w:sz w:val="24"/>
          <w:szCs w:val="24"/>
        </w:rPr>
        <w:t xml:space="preserve"> a proceeding or is relevant to an existing proceeding may be lodged for filing online.  </w:t>
      </w:r>
    </w:p>
    <w:p w:rsidR="0034348A" w:rsidRPr="00C2510A" w:rsidRDefault="0034348A" w:rsidP="0034348A">
      <w:pPr>
        <w:pStyle w:val="ListParagraph"/>
        <w:numPr>
          <w:ilvl w:val="1"/>
          <w:numId w:val="41"/>
        </w:numPr>
        <w:spacing w:after="240"/>
        <w:ind w:left="709" w:hanging="709"/>
        <w:contextualSpacing w:val="0"/>
        <w:jc w:val="both"/>
        <w:rPr>
          <w:sz w:val="24"/>
          <w:szCs w:val="24"/>
        </w:rPr>
      </w:pPr>
      <w:r w:rsidRPr="00C2510A">
        <w:rPr>
          <w:sz w:val="24"/>
          <w:szCs w:val="24"/>
        </w:rPr>
        <w:t xml:space="preserve">The use of eLodgment provides many benefits to court users. It is available from each </w:t>
      </w:r>
      <w:r w:rsidRPr="00C2510A">
        <w:rPr>
          <w:rFonts w:eastAsia="Times New Roman" w:cs="Times New Roman"/>
          <w:sz w:val="24"/>
          <w:szCs w:val="24"/>
          <w:lang w:val="en-US" w:eastAsia="en-AU"/>
        </w:rPr>
        <w:t>user’s</w:t>
      </w:r>
      <w:r w:rsidRPr="00C2510A">
        <w:rPr>
          <w:sz w:val="24"/>
          <w:szCs w:val="24"/>
        </w:rPr>
        <w:t xml:space="preserve"> computer at any time and provides a complete record of all lodgement transactions with the Court.</w:t>
      </w:r>
    </w:p>
    <w:p w:rsidR="007230FD" w:rsidRDefault="0034348A" w:rsidP="007230FD">
      <w:pPr>
        <w:pStyle w:val="ListParagraph"/>
        <w:numPr>
          <w:ilvl w:val="1"/>
          <w:numId w:val="41"/>
        </w:numPr>
        <w:spacing w:after="240"/>
        <w:ind w:left="709" w:hanging="709"/>
        <w:contextualSpacing w:val="0"/>
        <w:jc w:val="both"/>
        <w:rPr>
          <w:sz w:val="24"/>
          <w:szCs w:val="24"/>
        </w:rPr>
      </w:pPr>
      <w:r w:rsidRPr="00C2510A">
        <w:rPr>
          <w:sz w:val="24"/>
          <w:szCs w:val="24"/>
        </w:rPr>
        <w:t xml:space="preserve">eLodgment also allows court users to lodge other documents regarding a proceeding, for example: a draft order, terms of consent and case management correspondence. </w:t>
      </w:r>
    </w:p>
    <w:p w:rsidR="00792780" w:rsidRPr="007230FD" w:rsidRDefault="007230FD" w:rsidP="007230FD">
      <w:pPr>
        <w:pStyle w:val="ListParagraph"/>
        <w:numPr>
          <w:ilvl w:val="1"/>
          <w:numId w:val="41"/>
        </w:numPr>
        <w:spacing w:after="240"/>
        <w:ind w:left="709" w:hanging="709"/>
        <w:contextualSpacing w:val="0"/>
        <w:jc w:val="both"/>
        <w:rPr>
          <w:sz w:val="24"/>
          <w:szCs w:val="24"/>
        </w:rPr>
      </w:pPr>
      <w:r>
        <w:rPr>
          <w:sz w:val="24"/>
          <w:szCs w:val="24"/>
        </w:rPr>
        <w:t xml:space="preserve">A </w:t>
      </w:r>
      <w:r w:rsidR="00792780" w:rsidRPr="007230FD">
        <w:rPr>
          <w:sz w:val="24"/>
          <w:szCs w:val="24"/>
        </w:rPr>
        <w:t xml:space="preserve">party must be registered to use eLodgment. </w:t>
      </w:r>
      <w:r w:rsidR="003A531C" w:rsidRPr="007230FD">
        <w:rPr>
          <w:sz w:val="24"/>
          <w:szCs w:val="24"/>
        </w:rPr>
        <w:t xml:space="preserve">The </w:t>
      </w:r>
      <w:hyperlink r:id="rId38" w:history="1">
        <w:r w:rsidR="00034DA8">
          <w:rPr>
            <w:rStyle w:val="Hyperlink"/>
            <w:rFonts w:asciiTheme="minorHAnsi" w:hAnsiTheme="minorHAnsi" w:cstheme="minorBidi"/>
            <w:sz w:val="24"/>
            <w:szCs w:val="24"/>
          </w:rPr>
          <w:t xml:space="preserve">eLodgment </w:t>
        </w:r>
        <w:r w:rsidR="003A531C" w:rsidRPr="007230FD">
          <w:rPr>
            <w:rStyle w:val="Hyperlink"/>
            <w:rFonts w:asciiTheme="minorHAnsi" w:hAnsiTheme="minorHAnsi" w:cstheme="minorBidi"/>
            <w:sz w:val="24"/>
            <w:szCs w:val="24"/>
          </w:rPr>
          <w:t>page</w:t>
        </w:r>
      </w:hyperlink>
      <w:r w:rsidR="003A531C" w:rsidRPr="007230FD">
        <w:rPr>
          <w:sz w:val="24"/>
          <w:szCs w:val="24"/>
        </w:rPr>
        <w:t xml:space="preserve"> includes information about registering, preparing and lodging documents.</w:t>
      </w:r>
    </w:p>
    <w:p w:rsidR="00C2510A" w:rsidRPr="00792780" w:rsidRDefault="00C2510A" w:rsidP="006F62E9">
      <w:pPr>
        <w:pStyle w:val="Dimi05"/>
        <w:keepNext/>
        <w:spacing w:before="0" w:after="240" w:line="276" w:lineRule="auto"/>
        <w:ind w:left="709"/>
        <w:contextualSpacing w:val="0"/>
        <w:jc w:val="both"/>
        <w:rPr>
          <w:i/>
        </w:rPr>
      </w:pPr>
      <w:r w:rsidRPr="00792780">
        <w:rPr>
          <w:i/>
        </w:rPr>
        <w:t xml:space="preserve">eCourtroom </w:t>
      </w:r>
    </w:p>
    <w:p w:rsidR="00792780" w:rsidRPr="00792780" w:rsidRDefault="00351BBC" w:rsidP="00792780">
      <w:pPr>
        <w:pStyle w:val="ListParagraph"/>
        <w:numPr>
          <w:ilvl w:val="1"/>
          <w:numId w:val="41"/>
        </w:numPr>
        <w:spacing w:after="240"/>
        <w:ind w:left="709" w:hanging="709"/>
        <w:contextualSpacing w:val="0"/>
        <w:jc w:val="both"/>
        <w:rPr>
          <w:rStyle w:val="Hyperlink"/>
          <w:rFonts w:asciiTheme="minorHAnsi" w:hAnsiTheme="minorHAnsi"/>
          <w:sz w:val="24"/>
          <w:szCs w:val="24"/>
        </w:rPr>
      </w:pPr>
      <w:hyperlink r:id="rId39" w:history="1">
        <w:r w:rsidR="00792780" w:rsidRPr="00D13D72">
          <w:rPr>
            <w:rStyle w:val="Hyperlink"/>
            <w:rFonts w:asciiTheme="minorHAnsi" w:hAnsiTheme="minorHAnsi"/>
            <w:sz w:val="24"/>
            <w:szCs w:val="24"/>
          </w:rPr>
          <w:t>eCourtroom</w:t>
        </w:r>
      </w:hyperlink>
      <w:r w:rsidR="00792780" w:rsidRPr="00D13D72">
        <w:rPr>
          <w:sz w:val="24"/>
          <w:szCs w:val="24"/>
        </w:rPr>
        <w:t xml:space="preserve"> </w:t>
      </w:r>
      <w:r w:rsidR="00792780" w:rsidRPr="00792780">
        <w:rPr>
          <w:sz w:val="24"/>
          <w:szCs w:val="24"/>
        </w:rPr>
        <w:t xml:space="preserve">is a virtual courtroom that assists in the management of matters by allowing directions and final orders to be made online. </w:t>
      </w:r>
    </w:p>
    <w:p w:rsidR="00792780" w:rsidRPr="00792780" w:rsidRDefault="00792780" w:rsidP="00792780">
      <w:pPr>
        <w:pStyle w:val="ListParagraph"/>
        <w:numPr>
          <w:ilvl w:val="1"/>
          <w:numId w:val="41"/>
        </w:numPr>
        <w:spacing w:after="240"/>
        <w:ind w:left="709" w:hanging="709"/>
        <w:contextualSpacing w:val="0"/>
        <w:jc w:val="both"/>
        <w:rPr>
          <w:rStyle w:val="Hyperlink"/>
          <w:rFonts w:asciiTheme="minorHAnsi" w:hAnsiTheme="minorHAnsi"/>
          <w:sz w:val="24"/>
          <w:szCs w:val="24"/>
        </w:rPr>
      </w:pPr>
      <w:r w:rsidRPr="00792780">
        <w:rPr>
          <w:sz w:val="24"/>
          <w:szCs w:val="24"/>
        </w:rPr>
        <w:t xml:space="preserve">Once lodged, applications will be given a return date with the location as </w:t>
      </w:r>
      <w:r w:rsidR="00C80A92">
        <w:rPr>
          <w:sz w:val="24"/>
          <w:szCs w:val="24"/>
        </w:rPr>
        <w:t>‘</w:t>
      </w:r>
      <w:r w:rsidRPr="00792780">
        <w:rPr>
          <w:sz w:val="24"/>
          <w:szCs w:val="24"/>
        </w:rPr>
        <w:t>eCourtroom</w:t>
      </w:r>
      <w:r w:rsidR="00C80A92">
        <w:rPr>
          <w:sz w:val="24"/>
          <w:szCs w:val="24"/>
        </w:rPr>
        <w:t>’</w:t>
      </w:r>
      <w:r w:rsidRPr="00792780">
        <w:rPr>
          <w:sz w:val="24"/>
          <w:szCs w:val="24"/>
        </w:rPr>
        <w:t xml:space="preserve">. Practitioners must ensure that when an application is lodged, </w:t>
      </w:r>
      <w:r w:rsidRPr="00792780">
        <w:rPr>
          <w:b/>
          <w:sz w:val="24"/>
          <w:szCs w:val="24"/>
        </w:rPr>
        <w:t>the full name and email address</w:t>
      </w:r>
      <w:r w:rsidRPr="00792780">
        <w:rPr>
          <w:sz w:val="24"/>
          <w:szCs w:val="24"/>
        </w:rPr>
        <w:t xml:space="preserve"> of the practitioner who will be conducting the eCourtroom hearing is provided at the foot of the first page of the application. More than one practitioner’s name and email address may be provided.</w:t>
      </w:r>
    </w:p>
    <w:p w:rsidR="00792780" w:rsidRPr="00C2510A" w:rsidRDefault="00792780" w:rsidP="00792780">
      <w:pPr>
        <w:pStyle w:val="ListParagraph"/>
        <w:numPr>
          <w:ilvl w:val="1"/>
          <w:numId w:val="41"/>
        </w:numPr>
        <w:spacing w:after="240"/>
        <w:ind w:left="709" w:hanging="709"/>
        <w:contextualSpacing w:val="0"/>
        <w:jc w:val="both"/>
        <w:rPr>
          <w:sz w:val="24"/>
          <w:szCs w:val="24"/>
        </w:rPr>
      </w:pPr>
      <w:r w:rsidRPr="00C2510A">
        <w:rPr>
          <w:sz w:val="24"/>
          <w:szCs w:val="24"/>
        </w:rPr>
        <w:t xml:space="preserve">For each application, practitioners will receive a further email notifying them that the particular matter has been set up in </w:t>
      </w:r>
      <w:r w:rsidRPr="00D13D72">
        <w:rPr>
          <w:sz w:val="24"/>
          <w:szCs w:val="24"/>
        </w:rPr>
        <w:t>eCourtroom</w:t>
      </w:r>
      <w:r w:rsidRPr="00C2510A">
        <w:rPr>
          <w:sz w:val="24"/>
          <w:szCs w:val="24"/>
        </w:rPr>
        <w:t xml:space="preserve">.  The </w:t>
      </w:r>
      <w:r w:rsidR="007C6FBB">
        <w:rPr>
          <w:sz w:val="24"/>
          <w:szCs w:val="24"/>
        </w:rPr>
        <w:t xml:space="preserve">Judicial </w:t>
      </w:r>
      <w:r w:rsidRPr="00C2510A">
        <w:rPr>
          <w:sz w:val="24"/>
          <w:szCs w:val="24"/>
        </w:rPr>
        <w:t>Registrar allocated to deal with the matter will then communicate with each practitioner.</w:t>
      </w:r>
    </w:p>
    <w:p w:rsidR="00C2510A" w:rsidRPr="00C2510A" w:rsidRDefault="00C2510A" w:rsidP="00C2510A">
      <w:pPr>
        <w:pStyle w:val="ListParagraph"/>
        <w:numPr>
          <w:ilvl w:val="1"/>
          <w:numId w:val="41"/>
        </w:numPr>
        <w:spacing w:after="240"/>
        <w:ind w:left="709" w:hanging="709"/>
        <w:contextualSpacing w:val="0"/>
        <w:jc w:val="both"/>
        <w:rPr>
          <w:sz w:val="24"/>
          <w:szCs w:val="24"/>
          <w:lang w:eastAsia="en-AU"/>
        </w:rPr>
      </w:pPr>
      <w:r w:rsidRPr="00C2510A">
        <w:rPr>
          <w:sz w:val="24"/>
          <w:szCs w:val="24"/>
          <w:lang w:eastAsia="en-AU"/>
        </w:rPr>
        <w:t xml:space="preserve">Before </w:t>
      </w:r>
      <w:r w:rsidRPr="00C2510A">
        <w:rPr>
          <w:sz w:val="24"/>
          <w:szCs w:val="24"/>
        </w:rPr>
        <w:t>or</w:t>
      </w:r>
      <w:r w:rsidRPr="00C2510A">
        <w:rPr>
          <w:sz w:val="24"/>
          <w:szCs w:val="24"/>
          <w:lang w:eastAsia="en-AU"/>
        </w:rPr>
        <w:t xml:space="preserve"> on the </w:t>
      </w:r>
      <w:r w:rsidRPr="00D13D72">
        <w:rPr>
          <w:iCs/>
          <w:sz w:val="24"/>
          <w:szCs w:val="24"/>
          <w:lang w:eastAsia="en-AU"/>
        </w:rPr>
        <w:t>eCourtroom</w:t>
      </w:r>
      <w:r w:rsidRPr="00C2510A">
        <w:rPr>
          <w:sz w:val="24"/>
          <w:szCs w:val="24"/>
          <w:lang w:eastAsia="en-AU"/>
        </w:rPr>
        <w:t xml:space="preserve"> return date the </w:t>
      </w:r>
      <w:r w:rsidR="007C6FBB">
        <w:rPr>
          <w:sz w:val="24"/>
          <w:szCs w:val="24"/>
          <w:lang w:eastAsia="en-AU"/>
        </w:rPr>
        <w:t xml:space="preserve">Judicial </w:t>
      </w:r>
      <w:r w:rsidRPr="00C2510A">
        <w:rPr>
          <w:sz w:val="24"/>
          <w:szCs w:val="24"/>
          <w:lang w:eastAsia="en-AU"/>
        </w:rPr>
        <w:t>Registrar will:</w:t>
      </w:r>
    </w:p>
    <w:p w:rsidR="00C2510A" w:rsidRPr="00C2510A" w:rsidRDefault="00C2510A" w:rsidP="00792780">
      <w:pPr>
        <w:numPr>
          <w:ilvl w:val="0"/>
          <w:numId w:val="53"/>
        </w:numPr>
        <w:tabs>
          <w:tab w:val="clear" w:pos="720"/>
        </w:tabs>
        <w:spacing w:after="0" w:line="240" w:lineRule="auto"/>
        <w:ind w:left="1134" w:hanging="425"/>
        <w:jc w:val="both"/>
        <w:rPr>
          <w:sz w:val="24"/>
          <w:szCs w:val="24"/>
          <w:lang w:eastAsia="en-AU"/>
        </w:rPr>
      </w:pPr>
      <w:r w:rsidRPr="00C2510A">
        <w:rPr>
          <w:sz w:val="24"/>
          <w:szCs w:val="24"/>
          <w:lang w:eastAsia="en-AU"/>
        </w:rPr>
        <w:t xml:space="preserve">consider the filed evidence, any communications and the draft orders forwarded by the applicant; and </w:t>
      </w:r>
    </w:p>
    <w:p w:rsidR="00C2510A" w:rsidRPr="00C2510A" w:rsidRDefault="00C2510A" w:rsidP="006F62E9">
      <w:pPr>
        <w:numPr>
          <w:ilvl w:val="0"/>
          <w:numId w:val="53"/>
        </w:numPr>
        <w:tabs>
          <w:tab w:val="clear" w:pos="720"/>
        </w:tabs>
        <w:spacing w:after="240" w:line="240" w:lineRule="auto"/>
        <w:ind w:left="1134" w:hanging="425"/>
        <w:jc w:val="both"/>
        <w:rPr>
          <w:sz w:val="24"/>
          <w:szCs w:val="24"/>
          <w:lang w:eastAsia="en-AU"/>
        </w:rPr>
      </w:pPr>
      <w:r w:rsidRPr="00C2510A">
        <w:rPr>
          <w:sz w:val="24"/>
          <w:szCs w:val="24"/>
          <w:lang w:eastAsia="en-AU"/>
        </w:rPr>
        <w:t>make appropriate orders, notify parties (</w:t>
      </w:r>
      <w:r>
        <w:rPr>
          <w:sz w:val="24"/>
          <w:szCs w:val="24"/>
          <w:lang w:eastAsia="en-AU"/>
        </w:rPr>
        <w:t xml:space="preserve">or the </w:t>
      </w:r>
      <w:r w:rsidRPr="00C2510A">
        <w:rPr>
          <w:sz w:val="24"/>
          <w:szCs w:val="24"/>
          <w:lang w:eastAsia="en-AU"/>
        </w:rPr>
        <w:t xml:space="preserve">applicant in ex parte matters) and provide a sealed copy of the order.  </w:t>
      </w:r>
    </w:p>
    <w:p w:rsidR="00C2510A" w:rsidRPr="00792780" w:rsidRDefault="00C2510A" w:rsidP="00C2510A">
      <w:pPr>
        <w:pStyle w:val="Dimi05"/>
        <w:spacing w:before="0" w:after="240" w:line="276" w:lineRule="auto"/>
        <w:ind w:left="709"/>
        <w:contextualSpacing w:val="0"/>
        <w:jc w:val="both"/>
        <w:rPr>
          <w:i/>
        </w:rPr>
      </w:pPr>
      <w:r w:rsidRPr="00792780">
        <w:rPr>
          <w:i/>
        </w:rPr>
        <w:t>Commonwealth Courts Portal</w:t>
      </w:r>
    </w:p>
    <w:p w:rsidR="00792780" w:rsidRPr="00D13D72" w:rsidRDefault="00792780" w:rsidP="007C6FBB">
      <w:pPr>
        <w:pStyle w:val="ListParagraph"/>
        <w:numPr>
          <w:ilvl w:val="1"/>
          <w:numId w:val="41"/>
        </w:numPr>
        <w:spacing w:after="240"/>
        <w:ind w:left="709" w:hanging="709"/>
        <w:contextualSpacing w:val="0"/>
        <w:jc w:val="both"/>
        <w:rPr>
          <w:sz w:val="24"/>
          <w:szCs w:val="24"/>
          <w:lang w:eastAsia="en-AU"/>
        </w:rPr>
      </w:pPr>
      <w:r w:rsidRPr="00D13D72">
        <w:rPr>
          <w:sz w:val="24"/>
          <w:szCs w:val="24"/>
          <w:lang w:eastAsia="en-AU"/>
        </w:rPr>
        <w:t xml:space="preserve">Filed documents in a matter can be viewed by parties or those authorised by a party on the </w:t>
      </w:r>
      <w:hyperlink r:id="rId40" w:history="1">
        <w:r w:rsidRPr="00463D7C">
          <w:rPr>
            <w:rStyle w:val="Hyperlink"/>
            <w:rFonts w:asciiTheme="minorHAnsi" w:hAnsiTheme="minorHAnsi" w:cstheme="minorBidi"/>
            <w:sz w:val="24"/>
            <w:szCs w:val="24"/>
            <w:lang w:eastAsia="en-AU"/>
          </w:rPr>
          <w:t>Commonwealth Courts Portal</w:t>
        </w:r>
      </w:hyperlink>
      <w:r w:rsidR="00770EC8">
        <w:rPr>
          <w:sz w:val="24"/>
          <w:szCs w:val="24"/>
          <w:lang w:eastAsia="en-AU"/>
        </w:rPr>
        <w:t xml:space="preserve">. </w:t>
      </w:r>
      <w:r w:rsidRPr="00D13D72">
        <w:rPr>
          <w:sz w:val="24"/>
          <w:szCs w:val="24"/>
          <w:lang w:eastAsia="en-AU"/>
        </w:rPr>
        <w:t xml:space="preserve">The </w:t>
      </w:r>
      <w:r w:rsidR="00770EC8">
        <w:rPr>
          <w:sz w:val="24"/>
          <w:szCs w:val="24"/>
          <w:lang w:eastAsia="en-AU"/>
        </w:rPr>
        <w:t>Commonwealth Courts Portal (</w:t>
      </w:r>
      <w:r w:rsidRPr="00D13D72">
        <w:rPr>
          <w:sz w:val="24"/>
          <w:szCs w:val="24"/>
          <w:lang w:eastAsia="en-AU"/>
        </w:rPr>
        <w:t>CCP</w:t>
      </w:r>
      <w:r w:rsidR="00770EC8">
        <w:rPr>
          <w:sz w:val="24"/>
          <w:szCs w:val="24"/>
          <w:lang w:eastAsia="en-AU"/>
        </w:rPr>
        <w:t>)</w:t>
      </w:r>
      <w:r w:rsidRPr="00D13D72">
        <w:rPr>
          <w:sz w:val="24"/>
          <w:szCs w:val="24"/>
          <w:lang w:eastAsia="en-AU"/>
        </w:rPr>
        <w:t xml:space="preserve"> provides web-based services for court users to access information about cases before the Court. Parties may register for the CCP to gain access to documents which have been eLodged, as well as orders of the Court, judgments and listing events (past or future).</w:t>
      </w:r>
      <w:r w:rsidR="007C6FBB" w:rsidRPr="00D13D72">
        <w:rPr>
          <w:sz w:val="24"/>
          <w:szCs w:val="24"/>
          <w:lang w:eastAsia="en-AU"/>
        </w:rPr>
        <w:t xml:space="preserve"> More information about</w:t>
      </w:r>
      <w:r w:rsidR="00463D7C">
        <w:rPr>
          <w:sz w:val="24"/>
          <w:szCs w:val="24"/>
          <w:lang w:eastAsia="en-AU"/>
        </w:rPr>
        <w:t xml:space="preserve"> the</w:t>
      </w:r>
      <w:r w:rsidR="007C6FBB" w:rsidRPr="00D13D72">
        <w:rPr>
          <w:sz w:val="24"/>
          <w:szCs w:val="24"/>
          <w:lang w:eastAsia="en-AU"/>
        </w:rPr>
        <w:t xml:space="preserve"> CCP can be found in </w:t>
      </w:r>
      <w:hyperlink r:id="rId41" w:history="1">
        <w:r w:rsidR="007C6FBB" w:rsidRPr="00D13D72">
          <w:rPr>
            <w:rStyle w:val="Hyperlink"/>
            <w:rFonts w:asciiTheme="minorHAnsi" w:hAnsiTheme="minorHAnsi" w:cstheme="minorBidi"/>
            <w:sz w:val="24"/>
            <w:szCs w:val="24"/>
            <w:lang w:eastAsia="en-AU"/>
          </w:rPr>
          <w:t>Online Services</w:t>
        </w:r>
      </w:hyperlink>
      <w:r w:rsidR="007C6FBB" w:rsidRPr="00D13D72">
        <w:rPr>
          <w:sz w:val="24"/>
          <w:szCs w:val="24"/>
          <w:lang w:eastAsia="en-AU"/>
        </w:rPr>
        <w:t xml:space="preserve">. </w:t>
      </w:r>
      <w:r w:rsidRPr="00D13D72">
        <w:rPr>
          <w:sz w:val="24"/>
          <w:szCs w:val="24"/>
          <w:lang w:eastAsia="en-AU"/>
        </w:rPr>
        <w:t xml:space="preserve"> </w:t>
      </w:r>
    </w:p>
    <w:p w:rsidR="00C2510A" w:rsidRPr="007C6FBB" w:rsidRDefault="00C2510A" w:rsidP="007C6FBB">
      <w:pPr>
        <w:pStyle w:val="ListParagraph"/>
        <w:spacing w:after="240"/>
        <w:ind w:left="709"/>
        <w:contextualSpacing w:val="0"/>
        <w:jc w:val="both"/>
        <w:rPr>
          <w:rFonts w:eastAsia="Times New Roman" w:cs="Times New Roman"/>
          <w:i/>
          <w:sz w:val="24"/>
          <w:szCs w:val="24"/>
        </w:rPr>
      </w:pPr>
      <w:r w:rsidRPr="007C6FBB">
        <w:rPr>
          <w:rFonts w:eastAsia="Times New Roman" w:cs="Times New Roman"/>
          <w:i/>
          <w:sz w:val="24"/>
          <w:szCs w:val="24"/>
        </w:rPr>
        <w:t xml:space="preserve">Federal Law Search </w:t>
      </w:r>
    </w:p>
    <w:p w:rsidR="00792780" w:rsidRPr="007C6FBB" w:rsidRDefault="00792780" w:rsidP="007C6FBB">
      <w:pPr>
        <w:pStyle w:val="ListParagraph"/>
        <w:numPr>
          <w:ilvl w:val="1"/>
          <w:numId w:val="41"/>
        </w:numPr>
        <w:spacing w:after="240"/>
        <w:ind w:left="709" w:hanging="709"/>
        <w:contextualSpacing w:val="0"/>
        <w:jc w:val="both"/>
        <w:rPr>
          <w:sz w:val="24"/>
          <w:szCs w:val="24"/>
          <w:lang w:eastAsia="en-AU"/>
        </w:rPr>
      </w:pPr>
      <w:r w:rsidRPr="00C2510A">
        <w:rPr>
          <w:sz w:val="24"/>
          <w:szCs w:val="24"/>
          <w:lang w:eastAsia="en-AU"/>
        </w:rPr>
        <w:t xml:space="preserve">Alternatively, stamped court orders are also available </w:t>
      </w:r>
      <w:r w:rsidRPr="007C6FBB">
        <w:rPr>
          <w:sz w:val="24"/>
          <w:szCs w:val="24"/>
          <w:lang w:eastAsia="en-AU"/>
        </w:rPr>
        <w:t xml:space="preserve">online </w:t>
      </w:r>
      <w:r w:rsidR="00F5725D">
        <w:rPr>
          <w:sz w:val="24"/>
          <w:szCs w:val="24"/>
          <w:lang w:eastAsia="en-AU"/>
        </w:rPr>
        <w:t>via</w:t>
      </w:r>
      <w:r w:rsidRPr="007C6FBB">
        <w:rPr>
          <w:sz w:val="24"/>
          <w:szCs w:val="24"/>
          <w:lang w:eastAsia="en-AU"/>
        </w:rPr>
        <w:t xml:space="preserve"> </w:t>
      </w:r>
      <w:hyperlink r:id="rId42" w:history="1">
        <w:r w:rsidRPr="007C6FBB">
          <w:rPr>
            <w:rStyle w:val="Hyperlink"/>
            <w:rFonts w:asciiTheme="minorHAnsi" w:hAnsiTheme="minorHAnsi" w:cstheme="minorBidi"/>
            <w:sz w:val="24"/>
            <w:szCs w:val="24"/>
            <w:lang w:eastAsia="en-AU"/>
          </w:rPr>
          <w:t>Federal Law Search</w:t>
        </w:r>
      </w:hyperlink>
      <w:r w:rsidRPr="007C6FBB">
        <w:rPr>
          <w:sz w:val="24"/>
          <w:szCs w:val="24"/>
          <w:lang w:eastAsia="en-AU"/>
        </w:rPr>
        <w:t>.</w:t>
      </w:r>
      <w:r>
        <w:rPr>
          <w:sz w:val="24"/>
          <w:szCs w:val="24"/>
          <w:lang w:eastAsia="en-AU"/>
        </w:rPr>
        <w:t xml:space="preserve"> </w:t>
      </w:r>
      <w:r w:rsidRPr="00C2510A">
        <w:rPr>
          <w:sz w:val="24"/>
          <w:szCs w:val="24"/>
          <w:lang w:eastAsia="en-AU"/>
        </w:rPr>
        <w:t xml:space="preserve"> </w:t>
      </w:r>
      <w:r w:rsidRPr="007C6FBB">
        <w:rPr>
          <w:sz w:val="24"/>
          <w:szCs w:val="24"/>
          <w:lang w:eastAsia="en-AU"/>
        </w:rPr>
        <w:t xml:space="preserve">The Federal Law Search facility provides selected information on cases to members of the public. </w:t>
      </w:r>
    </w:p>
    <w:p w:rsidR="00C2510A" w:rsidRPr="00C2510A" w:rsidRDefault="00C2510A" w:rsidP="00792780">
      <w:pPr>
        <w:pStyle w:val="ListParagraph"/>
        <w:spacing w:after="240"/>
        <w:ind w:left="709"/>
        <w:contextualSpacing w:val="0"/>
        <w:jc w:val="both"/>
        <w:rPr>
          <w:bCs/>
          <w:sz w:val="24"/>
          <w:szCs w:val="24"/>
        </w:rPr>
      </w:pPr>
    </w:p>
    <w:sectPr w:rsidR="00C2510A" w:rsidRPr="00C2510A" w:rsidSect="0034348A">
      <w:footerReference w:type="even" r:id="rId43"/>
      <w:footerReference w:type="default" r:id="rId4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20" w:rsidRDefault="001A6620" w:rsidP="00D74B92">
      <w:pPr>
        <w:spacing w:after="0" w:line="240" w:lineRule="auto"/>
      </w:pPr>
      <w:r>
        <w:separator/>
      </w:r>
    </w:p>
  </w:endnote>
  <w:endnote w:type="continuationSeparator" w:id="0">
    <w:p w:rsidR="001A6620" w:rsidRDefault="001A6620" w:rsidP="00D7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80" w:rsidRDefault="00792780" w:rsidP="00F409F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92780" w:rsidRDefault="00792780" w:rsidP="003448E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80" w:rsidRDefault="00792780" w:rsidP="008B6C29">
    <w:pPr>
      <w:pStyle w:val="Footer"/>
      <w:jc w:val="center"/>
      <w:rPr>
        <w:rStyle w:val="PageNumber"/>
        <w:sz w:val="20"/>
      </w:rPr>
    </w:pPr>
    <w:r>
      <w:rPr>
        <w:rStyle w:val="PageNumber"/>
        <w:sz w:val="20"/>
      </w:rPr>
      <w:t xml:space="preserve">Bankruptcy Information Sheet 4: </w:t>
    </w:r>
    <w:r w:rsidRPr="00C96139">
      <w:rPr>
        <w:rStyle w:val="PageNumber"/>
        <w:sz w:val="20"/>
      </w:rPr>
      <w:t>Setting Aside a Bankruptcy Notice</w:t>
    </w:r>
  </w:p>
  <w:p w:rsidR="00792780" w:rsidRDefault="004A6DAD" w:rsidP="004A6DAD">
    <w:pPr>
      <w:pStyle w:val="Footer"/>
      <w:jc w:val="center"/>
    </w:pPr>
    <w:r>
      <w:rPr>
        <w:sz w:val="20"/>
      </w:rPr>
      <w:t>July 2022</w:t>
    </w:r>
    <w:r w:rsidR="00792780">
      <w:rPr>
        <w:sz w:val="20"/>
      </w:rPr>
      <w:tab/>
    </w:r>
    <w:r w:rsidR="00792780">
      <w:rPr>
        <w:sz w:val="20"/>
      </w:rPr>
      <w:tab/>
    </w:r>
    <w:r w:rsidR="00792780">
      <w:t>p</w:t>
    </w:r>
    <w:sdt>
      <w:sdtPr>
        <w:id w:val="919299280"/>
        <w:docPartObj>
          <w:docPartGallery w:val="Page Numbers (Bottom of Page)"/>
          <w:docPartUnique/>
        </w:docPartObj>
      </w:sdtPr>
      <w:sdtEndPr>
        <w:rPr>
          <w:noProof/>
        </w:rPr>
      </w:sdtEndPr>
      <w:sdtContent>
        <w:r w:rsidR="00792780">
          <w:fldChar w:fldCharType="begin"/>
        </w:r>
        <w:r w:rsidR="00792780">
          <w:instrText xml:space="preserve"> PAGE   \* MERGEFORMAT </w:instrText>
        </w:r>
        <w:r w:rsidR="00792780">
          <w:fldChar w:fldCharType="separate"/>
        </w:r>
        <w:r w:rsidR="00351BBC">
          <w:rPr>
            <w:noProof/>
          </w:rPr>
          <w:t>13</w:t>
        </w:r>
        <w:r w:rsidR="0079278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20" w:rsidRDefault="001A6620" w:rsidP="00D74B92">
      <w:pPr>
        <w:spacing w:after="0" w:line="240" w:lineRule="auto"/>
      </w:pPr>
      <w:r>
        <w:separator/>
      </w:r>
    </w:p>
  </w:footnote>
  <w:footnote w:type="continuationSeparator" w:id="0">
    <w:p w:rsidR="001A6620" w:rsidRDefault="001A6620" w:rsidP="00D74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D29"/>
    <w:multiLevelType w:val="multilevel"/>
    <w:tmpl w:val="BB66CB30"/>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 w15:restartNumberingAfterBreak="0">
    <w:nsid w:val="05F12E23"/>
    <w:multiLevelType w:val="multilevel"/>
    <w:tmpl w:val="42C61C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B0373"/>
    <w:multiLevelType w:val="multilevel"/>
    <w:tmpl w:val="BB66CB30"/>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15:restartNumberingAfterBreak="0">
    <w:nsid w:val="08107198"/>
    <w:multiLevelType w:val="hybridMultilevel"/>
    <w:tmpl w:val="6CE87E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84979FE"/>
    <w:multiLevelType w:val="hybridMultilevel"/>
    <w:tmpl w:val="BF0825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A1A60"/>
    <w:multiLevelType w:val="hybridMultilevel"/>
    <w:tmpl w:val="8604B1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0E173856"/>
    <w:multiLevelType w:val="hybridMultilevel"/>
    <w:tmpl w:val="55982322"/>
    <w:lvl w:ilvl="0" w:tplc="B8868B9C">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A2B6B"/>
    <w:multiLevelType w:val="multilevel"/>
    <w:tmpl w:val="B1FEE3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A66CC9"/>
    <w:multiLevelType w:val="multilevel"/>
    <w:tmpl w:val="445CCD76"/>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1961651F"/>
    <w:multiLevelType w:val="multilevel"/>
    <w:tmpl w:val="5F362A3A"/>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A7080"/>
    <w:multiLevelType w:val="multilevel"/>
    <w:tmpl w:val="004817B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5A277B"/>
    <w:multiLevelType w:val="hybridMultilevel"/>
    <w:tmpl w:val="C704672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1F56C6F"/>
    <w:multiLevelType w:val="multilevel"/>
    <w:tmpl w:val="55949F5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C9050A"/>
    <w:multiLevelType w:val="hybridMultilevel"/>
    <w:tmpl w:val="4E0CB420"/>
    <w:lvl w:ilvl="0" w:tplc="06A659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51A9F"/>
    <w:multiLevelType w:val="hybridMultilevel"/>
    <w:tmpl w:val="12B62BA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23F93B9A"/>
    <w:multiLevelType w:val="multilevel"/>
    <w:tmpl w:val="A75AACB8"/>
    <w:lvl w:ilvl="0">
      <w:start w:val="8"/>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7F2563"/>
    <w:multiLevelType w:val="hybridMultilevel"/>
    <w:tmpl w:val="A42E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BC04FF"/>
    <w:multiLevelType w:val="multilevel"/>
    <w:tmpl w:val="BB66CB30"/>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8" w15:restartNumberingAfterBreak="0">
    <w:nsid w:val="2CE33AC3"/>
    <w:multiLevelType w:val="multilevel"/>
    <w:tmpl w:val="1D8CF900"/>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1B1027"/>
    <w:multiLevelType w:val="multilevel"/>
    <w:tmpl w:val="4A3E97EC"/>
    <w:lvl w:ilvl="0">
      <w:start w:val="1"/>
      <w:numFmt w:val="decimal"/>
      <w:lvlText w:val="%1."/>
      <w:lvlJc w:val="left"/>
      <w:pPr>
        <w:ind w:left="360" w:hanging="360"/>
      </w:pPr>
      <w:rPr>
        <w:rFonts w:hint="default"/>
        <w:b/>
      </w:rPr>
    </w:lvl>
    <w:lvl w:ilvl="1">
      <w:start w:val="1"/>
      <w:numFmt w:val="decimal"/>
      <w:lvlText w:val="8.%2"/>
      <w:lvlJc w:val="left"/>
      <w:pPr>
        <w:ind w:left="298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210C72"/>
    <w:multiLevelType w:val="multilevel"/>
    <w:tmpl w:val="6556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606EC"/>
    <w:multiLevelType w:val="hybridMultilevel"/>
    <w:tmpl w:val="479CBCE0"/>
    <w:lvl w:ilvl="0" w:tplc="4950011E">
      <w:start w:val="1"/>
      <w:numFmt w:val="lowerLetter"/>
      <w:lvlText w:val="(%1)"/>
      <w:lvlJc w:val="left"/>
      <w:pPr>
        <w:ind w:left="1069" w:hanging="360"/>
      </w:pPr>
      <w:rPr>
        <w:rFonts w:hint="default"/>
        <w:i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6870B10"/>
    <w:multiLevelType w:val="hybridMultilevel"/>
    <w:tmpl w:val="1BF252A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36896D78"/>
    <w:multiLevelType w:val="multilevel"/>
    <w:tmpl w:val="DCBEE1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96AF5"/>
    <w:multiLevelType w:val="multilevel"/>
    <w:tmpl w:val="46CA2CC2"/>
    <w:lvl w:ilvl="0">
      <w:start w:val="9"/>
      <w:numFmt w:val="decimal"/>
      <w:lvlText w:val="%1."/>
      <w:lvlJc w:val="left"/>
      <w:pPr>
        <w:ind w:left="720" w:hanging="360"/>
      </w:pPr>
      <w:rPr>
        <w:rFonts w:hint="default"/>
      </w:rPr>
    </w:lvl>
    <w:lvl w:ilvl="1">
      <w:start w:val="1"/>
      <w:numFmt w:val="decimal"/>
      <w:isLgl/>
      <w:lvlText w:val="8.%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386ADD"/>
    <w:multiLevelType w:val="hybridMultilevel"/>
    <w:tmpl w:val="930E021E"/>
    <w:lvl w:ilvl="0" w:tplc="EAE4BC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9E2402B"/>
    <w:multiLevelType w:val="multilevel"/>
    <w:tmpl w:val="C25E07D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596CF3"/>
    <w:multiLevelType w:val="multilevel"/>
    <w:tmpl w:val="EBC4716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2752A8"/>
    <w:multiLevelType w:val="multilevel"/>
    <w:tmpl w:val="BB66CB30"/>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9" w15:restartNumberingAfterBreak="0">
    <w:nsid w:val="427000C7"/>
    <w:multiLevelType w:val="multilevel"/>
    <w:tmpl w:val="BB66CB30"/>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0" w15:restartNumberingAfterBreak="0">
    <w:nsid w:val="42B3024D"/>
    <w:multiLevelType w:val="multilevel"/>
    <w:tmpl w:val="F50C5B38"/>
    <w:lvl w:ilvl="0">
      <w:start w:val="1"/>
      <w:numFmt w:val="bullet"/>
      <w:lvlText w:val=""/>
      <w:lvlJc w:val="left"/>
      <w:pPr>
        <w:ind w:left="1788" w:hanging="360"/>
      </w:pPr>
      <w:rPr>
        <w:rFonts w:ascii="Symbol" w:hAnsi="Symbol" w:hint="default"/>
      </w:rPr>
    </w:lvl>
    <w:lvl w:ilvl="1">
      <w:start w:val="1"/>
      <w:numFmt w:val="decimal"/>
      <w:lvlText w:val="15.%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31" w15:restartNumberingAfterBreak="0">
    <w:nsid w:val="46CC4F67"/>
    <w:multiLevelType w:val="hybridMultilevel"/>
    <w:tmpl w:val="D7EABD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7B53421"/>
    <w:multiLevelType w:val="multilevel"/>
    <w:tmpl w:val="4AD2D23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5A7881"/>
    <w:multiLevelType w:val="hybridMultilevel"/>
    <w:tmpl w:val="F9DCF7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4BC03EBE"/>
    <w:multiLevelType w:val="hybridMultilevel"/>
    <w:tmpl w:val="43741E5A"/>
    <w:lvl w:ilvl="0" w:tplc="861E99A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4C3C5359"/>
    <w:multiLevelType w:val="multilevel"/>
    <w:tmpl w:val="D9FC392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F379B6"/>
    <w:multiLevelType w:val="multilevel"/>
    <w:tmpl w:val="55E80D2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594A1B"/>
    <w:multiLevelType w:val="multilevel"/>
    <w:tmpl w:val="713A1CA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8376E8"/>
    <w:multiLevelType w:val="multilevel"/>
    <w:tmpl w:val="C25E07D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4D3115"/>
    <w:multiLevelType w:val="multilevel"/>
    <w:tmpl w:val="55E80D2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624D61"/>
    <w:multiLevelType w:val="multilevel"/>
    <w:tmpl w:val="7400999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316A33"/>
    <w:multiLevelType w:val="multilevel"/>
    <w:tmpl w:val="FEEE7C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2D11CC"/>
    <w:multiLevelType w:val="hybridMultilevel"/>
    <w:tmpl w:val="930E021E"/>
    <w:lvl w:ilvl="0" w:tplc="EAE4BC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A2A3A54"/>
    <w:multiLevelType w:val="hybridMultilevel"/>
    <w:tmpl w:val="E836EAEE"/>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15:restartNumberingAfterBreak="0">
    <w:nsid w:val="63643728"/>
    <w:multiLevelType w:val="hybridMultilevel"/>
    <w:tmpl w:val="4E0CB420"/>
    <w:lvl w:ilvl="0" w:tplc="06A659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7B12D64"/>
    <w:multiLevelType w:val="multilevel"/>
    <w:tmpl w:val="2C9EFAAE"/>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8B6436"/>
    <w:multiLevelType w:val="hybridMultilevel"/>
    <w:tmpl w:val="5E4E45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78B55BA"/>
    <w:multiLevelType w:val="multilevel"/>
    <w:tmpl w:val="55E80D2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442804"/>
    <w:multiLevelType w:val="hybridMultilevel"/>
    <w:tmpl w:val="64B054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3119F7"/>
    <w:multiLevelType w:val="multilevel"/>
    <w:tmpl w:val="987E92D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9655C42"/>
    <w:multiLevelType w:val="hybridMultilevel"/>
    <w:tmpl w:val="2EACC6EE"/>
    <w:lvl w:ilvl="0" w:tplc="1F0A454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7C371D4D"/>
    <w:multiLevelType w:val="hybridMultilevel"/>
    <w:tmpl w:val="930E021E"/>
    <w:lvl w:ilvl="0" w:tplc="EAE4BC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D0029E4"/>
    <w:multiLevelType w:val="multilevel"/>
    <w:tmpl w:val="E9A4D4E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E4A3863"/>
    <w:multiLevelType w:val="multilevel"/>
    <w:tmpl w:val="69AEB09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2"/>
  </w:num>
  <w:num w:numId="2">
    <w:abstractNumId w:val="23"/>
  </w:num>
  <w:num w:numId="3">
    <w:abstractNumId w:val="4"/>
  </w:num>
  <w:num w:numId="4">
    <w:abstractNumId w:val="27"/>
  </w:num>
  <w:num w:numId="5">
    <w:abstractNumId w:val="48"/>
  </w:num>
  <w:num w:numId="6">
    <w:abstractNumId w:val="32"/>
  </w:num>
  <w:num w:numId="7">
    <w:abstractNumId w:val="37"/>
  </w:num>
  <w:num w:numId="8">
    <w:abstractNumId w:val="44"/>
  </w:num>
  <w:num w:numId="9">
    <w:abstractNumId w:val="40"/>
  </w:num>
  <w:num w:numId="10">
    <w:abstractNumId w:val="1"/>
  </w:num>
  <w:num w:numId="11">
    <w:abstractNumId w:val="39"/>
  </w:num>
  <w:num w:numId="12">
    <w:abstractNumId w:val="41"/>
  </w:num>
  <w:num w:numId="13">
    <w:abstractNumId w:val="38"/>
  </w:num>
  <w:num w:numId="14">
    <w:abstractNumId w:val="8"/>
  </w:num>
  <w:num w:numId="15">
    <w:abstractNumId w:val="10"/>
  </w:num>
  <w:num w:numId="16">
    <w:abstractNumId w:val="15"/>
  </w:num>
  <w:num w:numId="17">
    <w:abstractNumId w:val="11"/>
  </w:num>
  <w:num w:numId="18">
    <w:abstractNumId w:val="9"/>
  </w:num>
  <w:num w:numId="19">
    <w:abstractNumId w:val="5"/>
  </w:num>
  <w:num w:numId="20">
    <w:abstractNumId w:val="33"/>
  </w:num>
  <w:num w:numId="21">
    <w:abstractNumId w:val="24"/>
  </w:num>
  <w:num w:numId="22">
    <w:abstractNumId w:val="7"/>
  </w:num>
  <w:num w:numId="23">
    <w:abstractNumId w:val="31"/>
  </w:num>
  <w:num w:numId="24">
    <w:abstractNumId w:val="2"/>
  </w:num>
  <w:num w:numId="25">
    <w:abstractNumId w:val="16"/>
  </w:num>
  <w:num w:numId="26">
    <w:abstractNumId w:val="35"/>
  </w:num>
  <w:num w:numId="27">
    <w:abstractNumId w:val="49"/>
  </w:num>
  <w:num w:numId="28">
    <w:abstractNumId w:val="53"/>
  </w:num>
  <w:num w:numId="29">
    <w:abstractNumId w:val="5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53"/>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53"/>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3"/>
  </w:num>
  <w:num w:numId="33">
    <w:abstractNumId w:val="36"/>
  </w:num>
  <w:num w:numId="34">
    <w:abstractNumId w:val="47"/>
  </w:num>
  <w:num w:numId="35">
    <w:abstractNumId w:val="20"/>
  </w:num>
  <w:num w:numId="36">
    <w:abstractNumId w:val="45"/>
  </w:num>
  <w:num w:numId="37">
    <w:abstractNumId w:val="0"/>
  </w:num>
  <w:num w:numId="38">
    <w:abstractNumId w:val="12"/>
  </w:num>
  <w:num w:numId="39">
    <w:abstractNumId w:val="26"/>
  </w:num>
  <w:num w:numId="40">
    <w:abstractNumId w:val="53"/>
    <w:lvlOverride w:ilvl="0">
      <w:lvl w:ilvl="0">
        <w:start w:val="1"/>
        <w:numFmt w:val="decimal"/>
        <w:lvlText w:val="%1."/>
        <w:lvlJc w:val="left"/>
        <w:pPr>
          <w:ind w:left="360" w:hanging="360"/>
        </w:pPr>
        <w:rPr>
          <w:rFonts w:hint="default"/>
        </w:rPr>
      </w:lvl>
    </w:lvlOverride>
    <w:lvlOverride w:ilvl="1">
      <w:lvl w:ilvl="1">
        <w:start w:val="1"/>
        <w:numFmt w:val="decimal"/>
        <w:lvlText w:val="7.%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3"/>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792" w:hanging="432"/>
        </w:pPr>
        <w:rPr>
          <w:rFonts w:hint="default"/>
          <w:color w:val="000000" w:themeColor="text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50"/>
  </w:num>
  <w:num w:numId="43">
    <w:abstractNumId w:val="21"/>
  </w:num>
  <w:num w:numId="44">
    <w:abstractNumId w:val="3"/>
  </w:num>
  <w:num w:numId="45">
    <w:abstractNumId w:val="25"/>
  </w:num>
  <w:num w:numId="46">
    <w:abstractNumId w:val="51"/>
  </w:num>
  <w:num w:numId="47">
    <w:abstractNumId w:val="34"/>
  </w:num>
  <w:num w:numId="48">
    <w:abstractNumId w:val="17"/>
  </w:num>
  <w:num w:numId="49">
    <w:abstractNumId w:val="28"/>
  </w:num>
  <w:num w:numId="50">
    <w:abstractNumId w:val="29"/>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6"/>
  </w:num>
  <w:num w:numId="54">
    <w:abstractNumId w:val="42"/>
  </w:num>
  <w:num w:numId="55">
    <w:abstractNumId w:val="43"/>
  </w:num>
  <w:num w:numId="56">
    <w:abstractNumId w:val="22"/>
  </w:num>
  <w:num w:numId="57">
    <w:abstractNumId w:val="14"/>
  </w:num>
  <w:num w:numId="58">
    <w:abstractNumId w:val="30"/>
  </w:num>
  <w:num w:numId="59">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7"/>
    <w:rsid w:val="0000199D"/>
    <w:rsid w:val="00003A49"/>
    <w:rsid w:val="00003CE3"/>
    <w:rsid w:val="00004207"/>
    <w:rsid w:val="0001108F"/>
    <w:rsid w:val="0002339D"/>
    <w:rsid w:val="00034DA8"/>
    <w:rsid w:val="0003577B"/>
    <w:rsid w:val="000372E5"/>
    <w:rsid w:val="00040919"/>
    <w:rsid w:val="000513A4"/>
    <w:rsid w:val="00057304"/>
    <w:rsid w:val="00060D23"/>
    <w:rsid w:val="0007495B"/>
    <w:rsid w:val="00074BF8"/>
    <w:rsid w:val="000769CA"/>
    <w:rsid w:val="00082D97"/>
    <w:rsid w:val="00093F41"/>
    <w:rsid w:val="000B5A43"/>
    <w:rsid w:val="000C14E5"/>
    <w:rsid w:val="000C353E"/>
    <w:rsid w:val="000C7E00"/>
    <w:rsid w:val="000D060B"/>
    <w:rsid w:val="000D071F"/>
    <w:rsid w:val="000D421E"/>
    <w:rsid w:val="000F46E5"/>
    <w:rsid w:val="0010054A"/>
    <w:rsid w:val="0010592C"/>
    <w:rsid w:val="00105CAA"/>
    <w:rsid w:val="001110D6"/>
    <w:rsid w:val="00112E2E"/>
    <w:rsid w:val="001147D7"/>
    <w:rsid w:val="0011664F"/>
    <w:rsid w:val="00123E65"/>
    <w:rsid w:val="001410D8"/>
    <w:rsid w:val="001424D9"/>
    <w:rsid w:val="001442A7"/>
    <w:rsid w:val="00147A28"/>
    <w:rsid w:val="0015672B"/>
    <w:rsid w:val="0016131B"/>
    <w:rsid w:val="00165F5D"/>
    <w:rsid w:val="001660F3"/>
    <w:rsid w:val="00167D1B"/>
    <w:rsid w:val="00185490"/>
    <w:rsid w:val="00195007"/>
    <w:rsid w:val="001A010A"/>
    <w:rsid w:val="001A5DB4"/>
    <w:rsid w:val="001A6620"/>
    <w:rsid w:val="001B7834"/>
    <w:rsid w:val="001C23FA"/>
    <w:rsid w:val="001D02C8"/>
    <w:rsid w:val="001D6421"/>
    <w:rsid w:val="001E3C76"/>
    <w:rsid w:val="001E7AC7"/>
    <w:rsid w:val="001F349C"/>
    <w:rsid w:val="001F38C3"/>
    <w:rsid w:val="001F3F3D"/>
    <w:rsid w:val="001F4ED8"/>
    <w:rsid w:val="002031F3"/>
    <w:rsid w:val="0021250B"/>
    <w:rsid w:val="00230BA8"/>
    <w:rsid w:val="00233C10"/>
    <w:rsid w:val="00244337"/>
    <w:rsid w:val="00244DE8"/>
    <w:rsid w:val="00266A95"/>
    <w:rsid w:val="002727FB"/>
    <w:rsid w:val="00281287"/>
    <w:rsid w:val="00281DE5"/>
    <w:rsid w:val="0028701C"/>
    <w:rsid w:val="00290A7A"/>
    <w:rsid w:val="00291359"/>
    <w:rsid w:val="00291AC5"/>
    <w:rsid w:val="00292533"/>
    <w:rsid w:val="00292DCB"/>
    <w:rsid w:val="002A6E1F"/>
    <w:rsid w:val="002A7A6E"/>
    <w:rsid w:val="002B3F09"/>
    <w:rsid w:val="002B527D"/>
    <w:rsid w:val="002C07B0"/>
    <w:rsid w:val="002D246C"/>
    <w:rsid w:val="002F3A4A"/>
    <w:rsid w:val="002F5149"/>
    <w:rsid w:val="00305BFE"/>
    <w:rsid w:val="00321CA5"/>
    <w:rsid w:val="0032486B"/>
    <w:rsid w:val="003255F6"/>
    <w:rsid w:val="003324F6"/>
    <w:rsid w:val="00334B72"/>
    <w:rsid w:val="00341DBC"/>
    <w:rsid w:val="0034348A"/>
    <w:rsid w:val="003448EA"/>
    <w:rsid w:val="003509ED"/>
    <w:rsid w:val="00350A79"/>
    <w:rsid w:val="00350F4E"/>
    <w:rsid w:val="00351BBC"/>
    <w:rsid w:val="00351BE2"/>
    <w:rsid w:val="00351F7E"/>
    <w:rsid w:val="00352E2B"/>
    <w:rsid w:val="00354772"/>
    <w:rsid w:val="003566FE"/>
    <w:rsid w:val="003606E3"/>
    <w:rsid w:val="0036150C"/>
    <w:rsid w:val="00362EDD"/>
    <w:rsid w:val="003639B8"/>
    <w:rsid w:val="00365613"/>
    <w:rsid w:val="0037133B"/>
    <w:rsid w:val="00372E4F"/>
    <w:rsid w:val="00373226"/>
    <w:rsid w:val="00380187"/>
    <w:rsid w:val="00382A0C"/>
    <w:rsid w:val="0038517F"/>
    <w:rsid w:val="00396D2C"/>
    <w:rsid w:val="0039754C"/>
    <w:rsid w:val="003A35C5"/>
    <w:rsid w:val="003A52F8"/>
    <w:rsid w:val="003A531C"/>
    <w:rsid w:val="003A74D8"/>
    <w:rsid w:val="003B282B"/>
    <w:rsid w:val="003B6E2B"/>
    <w:rsid w:val="003D2A9A"/>
    <w:rsid w:val="003D6691"/>
    <w:rsid w:val="003E0B83"/>
    <w:rsid w:val="003F74B7"/>
    <w:rsid w:val="003F7F67"/>
    <w:rsid w:val="00400507"/>
    <w:rsid w:val="004030CC"/>
    <w:rsid w:val="004073B6"/>
    <w:rsid w:val="004115F8"/>
    <w:rsid w:val="004152C1"/>
    <w:rsid w:val="004156BE"/>
    <w:rsid w:val="00415709"/>
    <w:rsid w:val="00422570"/>
    <w:rsid w:val="004410D6"/>
    <w:rsid w:val="00444229"/>
    <w:rsid w:val="00451184"/>
    <w:rsid w:val="00454BEF"/>
    <w:rsid w:val="0045537F"/>
    <w:rsid w:val="004627B4"/>
    <w:rsid w:val="00463D7C"/>
    <w:rsid w:val="0048657D"/>
    <w:rsid w:val="00497B0A"/>
    <w:rsid w:val="004A6DAD"/>
    <w:rsid w:val="004C2544"/>
    <w:rsid w:val="004C5857"/>
    <w:rsid w:val="004C5BE0"/>
    <w:rsid w:val="004D0692"/>
    <w:rsid w:val="004E6748"/>
    <w:rsid w:val="004E79CB"/>
    <w:rsid w:val="004F07FB"/>
    <w:rsid w:val="004F219A"/>
    <w:rsid w:val="004F5B29"/>
    <w:rsid w:val="00500704"/>
    <w:rsid w:val="00502E1B"/>
    <w:rsid w:val="00513249"/>
    <w:rsid w:val="00544515"/>
    <w:rsid w:val="005464A5"/>
    <w:rsid w:val="00556177"/>
    <w:rsid w:val="0056690B"/>
    <w:rsid w:val="00582E14"/>
    <w:rsid w:val="005849B4"/>
    <w:rsid w:val="00596752"/>
    <w:rsid w:val="005B703E"/>
    <w:rsid w:val="005C421C"/>
    <w:rsid w:val="005D11D6"/>
    <w:rsid w:val="005D179A"/>
    <w:rsid w:val="005D41E9"/>
    <w:rsid w:val="005D4CDE"/>
    <w:rsid w:val="005E3C3F"/>
    <w:rsid w:val="005F78D4"/>
    <w:rsid w:val="00607EFA"/>
    <w:rsid w:val="0062511D"/>
    <w:rsid w:val="0062709F"/>
    <w:rsid w:val="00632705"/>
    <w:rsid w:val="00637CB0"/>
    <w:rsid w:val="00647655"/>
    <w:rsid w:val="0065183A"/>
    <w:rsid w:val="00653356"/>
    <w:rsid w:val="00654CDE"/>
    <w:rsid w:val="00672C38"/>
    <w:rsid w:val="00674405"/>
    <w:rsid w:val="00687768"/>
    <w:rsid w:val="006925B9"/>
    <w:rsid w:val="00694473"/>
    <w:rsid w:val="006960D6"/>
    <w:rsid w:val="006A015A"/>
    <w:rsid w:val="006A1464"/>
    <w:rsid w:val="006A61B6"/>
    <w:rsid w:val="006B17AC"/>
    <w:rsid w:val="006B7F03"/>
    <w:rsid w:val="006C0075"/>
    <w:rsid w:val="006C266D"/>
    <w:rsid w:val="006D3726"/>
    <w:rsid w:val="006D796A"/>
    <w:rsid w:val="006E5E0F"/>
    <w:rsid w:val="006F3D3F"/>
    <w:rsid w:val="006F62E9"/>
    <w:rsid w:val="00710811"/>
    <w:rsid w:val="00720E29"/>
    <w:rsid w:val="00720E43"/>
    <w:rsid w:val="007230FD"/>
    <w:rsid w:val="00733096"/>
    <w:rsid w:val="007447E4"/>
    <w:rsid w:val="007502C6"/>
    <w:rsid w:val="0076217B"/>
    <w:rsid w:val="00764352"/>
    <w:rsid w:val="0076755C"/>
    <w:rsid w:val="00770EC8"/>
    <w:rsid w:val="0079121F"/>
    <w:rsid w:val="00792780"/>
    <w:rsid w:val="00792D7B"/>
    <w:rsid w:val="007A0302"/>
    <w:rsid w:val="007A5B87"/>
    <w:rsid w:val="007B3CAC"/>
    <w:rsid w:val="007C0443"/>
    <w:rsid w:val="007C052B"/>
    <w:rsid w:val="007C1A41"/>
    <w:rsid w:val="007C1EB3"/>
    <w:rsid w:val="007C584E"/>
    <w:rsid w:val="007C5F5B"/>
    <w:rsid w:val="007C6FBB"/>
    <w:rsid w:val="007C70FD"/>
    <w:rsid w:val="007E270F"/>
    <w:rsid w:val="007E3B4E"/>
    <w:rsid w:val="007E718B"/>
    <w:rsid w:val="007F265B"/>
    <w:rsid w:val="008102EC"/>
    <w:rsid w:val="008150CE"/>
    <w:rsid w:val="00824683"/>
    <w:rsid w:val="00830622"/>
    <w:rsid w:val="00830A95"/>
    <w:rsid w:val="00834226"/>
    <w:rsid w:val="008405DC"/>
    <w:rsid w:val="008407C1"/>
    <w:rsid w:val="00841CB7"/>
    <w:rsid w:val="0084301A"/>
    <w:rsid w:val="00844234"/>
    <w:rsid w:val="00845C9E"/>
    <w:rsid w:val="00857E77"/>
    <w:rsid w:val="00860290"/>
    <w:rsid w:val="00861E80"/>
    <w:rsid w:val="00867950"/>
    <w:rsid w:val="00874738"/>
    <w:rsid w:val="00880604"/>
    <w:rsid w:val="00884329"/>
    <w:rsid w:val="0089093E"/>
    <w:rsid w:val="00895DE3"/>
    <w:rsid w:val="0089694F"/>
    <w:rsid w:val="00897F79"/>
    <w:rsid w:val="008A5740"/>
    <w:rsid w:val="008B0660"/>
    <w:rsid w:val="008B0F46"/>
    <w:rsid w:val="008B3BFF"/>
    <w:rsid w:val="008B6C29"/>
    <w:rsid w:val="008C0C2F"/>
    <w:rsid w:val="008C5690"/>
    <w:rsid w:val="008C5E9C"/>
    <w:rsid w:val="008D48FE"/>
    <w:rsid w:val="008D53A5"/>
    <w:rsid w:val="008E215F"/>
    <w:rsid w:val="008F6855"/>
    <w:rsid w:val="0090236A"/>
    <w:rsid w:val="00905EDF"/>
    <w:rsid w:val="0091682B"/>
    <w:rsid w:val="0092457E"/>
    <w:rsid w:val="009367C4"/>
    <w:rsid w:val="009374B1"/>
    <w:rsid w:val="00940371"/>
    <w:rsid w:val="0095091C"/>
    <w:rsid w:val="00953011"/>
    <w:rsid w:val="00955ED7"/>
    <w:rsid w:val="0096722A"/>
    <w:rsid w:val="00970297"/>
    <w:rsid w:val="0099229B"/>
    <w:rsid w:val="009926BB"/>
    <w:rsid w:val="00996F7F"/>
    <w:rsid w:val="009A0A44"/>
    <w:rsid w:val="009A4836"/>
    <w:rsid w:val="009A77E3"/>
    <w:rsid w:val="009B35AF"/>
    <w:rsid w:val="009B38C7"/>
    <w:rsid w:val="009C24CB"/>
    <w:rsid w:val="009C3767"/>
    <w:rsid w:val="009D1364"/>
    <w:rsid w:val="009D22C0"/>
    <w:rsid w:val="009E67DB"/>
    <w:rsid w:val="009F1DDC"/>
    <w:rsid w:val="009F4CC6"/>
    <w:rsid w:val="00A02A58"/>
    <w:rsid w:val="00A057B4"/>
    <w:rsid w:val="00A07971"/>
    <w:rsid w:val="00A17022"/>
    <w:rsid w:val="00A259D7"/>
    <w:rsid w:val="00A3179C"/>
    <w:rsid w:val="00A3626E"/>
    <w:rsid w:val="00A42DD0"/>
    <w:rsid w:val="00A45E03"/>
    <w:rsid w:val="00A56EFC"/>
    <w:rsid w:val="00A57AC6"/>
    <w:rsid w:val="00A62CA7"/>
    <w:rsid w:val="00A631F6"/>
    <w:rsid w:val="00A65264"/>
    <w:rsid w:val="00A8319E"/>
    <w:rsid w:val="00A92A50"/>
    <w:rsid w:val="00A940B2"/>
    <w:rsid w:val="00A966F4"/>
    <w:rsid w:val="00AA741D"/>
    <w:rsid w:val="00AC2A4B"/>
    <w:rsid w:val="00AD1EA1"/>
    <w:rsid w:val="00AD45ED"/>
    <w:rsid w:val="00AE0DB0"/>
    <w:rsid w:val="00AF7F07"/>
    <w:rsid w:val="00B02AE5"/>
    <w:rsid w:val="00B043AC"/>
    <w:rsid w:val="00B048E8"/>
    <w:rsid w:val="00B04C98"/>
    <w:rsid w:val="00B1325C"/>
    <w:rsid w:val="00B23EE6"/>
    <w:rsid w:val="00B23F4F"/>
    <w:rsid w:val="00B60026"/>
    <w:rsid w:val="00B72C13"/>
    <w:rsid w:val="00B7620B"/>
    <w:rsid w:val="00B83200"/>
    <w:rsid w:val="00BA0358"/>
    <w:rsid w:val="00BA22FB"/>
    <w:rsid w:val="00BA5591"/>
    <w:rsid w:val="00BA7067"/>
    <w:rsid w:val="00BE38CA"/>
    <w:rsid w:val="00C048B4"/>
    <w:rsid w:val="00C05CF6"/>
    <w:rsid w:val="00C2510A"/>
    <w:rsid w:val="00C27259"/>
    <w:rsid w:val="00C2732F"/>
    <w:rsid w:val="00C45677"/>
    <w:rsid w:val="00C51A50"/>
    <w:rsid w:val="00C77DB6"/>
    <w:rsid w:val="00C80A92"/>
    <w:rsid w:val="00C96139"/>
    <w:rsid w:val="00CB0AF7"/>
    <w:rsid w:val="00CB6257"/>
    <w:rsid w:val="00CB6B13"/>
    <w:rsid w:val="00CB6FA4"/>
    <w:rsid w:val="00CC26B8"/>
    <w:rsid w:val="00CD636E"/>
    <w:rsid w:val="00CD760F"/>
    <w:rsid w:val="00CE1A1F"/>
    <w:rsid w:val="00D02289"/>
    <w:rsid w:val="00D03BCE"/>
    <w:rsid w:val="00D13D72"/>
    <w:rsid w:val="00D16C00"/>
    <w:rsid w:val="00D30C22"/>
    <w:rsid w:val="00D36527"/>
    <w:rsid w:val="00D404F5"/>
    <w:rsid w:val="00D47452"/>
    <w:rsid w:val="00D51D75"/>
    <w:rsid w:val="00D60E3A"/>
    <w:rsid w:val="00D744A6"/>
    <w:rsid w:val="00D74B92"/>
    <w:rsid w:val="00D801A0"/>
    <w:rsid w:val="00D8221A"/>
    <w:rsid w:val="00D83386"/>
    <w:rsid w:val="00D846F1"/>
    <w:rsid w:val="00DA5E6B"/>
    <w:rsid w:val="00DB08E8"/>
    <w:rsid w:val="00DB1460"/>
    <w:rsid w:val="00DD0630"/>
    <w:rsid w:val="00DD5808"/>
    <w:rsid w:val="00DD65CB"/>
    <w:rsid w:val="00DE6531"/>
    <w:rsid w:val="00DE6944"/>
    <w:rsid w:val="00DF41F1"/>
    <w:rsid w:val="00E002BC"/>
    <w:rsid w:val="00E04D79"/>
    <w:rsid w:val="00E31AE4"/>
    <w:rsid w:val="00E353F6"/>
    <w:rsid w:val="00E3596B"/>
    <w:rsid w:val="00E43A92"/>
    <w:rsid w:val="00E463B7"/>
    <w:rsid w:val="00E46B82"/>
    <w:rsid w:val="00E54526"/>
    <w:rsid w:val="00E60C4F"/>
    <w:rsid w:val="00E64E53"/>
    <w:rsid w:val="00E72D34"/>
    <w:rsid w:val="00E7741D"/>
    <w:rsid w:val="00E872EC"/>
    <w:rsid w:val="00E95E77"/>
    <w:rsid w:val="00EA402E"/>
    <w:rsid w:val="00EA64BC"/>
    <w:rsid w:val="00EB3FFF"/>
    <w:rsid w:val="00EC62D8"/>
    <w:rsid w:val="00ED517B"/>
    <w:rsid w:val="00EE1D09"/>
    <w:rsid w:val="00F02119"/>
    <w:rsid w:val="00F10A7F"/>
    <w:rsid w:val="00F14BBC"/>
    <w:rsid w:val="00F16433"/>
    <w:rsid w:val="00F204A3"/>
    <w:rsid w:val="00F26C20"/>
    <w:rsid w:val="00F26EA8"/>
    <w:rsid w:val="00F36209"/>
    <w:rsid w:val="00F409F5"/>
    <w:rsid w:val="00F42BDF"/>
    <w:rsid w:val="00F5725D"/>
    <w:rsid w:val="00F577F4"/>
    <w:rsid w:val="00F600B1"/>
    <w:rsid w:val="00F624D6"/>
    <w:rsid w:val="00F64B31"/>
    <w:rsid w:val="00F66091"/>
    <w:rsid w:val="00F6642A"/>
    <w:rsid w:val="00F67530"/>
    <w:rsid w:val="00F70725"/>
    <w:rsid w:val="00F73BF5"/>
    <w:rsid w:val="00F7718D"/>
    <w:rsid w:val="00F874D7"/>
    <w:rsid w:val="00F929DC"/>
    <w:rsid w:val="00FA307A"/>
    <w:rsid w:val="00FA3B2F"/>
    <w:rsid w:val="00FA73DE"/>
    <w:rsid w:val="00FB36D9"/>
    <w:rsid w:val="00FB3A3B"/>
    <w:rsid w:val="00FC5033"/>
    <w:rsid w:val="00FC53CE"/>
    <w:rsid w:val="00FC6063"/>
    <w:rsid w:val="00FD5729"/>
    <w:rsid w:val="00FD665E"/>
    <w:rsid w:val="00FE4FA1"/>
    <w:rsid w:val="00FE71A8"/>
    <w:rsid w:val="00FF7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4B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59D7"/>
    <w:pPr>
      <w:spacing w:after="180" w:line="240" w:lineRule="auto"/>
      <w:outlineLvl w:val="0"/>
    </w:pPr>
    <w:rPr>
      <w:rFonts w:ascii="Georgia" w:eastAsia="Times New Roman" w:hAnsi="Georgia" w:cs="Times New Roman"/>
      <w:color w:val="000000"/>
      <w:kern w:val="36"/>
      <w:sz w:val="50"/>
      <w:szCs w:val="50"/>
      <w:lang w:eastAsia="en-AU"/>
    </w:rPr>
  </w:style>
  <w:style w:type="paragraph" w:styleId="Heading2">
    <w:name w:val="heading 2"/>
    <w:basedOn w:val="Normal"/>
    <w:link w:val="Heading2Char"/>
    <w:uiPriority w:val="9"/>
    <w:qFormat/>
    <w:rsid w:val="00A259D7"/>
    <w:pPr>
      <w:spacing w:after="180" w:line="240" w:lineRule="auto"/>
      <w:outlineLvl w:val="1"/>
    </w:pPr>
    <w:rPr>
      <w:rFonts w:ascii="Georgia" w:eastAsia="Times New Roman" w:hAnsi="Georgia" w:cs="Times New Roman"/>
      <w:color w:val="000000"/>
      <w:sz w:val="38"/>
      <w:szCs w:val="38"/>
      <w:lang w:eastAsia="en-AU"/>
    </w:rPr>
  </w:style>
  <w:style w:type="paragraph" w:styleId="Heading3">
    <w:name w:val="heading 3"/>
    <w:basedOn w:val="Normal"/>
    <w:link w:val="Heading3Char"/>
    <w:uiPriority w:val="9"/>
    <w:qFormat/>
    <w:rsid w:val="00A259D7"/>
    <w:pPr>
      <w:spacing w:after="180" w:line="240" w:lineRule="auto"/>
      <w:outlineLvl w:val="2"/>
    </w:pPr>
    <w:rPr>
      <w:rFonts w:ascii="Arial" w:eastAsia="Times New Roman" w:hAnsi="Arial" w:cs="Arial"/>
      <w:color w:val="3A3A3A"/>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9D7"/>
    <w:rPr>
      <w:rFonts w:ascii="Georgia" w:eastAsia="Times New Roman" w:hAnsi="Georgia" w:cs="Times New Roman"/>
      <w:color w:val="000000"/>
      <w:kern w:val="36"/>
      <w:sz w:val="50"/>
      <w:szCs w:val="50"/>
      <w:lang w:eastAsia="en-AU"/>
    </w:rPr>
  </w:style>
  <w:style w:type="character" w:customStyle="1" w:styleId="Heading2Char">
    <w:name w:val="Heading 2 Char"/>
    <w:basedOn w:val="DefaultParagraphFont"/>
    <w:link w:val="Heading2"/>
    <w:uiPriority w:val="9"/>
    <w:rsid w:val="00A259D7"/>
    <w:rPr>
      <w:rFonts w:ascii="Georgia" w:eastAsia="Times New Roman" w:hAnsi="Georgia" w:cs="Times New Roman"/>
      <w:color w:val="000000"/>
      <w:sz w:val="38"/>
      <w:szCs w:val="38"/>
      <w:lang w:eastAsia="en-AU"/>
    </w:rPr>
  </w:style>
  <w:style w:type="character" w:customStyle="1" w:styleId="Heading3Char">
    <w:name w:val="Heading 3 Char"/>
    <w:basedOn w:val="DefaultParagraphFont"/>
    <w:link w:val="Heading3"/>
    <w:uiPriority w:val="9"/>
    <w:rsid w:val="00A259D7"/>
    <w:rPr>
      <w:rFonts w:ascii="Arial" w:eastAsia="Times New Roman" w:hAnsi="Arial" w:cs="Arial"/>
      <w:color w:val="3A3A3A"/>
      <w:sz w:val="32"/>
      <w:szCs w:val="32"/>
      <w:lang w:eastAsia="en-AU"/>
    </w:rPr>
  </w:style>
  <w:style w:type="character" w:styleId="Hyperlink">
    <w:name w:val="Hyperlink"/>
    <w:basedOn w:val="DefaultParagraphFont"/>
    <w:uiPriority w:val="99"/>
    <w:unhideWhenUsed/>
    <w:rsid w:val="00FA307A"/>
    <w:rPr>
      <w:rFonts w:ascii="Arial" w:hAnsi="Arial" w:cs="Arial" w:hint="default"/>
      <w:color w:val="0000FF"/>
      <w:u w:val="single"/>
    </w:rPr>
  </w:style>
  <w:style w:type="paragraph" w:styleId="NormalWeb">
    <w:name w:val="Normal (Web)"/>
    <w:basedOn w:val="Normal"/>
    <w:uiPriority w:val="99"/>
    <w:semiHidden/>
    <w:unhideWhenUsed/>
    <w:rsid w:val="00A259D7"/>
    <w:pPr>
      <w:spacing w:after="300" w:line="240" w:lineRule="auto"/>
    </w:pPr>
    <w:rPr>
      <w:rFonts w:ascii="Arial" w:eastAsia="Times New Roman" w:hAnsi="Arial" w:cs="Arial"/>
      <w:sz w:val="24"/>
      <w:szCs w:val="24"/>
      <w:lang w:eastAsia="en-AU"/>
    </w:rPr>
  </w:style>
  <w:style w:type="character" w:styleId="Emphasis">
    <w:name w:val="Emphasis"/>
    <w:basedOn w:val="DefaultParagraphFont"/>
    <w:uiPriority w:val="20"/>
    <w:qFormat/>
    <w:rsid w:val="00A259D7"/>
    <w:rPr>
      <w:i/>
      <w:iCs/>
    </w:rPr>
  </w:style>
  <w:style w:type="paragraph" w:customStyle="1" w:styleId="Dimi05">
    <w:name w:val="Dimi 05"/>
    <w:basedOn w:val="Normal"/>
    <w:link w:val="Dimi05Char"/>
    <w:qFormat/>
    <w:rsid w:val="00A259D7"/>
    <w:pPr>
      <w:spacing w:before="240" w:after="0" w:line="240" w:lineRule="auto"/>
      <w:contextualSpacing/>
    </w:pPr>
    <w:rPr>
      <w:rFonts w:eastAsia="Times New Roman" w:cs="Times New Roman"/>
      <w:sz w:val="24"/>
      <w:szCs w:val="24"/>
    </w:rPr>
  </w:style>
  <w:style w:type="character" w:customStyle="1" w:styleId="Dimi05Char">
    <w:name w:val="Dimi 05 Char"/>
    <w:basedOn w:val="DefaultParagraphFont"/>
    <w:link w:val="Dimi05"/>
    <w:rsid w:val="00A259D7"/>
    <w:rPr>
      <w:rFonts w:eastAsia="Times New Roman" w:cs="Times New Roman"/>
      <w:sz w:val="24"/>
      <w:szCs w:val="24"/>
    </w:rPr>
  </w:style>
  <w:style w:type="paragraph" w:styleId="ListParagraph">
    <w:name w:val="List Paragraph"/>
    <w:basedOn w:val="Normal"/>
    <w:link w:val="ListParagraphChar"/>
    <w:uiPriority w:val="34"/>
    <w:qFormat/>
    <w:rsid w:val="00A259D7"/>
    <w:pPr>
      <w:ind w:left="720"/>
      <w:contextualSpacing/>
    </w:pPr>
  </w:style>
  <w:style w:type="character" w:customStyle="1" w:styleId="apple-converted-space">
    <w:name w:val="apple-converted-space"/>
    <w:basedOn w:val="DefaultParagraphFont"/>
    <w:rsid w:val="00A259D7"/>
  </w:style>
  <w:style w:type="character" w:styleId="FollowedHyperlink">
    <w:name w:val="FollowedHyperlink"/>
    <w:basedOn w:val="DefaultParagraphFont"/>
    <w:uiPriority w:val="99"/>
    <w:semiHidden/>
    <w:unhideWhenUsed/>
    <w:rsid w:val="00A259D7"/>
    <w:rPr>
      <w:color w:val="800080" w:themeColor="followedHyperlink"/>
      <w:u w:val="single"/>
    </w:rPr>
  </w:style>
  <w:style w:type="character" w:customStyle="1" w:styleId="internal-link">
    <w:name w:val="internal-link"/>
    <w:basedOn w:val="DefaultParagraphFont"/>
    <w:rsid w:val="001B7834"/>
  </w:style>
  <w:style w:type="paragraph" w:customStyle="1" w:styleId="paragraph">
    <w:name w:val="paragraph"/>
    <w:basedOn w:val="Normal"/>
    <w:rsid w:val="00D365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D365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7502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7502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74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B92"/>
  </w:style>
  <w:style w:type="paragraph" w:styleId="Footer">
    <w:name w:val="footer"/>
    <w:basedOn w:val="Normal"/>
    <w:link w:val="FooterChar"/>
    <w:uiPriority w:val="99"/>
    <w:unhideWhenUsed/>
    <w:rsid w:val="00D74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B92"/>
  </w:style>
  <w:style w:type="character" w:styleId="PageNumber">
    <w:name w:val="page number"/>
    <w:basedOn w:val="DefaultParagraphFont"/>
    <w:uiPriority w:val="99"/>
    <w:semiHidden/>
    <w:unhideWhenUsed/>
    <w:rsid w:val="003448EA"/>
  </w:style>
  <w:style w:type="paragraph" w:styleId="BalloonText">
    <w:name w:val="Balloon Text"/>
    <w:basedOn w:val="Normal"/>
    <w:link w:val="BalloonTextChar"/>
    <w:uiPriority w:val="99"/>
    <w:semiHidden/>
    <w:unhideWhenUsed/>
    <w:rsid w:val="005E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C3F"/>
    <w:rPr>
      <w:rFonts w:ascii="Tahoma" w:hAnsi="Tahoma" w:cs="Tahoma"/>
      <w:sz w:val="16"/>
      <w:szCs w:val="16"/>
    </w:rPr>
  </w:style>
  <w:style w:type="character" w:customStyle="1" w:styleId="ListParagraphChar">
    <w:name w:val="List Paragraph Char"/>
    <w:basedOn w:val="DefaultParagraphFont"/>
    <w:link w:val="ListParagraph"/>
    <w:uiPriority w:val="34"/>
    <w:rsid w:val="00844234"/>
  </w:style>
  <w:style w:type="paragraph" w:customStyle="1" w:styleId="Default">
    <w:name w:val="Default"/>
    <w:rsid w:val="00C251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4055">
      <w:bodyDiv w:val="1"/>
      <w:marLeft w:val="0"/>
      <w:marRight w:val="0"/>
      <w:marTop w:val="0"/>
      <w:marBottom w:val="0"/>
      <w:divBdr>
        <w:top w:val="none" w:sz="0" w:space="0" w:color="auto"/>
        <w:left w:val="none" w:sz="0" w:space="0" w:color="auto"/>
        <w:bottom w:val="none" w:sz="0" w:space="0" w:color="auto"/>
        <w:right w:val="none" w:sz="0" w:space="0" w:color="auto"/>
      </w:divBdr>
    </w:div>
    <w:div w:id="502205438">
      <w:bodyDiv w:val="1"/>
      <w:marLeft w:val="0"/>
      <w:marRight w:val="0"/>
      <w:marTop w:val="0"/>
      <w:marBottom w:val="0"/>
      <w:divBdr>
        <w:top w:val="none" w:sz="0" w:space="0" w:color="auto"/>
        <w:left w:val="none" w:sz="0" w:space="0" w:color="auto"/>
        <w:bottom w:val="none" w:sz="0" w:space="0" w:color="auto"/>
        <w:right w:val="none" w:sz="0" w:space="0" w:color="auto"/>
      </w:divBdr>
      <w:divsChild>
        <w:div w:id="1863787910">
          <w:marLeft w:val="0"/>
          <w:marRight w:val="0"/>
          <w:marTop w:val="0"/>
          <w:marBottom w:val="0"/>
          <w:divBdr>
            <w:top w:val="none" w:sz="0" w:space="0" w:color="auto"/>
            <w:left w:val="none" w:sz="0" w:space="0" w:color="auto"/>
            <w:bottom w:val="none" w:sz="0" w:space="0" w:color="auto"/>
            <w:right w:val="none" w:sz="0" w:space="0" w:color="auto"/>
          </w:divBdr>
          <w:divsChild>
            <w:div w:id="1928422426">
              <w:marLeft w:val="0"/>
              <w:marRight w:val="0"/>
              <w:marTop w:val="0"/>
              <w:marBottom w:val="0"/>
              <w:divBdr>
                <w:top w:val="none" w:sz="0" w:space="0" w:color="auto"/>
                <w:left w:val="none" w:sz="0" w:space="0" w:color="auto"/>
                <w:bottom w:val="none" w:sz="0" w:space="0" w:color="auto"/>
                <w:right w:val="none" w:sz="0" w:space="0" w:color="auto"/>
              </w:divBdr>
              <w:divsChild>
                <w:div w:id="658928853">
                  <w:marLeft w:val="0"/>
                  <w:marRight w:val="0"/>
                  <w:marTop w:val="0"/>
                  <w:marBottom w:val="0"/>
                  <w:divBdr>
                    <w:top w:val="none" w:sz="0" w:space="0" w:color="auto"/>
                    <w:left w:val="none" w:sz="0" w:space="0" w:color="auto"/>
                    <w:bottom w:val="none" w:sz="0" w:space="0" w:color="auto"/>
                    <w:right w:val="none" w:sz="0" w:space="0" w:color="auto"/>
                  </w:divBdr>
                  <w:divsChild>
                    <w:div w:id="1951820201">
                      <w:marLeft w:val="0"/>
                      <w:marRight w:val="0"/>
                      <w:marTop w:val="0"/>
                      <w:marBottom w:val="0"/>
                      <w:divBdr>
                        <w:top w:val="none" w:sz="0" w:space="0" w:color="auto"/>
                        <w:left w:val="none" w:sz="0" w:space="0" w:color="auto"/>
                        <w:bottom w:val="none" w:sz="0" w:space="0" w:color="auto"/>
                        <w:right w:val="none" w:sz="0" w:space="0" w:color="auto"/>
                      </w:divBdr>
                      <w:divsChild>
                        <w:div w:id="1493717468">
                          <w:marLeft w:val="0"/>
                          <w:marRight w:val="0"/>
                          <w:marTop w:val="0"/>
                          <w:marBottom w:val="0"/>
                          <w:divBdr>
                            <w:top w:val="none" w:sz="0" w:space="0" w:color="auto"/>
                            <w:left w:val="none" w:sz="0" w:space="0" w:color="auto"/>
                            <w:bottom w:val="none" w:sz="0" w:space="0" w:color="auto"/>
                            <w:right w:val="none" w:sz="0" w:space="0" w:color="auto"/>
                          </w:divBdr>
                          <w:divsChild>
                            <w:div w:id="17786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385830">
      <w:bodyDiv w:val="1"/>
      <w:marLeft w:val="0"/>
      <w:marRight w:val="0"/>
      <w:marTop w:val="0"/>
      <w:marBottom w:val="0"/>
      <w:divBdr>
        <w:top w:val="none" w:sz="0" w:space="0" w:color="auto"/>
        <w:left w:val="none" w:sz="0" w:space="0" w:color="auto"/>
        <w:bottom w:val="none" w:sz="0" w:space="0" w:color="auto"/>
        <w:right w:val="none" w:sz="0" w:space="0" w:color="auto"/>
      </w:divBdr>
    </w:div>
    <w:div w:id="1803574519">
      <w:bodyDiv w:val="1"/>
      <w:marLeft w:val="0"/>
      <w:marRight w:val="0"/>
      <w:marTop w:val="0"/>
      <w:marBottom w:val="0"/>
      <w:divBdr>
        <w:top w:val="none" w:sz="0" w:space="0" w:color="auto"/>
        <w:left w:val="none" w:sz="0" w:space="0" w:color="auto"/>
        <w:bottom w:val="none" w:sz="0" w:space="0" w:color="auto"/>
        <w:right w:val="none" w:sz="0" w:space="0" w:color="auto"/>
      </w:divBdr>
      <w:divsChild>
        <w:div w:id="1821266279">
          <w:marLeft w:val="0"/>
          <w:marRight w:val="0"/>
          <w:marTop w:val="0"/>
          <w:marBottom w:val="0"/>
          <w:divBdr>
            <w:top w:val="none" w:sz="0" w:space="0" w:color="auto"/>
            <w:left w:val="none" w:sz="0" w:space="0" w:color="auto"/>
            <w:bottom w:val="none" w:sz="0" w:space="0" w:color="auto"/>
            <w:right w:val="none" w:sz="0" w:space="0" w:color="auto"/>
          </w:divBdr>
          <w:divsChild>
            <w:div w:id="671764792">
              <w:marLeft w:val="0"/>
              <w:marRight w:val="0"/>
              <w:marTop w:val="0"/>
              <w:marBottom w:val="0"/>
              <w:divBdr>
                <w:top w:val="none" w:sz="0" w:space="0" w:color="auto"/>
                <w:left w:val="none" w:sz="0" w:space="0" w:color="auto"/>
                <w:bottom w:val="none" w:sz="0" w:space="0" w:color="auto"/>
                <w:right w:val="none" w:sz="0" w:space="0" w:color="auto"/>
              </w:divBdr>
              <w:divsChild>
                <w:div w:id="1862862454">
                  <w:marLeft w:val="0"/>
                  <w:marRight w:val="0"/>
                  <w:marTop w:val="0"/>
                  <w:marBottom w:val="0"/>
                  <w:divBdr>
                    <w:top w:val="none" w:sz="0" w:space="0" w:color="auto"/>
                    <w:left w:val="none" w:sz="0" w:space="0" w:color="auto"/>
                    <w:bottom w:val="none" w:sz="0" w:space="0" w:color="auto"/>
                    <w:right w:val="none" w:sz="0" w:space="0" w:color="auto"/>
                  </w:divBdr>
                  <w:divsChild>
                    <w:div w:id="1976715719">
                      <w:marLeft w:val="0"/>
                      <w:marRight w:val="0"/>
                      <w:marTop w:val="0"/>
                      <w:marBottom w:val="0"/>
                      <w:divBdr>
                        <w:top w:val="none" w:sz="0" w:space="0" w:color="auto"/>
                        <w:left w:val="none" w:sz="0" w:space="0" w:color="auto"/>
                        <w:bottom w:val="none" w:sz="0" w:space="0" w:color="auto"/>
                        <w:right w:val="none" w:sz="0" w:space="0" w:color="auto"/>
                      </w:divBdr>
                      <w:divsChild>
                        <w:div w:id="700084488">
                          <w:marLeft w:val="0"/>
                          <w:marRight w:val="0"/>
                          <w:marTop w:val="0"/>
                          <w:marBottom w:val="0"/>
                          <w:divBdr>
                            <w:top w:val="none" w:sz="0" w:space="0" w:color="auto"/>
                            <w:left w:val="none" w:sz="0" w:space="0" w:color="auto"/>
                            <w:bottom w:val="none" w:sz="0" w:space="0" w:color="auto"/>
                            <w:right w:val="none" w:sz="0" w:space="0" w:color="auto"/>
                          </w:divBdr>
                          <w:divsChild>
                            <w:div w:id="17533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8562">
      <w:bodyDiv w:val="1"/>
      <w:marLeft w:val="0"/>
      <w:marRight w:val="0"/>
      <w:marTop w:val="0"/>
      <w:marBottom w:val="0"/>
      <w:divBdr>
        <w:top w:val="none" w:sz="0" w:space="0" w:color="auto"/>
        <w:left w:val="none" w:sz="0" w:space="0" w:color="auto"/>
        <w:bottom w:val="none" w:sz="0" w:space="0" w:color="auto"/>
        <w:right w:val="none" w:sz="0" w:space="0" w:color="auto"/>
      </w:divBdr>
      <w:divsChild>
        <w:div w:id="1010134390">
          <w:marLeft w:val="0"/>
          <w:marRight w:val="0"/>
          <w:marTop w:val="0"/>
          <w:marBottom w:val="0"/>
          <w:divBdr>
            <w:top w:val="none" w:sz="0" w:space="0" w:color="auto"/>
            <w:left w:val="none" w:sz="0" w:space="0" w:color="auto"/>
            <w:bottom w:val="none" w:sz="0" w:space="0" w:color="auto"/>
            <w:right w:val="none" w:sz="0" w:space="0" w:color="auto"/>
          </w:divBdr>
          <w:divsChild>
            <w:div w:id="556746175">
              <w:marLeft w:val="0"/>
              <w:marRight w:val="0"/>
              <w:marTop w:val="0"/>
              <w:marBottom w:val="0"/>
              <w:divBdr>
                <w:top w:val="none" w:sz="0" w:space="0" w:color="auto"/>
                <w:left w:val="none" w:sz="0" w:space="0" w:color="auto"/>
                <w:bottom w:val="none" w:sz="0" w:space="0" w:color="auto"/>
                <w:right w:val="none" w:sz="0" w:space="0" w:color="auto"/>
              </w:divBdr>
              <w:divsChild>
                <w:div w:id="622227384">
                  <w:marLeft w:val="0"/>
                  <w:marRight w:val="0"/>
                  <w:marTop w:val="0"/>
                  <w:marBottom w:val="0"/>
                  <w:divBdr>
                    <w:top w:val="none" w:sz="0" w:space="0" w:color="auto"/>
                    <w:left w:val="none" w:sz="0" w:space="0" w:color="auto"/>
                    <w:bottom w:val="none" w:sz="0" w:space="0" w:color="auto"/>
                    <w:right w:val="none" w:sz="0" w:space="0" w:color="auto"/>
                  </w:divBdr>
                  <w:divsChild>
                    <w:div w:id="312490286">
                      <w:marLeft w:val="0"/>
                      <w:marRight w:val="0"/>
                      <w:marTop w:val="0"/>
                      <w:marBottom w:val="0"/>
                      <w:divBdr>
                        <w:top w:val="none" w:sz="0" w:space="0" w:color="auto"/>
                        <w:left w:val="none" w:sz="0" w:space="0" w:color="auto"/>
                        <w:bottom w:val="none" w:sz="0" w:space="0" w:color="auto"/>
                        <w:right w:val="none" w:sz="0" w:space="0" w:color="auto"/>
                      </w:divBdr>
                      <w:divsChild>
                        <w:div w:id="1202355850">
                          <w:marLeft w:val="0"/>
                          <w:marRight w:val="0"/>
                          <w:marTop w:val="0"/>
                          <w:marBottom w:val="0"/>
                          <w:divBdr>
                            <w:top w:val="none" w:sz="0" w:space="0" w:color="auto"/>
                            <w:left w:val="none" w:sz="0" w:space="0" w:color="auto"/>
                            <w:bottom w:val="none" w:sz="0" w:space="0" w:color="auto"/>
                            <w:right w:val="none" w:sz="0" w:space="0" w:color="auto"/>
                          </w:divBdr>
                          <w:divsChild>
                            <w:div w:id="1546597979">
                              <w:marLeft w:val="0"/>
                              <w:marRight w:val="0"/>
                              <w:marTop w:val="0"/>
                              <w:marBottom w:val="0"/>
                              <w:divBdr>
                                <w:top w:val="none" w:sz="0" w:space="0" w:color="auto"/>
                                <w:left w:val="none" w:sz="0" w:space="0" w:color="auto"/>
                                <w:bottom w:val="none" w:sz="0" w:space="0" w:color="auto"/>
                                <w:right w:val="none" w:sz="0" w:space="0" w:color="auto"/>
                              </w:divBdr>
                              <w:divsChild>
                                <w:div w:id="1115367646">
                                  <w:marLeft w:val="0"/>
                                  <w:marRight w:val="0"/>
                                  <w:marTop w:val="0"/>
                                  <w:marBottom w:val="0"/>
                                  <w:divBdr>
                                    <w:top w:val="none" w:sz="0" w:space="0" w:color="auto"/>
                                    <w:left w:val="none" w:sz="0" w:space="0" w:color="auto"/>
                                    <w:bottom w:val="none" w:sz="0" w:space="0" w:color="auto"/>
                                    <w:right w:val="none" w:sz="0" w:space="0" w:color="auto"/>
                                  </w:divBdr>
                                  <w:divsChild>
                                    <w:div w:id="161553100">
                                      <w:marLeft w:val="0"/>
                                      <w:marRight w:val="0"/>
                                      <w:marTop w:val="0"/>
                                      <w:marBottom w:val="0"/>
                                      <w:divBdr>
                                        <w:top w:val="none" w:sz="0" w:space="0" w:color="auto"/>
                                        <w:left w:val="none" w:sz="0" w:space="0" w:color="auto"/>
                                        <w:bottom w:val="none" w:sz="0" w:space="0" w:color="auto"/>
                                        <w:right w:val="none" w:sz="0" w:space="0" w:color="auto"/>
                                      </w:divBdr>
                                    </w:div>
                                    <w:div w:id="265699147">
                                      <w:marLeft w:val="0"/>
                                      <w:marRight w:val="0"/>
                                      <w:marTop w:val="0"/>
                                      <w:marBottom w:val="0"/>
                                      <w:divBdr>
                                        <w:top w:val="none" w:sz="0" w:space="0" w:color="auto"/>
                                        <w:left w:val="none" w:sz="0" w:space="0" w:color="auto"/>
                                        <w:bottom w:val="none" w:sz="0" w:space="0" w:color="auto"/>
                                        <w:right w:val="none" w:sz="0" w:space="0" w:color="auto"/>
                                      </w:divBdr>
                                      <w:divsChild>
                                        <w:div w:id="234778038">
                                          <w:marLeft w:val="0"/>
                                          <w:marRight w:val="0"/>
                                          <w:marTop w:val="0"/>
                                          <w:marBottom w:val="0"/>
                                          <w:divBdr>
                                            <w:top w:val="none" w:sz="0" w:space="0" w:color="auto"/>
                                            <w:left w:val="none" w:sz="0" w:space="0" w:color="auto"/>
                                            <w:bottom w:val="none" w:sz="0" w:space="0" w:color="auto"/>
                                            <w:right w:val="none" w:sz="0" w:space="0" w:color="auto"/>
                                          </w:divBdr>
                                        </w:div>
                                      </w:divsChild>
                                    </w:div>
                                    <w:div w:id="19119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Series/C2004A01586" TargetMode="External"/><Relationship Id="rId18" Type="http://schemas.openxmlformats.org/officeDocument/2006/relationships/hyperlink" Target="http://www.fedcourt.gov.au/forms-and-fees/forms/bankruptcy-rules" TargetMode="External"/><Relationship Id="rId26" Type="http://schemas.openxmlformats.org/officeDocument/2006/relationships/hyperlink" Target="http://www.fedcourt.gov.au/law-and-practice/guides/guides-bankruptcy/information-sheet-1" TargetMode="External"/><Relationship Id="rId39" Type="http://schemas.openxmlformats.org/officeDocument/2006/relationships/hyperlink" Target="http://www.fedcourt.gov.au/online-services/ecourtroom" TargetMode="External"/><Relationship Id="rId3" Type="http://schemas.openxmlformats.org/officeDocument/2006/relationships/styles" Target="styles.xml"/><Relationship Id="rId21" Type="http://schemas.openxmlformats.org/officeDocument/2006/relationships/hyperlink" Target="http://www.fedcourt.gov.au/forms-and-fees/forms/bankruptcy-rules" TargetMode="External"/><Relationship Id="rId34" Type="http://schemas.openxmlformats.org/officeDocument/2006/relationships/hyperlink" Target="http://www.justiceconnect.org.au/get-help/self-representation-service/resources-and-fact-sheets/bankruptcy-factsheets" TargetMode="External"/><Relationship Id="rId42" Type="http://schemas.openxmlformats.org/officeDocument/2006/relationships/hyperlink" Target="http://www.fedcourt.gov.au/online-services/federal-law-search" TargetMode="External"/><Relationship Id="rId7" Type="http://schemas.openxmlformats.org/officeDocument/2006/relationships/endnotes" Target="endnotes.xml"/><Relationship Id="rId12" Type="http://schemas.openxmlformats.org/officeDocument/2006/relationships/hyperlink" Target="http://www.comlaw.gov.au/ComLaw/Legislation/LegislativeInstrumentCompilation1.nsf/current/bytitle/43D3CF86890B290FCA25730800359128?OpenDocument&amp;mostrecent=1" TargetMode="External"/><Relationship Id="rId17" Type="http://schemas.openxmlformats.org/officeDocument/2006/relationships/hyperlink" Target="http://www.fedcourt.gov.au/forms-and-fees/forms/bankruptcy-rules" TargetMode="External"/><Relationship Id="rId25" Type="http://schemas.openxmlformats.org/officeDocument/2006/relationships/hyperlink" Target="http://www.fedcourt.gov.au/law-and-practice/guides/guides-bankruptcy/guide" TargetMode="External"/><Relationship Id="rId33" Type="http://schemas.openxmlformats.org/officeDocument/2006/relationships/hyperlink" Target="http://www.lawright.org.au/" TargetMode="External"/><Relationship Id="rId38" Type="http://schemas.openxmlformats.org/officeDocument/2006/relationships/hyperlink" Target="http://www.fedcourt.gov.au/online-services/elodgmen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edcourt.gov.au/forms-and-fees/forms/bankruptcy-rules" TargetMode="External"/><Relationship Id="rId20" Type="http://schemas.openxmlformats.org/officeDocument/2006/relationships/hyperlink" Target="http://www.fedcourt.gov.au/forms-and-fees/forms/bankruptcy-rules" TargetMode="External"/><Relationship Id="rId29" Type="http://schemas.openxmlformats.org/officeDocument/2006/relationships/hyperlink" Target="http://www.fedcourt.gov.au/law-and-practice/guides/guides-bankruptcy/information-sheet-5" TargetMode="External"/><Relationship Id="rId41" Type="http://schemas.openxmlformats.org/officeDocument/2006/relationships/hyperlink" Target="https://www.fedcourt.gov.au/onlin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21L00261" TargetMode="External"/><Relationship Id="rId24" Type="http://schemas.openxmlformats.org/officeDocument/2006/relationships/hyperlink" Target="https://www.comcourts.gov.au/" TargetMode="External"/><Relationship Id="rId32" Type="http://schemas.openxmlformats.org/officeDocument/2006/relationships/hyperlink" Target="https://www.fedcourt.gov.au/contact" TargetMode="External"/><Relationship Id="rId37" Type="http://schemas.openxmlformats.org/officeDocument/2006/relationships/hyperlink" Target="http://www.fedcourt.gov.au/online-services/elodgment" TargetMode="External"/><Relationship Id="rId40" Type="http://schemas.openxmlformats.org/officeDocument/2006/relationships/hyperlink" Target="http://www.fedcourt.gov.au/online-services/commonwealth-courts-porta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Series/F2021L00261" TargetMode="External"/><Relationship Id="rId23" Type="http://schemas.openxmlformats.org/officeDocument/2006/relationships/hyperlink" Target="https://www.comcourts.gov.au/public/esearch/disclaimer" TargetMode="External"/><Relationship Id="rId28" Type="http://schemas.openxmlformats.org/officeDocument/2006/relationships/hyperlink" Target="http://www.fedcourt.gov.au/law-and-practice/guides/guides-bankruptcy/information-sheet-3" TargetMode="External"/><Relationship Id="rId36" Type="http://schemas.openxmlformats.org/officeDocument/2006/relationships/hyperlink" Target="https://www.afsa.gov.au/insolvency" TargetMode="External"/><Relationship Id="rId10" Type="http://schemas.openxmlformats.org/officeDocument/2006/relationships/hyperlink" Target="https://www.legislation.gov.au/Series/F2016L00386" TargetMode="External"/><Relationship Id="rId19" Type="http://schemas.openxmlformats.org/officeDocument/2006/relationships/hyperlink" Target="http://www.fedcourt.gov.au/forms-and-fees/forms/bankruptcy-rules" TargetMode="External"/><Relationship Id="rId31" Type="http://schemas.openxmlformats.org/officeDocument/2006/relationships/hyperlink" Target="https://www.fedcourt.gov.au/going-to-court/i-am-a-party"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Series/C1966A00033" TargetMode="External"/><Relationship Id="rId14" Type="http://schemas.openxmlformats.org/officeDocument/2006/relationships/hyperlink" Target="https://www.legislation.gov.au/Series/F2011L01551" TargetMode="External"/><Relationship Id="rId22" Type="http://schemas.openxmlformats.org/officeDocument/2006/relationships/hyperlink" Target="http://www.fedcourt.gov.au/forms-and-fees/court-fees" TargetMode="External"/><Relationship Id="rId27" Type="http://schemas.openxmlformats.org/officeDocument/2006/relationships/hyperlink" Target="http://www.fedcourt.gov.au/law-and-practice/guides/guides-bankruptcy/information-sheet-2" TargetMode="External"/><Relationship Id="rId30" Type="http://schemas.openxmlformats.org/officeDocument/2006/relationships/hyperlink" Target="http://www.fedcourt.gov.au/law-and-practice/guides/guides-bankruptcy/information-sheet-6" TargetMode="External"/><Relationship Id="rId35" Type="http://schemas.openxmlformats.org/officeDocument/2006/relationships/hyperlink" Target="https://financialrights.org.au/factsheets/help-im-being-made-bankrupt-factsheet/"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D178-07EA-45CF-B5B2-9A1B099F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5126</Words>
  <Characters>25631</Characters>
  <Application>Microsoft Office Word</Application>
  <DocSecurity>0</DocSecurity>
  <Lines>466</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2021-12-11T04:43:00Z</dcterms:created>
  <dcterms:modified xsi:type="dcterms:W3CDTF">2022-07-26T07:36:00Z</dcterms:modified>
</cp:coreProperties>
</file>