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6A" w:rsidRPr="004A7B0D" w:rsidRDefault="00336F1F" w:rsidP="004A7B0D">
      <w:pPr>
        <w:pStyle w:val="HeadingOneTOC"/>
        <w:spacing w:before="0" w:line="276" w:lineRule="auto"/>
        <w:ind w:left="360"/>
        <w:jc w:val="center"/>
        <w:rPr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F2FA1CF" wp14:editId="2DE87085">
            <wp:extent cx="2277110" cy="517525"/>
            <wp:effectExtent l="0" t="0" r="889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" t="5076" r="1344" b="5076"/>
                    <a:stretch/>
                  </pic:blipFill>
                  <pic:spPr bwMode="auto">
                    <a:xfrm>
                      <a:off x="0" y="0"/>
                      <a:ext cx="227711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B0D" w:rsidRPr="004A7B0D" w:rsidRDefault="00B5586A" w:rsidP="004A7B0D">
      <w:pPr>
        <w:pStyle w:val="HeadingOneTOC"/>
        <w:spacing w:before="0"/>
        <w:ind w:left="360"/>
        <w:jc w:val="center"/>
        <w:rPr>
          <w:b/>
          <w:sz w:val="32"/>
        </w:rPr>
      </w:pPr>
      <w:r w:rsidRPr="001E276B">
        <w:rPr>
          <w:b/>
          <w:sz w:val="32"/>
          <w:szCs w:val="32"/>
        </w:rPr>
        <w:t xml:space="preserve">Guide for </w:t>
      </w:r>
      <w:r w:rsidR="002B3896" w:rsidRPr="004A7B0D">
        <w:rPr>
          <w:b/>
          <w:sz w:val="32"/>
        </w:rPr>
        <w:t>P</w:t>
      </w:r>
      <w:r w:rsidRPr="004A7B0D">
        <w:rPr>
          <w:b/>
          <w:sz w:val="32"/>
        </w:rPr>
        <w:t xml:space="preserve">ractitioners and </w:t>
      </w:r>
      <w:r w:rsidR="002B3896" w:rsidRPr="004A7B0D">
        <w:rPr>
          <w:b/>
          <w:sz w:val="32"/>
        </w:rPr>
        <w:t>P</w:t>
      </w:r>
      <w:r w:rsidRPr="004A7B0D">
        <w:rPr>
          <w:b/>
          <w:sz w:val="32"/>
        </w:rPr>
        <w:t>arties in</w:t>
      </w:r>
    </w:p>
    <w:p w:rsidR="00B5586A" w:rsidRPr="004A7B0D" w:rsidRDefault="008F7466" w:rsidP="004A7B0D">
      <w:pPr>
        <w:pStyle w:val="HeadingOneTOC"/>
        <w:spacing w:before="0"/>
        <w:ind w:left="360"/>
        <w:jc w:val="center"/>
        <w:rPr>
          <w:b/>
          <w:sz w:val="32"/>
        </w:rPr>
      </w:pPr>
      <w:r>
        <w:rPr>
          <w:b/>
          <w:sz w:val="32"/>
        </w:rPr>
        <w:t>B</w:t>
      </w:r>
      <w:r w:rsidR="00B5586A" w:rsidRPr="004A7B0D">
        <w:rPr>
          <w:b/>
          <w:sz w:val="32"/>
        </w:rPr>
        <w:t xml:space="preserve">ankruptcy </w:t>
      </w:r>
      <w:r w:rsidR="004C6419">
        <w:rPr>
          <w:b/>
          <w:sz w:val="32"/>
        </w:rPr>
        <w:t>Matters l</w:t>
      </w:r>
      <w:r>
        <w:rPr>
          <w:b/>
          <w:sz w:val="32"/>
        </w:rPr>
        <w:t>isted b</w:t>
      </w:r>
      <w:r w:rsidR="00B5586A" w:rsidRPr="004A7B0D">
        <w:rPr>
          <w:b/>
          <w:sz w:val="32"/>
        </w:rPr>
        <w:t xml:space="preserve">efore a </w:t>
      </w:r>
      <w:r>
        <w:rPr>
          <w:b/>
          <w:sz w:val="32"/>
        </w:rPr>
        <w:t xml:space="preserve">Judicial </w:t>
      </w:r>
      <w:r w:rsidR="00B5586A" w:rsidRPr="004A7B0D">
        <w:rPr>
          <w:b/>
          <w:sz w:val="32"/>
        </w:rPr>
        <w:t>Registrar</w:t>
      </w:r>
    </w:p>
    <w:p w:rsidR="00E90346" w:rsidRPr="00E90346" w:rsidRDefault="00E90346" w:rsidP="00E90346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AU" w:eastAsia="en-US"/>
        </w:rPr>
        <w:id w:val="-252105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90346" w:rsidRDefault="00E90346" w:rsidP="00E90346">
          <w:pPr>
            <w:pStyle w:val="TOCHeading"/>
            <w:numPr>
              <w:ilvl w:val="0"/>
              <w:numId w:val="0"/>
            </w:numPr>
            <w:spacing w:after="480"/>
            <w:jc w:val="center"/>
          </w:pPr>
          <w:r>
            <w:t>Table of Contents</w:t>
          </w:r>
        </w:p>
        <w:p w:rsidR="00A033D2" w:rsidRDefault="00E90346">
          <w:pPr>
            <w:pStyle w:val="TOC1"/>
            <w:tabs>
              <w:tab w:val="left" w:pos="440"/>
              <w:tab w:val="right" w:leader="dot" w:pos="9629"/>
            </w:tabs>
            <w:rPr>
              <w:noProof/>
              <w:lang w:val="en-AU"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7251952" w:history="1">
            <w:r w:rsidR="00A033D2" w:rsidRPr="00051FB6">
              <w:rPr>
                <w:rStyle w:val="Hyperlink"/>
                <w:noProof/>
              </w:rPr>
              <w:t>1.</w:t>
            </w:r>
            <w:r w:rsidR="00A033D2">
              <w:rPr>
                <w:noProof/>
                <w:lang w:val="en-AU" w:eastAsia="en-AU"/>
              </w:rPr>
              <w:tab/>
            </w:r>
            <w:r w:rsidR="00A033D2" w:rsidRPr="00051FB6">
              <w:rPr>
                <w:rStyle w:val="Hyperlink"/>
                <w:noProof/>
              </w:rPr>
              <w:t>Purpose</w:t>
            </w:r>
            <w:r w:rsidR="00A033D2">
              <w:rPr>
                <w:noProof/>
                <w:webHidden/>
              </w:rPr>
              <w:tab/>
            </w:r>
            <w:r w:rsidR="00A033D2">
              <w:rPr>
                <w:noProof/>
                <w:webHidden/>
              </w:rPr>
              <w:fldChar w:fldCharType="begin"/>
            </w:r>
            <w:r w:rsidR="00A033D2">
              <w:rPr>
                <w:noProof/>
                <w:webHidden/>
              </w:rPr>
              <w:instrText xml:space="preserve"> PAGEREF _Toc77251952 \h </w:instrText>
            </w:r>
            <w:r w:rsidR="00A033D2">
              <w:rPr>
                <w:noProof/>
                <w:webHidden/>
              </w:rPr>
            </w:r>
            <w:r w:rsidR="00A033D2">
              <w:rPr>
                <w:noProof/>
                <w:webHidden/>
              </w:rPr>
              <w:fldChar w:fldCharType="separate"/>
            </w:r>
            <w:r w:rsidR="00A033D2">
              <w:rPr>
                <w:noProof/>
                <w:webHidden/>
              </w:rPr>
              <w:t>2</w:t>
            </w:r>
            <w:r w:rsidR="00A033D2">
              <w:rPr>
                <w:noProof/>
                <w:webHidden/>
              </w:rPr>
              <w:fldChar w:fldCharType="end"/>
            </w:r>
          </w:hyperlink>
        </w:p>
        <w:p w:rsidR="00A033D2" w:rsidRDefault="00336F1F">
          <w:pPr>
            <w:pStyle w:val="TOC1"/>
            <w:tabs>
              <w:tab w:val="left" w:pos="440"/>
              <w:tab w:val="right" w:leader="dot" w:pos="9629"/>
            </w:tabs>
            <w:rPr>
              <w:noProof/>
              <w:lang w:val="en-AU" w:eastAsia="en-AU"/>
            </w:rPr>
          </w:pPr>
          <w:hyperlink w:anchor="_Toc77251953" w:history="1">
            <w:r w:rsidR="00A033D2" w:rsidRPr="00051FB6">
              <w:rPr>
                <w:rStyle w:val="Hyperlink"/>
                <w:noProof/>
              </w:rPr>
              <w:t>2.</w:t>
            </w:r>
            <w:r w:rsidR="00A033D2">
              <w:rPr>
                <w:noProof/>
                <w:lang w:val="en-AU" w:eastAsia="en-AU"/>
              </w:rPr>
              <w:tab/>
            </w:r>
            <w:r w:rsidR="00A033D2" w:rsidRPr="00051FB6">
              <w:rPr>
                <w:rStyle w:val="Hyperlink"/>
                <w:noProof/>
              </w:rPr>
              <w:t>Bankruptcy matters before a Judicial Registrar</w:t>
            </w:r>
            <w:r w:rsidR="00A033D2">
              <w:rPr>
                <w:noProof/>
                <w:webHidden/>
              </w:rPr>
              <w:tab/>
            </w:r>
            <w:r w:rsidR="00A033D2">
              <w:rPr>
                <w:noProof/>
                <w:webHidden/>
              </w:rPr>
              <w:fldChar w:fldCharType="begin"/>
            </w:r>
            <w:r w:rsidR="00A033D2">
              <w:rPr>
                <w:noProof/>
                <w:webHidden/>
              </w:rPr>
              <w:instrText xml:space="preserve"> PAGEREF _Toc77251953 \h </w:instrText>
            </w:r>
            <w:r w:rsidR="00A033D2">
              <w:rPr>
                <w:noProof/>
                <w:webHidden/>
              </w:rPr>
            </w:r>
            <w:r w:rsidR="00A033D2">
              <w:rPr>
                <w:noProof/>
                <w:webHidden/>
              </w:rPr>
              <w:fldChar w:fldCharType="separate"/>
            </w:r>
            <w:r w:rsidR="00A033D2">
              <w:rPr>
                <w:noProof/>
                <w:webHidden/>
              </w:rPr>
              <w:t>2</w:t>
            </w:r>
            <w:r w:rsidR="00A033D2">
              <w:rPr>
                <w:noProof/>
                <w:webHidden/>
              </w:rPr>
              <w:fldChar w:fldCharType="end"/>
            </w:r>
          </w:hyperlink>
        </w:p>
        <w:p w:rsidR="00A033D2" w:rsidRDefault="00336F1F">
          <w:pPr>
            <w:pStyle w:val="TOC1"/>
            <w:tabs>
              <w:tab w:val="left" w:pos="440"/>
              <w:tab w:val="right" w:leader="dot" w:pos="9629"/>
            </w:tabs>
            <w:rPr>
              <w:noProof/>
              <w:lang w:val="en-AU" w:eastAsia="en-AU"/>
            </w:rPr>
          </w:pPr>
          <w:hyperlink w:anchor="_Toc77251954" w:history="1">
            <w:r w:rsidR="00A033D2" w:rsidRPr="00051FB6">
              <w:rPr>
                <w:rStyle w:val="Hyperlink"/>
                <w:noProof/>
              </w:rPr>
              <w:t>3.</w:t>
            </w:r>
            <w:r w:rsidR="00A033D2">
              <w:rPr>
                <w:noProof/>
                <w:lang w:val="en-AU" w:eastAsia="en-AU"/>
              </w:rPr>
              <w:tab/>
            </w:r>
            <w:r w:rsidR="00A033D2" w:rsidRPr="00051FB6">
              <w:rPr>
                <w:rStyle w:val="Hyperlink"/>
                <w:noProof/>
              </w:rPr>
              <w:t>Commencing proceedings</w:t>
            </w:r>
            <w:r w:rsidR="00A033D2">
              <w:rPr>
                <w:noProof/>
                <w:webHidden/>
              </w:rPr>
              <w:tab/>
            </w:r>
            <w:r w:rsidR="00A033D2">
              <w:rPr>
                <w:noProof/>
                <w:webHidden/>
              </w:rPr>
              <w:fldChar w:fldCharType="begin"/>
            </w:r>
            <w:r w:rsidR="00A033D2">
              <w:rPr>
                <w:noProof/>
                <w:webHidden/>
              </w:rPr>
              <w:instrText xml:space="preserve"> PAGEREF _Toc77251954 \h </w:instrText>
            </w:r>
            <w:r w:rsidR="00A033D2">
              <w:rPr>
                <w:noProof/>
                <w:webHidden/>
              </w:rPr>
            </w:r>
            <w:r w:rsidR="00A033D2">
              <w:rPr>
                <w:noProof/>
                <w:webHidden/>
              </w:rPr>
              <w:fldChar w:fldCharType="separate"/>
            </w:r>
            <w:r w:rsidR="00A033D2">
              <w:rPr>
                <w:noProof/>
                <w:webHidden/>
              </w:rPr>
              <w:t>2</w:t>
            </w:r>
            <w:r w:rsidR="00A033D2">
              <w:rPr>
                <w:noProof/>
                <w:webHidden/>
              </w:rPr>
              <w:fldChar w:fldCharType="end"/>
            </w:r>
          </w:hyperlink>
        </w:p>
        <w:p w:rsidR="00A033D2" w:rsidRDefault="00336F1F">
          <w:pPr>
            <w:pStyle w:val="TOC1"/>
            <w:tabs>
              <w:tab w:val="left" w:pos="440"/>
              <w:tab w:val="right" w:leader="dot" w:pos="9629"/>
            </w:tabs>
            <w:rPr>
              <w:noProof/>
              <w:lang w:val="en-AU" w:eastAsia="en-AU"/>
            </w:rPr>
          </w:pPr>
          <w:hyperlink w:anchor="_Toc77251955" w:history="1">
            <w:r w:rsidR="00A033D2" w:rsidRPr="00051FB6">
              <w:rPr>
                <w:rStyle w:val="Hyperlink"/>
                <w:noProof/>
              </w:rPr>
              <w:t>4.</w:t>
            </w:r>
            <w:r w:rsidR="00A033D2">
              <w:rPr>
                <w:noProof/>
                <w:lang w:val="en-AU" w:eastAsia="en-AU"/>
              </w:rPr>
              <w:tab/>
            </w:r>
            <w:r w:rsidR="00A033D2" w:rsidRPr="00051FB6">
              <w:rPr>
                <w:rStyle w:val="Hyperlink"/>
                <w:noProof/>
              </w:rPr>
              <w:t>Filing documents in Judicial Registrar bankruptcy matters</w:t>
            </w:r>
            <w:r w:rsidR="00A033D2">
              <w:rPr>
                <w:noProof/>
                <w:webHidden/>
              </w:rPr>
              <w:tab/>
            </w:r>
            <w:r w:rsidR="00A033D2">
              <w:rPr>
                <w:noProof/>
                <w:webHidden/>
              </w:rPr>
              <w:fldChar w:fldCharType="begin"/>
            </w:r>
            <w:r w:rsidR="00A033D2">
              <w:rPr>
                <w:noProof/>
                <w:webHidden/>
              </w:rPr>
              <w:instrText xml:space="preserve"> PAGEREF _Toc77251955 \h </w:instrText>
            </w:r>
            <w:r w:rsidR="00A033D2">
              <w:rPr>
                <w:noProof/>
                <w:webHidden/>
              </w:rPr>
            </w:r>
            <w:r w:rsidR="00A033D2">
              <w:rPr>
                <w:noProof/>
                <w:webHidden/>
              </w:rPr>
              <w:fldChar w:fldCharType="separate"/>
            </w:r>
            <w:r w:rsidR="00A033D2">
              <w:rPr>
                <w:noProof/>
                <w:webHidden/>
              </w:rPr>
              <w:t>3</w:t>
            </w:r>
            <w:r w:rsidR="00A033D2">
              <w:rPr>
                <w:noProof/>
                <w:webHidden/>
              </w:rPr>
              <w:fldChar w:fldCharType="end"/>
            </w:r>
          </w:hyperlink>
        </w:p>
        <w:p w:rsidR="00A033D2" w:rsidRDefault="00336F1F">
          <w:pPr>
            <w:pStyle w:val="TOC1"/>
            <w:tabs>
              <w:tab w:val="left" w:pos="440"/>
              <w:tab w:val="right" w:leader="dot" w:pos="9629"/>
            </w:tabs>
            <w:rPr>
              <w:noProof/>
              <w:lang w:val="en-AU" w:eastAsia="en-AU"/>
            </w:rPr>
          </w:pPr>
          <w:hyperlink w:anchor="_Toc77251956" w:history="1">
            <w:r w:rsidR="00A033D2" w:rsidRPr="00051FB6">
              <w:rPr>
                <w:rStyle w:val="Hyperlink"/>
                <w:noProof/>
              </w:rPr>
              <w:t>5.</w:t>
            </w:r>
            <w:r w:rsidR="00A033D2">
              <w:rPr>
                <w:noProof/>
                <w:lang w:val="en-AU" w:eastAsia="en-AU"/>
              </w:rPr>
              <w:tab/>
            </w:r>
            <w:r w:rsidR="00A033D2" w:rsidRPr="00051FB6">
              <w:rPr>
                <w:rStyle w:val="Hyperlink"/>
                <w:noProof/>
              </w:rPr>
              <w:t>First court date and time standards</w:t>
            </w:r>
            <w:r w:rsidR="00A033D2">
              <w:rPr>
                <w:noProof/>
                <w:webHidden/>
              </w:rPr>
              <w:tab/>
            </w:r>
            <w:r w:rsidR="00A033D2">
              <w:rPr>
                <w:noProof/>
                <w:webHidden/>
              </w:rPr>
              <w:fldChar w:fldCharType="begin"/>
            </w:r>
            <w:r w:rsidR="00A033D2">
              <w:rPr>
                <w:noProof/>
                <w:webHidden/>
              </w:rPr>
              <w:instrText xml:space="preserve"> PAGEREF _Toc77251956 \h </w:instrText>
            </w:r>
            <w:r w:rsidR="00A033D2">
              <w:rPr>
                <w:noProof/>
                <w:webHidden/>
              </w:rPr>
            </w:r>
            <w:r w:rsidR="00A033D2">
              <w:rPr>
                <w:noProof/>
                <w:webHidden/>
              </w:rPr>
              <w:fldChar w:fldCharType="separate"/>
            </w:r>
            <w:r w:rsidR="00A033D2">
              <w:rPr>
                <w:noProof/>
                <w:webHidden/>
              </w:rPr>
              <w:t>4</w:t>
            </w:r>
            <w:r w:rsidR="00A033D2">
              <w:rPr>
                <w:noProof/>
                <w:webHidden/>
              </w:rPr>
              <w:fldChar w:fldCharType="end"/>
            </w:r>
          </w:hyperlink>
        </w:p>
        <w:p w:rsidR="00A033D2" w:rsidRDefault="00336F1F">
          <w:pPr>
            <w:pStyle w:val="TOC1"/>
            <w:tabs>
              <w:tab w:val="left" w:pos="440"/>
              <w:tab w:val="right" w:leader="dot" w:pos="9629"/>
            </w:tabs>
            <w:rPr>
              <w:noProof/>
              <w:lang w:val="en-AU" w:eastAsia="en-AU"/>
            </w:rPr>
          </w:pPr>
          <w:hyperlink w:anchor="_Toc77251957" w:history="1">
            <w:r w:rsidR="00A033D2" w:rsidRPr="00051FB6">
              <w:rPr>
                <w:rStyle w:val="Hyperlink"/>
                <w:noProof/>
              </w:rPr>
              <w:t>6.</w:t>
            </w:r>
            <w:r w:rsidR="00A033D2">
              <w:rPr>
                <w:noProof/>
                <w:lang w:val="en-AU" w:eastAsia="en-AU"/>
              </w:rPr>
              <w:tab/>
            </w:r>
            <w:r w:rsidR="00A033D2" w:rsidRPr="00051FB6">
              <w:rPr>
                <w:rStyle w:val="Hyperlink"/>
                <w:noProof/>
              </w:rPr>
              <w:t>Documents to be filed pre-hearing</w:t>
            </w:r>
            <w:r w:rsidR="00A033D2">
              <w:rPr>
                <w:noProof/>
                <w:webHidden/>
              </w:rPr>
              <w:tab/>
            </w:r>
            <w:r w:rsidR="00A033D2">
              <w:rPr>
                <w:noProof/>
                <w:webHidden/>
              </w:rPr>
              <w:fldChar w:fldCharType="begin"/>
            </w:r>
            <w:r w:rsidR="00A033D2">
              <w:rPr>
                <w:noProof/>
                <w:webHidden/>
              </w:rPr>
              <w:instrText xml:space="preserve"> PAGEREF _Toc77251957 \h </w:instrText>
            </w:r>
            <w:r w:rsidR="00A033D2">
              <w:rPr>
                <w:noProof/>
                <w:webHidden/>
              </w:rPr>
            </w:r>
            <w:r w:rsidR="00A033D2">
              <w:rPr>
                <w:noProof/>
                <w:webHidden/>
              </w:rPr>
              <w:fldChar w:fldCharType="separate"/>
            </w:r>
            <w:r w:rsidR="00A033D2">
              <w:rPr>
                <w:noProof/>
                <w:webHidden/>
              </w:rPr>
              <w:t>4</w:t>
            </w:r>
            <w:r w:rsidR="00A033D2">
              <w:rPr>
                <w:noProof/>
                <w:webHidden/>
              </w:rPr>
              <w:fldChar w:fldCharType="end"/>
            </w:r>
          </w:hyperlink>
        </w:p>
        <w:p w:rsidR="00A033D2" w:rsidRDefault="00336F1F">
          <w:pPr>
            <w:pStyle w:val="TOC1"/>
            <w:tabs>
              <w:tab w:val="left" w:pos="440"/>
              <w:tab w:val="right" w:leader="dot" w:pos="9629"/>
            </w:tabs>
            <w:rPr>
              <w:noProof/>
              <w:lang w:val="en-AU" w:eastAsia="en-AU"/>
            </w:rPr>
          </w:pPr>
          <w:hyperlink w:anchor="_Toc77251958" w:history="1">
            <w:r w:rsidR="00A033D2" w:rsidRPr="00051FB6">
              <w:rPr>
                <w:rStyle w:val="Hyperlink"/>
                <w:noProof/>
              </w:rPr>
              <w:t>7.</w:t>
            </w:r>
            <w:r w:rsidR="00A033D2">
              <w:rPr>
                <w:noProof/>
                <w:lang w:val="en-AU" w:eastAsia="en-AU"/>
              </w:rPr>
              <w:tab/>
            </w:r>
            <w:r w:rsidR="00A033D2" w:rsidRPr="00051FB6">
              <w:rPr>
                <w:rStyle w:val="Hyperlink"/>
                <w:noProof/>
              </w:rPr>
              <w:t>Open court</w:t>
            </w:r>
            <w:r w:rsidR="00A033D2">
              <w:rPr>
                <w:noProof/>
                <w:webHidden/>
              </w:rPr>
              <w:tab/>
            </w:r>
            <w:r w:rsidR="00A033D2">
              <w:rPr>
                <w:noProof/>
                <w:webHidden/>
              </w:rPr>
              <w:fldChar w:fldCharType="begin"/>
            </w:r>
            <w:r w:rsidR="00A033D2">
              <w:rPr>
                <w:noProof/>
                <w:webHidden/>
              </w:rPr>
              <w:instrText xml:space="preserve"> PAGEREF _Toc77251958 \h </w:instrText>
            </w:r>
            <w:r w:rsidR="00A033D2">
              <w:rPr>
                <w:noProof/>
                <w:webHidden/>
              </w:rPr>
            </w:r>
            <w:r w:rsidR="00A033D2">
              <w:rPr>
                <w:noProof/>
                <w:webHidden/>
              </w:rPr>
              <w:fldChar w:fldCharType="separate"/>
            </w:r>
            <w:r w:rsidR="00A033D2">
              <w:rPr>
                <w:noProof/>
                <w:webHidden/>
              </w:rPr>
              <w:t>5</w:t>
            </w:r>
            <w:r w:rsidR="00A033D2">
              <w:rPr>
                <w:noProof/>
                <w:webHidden/>
              </w:rPr>
              <w:fldChar w:fldCharType="end"/>
            </w:r>
          </w:hyperlink>
        </w:p>
        <w:p w:rsidR="00A033D2" w:rsidRDefault="00336F1F">
          <w:pPr>
            <w:pStyle w:val="TOC1"/>
            <w:tabs>
              <w:tab w:val="left" w:pos="440"/>
              <w:tab w:val="right" w:leader="dot" w:pos="9629"/>
            </w:tabs>
            <w:rPr>
              <w:noProof/>
              <w:lang w:val="en-AU" w:eastAsia="en-AU"/>
            </w:rPr>
          </w:pPr>
          <w:hyperlink w:anchor="_Toc77251959" w:history="1">
            <w:r w:rsidR="00A033D2" w:rsidRPr="00051FB6">
              <w:rPr>
                <w:rStyle w:val="Hyperlink"/>
                <w:noProof/>
              </w:rPr>
              <w:t>8.</w:t>
            </w:r>
            <w:r w:rsidR="00A033D2">
              <w:rPr>
                <w:noProof/>
                <w:lang w:val="en-AU" w:eastAsia="en-AU"/>
              </w:rPr>
              <w:tab/>
            </w:r>
            <w:r w:rsidR="00A033D2" w:rsidRPr="00051FB6">
              <w:rPr>
                <w:rStyle w:val="Hyperlink"/>
                <w:noProof/>
              </w:rPr>
              <w:t>Sequence in which matters will be called in a Judicial Registrar’s bankruptcy list</w:t>
            </w:r>
            <w:r w:rsidR="00A033D2">
              <w:rPr>
                <w:noProof/>
                <w:webHidden/>
              </w:rPr>
              <w:tab/>
            </w:r>
            <w:r w:rsidR="00A033D2">
              <w:rPr>
                <w:noProof/>
                <w:webHidden/>
              </w:rPr>
              <w:fldChar w:fldCharType="begin"/>
            </w:r>
            <w:r w:rsidR="00A033D2">
              <w:rPr>
                <w:noProof/>
                <w:webHidden/>
              </w:rPr>
              <w:instrText xml:space="preserve"> PAGEREF _Toc77251959 \h </w:instrText>
            </w:r>
            <w:r w:rsidR="00A033D2">
              <w:rPr>
                <w:noProof/>
                <w:webHidden/>
              </w:rPr>
            </w:r>
            <w:r w:rsidR="00A033D2">
              <w:rPr>
                <w:noProof/>
                <w:webHidden/>
              </w:rPr>
              <w:fldChar w:fldCharType="separate"/>
            </w:r>
            <w:r w:rsidR="00A033D2">
              <w:rPr>
                <w:noProof/>
                <w:webHidden/>
              </w:rPr>
              <w:t>5</w:t>
            </w:r>
            <w:r w:rsidR="00A033D2">
              <w:rPr>
                <w:noProof/>
                <w:webHidden/>
              </w:rPr>
              <w:fldChar w:fldCharType="end"/>
            </w:r>
          </w:hyperlink>
        </w:p>
        <w:p w:rsidR="00A033D2" w:rsidRDefault="00336F1F">
          <w:pPr>
            <w:pStyle w:val="TOC1"/>
            <w:tabs>
              <w:tab w:val="left" w:pos="440"/>
              <w:tab w:val="right" w:leader="dot" w:pos="9629"/>
            </w:tabs>
            <w:rPr>
              <w:noProof/>
              <w:lang w:val="en-AU" w:eastAsia="en-AU"/>
            </w:rPr>
          </w:pPr>
          <w:hyperlink w:anchor="_Toc77251960" w:history="1">
            <w:r w:rsidR="00A033D2" w:rsidRPr="00051FB6">
              <w:rPr>
                <w:rStyle w:val="Hyperlink"/>
                <w:noProof/>
              </w:rPr>
              <w:t>9.</w:t>
            </w:r>
            <w:r w:rsidR="00A033D2">
              <w:rPr>
                <w:noProof/>
                <w:lang w:val="en-AU" w:eastAsia="en-AU"/>
              </w:rPr>
              <w:tab/>
            </w:r>
            <w:r w:rsidR="00A033D2" w:rsidRPr="00051FB6">
              <w:rPr>
                <w:rStyle w:val="Hyperlink"/>
                <w:noProof/>
              </w:rPr>
              <w:t>Telephone appearances</w:t>
            </w:r>
            <w:r w:rsidR="00A033D2">
              <w:rPr>
                <w:noProof/>
                <w:webHidden/>
              </w:rPr>
              <w:tab/>
            </w:r>
            <w:r w:rsidR="00A033D2">
              <w:rPr>
                <w:noProof/>
                <w:webHidden/>
              </w:rPr>
              <w:fldChar w:fldCharType="begin"/>
            </w:r>
            <w:r w:rsidR="00A033D2">
              <w:rPr>
                <w:noProof/>
                <w:webHidden/>
              </w:rPr>
              <w:instrText xml:space="preserve"> PAGEREF _Toc77251960 \h </w:instrText>
            </w:r>
            <w:r w:rsidR="00A033D2">
              <w:rPr>
                <w:noProof/>
                <w:webHidden/>
              </w:rPr>
            </w:r>
            <w:r w:rsidR="00A033D2">
              <w:rPr>
                <w:noProof/>
                <w:webHidden/>
              </w:rPr>
              <w:fldChar w:fldCharType="separate"/>
            </w:r>
            <w:r w:rsidR="00A033D2">
              <w:rPr>
                <w:noProof/>
                <w:webHidden/>
              </w:rPr>
              <w:t>6</w:t>
            </w:r>
            <w:r w:rsidR="00A033D2">
              <w:rPr>
                <w:noProof/>
                <w:webHidden/>
              </w:rPr>
              <w:fldChar w:fldCharType="end"/>
            </w:r>
          </w:hyperlink>
        </w:p>
        <w:p w:rsidR="00A033D2" w:rsidRDefault="00336F1F">
          <w:pPr>
            <w:pStyle w:val="TOC1"/>
            <w:tabs>
              <w:tab w:val="left" w:pos="660"/>
              <w:tab w:val="right" w:leader="dot" w:pos="9629"/>
            </w:tabs>
            <w:rPr>
              <w:noProof/>
              <w:lang w:val="en-AU" w:eastAsia="en-AU"/>
            </w:rPr>
          </w:pPr>
          <w:hyperlink w:anchor="_Toc77251961" w:history="1">
            <w:r w:rsidR="00A033D2" w:rsidRPr="00051FB6">
              <w:rPr>
                <w:rStyle w:val="Hyperlink"/>
                <w:noProof/>
              </w:rPr>
              <w:t>10.</w:t>
            </w:r>
            <w:r w:rsidR="00A033D2">
              <w:rPr>
                <w:noProof/>
                <w:lang w:val="en-AU" w:eastAsia="en-AU"/>
              </w:rPr>
              <w:tab/>
            </w:r>
            <w:r w:rsidR="00A033D2" w:rsidRPr="00051FB6">
              <w:rPr>
                <w:rStyle w:val="Hyperlink"/>
                <w:noProof/>
              </w:rPr>
              <w:t>Where no appearance may be required</w:t>
            </w:r>
            <w:r w:rsidR="00A033D2">
              <w:rPr>
                <w:noProof/>
                <w:webHidden/>
              </w:rPr>
              <w:tab/>
            </w:r>
            <w:r w:rsidR="00A033D2">
              <w:rPr>
                <w:noProof/>
                <w:webHidden/>
              </w:rPr>
              <w:fldChar w:fldCharType="begin"/>
            </w:r>
            <w:r w:rsidR="00A033D2">
              <w:rPr>
                <w:noProof/>
                <w:webHidden/>
              </w:rPr>
              <w:instrText xml:space="preserve"> PAGEREF _Toc77251961 \h </w:instrText>
            </w:r>
            <w:r w:rsidR="00A033D2">
              <w:rPr>
                <w:noProof/>
                <w:webHidden/>
              </w:rPr>
            </w:r>
            <w:r w:rsidR="00A033D2">
              <w:rPr>
                <w:noProof/>
                <w:webHidden/>
              </w:rPr>
              <w:fldChar w:fldCharType="separate"/>
            </w:r>
            <w:r w:rsidR="00A033D2">
              <w:rPr>
                <w:noProof/>
                <w:webHidden/>
              </w:rPr>
              <w:t>6</w:t>
            </w:r>
            <w:r w:rsidR="00A033D2">
              <w:rPr>
                <w:noProof/>
                <w:webHidden/>
              </w:rPr>
              <w:fldChar w:fldCharType="end"/>
            </w:r>
          </w:hyperlink>
        </w:p>
        <w:p w:rsidR="00A033D2" w:rsidRDefault="00336F1F">
          <w:pPr>
            <w:pStyle w:val="TOC1"/>
            <w:tabs>
              <w:tab w:val="left" w:pos="660"/>
              <w:tab w:val="right" w:leader="dot" w:pos="9629"/>
            </w:tabs>
            <w:rPr>
              <w:noProof/>
              <w:lang w:val="en-AU" w:eastAsia="en-AU"/>
            </w:rPr>
          </w:pPr>
          <w:hyperlink w:anchor="_Toc77251962" w:history="1">
            <w:r w:rsidR="00A033D2" w:rsidRPr="00051FB6">
              <w:rPr>
                <w:rStyle w:val="Hyperlink"/>
                <w:noProof/>
              </w:rPr>
              <w:t>11.</w:t>
            </w:r>
            <w:r w:rsidR="00A033D2">
              <w:rPr>
                <w:noProof/>
                <w:lang w:val="en-AU" w:eastAsia="en-AU"/>
              </w:rPr>
              <w:tab/>
            </w:r>
            <w:r w:rsidR="00A033D2" w:rsidRPr="00051FB6">
              <w:rPr>
                <w:rStyle w:val="Hyperlink"/>
                <w:noProof/>
              </w:rPr>
              <w:t>Adjournments</w:t>
            </w:r>
            <w:r w:rsidR="00A033D2">
              <w:rPr>
                <w:noProof/>
                <w:webHidden/>
              </w:rPr>
              <w:tab/>
            </w:r>
            <w:r w:rsidR="00A033D2">
              <w:rPr>
                <w:noProof/>
                <w:webHidden/>
              </w:rPr>
              <w:fldChar w:fldCharType="begin"/>
            </w:r>
            <w:r w:rsidR="00A033D2">
              <w:rPr>
                <w:noProof/>
                <w:webHidden/>
              </w:rPr>
              <w:instrText xml:space="preserve"> PAGEREF _Toc77251962 \h </w:instrText>
            </w:r>
            <w:r w:rsidR="00A033D2">
              <w:rPr>
                <w:noProof/>
                <w:webHidden/>
              </w:rPr>
            </w:r>
            <w:r w:rsidR="00A033D2">
              <w:rPr>
                <w:noProof/>
                <w:webHidden/>
              </w:rPr>
              <w:fldChar w:fldCharType="separate"/>
            </w:r>
            <w:r w:rsidR="00A033D2">
              <w:rPr>
                <w:noProof/>
                <w:webHidden/>
              </w:rPr>
              <w:t>8</w:t>
            </w:r>
            <w:r w:rsidR="00A033D2">
              <w:rPr>
                <w:noProof/>
                <w:webHidden/>
              </w:rPr>
              <w:fldChar w:fldCharType="end"/>
            </w:r>
          </w:hyperlink>
        </w:p>
        <w:p w:rsidR="00A033D2" w:rsidRDefault="00336F1F">
          <w:pPr>
            <w:pStyle w:val="TOC1"/>
            <w:tabs>
              <w:tab w:val="left" w:pos="660"/>
              <w:tab w:val="right" w:leader="dot" w:pos="9629"/>
            </w:tabs>
            <w:rPr>
              <w:noProof/>
              <w:lang w:val="en-AU" w:eastAsia="en-AU"/>
            </w:rPr>
          </w:pPr>
          <w:hyperlink w:anchor="_Toc77251963" w:history="1">
            <w:r w:rsidR="00A033D2" w:rsidRPr="00051FB6">
              <w:rPr>
                <w:rStyle w:val="Hyperlink"/>
                <w:noProof/>
              </w:rPr>
              <w:t>12.</w:t>
            </w:r>
            <w:r w:rsidR="00A033D2">
              <w:rPr>
                <w:noProof/>
                <w:lang w:val="en-AU" w:eastAsia="en-AU"/>
              </w:rPr>
              <w:tab/>
            </w:r>
            <w:r w:rsidR="00A033D2" w:rsidRPr="00051FB6">
              <w:rPr>
                <w:rStyle w:val="Hyperlink"/>
                <w:noProof/>
              </w:rPr>
              <w:t>Written notification of adjournments to non-appearing parties</w:t>
            </w:r>
            <w:r w:rsidR="00A033D2">
              <w:rPr>
                <w:noProof/>
                <w:webHidden/>
              </w:rPr>
              <w:tab/>
            </w:r>
            <w:r w:rsidR="00A033D2">
              <w:rPr>
                <w:noProof/>
                <w:webHidden/>
              </w:rPr>
              <w:fldChar w:fldCharType="begin"/>
            </w:r>
            <w:r w:rsidR="00A033D2">
              <w:rPr>
                <w:noProof/>
                <w:webHidden/>
              </w:rPr>
              <w:instrText xml:space="preserve"> PAGEREF _Toc77251963 \h </w:instrText>
            </w:r>
            <w:r w:rsidR="00A033D2">
              <w:rPr>
                <w:noProof/>
                <w:webHidden/>
              </w:rPr>
            </w:r>
            <w:r w:rsidR="00A033D2">
              <w:rPr>
                <w:noProof/>
                <w:webHidden/>
              </w:rPr>
              <w:fldChar w:fldCharType="separate"/>
            </w:r>
            <w:r w:rsidR="00A033D2">
              <w:rPr>
                <w:noProof/>
                <w:webHidden/>
              </w:rPr>
              <w:t>9</w:t>
            </w:r>
            <w:r w:rsidR="00A033D2">
              <w:rPr>
                <w:noProof/>
                <w:webHidden/>
              </w:rPr>
              <w:fldChar w:fldCharType="end"/>
            </w:r>
          </w:hyperlink>
        </w:p>
        <w:p w:rsidR="00A033D2" w:rsidRDefault="00336F1F">
          <w:pPr>
            <w:pStyle w:val="TOC1"/>
            <w:tabs>
              <w:tab w:val="left" w:pos="660"/>
              <w:tab w:val="right" w:leader="dot" w:pos="9629"/>
            </w:tabs>
            <w:rPr>
              <w:noProof/>
              <w:lang w:val="en-AU" w:eastAsia="en-AU"/>
            </w:rPr>
          </w:pPr>
          <w:hyperlink w:anchor="_Toc77251964" w:history="1">
            <w:r w:rsidR="00A033D2" w:rsidRPr="00051FB6">
              <w:rPr>
                <w:rStyle w:val="Hyperlink"/>
                <w:noProof/>
              </w:rPr>
              <w:t>13.</w:t>
            </w:r>
            <w:r w:rsidR="00A033D2">
              <w:rPr>
                <w:noProof/>
                <w:lang w:val="en-AU" w:eastAsia="en-AU"/>
              </w:rPr>
              <w:tab/>
            </w:r>
            <w:r w:rsidR="00A033D2" w:rsidRPr="00051FB6">
              <w:rPr>
                <w:rStyle w:val="Hyperlink"/>
                <w:noProof/>
              </w:rPr>
              <w:t>Allocation of a new hearing date of an unserved application/creditor’s petition</w:t>
            </w:r>
            <w:r w:rsidR="00A033D2">
              <w:rPr>
                <w:noProof/>
                <w:webHidden/>
              </w:rPr>
              <w:tab/>
            </w:r>
            <w:r w:rsidR="00A033D2">
              <w:rPr>
                <w:noProof/>
                <w:webHidden/>
              </w:rPr>
              <w:fldChar w:fldCharType="begin"/>
            </w:r>
            <w:r w:rsidR="00A033D2">
              <w:rPr>
                <w:noProof/>
                <w:webHidden/>
              </w:rPr>
              <w:instrText xml:space="preserve"> PAGEREF _Toc77251964 \h </w:instrText>
            </w:r>
            <w:r w:rsidR="00A033D2">
              <w:rPr>
                <w:noProof/>
                <w:webHidden/>
              </w:rPr>
            </w:r>
            <w:r w:rsidR="00A033D2">
              <w:rPr>
                <w:noProof/>
                <w:webHidden/>
              </w:rPr>
              <w:fldChar w:fldCharType="separate"/>
            </w:r>
            <w:r w:rsidR="00A033D2">
              <w:rPr>
                <w:noProof/>
                <w:webHidden/>
              </w:rPr>
              <w:t>9</w:t>
            </w:r>
            <w:r w:rsidR="00A033D2">
              <w:rPr>
                <w:noProof/>
                <w:webHidden/>
              </w:rPr>
              <w:fldChar w:fldCharType="end"/>
            </w:r>
          </w:hyperlink>
        </w:p>
        <w:p w:rsidR="00A033D2" w:rsidRDefault="00336F1F">
          <w:pPr>
            <w:pStyle w:val="TOC1"/>
            <w:tabs>
              <w:tab w:val="left" w:pos="660"/>
              <w:tab w:val="right" w:leader="dot" w:pos="9629"/>
            </w:tabs>
            <w:rPr>
              <w:noProof/>
              <w:lang w:val="en-AU" w:eastAsia="en-AU"/>
            </w:rPr>
          </w:pPr>
          <w:hyperlink w:anchor="_Toc77251965" w:history="1">
            <w:r w:rsidR="00A033D2" w:rsidRPr="00051FB6">
              <w:rPr>
                <w:rStyle w:val="Hyperlink"/>
                <w:noProof/>
              </w:rPr>
              <w:t>14.</w:t>
            </w:r>
            <w:r w:rsidR="00A033D2">
              <w:rPr>
                <w:noProof/>
                <w:lang w:val="en-AU" w:eastAsia="en-AU"/>
              </w:rPr>
              <w:tab/>
            </w:r>
            <w:r w:rsidR="00A033D2" w:rsidRPr="00051FB6">
              <w:rPr>
                <w:rStyle w:val="Hyperlink"/>
                <w:noProof/>
              </w:rPr>
              <w:t>Amendments to court documents</w:t>
            </w:r>
            <w:r w:rsidR="00A033D2">
              <w:rPr>
                <w:noProof/>
                <w:webHidden/>
              </w:rPr>
              <w:tab/>
            </w:r>
            <w:r w:rsidR="00A033D2">
              <w:rPr>
                <w:noProof/>
                <w:webHidden/>
              </w:rPr>
              <w:fldChar w:fldCharType="begin"/>
            </w:r>
            <w:r w:rsidR="00A033D2">
              <w:rPr>
                <w:noProof/>
                <w:webHidden/>
              </w:rPr>
              <w:instrText xml:space="preserve"> PAGEREF _Toc77251965 \h </w:instrText>
            </w:r>
            <w:r w:rsidR="00A033D2">
              <w:rPr>
                <w:noProof/>
                <w:webHidden/>
              </w:rPr>
            </w:r>
            <w:r w:rsidR="00A033D2">
              <w:rPr>
                <w:noProof/>
                <w:webHidden/>
              </w:rPr>
              <w:fldChar w:fldCharType="separate"/>
            </w:r>
            <w:r w:rsidR="00A033D2">
              <w:rPr>
                <w:noProof/>
                <w:webHidden/>
              </w:rPr>
              <w:t>10</w:t>
            </w:r>
            <w:r w:rsidR="00A033D2">
              <w:rPr>
                <w:noProof/>
                <w:webHidden/>
              </w:rPr>
              <w:fldChar w:fldCharType="end"/>
            </w:r>
          </w:hyperlink>
        </w:p>
        <w:p w:rsidR="00A033D2" w:rsidRDefault="00336F1F">
          <w:pPr>
            <w:pStyle w:val="TOC1"/>
            <w:tabs>
              <w:tab w:val="left" w:pos="660"/>
              <w:tab w:val="right" w:leader="dot" w:pos="9629"/>
            </w:tabs>
            <w:rPr>
              <w:noProof/>
              <w:lang w:val="en-AU" w:eastAsia="en-AU"/>
            </w:rPr>
          </w:pPr>
          <w:hyperlink w:anchor="_Toc77251966" w:history="1">
            <w:r w:rsidR="00A033D2" w:rsidRPr="00051FB6">
              <w:rPr>
                <w:rStyle w:val="Hyperlink"/>
                <w:noProof/>
              </w:rPr>
              <w:t>15.</w:t>
            </w:r>
            <w:r w:rsidR="00A033D2">
              <w:rPr>
                <w:noProof/>
                <w:lang w:val="en-AU" w:eastAsia="en-AU"/>
              </w:rPr>
              <w:tab/>
            </w:r>
            <w:r w:rsidR="00A033D2" w:rsidRPr="00051FB6">
              <w:rPr>
                <w:rStyle w:val="Hyperlink"/>
                <w:noProof/>
              </w:rPr>
              <w:t>Court orders</w:t>
            </w:r>
            <w:r w:rsidR="00A033D2">
              <w:rPr>
                <w:noProof/>
                <w:webHidden/>
              </w:rPr>
              <w:tab/>
            </w:r>
            <w:r w:rsidR="00A033D2">
              <w:rPr>
                <w:noProof/>
                <w:webHidden/>
              </w:rPr>
              <w:fldChar w:fldCharType="begin"/>
            </w:r>
            <w:r w:rsidR="00A033D2">
              <w:rPr>
                <w:noProof/>
                <w:webHidden/>
              </w:rPr>
              <w:instrText xml:space="preserve"> PAGEREF _Toc77251966 \h </w:instrText>
            </w:r>
            <w:r w:rsidR="00A033D2">
              <w:rPr>
                <w:noProof/>
                <w:webHidden/>
              </w:rPr>
            </w:r>
            <w:r w:rsidR="00A033D2">
              <w:rPr>
                <w:noProof/>
                <w:webHidden/>
              </w:rPr>
              <w:fldChar w:fldCharType="separate"/>
            </w:r>
            <w:r w:rsidR="00A033D2">
              <w:rPr>
                <w:noProof/>
                <w:webHidden/>
              </w:rPr>
              <w:t>10</w:t>
            </w:r>
            <w:r w:rsidR="00A033D2">
              <w:rPr>
                <w:noProof/>
                <w:webHidden/>
              </w:rPr>
              <w:fldChar w:fldCharType="end"/>
            </w:r>
          </w:hyperlink>
        </w:p>
        <w:p w:rsidR="00A033D2" w:rsidRDefault="00336F1F">
          <w:pPr>
            <w:pStyle w:val="TOC1"/>
            <w:tabs>
              <w:tab w:val="left" w:pos="660"/>
              <w:tab w:val="right" w:leader="dot" w:pos="9629"/>
            </w:tabs>
            <w:rPr>
              <w:noProof/>
              <w:lang w:val="en-AU" w:eastAsia="en-AU"/>
            </w:rPr>
          </w:pPr>
          <w:hyperlink w:anchor="_Toc77251967" w:history="1">
            <w:r w:rsidR="00A033D2" w:rsidRPr="00051FB6">
              <w:rPr>
                <w:rStyle w:val="Hyperlink"/>
                <w:noProof/>
              </w:rPr>
              <w:t>16.</w:t>
            </w:r>
            <w:r w:rsidR="00A033D2">
              <w:rPr>
                <w:noProof/>
                <w:lang w:val="en-AU" w:eastAsia="en-AU"/>
              </w:rPr>
              <w:tab/>
            </w:r>
            <w:r w:rsidR="00A033D2" w:rsidRPr="00051FB6">
              <w:rPr>
                <w:rStyle w:val="Hyperlink"/>
                <w:noProof/>
              </w:rPr>
              <w:t>Standard form of orders</w:t>
            </w:r>
            <w:r w:rsidR="00A033D2">
              <w:rPr>
                <w:noProof/>
                <w:webHidden/>
              </w:rPr>
              <w:tab/>
            </w:r>
            <w:r w:rsidR="00A033D2">
              <w:rPr>
                <w:noProof/>
                <w:webHidden/>
              </w:rPr>
              <w:fldChar w:fldCharType="begin"/>
            </w:r>
            <w:r w:rsidR="00A033D2">
              <w:rPr>
                <w:noProof/>
                <w:webHidden/>
              </w:rPr>
              <w:instrText xml:space="preserve"> PAGEREF _Toc77251967 \h </w:instrText>
            </w:r>
            <w:r w:rsidR="00A033D2">
              <w:rPr>
                <w:noProof/>
                <w:webHidden/>
              </w:rPr>
            </w:r>
            <w:r w:rsidR="00A033D2">
              <w:rPr>
                <w:noProof/>
                <w:webHidden/>
              </w:rPr>
              <w:fldChar w:fldCharType="separate"/>
            </w:r>
            <w:r w:rsidR="00A033D2">
              <w:rPr>
                <w:noProof/>
                <w:webHidden/>
              </w:rPr>
              <w:t>10</w:t>
            </w:r>
            <w:r w:rsidR="00A033D2">
              <w:rPr>
                <w:noProof/>
                <w:webHidden/>
              </w:rPr>
              <w:fldChar w:fldCharType="end"/>
            </w:r>
          </w:hyperlink>
        </w:p>
        <w:p w:rsidR="00A033D2" w:rsidRDefault="00336F1F">
          <w:pPr>
            <w:pStyle w:val="TOC1"/>
            <w:tabs>
              <w:tab w:val="left" w:pos="660"/>
              <w:tab w:val="right" w:leader="dot" w:pos="9629"/>
            </w:tabs>
            <w:rPr>
              <w:noProof/>
              <w:lang w:val="en-AU" w:eastAsia="en-AU"/>
            </w:rPr>
          </w:pPr>
          <w:hyperlink w:anchor="_Toc77251968" w:history="1">
            <w:r w:rsidR="00A033D2" w:rsidRPr="00051FB6">
              <w:rPr>
                <w:rStyle w:val="Hyperlink"/>
                <w:noProof/>
              </w:rPr>
              <w:t>17.</w:t>
            </w:r>
            <w:r w:rsidR="00A033D2">
              <w:rPr>
                <w:noProof/>
                <w:lang w:val="en-AU" w:eastAsia="en-AU"/>
              </w:rPr>
              <w:tab/>
            </w:r>
            <w:r w:rsidR="00A033D2" w:rsidRPr="00051FB6">
              <w:rPr>
                <w:rStyle w:val="Hyperlink"/>
                <w:noProof/>
              </w:rPr>
              <w:t>Costs orders</w:t>
            </w:r>
            <w:r w:rsidR="00A033D2">
              <w:rPr>
                <w:noProof/>
                <w:webHidden/>
              </w:rPr>
              <w:tab/>
            </w:r>
            <w:r w:rsidR="00A033D2">
              <w:rPr>
                <w:noProof/>
                <w:webHidden/>
              </w:rPr>
              <w:fldChar w:fldCharType="begin"/>
            </w:r>
            <w:r w:rsidR="00A033D2">
              <w:rPr>
                <w:noProof/>
                <w:webHidden/>
              </w:rPr>
              <w:instrText xml:space="preserve"> PAGEREF _Toc77251968 \h </w:instrText>
            </w:r>
            <w:r w:rsidR="00A033D2">
              <w:rPr>
                <w:noProof/>
                <w:webHidden/>
              </w:rPr>
            </w:r>
            <w:r w:rsidR="00A033D2">
              <w:rPr>
                <w:noProof/>
                <w:webHidden/>
              </w:rPr>
              <w:fldChar w:fldCharType="separate"/>
            </w:r>
            <w:r w:rsidR="00A033D2">
              <w:rPr>
                <w:noProof/>
                <w:webHidden/>
              </w:rPr>
              <w:t>10</w:t>
            </w:r>
            <w:r w:rsidR="00A033D2">
              <w:rPr>
                <w:noProof/>
                <w:webHidden/>
              </w:rPr>
              <w:fldChar w:fldCharType="end"/>
            </w:r>
          </w:hyperlink>
        </w:p>
        <w:p w:rsidR="00A033D2" w:rsidRDefault="00336F1F">
          <w:pPr>
            <w:pStyle w:val="TOC1"/>
            <w:tabs>
              <w:tab w:val="left" w:pos="660"/>
              <w:tab w:val="right" w:leader="dot" w:pos="9629"/>
            </w:tabs>
            <w:rPr>
              <w:noProof/>
              <w:lang w:val="en-AU" w:eastAsia="en-AU"/>
            </w:rPr>
          </w:pPr>
          <w:hyperlink w:anchor="_Toc77251969" w:history="1">
            <w:r w:rsidR="00A033D2" w:rsidRPr="00051FB6">
              <w:rPr>
                <w:rStyle w:val="Hyperlink"/>
                <w:noProof/>
              </w:rPr>
              <w:t>18.</w:t>
            </w:r>
            <w:r w:rsidR="00A033D2">
              <w:rPr>
                <w:noProof/>
                <w:lang w:val="en-AU" w:eastAsia="en-AU"/>
              </w:rPr>
              <w:tab/>
            </w:r>
            <w:r w:rsidR="00A033D2" w:rsidRPr="00051FB6">
              <w:rPr>
                <w:rStyle w:val="Hyperlink"/>
                <w:noProof/>
              </w:rPr>
              <w:t>Substituted service applications</w:t>
            </w:r>
            <w:r w:rsidR="00A033D2">
              <w:rPr>
                <w:noProof/>
                <w:webHidden/>
              </w:rPr>
              <w:tab/>
            </w:r>
            <w:r w:rsidR="00A033D2">
              <w:rPr>
                <w:noProof/>
                <w:webHidden/>
              </w:rPr>
              <w:fldChar w:fldCharType="begin"/>
            </w:r>
            <w:r w:rsidR="00A033D2">
              <w:rPr>
                <w:noProof/>
                <w:webHidden/>
              </w:rPr>
              <w:instrText xml:space="preserve"> PAGEREF _Toc77251969 \h </w:instrText>
            </w:r>
            <w:r w:rsidR="00A033D2">
              <w:rPr>
                <w:noProof/>
                <w:webHidden/>
              </w:rPr>
            </w:r>
            <w:r w:rsidR="00A033D2">
              <w:rPr>
                <w:noProof/>
                <w:webHidden/>
              </w:rPr>
              <w:fldChar w:fldCharType="separate"/>
            </w:r>
            <w:r w:rsidR="00A033D2">
              <w:rPr>
                <w:noProof/>
                <w:webHidden/>
              </w:rPr>
              <w:t>12</w:t>
            </w:r>
            <w:r w:rsidR="00A033D2">
              <w:rPr>
                <w:noProof/>
                <w:webHidden/>
              </w:rPr>
              <w:fldChar w:fldCharType="end"/>
            </w:r>
          </w:hyperlink>
        </w:p>
        <w:p w:rsidR="00A033D2" w:rsidRDefault="00336F1F">
          <w:pPr>
            <w:pStyle w:val="TOC1"/>
            <w:tabs>
              <w:tab w:val="left" w:pos="660"/>
              <w:tab w:val="right" w:leader="dot" w:pos="9629"/>
            </w:tabs>
            <w:rPr>
              <w:noProof/>
              <w:lang w:val="en-AU" w:eastAsia="en-AU"/>
            </w:rPr>
          </w:pPr>
          <w:hyperlink w:anchor="_Toc77251970" w:history="1">
            <w:r w:rsidR="00A033D2" w:rsidRPr="00051FB6">
              <w:rPr>
                <w:rStyle w:val="Hyperlink"/>
                <w:noProof/>
              </w:rPr>
              <w:t>19.</w:t>
            </w:r>
            <w:r w:rsidR="00A033D2">
              <w:rPr>
                <w:noProof/>
                <w:lang w:val="en-AU" w:eastAsia="en-AU"/>
              </w:rPr>
              <w:tab/>
            </w:r>
            <w:r w:rsidR="00A033D2" w:rsidRPr="00051FB6">
              <w:rPr>
                <w:rStyle w:val="Hyperlink"/>
                <w:noProof/>
              </w:rPr>
              <w:t>Further practice information</w:t>
            </w:r>
            <w:r w:rsidR="00A033D2">
              <w:rPr>
                <w:noProof/>
                <w:webHidden/>
              </w:rPr>
              <w:tab/>
            </w:r>
            <w:r w:rsidR="00A033D2">
              <w:rPr>
                <w:noProof/>
                <w:webHidden/>
              </w:rPr>
              <w:fldChar w:fldCharType="begin"/>
            </w:r>
            <w:r w:rsidR="00A033D2">
              <w:rPr>
                <w:noProof/>
                <w:webHidden/>
              </w:rPr>
              <w:instrText xml:space="preserve"> PAGEREF _Toc77251970 \h </w:instrText>
            </w:r>
            <w:r w:rsidR="00A033D2">
              <w:rPr>
                <w:noProof/>
                <w:webHidden/>
              </w:rPr>
            </w:r>
            <w:r w:rsidR="00A033D2">
              <w:rPr>
                <w:noProof/>
                <w:webHidden/>
              </w:rPr>
              <w:fldChar w:fldCharType="separate"/>
            </w:r>
            <w:r w:rsidR="00A033D2">
              <w:rPr>
                <w:noProof/>
                <w:webHidden/>
              </w:rPr>
              <w:t>12</w:t>
            </w:r>
            <w:r w:rsidR="00A033D2">
              <w:rPr>
                <w:noProof/>
                <w:webHidden/>
              </w:rPr>
              <w:fldChar w:fldCharType="end"/>
            </w:r>
          </w:hyperlink>
        </w:p>
        <w:p w:rsidR="00A033D2" w:rsidRDefault="00336F1F">
          <w:pPr>
            <w:pStyle w:val="TOC1"/>
            <w:tabs>
              <w:tab w:val="left" w:pos="660"/>
              <w:tab w:val="right" w:leader="dot" w:pos="9629"/>
            </w:tabs>
            <w:rPr>
              <w:noProof/>
              <w:lang w:val="en-AU" w:eastAsia="en-AU"/>
            </w:rPr>
          </w:pPr>
          <w:hyperlink w:anchor="_Toc77251971" w:history="1">
            <w:r w:rsidR="00A033D2" w:rsidRPr="00051FB6">
              <w:rPr>
                <w:rStyle w:val="Hyperlink"/>
                <w:noProof/>
              </w:rPr>
              <w:t>20.</w:t>
            </w:r>
            <w:r w:rsidR="00A033D2">
              <w:rPr>
                <w:noProof/>
                <w:lang w:val="en-AU" w:eastAsia="en-AU"/>
              </w:rPr>
              <w:tab/>
            </w:r>
            <w:r w:rsidR="00A033D2" w:rsidRPr="00051FB6">
              <w:rPr>
                <w:rStyle w:val="Hyperlink"/>
                <w:noProof/>
              </w:rPr>
              <w:t>Communications in a Judicial Registrar matter</w:t>
            </w:r>
            <w:r w:rsidR="00A033D2">
              <w:rPr>
                <w:noProof/>
                <w:webHidden/>
              </w:rPr>
              <w:tab/>
            </w:r>
            <w:r w:rsidR="00A033D2">
              <w:rPr>
                <w:noProof/>
                <w:webHidden/>
              </w:rPr>
              <w:fldChar w:fldCharType="begin"/>
            </w:r>
            <w:r w:rsidR="00A033D2">
              <w:rPr>
                <w:noProof/>
                <w:webHidden/>
              </w:rPr>
              <w:instrText xml:space="preserve"> PAGEREF _Toc77251971 \h </w:instrText>
            </w:r>
            <w:r w:rsidR="00A033D2">
              <w:rPr>
                <w:noProof/>
                <w:webHidden/>
              </w:rPr>
            </w:r>
            <w:r w:rsidR="00A033D2">
              <w:rPr>
                <w:noProof/>
                <w:webHidden/>
              </w:rPr>
              <w:fldChar w:fldCharType="separate"/>
            </w:r>
            <w:r w:rsidR="00A033D2">
              <w:rPr>
                <w:noProof/>
                <w:webHidden/>
              </w:rPr>
              <w:t>12</w:t>
            </w:r>
            <w:r w:rsidR="00A033D2">
              <w:rPr>
                <w:noProof/>
                <w:webHidden/>
              </w:rPr>
              <w:fldChar w:fldCharType="end"/>
            </w:r>
          </w:hyperlink>
        </w:p>
        <w:p w:rsidR="00A033D2" w:rsidRDefault="00336F1F">
          <w:pPr>
            <w:pStyle w:val="TOC1"/>
            <w:tabs>
              <w:tab w:val="left" w:pos="660"/>
              <w:tab w:val="right" w:leader="dot" w:pos="9629"/>
            </w:tabs>
            <w:rPr>
              <w:noProof/>
              <w:lang w:val="en-AU" w:eastAsia="en-AU"/>
            </w:rPr>
          </w:pPr>
          <w:hyperlink w:anchor="_Toc77251972" w:history="1">
            <w:r w:rsidR="00A033D2" w:rsidRPr="00051FB6">
              <w:rPr>
                <w:rStyle w:val="Hyperlink"/>
                <w:noProof/>
              </w:rPr>
              <w:t>21.</w:t>
            </w:r>
            <w:r w:rsidR="00A033D2">
              <w:rPr>
                <w:noProof/>
                <w:lang w:val="en-AU" w:eastAsia="en-AU"/>
              </w:rPr>
              <w:tab/>
            </w:r>
            <w:r w:rsidR="00A033D2" w:rsidRPr="00051FB6">
              <w:rPr>
                <w:rStyle w:val="Hyperlink"/>
                <w:noProof/>
              </w:rPr>
              <w:t>Publication of the Judicial Registrar Court Lists</w:t>
            </w:r>
            <w:r w:rsidR="00A033D2">
              <w:rPr>
                <w:noProof/>
                <w:webHidden/>
              </w:rPr>
              <w:tab/>
            </w:r>
            <w:r w:rsidR="00A033D2">
              <w:rPr>
                <w:noProof/>
                <w:webHidden/>
              </w:rPr>
              <w:fldChar w:fldCharType="begin"/>
            </w:r>
            <w:r w:rsidR="00A033D2">
              <w:rPr>
                <w:noProof/>
                <w:webHidden/>
              </w:rPr>
              <w:instrText xml:space="preserve"> PAGEREF _Toc77251972 \h </w:instrText>
            </w:r>
            <w:r w:rsidR="00A033D2">
              <w:rPr>
                <w:noProof/>
                <w:webHidden/>
              </w:rPr>
            </w:r>
            <w:r w:rsidR="00A033D2">
              <w:rPr>
                <w:noProof/>
                <w:webHidden/>
              </w:rPr>
              <w:fldChar w:fldCharType="separate"/>
            </w:r>
            <w:r w:rsidR="00A033D2">
              <w:rPr>
                <w:noProof/>
                <w:webHidden/>
              </w:rPr>
              <w:t>13</w:t>
            </w:r>
            <w:r w:rsidR="00A033D2">
              <w:rPr>
                <w:noProof/>
                <w:webHidden/>
              </w:rPr>
              <w:fldChar w:fldCharType="end"/>
            </w:r>
          </w:hyperlink>
        </w:p>
        <w:p w:rsidR="00A033D2" w:rsidRDefault="00336F1F">
          <w:pPr>
            <w:pStyle w:val="TOC1"/>
            <w:tabs>
              <w:tab w:val="left" w:pos="660"/>
              <w:tab w:val="right" w:leader="dot" w:pos="9629"/>
            </w:tabs>
            <w:rPr>
              <w:noProof/>
              <w:lang w:val="en-AU" w:eastAsia="en-AU"/>
            </w:rPr>
          </w:pPr>
          <w:hyperlink w:anchor="_Toc77251973" w:history="1">
            <w:r w:rsidR="00A033D2" w:rsidRPr="00051FB6">
              <w:rPr>
                <w:rStyle w:val="Hyperlink"/>
                <w:noProof/>
              </w:rPr>
              <w:t>22.</w:t>
            </w:r>
            <w:r w:rsidR="00A033D2">
              <w:rPr>
                <w:noProof/>
                <w:lang w:val="en-AU" w:eastAsia="en-AU"/>
              </w:rPr>
              <w:tab/>
            </w:r>
            <w:r w:rsidR="00A033D2" w:rsidRPr="00051FB6">
              <w:rPr>
                <w:rStyle w:val="Hyperlink"/>
                <w:noProof/>
              </w:rPr>
              <w:t>Enquiries and contact information</w:t>
            </w:r>
            <w:r w:rsidR="00A033D2">
              <w:rPr>
                <w:noProof/>
                <w:webHidden/>
              </w:rPr>
              <w:tab/>
            </w:r>
            <w:r w:rsidR="00A033D2">
              <w:rPr>
                <w:noProof/>
                <w:webHidden/>
              </w:rPr>
              <w:fldChar w:fldCharType="begin"/>
            </w:r>
            <w:r w:rsidR="00A033D2">
              <w:rPr>
                <w:noProof/>
                <w:webHidden/>
              </w:rPr>
              <w:instrText xml:space="preserve"> PAGEREF _Toc77251973 \h </w:instrText>
            </w:r>
            <w:r w:rsidR="00A033D2">
              <w:rPr>
                <w:noProof/>
                <w:webHidden/>
              </w:rPr>
            </w:r>
            <w:r w:rsidR="00A033D2">
              <w:rPr>
                <w:noProof/>
                <w:webHidden/>
              </w:rPr>
              <w:fldChar w:fldCharType="separate"/>
            </w:r>
            <w:r w:rsidR="00A033D2">
              <w:rPr>
                <w:noProof/>
                <w:webHidden/>
              </w:rPr>
              <w:t>13</w:t>
            </w:r>
            <w:r w:rsidR="00A033D2">
              <w:rPr>
                <w:noProof/>
                <w:webHidden/>
              </w:rPr>
              <w:fldChar w:fldCharType="end"/>
            </w:r>
          </w:hyperlink>
        </w:p>
        <w:p w:rsidR="00A033D2" w:rsidRDefault="00336F1F">
          <w:pPr>
            <w:pStyle w:val="TOC1"/>
            <w:tabs>
              <w:tab w:val="left" w:pos="660"/>
              <w:tab w:val="right" w:leader="dot" w:pos="9629"/>
            </w:tabs>
            <w:rPr>
              <w:noProof/>
              <w:lang w:val="en-AU" w:eastAsia="en-AU"/>
            </w:rPr>
          </w:pPr>
          <w:hyperlink w:anchor="_Toc77251974" w:history="1">
            <w:r w:rsidR="00A033D2" w:rsidRPr="00051FB6">
              <w:rPr>
                <w:rStyle w:val="Hyperlink"/>
                <w:noProof/>
              </w:rPr>
              <w:t>23.</w:t>
            </w:r>
            <w:r w:rsidR="00A033D2">
              <w:rPr>
                <w:noProof/>
                <w:lang w:val="en-AU" w:eastAsia="en-AU"/>
              </w:rPr>
              <w:tab/>
            </w:r>
            <w:r w:rsidR="00A033D2" w:rsidRPr="00051FB6">
              <w:rPr>
                <w:rStyle w:val="Hyperlink"/>
                <w:noProof/>
              </w:rPr>
              <w:t>Self-represented litigants</w:t>
            </w:r>
            <w:r w:rsidR="00A033D2">
              <w:rPr>
                <w:noProof/>
                <w:webHidden/>
              </w:rPr>
              <w:tab/>
            </w:r>
            <w:r w:rsidR="00A033D2">
              <w:rPr>
                <w:noProof/>
                <w:webHidden/>
              </w:rPr>
              <w:fldChar w:fldCharType="begin"/>
            </w:r>
            <w:r w:rsidR="00A033D2">
              <w:rPr>
                <w:noProof/>
                <w:webHidden/>
              </w:rPr>
              <w:instrText xml:space="preserve"> PAGEREF _Toc77251974 \h </w:instrText>
            </w:r>
            <w:r w:rsidR="00A033D2">
              <w:rPr>
                <w:noProof/>
                <w:webHidden/>
              </w:rPr>
            </w:r>
            <w:r w:rsidR="00A033D2">
              <w:rPr>
                <w:noProof/>
                <w:webHidden/>
              </w:rPr>
              <w:fldChar w:fldCharType="separate"/>
            </w:r>
            <w:r w:rsidR="00A033D2">
              <w:rPr>
                <w:noProof/>
                <w:webHidden/>
              </w:rPr>
              <w:t>13</w:t>
            </w:r>
            <w:r w:rsidR="00A033D2">
              <w:rPr>
                <w:noProof/>
                <w:webHidden/>
              </w:rPr>
              <w:fldChar w:fldCharType="end"/>
            </w:r>
          </w:hyperlink>
        </w:p>
        <w:p w:rsidR="00A033D2" w:rsidRDefault="00336F1F">
          <w:pPr>
            <w:pStyle w:val="TOC1"/>
            <w:tabs>
              <w:tab w:val="left" w:pos="660"/>
              <w:tab w:val="right" w:leader="dot" w:pos="9629"/>
            </w:tabs>
            <w:rPr>
              <w:noProof/>
              <w:lang w:val="en-AU" w:eastAsia="en-AU"/>
            </w:rPr>
          </w:pPr>
          <w:hyperlink w:anchor="_Toc77251975" w:history="1">
            <w:r w:rsidR="00A033D2" w:rsidRPr="00051FB6">
              <w:rPr>
                <w:rStyle w:val="Hyperlink"/>
                <w:noProof/>
              </w:rPr>
              <w:t>24.</w:t>
            </w:r>
            <w:r w:rsidR="00A033D2">
              <w:rPr>
                <w:noProof/>
                <w:lang w:val="en-AU" w:eastAsia="en-AU"/>
              </w:rPr>
              <w:tab/>
            </w:r>
            <w:r w:rsidR="00A033D2" w:rsidRPr="00051FB6">
              <w:rPr>
                <w:rStyle w:val="Hyperlink"/>
                <w:noProof/>
              </w:rPr>
              <w:t>Information on the Court’s online services</w:t>
            </w:r>
            <w:r w:rsidR="00A033D2">
              <w:rPr>
                <w:noProof/>
                <w:webHidden/>
              </w:rPr>
              <w:tab/>
            </w:r>
            <w:r w:rsidR="00A033D2">
              <w:rPr>
                <w:noProof/>
                <w:webHidden/>
              </w:rPr>
              <w:fldChar w:fldCharType="begin"/>
            </w:r>
            <w:r w:rsidR="00A033D2">
              <w:rPr>
                <w:noProof/>
                <w:webHidden/>
              </w:rPr>
              <w:instrText xml:space="preserve"> PAGEREF _Toc77251975 \h </w:instrText>
            </w:r>
            <w:r w:rsidR="00A033D2">
              <w:rPr>
                <w:noProof/>
                <w:webHidden/>
              </w:rPr>
            </w:r>
            <w:r w:rsidR="00A033D2">
              <w:rPr>
                <w:noProof/>
                <w:webHidden/>
              </w:rPr>
              <w:fldChar w:fldCharType="separate"/>
            </w:r>
            <w:r w:rsidR="00A033D2">
              <w:rPr>
                <w:noProof/>
                <w:webHidden/>
              </w:rPr>
              <w:t>14</w:t>
            </w:r>
            <w:r w:rsidR="00A033D2">
              <w:rPr>
                <w:noProof/>
                <w:webHidden/>
              </w:rPr>
              <w:fldChar w:fldCharType="end"/>
            </w:r>
          </w:hyperlink>
        </w:p>
        <w:p w:rsidR="00E90346" w:rsidRDefault="00E90346">
          <w:r>
            <w:rPr>
              <w:b/>
              <w:bCs/>
              <w:noProof/>
            </w:rPr>
            <w:fldChar w:fldCharType="end"/>
          </w:r>
        </w:p>
      </w:sdtContent>
    </w:sdt>
    <w:p w:rsidR="00190728" w:rsidRPr="00E90346" w:rsidRDefault="00190728" w:rsidP="00E90346"/>
    <w:p w:rsidR="009652EE" w:rsidRDefault="009652EE" w:rsidP="00B37B5B">
      <w:pPr>
        <w:pStyle w:val="HeadingOneTOC"/>
        <w:spacing w:before="0" w:line="276" w:lineRule="auto"/>
        <w:jc w:val="both"/>
        <w:rPr>
          <w:b/>
        </w:rPr>
      </w:pPr>
    </w:p>
    <w:p w:rsidR="00B5586A" w:rsidRPr="00B37B5B" w:rsidRDefault="00B5586A" w:rsidP="00050081">
      <w:pPr>
        <w:pStyle w:val="Heading1"/>
      </w:pPr>
      <w:bookmarkStart w:id="1" w:name="_Toc458706009"/>
      <w:bookmarkStart w:id="2" w:name="_Toc465959860"/>
      <w:bookmarkStart w:id="3" w:name="_Toc77251952"/>
      <w:r w:rsidRPr="00B37B5B">
        <w:lastRenderedPageBreak/>
        <w:t>Purpose</w:t>
      </w:r>
      <w:bookmarkEnd w:id="1"/>
      <w:bookmarkEnd w:id="2"/>
      <w:bookmarkEnd w:id="3"/>
      <w:r w:rsidRPr="00B37B5B">
        <w:t xml:space="preserve"> </w:t>
      </w:r>
    </w:p>
    <w:p w:rsidR="002B3896" w:rsidRPr="004A7B0D" w:rsidRDefault="002B3896" w:rsidP="00DE6CA4">
      <w:pPr>
        <w:pStyle w:val="HeadingOneTOC"/>
        <w:spacing w:before="0" w:line="276" w:lineRule="auto"/>
        <w:ind w:left="709" w:hanging="709"/>
        <w:jc w:val="both"/>
      </w:pPr>
    </w:p>
    <w:p w:rsidR="002B3553" w:rsidRDefault="008A7FE5" w:rsidP="002B3553">
      <w:pPr>
        <w:pStyle w:val="HeadingOneTOC"/>
        <w:numPr>
          <w:ilvl w:val="1"/>
          <w:numId w:val="4"/>
        </w:numPr>
        <w:spacing w:before="0" w:line="276" w:lineRule="auto"/>
        <w:ind w:left="709" w:hanging="709"/>
        <w:jc w:val="both"/>
      </w:pPr>
      <w:r>
        <w:t>This g</w:t>
      </w:r>
      <w:r w:rsidR="00B5586A" w:rsidRPr="004A7B0D">
        <w:t>uide s</w:t>
      </w:r>
      <w:r>
        <w:t>ummarises the arrangements for b</w:t>
      </w:r>
      <w:r w:rsidR="00B5586A" w:rsidRPr="004A7B0D">
        <w:t xml:space="preserve">ankruptcy matters listed before a </w:t>
      </w:r>
      <w:r>
        <w:t xml:space="preserve">Judicial </w:t>
      </w:r>
      <w:r w:rsidR="00B5586A" w:rsidRPr="004A7B0D">
        <w:t xml:space="preserve">Registrar. </w:t>
      </w:r>
      <w:r w:rsidR="00DC368B" w:rsidRPr="004A7B0D">
        <w:t xml:space="preserve">Bankruptcy matters </w:t>
      </w:r>
      <w:r w:rsidR="00DC368B" w:rsidRPr="00C9783C">
        <w:t xml:space="preserve">are listed before </w:t>
      </w:r>
      <w:r>
        <w:t xml:space="preserve">Judicial </w:t>
      </w:r>
      <w:r w:rsidR="00DC368B" w:rsidRPr="00C9783C">
        <w:t xml:space="preserve">Registrars who sit in the </w:t>
      </w:r>
      <w:r w:rsidR="000661D0" w:rsidRPr="00C9783C">
        <w:t xml:space="preserve">Federal Court </w:t>
      </w:r>
      <w:r w:rsidR="005F2321" w:rsidRPr="00C9783C">
        <w:t xml:space="preserve">of Australia </w:t>
      </w:r>
      <w:r w:rsidR="008C7181">
        <w:t>(</w:t>
      </w:r>
      <w:r w:rsidR="00A457C4" w:rsidRPr="00A457C4">
        <w:t xml:space="preserve">the </w:t>
      </w:r>
      <w:r w:rsidR="00A457C4">
        <w:t>Court</w:t>
      </w:r>
      <w:r w:rsidR="005F2321" w:rsidRPr="00A457C4">
        <w:t>)</w:t>
      </w:r>
      <w:r w:rsidR="00A457C4" w:rsidRPr="00A457C4">
        <w:t>.</w:t>
      </w:r>
      <w:r w:rsidR="00A457C4">
        <w:t xml:space="preserve"> </w:t>
      </w:r>
    </w:p>
    <w:p w:rsidR="002B3553" w:rsidRDefault="002B3553" w:rsidP="002B3553">
      <w:pPr>
        <w:pStyle w:val="HeadingOneTOC"/>
        <w:spacing w:before="0" w:line="276" w:lineRule="auto"/>
        <w:ind w:left="709"/>
        <w:jc w:val="both"/>
      </w:pPr>
    </w:p>
    <w:p w:rsidR="00C754F9" w:rsidRDefault="000661D0" w:rsidP="002B3553">
      <w:pPr>
        <w:pStyle w:val="HeadingOneTOC"/>
        <w:numPr>
          <w:ilvl w:val="1"/>
          <w:numId w:val="4"/>
        </w:numPr>
        <w:spacing w:before="0" w:line="276" w:lineRule="auto"/>
        <w:ind w:left="709" w:hanging="709"/>
        <w:jc w:val="both"/>
      </w:pPr>
      <w:r>
        <w:t>The</w:t>
      </w:r>
      <w:r w:rsidR="00B5586A" w:rsidRPr="004A7B0D">
        <w:t xml:space="preserve"> arrangements </w:t>
      </w:r>
      <w:r>
        <w:t xml:space="preserve">set out in this </w:t>
      </w:r>
      <w:r w:rsidR="008A7FE5">
        <w:t>g</w:t>
      </w:r>
      <w:r>
        <w:t xml:space="preserve">uide </w:t>
      </w:r>
      <w:r w:rsidR="00B5586A" w:rsidRPr="004A7B0D">
        <w:t xml:space="preserve">are designed to streamline and promote a consistent and efficient case management practice in the </w:t>
      </w:r>
      <w:r w:rsidR="008A7FE5">
        <w:t xml:space="preserve">Judicial </w:t>
      </w:r>
      <w:r w:rsidR="00E422E5">
        <w:t>Registrar Court L</w:t>
      </w:r>
      <w:r w:rsidR="00B5586A" w:rsidRPr="004A7B0D">
        <w:t>ists nationally and to facilitate the just resolution of disputes with a minimum of delay and expe</w:t>
      </w:r>
      <w:r w:rsidR="008A7FE5">
        <w:t>nse.  However, nothing in this g</w:t>
      </w:r>
      <w:r w:rsidR="00B5586A" w:rsidRPr="004A7B0D">
        <w:t>uide affects the Court’s discretion to conduct th</w:t>
      </w:r>
      <w:r w:rsidR="00E422E5">
        <w:t>e l</w:t>
      </w:r>
      <w:r w:rsidR="00B5586A" w:rsidRPr="004A7B0D">
        <w:t xml:space="preserve">ist in a manner it considers appropriate.  </w:t>
      </w:r>
    </w:p>
    <w:p w:rsidR="002B3553" w:rsidRDefault="002B3553" w:rsidP="002B3553">
      <w:pPr>
        <w:pStyle w:val="HeadingOneTOC"/>
        <w:spacing w:before="0" w:line="276" w:lineRule="auto"/>
        <w:jc w:val="both"/>
      </w:pPr>
    </w:p>
    <w:p w:rsidR="00C754F9" w:rsidRDefault="008A7FE5" w:rsidP="002B3553">
      <w:pPr>
        <w:pStyle w:val="HeadingOneTOC"/>
        <w:numPr>
          <w:ilvl w:val="1"/>
          <w:numId w:val="4"/>
        </w:numPr>
        <w:spacing w:before="0" w:line="276" w:lineRule="auto"/>
        <w:ind w:left="709" w:hanging="709"/>
        <w:jc w:val="both"/>
      </w:pPr>
      <w:r>
        <w:t>Amendments will appear on the g</w:t>
      </w:r>
      <w:r w:rsidR="00C754F9">
        <w:t xml:space="preserve">uide online as appropriate and practitioners should check the website </w:t>
      </w:r>
      <w:r>
        <w:t>for the current version of the g</w:t>
      </w:r>
      <w:r w:rsidR="00C754F9">
        <w:t xml:space="preserve">uide. </w:t>
      </w:r>
      <w:r w:rsidR="00901007">
        <w:t>P</w:t>
      </w:r>
      <w:r w:rsidR="009652EE">
        <w:t xml:space="preserve">ractitioners can </w:t>
      </w:r>
      <w:r w:rsidR="00901007">
        <w:t xml:space="preserve">also </w:t>
      </w:r>
      <w:r w:rsidR="009652EE">
        <w:t xml:space="preserve">subscribe to the </w:t>
      </w:r>
      <w:hyperlink r:id="rId9" w:history="1">
        <w:r w:rsidR="009652EE" w:rsidRPr="00573B93">
          <w:rPr>
            <w:rStyle w:val="Hyperlink"/>
          </w:rPr>
          <w:t>Court’s Practice News</w:t>
        </w:r>
      </w:hyperlink>
      <w:r w:rsidR="009652EE">
        <w:t xml:space="preserve"> email notification service. </w:t>
      </w:r>
    </w:p>
    <w:p w:rsidR="002B3553" w:rsidRDefault="002B3553" w:rsidP="002B3553">
      <w:pPr>
        <w:pStyle w:val="ListParagraph"/>
      </w:pPr>
    </w:p>
    <w:p w:rsidR="00DC2765" w:rsidRPr="00B37B5B" w:rsidRDefault="00A457C4" w:rsidP="00050081">
      <w:pPr>
        <w:pStyle w:val="Heading1"/>
      </w:pPr>
      <w:bookmarkStart w:id="4" w:name="_Toc458706010"/>
      <w:bookmarkStart w:id="5" w:name="_Toc465959861"/>
      <w:bookmarkStart w:id="6" w:name="_Toc77251953"/>
      <w:r>
        <w:t>Bankruptcy m</w:t>
      </w:r>
      <w:r w:rsidR="00660404" w:rsidRPr="009652EE">
        <w:t xml:space="preserve">atters </w:t>
      </w:r>
      <w:r>
        <w:t>b</w:t>
      </w:r>
      <w:r w:rsidR="00660404" w:rsidRPr="00B37B5B">
        <w:t xml:space="preserve">efore a </w:t>
      </w:r>
      <w:r w:rsidR="008A7FE5">
        <w:t xml:space="preserve">Judicial </w:t>
      </w:r>
      <w:r w:rsidR="00660404" w:rsidRPr="00B37B5B">
        <w:t>Registrar</w:t>
      </w:r>
      <w:bookmarkEnd w:id="4"/>
      <w:bookmarkEnd w:id="5"/>
      <w:bookmarkEnd w:id="6"/>
      <w:r w:rsidR="004A4EC0" w:rsidRPr="00B37B5B">
        <w:t xml:space="preserve"> </w:t>
      </w:r>
    </w:p>
    <w:p w:rsidR="00BA57F9" w:rsidRPr="004A7B0D" w:rsidRDefault="00BA57F9" w:rsidP="005F2321">
      <w:pPr>
        <w:pStyle w:val="HeadingOneTOC"/>
        <w:spacing w:before="0" w:line="276" w:lineRule="auto"/>
        <w:jc w:val="both"/>
      </w:pPr>
    </w:p>
    <w:p w:rsidR="002B3553" w:rsidRDefault="004A4EC0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contextualSpacing w:val="0"/>
        <w:jc w:val="both"/>
      </w:pPr>
      <w:r w:rsidRPr="004A7B0D">
        <w:t>B</w:t>
      </w:r>
      <w:r w:rsidR="00BA57F9" w:rsidRPr="004A7B0D">
        <w:t xml:space="preserve">ankruptcy matters </w:t>
      </w:r>
      <w:r w:rsidRPr="004A7B0D">
        <w:t xml:space="preserve">that may be heard and </w:t>
      </w:r>
      <w:r w:rsidR="00BA57F9" w:rsidRPr="004A7B0D">
        <w:t xml:space="preserve">determined by </w:t>
      </w:r>
      <w:r w:rsidRPr="004A7B0D">
        <w:t xml:space="preserve">a </w:t>
      </w:r>
      <w:r w:rsidR="008F7466">
        <w:t xml:space="preserve">Judicial </w:t>
      </w:r>
      <w:r w:rsidR="006A26F1">
        <w:t>R</w:t>
      </w:r>
      <w:r w:rsidRPr="004A7B0D">
        <w:t>egistrar</w:t>
      </w:r>
      <w:r w:rsidR="00BA57F9" w:rsidRPr="004A7B0D">
        <w:t xml:space="preserve"> </w:t>
      </w:r>
      <w:r w:rsidRPr="004A7B0D">
        <w:t xml:space="preserve">whether exercising the </w:t>
      </w:r>
      <w:r w:rsidR="006A26F1">
        <w:t>J</w:t>
      </w:r>
      <w:r w:rsidRPr="004A7B0D">
        <w:t xml:space="preserve">udge delegated powers of the </w:t>
      </w:r>
      <w:r w:rsidR="00573B93">
        <w:t>Federal Court</w:t>
      </w:r>
      <w:r w:rsidR="000661D0">
        <w:t xml:space="preserve"> </w:t>
      </w:r>
      <w:r w:rsidR="00573B93">
        <w:t>or Federal Circuit</w:t>
      </w:r>
      <w:r w:rsidR="00EF36D6">
        <w:t xml:space="preserve"> and Family</w:t>
      </w:r>
      <w:r w:rsidR="00573B93">
        <w:t xml:space="preserve"> Court </w:t>
      </w:r>
      <w:r w:rsidR="00EF36D6">
        <w:t xml:space="preserve">of Australia </w:t>
      </w:r>
      <w:r w:rsidR="00573B93" w:rsidRPr="004A7B0D">
        <w:t>include</w:t>
      </w:r>
      <w:r w:rsidR="006D2934">
        <w:t xml:space="preserve"> creditors’ p</w:t>
      </w:r>
      <w:r w:rsidR="006A26F1">
        <w:t xml:space="preserve">etitions, </w:t>
      </w:r>
      <w:r w:rsidR="00BA57F9" w:rsidRPr="004A7B0D">
        <w:t xml:space="preserve">applications to set aside, or to extend time in which to comply with, a </w:t>
      </w:r>
      <w:r w:rsidR="006D2934">
        <w:t>bankruptcy n</w:t>
      </w:r>
      <w:r w:rsidR="00BA57F9" w:rsidRPr="004A7B0D">
        <w:t xml:space="preserve">otice, applications to administer a deceased estate in bankruptcy under the </w:t>
      </w:r>
      <w:hyperlink r:id="rId10" w:history="1">
        <w:r w:rsidR="00BA57F9" w:rsidRPr="00B50EB0">
          <w:rPr>
            <w:rStyle w:val="Hyperlink"/>
            <w:i/>
          </w:rPr>
          <w:t xml:space="preserve">Bankruptcy Act </w:t>
        </w:r>
        <w:r w:rsidR="006A26F1" w:rsidRPr="00B50EB0">
          <w:rPr>
            <w:rStyle w:val="Hyperlink"/>
            <w:i/>
          </w:rPr>
          <w:t>1966</w:t>
        </w:r>
      </w:hyperlink>
      <w:r w:rsidR="006A26F1">
        <w:t xml:space="preserve"> </w:t>
      </w:r>
      <w:r w:rsidR="002817CE">
        <w:t>(</w:t>
      </w:r>
      <w:r w:rsidR="00231FCB">
        <w:t xml:space="preserve">Bankruptcy Act) </w:t>
      </w:r>
      <w:r w:rsidR="00BA57F9" w:rsidRPr="004A7B0D">
        <w:t xml:space="preserve">and applications for substituted service orders. </w:t>
      </w:r>
    </w:p>
    <w:p w:rsidR="002B3553" w:rsidRDefault="002B3553" w:rsidP="002B3553">
      <w:pPr>
        <w:pStyle w:val="HeadingOneTOC"/>
        <w:spacing w:before="0" w:line="276" w:lineRule="auto"/>
        <w:ind w:left="709"/>
        <w:contextualSpacing w:val="0"/>
        <w:jc w:val="both"/>
      </w:pPr>
    </w:p>
    <w:p w:rsidR="00573B93" w:rsidRDefault="00BA57F9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contextualSpacing w:val="0"/>
        <w:jc w:val="both"/>
      </w:pPr>
      <w:r w:rsidRPr="004A7B0D">
        <w:t xml:space="preserve">Bankruptcy matters within the delegated jurisdiction of a </w:t>
      </w:r>
      <w:r w:rsidR="008936CB">
        <w:t>Registrar are set out in S</w:t>
      </w:r>
      <w:r w:rsidRPr="004A7B0D">
        <w:t xml:space="preserve">chedule </w:t>
      </w:r>
      <w:r w:rsidR="001D1F8C">
        <w:t>1</w:t>
      </w:r>
      <w:r w:rsidRPr="004A7B0D">
        <w:t xml:space="preserve"> of the </w:t>
      </w:r>
      <w:hyperlink r:id="rId11" w:history="1">
        <w:r w:rsidR="000661D0" w:rsidRPr="002B3553">
          <w:rPr>
            <w:rStyle w:val="Hyperlink"/>
            <w:i/>
          </w:rPr>
          <w:t xml:space="preserve">Federal </w:t>
        </w:r>
        <w:r w:rsidR="00B50EB0" w:rsidRPr="002B3553">
          <w:rPr>
            <w:rStyle w:val="Hyperlink"/>
            <w:i/>
          </w:rPr>
          <w:t>Court (</w:t>
        </w:r>
        <w:r w:rsidRPr="002B3553">
          <w:rPr>
            <w:rStyle w:val="Hyperlink"/>
            <w:i/>
          </w:rPr>
          <w:t>Bankruptcy) Rules 20</w:t>
        </w:r>
        <w:r w:rsidR="001D1F8C" w:rsidRPr="002B3553">
          <w:rPr>
            <w:rStyle w:val="Hyperlink"/>
            <w:i/>
          </w:rPr>
          <w:t>16</w:t>
        </w:r>
      </w:hyperlink>
      <w:r w:rsidRPr="004A7B0D">
        <w:t xml:space="preserve"> </w:t>
      </w:r>
      <w:r w:rsidR="00231FCB">
        <w:t>(</w:t>
      </w:r>
      <w:r w:rsidRPr="00573B93">
        <w:t>Bankruptcy Rules</w:t>
      </w:r>
      <w:r w:rsidR="00573B93" w:rsidRPr="00573B93">
        <w:t>).</w:t>
      </w:r>
      <w:r w:rsidR="00573B93">
        <w:t xml:space="preserve"> </w:t>
      </w:r>
    </w:p>
    <w:p w:rsidR="000D0A28" w:rsidRDefault="00553E9F" w:rsidP="00050081">
      <w:pPr>
        <w:pStyle w:val="Heading1"/>
      </w:pPr>
      <w:bookmarkStart w:id="7" w:name="_Toc458706011"/>
      <w:bookmarkStart w:id="8" w:name="_Toc465959862"/>
      <w:bookmarkStart w:id="9" w:name="_Toc77251954"/>
      <w:r>
        <w:t>Commencing p</w:t>
      </w:r>
      <w:r w:rsidR="00C62DE4" w:rsidRPr="009652EE">
        <w:t>roceedings</w:t>
      </w:r>
      <w:bookmarkEnd w:id="7"/>
      <w:bookmarkEnd w:id="8"/>
      <w:bookmarkEnd w:id="9"/>
      <w:r w:rsidR="00C62DE4" w:rsidRPr="009652EE">
        <w:t xml:space="preserve"> </w:t>
      </w:r>
    </w:p>
    <w:p w:rsidR="000D0A28" w:rsidRDefault="000D0A28" w:rsidP="000D0A28">
      <w:pPr>
        <w:pStyle w:val="HeadingOneTOC"/>
        <w:spacing w:before="0" w:line="276" w:lineRule="auto"/>
        <w:jc w:val="both"/>
      </w:pPr>
      <w:bookmarkStart w:id="10" w:name="s3_2"/>
      <w:bookmarkEnd w:id="10"/>
    </w:p>
    <w:p w:rsidR="000D0A28" w:rsidRDefault="000D0A28" w:rsidP="000D0A28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0D0A28">
        <w:t>All new bankruptcy applications that are within a Registrar’s delegated jurisdiction should be commenced using the forms approved under the Bankruptcy Rules. Both the Ba</w:t>
      </w:r>
      <w:r w:rsidR="00553E9F">
        <w:t>nkruptcy Rules and the general c</w:t>
      </w:r>
      <w:r w:rsidRPr="000D0A28">
        <w:t>ourt rules apply to the commencement of bankruptcy proceedings. All applications can be filed with the Registry (</w:t>
      </w:r>
      <w:r w:rsidR="009C0D23">
        <w:t>refer to paragraph [4] of this g</w:t>
      </w:r>
      <w:r w:rsidRPr="000D0A28">
        <w:t>uide on how to file a document with the Registry).</w:t>
      </w:r>
    </w:p>
    <w:p w:rsidR="000D0A28" w:rsidRDefault="000D0A28" w:rsidP="000D0A28">
      <w:pPr>
        <w:pStyle w:val="HeadingOneTOC"/>
        <w:spacing w:before="0" w:line="276" w:lineRule="auto"/>
        <w:ind w:left="709"/>
        <w:jc w:val="both"/>
      </w:pPr>
    </w:p>
    <w:p w:rsidR="000D0A28" w:rsidRPr="00691ED8" w:rsidRDefault="000D0A28" w:rsidP="000D0A28">
      <w:pPr>
        <w:pStyle w:val="HeadingOneTOC"/>
        <w:numPr>
          <w:ilvl w:val="0"/>
          <w:numId w:val="11"/>
        </w:numPr>
        <w:spacing w:before="0" w:line="276" w:lineRule="auto"/>
        <w:ind w:left="993" w:hanging="284"/>
        <w:jc w:val="both"/>
      </w:pPr>
      <w:r w:rsidRPr="00691ED8">
        <w:t xml:space="preserve">Applications for a sequestration order are made by presenting a </w:t>
      </w:r>
      <w:r w:rsidR="00190EC5">
        <w:t>creditor’s p</w:t>
      </w:r>
      <w:r>
        <w:t>etition</w:t>
      </w:r>
      <w:r w:rsidRPr="00691ED8">
        <w:t xml:space="preserve"> using </w:t>
      </w:r>
      <w:hyperlink r:id="rId12" w:anchor="B6" w:history="1">
        <w:r w:rsidRPr="00C26D5E">
          <w:rPr>
            <w:rStyle w:val="Hyperlink"/>
          </w:rPr>
          <w:t>Form B6</w:t>
        </w:r>
      </w:hyperlink>
      <w:r w:rsidRPr="00691ED8">
        <w:t xml:space="preserve">, supported by affidavits in compliance with Rule 4.02 of the </w:t>
      </w:r>
      <w:r w:rsidRPr="00130C4D">
        <w:t>Bankruptcy Rules</w:t>
      </w:r>
      <w:r w:rsidRPr="00691ED8">
        <w:t xml:space="preserve">. </w:t>
      </w:r>
      <w:r>
        <w:t xml:space="preserve"> </w:t>
      </w:r>
      <w:r w:rsidRPr="00691ED8">
        <w:t xml:space="preserve"> Information on how to present a </w:t>
      </w:r>
      <w:r w:rsidR="00190EC5">
        <w:t>creditor’s p</w:t>
      </w:r>
      <w:r>
        <w:t xml:space="preserve">etition is available </w:t>
      </w:r>
      <w:r w:rsidRPr="00190EC5">
        <w:t>in</w:t>
      </w:r>
      <w:r>
        <w:rPr>
          <w:rFonts w:ascii="Arial" w:hAnsi="Arial" w:cs="Arial"/>
          <w:lang w:val="en-US"/>
        </w:rPr>
        <w:t xml:space="preserve"> </w:t>
      </w:r>
      <w:hyperlink r:id="rId13" w:history="1">
        <w:r w:rsidR="00190EC5">
          <w:rPr>
            <w:rStyle w:val="Hyperlink"/>
            <w:lang w:val="en-US"/>
          </w:rPr>
          <w:t>Bankruptcy Information Sheet 1</w:t>
        </w:r>
      </w:hyperlink>
      <w:r>
        <w:rPr>
          <w:rFonts w:ascii="Arial" w:hAnsi="Arial" w:cs="Arial"/>
          <w:lang w:val="en-US"/>
        </w:rPr>
        <w:t>.</w:t>
      </w:r>
    </w:p>
    <w:p w:rsidR="000D0A28" w:rsidRPr="00691ED8" w:rsidRDefault="000D0A28" w:rsidP="000D0A28">
      <w:pPr>
        <w:pStyle w:val="HeadingOneTOC"/>
        <w:spacing w:before="0" w:line="276" w:lineRule="auto"/>
        <w:ind w:left="993" w:hanging="284"/>
        <w:jc w:val="both"/>
      </w:pPr>
    </w:p>
    <w:p w:rsidR="000D0A28" w:rsidRPr="00691ED8" w:rsidRDefault="000D0A28" w:rsidP="000D0A28">
      <w:pPr>
        <w:pStyle w:val="HeadingOneTOC"/>
        <w:numPr>
          <w:ilvl w:val="0"/>
          <w:numId w:val="11"/>
        </w:numPr>
        <w:spacing w:before="0" w:line="276" w:lineRule="auto"/>
        <w:ind w:left="993" w:hanging="284"/>
        <w:jc w:val="both"/>
      </w:pPr>
      <w:r w:rsidRPr="00691ED8">
        <w:lastRenderedPageBreak/>
        <w:t xml:space="preserve">Applications to </w:t>
      </w:r>
      <w:r w:rsidR="002817CE">
        <w:t>set aside bankruptcy n</w:t>
      </w:r>
      <w:r w:rsidRPr="00691ED8">
        <w:t>otice and/or to extend time w</w:t>
      </w:r>
      <w:r w:rsidR="002817CE">
        <w:t>ithin which to comply with the bankruptcy n</w:t>
      </w:r>
      <w:r w:rsidRPr="00691ED8">
        <w:t xml:space="preserve">otice are made by filing a </w:t>
      </w:r>
      <w:hyperlink r:id="rId14" w:anchor="formB2" w:history="1">
        <w:r w:rsidRPr="00C26D5E">
          <w:rPr>
            <w:rStyle w:val="Hyperlink"/>
          </w:rPr>
          <w:t>Form B2</w:t>
        </w:r>
      </w:hyperlink>
      <w:r w:rsidRPr="00691ED8">
        <w:t xml:space="preserve">, supported by an affidavit in compliance with </w:t>
      </w:r>
      <w:r w:rsidRPr="00691ED8">
        <w:rPr>
          <w:lang w:val="en"/>
        </w:rPr>
        <w:t>Rule 3.02 and/or Rule 3.03</w:t>
      </w:r>
      <w:r w:rsidRPr="00691ED8">
        <w:t xml:space="preserve"> of the </w:t>
      </w:r>
      <w:r w:rsidRPr="00573B93">
        <w:t>Bankruptcy Rules.</w:t>
      </w:r>
      <w:r w:rsidRPr="00691ED8">
        <w:rPr>
          <w:i/>
        </w:rPr>
        <w:t xml:space="preserve">  </w:t>
      </w:r>
      <w:r w:rsidRPr="00691ED8">
        <w:t xml:space="preserve">Information on how to complete a Form B2 application to set aside a bankruptcy </w:t>
      </w:r>
      <w:r>
        <w:t xml:space="preserve">is available in </w:t>
      </w:r>
      <w:hyperlink r:id="rId15" w:history="1">
        <w:r w:rsidR="00190EC5">
          <w:rPr>
            <w:rStyle w:val="Hyperlink"/>
          </w:rPr>
          <w:t>Bankruptcy Information Sheet 4</w:t>
        </w:r>
      </w:hyperlink>
      <w:r>
        <w:t xml:space="preserve">. </w:t>
      </w:r>
    </w:p>
    <w:p w:rsidR="000D0A28" w:rsidRPr="00691ED8" w:rsidRDefault="000D0A28" w:rsidP="000D0A28">
      <w:pPr>
        <w:pStyle w:val="HeadingOneTOC"/>
        <w:spacing w:before="0" w:line="276" w:lineRule="auto"/>
        <w:ind w:left="993" w:hanging="284"/>
        <w:jc w:val="both"/>
      </w:pPr>
    </w:p>
    <w:p w:rsidR="000D0A28" w:rsidRDefault="000D0A28" w:rsidP="000D0A28">
      <w:pPr>
        <w:pStyle w:val="HeadingOneTOC"/>
        <w:numPr>
          <w:ilvl w:val="0"/>
          <w:numId w:val="11"/>
        </w:numPr>
        <w:spacing w:before="0" w:line="276" w:lineRule="auto"/>
        <w:ind w:left="993" w:hanging="284"/>
        <w:jc w:val="both"/>
      </w:pPr>
      <w:r w:rsidRPr="00691ED8">
        <w:t xml:space="preserve">Formal requirements for documents filed in bankruptcy proceedings in the </w:t>
      </w:r>
      <w:r w:rsidR="007A1A0D">
        <w:t>Court</w:t>
      </w:r>
      <w:r w:rsidRPr="00691ED8">
        <w:t xml:space="preserve"> are set out in Rule 1.07(5) and </w:t>
      </w:r>
      <w:hyperlink r:id="rId16" w:anchor="formB1" w:history="1">
        <w:r w:rsidRPr="00C26D5E">
          <w:rPr>
            <w:rStyle w:val="Hyperlink"/>
          </w:rPr>
          <w:t>Form B1</w:t>
        </w:r>
      </w:hyperlink>
      <w:r w:rsidRPr="00691ED8">
        <w:t xml:space="preserve"> of the </w:t>
      </w:r>
      <w:r w:rsidRPr="00C26D5E">
        <w:t>Bankruptcy Rules</w:t>
      </w:r>
      <w:r w:rsidRPr="00691ED8">
        <w:t xml:space="preserve"> and Rules 2.11 to 2.16 of the </w:t>
      </w:r>
      <w:hyperlink r:id="rId17" w:history="1">
        <w:r w:rsidRPr="00C26D5E">
          <w:rPr>
            <w:rStyle w:val="Hyperlink"/>
            <w:i/>
          </w:rPr>
          <w:t>Federal Court Rules 2011</w:t>
        </w:r>
      </w:hyperlink>
      <w:r w:rsidR="00553E9F">
        <w:t xml:space="preserve"> (the </w:t>
      </w:r>
      <w:r>
        <w:t>Court Rules)</w:t>
      </w:r>
      <w:r w:rsidRPr="00691ED8">
        <w:t xml:space="preserve">. Formal requirements for </w:t>
      </w:r>
      <w:r w:rsidR="00980C11">
        <w:t>a</w:t>
      </w:r>
      <w:r w:rsidRPr="00691ED8">
        <w:t xml:space="preserve">ffidavits filed in the </w:t>
      </w:r>
      <w:r>
        <w:t>Court</w:t>
      </w:r>
      <w:r w:rsidRPr="00691ED8">
        <w:t xml:space="preserve"> are set out</w:t>
      </w:r>
      <w:r>
        <w:t xml:space="preserve"> in Rules 29.01 to 29.03 of the Court Rules</w:t>
      </w:r>
      <w:r w:rsidRPr="00691ED8">
        <w:t xml:space="preserve"> but modified to include the heading in approved form B1 prescribed by rule 1.07(5).</w:t>
      </w:r>
      <w:r>
        <w:t xml:space="preserve"> The forms used in bankruptcy proceedings in the Court are available in </w:t>
      </w:r>
      <w:hyperlink r:id="rId18" w:history="1">
        <w:r w:rsidRPr="00C26D5E">
          <w:rPr>
            <w:rStyle w:val="Hyperlink"/>
          </w:rPr>
          <w:t>Forms</w:t>
        </w:r>
      </w:hyperlink>
      <w:r>
        <w:t>.</w:t>
      </w:r>
      <w:r>
        <w:rPr>
          <w:rStyle w:val="Hyperlink"/>
        </w:rPr>
        <w:t xml:space="preserve"> </w:t>
      </w:r>
    </w:p>
    <w:p w:rsidR="000D0A28" w:rsidRDefault="000D0A28" w:rsidP="000D0A28">
      <w:pPr>
        <w:pStyle w:val="HeadingOneTOC"/>
        <w:spacing w:before="0" w:line="276" w:lineRule="auto"/>
        <w:ind w:left="709"/>
        <w:jc w:val="both"/>
      </w:pPr>
    </w:p>
    <w:p w:rsidR="006E691F" w:rsidRDefault="006E691F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>
        <w:t xml:space="preserve">For the convenience of practitioners, the following general information is </w:t>
      </w:r>
      <w:r w:rsidR="009C0D23">
        <w:t>released with this g</w:t>
      </w:r>
      <w:r w:rsidR="00975C46">
        <w:t>uide</w:t>
      </w:r>
      <w:r w:rsidR="00980C11">
        <w:t xml:space="preserve"> and is available online</w:t>
      </w:r>
      <w:r>
        <w:t xml:space="preserve">: </w:t>
      </w:r>
    </w:p>
    <w:p w:rsidR="00C26D5E" w:rsidRDefault="00336F1F" w:rsidP="00C26D5E">
      <w:pPr>
        <w:pStyle w:val="Dimi05"/>
        <w:numPr>
          <w:ilvl w:val="0"/>
          <w:numId w:val="21"/>
        </w:numPr>
        <w:spacing w:before="0" w:line="276" w:lineRule="auto"/>
        <w:contextualSpacing w:val="0"/>
        <w:jc w:val="both"/>
      </w:pPr>
      <w:hyperlink r:id="rId19" w:history="1">
        <w:r w:rsidR="00C26D5E" w:rsidRPr="000D0A28">
          <w:rPr>
            <w:rStyle w:val="Hyperlink"/>
          </w:rPr>
          <w:t>Bankruptcy Information Sheet 1</w:t>
        </w:r>
      </w:hyperlink>
      <w:r w:rsidR="00C26D5E">
        <w:t xml:space="preserve">: </w:t>
      </w:r>
      <w:r w:rsidR="00C26D5E" w:rsidRPr="000D0A28">
        <w:t>Presenting a Creditor’s Petition</w:t>
      </w:r>
    </w:p>
    <w:p w:rsidR="00C26D5E" w:rsidRPr="00C74C5E" w:rsidRDefault="00336F1F" w:rsidP="00C26D5E">
      <w:pPr>
        <w:pStyle w:val="Dimi05"/>
        <w:numPr>
          <w:ilvl w:val="0"/>
          <w:numId w:val="21"/>
        </w:numPr>
        <w:spacing w:before="0" w:line="276" w:lineRule="auto"/>
        <w:jc w:val="both"/>
      </w:pPr>
      <w:hyperlink r:id="rId20" w:history="1">
        <w:r w:rsidR="00C26D5E" w:rsidRPr="000D0A28">
          <w:rPr>
            <w:rStyle w:val="Hyperlink"/>
          </w:rPr>
          <w:t>Bankruptcy Information Sheet 2</w:t>
        </w:r>
      </w:hyperlink>
      <w:r w:rsidR="00C26D5E">
        <w:t xml:space="preserve">: </w:t>
      </w:r>
      <w:r w:rsidR="00C26D5E" w:rsidRPr="000D0A28">
        <w:t>Creditor’s P</w:t>
      </w:r>
      <w:r w:rsidR="002817CE">
        <w:t>etition C</w:t>
      </w:r>
      <w:r w:rsidR="00C26D5E" w:rsidRPr="000D0A28">
        <w:t>hecklist</w:t>
      </w:r>
    </w:p>
    <w:p w:rsidR="00C26D5E" w:rsidRDefault="00336F1F" w:rsidP="00C26D5E">
      <w:pPr>
        <w:pStyle w:val="Dimi05"/>
        <w:numPr>
          <w:ilvl w:val="0"/>
          <w:numId w:val="21"/>
        </w:numPr>
        <w:spacing w:before="0" w:line="276" w:lineRule="auto"/>
        <w:jc w:val="both"/>
      </w:pPr>
      <w:hyperlink r:id="rId21" w:history="1">
        <w:r w:rsidR="00C26D5E" w:rsidRPr="000D0A28">
          <w:rPr>
            <w:rStyle w:val="Hyperlink"/>
          </w:rPr>
          <w:t>Bankruptcy Information Sheet 3</w:t>
        </w:r>
      </w:hyperlink>
      <w:r w:rsidR="00C26D5E">
        <w:t xml:space="preserve">: </w:t>
      </w:r>
      <w:r w:rsidR="00C26D5E" w:rsidRPr="000D0A28">
        <w:t>Opposing a Creditor’s Petition</w:t>
      </w:r>
    </w:p>
    <w:p w:rsidR="00C26D5E" w:rsidRDefault="00336F1F" w:rsidP="00C26D5E">
      <w:pPr>
        <w:pStyle w:val="Dimi05"/>
        <w:numPr>
          <w:ilvl w:val="0"/>
          <w:numId w:val="21"/>
        </w:numPr>
        <w:spacing w:before="0" w:line="276" w:lineRule="auto"/>
        <w:jc w:val="both"/>
      </w:pPr>
      <w:hyperlink r:id="rId22" w:history="1">
        <w:r w:rsidR="00C26D5E" w:rsidRPr="000D0A28">
          <w:rPr>
            <w:rStyle w:val="Hyperlink"/>
          </w:rPr>
          <w:t>Bankruptcy Information Sheet 4</w:t>
        </w:r>
      </w:hyperlink>
      <w:r w:rsidR="00C26D5E">
        <w:t xml:space="preserve">: </w:t>
      </w:r>
      <w:r w:rsidR="00C26D5E" w:rsidRPr="000D0A28">
        <w:t>Setting aside a Bankruptcy Notice</w:t>
      </w:r>
      <w:r w:rsidR="00C26D5E">
        <w:t xml:space="preserve"> </w:t>
      </w:r>
    </w:p>
    <w:p w:rsidR="00C26D5E" w:rsidRDefault="00336F1F" w:rsidP="00C26D5E">
      <w:pPr>
        <w:pStyle w:val="Dimi05"/>
        <w:numPr>
          <w:ilvl w:val="0"/>
          <w:numId w:val="21"/>
        </w:numPr>
        <w:spacing w:before="0" w:line="276" w:lineRule="auto"/>
        <w:contextualSpacing w:val="0"/>
        <w:jc w:val="both"/>
      </w:pPr>
      <w:hyperlink r:id="rId23" w:history="1">
        <w:r w:rsidR="00C26D5E" w:rsidRPr="000D0A28">
          <w:rPr>
            <w:rStyle w:val="Hyperlink"/>
          </w:rPr>
          <w:t>Bankruptcy Information Sheet 5</w:t>
        </w:r>
      </w:hyperlink>
      <w:r w:rsidR="00C26D5E">
        <w:t xml:space="preserve">: </w:t>
      </w:r>
      <w:r w:rsidR="00C26D5E" w:rsidRPr="000D0A28">
        <w:t>Substituted Service Applications</w:t>
      </w:r>
    </w:p>
    <w:p w:rsidR="00C26D5E" w:rsidRPr="00C74C5E" w:rsidRDefault="00336F1F" w:rsidP="00C26D5E">
      <w:pPr>
        <w:pStyle w:val="Dimi05"/>
        <w:numPr>
          <w:ilvl w:val="0"/>
          <w:numId w:val="21"/>
        </w:numPr>
        <w:spacing w:before="0" w:line="276" w:lineRule="auto"/>
        <w:contextualSpacing w:val="0"/>
        <w:jc w:val="both"/>
      </w:pPr>
      <w:hyperlink r:id="rId24" w:history="1">
        <w:r w:rsidR="000D0A28" w:rsidRPr="000D0A28">
          <w:rPr>
            <w:rStyle w:val="Hyperlink"/>
          </w:rPr>
          <w:t>Bankruptcy Information Sheet 6</w:t>
        </w:r>
      </w:hyperlink>
      <w:r w:rsidR="000D0A28">
        <w:t>: Consequences of a Sequestration Order</w:t>
      </w:r>
    </w:p>
    <w:p w:rsidR="002E2082" w:rsidRDefault="002E2082" w:rsidP="00C26D5E">
      <w:pPr>
        <w:pStyle w:val="HeadingOneTOC"/>
        <w:numPr>
          <w:ilvl w:val="0"/>
          <w:numId w:val="21"/>
        </w:numPr>
        <w:spacing w:before="0" w:line="276" w:lineRule="auto"/>
      </w:pPr>
      <w:r>
        <w:t xml:space="preserve">General information on what happens when a debtor is made a bankrupt is available at </w:t>
      </w:r>
      <w:r w:rsidR="004312B8" w:rsidRPr="004312B8">
        <w:t xml:space="preserve">the </w:t>
      </w:r>
      <w:hyperlink r:id="rId25" w:history="1">
        <w:r w:rsidR="004312B8" w:rsidRPr="00C26D5E">
          <w:rPr>
            <w:rStyle w:val="Hyperlink"/>
          </w:rPr>
          <w:t>Australian Financial Security Authority</w:t>
        </w:r>
      </w:hyperlink>
      <w:r w:rsidR="004312B8">
        <w:t xml:space="preserve"> (</w:t>
      </w:r>
      <w:r>
        <w:t>AFSA</w:t>
      </w:r>
      <w:r w:rsidR="004312B8">
        <w:t>)</w:t>
      </w:r>
      <w:r w:rsidR="00C26D5E">
        <w:t xml:space="preserve"> website.</w:t>
      </w:r>
    </w:p>
    <w:p w:rsidR="00D3001C" w:rsidRDefault="00D3001C" w:rsidP="00DE6CA4">
      <w:pPr>
        <w:pStyle w:val="HeadingOneTOC"/>
        <w:spacing w:before="0" w:line="276" w:lineRule="auto"/>
        <w:jc w:val="both"/>
      </w:pPr>
    </w:p>
    <w:p w:rsidR="00D3001C" w:rsidRDefault="00254507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>
        <w:rPr>
          <w:lang w:val="en-US"/>
        </w:rPr>
        <w:t>The</w:t>
      </w:r>
      <w:r w:rsidR="002015EC">
        <w:rPr>
          <w:lang w:val="en-US"/>
        </w:rPr>
        <w:t xml:space="preserve"> </w:t>
      </w:r>
      <w:r w:rsidR="00C26D5E">
        <w:rPr>
          <w:lang w:val="en-US"/>
        </w:rPr>
        <w:t>information s</w:t>
      </w:r>
      <w:r w:rsidR="002015EC">
        <w:rPr>
          <w:lang w:val="en-US"/>
        </w:rPr>
        <w:t xml:space="preserve">heets and </w:t>
      </w:r>
      <w:r w:rsidR="009852F9">
        <w:rPr>
          <w:lang w:val="en-US"/>
        </w:rPr>
        <w:t>checklist are</w:t>
      </w:r>
      <w:r w:rsidR="002015EC">
        <w:rPr>
          <w:lang w:val="en-US"/>
        </w:rPr>
        <w:t xml:space="preserve"> intended to provide practical assistance for litigants and </w:t>
      </w:r>
      <w:r w:rsidR="00D3001C">
        <w:rPr>
          <w:lang w:val="en-US"/>
        </w:rPr>
        <w:t>have been prepared as a guide only</w:t>
      </w:r>
      <w:r w:rsidR="009852F9">
        <w:rPr>
          <w:lang w:val="en-US"/>
        </w:rPr>
        <w:t xml:space="preserve">.  </w:t>
      </w:r>
      <w:r w:rsidR="002015EC">
        <w:rPr>
          <w:lang w:val="en-US"/>
        </w:rPr>
        <w:t xml:space="preserve">They </w:t>
      </w:r>
      <w:r w:rsidR="00D3001C">
        <w:rPr>
          <w:lang w:val="en-US"/>
        </w:rPr>
        <w:t xml:space="preserve">do not </w:t>
      </w:r>
      <w:r w:rsidR="00D3001C" w:rsidRPr="00DD175F">
        <w:t xml:space="preserve">summarise the </w:t>
      </w:r>
      <w:r w:rsidR="00D3001C">
        <w:t>legislative requirements or the applicable bankruptcy rules and should not</w:t>
      </w:r>
      <w:r w:rsidR="00D3001C" w:rsidRPr="00DD175F">
        <w:t xml:space="preserve"> be r</w:t>
      </w:r>
      <w:r w:rsidR="00D3001C">
        <w:t xml:space="preserve">egarded as a substitute for them.   </w:t>
      </w:r>
    </w:p>
    <w:p w:rsidR="00050081" w:rsidRDefault="004A4EC0" w:rsidP="00050081">
      <w:pPr>
        <w:pStyle w:val="Heading1"/>
      </w:pPr>
      <w:bookmarkStart w:id="11" w:name="_Toc458706012"/>
      <w:bookmarkStart w:id="12" w:name="_Ref465956349"/>
      <w:bookmarkStart w:id="13" w:name="_Ref465956356"/>
      <w:bookmarkStart w:id="14" w:name="_Toc465959863"/>
      <w:bookmarkStart w:id="15" w:name="_Toc77251955"/>
      <w:r w:rsidRPr="004A7B0D">
        <w:t xml:space="preserve">Filing </w:t>
      </w:r>
      <w:r w:rsidR="00C26D5E">
        <w:t>d</w:t>
      </w:r>
      <w:r w:rsidRPr="004A7B0D">
        <w:t xml:space="preserve">ocuments in </w:t>
      </w:r>
      <w:r w:rsidR="008F7466">
        <w:t xml:space="preserve">Judicial </w:t>
      </w:r>
      <w:r w:rsidR="00C26D5E">
        <w:t xml:space="preserve">Registrar </w:t>
      </w:r>
      <w:r w:rsidR="008F7466">
        <w:t>bankruptcy m</w:t>
      </w:r>
      <w:r w:rsidR="00B5586A" w:rsidRPr="004A7B0D">
        <w:t>atters</w:t>
      </w:r>
      <w:bookmarkEnd w:id="11"/>
      <w:bookmarkEnd w:id="12"/>
      <w:bookmarkEnd w:id="13"/>
      <w:bookmarkEnd w:id="14"/>
      <w:bookmarkEnd w:id="15"/>
      <w:r w:rsidR="00B5586A" w:rsidRPr="004A7B0D">
        <w:t xml:space="preserve"> </w:t>
      </w:r>
    </w:p>
    <w:p w:rsidR="00050081" w:rsidRPr="00050081" w:rsidRDefault="00050081" w:rsidP="00050081"/>
    <w:p w:rsidR="004A4EC0" w:rsidRPr="002E2C53" w:rsidRDefault="004A4EC0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2E2C53">
        <w:t xml:space="preserve">Documents commencing or </w:t>
      </w:r>
      <w:r w:rsidR="00CC39E1">
        <w:t xml:space="preserve">relevant to an existing </w:t>
      </w:r>
      <w:r w:rsidR="00630BF1" w:rsidRPr="002E2C53">
        <w:t>b</w:t>
      </w:r>
      <w:r w:rsidRPr="002E2C53">
        <w:t xml:space="preserve">ankruptcy </w:t>
      </w:r>
      <w:r w:rsidR="008F7466">
        <w:t xml:space="preserve">Judicial </w:t>
      </w:r>
      <w:r w:rsidRPr="002E2C53">
        <w:t xml:space="preserve">Registrar matter can be lodged </w:t>
      </w:r>
      <w:r w:rsidR="00CC39E1">
        <w:t xml:space="preserve">for filing </w:t>
      </w:r>
      <w:r w:rsidRPr="002E2C53">
        <w:t>electronically</w:t>
      </w:r>
      <w:r w:rsidR="00CC39E1">
        <w:t xml:space="preserve"> online</w:t>
      </w:r>
      <w:r w:rsidRPr="002E2C53">
        <w:t xml:space="preserve"> by </w:t>
      </w:r>
      <w:proofErr w:type="spellStart"/>
      <w:r w:rsidRPr="002E2C53">
        <w:t>eLodging</w:t>
      </w:r>
      <w:proofErr w:type="spellEnd"/>
      <w:r w:rsidRPr="002E2C53">
        <w:t xml:space="preserve"> </w:t>
      </w:r>
      <w:r w:rsidR="002E2C53" w:rsidRPr="002E2C53">
        <w:t xml:space="preserve">the </w:t>
      </w:r>
      <w:r w:rsidRPr="002E2C53">
        <w:t xml:space="preserve">documents with the </w:t>
      </w:r>
      <w:r w:rsidR="002E2C53" w:rsidRPr="002E2C53">
        <w:t>R</w:t>
      </w:r>
      <w:r w:rsidRPr="002E2C53">
        <w:t xml:space="preserve">egistry using the </w:t>
      </w:r>
      <w:hyperlink r:id="rId26" w:history="1">
        <w:proofErr w:type="spellStart"/>
        <w:r w:rsidRPr="00C26D5E">
          <w:rPr>
            <w:rStyle w:val="Hyperlink"/>
          </w:rPr>
          <w:t>eLodgment</w:t>
        </w:r>
        <w:proofErr w:type="spellEnd"/>
      </w:hyperlink>
      <w:r w:rsidRPr="002E2C53">
        <w:t xml:space="preserve"> </w:t>
      </w:r>
      <w:r w:rsidR="00C26D5E">
        <w:t>facility</w:t>
      </w:r>
      <w:r w:rsidRPr="002E2C53">
        <w:t xml:space="preserve"> (see </w:t>
      </w:r>
      <w:r w:rsidR="006F2F37" w:rsidRPr="000E146A">
        <w:t xml:space="preserve">paragraph </w:t>
      </w:r>
      <w:r w:rsidR="00C10C8F" w:rsidRPr="000E146A">
        <w:t>[</w:t>
      </w:r>
      <w:r w:rsidR="00C26D5E">
        <w:fldChar w:fldCharType="begin"/>
      </w:r>
      <w:r w:rsidR="00C26D5E">
        <w:instrText xml:space="preserve"> REF _Ref465956785 \r \h </w:instrText>
      </w:r>
      <w:r w:rsidR="00C26D5E">
        <w:fldChar w:fldCharType="separate"/>
      </w:r>
      <w:r w:rsidR="00C26D5E">
        <w:t>24</w:t>
      </w:r>
      <w:r w:rsidR="00C26D5E">
        <w:fldChar w:fldCharType="end"/>
      </w:r>
      <w:r w:rsidR="002E2C53" w:rsidRPr="000E146A">
        <w:t>]</w:t>
      </w:r>
      <w:r w:rsidR="000E146A" w:rsidRPr="000E146A">
        <w:t xml:space="preserve"> </w:t>
      </w:r>
      <w:r w:rsidR="006F2F37" w:rsidRPr="000E146A">
        <w:t>of this</w:t>
      </w:r>
      <w:r w:rsidR="006F2F37">
        <w:t xml:space="preserve"> </w:t>
      </w:r>
      <w:r w:rsidR="009C0D23">
        <w:t>guide</w:t>
      </w:r>
      <w:r w:rsidR="006F2F37">
        <w:t xml:space="preserve"> </w:t>
      </w:r>
      <w:r w:rsidRPr="002E2C53">
        <w:t xml:space="preserve">for more information on </w:t>
      </w:r>
      <w:proofErr w:type="spellStart"/>
      <w:r w:rsidRPr="002E2C53">
        <w:t>eLodgment</w:t>
      </w:r>
      <w:proofErr w:type="spellEnd"/>
      <w:r w:rsidRPr="002E2C53">
        <w:t xml:space="preserve">). Parties may </w:t>
      </w:r>
      <w:r w:rsidR="00C62DE4" w:rsidRPr="002E2C53">
        <w:t xml:space="preserve">also </w:t>
      </w:r>
      <w:proofErr w:type="spellStart"/>
      <w:r w:rsidRPr="002E2C53">
        <w:t>eLodge</w:t>
      </w:r>
      <w:proofErr w:type="spellEnd"/>
      <w:r w:rsidRPr="002E2C53">
        <w:t xml:space="preserve"> in </w:t>
      </w:r>
      <w:r w:rsidR="008F7466">
        <w:t xml:space="preserve">Judicial </w:t>
      </w:r>
      <w:r w:rsidRPr="002E2C53">
        <w:t xml:space="preserve">Registrar matters documents regarding a proceeding including draft orders, consent orders, and case management correspondence.  </w:t>
      </w:r>
    </w:p>
    <w:p w:rsidR="004A7B0D" w:rsidRPr="004A7B0D" w:rsidRDefault="004A7B0D" w:rsidP="00DE6CA4">
      <w:pPr>
        <w:pStyle w:val="HeadingOneTOC"/>
        <w:spacing w:before="0" w:line="276" w:lineRule="auto"/>
        <w:ind w:left="709" w:hanging="709"/>
        <w:jc w:val="both"/>
      </w:pPr>
    </w:p>
    <w:p w:rsidR="004A4EC0" w:rsidRDefault="004A4EC0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proofErr w:type="spellStart"/>
      <w:proofErr w:type="gramStart"/>
      <w:r w:rsidRPr="004A7B0D">
        <w:t>eLodgment</w:t>
      </w:r>
      <w:proofErr w:type="spellEnd"/>
      <w:proofErr w:type="gramEnd"/>
      <w:r w:rsidRPr="004A7B0D">
        <w:t xml:space="preserve"> is the preferred method of filing documents in all </w:t>
      </w:r>
      <w:r w:rsidR="008F7466">
        <w:t xml:space="preserve">Judicial </w:t>
      </w:r>
      <w:r w:rsidRPr="004A7B0D">
        <w:t xml:space="preserve">Registrar matters rather than filing documents in paper format in person </w:t>
      </w:r>
      <w:hyperlink r:id="rId27" w:history="1">
        <w:r w:rsidRPr="00C26D5E">
          <w:rPr>
            <w:rStyle w:val="Hyperlink"/>
          </w:rPr>
          <w:t xml:space="preserve">at the </w:t>
        </w:r>
        <w:r w:rsidR="00630BF1" w:rsidRPr="00C26D5E">
          <w:rPr>
            <w:rStyle w:val="Hyperlink"/>
          </w:rPr>
          <w:t>R</w:t>
        </w:r>
        <w:r w:rsidRPr="00C26D5E">
          <w:rPr>
            <w:rStyle w:val="Hyperlink"/>
          </w:rPr>
          <w:t>egistry or by fax filing</w:t>
        </w:r>
      </w:hyperlink>
      <w:r w:rsidRPr="004A7B0D">
        <w:t xml:space="preserve">.  </w:t>
      </w:r>
      <w:r w:rsidR="004718F5">
        <w:t>This is because t</w:t>
      </w:r>
      <w:r w:rsidR="00D25891">
        <w:t>he c</w:t>
      </w:r>
      <w:r w:rsidRPr="004A7B0D">
        <w:t xml:space="preserve">ourt file for all </w:t>
      </w:r>
      <w:r w:rsidR="008F7466">
        <w:t xml:space="preserve">Judicial </w:t>
      </w:r>
      <w:r w:rsidRPr="004A7B0D">
        <w:t>Registrar bankruptcy m</w:t>
      </w:r>
      <w:r w:rsidR="00C26D5E">
        <w:t>atters will be electronic (the ‘Electronic Court File’ or ‘ECF’</w:t>
      </w:r>
      <w:r w:rsidRPr="004A7B0D">
        <w:t xml:space="preserve">).  The ECF has replaced paper based files.  All documents accepted for filing in </w:t>
      </w:r>
      <w:r w:rsidR="008F7466">
        <w:t xml:space="preserve">Judicial </w:t>
      </w:r>
      <w:r w:rsidRPr="004A7B0D">
        <w:t xml:space="preserve">Registrar bankruptcy matters will be received (and managed) electronically through the Court’s </w:t>
      </w:r>
      <w:proofErr w:type="spellStart"/>
      <w:r w:rsidRPr="004A7B0D">
        <w:t>eLodgment</w:t>
      </w:r>
      <w:proofErr w:type="spellEnd"/>
      <w:r w:rsidRPr="004A7B0D">
        <w:t xml:space="preserve"> system. </w:t>
      </w:r>
    </w:p>
    <w:p w:rsidR="004A7B0D" w:rsidRPr="004A7B0D" w:rsidRDefault="004A7B0D" w:rsidP="00DE6CA4">
      <w:pPr>
        <w:pStyle w:val="HeadingOneTOC"/>
        <w:spacing w:before="0" w:line="276" w:lineRule="auto"/>
        <w:ind w:left="709" w:hanging="709"/>
        <w:jc w:val="both"/>
      </w:pPr>
    </w:p>
    <w:p w:rsidR="009337F8" w:rsidRPr="004A7B0D" w:rsidRDefault="004A4EC0" w:rsidP="00050081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4A7B0D">
        <w:lastRenderedPageBreak/>
        <w:t>Where paper documents are</w:t>
      </w:r>
      <w:r w:rsidR="00DD6E7D" w:rsidRPr="004A7B0D">
        <w:t xml:space="preserve"> filed in hard copy with the </w:t>
      </w:r>
      <w:r w:rsidR="00630BF1">
        <w:t>R</w:t>
      </w:r>
      <w:r w:rsidR="00DD6E7D" w:rsidRPr="004A7B0D">
        <w:t xml:space="preserve">egistry in person, by post, </w:t>
      </w:r>
      <w:r w:rsidR="00630BF1">
        <w:t xml:space="preserve">or </w:t>
      </w:r>
      <w:r w:rsidR="00DD6E7D" w:rsidRPr="004A7B0D">
        <w:t>by facsimile</w:t>
      </w:r>
      <w:r w:rsidR="00630BF1">
        <w:t>,</w:t>
      </w:r>
      <w:r w:rsidR="00DD6E7D" w:rsidRPr="004A7B0D">
        <w:t xml:space="preserve"> </w:t>
      </w:r>
      <w:r w:rsidRPr="004A7B0D">
        <w:t xml:space="preserve">the documents will need to be scanned and </w:t>
      </w:r>
      <w:proofErr w:type="spellStart"/>
      <w:r w:rsidRPr="004A7B0D">
        <w:t>eLodged</w:t>
      </w:r>
      <w:proofErr w:type="spellEnd"/>
      <w:r w:rsidRPr="004A7B0D">
        <w:t xml:space="preserve"> by </w:t>
      </w:r>
      <w:r w:rsidR="00630BF1">
        <w:t>R</w:t>
      </w:r>
      <w:r w:rsidRPr="004A7B0D">
        <w:t xml:space="preserve">egistry staff to form part of the </w:t>
      </w:r>
      <w:r w:rsidR="00691ED8">
        <w:t>c</w:t>
      </w:r>
      <w:r w:rsidRPr="004A7B0D">
        <w:t xml:space="preserve">ourt file.  </w:t>
      </w:r>
      <w:r w:rsidR="00DD6E7D" w:rsidRPr="004A7B0D">
        <w:t xml:space="preserve">For those documents filed in person or in </w:t>
      </w:r>
      <w:r w:rsidR="00691ED8">
        <w:t>c</w:t>
      </w:r>
      <w:r w:rsidR="00DD6E7D" w:rsidRPr="004A7B0D">
        <w:t xml:space="preserve">ourt, parties are encouraged to </w:t>
      </w:r>
      <w:proofErr w:type="spellStart"/>
      <w:r w:rsidR="00DD6E7D" w:rsidRPr="004A7B0D">
        <w:t>eLodge</w:t>
      </w:r>
      <w:proofErr w:type="spellEnd"/>
      <w:r w:rsidR="00DD6E7D" w:rsidRPr="004A7B0D">
        <w:t xml:space="preserve"> these documents themselves at the </w:t>
      </w:r>
      <w:hyperlink r:id="rId28" w:history="1">
        <w:proofErr w:type="spellStart"/>
        <w:r w:rsidR="00DD6E7D" w:rsidRPr="00C26D5E">
          <w:rPr>
            <w:rStyle w:val="Hyperlink"/>
          </w:rPr>
          <w:t>eLodgment</w:t>
        </w:r>
        <w:proofErr w:type="spellEnd"/>
      </w:hyperlink>
      <w:r w:rsidR="00DD6E7D" w:rsidRPr="004A7B0D">
        <w:t xml:space="preserve"> kiosk at the </w:t>
      </w:r>
      <w:r w:rsidR="00630BF1">
        <w:t>R</w:t>
      </w:r>
      <w:r w:rsidR="00DD6E7D" w:rsidRPr="004A7B0D">
        <w:t>egistry</w:t>
      </w:r>
      <w:r w:rsidR="00572199">
        <w:t xml:space="preserve">. </w:t>
      </w:r>
    </w:p>
    <w:p w:rsidR="00130292" w:rsidRDefault="00C26D5E" w:rsidP="00050081">
      <w:pPr>
        <w:pStyle w:val="Heading1"/>
      </w:pPr>
      <w:bookmarkStart w:id="16" w:name="_Toc458706013"/>
      <w:bookmarkStart w:id="17" w:name="_Toc465959864"/>
      <w:bookmarkStart w:id="18" w:name="_Toc77251956"/>
      <w:r>
        <w:t>First court d</w:t>
      </w:r>
      <w:r w:rsidR="00B5586A" w:rsidRPr="004A7B0D">
        <w:t xml:space="preserve">ate and </w:t>
      </w:r>
      <w:r>
        <w:t>time s</w:t>
      </w:r>
      <w:r w:rsidR="002B3896" w:rsidRPr="004A7B0D">
        <w:t>tandards</w:t>
      </w:r>
      <w:bookmarkEnd w:id="16"/>
      <w:bookmarkEnd w:id="17"/>
      <w:bookmarkEnd w:id="18"/>
    </w:p>
    <w:p w:rsidR="00050081" w:rsidRPr="00050081" w:rsidRDefault="00050081" w:rsidP="00050081"/>
    <w:p w:rsidR="00B5586A" w:rsidRPr="004A7B0D" w:rsidRDefault="00B5586A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4A7B0D">
        <w:t xml:space="preserve">Parties can generally expect a first hearing </w:t>
      </w:r>
      <w:r w:rsidR="00DA75C2" w:rsidRPr="004A7B0D">
        <w:t xml:space="preserve">date to be listed within </w:t>
      </w:r>
      <w:r w:rsidR="001D1F8C">
        <w:t>2</w:t>
      </w:r>
      <w:r w:rsidR="008C7246" w:rsidRPr="004A7B0D">
        <w:t>-</w:t>
      </w:r>
      <w:r w:rsidRPr="004A7B0D">
        <w:t>6 weeks of filing an application</w:t>
      </w:r>
      <w:r w:rsidR="001D1F8C">
        <w:t xml:space="preserve">, depending on the nature of the application. </w:t>
      </w:r>
    </w:p>
    <w:p w:rsidR="002E1CFD" w:rsidRPr="004A7B0D" w:rsidRDefault="002E1CFD" w:rsidP="00DE6CA4">
      <w:pPr>
        <w:pStyle w:val="HeadingOneTOC"/>
        <w:spacing w:before="0" w:line="276" w:lineRule="auto"/>
        <w:ind w:left="709" w:hanging="709"/>
        <w:jc w:val="both"/>
      </w:pPr>
    </w:p>
    <w:p w:rsidR="00B5586A" w:rsidRPr="004A7B0D" w:rsidRDefault="00B5586A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4A7B0D">
        <w:t xml:space="preserve">Parties may request a hearing on a particular date on which a </w:t>
      </w:r>
      <w:r w:rsidR="0044140B">
        <w:t>l</w:t>
      </w:r>
      <w:r w:rsidRPr="004A7B0D">
        <w:t xml:space="preserve">ist is conducted.  </w:t>
      </w:r>
      <w:r w:rsidR="00ED4B35" w:rsidRPr="004A7B0D">
        <w:t xml:space="preserve">This request can be made via </w:t>
      </w:r>
      <w:hyperlink r:id="rId29" w:history="1">
        <w:proofErr w:type="spellStart"/>
        <w:r w:rsidR="00ED4B35" w:rsidRPr="00C26D5E">
          <w:rPr>
            <w:rStyle w:val="Hyperlink"/>
          </w:rPr>
          <w:t>eLodgment</w:t>
        </w:r>
        <w:proofErr w:type="spellEnd"/>
      </w:hyperlink>
      <w:r w:rsidR="00ED4B35" w:rsidRPr="004A7B0D">
        <w:t xml:space="preserve">. </w:t>
      </w:r>
      <w:r w:rsidRPr="004A7B0D">
        <w:t xml:space="preserve">The </w:t>
      </w:r>
      <w:r w:rsidR="00630BF1">
        <w:t>R</w:t>
      </w:r>
      <w:r w:rsidRPr="004A7B0D">
        <w:t xml:space="preserve">egistry will endeavour to accommodate the request depending on the number of matters already listed on the date requested. </w:t>
      </w:r>
      <w:r w:rsidR="004A4EC0" w:rsidRPr="004A7B0D">
        <w:t xml:space="preserve">Arrangements for hearing bankruptcy matters by </w:t>
      </w:r>
      <w:r w:rsidR="008F7466">
        <w:t xml:space="preserve">Judicial </w:t>
      </w:r>
      <w:r w:rsidR="00630BF1">
        <w:t>R</w:t>
      </w:r>
      <w:r w:rsidR="004A4EC0" w:rsidRPr="004A7B0D">
        <w:t xml:space="preserve">egistrars and relevant listing information for </w:t>
      </w:r>
      <w:r w:rsidR="008F7466">
        <w:t xml:space="preserve">Judicial </w:t>
      </w:r>
      <w:r w:rsidR="00630BF1">
        <w:t>R</w:t>
      </w:r>
      <w:r w:rsidR="004A4EC0" w:rsidRPr="004A7B0D">
        <w:t xml:space="preserve">egistrar </w:t>
      </w:r>
      <w:r w:rsidR="00630BF1">
        <w:t>C</w:t>
      </w:r>
      <w:r w:rsidR="004A4EC0" w:rsidRPr="004A7B0D">
        <w:t>ourt</w:t>
      </w:r>
      <w:r w:rsidR="002E2C53">
        <w:t xml:space="preserve"> </w:t>
      </w:r>
      <w:r w:rsidR="00630BF1">
        <w:t>Lists</w:t>
      </w:r>
      <w:r w:rsidR="004A4EC0" w:rsidRPr="004A7B0D">
        <w:t xml:space="preserve"> in each </w:t>
      </w:r>
      <w:r w:rsidR="00190EC5">
        <w:t>R</w:t>
      </w:r>
      <w:r w:rsidR="004A4EC0" w:rsidRPr="004A7B0D">
        <w:t xml:space="preserve">egistry is available </w:t>
      </w:r>
      <w:r w:rsidR="006F2F37">
        <w:t>(s</w:t>
      </w:r>
      <w:r w:rsidR="004A4EC0" w:rsidRPr="00C10C8F">
        <w:t xml:space="preserve">ee </w:t>
      </w:r>
      <w:r w:rsidR="004A4EC0" w:rsidRPr="000E146A">
        <w:t>paragraph [</w:t>
      </w:r>
      <w:r w:rsidR="00C26D5E">
        <w:fldChar w:fldCharType="begin"/>
      </w:r>
      <w:r w:rsidR="00C26D5E">
        <w:instrText xml:space="preserve"> REF _Ref465956922 \r \h </w:instrText>
      </w:r>
      <w:r w:rsidR="00C26D5E">
        <w:fldChar w:fldCharType="separate"/>
      </w:r>
      <w:r w:rsidR="00C26D5E">
        <w:t>21</w:t>
      </w:r>
      <w:r w:rsidR="00C26D5E">
        <w:fldChar w:fldCharType="end"/>
      </w:r>
      <w:r w:rsidR="004A4EC0" w:rsidRPr="000E146A">
        <w:t>] of</w:t>
      </w:r>
      <w:r w:rsidR="004A4EC0" w:rsidRPr="00C10C8F">
        <w:t xml:space="preserve"> this </w:t>
      </w:r>
      <w:r w:rsidR="009C0D23">
        <w:t>guide</w:t>
      </w:r>
      <w:r w:rsidR="004A4EC0" w:rsidRPr="00C10C8F">
        <w:t>).</w:t>
      </w:r>
      <w:r w:rsidR="004A4EC0" w:rsidRPr="004A7B0D">
        <w:t xml:space="preserve"> </w:t>
      </w:r>
    </w:p>
    <w:p w:rsidR="002E1CFD" w:rsidRPr="004A7B0D" w:rsidRDefault="002E1CFD" w:rsidP="004A7B0D">
      <w:pPr>
        <w:pStyle w:val="HeadingOneTOC"/>
        <w:spacing w:before="0" w:line="276" w:lineRule="auto"/>
        <w:ind w:left="567" w:hanging="567"/>
        <w:jc w:val="both"/>
      </w:pPr>
    </w:p>
    <w:p w:rsidR="004D590A" w:rsidRPr="004A7B0D" w:rsidRDefault="00B5586A" w:rsidP="00B57F5B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4A7B0D">
        <w:t xml:space="preserve">The Court aims to have all </w:t>
      </w:r>
      <w:r w:rsidR="008F7466">
        <w:t xml:space="preserve">Judicial </w:t>
      </w:r>
      <w:r w:rsidRPr="004A7B0D">
        <w:t>Registrar matters that are appropriately dealt with to conclusion by a</w:t>
      </w:r>
      <w:r w:rsidR="008F7466">
        <w:t xml:space="preserve"> Judicial </w:t>
      </w:r>
      <w:r w:rsidRPr="004A7B0D">
        <w:t>R</w:t>
      </w:r>
      <w:r w:rsidR="00872AF6" w:rsidRPr="004A7B0D">
        <w:t xml:space="preserve">egistrar completed within 3 </w:t>
      </w:r>
      <w:r w:rsidRPr="004A7B0D">
        <w:t xml:space="preserve">months of </w:t>
      </w:r>
      <w:r w:rsidR="00B66479">
        <w:t xml:space="preserve">the first return date. </w:t>
      </w:r>
      <w:r w:rsidRPr="004A7B0D">
        <w:t xml:space="preserve"> </w:t>
      </w:r>
      <w:r w:rsidR="004A4EC0" w:rsidRPr="004A7B0D">
        <w:t xml:space="preserve">Practitioners are expected to assist the Court </w:t>
      </w:r>
      <w:r w:rsidR="0081339E">
        <w:t xml:space="preserve">to </w:t>
      </w:r>
      <w:r w:rsidR="004A4EC0" w:rsidRPr="004A7B0D">
        <w:t xml:space="preserve">meet this standard. </w:t>
      </w:r>
    </w:p>
    <w:p w:rsidR="00130292" w:rsidRDefault="001E276B" w:rsidP="00050081">
      <w:pPr>
        <w:pStyle w:val="Heading1"/>
      </w:pPr>
      <w:bookmarkStart w:id="19" w:name="_Toc458706014"/>
      <w:bookmarkStart w:id="20" w:name="_Toc465959865"/>
      <w:bookmarkStart w:id="21" w:name="_Toc77251957"/>
      <w:r>
        <w:t xml:space="preserve">Documents </w:t>
      </w:r>
      <w:r w:rsidR="004A4EC0" w:rsidRPr="004A7B0D">
        <w:t xml:space="preserve">to be </w:t>
      </w:r>
      <w:r w:rsidR="00592682">
        <w:t>f</w:t>
      </w:r>
      <w:r w:rsidR="0081339E">
        <w:t xml:space="preserve">iled </w:t>
      </w:r>
      <w:r w:rsidR="00592682">
        <w:t>pre-h</w:t>
      </w:r>
      <w:r w:rsidR="0081339E">
        <w:t>earing</w:t>
      </w:r>
      <w:bookmarkEnd w:id="19"/>
      <w:bookmarkEnd w:id="20"/>
      <w:bookmarkEnd w:id="21"/>
      <w:r w:rsidR="004A4EC0" w:rsidRPr="004A7B0D">
        <w:t xml:space="preserve"> </w:t>
      </w:r>
    </w:p>
    <w:p w:rsidR="00050081" w:rsidRPr="00050081" w:rsidRDefault="00050081" w:rsidP="00050081"/>
    <w:p w:rsidR="004718F5" w:rsidRDefault="00B66479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>
        <w:t xml:space="preserve">The Court requests </w:t>
      </w:r>
      <w:r w:rsidR="004718F5">
        <w:t>that all documents which a party will ask the Court to consider should be filed no lat</w:t>
      </w:r>
      <w:r w:rsidR="00D25891">
        <w:t>er than 2pm the day before the c</w:t>
      </w:r>
      <w:r w:rsidR="004718F5">
        <w:t xml:space="preserve">ourt listing. </w:t>
      </w:r>
      <w:hyperlink r:id="rId30" w:history="1">
        <w:proofErr w:type="spellStart"/>
        <w:proofErr w:type="gramStart"/>
        <w:r w:rsidR="004718F5" w:rsidRPr="00592682">
          <w:rPr>
            <w:rStyle w:val="Hyperlink"/>
          </w:rPr>
          <w:t>eLodgment</w:t>
        </w:r>
        <w:proofErr w:type="spellEnd"/>
        <w:proofErr w:type="gramEnd"/>
      </w:hyperlink>
      <w:r w:rsidR="004718F5">
        <w:t xml:space="preserve"> is the preferred method of filing.  The early filing of documents will generally allow the Court sufficient time to pre-read the file so as to ensure that court time is used efficiently. </w:t>
      </w:r>
    </w:p>
    <w:p w:rsidR="004718F5" w:rsidRDefault="004718F5" w:rsidP="00DE6CA4">
      <w:pPr>
        <w:pStyle w:val="HeadingOneTOC"/>
        <w:spacing w:before="0" w:line="276" w:lineRule="auto"/>
        <w:ind w:left="709" w:hanging="709"/>
        <w:jc w:val="both"/>
      </w:pPr>
    </w:p>
    <w:p w:rsidR="004A4EC0" w:rsidRDefault="004718F5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>
        <w:t xml:space="preserve">For an applicant, </w:t>
      </w:r>
      <w:r w:rsidR="00B66479">
        <w:t xml:space="preserve">the Court requests </w:t>
      </w:r>
      <w:r w:rsidRPr="004A7B0D">
        <w:t xml:space="preserve">that no later than 2pm the day before the appointed </w:t>
      </w:r>
      <w:r w:rsidR="00691ED8">
        <w:t>c</w:t>
      </w:r>
      <w:r w:rsidRPr="004A7B0D">
        <w:t>ourt date</w:t>
      </w:r>
      <w:r>
        <w:t xml:space="preserve"> the following material will be </w:t>
      </w:r>
      <w:proofErr w:type="spellStart"/>
      <w:r>
        <w:t>eLodged</w:t>
      </w:r>
      <w:proofErr w:type="spellEnd"/>
      <w:r w:rsidRPr="004A7B0D">
        <w:t xml:space="preserve">: </w:t>
      </w:r>
      <w:r>
        <w:t xml:space="preserve"> </w:t>
      </w:r>
      <w:r w:rsidR="00EB2A7A" w:rsidRPr="004A7B0D">
        <w:t xml:space="preserve"> </w:t>
      </w:r>
      <w:r w:rsidR="004A4EC0" w:rsidRPr="004A7B0D">
        <w:t xml:space="preserve"> </w:t>
      </w:r>
    </w:p>
    <w:p w:rsidR="009337F8" w:rsidRPr="004A7B0D" w:rsidRDefault="009337F8" w:rsidP="009337F8">
      <w:pPr>
        <w:pStyle w:val="HeadingOneTOC"/>
        <w:spacing w:before="0" w:line="276" w:lineRule="auto"/>
        <w:ind w:left="567"/>
        <w:jc w:val="both"/>
      </w:pPr>
    </w:p>
    <w:p w:rsidR="004A4EC0" w:rsidRPr="004A7B0D" w:rsidRDefault="002E2C53" w:rsidP="00DE6CA4">
      <w:pPr>
        <w:pStyle w:val="HeadingOneTOC"/>
        <w:numPr>
          <w:ilvl w:val="0"/>
          <w:numId w:val="5"/>
        </w:numPr>
        <w:spacing w:before="0" w:line="276" w:lineRule="auto"/>
        <w:ind w:left="993" w:hanging="284"/>
        <w:jc w:val="both"/>
      </w:pPr>
      <w:r>
        <w:t>A</w:t>
      </w:r>
      <w:r w:rsidR="004A4EC0" w:rsidRPr="004A7B0D">
        <w:t>ll affidavit evidence required to be filed in suppor</w:t>
      </w:r>
      <w:r w:rsidR="00A030F0">
        <w:t>t of the application under the Court R</w:t>
      </w:r>
      <w:r w:rsidR="004A4EC0" w:rsidRPr="004A7B0D">
        <w:t xml:space="preserve">ules </w:t>
      </w:r>
      <w:r w:rsidR="000661D0">
        <w:br/>
      </w:r>
    </w:p>
    <w:p w:rsidR="001D1F8C" w:rsidRDefault="002E2C53" w:rsidP="00DE6CA4">
      <w:pPr>
        <w:pStyle w:val="HeadingOneTOC"/>
        <w:numPr>
          <w:ilvl w:val="0"/>
          <w:numId w:val="5"/>
        </w:numPr>
        <w:spacing w:before="0" w:line="276" w:lineRule="auto"/>
        <w:ind w:left="993" w:hanging="284"/>
      </w:pPr>
      <w:r>
        <w:t>A</w:t>
      </w:r>
      <w:r w:rsidR="004A4EC0" w:rsidRPr="004A7B0D">
        <w:t xml:space="preserve">ny other documents or material to be relied upon at the hearing including any affidavit proving notification of the adjourned </w:t>
      </w:r>
      <w:r w:rsidR="000D1DBC">
        <w:t xml:space="preserve">court </w:t>
      </w:r>
      <w:r w:rsidR="004A4EC0" w:rsidRPr="004A7B0D">
        <w:t>date to the other parties</w:t>
      </w:r>
    </w:p>
    <w:p w:rsidR="00062D00" w:rsidRDefault="00062D00" w:rsidP="00AF4A6F"/>
    <w:p w:rsidR="004A4EC0" w:rsidRPr="004A7B0D" w:rsidRDefault="00B66479" w:rsidP="00DE6CA4">
      <w:pPr>
        <w:pStyle w:val="HeadingOneTOC"/>
        <w:numPr>
          <w:ilvl w:val="0"/>
          <w:numId w:val="5"/>
        </w:numPr>
        <w:spacing w:before="0" w:line="276" w:lineRule="auto"/>
        <w:ind w:left="993" w:hanging="284"/>
        <w:jc w:val="both"/>
      </w:pPr>
      <w:r>
        <w:t xml:space="preserve">Where an order for lump sum costs will be sought, a statement of costs and disbursements lodged in accordance with paragraph </w:t>
      </w:r>
      <w:r w:rsidR="009B29DA">
        <w:t>[</w:t>
      </w:r>
      <w:r w:rsidR="00592682">
        <w:fldChar w:fldCharType="begin"/>
      </w:r>
      <w:r w:rsidR="00592682">
        <w:instrText xml:space="preserve"> REF _Ref465956980 \r \h </w:instrText>
      </w:r>
      <w:r w:rsidR="00592682">
        <w:fldChar w:fldCharType="separate"/>
      </w:r>
      <w:r w:rsidR="00592682">
        <w:t>17</w:t>
      </w:r>
      <w:r w:rsidR="00592682">
        <w:fldChar w:fldCharType="end"/>
      </w:r>
      <w:r w:rsidR="009B29DA">
        <w:t>]</w:t>
      </w:r>
      <w:r w:rsidR="00592682">
        <w:t xml:space="preserve"> of this </w:t>
      </w:r>
      <w:r w:rsidR="009C0D23">
        <w:t>guide</w:t>
      </w:r>
      <w:r>
        <w:t xml:space="preserve"> </w:t>
      </w:r>
      <w:r w:rsidR="004A4EC0" w:rsidRPr="004A7B0D">
        <w:t xml:space="preserve"> </w:t>
      </w:r>
      <w:r w:rsidR="000661D0">
        <w:br/>
      </w:r>
    </w:p>
    <w:p w:rsidR="004A4EC0" w:rsidRPr="004A7B0D" w:rsidRDefault="002E2C53" w:rsidP="00DE6CA4">
      <w:pPr>
        <w:pStyle w:val="HeadingOneTOC"/>
        <w:numPr>
          <w:ilvl w:val="0"/>
          <w:numId w:val="5"/>
        </w:numPr>
        <w:spacing w:before="0" w:line="276" w:lineRule="auto"/>
        <w:ind w:left="993" w:hanging="284"/>
        <w:jc w:val="both"/>
      </w:pPr>
      <w:r>
        <w:t>W</w:t>
      </w:r>
      <w:r w:rsidR="004A4EC0" w:rsidRPr="004A7B0D">
        <w:t xml:space="preserve">ritten notification to the </w:t>
      </w:r>
      <w:r w:rsidR="000E146A">
        <w:t xml:space="preserve">Legal Case Manager </w:t>
      </w:r>
      <w:r w:rsidR="001D1F8C">
        <w:t xml:space="preserve">to the </w:t>
      </w:r>
      <w:r w:rsidR="008F7466">
        <w:t xml:space="preserve">Judicial </w:t>
      </w:r>
      <w:r w:rsidR="001D1F8C">
        <w:t xml:space="preserve">Registrar hearing the matter (or, if there is no Legal Case Manager, the Registry) </w:t>
      </w:r>
      <w:r w:rsidR="004A4EC0" w:rsidRPr="000E146A">
        <w:t>(and</w:t>
      </w:r>
      <w:r w:rsidR="004A4EC0" w:rsidRPr="004A7B0D">
        <w:t xml:space="preserve"> copied to other parties) as to whether the matter is likely to proceed unopposed, </w:t>
      </w:r>
      <w:r w:rsidR="00B534D7">
        <w:t xml:space="preserve">whether </w:t>
      </w:r>
      <w:r w:rsidR="004A4EC0" w:rsidRPr="004A7B0D">
        <w:t>an appearance from any other party</w:t>
      </w:r>
      <w:r w:rsidR="00B534D7">
        <w:t xml:space="preserve"> is expected</w:t>
      </w:r>
      <w:r w:rsidR="004A4EC0" w:rsidRPr="004A7B0D">
        <w:t xml:space="preserve">, </w:t>
      </w:r>
      <w:r w:rsidR="00B534D7">
        <w:t xml:space="preserve">whether the </w:t>
      </w:r>
      <w:r w:rsidR="00B534D7" w:rsidRPr="004A7B0D">
        <w:t xml:space="preserve">matter is likely to </w:t>
      </w:r>
      <w:r w:rsidR="004A4EC0" w:rsidRPr="004A7B0D">
        <w:t xml:space="preserve">be adjourned, be contested, be </w:t>
      </w:r>
      <w:r w:rsidR="004A4EC0" w:rsidRPr="004A7B0D">
        <w:lastRenderedPageBreak/>
        <w:t>dismissed/ withdrawn or the nature of other orders likely to be requested</w:t>
      </w:r>
      <w:r w:rsidR="00593750">
        <w:t xml:space="preserve"> If not provided under paragraph d) above).</w:t>
      </w:r>
      <w:r w:rsidR="004A4EC0" w:rsidRPr="004A7B0D">
        <w:t xml:space="preserve">  Parties should also indicate </w:t>
      </w:r>
      <w:r w:rsidR="004A4EC0" w:rsidRPr="000E146A">
        <w:t>where it is expected</w:t>
      </w:r>
      <w:r w:rsidR="00E57193" w:rsidRPr="000E146A">
        <w:t xml:space="preserve"> that</w:t>
      </w:r>
      <w:r w:rsidR="004A4EC0" w:rsidRPr="000E146A">
        <w:t xml:space="preserve"> a matter will take more than 30 minutes to</w:t>
      </w:r>
      <w:r w:rsidR="0060215D" w:rsidRPr="000E146A">
        <w:t xml:space="preserve"> </w:t>
      </w:r>
      <w:r w:rsidR="00FA5472" w:rsidRPr="000E146A">
        <w:t>hear (</w:t>
      </w:r>
      <w:r w:rsidR="006F2F37" w:rsidRPr="000E146A">
        <w:t>re</w:t>
      </w:r>
      <w:r w:rsidR="000661D0" w:rsidRPr="000E146A">
        <w:t>fer to paragraph [</w:t>
      </w:r>
      <w:r w:rsidR="00592682">
        <w:fldChar w:fldCharType="begin"/>
      </w:r>
      <w:r w:rsidR="00592682">
        <w:instrText xml:space="preserve"> REF _Ref465957006 \r \h </w:instrText>
      </w:r>
      <w:r w:rsidR="00592682">
        <w:fldChar w:fldCharType="separate"/>
      </w:r>
      <w:r w:rsidR="00592682">
        <w:t>20</w:t>
      </w:r>
      <w:r w:rsidR="00592682">
        <w:fldChar w:fldCharType="end"/>
      </w:r>
      <w:r w:rsidR="000661D0" w:rsidRPr="000E146A">
        <w:t xml:space="preserve">] </w:t>
      </w:r>
      <w:r w:rsidR="006F2F37" w:rsidRPr="000E146A">
        <w:t>of this</w:t>
      </w:r>
      <w:r w:rsidR="006F2F37">
        <w:t xml:space="preserve"> </w:t>
      </w:r>
      <w:r w:rsidR="009C0D23">
        <w:t>guide</w:t>
      </w:r>
      <w:r w:rsidR="006F2F37">
        <w:t xml:space="preserve"> </w:t>
      </w:r>
      <w:r w:rsidR="000661D0">
        <w:t xml:space="preserve">on </w:t>
      </w:r>
      <w:r w:rsidR="00190EC5">
        <w:t>the protocols for emailing the R</w:t>
      </w:r>
      <w:r w:rsidR="000661D0">
        <w:t xml:space="preserve">egistry about a matter listed before a </w:t>
      </w:r>
      <w:r w:rsidR="008F7466">
        <w:t xml:space="preserve">Judicial </w:t>
      </w:r>
      <w:r w:rsidR="000661D0">
        <w:t xml:space="preserve">Registrar).  </w:t>
      </w:r>
    </w:p>
    <w:p w:rsidR="000661D0" w:rsidRDefault="000661D0" w:rsidP="000661D0">
      <w:pPr>
        <w:pStyle w:val="HeadingOneTOC"/>
        <w:spacing w:before="0" w:line="276" w:lineRule="auto"/>
        <w:jc w:val="both"/>
      </w:pPr>
    </w:p>
    <w:p w:rsidR="00DD175F" w:rsidRDefault="00D25891" w:rsidP="00971991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>
        <w:t>Prior to c</w:t>
      </w:r>
      <w:r w:rsidR="00EB2A7A" w:rsidRPr="004A7B0D">
        <w:t xml:space="preserve">ourt, practitioners are expected to communicate with each other to see if </w:t>
      </w:r>
      <w:r w:rsidR="00E57193">
        <w:t xml:space="preserve">an </w:t>
      </w:r>
      <w:r w:rsidR="00EB2A7A" w:rsidRPr="004A7B0D">
        <w:t xml:space="preserve">agreement can be reached on the orders the </w:t>
      </w:r>
      <w:r w:rsidR="00E57193">
        <w:t>C</w:t>
      </w:r>
      <w:r w:rsidR="008F7466">
        <w:t xml:space="preserve">ourt will be asked to make. </w:t>
      </w:r>
      <w:r w:rsidR="00EB2A7A" w:rsidRPr="004A7B0D">
        <w:t>Generally a party should not ask the Court to make an order before conferr</w:t>
      </w:r>
      <w:r w:rsidR="001D1F8C">
        <w:t xml:space="preserve">ing </w:t>
      </w:r>
      <w:r w:rsidR="006B4C10">
        <w:t>with the other party/</w:t>
      </w:r>
      <w:r w:rsidR="00EB2A7A" w:rsidRPr="004A7B0D">
        <w:t xml:space="preserve">parties.  </w:t>
      </w:r>
      <w:r w:rsidR="00D3001C" w:rsidRPr="004718F5">
        <w:rPr>
          <w:lang w:val="en-US"/>
        </w:rPr>
        <w:t xml:space="preserve">  </w:t>
      </w:r>
    </w:p>
    <w:p w:rsidR="00130292" w:rsidRDefault="00592682" w:rsidP="00050081">
      <w:pPr>
        <w:pStyle w:val="Heading1"/>
      </w:pPr>
      <w:bookmarkStart w:id="22" w:name="_Toc458706015"/>
      <w:bookmarkStart w:id="23" w:name="_Toc465959866"/>
      <w:bookmarkStart w:id="24" w:name="_Toc77251958"/>
      <w:r>
        <w:t>Open c</w:t>
      </w:r>
      <w:r w:rsidR="0007467D" w:rsidRPr="004A7B0D">
        <w:t>ourt</w:t>
      </w:r>
      <w:bookmarkEnd w:id="22"/>
      <w:bookmarkEnd w:id="23"/>
      <w:bookmarkEnd w:id="24"/>
      <w:r w:rsidR="0007467D" w:rsidRPr="004A7B0D">
        <w:t xml:space="preserve"> </w:t>
      </w:r>
    </w:p>
    <w:p w:rsidR="00050081" w:rsidRPr="00050081" w:rsidRDefault="00050081" w:rsidP="00050081"/>
    <w:p w:rsidR="0007467D" w:rsidRPr="00691ED8" w:rsidRDefault="00B66479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691ED8">
        <w:t>Except for the matters referred to in paragraphs 7.2</w:t>
      </w:r>
      <w:r w:rsidR="001D1F8C" w:rsidRPr="00691ED8">
        <w:t xml:space="preserve"> and </w:t>
      </w:r>
      <w:r w:rsidR="00CC39E1" w:rsidRPr="00691ED8">
        <w:t>7.4</w:t>
      </w:r>
      <w:r w:rsidRPr="00691ED8">
        <w:t xml:space="preserve"> of this </w:t>
      </w:r>
      <w:r w:rsidR="009C0D23">
        <w:t>guide</w:t>
      </w:r>
      <w:r w:rsidRPr="00691ED8">
        <w:t>, a</w:t>
      </w:r>
      <w:r w:rsidR="0007467D" w:rsidRPr="00691ED8">
        <w:t xml:space="preserve">ll </w:t>
      </w:r>
      <w:r w:rsidR="008F7466">
        <w:t xml:space="preserve">Judicial </w:t>
      </w:r>
      <w:r w:rsidR="0007467D" w:rsidRPr="00691ED8">
        <w:t xml:space="preserve">Registrar bankruptcy matters are dealt with in open </w:t>
      </w:r>
      <w:r w:rsidR="00D25891">
        <w:t>c</w:t>
      </w:r>
      <w:r w:rsidR="0007467D" w:rsidRPr="00691ED8">
        <w:t xml:space="preserve">ourt. </w:t>
      </w:r>
    </w:p>
    <w:p w:rsidR="0007467D" w:rsidRPr="00691ED8" w:rsidRDefault="0007467D" w:rsidP="00DE6CA4">
      <w:pPr>
        <w:pStyle w:val="HeadingOneTOC"/>
        <w:spacing w:before="0" w:line="276" w:lineRule="auto"/>
        <w:ind w:left="709" w:hanging="709"/>
        <w:jc w:val="both"/>
      </w:pPr>
    </w:p>
    <w:p w:rsidR="00CC39E1" w:rsidRPr="00691ED8" w:rsidRDefault="0007467D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691ED8">
        <w:t>Applications for</w:t>
      </w:r>
      <w:r w:rsidR="002817CE">
        <w:t xml:space="preserve"> substituted service orders of bankruptcy notices and creditor’s p</w:t>
      </w:r>
      <w:r w:rsidRPr="00691ED8">
        <w:t xml:space="preserve">etitions </w:t>
      </w:r>
      <w:r w:rsidR="0006626F" w:rsidRPr="00691ED8">
        <w:t xml:space="preserve">are </w:t>
      </w:r>
      <w:r w:rsidR="00D32AD4" w:rsidRPr="00691ED8">
        <w:t xml:space="preserve">generally </w:t>
      </w:r>
      <w:r w:rsidR="0006626F" w:rsidRPr="00691ED8">
        <w:t xml:space="preserve">dealt with in </w:t>
      </w:r>
      <w:hyperlink r:id="rId31" w:history="1">
        <w:proofErr w:type="spellStart"/>
        <w:r w:rsidR="0006626F" w:rsidRPr="00592682">
          <w:rPr>
            <w:rStyle w:val="Hyperlink"/>
          </w:rPr>
          <w:t>eCourtroom</w:t>
        </w:r>
        <w:proofErr w:type="spellEnd"/>
      </w:hyperlink>
      <w:r w:rsidR="0006626F" w:rsidRPr="00691ED8">
        <w:t xml:space="preserve"> (refer to paragraphs [</w:t>
      </w:r>
      <w:r w:rsidR="00592682">
        <w:fldChar w:fldCharType="begin"/>
      </w:r>
      <w:r w:rsidR="00592682">
        <w:instrText xml:space="preserve"> REF _Ref465957047 \r \h </w:instrText>
      </w:r>
      <w:r w:rsidR="00592682">
        <w:fldChar w:fldCharType="separate"/>
      </w:r>
      <w:r w:rsidR="00592682">
        <w:t>18</w:t>
      </w:r>
      <w:r w:rsidR="00592682">
        <w:fldChar w:fldCharType="end"/>
      </w:r>
      <w:r w:rsidR="0006626F" w:rsidRPr="00691ED8">
        <w:t xml:space="preserve">] </w:t>
      </w:r>
      <w:r w:rsidR="000E146A" w:rsidRPr="00691ED8">
        <w:t>and</w:t>
      </w:r>
      <w:r w:rsidR="0006626F" w:rsidRPr="00691ED8">
        <w:t xml:space="preserve"> [</w:t>
      </w:r>
      <w:r w:rsidR="00592682">
        <w:fldChar w:fldCharType="begin"/>
      </w:r>
      <w:r w:rsidR="00592682">
        <w:instrText xml:space="preserve"> REF _Ref465957058 \r \h </w:instrText>
      </w:r>
      <w:r w:rsidR="00592682">
        <w:fldChar w:fldCharType="separate"/>
      </w:r>
      <w:r w:rsidR="00592682">
        <w:t>24</w:t>
      </w:r>
      <w:r w:rsidR="00592682">
        <w:fldChar w:fldCharType="end"/>
      </w:r>
      <w:r w:rsidR="0006626F" w:rsidRPr="00691ED8">
        <w:t>]</w:t>
      </w:r>
      <w:r w:rsidR="006F2F37" w:rsidRPr="00691ED8">
        <w:t xml:space="preserve"> of this </w:t>
      </w:r>
      <w:r w:rsidR="009C0D23">
        <w:t>guide</w:t>
      </w:r>
      <w:r w:rsidR="0006626F" w:rsidRPr="00691ED8">
        <w:t>).</w:t>
      </w:r>
      <w:r w:rsidR="0006626F" w:rsidRPr="00691ED8">
        <w:rPr>
          <w:color w:val="FF0000"/>
        </w:rPr>
        <w:t xml:space="preserve"> </w:t>
      </w:r>
    </w:p>
    <w:p w:rsidR="0007467D" w:rsidRPr="00691ED8" w:rsidRDefault="0007467D" w:rsidP="00AF4A6F">
      <w:pPr>
        <w:pStyle w:val="HeadingOneTOC"/>
        <w:spacing w:before="0" w:line="276" w:lineRule="auto"/>
        <w:jc w:val="both"/>
      </w:pPr>
    </w:p>
    <w:p w:rsidR="00130292" w:rsidRDefault="00EB2A7A" w:rsidP="00050081">
      <w:pPr>
        <w:pStyle w:val="Heading1"/>
      </w:pPr>
      <w:bookmarkStart w:id="25" w:name="_Toc458706016"/>
      <w:bookmarkStart w:id="26" w:name="_Toc465959867"/>
      <w:bookmarkStart w:id="27" w:name="_Toc77251959"/>
      <w:r w:rsidRPr="004A7B0D">
        <w:t xml:space="preserve">Sequence in which </w:t>
      </w:r>
      <w:r w:rsidR="00592682">
        <w:t>m</w:t>
      </w:r>
      <w:r w:rsidR="00E57193">
        <w:t>atters</w:t>
      </w:r>
      <w:r w:rsidRPr="004A7B0D">
        <w:t xml:space="preserve"> will be </w:t>
      </w:r>
      <w:r w:rsidR="00592682">
        <w:t>c</w:t>
      </w:r>
      <w:r w:rsidRPr="004A7B0D">
        <w:t xml:space="preserve">alled in a </w:t>
      </w:r>
      <w:r w:rsidR="008F7466">
        <w:t xml:space="preserve">Judicial </w:t>
      </w:r>
      <w:r w:rsidR="000145CD">
        <w:t>Registrar</w:t>
      </w:r>
      <w:r w:rsidR="00A033D2">
        <w:t>’</w:t>
      </w:r>
      <w:r w:rsidR="000145CD">
        <w:t>s bankruptcy l</w:t>
      </w:r>
      <w:r w:rsidR="00B5586A" w:rsidRPr="004A7B0D">
        <w:t>ist</w:t>
      </w:r>
      <w:bookmarkEnd w:id="25"/>
      <w:bookmarkEnd w:id="26"/>
      <w:bookmarkEnd w:id="27"/>
    </w:p>
    <w:p w:rsidR="00050081" w:rsidRPr="00050081" w:rsidRDefault="00050081" w:rsidP="00050081"/>
    <w:p w:rsidR="00691ED8" w:rsidRDefault="00821F34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>
        <w:t xml:space="preserve">The </w:t>
      </w:r>
      <w:r w:rsidR="008F7466">
        <w:t xml:space="preserve">Judicial </w:t>
      </w:r>
      <w:r w:rsidR="00974A4D">
        <w:t>Registrar will order the l</w:t>
      </w:r>
      <w:r>
        <w:t xml:space="preserve">ist to deal with matters in the most efficient way.  Priority will usually be given to </w:t>
      </w:r>
      <w:r w:rsidR="00CC39E1">
        <w:t>short matters or straightforward matters that can be disposed of within 5 minutes and that do not require significant reading before moving to the other matters.</w:t>
      </w:r>
      <w:r w:rsidR="008F7466">
        <w:t xml:space="preserve"> </w:t>
      </w:r>
      <w:r w:rsidR="000473D9">
        <w:t xml:space="preserve">Short matters may include consent adjournments and </w:t>
      </w:r>
      <w:r w:rsidR="005A5C8D">
        <w:t>unopposed matters where the necessary supporting material has been filed by 2pm the previous day.</w:t>
      </w:r>
      <w:r w:rsidR="000473D9">
        <w:t xml:space="preserve">  </w:t>
      </w:r>
      <w:r w:rsidR="000473D9" w:rsidRPr="000473D9">
        <w:t xml:space="preserve">In appropriate circumstances, a </w:t>
      </w:r>
      <w:r w:rsidR="00D377B1">
        <w:t xml:space="preserve">Judicial </w:t>
      </w:r>
      <w:r w:rsidR="000473D9" w:rsidRPr="000473D9">
        <w:t>Registrar may dispense with any requirement for a party to take the Court through the evidence.</w:t>
      </w:r>
    </w:p>
    <w:p w:rsidR="00CC39E1" w:rsidRDefault="00CC39E1" w:rsidP="00DE6CA4">
      <w:pPr>
        <w:pStyle w:val="HeadingOneTOC"/>
        <w:spacing w:before="0" w:line="276" w:lineRule="auto"/>
        <w:ind w:left="709" w:hanging="709"/>
        <w:jc w:val="both"/>
      </w:pPr>
    </w:p>
    <w:p w:rsidR="00C35BE7" w:rsidRDefault="00C35BE7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>
        <w:t>While a</w:t>
      </w:r>
      <w:r w:rsidRPr="004A7B0D">
        <w:t xml:space="preserve"> </w:t>
      </w:r>
      <w:r w:rsidR="008F7466">
        <w:t xml:space="preserve">Judicial </w:t>
      </w:r>
      <w:r w:rsidRPr="004A7B0D">
        <w:t>Registrar will generally hear a matter on the day it is listed</w:t>
      </w:r>
      <w:r>
        <w:t>,</w:t>
      </w:r>
      <w:r w:rsidRPr="004A7B0D">
        <w:t xml:space="preserve"> </w:t>
      </w:r>
      <w:r>
        <w:t xml:space="preserve">matters </w:t>
      </w:r>
      <w:r w:rsidRPr="004A7B0D">
        <w:t xml:space="preserve">which are estimated to last for more than 30 </w:t>
      </w:r>
      <w:r w:rsidRPr="000E146A">
        <w:t>minutes may need to be listed at another time.  It is the responsibility of the parties to notify the Legal Case Manager</w:t>
      </w:r>
      <w:r w:rsidR="005842EF">
        <w:t>/Lawyer</w:t>
      </w:r>
      <w:r w:rsidRPr="000E146A">
        <w:t xml:space="preserve"> by 2pm the day before a matter is listed where the estimated hearing time is more than</w:t>
      </w:r>
      <w:r w:rsidRPr="004A7B0D">
        <w:t xml:space="preserve"> 30 minutes</w:t>
      </w:r>
      <w:r>
        <w:t xml:space="preserve">. </w:t>
      </w:r>
    </w:p>
    <w:p w:rsidR="00CC39E1" w:rsidRDefault="00CC39E1" w:rsidP="00DE6CA4">
      <w:pPr>
        <w:pStyle w:val="HeadingOneTOC"/>
        <w:spacing w:before="0" w:line="276" w:lineRule="auto"/>
        <w:ind w:left="709" w:hanging="709"/>
        <w:jc w:val="both"/>
      </w:pPr>
    </w:p>
    <w:p w:rsidR="00B5586A" w:rsidRPr="004A7B0D" w:rsidRDefault="004718F5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>
        <w:t xml:space="preserve">It is expected that parties will give the </w:t>
      </w:r>
      <w:r w:rsidR="00D25891">
        <w:t>C</w:t>
      </w:r>
      <w:r>
        <w:t xml:space="preserve">ourt a realistic estimate of the time required to hear the application and that all the documents relevant to the application are </w:t>
      </w:r>
      <w:proofErr w:type="spellStart"/>
      <w:r>
        <w:t>eLodged</w:t>
      </w:r>
      <w:proofErr w:type="spellEnd"/>
      <w:r>
        <w:t xml:space="preserve"> by 2pm the day before the appointed court date.</w:t>
      </w:r>
      <w:r w:rsidR="00254507">
        <w:t xml:space="preserve"> (Refer </w:t>
      </w:r>
      <w:r w:rsidR="00254507" w:rsidRPr="00C10C8F">
        <w:t xml:space="preserve">to </w:t>
      </w:r>
      <w:r w:rsidR="00254507" w:rsidRPr="00490F4E">
        <w:t>paragraph [</w:t>
      </w:r>
      <w:r w:rsidR="00254507">
        <w:t>6.2</w:t>
      </w:r>
      <w:r w:rsidR="00254507" w:rsidRPr="00490F4E">
        <w:t>] of</w:t>
      </w:r>
      <w:r w:rsidR="00254507">
        <w:t xml:space="preserve"> this </w:t>
      </w:r>
      <w:r w:rsidR="009C0D23">
        <w:t>guide</w:t>
      </w:r>
      <w:r w:rsidR="00254507">
        <w:t xml:space="preserve"> on the documents to be filed pre-hearing). </w:t>
      </w:r>
    </w:p>
    <w:p w:rsidR="00B5586A" w:rsidRPr="004A7B0D" w:rsidRDefault="00B5586A" w:rsidP="00DE6CA4">
      <w:pPr>
        <w:pStyle w:val="HeadingOneTOC"/>
        <w:spacing w:before="0" w:line="276" w:lineRule="auto"/>
        <w:ind w:left="709" w:hanging="709"/>
        <w:jc w:val="both"/>
      </w:pPr>
    </w:p>
    <w:p w:rsidR="005D60D0" w:rsidRDefault="00254507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>
        <w:t xml:space="preserve">With a </w:t>
      </w:r>
      <w:r w:rsidR="00190EC5">
        <w:t>creditor’s p</w:t>
      </w:r>
      <w:r w:rsidR="00130C4D">
        <w:t>etition</w:t>
      </w:r>
      <w:r>
        <w:t>, the s</w:t>
      </w:r>
      <w:r w:rsidR="005D60D0" w:rsidRPr="004A7B0D">
        <w:t xml:space="preserve">upporting material that </w:t>
      </w:r>
      <w:r w:rsidR="00821F34">
        <w:t xml:space="preserve">should be </w:t>
      </w:r>
      <w:proofErr w:type="spellStart"/>
      <w:r w:rsidR="005D60D0" w:rsidRPr="004A7B0D">
        <w:t>eLodged</w:t>
      </w:r>
      <w:proofErr w:type="spellEnd"/>
      <w:r w:rsidR="005D60D0" w:rsidRPr="004A7B0D">
        <w:t xml:space="preserve"> </w:t>
      </w:r>
      <w:r>
        <w:t xml:space="preserve">by 2pm </w:t>
      </w:r>
      <w:r w:rsidR="00821F34">
        <w:t>t</w:t>
      </w:r>
      <w:r w:rsidR="00A178FF" w:rsidRPr="004A7B0D">
        <w:t>he day before</w:t>
      </w:r>
      <w:r w:rsidR="00E57193">
        <w:t xml:space="preserve"> the </w:t>
      </w:r>
      <w:r w:rsidR="00D25891">
        <w:t>c</w:t>
      </w:r>
      <w:r w:rsidR="005D60D0" w:rsidRPr="004A7B0D">
        <w:t xml:space="preserve">ourt date </w:t>
      </w:r>
      <w:r w:rsidR="00A178FF" w:rsidRPr="004A7B0D">
        <w:t xml:space="preserve">where the </w:t>
      </w:r>
      <w:r w:rsidR="00A178FF" w:rsidRPr="00F83237">
        <w:t xml:space="preserve">applying party wishes to proceed to obtain a </w:t>
      </w:r>
      <w:r w:rsidR="00D41402">
        <w:t>s</w:t>
      </w:r>
      <w:r w:rsidR="00971991">
        <w:t xml:space="preserve">equestration </w:t>
      </w:r>
      <w:r w:rsidR="00A178FF" w:rsidRPr="00F83237">
        <w:t xml:space="preserve">order </w:t>
      </w:r>
      <w:r w:rsidR="005D60D0" w:rsidRPr="00F83237">
        <w:t xml:space="preserve">includes: </w:t>
      </w:r>
    </w:p>
    <w:p w:rsidR="00821F34" w:rsidRDefault="00821F34" w:rsidP="00821F34">
      <w:pPr>
        <w:pStyle w:val="ListParagraph"/>
      </w:pPr>
    </w:p>
    <w:p w:rsidR="009520D6" w:rsidRDefault="00D20B9B" w:rsidP="00DE6CA4">
      <w:pPr>
        <w:pStyle w:val="HeadingOneTOC"/>
        <w:numPr>
          <w:ilvl w:val="0"/>
          <w:numId w:val="7"/>
        </w:numPr>
        <w:spacing w:before="0" w:line="276" w:lineRule="auto"/>
        <w:ind w:left="993" w:hanging="284"/>
        <w:jc w:val="both"/>
      </w:pPr>
      <w:r>
        <w:lastRenderedPageBreak/>
        <w:t>P</w:t>
      </w:r>
      <w:r w:rsidR="009520D6" w:rsidRPr="004A7B0D">
        <w:t xml:space="preserve">roof of the matters </w:t>
      </w:r>
      <w:r w:rsidR="009520D6">
        <w:t xml:space="preserve">required to be given on affidavit </w:t>
      </w:r>
      <w:r w:rsidR="009520D6" w:rsidRPr="004A7B0D">
        <w:t xml:space="preserve">referred to in rules 4.05 and 4.06 of the </w:t>
      </w:r>
      <w:r w:rsidR="009520D6" w:rsidRPr="00592682">
        <w:t>Bankruptcy Rules</w:t>
      </w:r>
      <w:r w:rsidR="009520D6" w:rsidRPr="004A7B0D">
        <w:t xml:space="preserve"> (which includes</w:t>
      </w:r>
      <w:r w:rsidR="009520D6">
        <w:t xml:space="preserve"> the </w:t>
      </w:r>
      <w:r w:rsidR="009520D6" w:rsidRPr="004A7B0D">
        <w:t>updated</w:t>
      </w:r>
      <w:r w:rsidR="00592682">
        <w:t xml:space="preserve"> affidavits of search and debt).</w:t>
      </w:r>
    </w:p>
    <w:p w:rsidR="005D60D0" w:rsidRPr="00F83237" w:rsidRDefault="00D20B9B" w:rsidP="00DE6CA4">
      <w:pPr>
        <w:pStyle w:val="HeadingOneTOC"/>
        <w:numPr>
          <w:ilvl w:val="0"/>
          <w:numId w:val="7"/>
        </w:numPr>
        <w:spacing w:before="0" w:line="276" w:lineRule="auto"/>
        <w:ind w:left="993" w:hanging="284"/>
        <w:jc w:val="both"/>
      </w:pPr>
      <w:r>
        <w:t>A</w:t>
      </w:r>
      <w:r w:rsidR="005D60D0" w:rsidRPr="00F83237">
        <w:t xml:space="preserve"> </w:t>
      </w:r>
      <w:r w:rsidR="00821F34">
        <w:t xml:space="preserve">statement of </w:t>
      </w:r>
      <w:r w:rsidR="005D60D0" w:rsidRPr="00F83237">
        <w:t xml:space="preserve">costs </w:t>
      </w:r>
      <w:r w:rsidR="00821F34">
        <w:t xml:space="preserve">and disbursements </w:t>
      </w:r>
      <w:r w:rsidR="00691AE7">
        <w:t>under S</w:t>
      </w:r>
      <w:r w:rsidR="005D60D0" w:rsidRPr="00F83237">
        <w:t xml:space="preserve">chedule 3 of the </w:t>
      </w:r>
      <w:r w:rsidR="000661D0" w:rsidRPr="00592682">
        <w:t xml:space="preserve">Court </w:t>
      </w:r>
      <w:r w:rsidR="00592682" w:rsidRPr="00592682">
        <w:t>Rules</w:t>
      </w:r>
      <w:r w:rsidR="00592682">
        <w:t>.</w:t>
      </w:r>
      <w:r w:rsidR="005D60D0" w:rsidRPr="00F83237">
        <w:t xml:space="preserve"> </w:t>
      </w:r>
    </w:p>
    <w:p w:rsidR="005D60D0" w:rsidRPr="004A7B0D" w:rsidRDefault="00D20B9B" w:rsidP="00DE6CA4">
      <w:pPr>
        <w:pStyle w:val="HeadingOneTOC"/>
        <w:numPr>
          <w:ilvl w:val="0"/>
          <w:numId w:val="7"/>
        </w:numPr>
        <w:spacing w:before="0" w:line="276" w:lineRule="auto"/>
        <w:ind w:left="993" w:hanging="284"/>
        <w:jc w:val="both"/>
      </w:pPr>
      <w:r>
        <w:t>W</w:t>
      </w:r>
      <w:r w:rsidR="005D60D0" w:rsidRPr="004A7B0D">
        <w:t xml:space="preserve">here a petition has been adjourned, </w:t>
      </w:r>
      <w:r w:rsidR="00A178FF" w:rsidRPr="004A7B0D">
        <w:t xml:space="preserve">the applying party must have </w:t>
      </w:r>
      <w:r w:rsidR="002B153C">
        <w:t>proof that the r</w:t>
      </w:r>
      <w:r w:rsidR="005D60D0" w:rsidRPr="004A7B0D">
        <w:t>espondent</w:t>
      </w:r>
      <w:r w:rsidR="006E3619">
        <w:t>(s)</w:t>
      </w:r>
      <w:r w:rsidR="005D60D0" w:rsidRPr="004A7B0D">
        <w:t xml:space="preserve"> ha</w:t>
      </w:r>
      <w:r w:rsidR="006E3619">
        <w:t>s</w:t>
      </w:r>
      <w:r w:rsidR="005D60D0" w:rsidRPr="004A7B0D">
        <w:t xml:space="preserve"> </w:t>
      </w:r>
      <w:r w:rsidR="00D25891">
        <w:t>been notified of the adjourned c</w:t>
      </w:r>
      <w:r w:rsidR="005D60D0" w:rsidRPr="004A7B0D">
        <w:t xml:space="preserve">ourt date. </w:t>
      </w:r>
      <w:r w:rsidR="00DD175F">
        <w:t xml:space="preserve"> </w:t>
      </w:r>
    </w:p>
    <w:p w:rsidR="006E3619" w:rsidRDefault="006E3619" w:rsidP="000473D9"/>
    <w:p w:rsidR="00EB2A7A" w:rsidRDefault="00EB2A7A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4A7B0D">
        <w:t xml:space="preserve">Where a party seeks leave to file documents in </w:t>
      </w:r>
      <w:r w:rsidR="00691ED8">
        <w:t>c</w:t>
      </w:r>
      <w:r w:rsidRPr="004A7B0D">
        <w:t xml:space="preserve">ourt, the </w:t>
      </w:r>
      <w:r w:rsidR="00D377B1">
        <w:t xml:space="preserve">Judicial </w:t>
      </w:r>
      <w:r w:rsidRPr="004A7B0D">
        <w:t xml:space="preserve">Registrar may direct that party to </w:t>
      </w:r>
      <w:proofErr w:type="spellStart"/>
      <w:r w:rsidRPr="004A7B0D">
        <w:t>eLodge</w:t>
      </w:r>
      <w:proofErr w:type="spellEnd"/>
      <w:r w:rsidRPr="004A7B0D">
        <w:t xml:space="preserve"> the document before dealing with the matter or before making any orders.  In all other instances the filing party will be directed to </w:t>
      </w:r>
      <w:proofErr w:type="spellStart"/>
      <w:r w:rsidRPr="004A7B0D">
        <w:t>eLodge</w:t>
      </w:r>
      <w:proofErr w:type="spellEnd"/>
      <w:r w:rsidRPr="004A7B0D">
        <w:t xml:space="preserve"> any document filed in </w:t>
      </w:r>
      <w:r w:rsidR="00DE6CA4">
        <w:t>c</w:t>
      </w:r>
      <w:r w:rsidRPr="004A7B0D">
        <w:t>ourt by no later than 4.30</w:t>
      </w:r>
      <w:r w:rsidR="00D20B9B">
        <w:t xml:space="preserve"> </w:t>
      </w:r>
      <w:r w:rsidRPr="004A7B0D">
        <w:t xml:space="preserve">pm on the next business day, either from their own computer or from the </w:t>
      </w:r>
      <w:proofErr w:type="spellStart"/>
      <w:r w:rsidRPr="004A7B0D">
        <w:t>eLodgment</w:t>
      </w:r>
      <w:proofErr w:type="spellEnd"/>
      <w:r w:rsidRPr="004A7B0D">
        <w:t xml:space="preserve"> kiosk in the </w:t>
      </w:r>
      <w:r w:rsidR="002B153C">
        <w:t>R</w:t>
      </w:r>
      <w:r w:rsidRPr="004A7B0D">
        <w:t xml:space="preserve">egistry.   </w:t>
      </w:r>
    </w:p>
    <w:p w:rsidR="00130292" w:rsidRDefault="005842EF" w:rsidP="00050081">
      <w:pPr>
        <w:pStyle w:val="Heading1"/>
      </w:pPr>
      <w:bookmarkStart w:id="28" w:name="_Toc458706017"/>
      <w:bookmarkStart w:id="29" w:name="_Toc465959868"/>
      <w:bookmarkStart w:id="30" w:name="_Toc77251960"/>
      <w:r>
        <w:t>A</w:t>
      </w:r>
      <w:r w:rsidR="00E5538B" w:rsidRPr="009652EE">
        <w:t>ppearances</w:t>
      </w:r>
      <w:bookmarkEnd w:id="28"/>
      <w:bookmarkEnd w:id="29"/>
      <w:bookmarkEnd w:id="30"/>
      <w:r w:rsidR="00E5538B" w:rsidRPr="009652EE">
        <w:t xml:space="preserve"> </w:t>
      </w:r>
      <w:r w:rsidR="00E5538B" w:rsidRPr="00B37B5B">
        <w:t xml:space="preserve"> </w:t>
      </w:r>
    </w:p>
    <w:p w:rsidR="005842EF" w:rsidRDefault="005842EF" w:rsidP="00A9000C">
      <w:pPr>
        <w:pStyle w:val="HeadingOneTOC"/>
        <w:spacing w:before="0" w:line="276" w:lineRule="auto"/>
        <w:jc w:val="both"/>
      </w:pPr>
    </w:p>
    <w:p w:rsidR="00092411" w:rsidRPr="00A9000C" w:rsidRDefault="00092411" w:rsidP="00A9000C">
      <w:pPr>
        <w:pStyle w:val="HeadingOneTOC"/>
        <w:spacing w:before="0" w:line="276" w:lineRule="auto"/>
        <w:ind w:left="709"/>
        <w:jc w:val="both"/>
        <w:rPr>
          <w:b/>
        </w:rPr>
      </w:pPr>
      <w:r w:rsidRPr="00A9000C">
        <w:rPr>
          <w:b/>
        </w:rPr>
        <w:t>In-person hearings</w:t>
      </w:r>
    </w:p>
    <w:p w:rsidR="00092411" w:rsidRDefault="00092411" w:rsidP="00A9000C">
      <w:pPr>
        <w:pStyle w:val="ListParagraph"/>
      </w:pPr>
    </w:p>
    <w:p w:rsidR="00E5538B" w:rsidRDefault="00092411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>
        <w:t xml:space="preserve">Judicial Registrar Court Lists </w:t>
      </w:r>
      <w:r w:rsidR="00A9000C">
        <w:t xml:space="preserve">normally </w:t>
      </w:r>
      <w:r>
        <w:t xml:space="preserve">proceed in person, </w:t>
      </w:r>
      <w:r w:rsidR="00A9000C">
        <w:t xml:space="preserve">however </w:t>
      </w:r>
      <w:r>
        <w:t>a</w:t>
      </w:r>
      <w:r w:rsidR="00E5538B" w:rsidRPr="007D10BF">
        <w:t xml:space="preserve">ppearing by telephone is available in some circumstances at the discretion of the </w:t>
      </w:r>
      <w:r w:rsidR="00D377B1">
        <w:t xml:space="preserve">Judicial </w:t>
      </w:r>
      <w:r w:rsidR="00E5538B" w:rsidRPr="007D10BF">
        <w:t xml:space="preserve">Registrar. A request to appear by phone </w:t>
      </w:r>
      <w:r w:rsidR="006E3619">
        <w:t xml:space="preserve">should </w:t>
      </w:r>
      <w:r w:rsidR="00E5538B" w:rsidRPr="007D10BF">
        <w:t xml:space="preserve">be made in writing no later than 2pm the day before the court date. The basis for the request should be set out in the written request.  </w:t>
      </w:r>
      <w:r w:rsidR="00E5538B">
        <w:br/>
      </w:r>
    </w:p>
    <w:p w:rsidR="002E1CFD" w:rsidRDefault="00E5538B" w:rsidP="004A7B0D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7D10BF">
        <w:t xml:space="preserve">If the request is granted, the party </w:t>
      </w:r>
      <w:r w:rsidR="006E3619">
        <w:t xml:space="preserve">should </w:t>
      </w:r>
      <w:r w:rsidRPr="007D10BF">
        <w:t xml:space="preserve">ensure that all documents </w:t>
      </w:r>
      <w:r>
        <w:t xml:space="preserve">that the </w:t>
      </w:r>
      <w:r w:rsidR="00D25891">
        <w:t>C</w:t>
      </w:r>
      <w:r>
        <w:t xml:space="preserve">ourt will be asked </w:t>
      </w:r>
      <w:r w:rsidRPr="007D10BF">
        <w:t xml:space="preserve">to consider are </w:t>
      </w:r>
      <w:proofErr w:type="spellStart"/>
      <w:r w:rsidRPr="007D10BF">
        <w:t>eLodged</w:t>
      </w:r>
      <w:proofErr w:type="spellEnd"/>
      <w:r w:rsidRPr="007D10BF">
        <w:t xml:space="preserve"> by 2pm the day before the court date. The </w:t>
      </w:r>
      <w:r w:rsidR="00D25891">
        <w:t>C</w:t>
      </w:r>
      <w:r w:rsidRPr="007D10BF">
        <w:t>ourt will also require th</w:t>
      </w:r>
      <w:r w:rsidR="009B29DA">
        <w:t>e</w:t>
      </w:r>
      <w:r w:rsidRPr="007D10BF">
        <w:t xml:space="preserve"> party to be available at a designated time </w:t>
      </w:r>
      <w:r w:rsidR="001D1F8C">
        <w:t xml:space="preserve">or </w:t>
      </w:r>
      <w:r w:rsidR="001E6804">
        <w:t xml:space="preserve">during a designated period of time.  </w:t>
      </w:r>
      <w:r w:rsidRPr="007D10BF">
        <w:t>If the p</w:t>
      </w:r>
      <w:r w:rsidR="001E6804">
        <w:t xml:space="preserve">arty approved by the </w:t>
      </w:r>
      <w:r w:rsidR="00D377B1">
        <w:t xml:space="preserve">Judicial </w:t>
      </w:r>
      <w:r w:rsidR="001E6804">
        <w:t xml:space="preserve">Registrar to appear by telephone </w:t>
      </w:r>
      <w:r w:rsidRPr="007D10BF">
        <w:t xml:space="preserve">is not </w:t>
      </w:r>
      <w:r w:rsidR="001E6804">
        <w:t xml:space="preserve">able to be contacted </w:t>
      </w:r>
      <w:r w:rsidRPr="007D10BF">
        <w:t>at the designated time</w:t>
      </w:r>
      <w:r w:rsidR="001E6804">
        <w:t xml:space="preserve"> or during the designated period of time, </w:t>
      </w:r>
      <w:r w:rsidRPr="007D10BF">
        <w:t>the hearing may proceed in the absence of that p</w:t>
      </w:r>
      <w:r w:rsidR="001E6804">
        <w:t xml:space="preserve">arty. </w:t>
      </w:r>
      <w:r w:rsidRPr="007D10BF">
        <w:t xml:space="preserve"> </w:t>
      </w:r>
    </w:p>
    <w:p w:rsidR="00130292" w:rsidRPr="00050081" w:rsidRDefault="00B5586A" w:rsidP="00050081">
      <w:pPr>
        <w:pStyle w:val="Heading1"/>
      </w:pPr>
      <w:bookmarkStart w:id="31" w:name="_Toc458706018"/>
      <w:bookmarkStart w:id="32" w:name="_Toc465959869"/>
      <w:bookmarkStart w:id="33" w:name="_Toc77251961"/>
      <w:r w:rsidRPr="00050081">
        <w:t xml:space="preserve">Where </w:t>
      </w:r>
      <w:r w:rsidR="00592682" w:rsidRPr="00050081">
        <w:t>no appearance may be r</w:t>
      </w:r>
      <w:r w:rsidR="00DA75C2" w:rsidRPr="00050081">
        <w:t>equired</w:t>
      </w:r>
      <w:bookmarkEnd w:id="31"/>
      <w:bookmarkEnd w:id="32"/>
      <w:bookmarkEnd w:id="33"/>
    </w:p>
    <w:p w:rsidR="00050081" w:rsidRPr="00050081" w:rsidRDefault="00050081" w:rsidP="00050081"/>
    <w:p w:rsidR="008E54A6" w:rsidRPr="004A7B0D" w:rsidRDefault="00EB5E15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4A7B0D">
        <w:t xml:space="preserve">In appropriate circumstances, </w:t>
      </w:r>
      <w:r w:rsidR="002334D5" w:rsidRPr="004A7B0D">
        <w:t xml:space="preserve">a </w:t>
      </w:r>
      <w:r w:rsidR="00D377B1">
        <w:t xml:space="preserve">Judicial </w:t>
      </w:r>
      <w:r w:rsidR="002334D5" w:rsidRPr="004A7B0D">
        <w:t xml:space="preserve">Registrar may make orders in open </w:t>
      </w:r>
      <w:r w:rsidR="00DE6CA4">
        <w:t>c</w:t>
      </w:r>
      <w:r w:rsidR="002334D5" w:rsidRPr="004A7B0D">
        <w:t xml:space="preserve">ourt without the need for the parties or the </w:t>
      </w:r>
      <w:r w:rsidR="00E21579" w:rsidRPr="004A7B0D">
        <w:t xml:space="preserve">practitioners </w:t>
      </w:r>
      <w:r w:rsidR="002334D5" w:rsidRPr="004A7B0D">
        <w:t xml:space="preserve">to be present when the matter is listed.  </w:t>
      </w:r>
      <w:r w:rsidR="00E21579" w:rsidRPr="004A7B0D">
        <w:t xml:space="preserve">Upon receiving a request from the </w:t>
      </w:r>
      <w:r w:rsidR="00E21579" w:rsidRPr="000E146A">
        <w:t>parties</w:t>
      </w:r>
      <w:r w:rsidR="001F368E" w:rsidRPr="000E146A">
        <w:t xml:space="preserve"> (see [</w:t>
      </w:r>
      <w:r w:rsidR="001E6804">
        <w:t>10</w:t>
      </w:r>
      <w:r w:rsidR="000024FE" w:rsidRPr="000E146A">
        <w:t>.</w:t>
      </w:r>
      <w:r w:rsidR="00092411">
        <w:t>8</w:t>
      </w:r>
      <w:r w:rsidR="000E146A" w:rsidRPr="000E146A">
        <w:t>]</w:t>
      </w:r>
      <w:r w:rsidR="0009635A" w:rsidRPr="000E146A">
        <w:t xml:space="preserve"> – </w:t>
      </w:r>
      <w:r w:rsidR="000E146A" w:rsidRPr="000E146A">
        <w:t>[</w:t>
      </w:r>
      <w:r w:rsidR="001E6804">
        <w:t>10</w:t>
      </w:r>
      <w:r w:rsidR="0009635A" w:rsidRPr="000E146A">
        <w:t>.1</w:t>
      </w:r>
      <w:r w:rsidR="00092411">
        <w:t>0</w:t>
      </w:r>
      <w:r w:rsidR="001F368E" w:rsidRPr="000E146A">
        <w:t xml:space="preserve">] </w:t>
      </w:r>
      <w:r w:rsidR="00A91219" w:rsidRPr="000E146A">
        <w:t>of this</w:t>
      </w:r>
      <w:r w:rsidR="00A91219">
        <w:t xml:space="preserve"> </w:t>
      </w:r>
      <w:r w:rsidR="009C0D23">
        <w:t>guide</w:t>
      </w:r>
      <w:r w:rsidR="001F368E" w:rsidRPr="004A7B0D">
        <w:t>)</w:t>
      </w:r>
      <w:r w:rsidR="00E21579" w:rsidRPr="004A7B0D">
        <w:t xml:space="preserve">, the </w:t>
      </w:r>
      <w:r w:rsidR="00D377B1">
        <w:t xml:space="preserve">Judicial </w:t>
      </w:r>
      <w:r w:rsidR="00E21579" w:rsidRPr="004A7B0D">
        <w:t>Registrar will consider whether the application can be dealt with in the</w:t>
      </w:r>
      <w:r w:rsidR="001F368E" w:rsidRPr="004A7B0D">
        <w:t xml:space="preserve">ir absence. </w:t>
      </w:r>
      <w:r w:rsidR="00690F9F" w:rsidRPr="004A7B0D">
        <w:t>Parties should not assume that an order will be made without attendance as requested.</w:t>
      </w:r>
      <w:r w:rsidR="001F368E" w:rsidRPr="004A7B0D">
        <w:t xml:space="preserve"> </w:t>
      </w:r>
      <w:r w:rsidR="004D590A" w:rsidRPr="004A7B0D">
        <w:t xml:space="preserve">Examples of suitable matters where the Court may be prepared to make orders without attendance by the parties follow.  </w:t>
      </w:r>
    </w:p>
    <w:p w:rsidR="00DC2765" w:rsidRPr="004A7B0D" w:rsidRDefault="00DC2765" w:rsidP="00DE6CA4">
      <w:pPr>
        <w:pStyle w:val="HeadingOneTOC"/>
        <w:spacing w:before="0" w:line="276" w:lineRule="auto"/>
        <w:ind w:left="709" w:hanging="709"/>
        <w:jc w:val="both"/>
      </w:pPr>
    </w:p>
    <w:p w:rsidR="00092411" w:rsidRDefault="00092411" w:rsidP="00A9000C">
      <w:pPr>
        <w:pStyle w:val="HeadingOneTOC"/>
        <w:spacing w:before="0" w:line="276" w:lineRule="auto"/>
        <w:ind w:left="709"/>
        <w:jc w:val="both"/>
      </w:pPr>
    </w:p>
    <w:p w:rsidR="00092411" w:rsidRPr="00A9000C" w:rsidRDefault="00092411" w:rsidP="00A9000C">
      <w:pPr>
        <w:pStyle w:val="HeadingOneTOC"/>
        <w:spacing w:before="0" w:line="276" w:lineRule="auto"/>
        <w:ind w:left="709"/>
        <w:jc w:val="both"/>
        <w:rPr>
          <w:i/>
        </w:rPr>
      </w:pPr>
      <w:r>
        <w:rPr>
          <w:i/>
        </w:rPr>
        <w:t>Prior to service of creditor’s petition</w:t>
      </w:r>
    </w:p>
    <w:p w:rsidR="00D052D4" w:rsidRDefault="00D052D4" w:rsidP="00A9000C">
      <w:pPr>
        <w:pStyle w:val="HeadingOneTOC"/>
        <w:spacing w:before="0" w:line="276" w:lineRule="auto"/>
        <w:jc w:val="both"/>
      </w:pPr>
    </w:p>
    <w:p w:rsidR="00FE7CD5" w:rsidRDefault="000661D0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>
        <w:t>Where</w:t>
      </w:r>
      <w:r w:rsidR="004D590A" w:rsidRPr="004A7B0D">
        <w:t xml:space="preserve"> </w:t>
      </w:r>
      <w:r>
        <w:t xml:space="preserve">a </w:t>
      </w:r>
      <w:r w:rsidR="00190EC5">
        <w:t>creditor’s p</w:t>
      </w:r>
      <w:r w:rsidR="00130C4D">
        <w:t>etition</w:t>
      </w:r>
      <w:r w:rsidR="004D590A" w:rsidRPr="004A7B0D">
        <w:t xml:space="preserve"> or originating application has not been served, the Court may grant leave to withdraw the petition or the application</w:t>
      </w:r>
      <w:r w:rsidR="004F6DBD">
        <w:t xml:space="preserve"> without attendance by the parties</w:t>
      </w:r>
      <w:r w:rsidR="004D590A" w:rsidRPr="004A7B0D">
        <w:t xml:space="preserve">. </w:t>
      </w:r>
    </w:p>
    <w:p w:rsidR="00971991" w:rsidRPr="004A7B0D" w:rsidRDefault="001542E6" w:rsidP="00B37B5B">
      <w:r>
        <w:lastRenderedPageBreak/>
        <w:tab/>
      </w:r>
    </w:p>
    <w:p w:rsidR="008E54A6" w:rsidRPr="004A7B0D" w:rsidRDefault="004D590A" w:rsidP="00DE6CA4">
      <w:pPr>
        <w:pStyle w:val="HeadingOneTOC"/>
        <w:spacing w:before="0" w:line="276" w:lineRule="auto"/>
        <w:ind w:left="709"/>
        <w:jc w:val="both"/>
      </w:pPr>
      <w:r w:rsidRPr="004A7B0D">
        <w:rPr>
          <w:i/>
        </w:rPr>
        <w:t xml:space="preserve">Consent </w:t>
      </w:r>
      <w:r w:rsidR="00592682">
        <w:rPr>
          <w:i/>
        </w:rPr>
        <w:t>a</w:t>
      </w:r>
      <w:r w:rsidRPr="004A7B0D">
        <w:rPr>
          <w:i/>
        </w:rPr>
        <w:t xml:space="preserve">djournments / </w:t>
      </w:r>
      <w:r w:rsidR="002B153C">
        <w:rPr>
          <w:i/>
        </w:rPr>
        <w:t>C</w:t>
      </w:r>
      <w:r w:rsidRPr="004A7B0D">
        <w:rPr>
          <w:i/>
        </w:rPr>
        <w:t xml:space="preserve">ase </w:t>
      </w:r>
      <w:r w:rsidR="00D41402">
        <w:rPr>
          <w:i/>
        </w:rPr>
        <w:t>m</w:t>
      </w:r>
      <w:r w:rsidRPr="004A7B0D">
        <w:rPr>
          <w:i/>
        </w:rPr>
        <w:t xml:space="preserve">anagement </w:t>
      </w:r>
      <w:r w:rsidR="00D41402">
        <w:rPr>
          <w:i/>
        </w:rPr>
        <w:t>o</w:t>
      </w:r>
      <w:r w:rsidRPr="004A7B0D">
        <w:rPr>
          <w:i/>
        </w:rPr>
        <w:t xml:space="preserve">rders </w:t>
      </w:r>
    </w:p>
    <w:p w:rsidR="004A7B0D" w:rsidRDefault="004A7B0D" w:rsidP="00DE6CA4">
      <w:pPr>
        <w:pStyle w:val="ListParagraph"/>
        <w:ind w:left="709" w:hanging="709"/>
      </w:pPr>
    </w:p>
    <w:p w:rsidR="001F368E" w:rsidRPr="004A7B0D" w:rsidRDefault="001F368E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4A7B0D">
        <w:t xml:space="preserve">Where, after a </w:t>
      </w:r>
      <w:r w:rsidR="00190EC5">
        <w:t>creditor’s p</w:t>
      </w:r>
      <w:r w:rsidR="00130C4D">
        <w:t>etition</w:t>
      </w:r>
      <w:r w:rsidRPr="004A7B0D">
        <w:t xml:space="preserve"> or originating application has been served, the parties reach agreement that the proceeding should be adjourned, the Court may </w:t>
      </w:r>
      <w:r w:rsidR="008E07ED" w:rsidRPr="004A7B0D">
        <w:t xml:space="preserve">(on approval of the </w:t>
      </w:r>
      <w:r w:rsidR="00D377B1">
        <w:t xml:space="preserve">Judicial </w:t>
      </w:r>
      <w:r w:rsidR="008E07ED" w:rsidRPr="004A7B0D">
        <w:t xml:space="preserve">Registrar) </w:t>
      </w:r>
      <w:r w:rsidRPr="004A7B0D">
        <w:t xml:space="preserve">adjourn the proceeding without the parties having to attend provided that a notice of appearance has been filed by all consenting parties, the consent order is </w:t>
      </w:r>
      <w:proofErr w:type="spellStart"/>
      <w:r w:rsidRPr="004A7B0D">
        <w:t>eLodged</w:t>
      </w:r>
      <w:proofErr w:type="spellEnd"/>
      <w:r w:rsidRPr="004A7B0D">
        <w:t xml:space="preserve"> no later than 2pm the day prior to the hearing</w:t>
      </w:r>
      <w:r w:rsidR="002B153C">
        <w:t>,</w:t>
      </w:r>
      <w:r w:rsidRPr="004A7B0D">
        <w:t xml:space="preserve"> and the order is not opposed, at the hearing, by any supporting cre</w:t>
      </w:r>
      <w:r w:rsidR="008E54A6" w:rsidRPr="004A7B0D">
        <w:t>ditor or other interested party (r</w:t>
      </w:r>
      <w:r w:rsidRPr="004A7B0D">
        <w:t xml:space="preserve">efer to </w:t>
      </w:r>
      <w:r w:rsidRPr="004A76E5">
        <w:t>paragraph [</w:t>
      </w:r>
      <w:r w:rsidR="00592682">
        <w:fldChar w:fldCharType="begin"/>
      </w:r>
      <w:r w:rsidR="00592682">
        <w:instrText xml:space="preserve"> REF _Ref465957348 \r \h </w:instrText>
      </w:r>
      <w:r w:rsidR="00592682">
        <w:fldChar w:fldCharType="separate"/>
      </w:r>
      <w:r w:rsidR="00592682">
        <w:t>11</w:t>
      </w:r>
      <w:r w:rsidR="00592682">
        <w:fldChar w:fldCharType="end"/>
      </w:r>
      <w:r w:rsidRPr="004A76E5">
        <w:t xml:space="preserve">] </w:t>
      </w:r>
      <w:r w:rsidR="00A91219" w:rsidRPr="004A76E5">
        <w:t>of this</w:t>
      </w:r>
      <w:r w:rsidR="00A91219">
        <w:t xml:space="preserve"> </w:t>
      </w:r>
      <w:r w:rsidR="009C0D23">
        <w:t>guide</w:t>
      </w:r>
      <w:r w:rsidR="00A91219">
        <w:t xml:space="preserve"> </w:t>
      </w:r>
      <w:r w:rsidRPr="004A7B0D">
        <w:t xml:space="preserve">on adjournment applications). </w:t>
      </w:r>
      <w:r w:rsidR="00825E6C">
        <w:t xml:space="preserve"> </w:t>
      </w:r>
      <w:r w:rsidR="00825E6C" w:rsidRPr="004A7B0D">
        <w:t>Parties should not expect that the Court w</w:t>
      </w:r>
      <w:r w:rsidR="00825E6C">
        <w:t xml:space="preserve">ill adjourn a matter more than once in their absence. </w:t>
      </w:r>
    </w:p>
    <w:p w:rsidR="008E54A6" w:rsidRPr="004A7B0D" w:rsidRDefault="008E54A6" w:rsidP="00DE6CA4">
      <w:pPr>
        <w:pStyle w:val="HeadingOneTOC"/>
        <w:spacing w:before="0" w:line="276" w:lineRule="auto"/>
        <w:ind w:left="709" w:hanging="709"/>
        <w:jc w:val="both"/>
      </w:pPr>
    </w:p>
    <w:p w:rsidR="004A76E5" w:rsidRDefault="000F66DD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4A7B0D">
        <w:t xml:space="preserve">Where all parties consent to orders varying directions previously made, a </w:t>
      </w:r>
      <w:r w:rsidR="00D377B1">
        <w:t xml:space="preserve">Judicial </w:t>
      </w:r>
      <w:r w:rsidRPr="004A7B0D">
        <w:t xml:space="preserve">Registrar may agree to make those orders in open </w:t>
      </w:r>
      <w:r w:rsidR="00D25891">
        <w:t>c</w:t>
      </w:r>
      <w:r w:rsidRPr="004A7B0D">
        <w:t>ourt without the parties having to attend in person</w:t>
      </w:r>
      <w:r w:rsidR="008C31DE" w:rsidRPr="004A7B0D">
        <w:t xml:space="preserve">.  </w:t>
      </w:r>
      <w:r w:rsidR="008E54A6" w:rsidRPr="004A7B0D">
        <w:t>H</w:t>
      </w:r>
      <w:r w:rsidRPr="004A7B0D">
        <w:t>owever</w:t>
      </w:r>
      <w:r w:rsidR="008E54A6" w:rsidRPr="004A7B0D">
        <w:t>,</w:t>
      </w:r>
      <w:r w:rsidRPr="004A7B0D">
        <w:t xml:space="preserve"> should the </w:t>
      </w:r>
      <w:r w:rsidR="00D377B1">
        <w:t xml:space="preserve">Judicial </w:t>
      </w:r>
      <w:r w:rsidRPr="004A7B0D">
        <w:t xml:space="preserve">Registrar decline to make the proposed orders, </w:t>
      </w:r>
      <w:r w:rsidR="009F021A" w:rsidRPr="004A7B0D">
        <w:t xml:space="preserve">the parties are expected to appear when the matter is listed before the Court. </w:t>
      </w:r>
    </w:p>
    <w:p w:rsidR="004A76E5" w:rsidRPr="004A7B0D" w:rsidRDefault="004A76E5" w:rsidP="00DE6CA4">
      <w:pPr>
        <w:pStyle w:val="HeadingOneTOC"/>
        <w:spacing w:before="0" w:line="276" w:lineRule="auto"/>
        <w:ind w:left="709" w:hanging="709"/>
        <w:jc w:val="both"/>
      </w:pPr>
    </w:p>
    <w:p w:rsidR="004D590A" w:rsidRPr="004A7B0D" w:rsidRDefault="004D590A" w:rsidP="00DE6CA4">
      <w:pPr>
        <w:pStyle w:val="HeadingOneTOC"/>
        <w:spacing w:before="0" w:line="276" w:lineRule="auto"/>
        <w:ind w:left="709"/>
        <w:jc w:val="both"/>
        <w:rPr>
          <w:i/>
        </w:rPr>
      </w:pPr>
      <w:r w:rsidRPr="004A7B0D">
        <w:rPr>
          <w:i/>
        </w:rPr>
        <w:t>Dismissals /</w:t>
      </w:r>
      <w:r w:rsidR="00592682">
        <w:rPr>
          <w:i/>
        </w:rPr>
        <w:t xml:space="preserve"> Leave to w</w:t>
      </w:r>
      <w:r w:rsidRPr="004A7B0D">
        <w:rPr>
          <w:i/>
        </w:rPr>
        <w:t xml:space="preserve">ithdraw </w:t>
      </w:r>
    </w:p>
    <w:p w:rsidR="004D590A" w:rsidRPr="004A7B0D" w:rsidRDefault="004D590A" w:rsidP="00DE6CA4">
      <w:pPr>
        <w:pStyle w:val="HeadingOneTOC"/>
        <w:spacing w:before="0" w:line="276" w:lineRule="auto"/>
        <w:ind w:left="709" w:hanging="709"/>
        <w:jc w:val="both"/>
      </w:pPr>
    </w:p>
    <w:p w:rsidR="004D590A" w:rsidRPr="004A7B0D" w:rsidRDefault="004D590A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4A7B0D">
        <w:t xml:space="preserve">Where, after a </w:t>
      </w:r>
      <w:r w:rsidR="00190EC5">
        <w:t>creditor’s p</w:t>
      </w:r>
      <w:r w:rsidR="00130C4D">
        <w:t>etition</w:t>
      </w:r>
      <w:r w:rsidRPr="004A7B0D">
        <w:t xml:space="preserve"> or originating application has been served, the parties reach agreement that the proceeding should be dismissed, the Court may (on approval of the </w:t>
      </w:r>
      <w:r w:rsidR="00D377B1">
        <w:t xml:space="preserve">Judicial </w:t>
      </w:r>
      <w:r w:rsidRPr="004A7B0D">
        <w:t xml:space="preserve">Registrar) dismiss the application </w:t>
      </w:r>
      <w:r w:rsidR="002B153C">
        <w:t>(with or without costs)</w:t>
      </w:r>
      <w:r w:rsidRPr="004A7B0D">
        <w:t xml:space="preserve"> without the parties having to attend provided </w:t>
      </w:r>
      <w:r w:rsidR="002B153C">
        <w:t xml:space="preserve">that </w:t>
      </w:r>
      <w:r w:rsidRPr="004A7B0D">
        <w:t xml:space="preserve">the proposed (or agreed) order is </w:t>
      </w:r>
      <w:proofErr w:type="spellStart"/>
      <w:r w:rsidRPr="004A7B0D">
        <w:t>eLodged</w:t>
      </w:r>
      <w:proofErr w:type="spellEnd"/>
      <w:r w:rsidRPr="004A7B0D">
        <w:t xml:space="preserve"> no later than 2pm the day prior to the hearing and the order (including </w:t>
      </w:r>
      <w:r w:rsidR="002B153C">
        <w:t xml:space="preserve">any </w:t>
      </w:r>
      <w:r w:rsidRPr="004A7B0D">
        <w:t>cost</w:t>
      </w:r>
      <w:r w:rsidR="002B153C">
        <w:t>s</w:t>
      </w:r>
      <w:r w:rsidRPr="004A7B0D">
        <w:t xml:space="preserve"> order) is not opposed, at the hearing, by any supporting creditor or other interested party. </w:t>
      </w:r>
    </w:p>
    <w:p w:rsidR="00DC2765" w:rsidRPr="004A7B0D" w:rsidRDefault="00DC2765" w:rsidP="00DE6CA4">
      <w:pPr>
        <w:pStyle w:val="HeadingOneTOC"/>
        <w:spacing w:before="0" w:line="276" w:lineRule="auto"/>
        <w:ind w:left="709" w:hanging="709"/>
        <w:jc w:val="both"/>
      </w:pPr>
    </w:p>
    <w:p w:rsidR="008E54A6" w:rsidRDefault="004D590A" w:rsidP="00DE6CA4">
      <w:pPr>
        <w:pStyle w:val="HeadingOneTOC"/>
        <w:spacing w:before="0" w:line="276" w:lineRule="auto"/>
        <w:ind w:left="709"/>
        <w:jc w:val="both"/>
        <w:rPr>
          <w:i/>
        </w:rPr>
      </w:pPr>
      <w:r w:rsidRPr="004A7B0D">
        <w:rPr>
          <w:i/>
        </w:rPr>
        <w:t xml:space="preserve">Other </w:t>
      </w:r>
      <w:r w:rsidR="00D41402">
        <w:rPr>
          <w:i/>
        </w:rPr>
        <w:t>o</w:t>
      </w:r>
      <w:r w:rsidR="002B153C">
        <w:rPr>
          <w:i/>
        </w:rPr>
        <w:t>rders made</w:t>
      </w:r>
      <w:r w:rsidRPr="004A7B0D">
        <w:rPr>
          <w:i/>
        </w:rPr>
        <w:t xml:space="preserve"> </w:t>
      </w:r>
      <w:r w:rsidR="00231FCB">
        <w:rPr>
          <w:i/>
        </w:rPr>
        <w:t>w</w:t>
      </w:r>
      <w:r w:rsidRPr="004A7B0D">
        <w:rPr>
          <w:i/>
        </w:rPr>
        <w:t xml:space="preserve">ithout </w:t>
      </w:r>
      <w:r w:rsidR="00231FCB">
        <w:rPr>
          <w:i/>
        </w:rPr>
        <w:t>a</w:t>
      </w:r>
      <w:r w:rsidRPr="004A7B0D">
        <w:rPr>
          <w:i/>
        </w:rPr>
        <w:t xml:space="preserve">ttendance </w:t>
      </w:r>
    </w:p>
    <w:p w:rsidR="002B153C" w:rsidRPr="004A7B0D" w:rsidRDefault="002B153C" w:rsidP="00DE6CA4">
      <w:pPr>
        <w:pStyle w:val="HeadingOneTOC"/>
        <w:spacing w:before="0" w:line="276" w:lineRule="auto"/>
        <w:ind w:left="709" w:hanging="709"/>
        <w:jc w:val="both"/>
        <w:rPr>
          <w:i/>
        </w:rPr>
      </w:pPr>
    </w:p>
    <w:p w:rsidR="001F368E" w:rsidRPr="004A7B0D" w:rsidRDefault="001F368E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4A7B0D">
        <w:t>Where a</w:t>
      </w:r>
      <w:r w:rsidR="00120F4E" w:rsidRPr="004A7B0D">
        <w:t xml:space="preserve"> matter has been referred to a J</w:t>
      </w:r>
      <w:r w:rsidRPr="004A7B0D">
        <w:t xml:space="preserve">udge’s </w:t>
      </w:r>
      <w:r w:rsidR="00120F4E" w:rsidRPr="004A7B0D">
        <w:t>D</w:t>
      </w:r>
      <w:r w:rsidRPr="004A7B0D">
        <w:t xml:space="preserve">ocket and allocated a different </w:t>
      </w:r>
      <w:r w:rsidR="00D25891">
        <w:t>c</w:t>
      </w:r>
      <w:r w:rsidRPr="004A7B0D">
        <w:t xml:space="preserve">ourt date, the </w:t>
      </w:r>
      <w:r w:rsidR="00D377B1">
        <w:t xml:space="preserve">Judicial </w:t>
      </w:r>
      <w:r w:rsidRPr="004A7B0D">
        <w:t xml:space="preserve">Registrar may announce the new listing in open </w:t>
      </w:r>
      <w:r w:rsidR="00D25891">
        <w:t>c</w:t>
      </w:r>
      <w:r w:rsidRPr="004A7B0D">
        <w:t xml:space="preserve">ourt without the parties having to attend. </w:t>
      </w:r>
    </w:p>
    <w:p w:rsidR="003D1BA9" w:rsidRPr="004A7B0D" w:rsidRDefault="003D1BA9" w:rsidP="00DE6CA4">
      <w:pPr>
        <w:pStyle w:val="HeadingOneTOC"/>
        <w:spacing w:before="0" w:line="276" w:lineRule="auto"/>
        <w:ind w:left="709" w:hanging="709"/>
        <w:jc w:val="both"/>
      </w:pPr>
    </w:p>
    <w:p w:rsidR="003D1BA9" w:rsidRPr="00BD501B" w:rsidRDefault="003D1BA9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BD501B">
        <w:t xml:space="preserve">Where proceedings have been adjourned for the purpose of making final costs orders which are not opposed (refer to </w:t>
      </w:r>
      <w:r w:rsidRPr="004A76E5">
        <w:t>paragraph [</w:t>
      </w:r>
      <w:r w:rsidR="006D5B6F">
        <w:fldChar w:fldCharType="begin"/>
      </w:r>
      <w:r w:rsidR="006D5B6F">
        <w:instrText xml:space="preserve"> REF _Ref467155968 \r \h </w:instrText>
      </w:r>
      <w:r w:rsidR="006D5B6F">
        <w:fldChar w:fldCharType="separate"/>
      </w:r>
      <w:r w:rsidR="006D5B6F">
        <w:t>17</w:t>
      </w:r>
      <w:r w:rsidR="006D5B6F">
        <w:fldChar w:fldCharType="end"/>
      </w:r>
      <w:r w:rsidRPr="004A76E5">
        <w:t>] of this</w:t>
      </w:r>
      <w:r w:rsidRPr="00BD501B">
        <w:t xml:space="preserve"> </w:t>
      </w:r>
      <w:r w:rsidR="009C0D23">
        <w:t>guide</w:t>
      </w:r>
      <w:r w:rsidRPr="00BD501B">
        <w:t xml:space="preserve">).   </w:t>
      </w:r>
    </w:p>
    <w:p w:rsidR="008E54A6" w:rsidRPr="004A7B0D" w:rsidRDefault="008E54A6" w:rsidP="00DE6CA4">
      <w:pPr>
        <w:pStyle w:val="HeadingOneTOC"/>
        <w:spacing w:before="0" w:line="276" w:lineRule="auto"/>
        <w:ind w:left="709" w:hanging="709"/>
        <w:jc w:val="both"/>
        <w:rPr>
          <w:i/>
        </w:rPr>
      </w:pPr>
    </w:p>
    <w:p w:rsidR="00690F9F" w:rsidRDefault="00231FCB" w:rsidP="00DE6CA4">
      <w:pPr>
        <w:pStyle w:val="HeadingOneTOC"/>
        <w:spacing w:before="0" w:line="276" w:lineRule="auto"/>
        <w:ind w:left="709"/>
        <w:jc w:val="both"/>
        <w:rPr>
          <w:i/>
        </w:rPr>
      </w:pPr>
      <w:r>
        <w:rPr>
          <w:i/>
        </w:rPr>
        <w:t>Submitting a r</w:t>
      </w:r>
      <w:r w:rsidR="00690F9F" w:rsidRPr="004A7B0D">
        <w:rPr>
          <w:i/>
        </w:rPr>
        <w:t xml:space="preserve">equest for an </w:t>
      </w:r>
      <w:r>
        <w:rPr>
          <w:i/>
        </w:rPr>
        <w:t>o</w:t>
      </w:r>
      <w:r w:rsidR="00690F9F" w:rsidRPr="004A7B0D">
        <w:rPr>
          <w:i/>
        </w:rPr>
        <w:t xml:space="preserve">rder </w:t>
      </w:r>
      <w:r>
        <w:rPr>
          <w:i/>
        </w:rPr>
        <w:t>w</w:t>
      </w:r>
      <w:r w:rsidR="00690F9F" w:rsidRPr="004A7B0D">
        <w:rPr>
          <w:i/>
        </w:rPr>
        <w:t xml:space="preserve">ithout </w:t>
      </w:r>
      <w:r>
        <w:rPr>
          <w:i/>
        </w:rPr>
        <w:t>a</w:t>
      </w:r>
      <w:r w:rsidR="00690F9F" w:rsidRPr="004A7B0D">
        <w:rPr>
          <w:i/>
        </w:rPr>
        <w:t xml:space="preserve">ttendance  </w:t>
      </w:r>
    </w:p>
    <w:p w:rsidR="00473F1E" w:rsidRPr="004A7B0D" w:rsidRDefault="00473F1E" w:rsidP="00DE6CA4">
      <w:pPr>
        <w:pStyle w:val="HeadingOneTOC"/>
        <w:spacing w:before="0" w:line="276" w:lineRule="auto"/>
        <w:ind w:left="709" w:hanging="709"/>
        <w:jc w:val="both"/>
        <w:rPr>
          <w:i/>
        </w:rPr>
      </w:pPr>
    </w:p>
    <w:p w:rsidR="00EB5E15" w:rsidRPr="004A7B0D" w:rsidRDefault="00E30118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4A7B0D">
        <w:t>These arrangements are designed to save expense to the parties, the time of the Court</w:t>
      </w:r>
      <w:r w:rsidR="0056707F">
        <w:t>,</w:t>
      </w:r>
      <w:r w:rsidRPr="004A7B0D">
        <w:t xml:space="preserve"> and for the convenience of practitioners and are subject to the overriding discretion of the </w:t>
      </w:r>
      <w:r w:rsidR="00D377B1">
        <w:t xml:space="preserve">Judicial </w:t>
      </w:r>
      <w:r w:rsidRPr="004A7B0D">
        <w:t xml:space="preserve">Registrar as to whether it is appropriate to deal with a matter in the absence of the parties. </w:t>
      </w:r>
      <w:r w:rsidR="006B2F61" w:rsidRPr="004A7B0D">
        <w:t xml:space="preserve">  </w:t>
      </w:r>
    </w:p>
    <w:p w:rsidR="00B5586A" w:rsidRPr="004A7B0D" w:rsidRDefault="00B5586A" w:rsidP="00DE6CA4">
      <w:pPr>
        <w:pStyle w:val="HeadingOneTOC"/>
        <w:spacing w:before="0" w:line="276" w:lineRule="auto"/>
        <w:ind w:left="709" w:hanging="709"/>
        <w:jc w:val="both"/>
      </w:pPr>
    </w:p>
    <w:p w:rsidR="00A06AEB" w:rsidRPr="004A7B0D" w:rsidRDefault="00B5586A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4A7B0D">
        <w:lastRenderedPageBreak/>
        <w:t xml:space="preserve">Any request to be excused from appearing when a matter is listed before the Court should be made </w:t>
      </w:r>
      <w:r w:rsidR="006B2F61" w:rsidRPr="004A7B0D">
        <w:t xml:space="preserve">in writing </w:t>
      </w:r>
      <w:r w:rsidRPr="004A7B0D">
        <w:t xml:space="preserve">no later than 2pm the day before the proceeding </w:t>
      </w:r>
      <w:r w:rsidR="0056707F">
        <w:t>is</w:t>
      </w:r>
      <w:r w:rsidRPr="004A7B0D">
        <w:t xml:space="preserve"> listed</w:t>
      </w:r>
      <w:r w:rsidR="001C5FC3" w:rsidRPr="004A7B0D">
        <w:t xml:space="preserve">. </w:t>
      </w:r>
      <w:r w:rsidR="001C5F89" w:rsidRPr="004A7B0D">
        <w:t xml:space="preserve">The </w:t>
      </w:r>
      <w:r w:rsidR="00D377B1">
        <w:t xml:space="preserve">Judicial </w:t>
      </w:r>
      <w:r w:rsidR="001C5F89" w:rsidRPr="004A7B0D">
        <w:t xml:space="preserve">Registrar will endeavour to review the request </w:t>
      </w:r>
      <w:r w:rsidR="00947C68" w:rsidRPr="004A7B0D">
        <w:t xml:space="preserve">to </w:t>
      </w:r>
      <w:r w:rsidR="001C5F89" w:rsidRPr="004A7B0D">
        <w:t xml:space="preserve">consider whether to make the proposed orders without the parties having to appear in court when the matter is </w:t>
      </w:r>
      <w:r w:rsidR="00A06AEB" w:rsidRPr="004A7B0D">
        <w:t xml:space="preserve">next </w:t>
      </w:r>
      <w:r w:rsidR="001C5F89" w:rsidRPr="004A7B0D">
        <w:t>listed.</w:t>
      </w:r>
      <w:r w:rsidR="00A06AEB" w:rsidRPr="004A7B0D">
        <w:t xml:space="preserve"> </w:t>
      </w:r>
    </w:p>
    <w:p w:rsidR="00A06AEB" w:rsidRPr="004A7B0D" w:rsidRDefault="00A06AEB" w:rsidP="00DE6CA4">
      <w:pPr>
        <w:pStyle w:val="HeadingOneTOC"/>
        <w:spacing w:before="0" w:line="276" w:lineRule="auto"/>
        <w:ind w:left="709" w:hanging="709"/>
        <w:jc w:val="both"/>
      </w:pPr>
    </w:p>
    <w:p w:rsidR="001C5F89" w:rsidRDefault="00A06AEB" w:rsidP="00DE6CA4">
      <w:pPr>
        <w:pStyle w:val="HeadingOneTOC"/>
        <w:spacing w:before="0" w:line="276" w:lineRule="auto"/>
        <w:ind w:left="709"/>
        <w:jc w:val="both"/>
      </w:pPr>
      <w:r w:rsidRPr="0009635A">
        <w:rPr>
          <w:i/>
        </w:rPr>
        <w:t>Note</w:t>
      </w:r>
      <w:r w:rsidRPr="0009635A">
        <w:t xml:space="preserve">: </w:t>
      </w:r>
      <w:r w:rsidR="004A76E5">
        <w:t xml:space="preserve"> </w:t>
      </w:r>
      <w:r w:rsidRPr="0009635A">
        <w:t xml:space="preserve">Parties are to </w:t>
      </w:r>
      <w:r w:rsidR="006428AF" w:rsidRPr="0009635A">
        <w:t xml:space="preserve">put their requests in writing by </w:t>
      </w:r>
      <w:proofErr w:type="spellStart"/>
      <w:r w:rsidR="006428AF" w:rsidRPr="0009635A">
        <w:t>eLodging</w:t>
      </w:r>
      <w:proofErr w:type="spellEnd"/>
      <w:r w:rsidR="0006626F">
        <w:t xml:space="preserve"> the request as correspondence</w:t>
      </w:r>
      <w:r w:rsidR="006428AF" w:rsidRPr="0009635A">
        <w:t xml:space="preserve"> and sending an </w:t>
      </w:r>
      <w:r w:rsidRPr="0009635A">
        <w:t xml:space="preserve">email to </w:t>
      </w:r>
      <w:r w:rsidR="00044B14" w:rsidRPr="004A76E5">
        <w:t>the</w:t>
      </w:r>
      <w:r w:rsidR="00D67742" w:rsidRPr="004A76E5">
        <w:t xml:space="preserve"> Legal Case Manager</w:t>
      </w:r>
      <w:r w:rsidR="00092411">
        <w:t>/Lawyer</w:t>
      </w:r>
      <w:r w:rsidR="00D67742" w:rsidRPr="004A76E5">
        <w:t xml:space="preserve"> </w:t>
      </w:r>
      <w:r w:rsidR="00B5586A" w:rsidRPr="004A76E5">
        <w:t>copying</w:t>
      </w:r>
      <w:r w:rsidR="00B5586A" w:rsidRPr="0009635A">
        <w:t xml:space="preserve"> in each other party to the proceeding</w:t>
      </w:r>
      <w:r w:rsidR="00044B14" w:rsidRPr="0009635A">
        <w:t xml:space="preserve"> </w:t>
      </w:r>
      <w:r w:rsidR="007C59FA" w:rsidRPr="0009635A">
        <w:t xml:space="preserve">confirming that the request has been </w:t>
      </w:r>
      <w:proofErr w:type="spellStart"/>
      <w:r w:rsidR="007C59FA" w:rsidRPr="0009635A">
        <w:t>eLodged</w:t>
      </w:r>
      <w:proofErr w:type="spellEnd"/>
      <w:r w:rsidR="004D590A" w:rsidRPr="0009635A">
        <w:t xml:space="preserve">. </w:t>
      </w:r>
      <w:r w:rsidR="007C59FA" w:rsidRPr="0009635A">
        <w:t xml:space="preserve"> </w:t>
      </w:r>
      <w:r w:rsidRPr="0009635A">
        <w:t xml:space="preserve">Protocols for emailing a </w:t>
      </w:r>
      <w:r w:rsidR="00D377B1">
        <w:t xml:space="preserve">Judicial </w:t>
      </w:r>
      <w:r w:rsidRPr="0009635A">
        <w:t xml:space="preserve">Registrar are set out below at </w:t>
      </w:r>
      <w:r w:rsidRPr="004A76E5">
        <w:t xml:space="preserve">paragraph </w:t>
      </w:r>
      <w:r w:rsidR="001C7509">
        <w:t>[20</w:t>
      </w:r>
      <w:r w:rsidRPr="004A76E5">
        <w:t>]</w:t>
      </w:r>
      <w:r w:rsidR="008C31DE" w:rsidRPr="004A76E5">
        <w:t xml:space="preserve">.  </w:t>
      </w:r>
    </w:p>
    <w:p w:rsidR="00BD501B" w:rsidRPr="004A7B0D" w:rsidRDefault="00BD501B" w:rsidP="00DE6CA4">
      <w:pPr>
        <w:pStyle w:val="HeadingOneTOC"/>
        <w:spacing w:before="0" w:line="276" w:lineRule="auto"/>
        <w:ind w:left="709" w:hanging="709"/>
        <w:jc w:val="both"/>
      </w:pPr>
    </w:p>
    <w:p w:rsidR="00B5586A" w:rsidRPr="004A7B0D" w:rsidRDefault="00B5586A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4A7B0D">
        <w:t xml:space="preserve">It is the responsibility of the parties (and lawyers representing each party) to enquire of the relevant </w:t>
      </w:r>
      <w:r w:rsidR="00BE1BC5">
        <w:t>R</w:t>
      </w:r>
      <w:r w:rsidRPr="004A7B0D">
        <w:t xml:space="preserve">egistry whether the </w:t>
      </w:r>
      <w:r w:rsidR="00D377B1">
        <w:t xml:space="preserve">Judicial </w:t>
      </w:r>
      <w:r w:rsidRPr="004A7B0D">
        <w:t>Registrar will agree to make o</w:t>
      </w:r>
      <w:r w:rsidR="00D25891">
        <w:t>rders in their absence in open c</w:t>
      </w:r>
      <w:r w:rsidRPr="004A7B0D">
        <w:t xml:space="preserve">ourt.  In the absence of confirmation from the </w:t>
      </w:r>
      <w:r w:rsidR="00BE1BC5">
        <w:t>R</w:t>
      </w:r>
      <w:r w:rsidRPr="004A7B0D">
        <w:t xml:space="preserve">egistry the </w:t>
      </w:r>
      <w:r w:rsidR="00D25891">
        <w:t>parties are expected to attend c</w:t>
      </w:r>
      <w:r w:rsidRPr="004A7B0D">
        <w:t xml:space="preserve">ourt when the matter is listed.  </w:t>
      </w:r>
    </w:p>
    <w:p w:rsidR="00130292" w:rsidRDefault="00B5586A" w:rsidP="00050081">
      <w:pPr>
        <w:pStyle w:val="Heading1"/>
      </w:pPr>
      <w:bookmarkStart w:id="34" w:name="_Toc458706019"/>
      <w:bookmarkStart w:id="35" w:name="_Ref465957348"/>
      <w:bookmarkStart w:id="36" w:name="_Toc465959870"/>
      <w:bookmarkStart w:id="37" w:name="_Toc77251962"/>
      <w:r w:rsidRPr="00473F1E">
        <w:t>Adjournments</w:t>
      </w:r>
      <w:bookmarkEnd w:id="34"/>
      <w:bookmarkEnd w:id="35"/>
      <w:bookmarkEnd w:id="36"/>
      <w:bookmarkEnd w:id="37"/>
      <w:r w:rsidRPr="00473F1E">
        <w:t xml:space="preserve">  </w:t>
      </w:r>
    </w:p>
    <w:p w:rsidR="00050081" w:rsidRPr="00050081" w:rsidRDefault="00050081" w:rsidP="00050081"/>
    <w:p w:rsidR="00120F4E" w:rsidRPr="004A7B0D" w:rsidRDefault="00D21634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4A7B0D">
        <w:t xml:space="preserve">There is no automatic entitlement to an adjournment in </w:t>
      </w:r>
      <w:r w:rsidR="00BE1BC5">
        <w:t>b</w:t>
      </w:r>
      <w:r w:rsidR="00D67742">
        <w:t>ankruptcy</w:t>
      </w:r>
      <w:r w:rsidRPr="004A7B0D">
        <w:t xml:space="preserve"> matters listed before a </w:t>
      </w:r>
      <w:r w:rsidR="00D377B1">
        <w:t xml:space="preserve">Judicial </w:t>
      </w:r>
      <w:r w:rsidR="00CA1EEB" w:rsidRPr="004A7B0D">
        <w:t>Registrar. A</w:t>
      </w:r>
      <w:r w:rsidR="00A15205" w:rsidRPr="004A7B0D">
        <w:t xml:space="preserve"> party who seeks an adjournment </w:t>
      </w:r>
      <w:r w:rsidR="00CA1EEB" w:rsidRPr="004A7B0D">
        <w:t xml:space="preserve">is expected to confer with the other parties with a view to reaching agreement in advance of a </w:t>
      </w:r>
      <w:r w:rsidR="00D25891">
        <w:t>c</w:t>
      </w:r>
      <w:r w:rsidR="00CA1EEB" w:rsidRPr="004A7B0D">
        <w:t>ourt listing on the orders t</w:t>
      </w:r>
      <w:r w:rsidR="00BE1BC5">
        <w:t>he Court will be asked to make.</w:t>
      </w:r>
    </w:p>
    <w:p w:rsidR="00120F4E" w:rsidRPr="004A7B0D" w:rsidRDefault="00120F4E" w:rsidP="00DE6CA4">
      <w:pPr>
        <w:pStyle w:val="HeadingOneTOC"/>
        <w:spacing w:before="0" w:line="276" w:lineRule="auto"/>
        <w:ind w:left="709" w:hanging="709"/>
        <w:jc w:val="both"/>
      </w:pPr>
    </w:p>
    <w:p w:rsidR="00253CCC" w:rsidRPr="004A7B0D" w:rsidRDefault="00253CCC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4A7B0D">
        <w:t>Generally, a</w:t>
      </w:r>
      <w:r w:rsidR="00D21634" w:rsidRPr="004A7B0D">
        <w:t xml:space="preserve"> party applying for an adjournment or </w:t>
      </w:r>
      <w:r w:rsidRPr="004A7B0D">
        <w:t xml:space="preserve">for orders varying or amending previous orders would be expected to </w:t>
      </w:r>
      <w:r w:rsidR="006E3619">
        <w:t>satisfy the Court of the basis of the adjournment or other order, and the Court may require the party to f</w:t>
      </w:r>
      <w:r w:rsidRPr="004A7B0D">
        <w:t xml:space="preserve">ile and serve an </w:t>
      </w:r>
      <w:r w:rsidR="00897B6E" w:rsidRPr="004A7B0D">
        <w:t>a</w:t>
      </w:r>
      <w:r w:rsidRPr="004A7B0D">
        <w:t>ffidavit setting out</w:t>
      </w:r>
      <w:r w:rsidR="000024FE" w:rsidRPr="004A7B0D">
        <w:t xml:space="preserve"> the factual basis, and explain</w:t>
      </w:r>
      <w:r w:rsidRPr="004A7B0D">
        <w:t xml:space="preserve"> t</w:t>
      </w:r>
      <w:r w:rsidR="00E5538B">
        <w:t>he reasons, for the adjourn</w:t>
      </w:r>
      <w:r w:rsidR="001E6ADF">
        <w:t>ment and any other matters the C</w:t>
      </w:r>
      <w:r w:rsidR="00E5538B">
        <w:t xml:space="preserve">ourt will be asked to consider. </w:t>
      </w:r>
      <w:r w:rsidRPr="004A7B0D">
        <w:t xml:space="preserve">  </w:t>
      </w:r>
    </w:p>
    <w:p w:rsidR="00120F4E" w:rsidRPr="004A7B0D" w:rsidRDefault="00120F4E" w:rsidP="00DE6CA4">
      <w:pPr>
        <w:pStyle w:val="HeadingOneTOC"/>
        <w:spacing w:before="0" w:line="276" w:lineRule="auto"/>
        <w:ind w:left="709" w:hanging="709"/>
        <w:jc w:val="both"/>
      </w:pPr>
    </w:p>
    <w:p w:rsidR="00B5586A" w:rsidRPr="004A7B0D" w:rsidRDefault="00F32CF3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4A7B0D">
        <w:t>Parties</w:t>
      </w:r>
      <w:r w:rsidR="00CA1EEB" w:rsidRPr="004A7B0D">
        <w:t xml:space="preserve"> should not expect that the Court will adjourn a </w:t>
      </w:r>
      <w:r w:rsidR="00190EC5">
        <w:t>creditor’s p</w:t>
      </w:r>
      <w:r w:rsidR="00130C4D">
        <w:t>etition</w:t>
      </w:r>
      <w:r w:rsidR="00CA1EEB" w:rsidRPr="004A7B0D">
        <w:t xml:space="preserve"> or originating application, even if by consent, more than once. Unless the </w:t>
      </w:r>
      <w:r w:rsidR="00D377B1">
        <w:t xml:space="preserve">Judicial </w:t>
      </w:r>
      <w:r w:rsidR="00CA1EEB" w:rsidRPr="004A7B0D">
        <w:t>Registrar agrees, practi</w:t>
      </w:r>
      <w:r w:rsidR="00D25891">
        <w:t>tioners are expected to attend c</w:t>
      </w:r>
      <w:r w:rsidR="00CA1EEB" w:rsidRPr="004A7B0D">
        <w:t xml:space="preserve">ourt in person where an adjournment is sought.  </w:t>
      </w:r>
    </w:p>
    <w:p w:rsidR="00130292" w:rsidRDefault="00231FCB" w:rsidP="00050081">
      <w:pPr>
        <w:pStyle w:val="Heading1"/>
      </w:pPr>
      <w:bookmarkStart w:id="38" w:name="_Toc458706020"/>
      <w:bookmarkStart w:id="39" w:name="_Toc465959871"/>
      <w:bookmarkStart w:id="40" w:name="_Toc77251963"/>
      <w:r>
        <w:t>Written n</w:t>
      </w:r>
      <w:r w:rsidR="00FA12B8" w:rsidRPr="00FA12B8">
        <w:t xml:space="preserve">otification of </w:t>
      </w:r>
      <w:r>
        <w:t>a</w:t>
      </w:r>
      <w:r w:rsidR="00FA12B8" w:rsidRPr="00FA12B8">
        <w:t xml:space="preserve">djournments to </w:t>
      </w:r>
      <w:r w:rsidR="00553E9F">
        <w:t>n</w:t>
      </w:r>
      <w:r w:rsidR="00FA12B8" w:rsidRPr="00FA12B8">
        <w:t>on-</w:t>
      </w:r>
      <w:r w:rsidR="00553E9F">
        <w:t>a</w:t>
      </w:r>
      <w:r w:rsidR="00FA12B8" w:rsidRPr="00FA12B8">
        <w:t xml:space="preserve">ppearing </w:t>
      </w:r>
      <w:r w:rsidR="00553E9F">
        <w:t>p</w:t>
      </w:r>
      <w:r w:rsidR="00FA12B8" w:rsidRPr="00FA12B8">
        <w:t>arties</w:t>
      </w:r>
      <w:bookmarkEnd w:id="38"/>
      <w:bookmarkEnd w:id="39"/>
      <w:bookmarkEnd w:id="40"/>
      <w:r w:rsidR="00FA12B8" w:rsidRPr="00FA12B8">
        <w:t xml:space="preserve"> </w:t>
      </w:r>
    </w:p>
    <w:p w:rsidR="00050081" w:rsidRPr="00050081" w:rsidRDefault="00050081" w:rsidP="00050081"/>
    <w:p w:rsidR="00A66929" w:rsidRDefault="00F32CF3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4A7B0D">
        <w:t xml:space="preserve">On any adjourned hearing </w:t>
      </w:r>
      <w:r w:rsidR="006E3619">
        <w:t xml:space="preserve">where a </w:t>
      </w:r>
      <w:r w:rsidR="00D41402">
        <w:t>sequestration o</w:t>
      </w:r>
      <w:r w:rsidR="006E3619">
        <w:t xml:space="preserve">rder is sought </w:t>
      </w:r>
      <w:r w:rsidR="004F6DBD">
        <w:t xml:space="preserve">or </w:t>
      </w:r>
      <w:r w:rsidR="006E3619">
        <w:t xml:space="preserve">other final order, including a costs order, </w:t>
      </w:r>
      <w:r w:rsidRPr="004A7B0D">
        <w:t xml:space="preserve">the applying party will be required to file evidence of the date, manner and address to which </w:t>
      </w:r>
      <w:r w:rsidR="006E3619">
        <w:t xml:space="preserve">written </w:t>
      </w:r>
      <w:r w:rsidRPr="004A7B0D">
        <w:t>notice of the adjourn</w:t>
      </w:r>
      <w:r w:rsidR="004F6DBD">
        <w:t>ment order has been sent to a party w</w:t>
      </w:r>
      <w:r w:rsidRPr="004A7B0D">
        <w:t xml:space="preserve">ho was not present when the adjournment order was made. </w:t>
      </w:r>
      <w:r w:rsidR="00FA12B8">
        <w:t xml:space="preserve"> </w:t>
      </w:r>
    </w:p>
    <w:p w:rsidR="004A76E5" w:rsidRDefault="004A76E5" w:rsidP="00DE6CA4">
      <w:pPr>
        <w:pStyle w:val="HeadingOneTOC"/>
        <w:spacing w:before="0" w:line="276" w:lineRule="auto"/>
        <w:ind w:left="709" w:hanging="709"/>
        <w:jc w:val="both"/>
      </w:pPr>
    </w:p>
    <w:p w:rsidR="009B311E" w:rsidRPr="00DE6CA4" w:rsidRDefault="00381F9A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>
        <w:t>Where the absent party is self-represented, written notice of the adjourned orders must be sen</w:t>
      </w:r>
      <w:r w:rsidRPr="00DE6CA4">
        <w:t>t to his/her last known address</w:t>
      </w:r>
      <w:r w:rsidR="009B311E" w:rsidRPr="00DE6CA4">
        <w:t xml:space="preserve"> or where he/ she </w:t>
      </w:r>
      <w:r w:rsidR="007464E1" w:rsidRPr="00DE6CA4">
        <w:t>has</w:t>
      </w:r>
      <w:r w:rsidR="009B311E" w:rsidRPr="00DE6CA4">
        <w:t xml:space="preserve"> filed a Notice of Appearance, at the address </w:t>
      </w:r>
      <w:r w:rsidR="007464E1" w:rsidRPr="00DE6CA4">
        <w:t xml:space="preserve">referred to in that </w:t>
      </w:r>
      <w:r w:rsidR="00D20B9B">
        <w:t>n</w:t>
      </w:r>
      <w:r w:rsidR="007464E1" w:rsidRPr="00DE6CA4">
        <w:t>otice</w:t>
      </w:r>
      <w:r w:rsidRPr="00DE6CA4">
        <w:t xml:space="preserve">.  </w:t>
      </w:r>
      <w:r w:rsidR="006E3619" w:rsidRPr="00DE6CA4">
        <w:t xml:space="preserve">A party seeking to send the written notice to the absent party’s ‘last known address’ may be required to establish to the Court the nexus between </w:t>
      </w:r>
      <w:r w:rsidR="006E3619" w:rsidRPr="00DE6CA4">
        <w:lastRenderedPageBreak/>
        <w:t xml:space="preserve">the absent party and that address.  </w:t>
      </w:r>
      <w:r w:rsidRPr="00DE6CA4">
        <w:t xml:space="preserve">Where </w:t>
      </w:r>
      <w:r w:rsidR="007464E1" w:rsidRPr="00DE6CA4">
        <w:t xml:space="preserve">a </w:t>
      </w:r>
      <w:r w:rsidRPr="00DE6CA4">
        <w:t>represented</w:t>
      </w:r>
      <w:r w:rsidR="009B311E" w:rsidRPr="00DE6CA4">
        <w:t xml:space="preserve"> </w:t>
      </w:r>
      <w:r w:rsidR="007464E1" w:rsidRPr="00DE6CA4">
        <w:t xml:space="preserve">party </w:t>
      </w:r>
      <w:r w:rsidR="009B311E" w:rsidRPr="00DE6CA4">
        <w:t>has filed a Notice of Appearance</w:t>
      </w:r>
      <w:r w:rsidRPr="00DE6CA4">
        <w:t xml:space="preserve">, the written notice </w:t>
      </w:r>
      <w:r w:rsidR="009B311E" w:rsidRPr="00DE6CA4">
        <w:t xml:space="preserve">can be sent to </w:t>
      </w:r>
      <w:r w:rsidR="007464E1" w:rsidRPr="00DE6CA4">
        <w:t xml:space="preserve">the </w:t>
      </w:r>
      <w:r w:rsidR="009B311E" w:rsidRPr="00DE6CA4">
        <w:t>address for service</w:t>
      </w:r>
      <w:r w:rsidR="00D20B9B">
        <w:t xml:space="preserve"> referred to in the n</w:t>
      </w:r>
      <w:r w:rsidR="007464E1" w:rsidRPr="00DE6CA4">
        <w:t>otice</w:t>
      </w:r>
      <w:r w:rsidR="009B311E" w:rsidRPr="00DE6CA4">
        <w:t xml:space="preserve">.  </w:t>
      </w:r>
    </w:p>
    <w:p w:rsidR="004A76E5" w:rsidRPr="00DE6CA4" w:rsidRDefault="004A76E5" w:rsidP="00DE6CA4">
      <w:pPr>
        <w:pStyle w:val="HeadingOneTOC"/>
        <w:spacing w:before="0" w:line="276" w:lineRule="auto"/>
        <w:ind w:left="709" w:hanging="709"/>
        <w:jc w:val="both"/>
      </w:pPr>
    </w:p>
    <w:p w:rsidR="00651D0A" w:rsidRPr="00DE6CA4" w:rsidRDefault="00651D0A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DE6CA4">
        <w:t>The written notice must inform the absent party of the details of the adjourned date, time and place (</w:t>
      </w:r>
      <w:r w:rsidR="00D25891">
        <w:t>including address) of the next c</w:t>
      </w:r>
      <w:r w:rsidRPr="00DE6CA4">
        <w:t>ourt date and of any other</w:t>
      </w:r>
      <w:r w:rsidR="00D377B1">
        <w:t xml:space="preserve"> orders made by the Judicial Registrar. </w:t>
      </w:r>
      <w:r w:rsidRPr="00DE6CA4">
        <w:t xml:space="preserve">Where the Applicant intends to proceed </w:t>
      </w:r>
      <w:r w:rsidR="00D25891">
        <w:t>on its application at the next c</w:t>
      </w:r>
      <w:r w:rsidRPr="00DE6CA4">
        <w:t>ourt date, it may be prudent to state in the written notification that if the debtor is not present o</w:t>
      </w:r>
      <w:r w:rsidR="00D25891">
        <w:t>r represented at the adjourned c</w:t>
      </w:r>
      <w:r w:rsidRPr="00DE6CA4">
        <w:t>ourt date, the Court may make a sequestration in their absence without further notice.</w:t>
      </w:r>
    </w:p>
    <w:p w:rsidR="004A76E5" w:rsidRPr="00AA7D05" w:rsidRDefault="004A76E5" w:rsidP="00DE6CA4">
      <w:pPr>
        <w:pStyle w:val="HeadingOneTOC"/>
        <w:spacing w:before="0" w:line="276" w:lineRule="auto"/>
        <w:ind w:left="709" w:hanging="709"/>
        <w:jc w:val="both"/>
        <w:rPr>
          <w:highlight w:val="yellow"/>
        </w:rPr>
      </w:pPr>
    </w:p>
    <w:p w:rsidR="00DD06BB" w:rsidRPr="00AA7D05" w:rsidRDefault="00381F9A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AA7D05">
        <w:t xml:space="preserve">An Affidavit of Service of the </w:t>
      </w:r>
      <w:r w:rsidR="009B311E" w:rsidRPr="00AA7D05">
        <w:t xml:space="preserve">written </w:t>
      </w:r>
      <w:r w:rsidRPr="00AA7D05">
        <w:t xml:space="preserve">notification </w:t>
      </w:r>
      <w:r w:rsidR="009B311E" w:rsidRPr="00AA7D05">
        <w:t>will generally be required where</w:t>
      </w:r>
      <w:r w:rsidRPr="00AA7D05">
        <w:t xml:space="preserve"> orders including costs orders are sought at the adjourned hearing</w:t>
      </w:r>
      <w:r w:rsidR="005506E4" w:rsidRPr="00AA7D05">
        <w:t xml:space="preserve">.  Where written notification is sent by prepaid post, the </w:t>
      </w:r>
      <w:r w:rsidR="00D377B1">
        <w:t>a</w:t>
      </w:r>
      <w:r w:rsidR="005506E4" w:rsidRPr="00AA7D05">
        <w:t>ffidavit must state whether the document was sent by Express Post; Priority Post; Registered Post</w:t>
      </w:r>
      <w:r w:rsidR="001C3BAE" w:rsidRPr="00AA7D05">
        <w:t>; Regular Post</w:t>
      </w:r>
      <w:r w:rsidR="005506E4" w:rsidRPr="00AA7D05">
        <w:t xml:space="preserve"> or other method of post</w:t>
      </w:r>
      <w:r w:rsidR="006F064D" w:rsidRPr="00AA7D05">
        <w:t xml:space="preserve"> that was used</w:t>
      </w:r>
      <w:r w:rsidR="005506E4" w:rsidRPr="00AA7D05">
        <w:t xml:space="preserve">.    </w:t>
      </w:r>
      <w:r w:rsidR="007464E1" w:rsidRPr="00AA7D05">
        <w:t xml:space="preserve"> </w:t>
      </w:r>
    </w:p>
    <w:p w:rsidR="004A76E5" w:rsidRDefault="004A76E5" w:rsidP="00DE6CA4">
      <w:pPr>
        <w:pStyle w:val="ListParagraph"/>
        <w:ind w:left="709" w:hanging="709"/>
      </w:pPr>
    </w:p>
    <w:p w:rsidR="00381F9A" w:rsidRPr="004A7B0D" w:rsidRDefault="004A6560" w:rsidP="00050081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4A6560">
        <w:t xml:space="preserve">Practitioners must allow sufficient time for documents which are sent by prepaid </w:t>
      </w:r>
      <w:r w:rsidR="00D32AD4">
        <w:t xml:space="preserve">post </w:t>
      </w:r>
      <w:r w:rsidR="00190EC5">
        <w:t>to be delivered.  General i</w:t>
      </w:r>
      <w:r w:rsidRPr="004A6560">
        <w:t xml:space="preserve">nformation on Australia Post’s Delivery timeframes can be found at the </w:t>
      </w:r>
      <w:hyperlink r:id="rId32" w:anchor="/" w:history="1">
        <w:r w:rsidRPr="00592682">
          <w:rPr>
            <w:rStyle w:val="Hyperlink"/>
          </w:rPr>
          <w:t>Australia Post website</w:t>
        </w:r>
      </w:hyperlink>
      <w:r w:rsidR="00592682">
        <w:t xml:space="preserve">. </w:t>
      </w:r>
    </w:p>
    <w:p w:rsidR="00130292" w:rsidRDefault="001F47F6" w:rsidP="00050081">
      <w:pPr>
        <w:pStyle w:val="Heading1"/>
      </w:pPr>
      <w:bookmarkStart w:id="41" w:name="_Toc458706021"/>
      <w:bookmarkStart w:id="42" w:name="_Toc465959872"/>
      <w:bookmarkStart w:id="43" w:name="_Toc77251964"/>
      <w:r>
        <w:t xml:space="preserve">Allocation of a new </w:t>
      </w:r>
      <w:r w:rsidR="00231FCB">
        <w:t>h</w:t>
      </w:r>
      <w:r w:rsidR="004D590A" w:rsidRPr="00473F1E">
        <w:t xml:space="preserve">earing date of an </w:t>
      </w:r>
      <w:r w:rsidR="006D5B6F">
        <w:t>u</w:t>
      </w:r>
      <w:r w:rsidR="00B5586A" w:rsidRPr="00473F1E">
        <w:t xml:space="preserve">nserved </w:t>
      </w:r>
      <w:r w:rsidR="00553E9F">
        <w:t>application/c</w:t>
      </w:r>
      <w:r w:rsidR="00EB2A7A" w:rsidRPr="00473F1E">
        <w:t xml:space="preserve">reditor’s </w:t>
      </w:r>
      <w:r w:rsidR="00553E9F">
        <w:t>p</w:t>
      </w:r>
      <w:r w:rsidR="00EB2A7A" w:rsidRPr="00473F1E">
        <w:t>etition</w:t>
      </w:r>
      <w:bookmarkEnd w:id="41"/>
      <w:bookmarkEnd w:id="42"/>
      <w:bookmarkEnd w:id="43"/>
      <w:r w:rsidR="00EB2A7A" w:rsidRPr="00473F1E">
        <w:t xml:space="preserve">  </w:t>
      </w:r>
    </w:p>
    <w:p w:rsidR="00050081" w:rsidRPr="00050081" w:rsidRDefault="00050081" w:rsidP="00050081"/>
    <w:p w:rsidR="000C5C9B" w:rsidRDefault="00B5586A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F83237">
        <w:t>Where a</w:t>
      </w:r>
      <w:r w:rsidR="00EB2A7A" w:rsidRPr="00F83237">
        <w:t xml:space="preserve">n originating application such as a </w:t>
      </w:r>
      <w:r w:rsidR="00190EC5">
        <w:t>creditor’s p</w:t>
      </w:r>
      <w:r w:rsidR="00130C4D">
        <w:t>etition</w:t>
      </w:r>
      <w:r w:rsidRPr="00F83237">
        <w:t xml:space="preserve"> is unserved</w:t>
      </w:r>
      <w:r w:rsidR="00BE1BC5" w:rsidRPr="00F83237">
        <w:t xml:space="preserve"> before the C</w:t>
      </w:r>
      <w:r w:rsidR="00EB2A7A" w:rsidRPr="00F83237">
        <w:t>ourt hearing</w:t>
      </w:r>
      <w:r w:rsidR="00EB2A7A" w:rsidRPr="004A7B0D">
        <w:t xml:space="preserve"> date</w:t>
      </w:r>
      <w:r w:rsidRPr="004A7B0D">
        <w:t xml:space="preserve">, an application to extend the hearing date can be made of the </w:t>
      </w:r>
      <w:r w:rsidR="00BE1BC5">
        <w:t>R</w:t>
      </w:r>
      <w:r w:rsidRPr="004A7B0D">
        <w:t xml:space="preserve">egistry by </w:t>
      </w:r>
      <w:hyperlink r:id="rId33" w:history="1">
        <w:proofErr w:type="spellStart"/>
        <w:r w:rsidRPr="00592682">
          <w:rPr>
            <w:rStyle w:val="Hyperlink"/>
          </w:rPr>
          <w:t>eLodging</w:t>
        </w:r>
        <w:proofErr w:type="spellEnd"/>
      </w:hyperlink>
      <w:r w:rsidRPr="004A7B0D">
        <w:t xml:space="preserve"> an </w:t>
      </w:r>
      <w:r w:rsidRPr="0009635A">
        <w:rPr>
          <w:b/>
        </w:rPr>
        <w:t>amended</w:t>
      </w:r>
      <w:r w:rsidRPr="004A7B0D">
        <w:t xml:space="preserve"> </w:t>
      </w:r>
      <w:r w:rsidR="00190EC5">
        <w:t>creditor’s p</w:t>
      </w:r>
      <w:r w:rsidR="00130C4D">
        <w:t>etition</w:t>
      </w:r>
      <w:r w:rsidRPr="004A7B0D">
        <w:t xml:space="preserve"> with a request for a new hearing date.  The </w:t>
      </w:r>
      <w:r w:rsidR="00BE1BC5">
        <w:t>a</w:t>
      </w:r>
      <w:r w:rsidRPr="004A7B0D">
        <w:t xml:space="preserve">pplicant will need to select the amended document option, using an unsealed copy of the </w:t>
      </w:r>
      <w:r w:rsidR="00EB2A7A" w:rsidRPr="004A7B0D">
        <w:t>application/</w:t>
      </w:r>
      <w:r w:rsidRPr="004A7B0D">
        <w:t xml:space="preserve">petition (NOT the </w:t>
      </w:r>
      <w:r w:rsidRPr="00F83237">
        <w:t xml:space="preserve">sealed </w:t>
      </w:r>
      <w:r w:rsidR="00D25891">
        <w:t>c</w:t>
      </w:r>
      <w:r w:rsidRPr="00F83237">
        <w:t xml:space="preserve">ourt copy) with a request for a new listing including any request for a particular date.  The practitioner can obtain a copy of the amended </w:t>
      </w:r>
      <w:r w:rsidR="00190EC5">
        <w:t>application/creditor’s p</w:t>
      </w:r>
      <w:r w:rsidR="00130C4D">
        <w:t>etition</w:t>
      </w:r>
      <w:r w:rsidR="00D04435">
        <w:t xml:space="preserve"> bearing the new court date</w:t>
      </w:r>
      <w:r w:rsidRPr="00F83237">
        <w:t xml:space="preserve"> once </w:t>
      </w:r>
      <w:r w:rsidRPr="004A76E5">
        <w:t xml:space="preserve">accepted by the </w:t>
      </w:r>
      <w:r w:rsidR="00BE1BC5" w:rsidRPr="004A76E5">
        <w:t>R</w:t>
      </w:r>
      <w:r w:rsidRPr="004A76E5">
        <w:t xml:space="preserve">egistry by printing a sealed copy </w:t>
      </w:r>
      <w:r w:rsidR="007C59FA" w:rsidRPr="004A76E5">
        <w:t xml:space="preserve">from </w:t>
      </w:r>
      <w:proofErr w:type="spellStart"/>
      <w:r w:rsidR="007C59FA" w:rsidRPr="004A76E5">
        <w:t>eLodgment</w:t>
      </w:r>
      <w:proofErr w:type="spellEnd"/>
      <w:r w:rsidR="007C59FA" w:rsidRPr="004A76E5">
        <w:t xml:space="preserve"> or </w:t>
      </w:r>
      <w:r w:rsidR="00D4329D" w:rsidRPr="004A76E5">
        <w:t xml:space="preserve">via the </w:t>
      </w:r>
      <w:hyperlink r:id="rId34" w:history="1">
        <w:r w:rsidR="00254507" w:rsidRPr="00592682">
          <w:rPr>
            <w:rStyle w:val="Hyperlink"/>
          </w:rPr>
          <w:t>Commonwealth Courts Portal</w:t>
        </w:r>
      </w:hyperlink>
      <w:r w:rsidR="00254507" w:rsidRPr="0009635A">
        <w:t xml:space="preserve"> </w:t>
      </w:r>
      <w:r w:rsidR="00933256">
        <w:t xml:space="preserve"> (CCP) </w:t>
      </w:r>
      <w:r w:rsidR="00A91219" w:rsidRPr="004A76E5">
        <w:t>(r</w:t>
      </w:r>
      <w:r w:rsidR="00B87E3C" w:rsidRPr="004A76E5">
        <w:t>efer to paragraph [</w:t>
      </w:r>
      <w:r w:rsidR="006D5B6F">
        <w:fldChar w:fldCharType="begin"/>
      </w:r>
      <w:r w:rsidR="006D5B6F">
        <w:instrText xml:space="preserve"> REF _Ref467156110 \r \h </w:instrText>
      </w:r>
      <w:r w:rsidR="006D5B6F">
        <w:fldChar w:fldCharType="separate"/>
      </w:r>
      <w:r w:rsidR="006D5B6F">
        <w:t>10.2</w:t>
      </w:r>
      <w:r w:rsidR="006D5B6F">
        <w:fldChar w:fldCharType="end"/>
      </w:r>
      <w:r w:rsidR="006D5B6F">
        <w:t xml:space="preserve">] </w:t>
      </w:r>
      <w:r w:rsidR="00B87E3C" w:rsidRPr="004A76E5">
        <w:t xml:space="preserve">of this </w:t>
      </w:r>
      <w:r w:rsidR="009C0D23">
        <w:t>guide</w:t>
      </w:r>
      <w:r w:rsidR="00D25891">
        <w:t xml:space="preserve"> in relation to appearing in c</w:t>
      </w:r>
      <w:r w:rsidR="00B87E3C" w:rsidRPr="004A76E5">
        <w:t xml:space="preserve">ourt </w:t>
      </w:r>
      <w:r w:rsidR="002D675D" w:rsidRPr="004A76E5">
        <w:t xml:space="preserve">at the return date of an unserved </w:t>
      </w:r>
      <w:r w:rsidR="00190EC5">
        <w:t>a</w:t>
      </w:r>
      <w:r w:rsidR="00EB2A7A" w:rsidRPr="004A76E5">
        <w:t>pplication/</w:t>
      </w:r>
      <w:r w:rsidR="00190EC5">
        <w:t>c</w:t>
      </w:r>
      <w:r w:rsidR="00EB2A7A" w:rsidRPr="00F83237">
        <w:t xml:space="preserve">reditor’s </w:t>
      </w:r>
      <w:r w:rsidR="00190EC5">
        <w:t>p</w:t>
      </w:r>
      <w:r w:rsidR="0009635A">
        <w:t>etition</w:t>
      </w:r>
      <w:r w:rsidR="002D675D" w:rsidRPr="00F83237">
        <w:t>)</w:t>
      </w:r>
      <w:r w:rsidR="00B87E3C" w:rsidRPr="00F83237">
        <w:t xml:space="preserve">.  </w:t>
      </w:r>
    </w:p>
    <w:p w:rsidR="00130292" w:rsidRDefault="00553E9F" w:rsidP="00050081">
      <w:pPr>
        <w:pStyle w:val="Heading1"/>
      </w:pPr>
      <w:bookmarkStart w:id="44" w:name="_Toc458706022"/>
      <w:bookmarkStart w:id="45" w:name="_Toc458706023"/>
      <w:bookmarkStart w:id="46" w:name="_Toc465959873"/>
      <w:bookmarkStart w:id="47" w:name="_Toc77251965"/>
      <w:bookmarkEnd w:id="44"/>
      <w:r>
        <w:t>Amendments to c</w:t>
      </w:r>
      <w:r w:rsidR="00B5586A" w:rsidRPr="00473F1E">
        <w:t xml:space="preserve">ourt </w:t>
      </w:r>
      <w:r>
        <w:t>d</w:t>
      </w:r>
      <w:r w:rsidR="00B5586A" w:rsidRPr="00473F1E">
        <w:t>ocuments</w:t>
      </w:r>
      <w:bookmarkEnd w:id="45"/>
      <w:bookmarkEnd w:id="46"/>
      <w:bookmarkEnd w:id="47"/>
      <w:r w:rsidR="00B5586A" w:rsidRPr="00473F1E">
        <w:t xml:space="preserve"> </w:t>
      </w:r>
    </w:p>
    <w:p w:rsidR="00050081" w:rsidRPr="00050081" w:rsidRDefault="00050081" w:rsidP="00050081"/>
    <w:p w:rsidR="008345F0" w:rsidRDefault="00B5586A" w:rsidP="002B3553">
      <w:pPr>
        <w:pStyle w:val="HeadingOneTOC"/>
        <w:numPr>
          <w:ilvl w:val="1"/>
          <w:numId w:val="19"/>
        </w:numPr>
        <w:tabs>
          <w:tab w:val="left" w:pos="709"/>
        </w:tabs>
        <w:spacing w:before="0" w:line="276" w:lineRule="auto"/>
        <w:ind w:left="709" w:hanging="709"/>
        <w:jc w:val="both"/>
      </w:pPr>
      <w:r w:rsidRPr="004A7B0D">
        <w:t xml:space="preserve">Handwritten amendments to </w:t>
      </w:r>
      <w:r w:rsidR="00D25891">
        <w:t>c</w:t>
      </w:r>
      <w:r w:rsidRPr="004A7B0D">
        <w:t xml:space="preserve">ourt documents (including a </w:t>
      </w:r>
      <w:r w:rsidR="00190EC5">
        <w:t>creditor’s p</w:t>
      </w:r>
      <w:r w:rsidR="00130C4D">
        <w:t>etition</w:t>
      </w:r>
      <w:r w:rsidRPr="004A7B0D">
        <w:t xml:space="preserve">) are not considered appropriate now that </w:t>
      </w:r>
      <w:r w:rsidR="00D25891">
        <w:t>c</w:t>
      </w:r>
      <w:r w:rsidR="001E6804">
        <w:t xml:space="preserve">ourt </w:t>
      </w:r>
      <w:r w:rsidRPr="004A7B0D">
        <w:t>files are</w:t>
      </w:r>
      <w:r w:rsidR="00F32CF3" w:rsidRPr="004A7B0D">
        <w:t xml:space="preserve"> </w:t>
      </w:r>
      <w:r w:rsidR="00897B6E" w:rsidRPr="004A7B0D">
        <w:t>electronic</w:t>
      </w:r>
      <w:r w:rsidR="00190EC5">
        <w:t xml:space="preserve">. </w:t>
      </w:r>
      <w:r w:rsidR="00D25891">
        <w:t>All amendments to c</w:t>
      </w:r>
      <w:r w:rsidR="001F47F6">
        <w:t xml:space="preserve">ourt documents should be lodged electronically through the </w:t>
      </w:r>
      <w:hyperlink r:id="rId35" w:history="1">
        <w:proofErr w:type="spellStart"/>
        <w:r w:rsidR="001F47F6" w:rsidRPr="00592682">
          <w:rPr>
            <w:rStyle w:val="Hyperlink"/>
          </w:rPr>
          <w:t>eLodgment</w:t>
        </w:r>
        <w:proofErr w:type="spellEnd"/>
      </w:hyperlink>
      <w:r w:rsidR="001F47F6">
        <w:t xml:space="preserve"> facility. </w:t>
      </w:r>
    </w:p>
    <w:p w:rsidR="001542E6" w:rsidRDefault="001542E6" w:rsidP="00B37B5B">
      <w:pPr>
        <w:pStyle w:val="HeadingOneTOC"/>
        <w:tabs>
          <w:tab w:val="left" w:pos="709"/>
        </w:tabs>
        <w:spacing w:before="0" w:line="276" w:lineRule="auto"/>
        <w:ind w:left="709"/>
        <w:jc w:val="both"/>
      </w:pPr>
    </w:p>
    <w:p w:rsidR="0007467D" w:rsidRPr="004A7B0D" w:rsidRDefault="00B5586A" w:rsidP="002B3553">
      <w:pPr>
        <w:pStyle w:val="HeadingOneTOC"/>
        <w:numPr>
          <w:ilvl w:val="1"/>
          <w:numId w:val="19"/>
        </w:numPr>
        <w:tabs>
          <w:tab w:val="left" w:pos="709"/>
        </w:tabs>
        <w:spacing w:before="0" w:line="276" w:lineRule="auto"/>
        <w:ind w:left="709" w:hanging="709"/>
        <w:jc w:val="both"/>
      </w:pPr>
      <w:r w:rsidRPr="004A7B0D">
        <w:t xml:space="preserve">Parties and practitioners must </w:t>
      </w:r>
      <w:r w:rsidR="008345F0">
        <w:t xml:space="preserve">also </w:t>
      </w:r>
      <w:r w:rsidRPr="004A7B0D">
        <w:t xml:space="preserve">ensure that the listing information on a </w:t>
      </w:r>
      <w:r w:rsidR="00190EC5">
        <w:t>creditor’s p</w:t>
      </w:r>
      <w:r w:rsidR="00130C4D">
        <w:t>etition</w:t>
      </w:r>
      <w:r w:rsidRPr="004A7B0D">
        <w:t xml:space="preserve"> and </w:t>
      </w:r>
      <w:r w:rsidR="000024FE" w:rsidRPr="004A7B0D">
        <w:t xml:space="preserve">any </w:t>
      </w:r>
      <w:r w:rsidRPr="004A7B0D">
        <w:t xml:space="preserve">other originating process records the correct </w:t>
      </w:r>
      <w:r w:rsidR="00D25891">
        <w:t>c</w:t>
      </w:r>
      <w:r w:rsidRPr="004A7B0D">
        <w:t>ourt date, time and location where the petition or proceeding is listed</w:t>
      </w:r>
      <w:r w:rsidRPr="004A76E5">
        <w:t>.  The procedure for amending a</w:t>
      </w:r>
      <w:r w:rsidR="00EB2A7A" w:rsidRPr="004A76E5">
        <w:t xml:space="preserve">n application or </w:t>
      </w:r>
      <w:r w:rsidR="00190EC5">
        <w:t>creditor’s p</w:t>
      </w:r>
      <w:r w:rsidR="00130C4D">
        <w:t>etition</w:t>
      </w:r>
      <w:r w:rsidRPr="004A76E5">
        <w:t xml:space="preserve"> is outlined above at </w:t>
      </w:r>
      <w:r w:rsidR="00BE1BC5" w:rsidRPr="004A76E5">
        <w:t xml:space="preserve">paragraph </w:t>
      </w:r>
      <w:r w:rsidRPr="004A76E5">
        <w:t>[</w:t>
      </w:r>
      <w:r w:rsidR="001E6804">
        <w:t>1</w:t>
      </w:r>
      <w:r w:rsidR="001C7509">
        <w:t>3</w:t>
      </w:r>
      <w:r w:rsidRPr="004A76E5">
        <w:t>].</w:t>
      </w:r>
      <w:r w:rsidR="001609D7">
        <w:t xml:space="preserve"> </w:t>
      </w:r>
    </w:p>
    <w:p w:rsidR="00130292" w:rsidRDefault="00553E9F" w:rsidP="00050081">
      <w:pPr>
        <w:pStyle w:val="Heading1"/>
      </w:pPr>
      <w:bookmarkStart w:id="48" w:name="_Toc458706024"/>
      <w:bookmarkStart w:id="49" w:name="_Toc465959874"/>
      <w:bookmarkStart w:id="50" w:name="_Toc77251966"/>
      <w:r>
        <w:lastRenderedPageBreak/>
        <w:t>Court o</w:t>
      </w:r>
      <w:r w:rsidR="0007467D" w:rsidRPr="00473F1E">
        <w:t>rders</w:t>
      </w:r>
      <w:bookmarkEnd w:id="48"/>
      <w:bookmarkEnd w:id="49"/>
      <w:bookmarkEnd w:id="50"/>
      <w:r w:rsidR="0007467D" w:rsidRPr="00473F1E">
        <w:t xml:space="preserve"> </w:t>
      </w:r>
    </w:p>
    <w:p w:rsidR="00050081" w:rsidRPr="00050081" w:rsidRDefault="00050081" w:rsidP="00050081"/>
    <w:p w:rsidR="00DE6CA4" w:rsidRDefault="0007467D" w:rsidP="002B3553">
      <w:pPr>
        <w:pStyle w:val="HeadingOneTOC"/>
        <w:numPr>
          <w:ilvl w:val="1"/>
          <w:numId w:val="19"/>
        </w:numPr>
        <w:spacing w:before="0" w:after="200" w:line="276" w:lineRule="auto"/>
        <w:ind w:left="709" w:hanging="709"/>
        <w:jc w:val="both"/>
      </w:pPr>
      <w:r w:rsidRPr="0009635A">
        <w:t xml:space="preserve">Orders are produced by the Court </w:t>
      </w:r>
      <w:r w:rsidR="001F47F6">
        <w:t xml:space="preserve">electronically </w:t>
      </w:r>
      <w:r w:rsidRPr="0009635A">
        <w:t xml:space="preserve">and can be accessed directly by parties via the </w:t>
      </w:r>
      <w:hyperlink r:id="rId36" w:history="1">
        <w:r w:rsidRPr="00592682">
          <w:rPr>
            <w:rStyle w:val="Hyperlink"/>
          </w:rPr>
          <w:t>Federal Law Search</w:t>
        </w:r>
      </w:hyperlink>
      <w:r w:rsidRPr="0009635A">
        <w:t xml:space="preserve"> or through the </w:t>
      </w:r>
      <w:hyperlink r:id="rId37" w:history="1">
        <w:r w:rsidRPr="00592682">
          <w:rPr>
            <w:rStyle w:val="Hyperlink"/>
          </w:rPr>
          <w:t>C</w:t>
        </w:r>
        <w:r w:rsidR="00933256" w:rsidRPr="00592682">
          <w:rPr>
            <w:rStyle w:val="Hyperlink"/>
          </w:rPr>
          <w:t>ommonwealth Courts Portal</w:t>
        </w:r>
      </w:hyperlink>
      <w:r w:rsidR="00933256">
        <w:t xml:space="preserve"> </w:t>
      </w:r>
      <w:r w:rsidR="00933256" w:rsidRPr="00592682">
        <w:t>(</w:t>
      </w:r>
      <w:r w:rsidRPr="00592682">
        <w:t>CC</w:t>
      </w:r>
      <w:r w:rsidR="0006626F" w:rsidRPr="00592682">
        <w:t>P</w:t>
      </w:r>
      <w:r w:rsidRPr="00592682">
        <w:t>).</w:t>
      </w:r>
      <w:r w:rsidRPr="0009635A">
        <w:t xml:space="preserve">  Parties can view and print a sealed copy of all orders from the CCP.  Parties can expect that sealed sequestration orders will be available within 1 day of the o</w:t>
      </w:r>
      <w:r w:rsidR="00D25891">
        <w:t>rder being made, and all other c</w:t>
      </w:r>
      <w:r w:rsidRPr="0009635A">
        <w:t xml:space="preserve">ourt orders within 2 days of the order being made.  </w:t>
      </w:r>
    </w:p>
    <w:p w:rsidR="00130292" w:rsidRDefault="00F32CF3" w:rsidP="00050081">
      <w:pPr>
        <w:pStyle w:val="Heading1"/>
      </w:pPr>
      <w:bookmarkStart w:id="51" w:name="_Toc458706025"/>
      <w:bookmarkStart w:id="52" w:name="_Toc465959875"/>
      <w:bookmarkStart w:id="53" w:name="_Toc77251967"/>
      <w:r w:rsidRPr="00473F1E">
        <w:t xml:space="preserve">Standard </w:t>
      </w:r>
      <w:r w:rsidR="00553E9F">
        <w:t>form of o</w:t>
      </w:r>
      <w:r w:rsidR="00B54AA1" w:rsidRPr="00473F1E">
        <w:t>rders</w:t>
      </w:r>
      <w:bookmarkEnd w:id="51"/>
      <w:bookmarkEnd w:id="52"/>
      <w:bookmarkEnd w:id="53"/>
      <w:r w:rsidR="00B54AA1" w:rsidRPr="00473F1E">
        <w:t xml:space="preserve"> </w:t>
      </w:r>
    </w:p>
    <w:p w:rsidR="00050081" w:rsidRPr="00050081" w:rsidRDefault="00050081" w:rsidP="00050081"/>
    <w:p w:rsidR="00C05098" w:rsidRDefault="00B54AA1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4A7B0D">
        <w:t xml:space="preserve">The Court uses a </w:t>
      </w:r>
      <w:r w:rsidRPr="00080E9B">
        <w:t>standard form of order</w:t>
      </w:r>
      <w:r w:rsidRPr="004A7B0D">
        <w:t xml:space="preserve"> in most </w:t>
      </w:r>
      <w:r w:rsidR="00D377B1">
        <w:t xml:space="preserve">Judicial </w:t>
      </w:r>
      <w:r w:rsidRPr="004A7B0D">
        <w:t xml:space="preserve">Registrar bankruptcy matters including standard form of sequestration and adjournment orders.  Wherever appropriate, the Court will use the standard form of orders. </w:t>
      </w:r>
    </w:p>
    <w:p w:rsidR="00503962" w:rsidRDefault="00503962" w:rsidP="00503962">
      <w:pPr>
        <w:pStyle w:val="HeadingOneTOC"/>
        <w:spacing w:before="0" w:line="276" w:lineRule="auto"/>
        <w:ind w:left="709"/>
        <w:jc w:val="both"/>
      </w:pPr>
    </w:p>
    <w:p w:rsidR="00080E9B" w:rsidRPr="004A7B0D" w:rsidRDefault="00336F1F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hyperlink r:id="rId38" w:history="1">
        <w:r w:rsidR="00080E9B" w:rsidRPr="00080E9B">
          <w:rPr>
            <w:rStyle w:val="Hyperlink"/>
          </w:rPr>
          <w:t>Standard orders</w:t>
        </w:r>
      </w:hyperlink>
      <w:r w:rsidR="00D20B9B">
        <w:rPr>
          <w:rStyle w:val="Hyperlink"/>
        </w:rPr>
        <w:t xml:space="preserve"> </w:t>
      </w:r>
      <w:r w:rsidR="00080E9B" w:rsidRPr="00080E9B">
        <w:t xml:space="preserve"> are available on the Federal Court website.</w:t>
      </w:r>
    </w:p>
    <w:p w:rsidR="00130292" w:rsidRDefault="00553E9F" w:rsidP="00050081">
      <w:pPr>
        <w:pStyle w:val="Heading1"/>
      </w:pPr>
      <w:bookmarkStart w:id="54" w:name="_Toc458706026"/>
      <w:bookmarkStart w:id="55" w:name="_Ref465956980"/>
      <w:bookmarkStart w:id="56" w:name="_Toc465959876"/>
      <w:bookmarkStart w:id="57" w:name="_Ref467155968"/>
      <w:bookmarkStart w:id="58" w:name="_Toc77251968"/>
      <w:r>
        <w:t>Costs o</w:t>
      </w:r>
      <w:r w:rsidR="00B5586A" w:rsidRPr="00473F1E">
        <w:t>rders</w:t>
      </w:r>
      <w:bookmarkEnd w:id="54"/>
      <w:bookmarkEnd w:id="55"/>
      <w:bookmarkEnd w:id="56"/>
      <w:bookmarkEnd w:id="57"/>
      <w:bookmarkEnd w:id="58"/>
      <w:r w:rsidR="00B5586A" w:rsidRPr="00473F1E">
        <w:t xml:space="preserve"> </w:t>
      </w:r>
    </w:p>
    <w:p w:rsidR="00050081" w:rsidRPr="00050081" w:rsidRDefault="00050081" w:rsidP="00050081"/>
    <w:p w:rsidR="005A532E" w:rsidRPr="004A7B0D" w:rsidRDefault="006E3619" w:rsidP="00050081">
      <w:pPr>
        <w:pStyle w:val="HeadingOneTOC"/>
        <w:numPr>
          <w:ilvl w:val="1"/>
          <w:numId w:val="19"/>
        </w:numPr>
        <w:spacing w:before="0" w:line="276" w:lineRule="auto"/>
        <w:ind w:left="357" w:hanging="357"/>
        <w:jc w:val="both"/>
      </w:pPr>
      <w:r>
        <w:t xml:space="preserve">Generally, the </w:t>
      </w:r>
      <w:r w:rsidR="005A532E" w:rsidRPr="004A7B0D">
        <w:t>Court will make a lump sum order unless it is not appropriate to do so.</w:t>
      </w:r>
    </w:p>
    <w:p w:rsidR="005A532E" w:rsidRDefault="005A532E" w:rsidP="00DE6CA4">
      <w:pPr>
        <w:pStyle w:val="HeadingOneTOC"/>
        <w:spacing w:before="0" w:line="276" w:lineRule="auto"/>
        <w:ind w:left="709" w:hanging="709"/>
        <w:jc w:val="both"/>
      </w:pPr>
    </w:p>
    <w:p w:rsidR="00B5586A" w:rsidRPr="004A7B0D" w:rsidRDefault="00D41402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>
        <w:t>In matters where a sequestration o</w:t>
      </w:r>
      <w:r w:rsidR="00B5586A" w:rsidRPr="004A7B0D">
        <w:t xml:space="preserve">rder is made, the </w:t>
      </w:r>
      <w:r w:rsidR="000024FE" w:rsidRPr="004A7B0D">
        <w:t>C</w:t>
      </w:r>
      <w:r w:rsidR="00B5586A" w:rsidRPr="004A7B0D">
        <w:t xml:space="preserve">ourt will generally fix costs in accordance with </w:t>
      </w:r>
      <w:r w:rsidR="001F47F6">
        <w:t xml:space="preserve">the </w:t>
      </w:r>
      <w:r w:rsidR="00B5586A" w:rsidRPr="004A7B0D">
        <w:t>short form amou</w:t>
      </w:r>
      <w:r w:rsidR="00D377B1">
        <w:t xml:space="preserve">nt. </w:t>
      </w:r>
      <w:r w:rsidR="00B5586A" w:rsidRPr="004A7B0D">
        <w:t xml:space="preserve">This will include any </w:t>
      </w:r>
      <w:r w:rsidR="00D377B1">
        <w:t xml:space="preserve">costs reserved on adjournment. </w:t>
      </w:r>
      <w:r w:rsidR="00080E9B" w:rsidRPr="00080E9B">
        <w:t xml:space="preserve">Parties are to </w:t>
      </w:r>
      <w:proofErr w:type="spellStart"/>
      <w:r w:rsidR="00080E9B" w:rsidRPr="00080E9B">
        <w:t>eLodge</w:t>
      </w:r>
      <w:proofErr w:type="spellEnd"/>
      <w:r w:rsidR="00080E9B" w:rsidRPr="00080E9B">
        <w:t xml:space="preserve"> as correspondence a statement of costs and disbursements in accordance with the short form amount in advance of the court hearing.  The statement of costs should not be </w:t>
      </w:r>
      <w:proofErr w:type="spellStart"/>
      <w:r w:rsidR="00080E9B" w:rsidRPr="00080E9B">
        <w:t>eLodged</w:t>
      </w:r>
      <w:proofErr w:type="spellEnd"/>
      <w:r w:rsidR="00080E9B" w:rsidRPr="00080E9B">
        <w:t xml:space="preserve"> as a short form bill as this will attract a filing fee.</w:t>
      </w:r>
    </w:p>
    <w:p w:rsidR="002E1CFD" w:rsidRPr="004A7B0D" w:rsidRDefault="002E1CFD" w:rsidP="00DE6CA4">
      <w:pPr>
        <w:pStyle w:val="HeadingOneTOC"/>
        <w:spacing w:before="0" w:line="276" w:lineRule="auto"/>
        <w:ind w:left="709" w:hanging="709"/>
        <w:jc w:val="both"/>
      </w:pPr>
    </w:p>
    <w:p w:rsidR="00FA49DC" w:rsidRPr="003D5490" w:rsidRDefault="00080E9B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080E9B">
        <w:t>The short form amount allowed for seques</w:t>
      </w:r>
      <w:r w:rsidR="00301492">
        <w:t>tration orders can be found in S</w:t>
      </w:r>
      <w:r w:rsidRPr="00080E9B">
        <w:t xml:space="preserve">chedule 3 of the </w:t>
      </w:r>
      <w:hyperlink r:id="rId39" w:history="1">
        <w:r w:rsidRPr="00080E9B">
          <w:rPr>
            <w:rStyle w:val="Hyperlink"/>
          </w:rPr>
          <w:t>Federal Court Rules 2011</w:t>
        </w:r>
      </w:hyperlink>
      <w:r w:rsidR="00C05098" w:rsidRPr="003D5490">
        <w:t>.</w:t>
      </w:r>
    </w:p>
    <w:p w:rsidR="002E1CFD" w:rsidRPr="003D5490" w:rsidRDefault="002E1CFD" w:rsidP="00DE6CA4">
      <w:pPr>
        <w:pStyle w:val="HeadingOneTOC"/>
        <w:spacing w:before="0" w:line="276" w:lineRule="auto"/>
        <w:ind w:left="709" w:hanging="709"/>
        <w:jc w:val="both"/>
      </w:pPr>
    </w:p>
    <w:p w:rsidR="00080E9B" w:rsidRDefault="00080E9B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080E9B">
        <w:t xml:space="preserve">Guidance on how to address GST related costs issues is provided in the </w:t>
      </w:r>
      <w:hyperlink r:id="rId40" w:history="1">
        <w:r w:rsidRPr="00080E9B">
          <w:rPr>
            <w:rStyle w:val="Hyperlink"/>
          </w:rPr>
          <w:t>Costs Practice Note (GPN-Costs)</w:t>
        </w:r>
      </w:hyperlink>
      <w:r w:rsidRPr="00080E9B">
        <w:t>.  Generally a GST amount will be excluded for any party who is registered for GST purposes and entitled to claim an input tax credit.  In the a</w:t>
      </w:r>
      <w:r w:rsidR="001E6ADF">
        <w:t>bsence of a GST disclosure the C</w:t>
      </w:r>
      <w:r w:rsidRPr="00080E9B">
        <w:t>ourt will generally not allow a GST amount</w:t>
      </w:r>
      <w:r>
        <w:t>.</w:t>
      </w:r>
    </w:p>
    <w:p w:rsidR="00080E9B" w:rsidRDefault="00080E9B" w:rsidP="00080E9B">
      <w:pPr>
        <w:pStyle w:val="ListParagraph"/>
      </w:pPr>
    </w:p>
    <w:p w:rsidR="00080E9B" w:rsidRDefault="00B5586A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3D5490">
        <w:t xml:space="preserve">Where a </w:t>
      </w:r>
      <w:r w:rsidR="00190EC5">
        <w:t>creditor’s p</w:t>
      </w:r>
      <w:r w:rsidR="00130C4D">
        <w:t>etition</w:t>
      </w:r>
      <w:r w:rsidR="000024FE" w:rsidRPr="003D5490">
        <w:t xml:space="preserve"> </w:t>
      </w:r>
      <w:r w:rsidRPr="003D5490">
        <w:t>is dismissed</w:t>
      </w:r>
      <w:r w:rsidR="006E3619" w:rsidRPr="003D5490">
        <w:t xml:space="preserve">, the </w:t>
      </w:r>
      <w:r w:rsidRPr="003D5490">
        <w:t>Court may in appropriate circumstances, on application, make a costs order in accordance with (or consistent with) the short form amount</w:t>
      </w:r>
      <w:r w:rsidR="00897B6E" w:rsidRPr="003D5490">
        <w:t xml:space="preserve">. </w:t>
      </w:r>
      <w:r w:rsidR="00080E9B">
        <w:t>The short form amount allowed for a dismissed petition can be fou</w:t>
      </w:r>
      <w:r w:rsidR="00301492">
        <w:t>nd in S</w:t>
      </w:r>
      <w:r w:rsidR="00080E9B">
        <w:t>ched</w:t>
      </w:r>
      <w:r w:rsidR="00993FA4">
        <w:t>ule 3, item 14.2 of the Court Rules.</w:t>
      </w:r>
      <w:r w:rsidR="00080E9B">
        <w:t xml:space="preserve"> </w:t>
      </w:r>
    </w:p>
    <w:p w:rsidR="00080E9B" w:rsidRDefault="00080E9B" w:rsidP="002552EC">
      <w:pPr>
        <w:pStyle w:val="HeadingOneTOC"/>
        <w:spacing w:before="0" w:line="276" w:lineRule="auto"/>
        <w:ind w:left="709"/>
        <w:jc w:val="both"/>
      </w:pPr>
    </w:p>
    <w:p w:rsidR="00080E9B" w:rsidRDefault="00080E9B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>
        <w:t xml:space="preserve">The Court will generally require proof that the statement of costs and disbursements has been served on </w:t>
      </w:r>
      <w:r w:rsidR="00190EC5">
        <w:t xml:space="preserve">all relevant parties/ persons. </w:t>
      </w:r>
      <w:r>
        <w:t xml:space="preserve">Parties applying for a costs order should lodge through </w:t>
      </w:r>
      <w:proofErr w:type="spellStart"/>
      <w:r>
        <w:t>eLodgment</w:t>
      </w:r>
      <w:proofErr w:type="spellEnd"/>
      <w:r>
        <w:t xml:space="preserve"> a statement of costs and disbursements and any affidavit of service of the statement in advance of the hearing. </w:t>
      </w:r>
    </w:p>
    <w:p w:rsidR="00080E9B" w:rsidRDefault="00080E9B" w:rsidP="002552EC">
      <w:pPr>
        <w:pStyle w:val="HeadingOneTOC"/>
        <w:spacing w:before="0" w:line="276" w:lineRule="auto"/>
        <w:ind w:left="709"/>
        <w:jc w:val="both"/>
      </w:pPr>
    </w:p>
    <w:p w:rsidR="00080E9B" w:rsidRDefault="00080E9B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>
        <w:t xml:space="preserve">Where proceedings are to be dismissed because the debt has been repaid at very short notice, and a statement of costs and disbursements has not been served or the costs agreed by the other party, a </w:t>
      </w:r>
      <w:r w:rsidR="00D377B1">
        <w:t xml:space="preserve">Judicial </w:t>
      </w:r>
      <w:r>
        <w:t>Registrar may, in appropriate circumstances, consider fixing costs with a direction that the costs orders be served with leave granted to any interested party to apply to have the costs order set aside or varied within seve</w:t>
      </w:r>
      <w:r w:rsidR="00D377B1">
        <w:t xml:space="preserve">n days of receiving the order. </w:t>
      </w:r>
      <w:r>
        <w:t xml:space="preserve">Alternatively the parties may request that a </w:t>
      </w:r>
      <w:r w:rsidR="00D377B1">
        <w:t xml:space="preserve">Judicial </w:t>
      </w:r>
      <w:r>
        <w:t>Registrar adjourn the matter for a short period so that the statement of costs and disbursements can be served and any other steps</w:t>
      </w:r>
      <w:r w:rsidR="00D377B1">
        <w:t xml:space="preserve"> taken to finalise the matter. </w:t>
      </w:r>
      <w:r>
        <w:t xml:space="preserve">If not opposed, the </w:t>
      </w:r>
      <w:r w:rsidR="00D377B1">
        <w:t xml:space="preserve">Judicial </w:t>
      </w:r>
      <w:r>
        <w:t xml:space="preserve">Registrar may announce the final costs order on the adjourned date in open court without the parties having to attend. </w:t>
      </w:r>
    </w:p>
    <w:p w:rsidR="00080E9B" w:rsidRDefault="00080E9B" w:rsidP="002552EC">
      <w:pPr>
        <w:pStyle w:val="HeadingOneTOC"/>
        <w:spacing w:before="0" w:line="276" w:lineRule="auto"/>
        <w:ind w:left="709"/>
        <w:jc w:val="both"/>
      </w:pPr>
    </w:p>
    <w:p w:rsidR="00080E9B" w:rsidRDefault="00080E9B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>
        <w:t xml:space="preserve">Where a debtor’s petition was accepted shortly before the court date and a statement of costs and disbursements has not been served on the Official Receiver or Trustee, the Court may, in appropriate circumstances, order fixed costs with a direction that the applicant serve a copy of the order upon the Official Receiver or Trustee (as the costs respondent) within 7 days with leave given to the Official Receiver or Trustee to apply to the Court to vary or set aside the costs order within 7 days. </w:t>
      </w:r>
    </w:p>
    <w:p w:rsidR="00080E9B" w:rsidRDefault="00080E9B" w:rsidP="002552EC">
      <w:pPr>
        <w:pStyle w:val="HeadingOneTOC"/>
        <w:spacing w:before="0" w:line="276" w:lineRule="auto"/>
        <w:ind w:left="709"/>
        <w:jc w:val="both"/>
      </w:pPr>
    </w:p>
    <w:p w:rsidR="00080E9B" w:rsidRDefault="00080E9B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>
        <w:t xml:space="preserve">For general practice information on costs related issues practitioners are referred to the Court’s </w:t>
      </w:r>
      <w:hyperlink r:id="rId41" w:history="1">
        <w:r w:rsidRPr="002552EC">
          <w:rPr>
            <w:rStyle w:val="Hyperlink"/>
          </w:rPr>
          <w:t>Costs Practice Note (GPN-Costs)</w:t>
        </w:r>
      </w:hyperlink>
      <w:r>
        <w:t xml:space="preserve">. </w:t>
      </w:r>
    </w:p>
    <w:p w:rsidR="00080E9B" w:rsidRDefault="00080E9B" w:rsidP="002552EC">
      <w:pPr>
        <w:pStyle w:val="HeadingOneTOC"/>
        <w:spacing w:before="0" w:line="276" w:lineRule="auto"/>
        <w:ind w:left="709"/>
        <w:jc w:val="both"/>
      </w:pPr>
    </w:p>
    <w:p w:rsidR="00080E9B" w:rsidRDefault="00080E9B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>
        <w:t xml:space="preserve">A </w:t>
      </w:r>
      <w:hyperlink r:id="rId42" w:history="1">
        <w:r w:rsidR="009F1393">
          <w:rPr>
            <w:rStyle w:val="Hyperlink"/>
          </w:rPr>
          <w:t>standard form of costs orders (DOCX, 35 KB)</w:t>
        </w:r>
      </w:hyperlink>
      <w:r>
        <w:t xml:space="preserve"> the Court may make in appropriate circumstances are available </w:t>
      </w:r>
      <w:r w:rsidR="002552EC" w:rsidRPr="002552EC">
        <w:t>on the Federal Court website</w:t>
      </w:r>
      <w:r>
        <w:t>.</w:t>
      </w:r>
    </w:p>
    <w:p w:rsidR="00130292" w:rsidRDefault="00B5586A" w:rsidP="00050081">
      <w:pPr>
        <w:pStyle w:val="Heading1"/>
      </w:pPr>
      <w:bookmarkStart w:id="59" w:name="_Toc458706027"/>
      <w:bookmarkStart w:id="60" w:name="_Ref465957047"/>
      <w:bookmarkStart w:id="61" w:name="_Toc465959877"/>
      <w:bookmarkStart w:id="62" w:name="_Toc77251969"/>
      <w:r w:rsidRPr="003D5490">
        <w:t xml:space="preserve">Substituted </w:t>
      </w:r>
      <w:r w:rsidR="00553E9F">
        <w:t>s</w:t>
      </w:r>
      <w:r w:rsidR="003D5490" w:rsidRPr="003D5490">
        <w:t xml:space="preserve">ervice </w:t>
      </w:r>
      <w:r w:rsidR="00553E9F">
        <w:t>a</w:t>
      </w:r>
      <w:r w:rsidR="00120F4E" w:rsidRPr="003D5490">
        <w:t>pplications</w:t>
      </w:r>
      <w:bookmarkEnd w:id="59"/>
      <w:bookmarkEnd w:id="60"/>
      <w:bookmarkEnd w:id="61"/>
      <w:bookmarkEnd w:id="62"/>
      <w:r w:rsidRPr="003D5490">
        <w:t xml:space="preserve"> </w:t>
      </w:r>
    </w:p>
    <w:p w:rsidR="00050081" w:rsidRPr="00050081" w:rsidRDefault="00050081" w:rsidP="00050081"/>
    <w:p w:rsidR="00D04435" w:rsidRPr="003D5490" w:rsidRDefault="00D04435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3D5490">
        <w:t xml:space="preserve">Where personal service of a </w:t>
      </w:r>
      <w:r w:rsidR="00D377B1">
        <w:t>creditor’s p</w:t>
      </w:r>
      <w:r w:rsidR="00130C4D">
        <w:t>etition</w:t>
      </w:r>
      <w:r w:rsidRPr="003D5490">
        <w:t xml:space="preserve"> or delivery of a </w:t>
      </w:r>
      <w:r w:rsidR="00D377B1">
        <w:t>bankruptcy n</w:t>
      </w:r>
      <w:r w:rsidR="00130C4D">
        <w:t>otice</w:t>
      </w:r>
      <w:r w:rsidRPr="003D5490">
        <w:t xml:space="preserve"> cannot be effected, an applicant may apply to the Court for an order for substituted service.   </w:t>
      </w:r>
    </w:p>
    <w:p w:rsidR="00D04435" w:rsidRPr="003D5490" w:rsidRDefault="00D04435" w:rsidP="00DE6CA4">
      <w:pPr>
        <w:pStyle w:val="HeadingOneTOC"/>
        <w:spacing w:before="0" w:line="276" w:lineRule="auto"/>
        <w:ind w:left="709" w:hanging="709"/>
        <w:jc w:val="both"/>
      </w:pPr>
    </w:p>
    <w:p w:rsidR="00D04435" w:rsidRPr="003D5490" w:rsidRDefault="00D04435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3D5490">
        <w:t xml:space="preserve">All applications for substituted service in bankruptcy matters will be determined on </w:t>
      </w:r>
      <w:hyperlink r:id="rId43" w:history="1">
        <w:proofErr w:type="spellStart"/>
        <w:r w:rsidRPr="001B7739">
          <w:rPr>
            <w:rStyle w:val="Hyperlink"/>
          </w:rPr>
          <w:t>eCourtroom</w:t>
        </w:r>
        <w:proofErr w:type="spellEnd"/>
      </w:hyperlink>
      <w:r w:rsidRPr="003D5490">
        <w:t xml:space="preserve"> (refer to paragraph [</w:t>
      </w:r>
      <w:r w:rsidR="001B7739">
        <w:fldChar w:fldCharType="begin"/>
      </w:r>
      <w:r w:rsidR="001B7739">
        <w:instrText xml:space="preserve"> REF _Ref465958775 \r \h </w:instrText>
      </w:r>
      <w:r w:rsidR="001B7739">
        <w:fldChar w:fldCharType="separate"/>
      </w:r>
      <w:r w:rsidR="001B7739">
        <w:t>24</w:t>
      </w:r>
      <w:r w:rsidR="001B7739">
        <w:fldChar w:fldCharType="end"/>
      </w:r>
      <w:r w:rsidRPr="003D5490">
        <w:t xml:space="preserve">] of this </w:t>
      </w:r>
      <w:r w:rsidR="009C0D23">
        <w:t>guide</w:t>
      </w:r>
      <w:r w:rsidR="00B54692" w:rsidRPr="003D5490">
        <w:t>)</w:t>
      </w:r>
      <w:r w:rsidRPr="003D5490">
        <w:t xml:space="preserve">. </w:t>
      </w:r>
    </w:p>
    <w:p w:rsidR="00D04435" w:rsidRPr="003D5490" w:rsidRDefault="00D04435" w:rsidP="00DE6CA4">
      <w:pPr>
        <w:pStyle w:val="ListParagraph"/>
        <w:ind w:left="709" w:hanging="709"/>
      </w:pPr>
    </w:p>
    <w:p w:rsidR="00D04435" w:rsidRPr="003D5490" w:rsidRDefault="00D04435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3D5490">
        <w:t xml:space="preserve">After a substituted service application is filed, the application will be allocated to a </w:t>
      </w:r>
      <w:r w:rsidR="00D377B1">
        <w:t xml:space="preserve">Judicial </w:t>
      </w:r>
      <w:r w:rsidRPr="003D5490">
        <w:t>Regis</w:t>
      </w:r>
      <w:r w:rsidR="00D377B1">
        <w:t xml:space="preserve">trar and listed in </w:t>
      </w:r>
      <w:proofErr w:type="spellStart"/>
      <w:r w:rsidR="00D377B1">
        <w:t>eCourtroom</w:t>
      </w:r>
      <w:proofErr w:type="spellEnd"/>
      <w:r w:rsidR="00D377B1">
        <w:t xml:space="preserve">. </w:t>
      </w:r>
      <w:r w:rsidRPr="003D5490">
        <w:t xml:space="preserve">It is anticipated that the </w:t>
      </w:r>
      <w:r w:rsidR="00D377B1">
        <w:t xml:space="preserve">Judicial </w:t>
      </w:r>
      <w:r w:rsidRPr="003D5490">
        <w:t>Registrar will consider the application</w:t>
      </w:r>
      <w:r w:rsidR="00B54692" w:rsidRPr="003D5490">
        <w:t xml:space="preserve"> </w:t>
      </w:r>
      <w:r w:rsidRPr="003D5490">
        <w:t xml:space="preserve">within 10 business days of filing. </w:t>
      </w:r>
    </w:p>
    <w:p w:rsidR="00D04435" w:rsidRPr="003D5490" w:rsidRDefault="00D04435" w:rsidP="00DE6CA4">
      <w:pPr>
        <w:pStyle w:val="ListParagraph"/>
        <w:ind w:left="709" w:hanging="709"/>
      </w:pPr>
    </w:p>
    <w:p w:rsidR="00B5586A" w:rsidRPr="004A7B0D" w:rsidRDefault="00336F1F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hyperlink r:id="rId44" w:history="1">
        <w:r w:rsidR="001356DA" w:rsidRPr="001B7739">
          <w:rPr>
            <w:rStyle w:val="Hyperlink"/>
          </w:rPr>
          <w:t xml:space="preserve">Bankruptcy </w:t>
        </w:r>
        <w:r w:rsidR="00254507" w:rsidRPr="001B7739">
          <w:rPr>
            <w:rStyle w:val="Hyperlink"/>
          </w:rPr>
          <w:t>Information Sheet 5</w:t>
        </w:r>
      </w:hyperlink>
      <w:r w:rsidR="001356DA" w:rsidRPr="003D5490">
        <w:t xml:space="preserve"> gives an overview </w:t>
      </w:r>
      <w:r w:rsidR="00D04435" w:rsidRPr="003D5490">
        <w:t xml:space="preserve">on how to apply for a </w:t>
      </w:r>
      <w:r w:rsidR="00D04435" w:rsidRPr="003D5490">
        <w:rPr>
          <w:lang w:eastAsia="en-AU"/>
        </w:rPr>
        <w:t xml:space="preserve">substituted service order of a petition or </w:t>
      </w:r>
      <w:r w:rsidR="00D377B1">
        <w:rPr>
          <w:lang w:eastAsia="en-AU"/>
        </w:rPr>
        <w:t>bankruptcy n</w:t>
      </w:r>
      <w:r w:rsidR="00130C4D">
        <w:rPr>
          <w:lang w:eastAsia="en-AU"/>
        </w:rPr>
        <w:t>otice</w:t>
      </w:r>
      <w:r w:rsidR="00D04435" w:rsidRPr="003D5490">
        <w:rPr>
          <w:lang w:eastAsia="en-AU"/>
        </w:rPr>
        <w:t>; on what evidence would generally be required before such an order is made and on procedural matters relating to these applications</w:t>
      </w:r>
      <w:r w:rsidR="001B7739">
        <w:rPr>
          <w:lang w:eastAsia="en-AU"/>
        </w:rPr>
        <w:t>.</w:t>
      </w:r>
    </w:p>
    <w:p w:rsidR="00130292" w:rsidRDefault="003D5490" w:rsidP="00050081">
      <w:pPr>
        <w:pStyle w:val="Heading1"/>
      </w:pPr>
      <w:bookmarkStart w:id="63" w:name="_Toc458706028"/>
      <w:bookmarkStart w:id="64" w:name="_Toc465959878"/>
      <w:bookmarkStart w:id="65" w:name="_Toc77251970"/>
      <w:r>
        <w:t>Further practice i</w:t>
      </w:r>
      <w:r w:rsidR="00B5586A" w:rsidRPr="00473F1E">
        <w:t>nformation</w:t>
      </w:r>
      <w:bookmarkEnd w:id="63"/>
      <w:bookmarkEnd w:id="64"/>
      <w:bookmarkEnd w:id="65"/>
      <w:r w:rsidR="00B5586A" w:rsidRPr="00473F1E">
        <w:t xml:space="preserve"> </w:t>
      </w:r>
    </w:p>
    <w:p w:rsidR="00050081" w:rsidRPr="00050081" w:rsidRDefault="00050081" w:rsidP="00050081"/>
    <w:p w:rsidR="003A31A9" w:rsidRDefault="00A11931" w:rsidP="003A31A9">
      <w:pPr>
        <w:pStyle w:val="HeadingOneTOC"/>
        <w:numPr>
          <w:ilvl w:val="1"/>
          <w:numId w:val="19"/>
        </w:numPr>
        <w:spacing w:before="0" w:line="276" w:lineRule="auto"/>
        <w:ind w:left="709" w:hanging="709"/>
      </w:pPr>
      <w:r>
        <w:t xml:space="preserve">This </w:t>
      </w:r>
      <w:r w:rsidR="00D377B1">
        <w:t>g</w:t>
      </w:r>
      <w:r>
        <w:t>uide</w:t>
      </w:r>
      <w:r w:rsidR="00536AC5">
        <w:t xml:space="preserve"> applies to all Registrar b</w:t>
      </w:r>
      <w:r w:rsidR="00B5586A" w:rsidRPr="006B7DE2">
        <w:t>ankruptcy matte</w:t>
      </w:r>
      <w:r w:rsidR="002817CE">
        <w:t xml:space="preserve">rs. </w:t>
      </w:r>
      <w:r w:rsidR="00B94A3D">
        <w:t xml:space="preserve">Bankruptcy matters and all personal insolvency matters within a </w:t>
      </w:r>
      <w:r w:rsidR="00D377B1">
        <w:t xml:space="preserve">Judicial </w:t>
      </w:r>
      <w:r w:rsidR="00B94A3D">
        <w:t>Registrar</w:t>
      </w:r>
      <w:r w:rsidR="00A033D2">
        <w:t>’</w:t>
      </w:r>
      <w:r w:rsidR="00B94A3D">
        <w:t xml:space="preserve">s delegated authority in the </w:t>
      </w:r>
      <w:r w:rsidR="007A1A0D">
        <w:t>Court</w:t>
      </w:r>
      <w:r w:rsidR="00B94A3D">
        <w:t xml:space="preserve"> fall within </w:t>
      </w:r>
      <w:r w:rsidR="00B94A3D">
        <w:lastRenderedPageBreak/>
        <w:t xml:space="preserve">the </w:t>
      </w:r>
      <w:hyperlink r:id="rId45" w:history="1">
        <w:r w:rsidR="007A1A0D">
          <w:rPr>
            <w:rStyle w:val="Hyperlink"/>
          </w:rPr>
          <w:t>General &amp; Personal Insolvency sub area</w:t>
        </w:r>
      </w:hyperlink>
      <w:r w:rsidR="007A1A0D">
        <w:t xml:space="preserve"> </w:t>
      </w:r>
      <w:r w:rsidR="00B94A3D">
        <w:t xml:space="preserve">of the </w:t>
      </w:r>
      <w:r w:rsidR="006D5B6F">
        <w:t xml:space="preserve">Court’s </w:t>
      </w:r>
      <w:hyperlink r:id="rId46" w:history="1">
        <w:r w:rsidR="00B94A3D" w:rsidRPr="001B7739">
          <w:rPr>
            <w:rStyle w:val="Hyperlink"/>
          </w:rPr>
          <w:t>Commercial and Corporations National Practice Area</w:t>
        </w:r>
      </w:hyperlink>
      <w:r w:rsidR="00B94A3D">
        <w:t xml:space="preserve"> (NPA). </w:t>
      </w:r>
    </w:p>
    <w:p w:rsidR="003A31A9" w:rsidRDefault="00B94A3D" w:rsidP="003A31A9">
      <w:pPr>
        <w:pStyle w:val="HeadingOneTOC"/>
        <w:spacing w:before="0" w:line="276" w:lineRule="auto"/>
        <w:ind w:left="709"/>
      </w:pPr>
      <w:r>
        <w:t xml:space="preserve"> </w:t>
      </w:r>
    </w:p>
    <w:p w:rsidR="0060248F" w:rsidRDefault="00392B90" w:rsidP="003A31A9">
      <w:pPr>
        <w:pStyle w:val="HeadingOneTOC"/>
        <w:numPr>
          <w:ilvl w:val="1"/>
          <w:numId w:val="19"/>
        </w:numPr>
        <w:spacing w:before="0" w:line="276" w:lineRule="auto"/>
        <w:ind w:left="709" w:hanging="709"/>
      </w:pPr>
      <w:r>
        <w:t xml:space="preserve">Parties should refer to the General and Personal Insolvency Sub-Area Practice </w:t>
      </w:r>
      <w:r w:rsidR="003A31A9">
        <w:t xml:space="preserve">Note GPI-2 which is in </w:t>
      </w:r>
      <w:hyperlink r:id="rId47" w:history="1">
        <w:r w:rsidR="003A31A9">
          <w:rPr>
            <w:rStyle w:val="Hyperlink"/>
            <w:rFonts w:ascii="Calibri" w:hAnsi="Calibri"/>
          </w:rPr>
          <w:t>Practice Notes</w:t>
        </w:r>
      </w:hyperlink>
      <w:r w:rsidR="003A31A9">
        <w:rPr>
          <w:rStyle w:val="Hyperlink"/>
          <w:rFonts w:ascii="Calibri" w:hAnsi="Calibri"/>
        </w:rPr>
        <w:t>.</w:t>
      </w:r>
      <w:r w:rsidR="003A31A9">
        <w:t xml:space="preserve"> This link also contains m</w:t>
      </w:r>
      <w:r w:rsidR="00B94A3D">
        <w:t xml:space="preserve">ore practice information on proceedings commenced in the </w:t>
      </w:r>
      <w:r w:rsidR="001B7739">
        <w:t>Court</w:t>
      </w:r>
      <w:r w:rsidR="00B94A3D">
        <w:t xml:space="preserve"> within this NPA, and the Court’s National Court Framework (NCF)</w:t>
      </w:r>
      <w:r w:rsidR="003A31A9">
        <w:t>.</w:t>
      </w:r>
      <w:r w:rsidR="001B7739">
        <w:t xml:space="preserve"> </w:t>
      </w:r>
    </w:p>
    <w:p w:rsidR="00D67742" w:rsidRDefault="00D67742" w:rsidP="0060248F">
      <w:pPr>
        <w:pStyle w:val="HeadingOneTOC"/>
        <w:spacing w:before="0" w:line="276" w:lineRule="auto"/>
        <w:ind w:left="567"/>
        <w:jc w:val="both"/>
      </w:pPr>
    </w:p>
    <w:p w:rsidR="002552EC" w:rsidRDefault="002552EC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</w:pPr>
      <w:r w:rsidRPr="002552EC">
        <w:t xml:space="preserve">Information and guidance on costs related matters can be found in the </w:t>
      </w:r>
      <w:hyperlink r:id="rId48" w:history="1">
        <w:r w:rsidRPr="002552EC">
          <w:rPr>
            <w:rStyle w:val="Hyperlink"/>
          </w:rPr>
          <w:t>Costs Practice Note (GPN-Costs)</w:t>
        </w:r>
      </w:hyperlink>
      <w:r>
        <w:t>.</w:t>
      </w:r>
    </w:p>
    <w:p w:rsidR="002552EC" w:rsidRDefault="002552EC" w:rsidP="002552EC">
      <w:pPr>
        <w:pStyle w:val="ListParagraph"/>
      </w:pPr>
    </w:p>
    <w:p w:rsidR="00DC2765" w:rsidRPr="004A7B0D" w:rsidRDefault="00D43F42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>
        <w:t>Parties are also referred to the Bankruptcy Information S</w:t>
      </w:r>
      <w:r w:rsidRPr="00B712E2">
        <w:t>heets</w:t>
      </w:r>
      <w:r>
        <w:t xml:space="preserve"> referred to in </w:t>
      </w:r>
      <w:hyperlink w:anchor="s3_2" w:history="1">
        <w:r w:rsidRPr="00AE4A69">
          <w:rPr>
            <w:rStyle w:val="Hyperlink"/>
          </w:rPr>
          <w:t>paragraph [3.</w:t>
        </w:r>
        <w:r w:rsidR="002552EC" w:rsidRPr="00AE4A69">
          <w:rPr>
            <w:rStyle w:val="Hyperlink"/>
          </w:rPr>
          <w:t>2</w:t>
        </w:r>
        <w:r w:rsidRPr="00AE4A69">
          <w:rPr>
            <w:rStyle w:val="Hyperlink"/>
          </w:rPr>
          <w:t>]</w:t>
        </w:r>
      </w:hyperlink>
      <w:r>
        <w:t xml:space="preserve"> above that are released with </w:t>
      </w:r>
      <w:r w:rsidR="001B7739">
        <w:t xml:space="preserve">this </w:t>
      </w:r>
      <w:r w:rsidR="009C0D23">
        <w:t>guide</w:t>
      </w:r>
      <w:r w:rsidR="001B7739">
        <w:t>.</w:t>
      </w:r>
    </w:p>
    <w:p w:rsidR="00130292" w:rsidRDefault="00AB0AAE" w:rsidP="00050081">
      <w:pPr>
        <w:pStyle w:val="Heading1"/>
      </w:pPr>
      <w:bookmarkStart w:id="66" w:name="_Toc458706029"/>
      <w:bookmarkStart w:id="67" w:name="_Ref465957006"/>
      <w:bookmarkStart w:id="68" w:name="_Toc465959879"/>
      <w:bookmarkStart w:id="69" w:name="_Toc77251971"/>
      <w:r w:rsidRPr="00473F1E">
        <w:t xml:space="preserve">Communications in a </w:t>
      </w:r>
      <w:r w:rsidR="008F7466">
        <w:t xml:space="preserve">Judicial </w:t>
      </w:r>
      <w:r w:rsidRPr="00473F1E">
        <w:t xml:space="preserve">Registrar </w:t>
      </w:r>
      <w:r w:rsidR="008F7466">
        <w:t>m</w:t>
      </w:r>
      <w:r w:rsidRPr="00473F1E">
        <w:t>atter</w:t>
      </w:r>
      <w:bookmarkEnd w:id="66"/>
      <w:bookmarkEnd w:id="67"/>
      <w:bookmarkEnd w:id="68"/>
      <w:bookmarkEnd w:id="69"/>
      <w:r w:rsidRPr="00473F1E">
        <w:t xml:space="preserve"> </w:t>
      </w:r>
    </w:p>
    <w:p w:rsidR="00050081" w:rsidRPr="00050081" w:rsidRDefault="00050081" w:rsidP="00050081"/>
    <w:p w:rsidR="000C5C9B" w:rsidRDefault="00AB0AAE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6B7DE2">
        <w:t xml:space="preserve">In communicating with the </w:t>
      </w:r>
      <w:r w:rsidR="002D631A" w:rsidRPr="006B7DE2">
        <w:t>R</w:t>
      </w:r>
      <w:r w:rsidRPr="006B7DE2">
        <w:t xml:space="preserve">egistry about a </w:t>
      </w:r>
      <w:r w:rsidR="00D377B1">
        <w:t xml:space="preserve">Judicial </w:t>
      </w:r>
      <w:r w:rsidRPr="006B7DE2">
        <w:t xml:space="preserve">Registrar matter, practitioners are to put their </w:t>
      </w:r>
      <w:r w:rsidRPr="004A76E5">
        <w:t xml:space="preserve">requests in writing by </w:t>
      </w:r>
      <w:hyperlink r:id="rId49" w:history="1">
        <w:proofErr w:type="spellStart"/>
        <w:r w:rsidRPr="00AE4A69">
          <w:t>eLodging</w:t>
        </w:r>
        <w:proofErr w:type="spellEnd"/>
      </w:hyperlink>
      <w:r w:rsidR="006B7DE2" w:rsidRPr="004A76E5">
        <w:t xml:space="preserve"> the request as correspondence </w:t>
      </w:r>
      <w:r w:rsidRPr="004A76E5">
        <w:t xml:space="preserve">and sending an email to the </w:t>
      </w:r>
      <w:r w:rsidR="00D67742" w:rsidRPr="004A76E5">
        <w:t>Legal Case Manager</w:t>
      </w:r>
      <w:r w:rsidR="003C3BD6">
        <w:t>/Lawyer</w:t>
      </w:r>
      <w:r w:rsidR="00D67742" w:rsidRPr="004A76E5">
        <w:t xml:space="preserve"> </w:t>
      </w:r>
      <w:r w:rsidR="00136453">
        <w:t xml:space="preserve">to the </w:t>
      </w:r>
      <w:r w:rsidR="00D377B1">
        <w:t xml:space="preserve">Judicial </w:t>
      </w:r>
      <w:r w:rsidR="00136453">
        <w:t xml:space="preserve">Registrar hearing the matter (or to the Registry if there is no Legal Case Manager) </w:t>
      </w:r>
      <w:r w:rsidRPr="004A76E5">
        <w:t xml:space="preserve">copying in each other party to the proceeding confirming that the request has been </w:t>
      </w:r>
      <w:proofErr w:type="spellStart"/>
      <w:r w:rsidRPr="004A76E5">
        <w:t>eLodged</w:t>
      </w:r>
      <w:proofErr w:type="spellEnd"/>
      <w:r w:rsidR="00473F1E" w:rsidRPr="006B7DE2">
        <w:t>.</w:t>
      </w:r>
      <w:r w:rsidR="00313558">
        <w:t xml:space="preserve"> </w:t>
      </w:r>
      <w:r w:rsidR="00AE4A69" w:rsidRPr="00AE4A69">
        <w:t xml:space="preserve">Practitioners are referred to </w:t>
      </w:r>
      <w:hyperlink r:id="rId50" w:history="1">
        <w:r w:rsidR="00AE4A69" w:rsidRPr="00AE4A69">
          <w:t>Central Practice Note: National Court Framework and Case Management (CPN-1)</w:t>
        </w:r>
      </w:hyperlink>
      <w:r w:rsidR="00AE4A69" w:rsidRPr="00AE4A69">
        <w:t xml:space="preserve"> (paragraph </w:t>
      </w:r>
      <w:r w:rsidR="00AC3FC8">
        <w:t>[</w:t>
      </w:r>
      <w:r w:rsidR="00AE4A69" w:rsidRPr="00AE4A69">
        <w:t>15.3]) for further guidanc</w:t>
      </w:r>
      <w:r w:rsidR="00190EC5">
        <w:t>e about communicating with Chambers and the R</w:t>
      </w:r>
      <w:r w:rsidR="00AE4A69" w:rsidRPr="00AE4A69">
        <w:t xml:space="preserve">egistry in matters before the Court.  </w:t>
      </w:r>
    </w:p>
    <w:p w:rsidR="00DD06BB" w:rsidRPr="004A7B0D" w:rsidRDefault="00DD06BB" w:rsidP="00FA5FC2">
      <w:pPr>
        <w:pStyle w:val="HeadingOneTOC"/>
        <w:spacing w:before="0" w:line="276" w:lineRule="auto"/>
        <w:ind w:left="709" w:hanging="709"/>
        <w:jc w:val="both"/>
      </w:pPr>
    </w:p>
    <w:p w:rsidR="00AB0AAE" w:rsidRDefault="00AB0AAE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4A7B0D">
        <w:t xml:space="preserve">When sending an email message in a </w:t>
      </w:r>
      <w:r w:rsidR="00D377B1">
        <w:t xml:space="preserve">Judicial </w:t>
      </w:r>
      <w:r w:rsidRPr="004A7B0D">
        <w:t>Registrar matter, it is expected that a party will:    </w:t>
      </w:r>
    </w:p>
    <w:p w:rsidR="0060215D" w:rsidRPr="004A7B0D" w:rsidRDefault="0060215D" w:rsidP="00FA5FC2">
      <w:pPr>
        <w:pStyle w:val="HeadingOneTOC"/>
        <w:spacing w:before="0" w:line="276" w:lineRule="auto"/>
        <w:ind w:left="709" w:hanging="709"/>
        <w:jc w:val="both"/>
      </w:pPr>
    </w:p>
    <w:p w:rsidR="00AB0AAE" w:rsidRPr="004A7B0D" w:rsidRDefault="00AB0AAE" w:rsidP="00FA5FC2">
      <w:pPr>
        <w:pStyle w:val="HeadingOneTOC"/>
        <w:numPr>
          <w:ilvl w:val="0"/>
          <w:numId w:val="9"/>
        </w:numPr>
        <w:spacing w:before="0" w:line="276" w:lineRule="auto"/>
        <w:ind w:left="993" w:hanging="284"/>
        <w:jc w:val="both"/>
      </w:pPr>
      <w:r w:rsidRPr="004A7B0D">
        <w:t xml:space="preserve">Address the email to the </w:t>
      </w:r>
      <w:r w:rsidR="001E6804">
        <w:t>relevant L</w:t>
      </w:r>
      <w:r w:rsidR="00D67742" w:rsidRPr="004A76E5">
        <w:t xml:space="preserve">egal Case Manager </w:t>
      </w:r>
      <w:r w:rsidRPr="004A7B0D">
        <w:t>an</w:t>
      </w:r>
      <w:r w:rsidR="000B708E">
        <w:t xml:space="preserve">d not to the </w:t>
      </w:r>
      <w:r w:rsidR="00D377B1">
        <w:t xml:space="preserve">Judicial </w:t>
      </w:r>
      <w:r w:rsidR="000B708E">
        <w:t>Registrar directly</w:t>
      </w:r>
    </w:p>
    <w:p w:rsidR="004A76E5" w:rsidRPr="004A7B0D" w:rsidRDefault="00AB0AAE" w:rsidP="00FA5FC2">
      <w:pPr>
        <w:pStyle w:val="HeadingOneTOC"/>
        <w:numPr>
          <w:ilvl w:val="0"/>
          <w:numId w:val="9"/>
        </w:numPr>
        <w:spacing w:before="0" w:line="276" w:lineRule="auto"/>
        <w:ind w:left="993" w:hanging="284"/>
        <w:jc w:val="both"/>
      </w:pPr>
      <w:r w:rsidRPr="004A7B0D">
        <w:t>Clearly state the Court's action number, parties’ names and any Cou</w:t>
      </w:r>
      <w:r w:rsidR="002D631A">
        <w:t>rt dates in the subject heading</w:t>
      </w:r>
    </w:p>
    <w:p w:rsidR="00AB0AAE" w:rsidRPr="004A7B0D" w:rsidRDefault="00AB0AAE" w:rsidP="00FA5FC2">
      <w:pPr>
        <w:pStyle w:val="HeadingOneTOC"/>
        <w:numPr>
          <w:ilvl w:val="0"/>
          <w:numId w:val="9"/>
        </w:numPr>
        <w:spacing w:before="0" w:line="276" w:lineRule="auto"/>
        <w:ind w:left="993" w:hanging="284"/>
        <w:jc w:val="both"/>
      </w:pPr>
      <w:r w:rsidRPr="004A7B0D">
        <w:t>Provide a clear description of any attached documents i</w:t>
      </w:r>
      <w:r w:rsidR="000B708E">
        <w:t>n the body of the email message, and</w:t>
      </w:r>
    </w:p>
    <w:p w:rsidR="00AB0AAE" w:rsidRPr="004A7B0D" w:rsidRDefault="00AB0AAE" w:rsidP="00FA5FC2">
      <w:pPr>
        <w:pStyle w:val="HeadingOneTOC"/>
        <w:numPr>
          <w:ilvl w:val="0"/>
          <w:numId w:val="9"/>
        </w:numPr>
        <w:spacing w:before="0" w:line="276" w:lineRule="auto"/>
        <w:ind w:left="993" w:hanging="284"/>
        <w:jc w:val="both"/>
      </w:pPr>
      <w:r w:rsidRPr="004A7B0D">
        <w:t xml:space="preserve">Copy the message to all other parties (if applicable). </w:t>
      </w:r>
    </w:p>
    <w:p w:rsidR="00AB0AAE" w:rsidRPr="004A7B0D" w:rsidRDefault="00AB0AAE" w:rsidP="004A7B0D">
      <w:pPr>
        <w:pStyle w:val="HeadingOneTOC"/>
        <w:spacing w:before="0" w:line="276" w:lineRule="auto"/>
        <w:jc w:val="both"/>
      </w:pPr>
    </w:p>
    <w:p w:rsidR="00AB0AAE" w:rsidRPr="004A7B0D" w:rsidRDefault="00AB0AAE" w:rsidP="00473F1E">
      <w:pPr>
        <w:pStyle w:val="HeadingOneTOC"/>
        <w:spacing w:before="0" w:line="276" w:lineRule="auto"/>
        <w:jc w:val="both"/>
      </w:pPr>
      <w:r w:rsidRPr="004A7B0D">
        <w:rPr>
          <w:bCs/>
          <w:i/>
          <w:iCs/>
        </w:rPr>
        <w:t>Note</w:t>
      </w:r>
      <w:r w:rsidRPr="004A7B0D">
        <w:t xml:space="preserve">:  </w:t>
      </w:r>
    </w:p>
    <w:p w:rsidR="00AB0AAE" w:rsidRPr="004A7B0D" w:rsidRDefault="00AB0AAE" w:rsidP="00FA5FC2">
      <w:pPr>
        <w:pStyle w:val="HeadingOneTOC"/>
        <w:numPr>
          <w:ilvl w:val="0"/>
          <w:numId w:val="10"/>
        </w:numPr>
        <w:spacing w:before="0" w:line="276" w:lineRule="auto"/>
        <w:ind w:left="993" w:hanging="284"/>
        <w:jc w:val="both"/>
      </w:pPr>
      <w:r w:rsidRPr="004A7B0D">
        <w:t xml:space="preserve">Parties should wherever practicable </w:t>
      </w:r>
      <w:proofErr w:type="spellStart"/>
      <w:r w:rsidRPr="004A7B0D">
        <w:t>eLodge</w:t>
      </w:r>
      <w:proofErr w:type="spellEnd"/>
      <w:r w:rsidRPr="004A7B0D">
        <w:t xml:space="preserve"> any documents (including correspondence) relevant to a </w:t>
      </w:r>
      <w:r w:rsidR="00D377B1">
        <w:t xml:space="preserve">Judicial </w:t>
      </w:r>
      <w:r w:rsidRPr="004A7B0D">
        <w:t>Registrar matter.  </w:t>
      </w:r>
    </w:p>
    <w:p w:rsidR="00AB0AAE" w:rsidRPr="004A7B0D" w:rsidRDefault="00AB0AAE" w:rsidP="00FA5FC2">
      <w:pPr>
        <w:pStyle w:val="HeadingOneTOC"/>
        <w:numPr>
          <w:ilvl w:val="0"/>
          <w:numId w:val="10"/>
        </w:numPr>
        <w:spacing w:before="0" w:line="276" w:lineRule="auto"/>
        <w:ind w:left="993" w:hanging="284"/>
        <w:jc w:val="both"/>
      </w:pPr>
      <w:r w:rsidRPr="004A7B0D">
        <w:t xml:space="preserve">Applications which require a fee to be paid are to be </w:t>
      </w:r>
      <w:proofErr w:type="spellStart"/>
      <w:r w:rsidRPr="004A7B0D">
        <w:t>eLodged</w:t>
      </w:r>
      <w:proofErr w:type="spellEnd"/>
      <w:r w:rsidRPr="004A7B0D">
        <w:t xml:space="preserve">.  </w:t>
      </w:r>
    </w:p>
    <w:p w:rsidR="00AB0AAE" w:rsidRPr="004A7B0D" w:rsidRDefault="00AB0AAE" w:rsidP="004A7B0D">
      <w:pPr>
        <w:pStyle w:val="HeadingOneTOC"/>
        <w:numPr>
          <w:ilvl w:val="0"/>
          <w:numId w:val="10"/>
        </w:numPr>
        <w:spacing w:before="0" w:line="276" w:lineRule="auto"/>
        <w:ind w:left="993" w:hanging="284"/>
        <w:jc w:val="both"/>
      </w:pPr>
      <w:r w:rsidRPr="004A7B0D">
        <w:t>A party may not file a document by email</w:t>
      </w:r>
      <w:r w:rsidR="002D631A">
        <w:t xml:space="preserve">; </w:t>
      </w:r>
      <w:r w:rsidRPr="004A7B0D">
        <w:t>documents submitted by email will not be accepted for filing by the</w:t>
      </w:r>
      <w:r w:rsidR="002D631A">
        <w:t xml:space="preserve"> Registry</w:t>
      </w:r>
      <w:r w:rsidR="00D25891">
        <w:t xml:space="preserve"> and will not form part of the c</w:t>
      </w:r>
      <w:r w:rsidRPr="004A7B0D">
        <w:t xml:space="preserve">ourt file.    </w:t>
      </w:r>
    </w:p>
    <w:p w:rsidR="00130292" w:rsidRDefault="001B7739" w:rsidP="00050081">
      <w:pPr>
        <w:pStyle w:val="Heading1"/>
      </w:pPr>
      <w:bookmarkStart w:id="70" w:name="_Toc458706030"/>
      <w:bookmarkStart w:id="71" w:name="_Ref465956922"/>
      <w:bookmarkStart w:id="72" w:name="_Toc465959880"/>
      <w:bookmarkStart w:id="73" w:name="_Toc77251972"/>
      <w:r>
        <w:lastRenderedPageBreak/>
        <w:t>Public</w:t>
      </w:r>
      <w:r w:rsidR="000B708E">
        <w:t xml:space="preserve">ation of the </w:t>
      </w:r>
      <w:r w:rsidR="008F7466">
        <w:t xml:space="preserve">Judicial </w:t>
      </w:r>
      <w:r w:rsidR="000B708E">
        <w:t>Registrar C</w:t>
      </w:r>
      <w:r>
        <w:t xml:space="preserve">ourt </w:t>
      </w:r>
      <w:r w:rsidR="000B708E">
        <w:t>L</w:t>
      </w:r>
      <w:r w:rsidR="00B5586A" w:rsidRPr="00473F1E">
        <w:t>ist</w:t>
      </w:r>
      <w:bookmarkEnd w:id="70"/>
      <w:bookmarkEnd w:id="71"/>
      <w:bookmarkEnd w:id="72"/>
      <w:r w:rsidR="00A033D2">
        <w:t>s</w:t>
      </w:r>
      <w:bookmarkEnd w:id="73"/>
    </w:p>
    <w:p w:rsidR="00050081" w:rsidRPr="00050081" w:rsidRDefault="00050081" w:rsidP="00050081"/>
    <w:p w:rsidR="006B7DE2" w:rsidRDefault="00B5586A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</w:pPr>
      <w:r w:rsidRPr="004A7B0D">
        <w:t xml:space="preserve">Listing information for a </w:t>
      </w:r>
      <w:r w:rsidR="008F7466">
        <w:t xml:space="preserve">Judicial </w:t>
      </w:r>
      <w:r w:rsidRPr="004A7B0D">
        <w:t>Registrar</w:t>
      </w:r>
      <w:r w:rsidR="0031534A">
        <w:t>’</w:t>
      </w:r>
      <w:r w:rsidRPr="004A7B0D">
        <w:t>s bankruptcy list</w:t>
      </w:r>
      <w:r w:rsidR="001B7739">
        <w:t xml:space="preserve"> is</w:t>
      </w:r>
      <w:r w:rsidRPr="004A7B0D">
        <w:t xml:space="preserve"> available</w:t>
      </w:r>
      <w:r w:rsidR="001B7739">
        <w:t xml:space="preserve"> in </w:t>
      </w:r>
      <w:hyperlink r:id="rId51" w:history="1">
        <w:r w:rsidR="001B7739" w:rsidRPr="001B7739">
          <w:rPr>
            <w:rStyle w:val="Hyperlink"/>
          </w:rPr>
          <w:t>Daily Court Lists</w:t>
        </w:r>
      </w:hyperlink>
      <w:r w:rsidR="001B7739">
        <w:t xml:space="preserve">. </w:t>
      </w:r>
      <w:r w:rsidR="00FA5FC2">
        <w:t xml:space="preserve">  </w:t>
      </w:r>
    </w:p>
    <w:p w:rsidR="000C5C9B" w:rsidRPr="004A7B0D" w:rsidRDefault="000C5C9B" w:rsidP="001B7739">
      <w:pPr>
        <w:pStyle w:val="HeadingOneTOC"/>
        <w:spacing w:before="0" w:line="276" w:lineRule="auto"/>
        <w:jc w:val="both"/>
      </w:pPr>
    </w:p>
    <w:p w:rsidR="003D0626" w:rsidRDefault="00B5586A" w:rsidP="003D0626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4A76E5">
        <w:t xml:space="preserve">The Registry aims to publish the </w:t>
      </w:r>
      <w:r w:rsidR="008F7466">
        <w:t xml:space="preserve">Judicial </w:t>
      </w:r>
      <w:r w:rsidR="00B54692" w:rsidRPr="004A76E5">
        <w:t>Registrar</w:t>
      </w:r>
      <w:r w:rsidR="00DD175F" w:rsidRPr="004A76E5">
        <w:t xml:space="preserve"> </w:t>
      </w:r>
      <w:r w:rsidR="0031534A">
        <w:t xml:space="preserve">Court </w:t>
      </w:r>
      <w:r w:rsidRPr="004A76E5">
        <w:t>List</w:t>
      </w:r>
      <w:r w:rsidR="00A033D2">
        <w:t>s</w:t>
      </w:r>
      <w:r w:rsidRPr="004A76E5">
        <w:t xml:space="preserve"> fo</w:t>
      </w:r>
      <w:r w:rsidR="004A76E5" w:rsidRPr="004A76E5">
        <w:t xml:space="preserve">r the following day by </w:t>
      </w:r>
      <w:r w:rsidR="00A91219" w:rsidRPr="004A76E5">
        <w:t xml:space="preserve">4pm. </w:t>
      </w:r>
    </w:p>
    <w:p w:rsidR="003D0626" w:rsidRDefault="003D0626" w:rsidP="003D0626">
      <w:pPr>
        <w:pStyle w:val="Heading1"/>
      </w:pPr>
      <w:bookmarkStart w:id="74" w:name="_Toc77251973"/>
      <w:bookmarkStart w:id="75" w:name="_Toc458706032"/>
      <w:bookmarkStart w:id="76" w:name="_Toc465959882"/>
      <w:r>
        <w:t>Enquiries and contact information</w:t>
      </w:r>
      <w:bookmarkEnd w:id="74"/>
    </w:p>
    <w:p w:rsidR="003D0626" w:rsidRPr="003D0626" w:rsidRDefault="003D0626" w:rsidP="003D0626"/>
    <w:p w:rsidR="003D0626" w:rsidRPr="003D0626" w:rsidRDefault="00336F1F" w:rsidP="003D0626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hyperlink r:id="rId52" w:history="1">
        <w:r w:rsidR="003D0626" w:rsidRPr="003D0626">
          <w:rPr>
            <w:rStyle w:val="Hyperlink"/>
          </w:rPr>
          <w:t>Contact details</w:t>
        </w:r>
      </w:hyperlink>
      <w:r w:rsidR="003D0626" w:rsidRPr="003D0626">
        <w:t xml:space="preserve"> for the Court's registries are available on the Court's website.</w:t>
      </w:r>
    </w:p>
    <w:p w:rsidR="003D0626" w:rsidRPr="003D0626" w:rsidRDefault="003D0626" w:rsidP="003D0626"/>
    <w:p w:rsidR="00130292" w:rsidRDefault="008F7466" w:rsidP="003D0626">
      <w:pPr>
        <w:pStyle w:val="Heading1"/>
      </w:pPr>
      <w:bookmarkStart w:id="77" w:name="_Toc77251974"/>
      <w:r>
        <w:t>Self-represented l</w:t>
      </w:r>
      <w:r w:rsidR="00B5586A" w:rsidRPr="00D25891">
        <w:t>itigants</w:t>
      </w:r>
      <w:bookmarkEnd w:id="75"/>
      <w:bookmarkEnd w:id="76"/>
      <w:bookmarkEnd w:id="77"/>
      <w:r w:rsidR="00B5586A" w:rsidRPr="00D25891">
        <w:t xml:space="preserve"> </w:t>
      </w:r>
    </w:p>
    <w:p w:rsidR="003D0626" w:rsidRPr="003D0626" w:rsidRDefault="003D0626" w:rsidP="003D0626"/>
    <w:p w:rsidR="00E66B7C" w:rsidRDefault="008F7466" w:rsidP="009B4C4B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>
        <w:t>Self-represented l</w:t>
      </w:r>
      <w:r w:rsidR="00B5586A" w:rsidRPr="00D25891">
        <w:t xml:space="preserve">itigants will be supported by the </w:t>
      </w:r>
      <w:r w:rsidR="002E2C53" w:rsidRPr="00D25891">
        <w:t>R</w:t>
      </w:r>
      <w:r w:rsidR="00B5586A" w:rsidRPr="00D25891">
        <w:t xml:space="preserve">egistry to assist them through the </w:t>
      </w:r>
      <w:r w:rsidR="001E6804" w:rsidRPr="00D25891">
        <w:t xml:space="preserve">court </w:t>
      </w:r>
      <w:r>
        <w:t xml:space="preserve">process efficiently. </w:t>
      </w:r>
      <w:r w:rsidRPr="008F7466">
        <w:t xml:space="preserve">Refer to </w:t>
      </w:r>
      <w:hyperlink r:id="rId53" w:history="1">
        <w:r w:rsidRPr="008F7466">
          <w:rPr>
            <w:rStyle w:val="Hyperlink"/>
          </w:rPr>
          <w:t>Information for Litigants</w:t>
        </w:r>
      </w:hyperlink>
      <w:r w:rsidRPr="008F7466">
        <w:t xml:space="preserve"> for further information.</w:t>
      </w:r>
    </w:p>
    <w:p w:rsidR="00430093" w:rsidRPr="00D25891" w:rsidRDefault="00430093" w:rsidP="008F7466">
      <w:pPr>
        <w:pStyle w:val="HeadingOneTOC"/>
        <w:spacing w:before="0" w:line="276" w:lineRule="auto"/>
        <w:jc w:val="both"/>
      </w:pPr>
    </w:p>
    <w:p w:rsidR="00F32CF3" w:rsidRPr="003D0626" w:rsidRDefault="00257AD1" w:rsidP="004A7B0D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  <w:rPr>
          <w:rFonts w:eastAsia="Calibri"/>
          <w:color w:val="000000"/>
        </w:rPr>
      </w:pPr>
      <w:r w:rsidRPr="00D25891">
        <w:rPr>
          <w:color w:val="000000"/>
        </w:rPr>
        <w:t xml:space="preserve">A </w:t>
      </w:r>
      <w:r w:rsidR="008F7466">
        <w:rPr>
          <w:color w:val="000000"/>
        </w:rPr>
        <w:t>self-representation s</w:t>
      </w:r>
      <w:r w:rsidR="0006626F" w:rsidRPr="00D25891">
        <w:rPr>
          <w:color w:val="000000"/>
        </w:rPr>
        <w:t xml:space="preserve">ervice </w:t>
      </w:r>
      <w:r w:rsidR="00C67D88" w:rsidRPr="00D25891">
        <w:rPr>
          <w:color w:val="000000"/>
        </w:rPr>
        <w:t xml:space="preserve">is available to litigants </w:t>
      </w:r>
      <w:r w:rsidRPr="00D25891">
        <w:rPr>
          <w:color w:val="000000"/>
        </w:rPr>
        <w:t xml:space="preserve">in each </w:t>
      </w:r>
      <w:r w:rsidR="008F7466">
        <w:rPr>
          <w:color w:val="000000"/>
        </w:rPr>
        <w:t>R</w:t>
      </w:r>
      <w:r w:rsidRPr="00D25891">
        <w:rPr>
          <w:color w:val="000000"/>
        </w:rPr>
        <w:t xml:space="preserve">egistry. The service </w:t>
      </w:r>
      <w:r w:rsidRPr="00D25891">
        <w:rPr>
          <w:rFonts w:eastAsia="Calibri"/>
          <w:color w:val="000000"/>
        </w:rPr>
        <w:t xml:space="preserve">provides free, confidential and impartial legal </w:t>
      </w:r>
      <w:r w:rsidR="003C3BD6">
        <w:rPr>
          <w:rFonts w:eastAsia="Calibri"/>
          <w:color w:val="000000"/>
        </w:rPr>
        <w:t xml:space="preserve">and/or financial </w:t>
      </w:r>
      <w:r w:rsidRPr="00D25891">
        <w:rPr>
          <w:rFonts w:eastAsia="Calibri"/>
          <w:color w:val="000000"/>
        </w:rPr>
        <w:t xml:space="preserve">advice and assistance with </w:t>
      </w:r>
      <w:r w:rsidR="008F7466">
        <w:rPr>
          <w:rFonts w:eastAsia="Calibri"/>
          <w:color w:val="000000"/>
        </w:rPr>
        <w:t>Federal Court</w:t>
      </w:r>
      <w:r w:rsidR="00DE6CA4" w:rsidRPr="00D25891">
        <w:rPr>
          <w:rFonts w:eastAsia="Calibri"/>
          <w:color w:val="000000"/>
        </w:rPr>
        <w:t xml:space="preserve"> and F</w:t>
      </w:r>
      <w:r w:rsidR="008F7466">
        <w:rPr>
          <w:rFonts w:eastAsia="Calibri"/>
          <w:color w:val="000000"/>
        </w:rPr>
        <w:t>ederal Circuit Court</w:t>
      </w:r>
      <w:r w:rsidR="00E66B7C" w:rsidRPr="00D25891">
        <w:rPr>
          <w:rFonts w:eastAsia="Calibri"/>
          <w:color w:val="000000"/>
        </w:rPr>
        <w:t xml:space="preserve"> proce</w:t>
      </w:r>
      <w:r w:rsidR="00E66B7C">
        <w:rPr>
          <w:rFonts w:eastAsia="Calibri"/>
          <w:color w:val="000000"/>
        </w:rPr>
        <w:t xml:space="preserve">edings </w:t>
      </w:r>
      <w:r w:rsidRPr="004A76E5">
        <w:rPr>
          <w:rFonts w:eastAsia="Calibri"/>
          <w:color w:val="000000"/>
        </w:rPr>
        <w:t xml:space="preserve">for individuals and community groups. For further details contact the nearest </w:t>
      </w:r>
      <w:hyperlink r:id="rId54" w:history="1">
        <w:r w:rsidRPr="008F7466">
          <w:rPr>
            <w:rStyle w:val="Hyperlink"/>
            <w:rFonts w:eastAsia="Calibri"/>
          </w:rPr>
          <w:t>Registry</w:t>
        </w:r>
      </w:hyperlink>
      <w:r w:rsidR="001B7739">
        <w:rPr>
          <w:rFonts w:eastAsia="Calibri"/>
          <w:color w:val="000000"/>
        </w:rPr>
        <w:t>.</w:t>
      </w:r>
      <w:r w:rsidRPr="004A76E5">
        <w:rPr>
          <w:rFonts w:eastAsia="Calibri"/>
          <w:color w:val="000000"/>
        </w:rPr>
        <w:t xml:space="preserve"> </w:t>
      </w:r>
    </w:p>
    <w:p w:rsidR="00B5586A" w:rsidRPr="00FA5FC2" w:rsidRDefault="00F32CF3" w:rsidP="00050081">
      <w:pPr>
        <w:pStyle w:val="Heading1"/>
      </w:pPr>
      <w:bookmarkStart w:id="78" w:name="_Toc458706033"/>
      <w:bookmarkStart w:id="79" w:name="_Ref465956785"/>
      <w:bookmarkStart w:id="80" w:name="_Ref465957058"/>
      <w:bookmarkStart w:id="81" w:name="_Ref465958775"/>
      <w:bookmarkStart w:id="82" w:name="_Toc465959883"/>
      <w:bookmarkStart w:id="83" w:name="_Toc77251975"/>
      <w:r w:rsidRPr="00FA5FC2">
        <w:t>Information on the Court</w:t>
      </w:r>
      <w:r w:rsidR="0049264C">
        <w:t>’</w:t>
      </w:r>
      <w:r w:rsidRPr="00FA5FC2">
        <w:t xml:space="preserve">s </w:t>
      </w:r>
      <w:bookmarkEnd w:id="78"/>
      <w:bookmarkEnd w:id="79"/>
      <w:bookmarkEnd w:id="80"/>
      <w:bookmarkEnd w:id="81"/>
      <w:r w:rsidR="008F7466">
        <w:t>o</w:t>
      </w:r>
      <w:r w:rsidR="001B7739">
        <w:t xml:space="preserve">nline </w:t>
      </w:r>
      <w:r w:rsidR="008F7466">
        <w:t>s</w:t>
      </w:r>
      <w:r w:rsidR="001B7739">
        <w:t>ervices</w:t>
      </w:r>
      <w:bookmarkEnd w:id="82"/>
      <w:bookmarkEnd w:id="83"/>
      <w:r w:rsidRPr="00FA5FC2">
        <w:t xml:space="preserve"> </w:t>
      </w:r>
    </w:p>
    <w:p w:rsidR="00130292" w:rsidRPr="003D0626" w:rsidRDefault="006B7DE2" w:rsidP="003D0626">
      <w:pPr>
        <w:pStyle w:val="HeadingOneTOC"/>
        <w:spacing w:before="0" w:line="360" w:lineRule="auto"/>
        <w:ind w:left="709"/>
        <w:jc w:val="both"/>
        <w:rPr>
          <w:i/>
        </w:rPr>
      </w:pPr>
      <w:proofErr w:type="spellStart"/>
      <w:proofErr w:type="gramStart"/>
      <w:r w:rsidRPr="00FA5FC2">
        <w:rPr>
          <w:i/>
        </w:rPr>
        <w:t>eLodgment</w:t>
      </w:r>
      <w:proofErr w:type="spellEnd"/>
      <w:proofErr w:type="gramEnd"/>
      <w:r w:rsidRPr="00FA5FC2">
        <w:rPr>
          <w:i/>
        </w:rPr>
        <w:t xml:space="preserve"> </w:t>
      </w:r>
    </w:p>
    <w:p w:rsidR="008C2697" w:rsidRDefault="001B7739" w:rsidP="002B3553">
      <w:pPr>
        <w:pStyle w:val="Default"/>
        <w:numPr>
          <w:ilvl w:val="1"/>
          <w:numId w:val="19"/>
        </w:numPr>
        <w:tabs>
          <w:tab w:val="left" w:pos="709"/>
        </w:tabs>
        <w:spacing w:before="120" w:line="276" w:lineRule="auto"/>
        <w:ind w:hanging="716"/>
        <w:jc w:val="both"/>
        <w:rPr>
          <w:rFonts w:asciiTheme="minorHAnsi" w:hAnsiTheme="minorHAnsi"/>
          <w:color w:val="auto"/>
          <w:lang w:val="en-AU"/>
        </w:rPr>
      </w:pPr>
      <w:r w:rsidRPr="001B7739">
        <w:rPr>
          <w:rFonts w:asciiTheme="minorHAnsi" w:hAnsiTheme="minorHAnsi"/>
          <w:color w:val="auto"/>
          <w:lang w:val="en-AU"/>
        </w:rPr>
        <w:t>The Court provides an electronic lodgement (</w:t>
      </w:r>
      <w:proofErr w:type="spellStart"/>
      <w:r w:rsidR="003C3BD6">
        <w:fldChar w:fldCharType="begin"/>
      </w:r>
      <w:r w:rsidR="003C3BD6">
        <w:instrText xml:space="preserve"> HYPERLINK "https://www.elodgment.fedcourt.gov.au/" </w:instrText>
      </w:r>
      <w:r w:rsidR="003C3BD6">
        <w:fldChar w:fldCharType="separate"/>
      </w:r>
      <w:r w:rsidRPr="001B7739">
        <w:rPr>
          <w:rStyle w:val="Hyperlink"/>
          <w:rFonts w:asciiTheme="minorHAnsi" w:hAnsiTheme="minorHAnsi"/>
          <w:lang w:val="en-AU"/>
        </w:rPr>
        <w:t>eLodgment</w:t>
      </w:r>
      <w:proofErr w:type="spellEnd"/>
      <w:r w:rsidR="003C3BD6">
        <w:rPr>
          <w:rStyle w:val="Hyperlink"/>
          <w:rFonts w:asciiTheme="minorHAnsi" w:hAnsiTheme="minorHAnsi"/>
          <w:lang w:val="en-AU"/>
        </w:rPr>
        <w:fldChar w:fldCharType="end"/>
      </w:r>
      <w:r w:rsidRPr="001B7739">
        <w:rPr>
          <w:rFonts w:asciiTheme="minorHAnsi" w:hAnsiTheme="minorHAnsi"/>
          <w:color w:val="auto"/>
          <w:lang w:val="en-AU"/>
        </w:rPr>
        <w:t>) facility through which a document that commences a proceeding or is relevant to an existing proceeding may be lodged for filing online.</w:t>
      </w:r>
      <w:r>
        <w:rPr>
          <w:rFonts w:asciiTheme="minorHAnsi" w:hAnsiTheme="minorHAnsi"/>
          <w:color w:val="auto"/>
          <w:lang w:val="en-AU"/>
        </w:rPr>
        <w:t xml:space="preserve"> </w:t>
      </w:r>
    </w:p>
    <w:p w:rsidR="00FA5FC2" w:rsidRPr="00430093" w:rsidRDefault="001356DA" w:rsidP="002B3553">
      <w:pPr>
        <w:pStyle w:val="Default"/>
        <w:numPr>
          <w:ilvl w:val="1"/>
          <w:numId w:val="19"/>
        </w:numPr>
        <w:tabs>
          <w:tab w:val="left" w:pos="709"/>
        </w:tabs>
        <w:spacing w:before="120" w:line="276" w:lineRule="auto"/>
        <w:ind w:hanging="716"/>
        <w:jc w:val="both"/>
        <w:rPr>
          <w:rFonts w:asciiTheme="minorHAnsi" w:hAnsiTheme="minorHAnsi"/>
          <w:color w:val="auto"/>
          <w:lang w:val="en-AU"/>
        </w:rPr>
      </w:pPr>
      <w:r w:rsidRPr="00FA5FC2">
        <w:rPr>
          <w:rFonts w:asciiTheme="minorHAnsi" w:hAnsiTheme="minorHAnsi"/>
          <w:color w:val="auto"/>
          <w:lang w:val="en-AU"/>
        </w:rPr>
        <w:t xml:space="preserve">The use of </w:t>
      </w:r>
      <w:proofErr w:type="spellStart"/>
      <w:r w:rsidRPr="00FA5FC2">
        <w:rPr>
          <w:rFonts w:asciiTheme="minorHAnsi" w:hAnsiTheme="minorHAnsi"/>
          <w:color w:val="auto"/>
          <w:lang w:val="en-AU"/>
        </w:rPr>
        <w:t>eLodg</w:t>
      </w:r>
      <w:r w:rsidR="00D25891">
        <w:rPr>
          <w:rFonts w:asciiTheme="minorHAnsi" w:hAnsiTheme="minorHAnsi"/>
          <w:color w:val="auto"/>
          <w:lang w:val="en-AU"/>
        </w:rPr>
        <w:t>ment</w:t>
      </w:r>
      <w:proofErr w:type="spellEnd"/>
      <w:r w:rsidR="00D25891">
        <w:rPr>
          <w:rFonts w:asciiTheme="minorHAnsi" w:hAnsiTheme="minorHAnsi"/>
          <w:color w:val="auto"/>
          <w:lang w:val="en-AU"/>
        </w:rPr>
        <w:t xml:space="preserve"> provides many benefits to c</w:t>
      </w:r>
      <w:r w:rsidRPr="00FA5FC2">
        <w:rPr>
          <w:rFonts w:asciiTheme="minorHAnsi" w:hAnsiTheme="minorHAnsi"/>
          <w:color w:val="auto"/>
          <w:lang w:val="en-AU"/>
        </w:rPr>
        <w:t>ourt users. It is available from each user’s computer at any time and provides a complete record of all lodgement transactions with the Court.</w:t>
      </w:r>
    </w:p>
    <w:p w:rsidR="00FA5FC2" w:rsidRDefault="00D25891" w:rsidP="002B3553">
      <w:pPr>
        <w:pStyle w:val="Default"/>
        <w:numPr>
          <w:ilvl w:val="1"/>
          <w:numId w:val="19"/>
        </w:numPr>
        <w:tabs>
          <w:tab w:val="left" w:pos="709"/>
        </w:tabs>
        <w:spacing w:before="120" w:line="276" w:lineRule="auto"/>
        <w:ind w:left="709" w:hanging="709"/>
        <w:jc w:val="both"/>
        <w:rPr>
          <w:rFonts w:asciiTheme="minorHAnsi" w:hAnsiTheme="minorHAnsi"/>
          <w:color w:val="auto"/>
          <w:lang w:val="en-AU"/>
        </w:rPr>
      </w:pPr>
      <w:proofErr w:type="spellStart"/>
      <w:proofErr w:type="gramStart"/>
      <w:r>
        <w:rPr>
          <w:rFonts w:asciiTheme="minorHAnsi" w:hAnsiTheme="minorHAnsi"/>
          <w:color w:val="auto"/>
          <w:lang w:val="en-AU"/>
        </w:rPr>
        <w:t>eLodgment</w:t>
      </w:r>
      <w:proofErr w:type="spellEnd"/>
      <w:proofErr w:type="gramEnd"/>
      <w:r>
        <w:rPr>
          <w:rFonts w:asciiTheme="minorHAnsi" w:hAnsiTheme="minorHAnsi"/>
          <w:color w:val="auto"/>
          <w:lang w:val="en-AU"/>
        </w:rPr>
        <w:t xml:space="preserve"> also allows c</w:t>
      </w:r>
      <w:r w:rsidR="001356DA" w:rsidRPr="00FA5FC2">
        <w:rPr>
          <w:rFonts w:asciiTheme="minorHAnsi" w:hAnsiTheme="minorHAnsi"/>
          <w:color w:val="auto"/>
          <w:lang w:val="en-AU"/>
        </w:rPr>
        <w:t xml:space="preserve">ourt users to lodge other documents regarding a proceeding, for example: a draft order, terms of consent and case management correspondence. </w:t>
      </w:r>
    </w:p>
    <w:p w:rsidR="00026F40" w:rsidRPr="00FA5FC2" w:rsidRDefault="000473D9" w:rsidP="008C2697">
      <w:pPr>
        <w:pStyle w:val="HeadingOneTOC"/>
        <w:numPr>
          <w:ilvl w:val="1"/>
          <w:numId w:val="19"/>
        </w:numPr>
        <w:tabs>
          <w:tab w:val="left" w:pos="709"/>
        </w:tabs>
        <w:spacing w:before="120" w:line="276" w:lineRule="auto"/>
        <w:ind w:left="709" w:hanging="709"/>
      </w:pPr>
      <w:r w:rsidRPr="00FA5FC2">
        <w:rPr>
          <w:rFonts w:ascii="Calibri" w:hAnsi="Calibri"/>
        </w:rPr>
        <w:t xml:space="preserve">A party must be registered to use </w:t>
      </w:r>
      <w:proofErr w:type="spellStart"/>
      <w:r w:rsidRPr="00FA5FC2">
        <w:rPr>
          <w:rFonts w:ascii="Calibri" w:hAnsi="Calibri"/>
        </w:rPr>
        <w:t>eLodgment</w:t>
      </w:r>
      <w:proofErr w:type="spellEnd"/>
      <w:r w:rsidRPr="00FA5FC2">
        <w:rPr>
          <w:rFonts w:ascii="Calibri" w:hAnsi="Calibri"/>
        </w:rPr>
        <w:t>.</w:t>
      </w:r>
      <w:r w:rsidR="008C2697">
        <w:rPr>
          <w:rFonts w:ascii="Calibri" w:hAnsi="Calibri"/>
        </w:rPr>
        <w:t xml:space="preserve"> </w:t>
      </w:r>
      <w:r w:rsidR="008C2697" w:rsidRPr="007230FD">
        <w:t xml:space="preserve">The </w:t>
      </w:r>
      <w:hyperlink r:id="rId55" w:history="1">
        <w:proofErr w:type="spellStart"/>
        <w:r w:rsidR="008C2697">
          <w:rPr>
            <w:rStyle w:val="Hyperlink"/>
            <w:rFonts w:cstheme="minorBidi"/>
          </w:rPr>
          <w:t>eLodgment</w:t>
        </w:r>
        <w:proofErr w:type="spellEnd"/>
        <w:r w:rsidR="008C2697">
          <w:rPr>
            <w:rStyle w:val="Hyperlink"/>
            <w:rFonts w:cstheme="minorBidi"/>
          </w:rPr>
          <w:t xml:space="preserve"> </w:t>
        </w:r>
        <w:r w:rsidR="008C2697" w:rsidRPr="007230FD">
          <w:rPr>
            <w:rStyle w:val="Hyperlink"/>
            <w:rFonts w:cstheme="minorBidi"/>
          </w:rPr>
          <w:t>page</w:t>
        </w:r>
      </w:hyperlink>
      <w:r w:rsidR="008C2697" w:rsidRPr="007230FD">
        <w:t xml:space="preserve"> includes information about registering, preparing and lodging documents.</w:t>
      </w:r>
      <w:r w:rsidRPr="00FA5FC2">
        <w:br/>
      </w:r>
      <w:r w:rsidRPr="00FA5FC2">
        <w:rPr>
          <w:rFonts w:ascii="Calibri" w:hAnsi="Calibri"/>
        </w:rPr>
        <w:t xml:space="preserve"> </w:t>
      </w:r>
    </w:p>
    <w:p w:rsidR="002531FF" w:rsidRPr="00FA5FC2" w:rsidRDefault="002531FF" w:rsidP="00FA5FC2">
      <w:pPr>
        <w:pStyle w:val="HeadingOneTOC"/>
        <w:spacing w:before="0" w:line="276" w:lineRule="auto"/>
        <w:ind w:left="709"/>
        <w:jc w:val="both"/>
        <w:rPr>
          <w:i/>
        </w:rPr>
      </w:pPr>
      <w:proofErr w:type="spellStart"/>
      <w:proofErr w:type="gramStart"/>
      <w:r w:rsidRPr="00FA5FC2">
        <w:rPr>
          <w:i/>
        </w:rPr>
        <w:t>eCourtroom</w:t>
      </w:r>
      <w:proofErr w:type="spellEnd"/>
      <w:proofErr w:type="gramEnd"/>
      <w:r w:rsidRPr="00FA5FC2">
        <w:rPr>
          <w:i/>
        </w:rPr>
        <w:t xml:space="preserve"> </w:t>
      </w:r>
    </w:p>
    <w:p w:rsidR="002531FF" w:rsidRPr="00FA5FC2" w:rsidRDefault="002531FF" w:rsidP="00FA5FC2">
      <w:pPr>
        <w:pStyle w:val="HeadingOneTOC"/>
        <w:spacing w:before="0" w:line="276" w:lineRule="auto"/>
        <w:ind w:left="709" w:hanging="709"/>
        <w:jc w:val="both"/>
      </w:pPr>
    </w:p>
    <w:p w:rsidR="002531FF" w:rsidRPr="00FA5FC2" w:rsidRDefault="00336F1F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  <w:rPr>
          <w:rStyle w:val="Hyperlink"/>
          <w:color w:val="auto"/>
          <w:u w:val="none"/>
        </w:rPr>
      </w:pPr>
      <w:hyperlink r:id="rId56" w:history="1">
        <w:proofErr w:type="spellStart"/>
        <w:proofErr w:type="gramStart"/>
        <w:r w:rsidR="00130C4D">
          <w:rPr>
            <w:rStyle w:val="Hyperlink"/>
            <w:lang w:val="en-US"/>
          </w:rPr>
          <w:t>eCourtroom</w:t>
        </w:r>
        <w:proofErr w:type="spellEnd"/>
        <w:proofErr w:type="gramEnd"/>
      </w:hyperlink>
      <w:r w:rsidR="00130C4D">
        <w:rPr>
          <w:lang w:val="en-US"/>
        </w:rPr>
        <w:t xml:space="preserve"> is a virtual courtroom that assists in the management of matters by allowing directions and final orders to be made online.</w:t>
      </w:r>
    </w:p>
    <w:p w:rsidR="004E5F69" w:rsidRPr="00FA5FC2" w:rsidRDefault="004E5F69" w:rsidP="00FA5FC2">
      <w:pPr>
        <w:pStyle w:val="HeadingOneTOC"/>
        <w:spacing w:before="0" w:line="276" w:lineRule="auto"/>
        <w:ind w:left="709" w:hanging="709"/>
        <w:jc w:val="both"/>
        <w:rPr>
          <w:rStyle w:val="Hyperlink"/>
          <w:color w:val="auto"/>
          <w:u w:val="none"/>
        </w:rPr>
      </w:pPr>
    </w:p>
    <w:p w:rsidR="004E5F69" w:rsidRPr="00FA5FC2" w:rsidRDefault="004E5F69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  <w:rPr>
          <w:rStyle w:val="Hyperlink"/>
          <w:color w:val="auto"/>
          <w:u w:val="none"/>
        </w:rPr>
      </w:pPr>
      <w:r w:rsidRPr="00FA5FC2">
        <w:t>Once lodged applications will be given a re</w:t>
      </w:r>
      <w:r w:rsidR="008C2697">
        <w:t>turn date with the location as ‘</w:t>
      </w:r>
      <w:proofErr w:type="spellStart"/>
      <w:r w:rsidRPr="009652EE">
        <w:t>eCourtroom</w:t>
      </w:r>
      <w:proofErr w:type="spellEnd"/>
      <w:r w:rsidR="008C2697">
        <w:t>’</w:t>
      </w:r>
      <w:r w:rsidRPr="00FA5FC2">
        <w:t xml:space="preserve">. Practitioners must ensure that when an application is lodged, </w:t>
      </w:r>
      <w:r w:rsidRPr="00FA5FC2">
        <w:rPr>
          <w:b/>
        </w:rPr>
        <w:t>the full name and email address</w:t>
      </w:r>
      <w:r w:rsidRPr="00FA5FC2">
        <w:t xml:space="preserve"> of the </w:t>
      </w:r>
      <w:r w:rsidR="009852F9" w:rsidRPr="00FA5FC2">
        <w:t>practitioner</w:t>
      </w:r>
      <w:r w:rsidRPr="00FA5FC2">
        <w:t xml:space="preserve"> who will be conducting the </w:t>
      </w:r>
      <w:proofErr w:type="spellStart"/>
      <w:r w:rsidRPr="00FA5FC2">
        <w:t>eCourtroom</w:t>
      </w:r>
      <w:proofErr w:type="spellEnd"/>
      <w:r w:rsidRPr="00FA5FC2">
        <w:t xml:space="preserve"> hearing is provided at </w:t>
      </w:r>
      <w:r w:rsidRPr="00FA5FC2">
        <w:lastRenderedPageBreak/>
        <w:t>the foot of the first page of the application. More than one practitioner’s name and email address may be provided.</w:t>
      </w:r>
    </w:p>
    <w:p w:rsidR="00C75284" w:rsidRPr="00FA5FC2" w:rsidRDefault="00C75284" w:rsidP="00FA5FC2">
      <w:pPr>
        <w:pStyle w:val="HeadingOneTOC"/>
        <w:spacing w:before="0" w:line="276" w:lineRule="auto"/>
        <w:ind w:left="709" w:hanging="709"/>
        <w:jc w:val="both"/>
      </w:pPr>
    </w:p>
    <w:p w:rsidR="002531FF" w:rsidRPr="00FA5FC2" w:rsidRDefault="002531FF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FA5FC2">
        <w:t xml:space="preserve">For each application, practitioners will receive a further email notifying them that the particular matter has been set up in </w:t>
      </w:r>
      <w:proofErr w:type="spellStart"/>
      <w:r w:rsidRPr="00B37B5B">
        <w:t>eCourtroom</w:t>
      </w:r>
      <w:proofErr w:type="spellEnd"/>
      <w:r w:rsidR="00D377B1">
        <w:t xml:space="preserve">. </w:t>
      </w:r>
      <w:r w:rsidRPr="00FA5FC2">
        <w:t xml:space="preserve">The </w:t>
      </w:r>
      <w:r w:rsidR="00D377B1">
        <w:t xml:space="preserve">Judicial </w:t>
      </w:r>
      <w:r w:rsidRPr="00FA5FC2">
        <w:t>Registrar allocated to deal with the matter will then communicate with each practitioner.</w:t>
      </w:r>
    </w:p>
    <w:p w:rsidR="002531FF" w:rsidRPr="00FA5FC2" w:rsidRDefault="002531FF" w:rsidP="00FA5FC2">
      <w:pPr>
        <w:spacing w:after="60"/>
        <w:ind w:left="709" w:hanging="709"/>
        <w:jc w:val="both"/>
        <w:rPr>
          <w:rFonts w:asciiTheme="minorHAnsi" w:hAnsiTheme="minorHAnsi"/>
        </w:rPr>
      </w:pPr>
    </w:p>
    <w:p w:rsidR="002531FF" w:rsidRPr="00FA5FC2" w:rsidRDefault="002531FF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  <w:rPr>
          <w:lang w:eastAsia="en-AU"/>
        </w:rPr>
      </w:pPr>
      <w:r w:rsidRPr="00FA5FC2">
        <w:rPr>
          <w:lang w:eastAsia="en-AU"/>
        </w:rPr>
        <w:t xml:space="preserve">Before or on the </w:t>
      </w:r>
      <w:proofErr w:type="spellStart"/>
      <w:r w:rsidRPr="00B37B5B">
        <w:rPr>
          <w:iCs/>
          <w:lang w:eastAsia="en-AU"/>
        </w:rPr>
        <w:t>eCourtroom</w:t>
      </w:r>
      <w:proofErr w:type="spellEnd"/>
      <w:r w:rsidRPr="009652EE">
        <w:rPr>
          <w:lang w:eastAsia="en-AU"/>
        </w:rPr>
        <w:t xml:space="preserve"> </w:t>
      </w:r>
      <w:r w:rsidRPr="00FA5FC2">
        <w:rPr>
          <w:lang w:eastAsia="en-AU"/>
        </w:rPr>
        <w:t xml:space="preserve">return date the </w:t>
      </w:r>
      <w:r w:rsidR="00D377B1">
        <w:t xml:space="preserve">Judicial </w:t>
      </w:r>
      <w:r w:rsidRPr="00FA5FC2">
        <w:rPr>
          <w:lang w:eastAsia="en-AU"/>
        </w:rPr>
        <w:t>Registrar will:</w:t>
      </w:r>
    </w:p>
    <w:p w:rsidR="00C75284" w:rsidRPr="00FA5FC2" w:rsidRDefault="00C75284" w:rsidP="00FA5FC2">
      <w:pPr>
        <w:pStyle w:val="HeadingOneTOC"/>
        <w:spacing w:before="0" w:line="276" w:lineRule="auto"/>
        <w:ind w:left="709" w:hanging="709"/>
        <w:jc w:val="both"/>
        <w:rPr>
          <w:lang w:eastAsia="en-AU"/>
        </w:rPr>
      </w:pPr>
    </w:p>
    <w:p w:rsidR="00C75284" w:rsidRPr="00FA5FC2" w:rsidRDefault="002531FF" w:rsidP="00FA5FC2">
      <w:pPr>
        <w:numPr>
          <w:ilvl w:val="0"/>
          <w:numId w:val="13"/>
        </w:numPr>
        <w:tabs>
          <w:tab w:val="clear" w:pos="720"/>
          <w:tab w:val="num" w:pos="993"/>
        </w:tabs>
        <w:spacing w:after="60"/>
        <w:ind w:left="993" w:hanging="284"/>
        <w:jc w:val="both"/>
        <w:rPr>
          <w:rFonts w:asciiTheme="minorHAnsi" w:hAnsiTheme="minorHAnsi"/>
          <w:lang w:eastAsia="en-AU"/>
        </w:rPr>
      </w:pPr>
      <w:r w:rsidRPr="00FA5FC2">
        <w:rPr>
          <w:rFonts w:asciiTheme="minorHAnsi" w:hAnsiTheme="minorHAnsi"/>
          <w:lang w:eastAsia="en-AU"/>
        </w:rPr>
        <w:t>consider the filed evidence, any communications and the draft orders forwarded by the applicant</w:t>
      </w:r>
      <w:r w:rsidR="000B708E">
        <w:rPr>
          <w:rFonts w:asciiTheme="minorHAnsi" w:hAnsiTheme="minorHAnsi"/>
          <w:lang w:eastAsia="en-AU"/>
        </w:rPr>
        <w:t>,</w:t>
      </w:r>
      <w:r w:rsidR="00C75284" w:rsidRPr="00FA5FC2">
        <w:rPr>
          <w:rFonts w:asciiTheme="minorHAnsi" w:hAnsiTheme="minorHAnsi"/>
          <w:lang w:eastAsia="en-AU"/>
        </w:rPr>
        <w:t xml:space="preserve"> and</w:t>
      </w:r>
      <w:r w:rsidR="00270044" w:rsidRPr="00FA5FC2">
        <w:rPr>
          <w:rFonts w:asciiTheme="minorHAnsi" w:hAnsiTheme="minorHAnsi"/>
          <w:lang w:eastAsia="en-AU"/>
        </w:rPr>
        <w:t xml:space="preserve"> </w:t>
      </w:r>
    </w:p>
    <w:p w:rsidR="002531FF" w:rsidRPr="00FA5FC2" w:rsidRDefault="002531FF" w:rsidP="00FA5FC2">
      <w:pPr>
        <w:numPr>
          <w:ilvl w:val="0"/>
          <w:numId w:val="13"/>
        </w:numPr>
        <w:tabs>
          <w:tab w:val="clear" w:pos="720"/>
          <w:tab w:val="num" w:pos="993"/>
        </w:tabs>
        <w:spacing w:after="60"/>
        <w:ind w:left="993" w:hanging="284"/>
        <w:jc w:val="both"/>
        <w:rPr>
          <w:rFonts w:asciiTheme="minorHAnsi" w:hAnsiTheme="minorHAnsi"/>
          <w:lang w:eastAsia="en-AU"/>
        </w:rPr>
      </w:pPr>
      <w:proofErr w:type="gramStart"/>
      <w:r w:rsidRPr="00FA5FC2">
        <w:rPr>
          <w:rFonts w:asciiTheme="minorHAnsi" w:hAnsiTheme="minorHAnsi"/>
          <w:lang w:eastAsia="en-AU"/>
        </w:rPr>
        <w:t>make</w:t>
      </w:r>
      <w:proofErr w:type="gramEnd"/>
      <w:r w:rsidRPr="00FA5FC2">
        <w:rPr>
          <w:rFonts w:asciiTheme="minorHAnsi" w:hAnsiTheme="minorHAnsi"/>
          <w:lang w:eastAsia="en-AU"/>
        </w:rPr>
        <w:t xml:space="preserve"> appropriate orders, notify parties (applicant in these ex parte matters) and provide a sealed copy of the order.</w:t>
      </w:r>
      <w:r w:rsidR="00270044" w:rsidRPr="00FA5FC2">
        <w:rPr>
          <w:rFonts w:asciiTheme="minorHAnsi" w:hAnsiTheme="minorHAnsi"/>
          <w:lang w:eastAsia="en-AU"/>
        </w:rPr>
        <w:t xml:space="preserve">  </w:t>
      </w:r>
    </w:p>
    <w:p w:rsidR="00270044" w:rsidRPr="00FA5FC2" w:rsidRDefault="00270044" w:rsidP="00FA5FC2">
      <w:pPr>
        <w:pStyle w:val="HeadingOneTOC"/>
        <w:spacing w:before="0" w:line="276" w:lineRule="auto"/>
        <w:ind w:left="709" w:hanging="709"/>
        <w:jc w:val="both"/>
        <w:rPr>
          <w:lang w:eastAsia="en-AU"/>
        </w:rPr>
      </w:pPr>
    </w:p>
    <w:p w:rsidR="00F32CF3" w:rsidRPr="00FA5FC2" w:rsidRDefault="00F32CF3" w:rsidP="00FA5FC2">
      <w:pPr>
        <w:pStyle w:val="HeadingOneTOC"/>
        <w:spacing w:before="0" w:line="276" w:lineRule="auto"/>
        <w:ind w:left="709"/>
        <w:jc w:val="both"/>
        <w:rPr>
          <w:i/>
        </w:rPr>
      </w:pPr>
      <w:r w:rsidRPr="00FA5FC2">
        <w:rPr>
          <w:i/>
        </w:rPr>
        <w:t>Commonwealth Courts Portal</w:t>
      </w:r>
    </w:p>
    <w:p w:rsidR="00422045" w:rsidRPr="00FA5FC2" w:rsidRDefault="00422045" w:rsidP="00FA5FC2">
      <w:pPr>
        <w:pStyle w:val="HeadingOneTOC"/>
        <w:spacing w:before="0" w:line="276" w:lineRule="auto"/>
        <w:ind w:left="709" w:hanging="709"/>
        <w:jc w:val="both"/>
        <w:rPr>
          <w:i/>
        </w:rPr>
      </w:pPr>
    </w:p>
    <w:p w:rsidR="00150762" w:rsidRPr="00FA5FC2" w:rsidRDefault="0060248F" w:rsidP="002B3553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FA5FC2">
        <w:t xml:space="preserve">Filed documents in a matter can be viewed by parties or those authorised by a party on the </w:t>
      </w:r>
      <w:hyperlink r:id="rId57" w:history="1">
        <w:r w:rsidRPr="00130C4D">
          <w:rPr>
            <w:rStyle w:val="Hyperlink"/>
          </w:rPr>
          <w:t>Commonwealth Courts Portal</w:t>
        </w:r>
      </w:hyperlink>
      <w:r w:rsidRPr="00FA5FC2">
        <w:t xml:space="preserve">. </w:t>
      </w:r>
      <w:r w:rsidRPr="00FA5FC2">
        <w:rPr>
          <w:lang w:val="en"/>
        </w:rPr>
        <w:t xml:space="preserve">The </w:t>
      </w:r>
      <w:r w:rsidR="003D0626">
        <w:rPr>
          <w:lang w:val="en"/>
        </w:rPr>
        <w:t>Commonwealth Courts Portal (</w:t>
      </w:r>
      <w:r w:rsidR="00130C4D">
        <w:rPr>
          <w:lang w:val="en"/>
        </w:rPr>
        <w:t>CCP</w:t>
      </w:r>
      <w:r w:rsidR="003D0626">
        <w:rPr>
          <w:lang w:val="en"/>
        </w:rPr>
        <w:t>)</w:t>
      </w:r>
      <w:r w:rsidRPr="00FA5FC2">
        <w:rPr>
          <w:lang w:val="en"/>
        </w:rPr>
        <w:t xml:space="preserve"> p</w:t>
      </w:r>
      <w:r w:rsidR="00D25891">
        <w:rPr>
          <w:lang w:val="en"/>
        </w:rPr>
        <w:t>rovides web-based services for c</w:t>
      </w:r>
      <w:r w:rsidRPr="00FA5FC2">
        <w:rPr>
          <w:lang w:val="en"/>
        </w:rPr>
        <w:t xml:space="preserve">ourt users to access information about cases before the Court. Parties may register for the CCP to gain access to documents which have been </w:t>
      </w:r>
      <w:proofErr w:type="spellStart"/>
      <w:r w:rsidRPr="00FA5FC2">
        <w:rPr>
          <w:lang w:val="en"/>
        </w:rPr>
        <w:t>eLodged</w:t>
      </w:r>
      <w:proofErr w:type="spellEnd"/>
      <w:r w:rsidRPr="00FA5FC2">
        <w:rPr>
          <w:lang w:val="en"/>
        </w:rPr>
        <w:t xml:space="preserve">, as well as orders of the Court, judgments and listing events (past or future). </w:t>
      </w:r>
      <w:r w:rsidR="00270044" w:rsidRPr="00FA5FC2">
        <w:rPr>
          <w:lang w:val="en"/>
        </w:rPr>
        <w:t xml:space="preserve"> </w:t>
      </w:r>
      <w:r w:rsidR="00150762" w:rsidRPr="00FA5FC2">
        <w:t>More informat</w:t>
      </w:r>
      <w:r w:rsidR="00130C4D">
        <w:t xml:space="preserve">ion about the CCP can be found in </w:t>
      </w:r>
      <w:hyperlink r:id="rId58" w:history="1">
        <w:r w:rsidR="00130C4D" w:rsidRPr="00130C4D">
          <w:rPr>
            <w:rStyle w:val="Hyperlink"/>
          </w:rPr>
          <w:t>Online Services</w:t>
        </w:r>
      </w:hyperlink>
      <w:r w:rsidR="00130C4D">
        <w:t>.</w:t>
      </w:r>
    </w:p>
    <w:p w:rsidR="00DD175F" w:rsidRPr="00FA5FC2" w:rsidRDefault="00DD175F" w:rsidP="00FA5FC2">
      <w:pPr>
        <w:pStyle w:val="HeadingOneTOC"/>
        <w:spacing w:before="0" w:line="276" w:lineRule="auto"/>
        <w:ind w:left="709" w:hanging="709"/>
        <w:jc w:val="both"/>
      </w:pPr>
    </w:p>
    <w:p w:rsidR="00E911AE" w:rsidRPr="00FA5FC2" w:rsidRDefault="00DD175F" w:rsidP="00FA5FC2">
      <w:pPr>
        <w:pStyle w:val="HeadingOneTOC"/>
        <w:spacing w:before="0" w:line="276" w:lineRule="auto"/>
        <w:ind w:left="709"/>
        <w:jc w:val="both"/>
        <w:rPr>
          <w:i/>
        </w:rPr>
      </w:pPr>
      <w:r w:rsidRPr="00FA5FC2">
        <w:rPr>
          <w:i/>
        </w:rPr>
        <w:t xml:space="preserve">Federal Law Search </w:t>
      </w:r>
    </w:p>
    <w:p w:rsidR="00DD175F" w:rsidRPr="00FA5FC2" w:rsidRDefault="00DD175F" w:rsidP="00FA5FC2">
      <w:pPr>
        <w:pStyle w:val="HeadingOneTOC"/>
        <w:spacing w:before="0" w:line="276" w:lineRule="auto"/>
        <w:ind w:left="709" w:hanging="709"/>
        <w:jc w:val="both"/>
      </w:pPr>
    </w:p>
    <w:p w:rsidR="002531FF" w:rsidRPr="00FA5FC2" w:rsidRDefault="00130C4D" w:rsidP="0044205A">
      <w:pPr>
        <w:pStyle w:val="HeadingOneTOC"/>
        <w:numPr>
          <w:ilvl w:val="1"/>
          <w:numId w:val="19"/>
        </w:numPr>
        <w:spacing w:before="0" w:line="276" w:lineRule="auto"/>
        <w:ind w:left="709" w:hanging="709"/>
        <w:jc w:val="both"/>
      </w:pPr>
      <w:r w:rsidRPr="003D0626">
        <w:rPr>
          <w:lang w:val="en-US"/>
        </w:rPr>
        <w:t xml:space="preserve">Alternatively, stamped court orders are also available </w:t>
      </w:r>
      <w:r w:rsidR="003D0626">
        <w:rPr>
          <w:lang w:val="en-US"/>
        </w:rPr>
        <w:t>via</w:t>
      </w:r>
      <w:r w:rsidRPr="003D0626">
        <w:rPr>
          <w:lang w:val="en-US"/>
        </w:rPr>
        <w:t xml:space="preserve"> </w:t>
      </w:r>
      <w:hyperlink r:id="rId59" w:history="1">
        <w:r w:rsidRPr="003D0626">
          <w:rPr>
            <w:rStyle w:val="Hyperlink"/>
            <w:lang w:val="en-US"/>
          </w:rPr>
          <w:t>Federal Law Search</w:t>
        </w:r>
      </w:hyperlink>
      <w:r w:rsidRPr="003D0626">
        <w:rPr>
          <w:lang w:val="en-US"/>
        </w:rPr>
        <w:t>.</w:t>
      </w:r>
      <w:r w:rsidR="0060248F" w:rsidRPr="00FA5FC2">
        <w:t xml:space="preserve"> </w:t>
      </w:r>
      <w:r w:rsidR="0060248F" w:rsidRPr="003D0626">
        <w:rPr>
          <w:bCs/>
        </w:rPr>
        <w:t xml:space="preserve">The Federal Law Search facility provides selected information on cases to members of the public. </w:t>
      </w:r>
    </w:p>
    <w:p w:rsidR="002531FF" w:rsidRPr="00FA5FC2" w:rsidRDefault="002531FF" w:rsidP="00FA5FC2">
      <w:pPr>
        <w:pStyle w:val="HeadingOneTOC"/>
        <w:spacing w:before="0" w:line="276" w:lineRule="auto"/>
        <w:ind w:left="709" w:hanging="709"/>
        <w:jc w:val="both"/>
      </w:pPr>
    </w:p>
    <w:sectPr w:rsidR="002531FF" w:rsidRPr="00FA5FC2" w:rsidSect="009B2F65">
      <w:footerReference w:type="even" r:id="rId60"/>
      <w:footerReference w:type="default" r:id="rId61"/>
      <w:pgSz w:w="11906" w:h="16838"/>
      <w:pgMar w:top="993" w:right="127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D8" w:rsidRDefault="00DA60D8" w:rsidP="00F84189">
      <w:r>
        <w:separator/>
      </w:r>
    </w:p>
  </w:endnote>
  <w:endnote w:type="continuationSeparator" w:id="0">
    <w:p w:rsidR="00DA60D8" w:rsidRDefault="00DA60D8" w:rsidP="00F8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C4D" w:rsidRDefault="00130C4D" w:rsidP="009B2F6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30C4D" w:rsidRDefault="00130C4D" w:rsidP="00FA547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C4D" w:rsidRDefault="00130C4D" w:rsidP="009B2F65">
    <w:pPr>
      <w:pStyle w:val="Footer"/>
      <w:tabs>
        <w:tab w:val="clear" w:pos="4513"/>
        <w:tab w:val="clear" w:pos="9026"/>
        <w:tab w:val="right" w:pos="9640"/>
      </w:tabs>
      <w:ind w:firstLine="360"/>
      <w:rPr>
        <w:rStyle w:val="PageNumber"/>
        <w:rFonts w:asciiTheme="minorHAnsi" w:hAnsiTheme="minorHAnsi"/>
        <w:sz w:val="20"/>
      </w:rPr>
    </w:pPr>
  </w:p>
  <w:p w:rsidR="00130C4D" w:rsidRPr="00130C4D" w:rsidRDefault="00231FCB" w:rsidP="00231FCB">
    <w:pPr>
      <w:pStyle w:val="Footer"/>
      <w:framePr w:w="506" w:wrap="around" w:vAnchor="text" w:hAnchor="page" w:x="9932" w:y="180"/>
      <w:rPr>
        <w:rStyle w:val="PageNumber"/>
        <w:rFonts w:asciiTheme="minorHAnsi" w:hAnsiTheme="minorHAnsi"/>
        <w:sz w:val="20"/>
        <w:szCs w:val="20"/>
      </w:rPr>
    </w:pPr>
    <w:r>
      <w:rPr>
        <w:rStyle w:val="PageNumber"/>
        <w:rFonts w:asciiTheme="minorHAnsi" w:hAnsiTheme="minorHAnsi"/>
        <w:sz w:val="20"/>
        <w:szCs w:val="20"/>
      </w:rPr>
      <w:t xml:space="preserve">p </w:t>
    </w:r>
    <w:r w:rsidR="00130C4D" w:rsidRPr="00130C4D">
      <w:rPr>
        <w:rStyle w:val="PageNumber"/>
        <w:rFonts w:asciiTheme="minorHAnsi" w:hAnsiTheme="minorHAnsi"/>
        <w:sz w:val="20"/>
        <w:szCs w:val="20"/>
      </w:rPr>
      <w:fldChar w:fldCharType="begin"/>
    </w:r>
    <w:r w:rsidR="00130C4D" w:rsidRPr="00130C4D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="00130C4D" w:rsidRPr="00130C4D">
      <w:rPr>
        <w:rStyle w:val="PageNumber"/>
        <w:rFonts w:asciiTheme="minorHAnsi" w:hAnsiTheme="minorHAnsi"/>
        <w:sz w:val="20"/>
        <w:szCs w:val="20"/>
      </w:rPr>
      <w:fldChar w:fldCharType="separate"/>
    </w:r>
    <w:r w:rsidR="00336F1F">
      <w:rPr>
        <w:rStyle w:val="PageNumber"/>
        <w:rFonts w:asciiTheme="minorHAnsi" w:hAnsiTheme="minorHAnsi"/>
        <w:noProof/>
        <w:sz w:val="20"/>
        <w:szCs w:val="20"/>
      </w:rPr>
      <w:t>1</w:t>
    </w:r>
    <w:r w:rsidR="00130C4D" w:rsidRPr="00130C4D">
      <w:rPr>
        <w:rStyle w:val="PageNumber"/>
        <w:rFonts w:asciiTheme="minorHAnsi" w:hAnsiTheme="minorHAnsi"/>
        <w:sz w:val="20"/>
        <w:szCs w:val="20"/>
      </w:rPr>
      <w:fldChar w:fldCharType="end"/>
    </w:r>
  </w:p>
  <w:p w:rsidR="00130C4D" w:rsidRDefault="00130C4D" w:rsidP="00130C4D">
    <w:pPr>
      <w:pStyle w:val="Footer"/>
      <w:tabs>
        <w:tab w:val="right" w:pos="9640"/>
      </w:tabs>
      <w:ind w:firstLine="360"/>
      <w:jc w:val="center"/>
      <w:rPr>
        <w:rStyle w:val="PageNumber"/>
        <w:rFonts w:asciiTheme="minorHAnsi" w:hAnsiTheme="minorHAnsi"/>
        <w:sz w:val="20"/>
      </w:rPr>
    </w:pPr>
    <w:r w:rsidRPr="00130C4D">
      <w:rPr>
        <w:rStyle w:val="PageNumber"/>
        <w:rFonts w:asciiTheme="minorHAnsi" w:hAnsiTheme="minorHAnsi"/>
        <w:sz w:val="20"/>
      </w:rPr>
      <w:t>Guide f</w:t>
    </w:r>
    <w:r>
      <w:rPr>
        <w:rStyle w:val="PageNumber"/>
        <w:rFonts w:asciiTheme="minorHAnsi" w:hAnsiTheme="minorHAnsi"/>
        <w:sz w:val="20"/>
      </w:rPr>
      <w:t>or Practitio</w:t>
    </w:r>
    <w:r w:rsidR="008F7466">
      <w:rPr>
        <w:rStyle w:val="PageNumber"/>
        <w:rFonts w:asciiTheme="minorHAnsi" w:hAnsiTheme="minorHAnsi"/>
        <w:sz w:val="20"/>
      </w:rPr>
      <w:t>ners and Parties in Bankruptcy M</w:t>
    </w:r>
    <w:r w:rsidRPr="00130C4D">
      <w:rPr>
        <w:rStyle w:val="PageNumber"/>
        <w:rFonts w:asciiTheme="minorHAnsi" w:hAnsiTheme="minorHAnsi"/>
        <w:sz w:val="20"/>
      </w:rPr>
      <w:t xml:space="preserve">atters </w:t>
    </w:r>
    <w:r>
      <w:rPr>
        <w:rStyle w:val="PageNumber"/>
        <w:rFonts w:asciiTheme="minorHAnsi" w:hAnsiTheme="minorHAnsi"/>
        <w:sz w:val="20"/>
      </w:rPr>
      <w:t>listed b</w:t>
    </w:r>
    <w:r w:rsidRPr="00130C4D">
      <w:rPr>
        <w:rStyle w:val="PageNumber"/>
        <w:rFonts w:asciiTheme="minorHAnsi" w:hAnsiTheme="minorHAnsi"/>
        <w:sz w:val="20"/>
      </w:rPr>
      <w:t xml:space="preserve">efore a </w:t>
    </w:r>
    <w:r w:rsidR="008F7466">
      <w:rPr>
        <w:rStyle w:val="PageNumber"/>
        <w:rFonts w:asciiTheme="minorHAnsi" w:hAnsiTheme="minorHAnsi"/>
        <w:sz w:val="20"/>
      </w:rPr>
      <w:t xml:space="preserve">Judicial </w:t>
    </w:r>
    <w:r w:rsidRPr="00130C4D">
      <w:rPr>
        <w:rStyle w:val="PageNumber"/>
        <w:rFonts w:asciiTheme="minorHAnsi" w:hAnsiTheme="minorHAnsi"/>
        <w:sz w:val="20"/>
      </w:rPr>
      <w:t>Registrar</w:t>
    </w:r>
  </w:p>
  <w:p w:rsidR="00130C4D" w:rsidRPr="00130C4D" w:rsidRDefault="00AE4A69" w:rsidP="009B2F65">
    <w:pPr>
      <w:pStyle w:val="Footer"/>
      <w:tabs>
        <w:tab w:val="clear" w:pos="4513"/>
        <w:tab w:val="clear" w:pos="9026"/>
        <w:tab w:val="right" w:pos="9640"/>
      </w:tabs>
      <w:ind w:firstLine="360"/>
      <w:rPr>
        <w:rFonts w:asciiTheme="minorHAnsi" w:hAnsiTheme="minorHAnsi"/>
        <w:sz w:val="20"/>
      </w:rPr>
    </w:pPr>
    <w:r>
      <w:rPr>
        <w:rStyle w:val="PageNumber"/>
        <w:rFonts w:asciiTheme="minorHAnsi" w:hAnsiTheme="minorHAnsi"/>
        <w:sz w:val="20"/>
      </w:rPr>
      <w:t xml:space="preserve">Updated </w:t>
    </w:r>
    <w:r w:rsidR="00AF4A6F">
      <w:rPr>
        <w:rStyle w:val="PageNumber"/>
        <w:rFonts w:asciiTheme="minorHAnsi" w:hAnsiTheme="minorHAnsi"/>
        <w:sz w:val="20"/>
      </w:rP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D8" w:rsidRDefault="00DA60D8" w:rsidP="00F84189">
      <w:r>
        <w:separator/>
      </w:r>
    </w:p>
  </w:footnote>
  <w:footnote w:type="continuationSeparator" w:id="0">
    <w:p w:rsidR="00DA60D8" w:rsidRDefault="00DA60D8" w:rsidP="00F84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5F75"/>
    <w:multiLevelType w:val="multilevel"/>
    <w:tmpl w:val="CCF69DB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406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" w15:restartNumberingAfterBreak="0">
    <w:nsid w:val="0D9F3E4C"/>
    <w:multiLevelType w:val="multilevel"/>
    <w:tmpl w:val="3830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73856"/>
    <w:multiLevelType w:val="hybridMultilevel"/>
    <w:tmpl w:val="006A400C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306E2"/>
    <w:multiLevelType w:val="multilevel"/>
    <w:tmpl w:val="5492DE5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3F1B17"/>
    <w:multiLevelType w:val="multilevel"/>
    <w:tmpl w:val="EB48CA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F51A9F"/>
    <w:multiLevelType w:val="hybridMultilevel"/>
    <w:tmpl w:val="12B62BA4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6DF7A02"/>
    <w:multiLevelType w:val="multilevel"/>
    <w:tmpl w:val="1F1499C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210CAC"/>
    <w:multiLevelType w:val="multilevel"/>
    <w:tmpl w:val="A5AEA2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1B1027"/>
    <w:multiLevelType w:val="multilevel"/>
    <w:tmpl w:val="9B18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853030"/>
    <w:multiLevelType w:val="hybridMultilevel"/>
    <w:tmpl w:val="EA70631C"/>
    <w:lvl w:ilvl="0" w:tplc="BB2E49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784D97"/>
    <w:multiLevelType w:val="multilevel"/>
    <w:tmpl w:val="F7FE7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9A65FD3"/>
    <w:multiLevelType w:val="multilevel"/>
    <w:tmpl w:val="B2E0B220"/>
    <w:lvl w:ilvl="0">
      <w:start w:val="1"/>
      <w:numFmt w:val="decimal"/>
      <w:pStyle w:val="HeadingNumbered01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Numbered02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Numbered03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Numbered04"/>
      <w:suff w:val="space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HeadingNumbered05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E3F4A06"/>
    <w:multiLevelType w:val="multilevel"/>
    <w:tmpl w:val="95B84712"/>
    <w:lvl w:ilvl="0">
      <w:start w:val="1"/>
      <w:numFmt w:val="bullet"/>
      <w:pStyle w:val="Dimi01"/>
      <w:lvlText w:val=""/>
      <w:lvlJc w:val="left"/>
      <w:pPr>
        <w:ind w:left="2574" w:hanging="360"/>
      </w:pPr>
      <w:rPr>
        <w:rFonts w:ascii="Symbol" w:hAnsi="Symbol" w:hint="default"/>
      </w:rPr>
    </w:lvl>
    <w:lvl w:ilvl="1">
      <w:start w:val="1"/>
      <w:numFmt w:val="none"/>
      <w:lvlText w:val="4.1"/>
      <w:lvlJc w:val="left"/>
      <w:pPr>
        <w:ind w:left="937" w:hanging="567"/>
      </w:pPr>
      <w:rPr>
        <w:rFonts w:hint="default"/>
      </w:rPr>
    </w:lvl>
    <w:lvl w:ilvl="2">
      <w:start w:val="1"/>
      <w:numFmt w:val="none"/>
      <w:lvlText w:val="4.2"/>
      <w:lvlJc w:val="left"/>
      <w:pPr>
        <w:ind w:left="937" w:hanging="567"/>
      </w:pPr>
      <w:rPr>
        <w:rFonts w:hint="default"/>
      </w:rPr>
    </w:lvl>
    <w:lvl w:ilvl="3">
      <w:start w:val="1"/>
      <w:numFmt w:val="none"/>
      <w:lvlText w:val="4.3"/>
      <w:lvlJc w:val="left"/>
      <w:pPr>
        <w:ind w:left="937" w:hanging="567"/>
      </w:pPr>
      <w:rPr>
        <w:rFonts w:hint="default"/>
      </w:rPr>
    </w:lvl>
    <w:lvl w:ilvl="4">
      <w:start w:val="1"/>
      <w:numFmt w:val="none"/>
      <w:lvlText w:val="4.4"/>
      <w:lvlJc w:val="left"/>
      <w:pPr>
        <w:ind w:left="937" w:hanging="567"/>
      </w:pPr>
      <w:rPr>
        <w:rFonts w:hint="default"/>
      </w:rPr>
    </w:lvl>
    <w:lvl w:ilvl="5">
      <w:start w:val="1"/>
      <w:numFmt w:val="none"/>
      <w:lvlText w:val="4.5"/>
      <w:lvlJc w:val="left"/>
      <w:pPr>
        <w:ind w:left="937" w:hanging="567"/>
      </w:pPr>
      <w:rPr>
        <w:rFonts w:hint="default"/>
      </w:rPr>
    </w:lvl>
    <w:lvl w:ilvl="6">
      <w:start w:val="1"/>
      <w:numFmt w:val="none"/>
      <w:lvlText w:val="4.6"/>
      <w:lvlJc w:val="left"/>
      <w:pPr>
        <w:ind w:left="937" w:hanging="567"/>
      </w:pPr>
      <w:rPr>
        <w:rFonts w:hint="default"/>
      </w:rPr>
    </w:lvl>
    <w:lvl w:ilvl="7">
      <w:start w:val="1"/>
      <w:numFmt w:val="none"/>
      <w:lvlText w:val="4.7"/>
      <w:lvlJc w:val="left"/>
      <w:pPr>
        <w:ind w:left="93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90" w:hanging="1440"/>
      </w:pPr>
      <w:rPr>
        <w:rFonts w:hint="default"/>
      </w:rPr>
    </w:lvl>
  </w:abstractNum>
  <w:abstractNum w:abstractNumId="13" w15:restartNumberingAfterBreak="0">
    <w:nsid w:val="43EC7B95"/>
    <w:multiLevelType w:val="multilevel"/>
    <w:tmpl w:val="77A2DC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5F4829"/>
    <w:multiLevelType w:val="multilevel"/>
    <w:tmpl w:val="0BDA1E5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C03EBE"/>
    <w:multiLevelType w:val="hybridMultilevel"/>
    <w:tmpl w:val="43741E5A"/>
    <w:lvl w:ilvl="0" w:tplc="861E99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D632502"/>
    <w:multiLevelType w:val="multilevel"/>
    <w:tmpl w:val="75781D62"/>
    <w:styleLink w:val="Style1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none"/>
      <w:lvlText w:val="4.1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2.2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2.3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2.4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4.5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4.6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4.7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1625794"/>
    <w:multiLevelType w:val="multilevel"/>
    <w:tmpl w:val="6992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3B6473E"/>
    <w:multiLevelType w:val="hybridMultilevel"/>
    <w:tmpl w:val="BCB060CE"/>
    <w:lvl w:ilvl="0" w:tplc="EEA0083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A2A3A54"/>
    <w:multiLevelType w:val="hybridMultilevel"/>
    <w:tmpl w:val="E836EAE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30C7E8F"/>
    <w:multiLevelType w:val="multilevel"/>
    <w:tmpl w:val="305EE03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D25C56"/>
    <w:multiLevelType w:val="multilevel"/>
    <w:tmpl w:val="359C05A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8A005BE"/>
    <w:multiLevelType w:val="hybridMultilevel"/>
    <w:tmpl w:val="0D725232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5C02A3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E4A3863"/>
    <w:multiLevelType w:val="multilevel"/>
    <w:tmpl w:val="69AEB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3"/>
  </w:num>
  <w:num w:numId="7">
    <w:abstractNumId w:val="21"/>
  </w:num>
  <w:num w:numId="8">
    <w:abstractNumId w:val="20"/>
  </w:num>
  <w:num w:numId="9">
    <w:abstractNumId w:val="14"/>
  </w:num>
  <w:num w:numId="10">
    <w:abstractNumId w:val="4"/>
  </w:num>
  <w:num w:numId="11">
    <w:abstractNumId w:val="15"/>
  </w:num>
  <w:num w:numId="12">
    <w:abstractNumId w:val="9"/>
  </w:num>
  <w:num w:numId="13">
    <w:abstractNumId w:val="2"/>
  </w:num>
  <w:num w:numId="14">
    <w:abstractNumId w:val="18"/>
  </w:num>
  <w:num w:numId="15">
    <w:abstractNumId w:val="22"/>
  </w:num>
  <w:num w:numId="16">
    <w:abstractNumId w:val="13"/>
  </w:num>
  <w:num w:numId="17">
    <w:abstractNumId w:val="19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5"/>
  </w:num>
  <w:num w:numId="21">
    <w:abstractNumId w:val="0"/>
  </w:num>
  <w:num w:numId="22">
    <w:abstractNumId w:val="23"/>
  </w:num>
  <w:num w:numId="23">
    <w:abstractNumId w:val="10"/>
  </w:num>
  <w:num w:numId="24">
    <w:abstractNumId w:val="17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6A"/>
    <w:rsid w:val="00000B5A"/>
    <w:rsid w:val="000024FE"/>
    <w:rsid w:val="00002813"/>
    <w:rsid w:val="00002D9B"/>
    <w:rsid w:val="00011498"/>
    <w:rsid w:val="000145CD"/>
    <w:rsid w:val="00016DE3"/>
    <w:rsid w:val="00026F40"/>
    <w:rsid w:val="00027F6D"/>
    <w:rsid w:val="00042600"/>
    <w:rsid w:val="00043227"/>
    <w:rsid w:val="00044B14"/>
    <w:rsid w:val="000473D9"/>
    <w:rsid w:val="00050081"/>
    <w:rsid w:val="00050A1F"/>
    <w:rsid w:val="00050E48"/>
    <w:rsid w:val="00052963"/>
    <w:rsid w:val="00052C9E"/>
    <w:rsid w:val="00053D87"/>
    <w:rsid w:val="00062D00"/>
    <w:rsid w:val="000661D0"/>
    <w:rsid w:val="0006626F"/>
    <w:rsid w:val="000669EA"/>
    <w:rsid w:val="0007467D"/>
    <w:rsid w:val="00075D70"/>
    <w:rsid w:val="00080E9B"/>
    <w:rsid w:val="00092411"/>
    <w:rsid w:val="00093A3C"/>
    <w:rsid w:val="00094993"/>
    <w:rsid w:val="0009516F"/>
    <w:rsid w:val="0009635A"/>
    <w:rsid w:val="000A0D84"/>
    <w:rsid w:val="000A2D9C"/>
    <w:rsid w:val="000A379B"/>
    <w:rsid w:val="000A6C81"/>
    <w:rsid w:val="000B316B"/>
    <w:rsid w:val="000B4161"/>
    <w:rsid w:val="000B5928"/>
    <w:rsid w:val="000B708E"/>
    <w:rsid w:val="000C5C9B"/>
    <w:rsid w:val="000C6EFC"/>
    <w:rsid w:val="000D0A28"/>
    <w:rsid w:val="000D1DBC"/>
    <w:rsid w:val="000D31E8"/>
    <w:rsid w:val="000E146A"/>
    <w:rsid w:val="000E3D44"/>
    <w:rsid w:val="000F2C97"/>
    <w:rsid w:val="000F66DD"/>
    <w:rsid w:val="00117514"/>
    <w:rsid w:val="00120F4E"/>
    <w:rsid w:val="00121291"/>
    <w:rsid w:val="001212E5"/>
    <w:rsid w:val="00126C09"/>
    <w:rsid w:val="00127664"/>
    <w:rsid w:val="00130292"/>
    <w:rsid w:val="00130C4D"/>
    <w:rsid w:val="00135334"/>
    <w:rsid w:val="001356DA"/>
    <w:rsid w:val="00136453"/>
    <w:rsid w:val="00150762"/>
    <w:rsid w:val="001542E2"/>
    <w:rsid w:val="001542E6"/>
    <w:rsid w:val="001609D7"/>
    <w:rsid w:val="0016493A"/>
    <w:rsid w:val="001665B8"/>
    <w:rsid w:val="00166FF2"/>
    <w:rsid w:val="001715FC"/>
    <w:rsid w:val="00177529"/>
    <w:rsid w:val="00183073"/>
    <w:rsid w:val="001877C4"/>
    <w:rsid w:val="00190728"/>
    <w:rsid w:val="00190EC5"/>
    <w:rsid w:val="001A2319"/>
    <w:rsid w:val="001A3AA3"/>
    <w:rsid w:val="001A6524"/>
    <w:rsid w:val="001A7F10"/>
    <w:rsid w:val="001B4449"/>
    <w:rsid w:val="001B7739"/>
    <w:rsid w:val="001C3BAE"/>
    <w:rsid w:val="001C5F89"/>
    <w:rsid w:val="001C5FC3"/>
    <w:rsid w:val="001C7509"/>
    <w:rsid w:val="001D1F8C"/>
    <w:rsid w:val="001D2453"/>
    <w:rsid w:val="001E276B"/>
    <w:rsid w:val="001E47FA"/>
    <w:rsid w:val="001E6804"/>
    <w:rsid w:val="001E6ADF"/>
    <w:rsid w:val="001F07AE"/>
    <w:rsid w:val="001F14F8"/>
    <w:rsid w:val="001F368E"/>
    <w:rsid w:val="001F47F6"/>
    <w:rsid w:val="001F4D76"/>
    <w:rsid w:val="001F50B1"/>
    <w:rsid w:val="002015EC"/>
    <w:rsid w:val="002046AE"/>
    <w:rsid w:val="0021238B"/>
    <w:rsid w:val="00213C2E"/>
    <w:rsid w:val="002161B9"/>
    <w:rsid w:val="00226B1C"/>
    <w:rsid w:val="00231FCB"/>
    <w:rsid w:val="002334D5"/>
    <w:rsid w:val="0025020F"/>
    <w:rsid w:val="002524EA"/>
    <w:rsid w:val="002531FF"/>
    <w:rsid w:val="00253CCC"/>
    <w:rsid w:val="00254507"/>
    <w:rsid w:val="00254CBF"/>
    <w:rsid w:val="002552EC"/>
    <w:rsid w:val="00255D20"/>
    <w:rsid w:val="002560B5"/>
    <w:rsid w:val="00257AD1"/>
    <w:rsid w:val="00257B27"/>
    <w:rsid w:val="00260CC5"/>
    <w:rsid w:val="00261927"/>
    <w:rsid w:val="00270044"/>
    <w:rsid w:val="0027301F"/>
    <w:rsid w:val="002740BC"/>
    <w:rsid w:val="00274F7E"/>
    <w:rsid w:val="00281020"/>
    <w:rsid w:val="002817CE"/>
    <w:rsid w:val="002862B8"/>
    <w:rsid w:val="00286EC5"/>
    <w:rsid w:val="00291596"/>
    <w:rsid w:val="002A0396"/>
    <w:rsid w:val="002B0A1C"/>
    <w:rsid w:val="002B1234"/>
    <w:rsid w:val="002B153C"/>
    <w:rsid w:val="002B3553"/>
    <w:rsid w:val="002B3896"/>
    <w:rsid w:val="002C1654"/>
    <w:rsid w:val="002C5116"/>
    <w:rsid w:val="002D631A"/>
    <w:rsid w:val="002D675D"/>
    <w:rsid w:val="002E1CFD"/>
    <w:rsid w:val="002E2082"/>
    <w:rsid w:val="002E285E"/>
    <w:rsid w:val="002E2C53"/>
    <w:rsid w:val="002E305D"/>
    <w:rsid w:val="0030083F"/>
    <w:rsid w:val="00301492"/>
    <w:rsid w:val="0030371F"/>
    <w:rsid w:val="0030513B"/>
    <w:rsid w:val="0031183D"/>
    <w:rsid w:val="003133E8"/>
    <w:rsid w:val="00313558"/>
    <w:rsid w:val="0031534A"/>
    <w:rsid w:val="00316881"/>
    <w:rsid w:val="00336F1F"/>
    <w:rsid w:val="003454CC"/>
    <w:rsid w:val="00365109"/>
    <w:rsid w:val="0037018E"/>
    <w:rsid w:val="00373B55"/>
    <w:rsid w:val="00380651"/>
    <w:rsid w:val="00381F9A"/>
    <w:rsid w:val="003832E0"/>
    <w:rsid w:val="00386D8C"/>
    <w:rsid w:val="003914DF"/>
    <w:rsid w:val="00392B90"/>
    <w:rsid w:val="00394BFE"/>
    <w:rsid w:val="00395C4C"/>
    <w:rsid w:val="00395E0E"/>
    <w:rsid w:val="003A31A9"/>
    <w:rsid w:val="003B4885"/>
    <w:rsid w:val="003C3BD6"/>
    <w:rsid w:val="003D0626"/>
    <w:rsid w:val="003D1BA9"/>
    <w:rsid w:val="003D5490"/>
    <w:rsid w:val="003E34D1"/>
    <w:rsid w:val="003E3549"/>
    <w:rsid w:val="003E763C"/>
    <w:rsid w:val="003F2653"/>
    <w:rsid w:val="00400637"/>
    <w:rsid w:val="004016F6"/>
    <w:rsid w:val="00406A31"/>
    <w:rsid w:val="00412234"/>
    <w:rsid w:val="00422045"/>
    <w:rsid w:val="00422EF4"/>
    <w:rsid w:val="00430093"/>
    <w:rsid w:val="004312B8"/>
    <w:rsid w:val="00440186"/>
    <w:rsid w:val="0044140B"/>
    <w:rsid w:val="00443543"/>
    <w:rsid w:val="0044676D"/>
    <w:rsid w:val="00452279"/>
    <w:rsid w:val="00456C47"/>
    <w:rsid w:val="004713A2"/>
    <w:rsid w:val="004718F5"/>
    <w:rsid w:val="00473F1E"/>
    <w:rsid w:val="00487272"/>
    <w:rsid w:val="0049264C"/>
    <w:rsid w:val="00497399"/>
    <w:rsid w:val="004A2138"/>
    <w:rsid w:val="004A4EC0"/>
    <w:rsid w:val="004A6560"/>
    <w:rsid w:val="004A76E5"/>
    <w:rsid w:val="004A7B0D"/>
    <w:rsid w:val="004B7689"/>
    <w:rsid w:val="004C1E5C"/>
    <w:rsid w:val="004C335F"/>
    <w:rsid w:val="004C6419"/>
    <w:rsid w:val="004C7B29"/>
    <w:rsid w:val="004D1A2D"/>
    <w:rsid w:val="004D590A"/>
    <w:rsid w:val="004D7AD1"/>
    <w:rsid w:val="004E062C"/>
    <w:rsid w:val="004E1489"/>
    <w:rsid w:val="004E38BD"/>
    <w:rsid w:val="004E5580"/>
    <w:rsid w:val="004E5F69"/>
    <w:rsid w:val="004F52D7"/>
    <w:rsid w:val="004F5E27"/>
    <w:rsid w:val="004F6DBD"/>
    <w:rsid w:val="004F7782"/>
    <w:rsid w:val="00503962"/>
    <w:rsid w:val="005058A6"/>
    <w:rsid w:val="0051660D"/>
    <w:rsid w:val="00524F92"/>
    <w:rsid w:val="005267B4"/>
    <w:rsid w:val="005367DA"/>
    <w:rsid w:val="00536AC5"/>
    <w:rsid w:val="005406B6"/>
    <w:rsid w:val="00547590"/>
    <w:rsid w:val="005506E4"/>
    <w:rsid w:val="00551B69"/>
    <w:rsid w:val="00553E9F"/>
    <w:rsid w:val="00560D75"/>
    <w:rsid w:val="00561B01"/>
    <w:rsid w:val="00561CDC"/>
    <w:rsid w:val="0056707F"/>
    <w:rsid w:val="00572199"/>
    <w:rsid w:val="00573589"/>
    <w:rsid w:val="00573B93"/>
    <w:rsid w:val="005831B7"/>
    <w:rsid w:val="0058376E"/>
    <w:rsid w:val="005842EF"/>
    <w:rsid w:val="0058612E"/>
    <w:rsid w:val="00591FD2"/>
    <w:rsid w:val="00592682"/>
    <w:rsid w:val="00593750"/>
    <w:rsid w:val="00593978"/>
    <w:rsid w:val="005956E9"/>
    <w:rsid w:val="00597C9C"/>
    <w:rsid w:val="005A532E"/>
    <w:rsid w:val="005A5C8D"/>
    <w:rsid w:val="005C1C40"/>
    <w:rsid w:val="005C534F"/>
    <w:rsid w:val="005D60D0"/>
    <w:rsid w:val="005D7D75"/>
    <w:rsid w:val="005E07BD"/>
    <w:rsid w:val="005E1D46"/>
    <w:rsid w:val="005E4737"/>
    <w:rsid w:val="005F214D"/>
    <w:rsid w:val="005F2321"/>
    <w:rsid w:val="0060215D"/>
    <w:rsid w:val="0060248F"/>
    <w:rsid w:val="006036E1"/>
    <w:rsid w:val="00604BEF"/>
    <w:rsid w:val="00611D7B"/>
    <w:rsid w:val="006302C3"/>
    <w:rsid w:val="00630BF1"/>
    <w:rsid w:val="006412D1"/>
    <w:rsid w:val="006416BF"/>
    <w:rsid w:val="006428AF"/>
    <w:rsid w:val="00646496"/>
    <w:rsid w:val="00646AE8"/>
    <w:rsid w:val="00651D0A"/>
    <w:rsid w:val="0065208C"/>
    <w:rsid w:val="00660404"/>
    <w:rsid w:val="00666B20"/>
    <w:rsid w:val="006710F4"/>
    <w:rsid w:val="00690022"/>
    <w:rsid w:val="00690F9F"/>
    <w:rsid w:val="00691AE7"/>
    <w:rsid w:val="00691ED8"/>
    <w:rsid w:val="00694854"/>
    <w:rsid w:val="006A26F1"/>
    <w:rsid w:val="006B135B"/>
    <w:rsid w:val="006B2F61"/>
    <w:rsid w:val="006B4A5D"/>
    <w:rsid w:val="006B4C10"/>
    <w:rsid w:val="006B7DE2"/>
    <w:rsid w:val="006C5F9C"/>
    <w:rsid w:val="006C7B45"/>
    <w:rsid w:val="006D106F"/>
    <w:rsid w:val="006D2934"/>
    <w:rsid w:val="006D5B6F"/>
    <w:rsid w:val="006E15CE"/>
    <w:rsid w:val="006E3619"/>
    <w:rsid w:val="006E691F"/>
    <w:rsid w:val="006F064D"/>
    <w:rsid w:val="006F2F37"/>
    <w:rsid w:val="006F3E96"/>
    <w:rsid w:val="0070224D"/>
    <w:rsid w:val="00704A76"/>
    <w:rsid w:val="00716940"/>
    <w:rsid w:val="007224AB"/>
    <w:rsid w:val="00726C69"/>
    <w:rsid w:val="00736887"/>
    <w:rsid w:val="00742170"/>
    <w:rsid w:val="007464E1"/>
    <w:rsid w:val="007468E8"/>
    <w:rsid w:val="0075003A"/>
    <w:rsid w:val="00754871"/>
    <w:rsid w:val="00755349"/>
    <w:rsid w:val="0075550E"/>
    <w:rsid w:val="00761743"/>
    <w:rsid w:val="0076706E"/>
    <w:rsid w:val="007701F2"/>
    <w:rsid w:val="007702AF"/>
    <w:rsid w:val="00772F47"/>
    <w:rsid w:val="0078694C"/>
    <w:rsid w:val="0079376F"/>
    <w:rsid w:val="007A1A0D"/>
    <w:rsid w:val="007B5879"/>
    <w:rsid w:val="007C3B9A"/>
    <w:rsid w:val="007C59FA"/>
    <w:rsid w:val="007D6687"/>
    <w:rsid w:val="007E62D1"/>
    <w:rsid w:val="007F4458"/>
    <w:rsid w:val="008009FB"/>
    <w:rsid w:val="008024EF"/>
    <w:rsid w:val="0080468B"/>
    <w:rsid w:val="00806ECF"/>
    <w:rsid w:val="0081339E"/>
    <w:rsid w:val="00814BC3"/>
    <w:rsid w:val="00821F34"/>
    <w:rsid w:val="00825E6C"/>
    <w:rsid w:val="008306B0"/>
    <w:rsid w:val="008345F0"/>
    <w:rsid w:val="008349F2"/>
    <w:rsid w:val="008406BD"/>
    <w:rsid w:val="00841B34"/>
    <w:rsid w:val="008450C6"/>
    <w:rsid w:val="0085602D"/>
    <w:rsid w:val="00856815"/>
    <w:rsid w:val="00872AF6"/>
    <w:rsid w:val="008775EA"/>
    <w:rsid w:val="00877A39"/>
    <w:rsid w:val="008914DB"/>
    <w:rsid w:val="00892711"/>
    <w:rsid w:val="008936CB"/>
    <w:rsid w:val="008947D3"/>
    <w:rsid w:val="00897B6E"/>
    <w:rsid w:val="008A091E"/>
    <w:rsid w:val="008A7FE5"/>
    <w:rsid w:val="008C24F4"/>
    <w:rsid w:val="008C2697"/>
    <w:rsid w:val="008C31DE"/>
    <w:rsid w:val="008C4A77"/>
    <w:rsid w:val="008C581C"/>
    <w:rsid w:val="008C7181"/>
    <w:rsid w:val="008C7246"/>
    <w:rsid w:val="008D00AC"/>
    <w:rsid w:val="008D6110"/>
    <w:rsid w:val="008E07ED"/>
    <w:rsid w:val="008E4B47"/>
    <w:rsid w:val="008E54A6"/>
    <w:rsid w:val="008E5903"/>
    <w:rsid w:val="008E5D47"/>
    <w:rsid w:val="008F7466"/>
    <w:rsid w:val="00901007"/>
    <w:rsid w:val="009104AF"/>
    <w:rsid w:val="00911729"/>
    <w:rsid w:val="009147AC"/>
    <w:rsid w:val="00917F2E"/>
    <w:rsid w:val="00917FD7"/>
    <w:rsid w:val="00922D3B"/>
    <w:rsid w:val="00924798"/>
    <w:rsid w:val="00933256"/>
    <w:rsid w:val="009337F8"/>
    <w:rsid w:val="0094582A"/>
    <w:rsid w:val="00947C68"/>
    <w:rsid w:val="00950D5F"/>
    <w:rsid w:val="009520D6"/>
    <w:rsid w:val="00960D63"/>
    <w:rsid w:val="009652EE"/>
    <w:rsid w:val="00971991"/>
    <w:rsid w:val="00974A4D"/>
    <w:rsid w:val="00975C46"/>
    <w:rsid w:val="00980C11"/>
    <w:rsid w:val="009852F9"/>
    <w:rsid w:val="009918B4"/>
    <w:rsid w:val="00993FA4"/>
    <w:rsid w:val="009A35DA"/>
    <w:rsid w:val="009B2805"/>
    <w:rsid w:val="009B29DA"/>
    <w:rsid w:val="009B2F65"/>
    <w:rsid w:val="009B311E"/>
    <w:rsid w:val="009C0D23"/>
    <w:rsid w:val="009D0B2E"/>
    <w:rsid w:val="009E3C3E"/>
    <w:rsid w:val="009E5275"/>
    <w:rsid w:val="009F021A"/>
    <w:rsid w:val="009F1393"/>
    <w:rsid w:val="009F2AE7"/>
    <w:rsid w:val="00A030F0"/>
    <w:rsid w:val="00A033D2"/>
    <w:rsid w:val="00A04394"/>
    <w:rsid w:val="00A04BBA"/>
    <w:rsid w:val="00A06AEB"/>
    <w:rsid w:val="00A077A8"/>
    <w:rsid w:val="00A11931"/>
    <w:rsid w:val="00A15205"/>
    <w:rsid w:val="00A178FF"/>
    <w:rsid w:val="00A30B91"/>
    <w:rsid w:val="00A369FB"/>
    <w:rsid w:val="00A37676"/>
    <w:rsid w:val="00A40407"/>
    <w:rsid w:val="00A457C4"/>
    <w:rsid w:val="00A47429"/>
    <w:rsid w:val="00A51D3A"/>
    <w:rsid w:val="00A66929"/>
    <w:rsid w:val="00A66AE9"/>
    <w:rsid w:val="00A726EA"/>
    <w:rsid w:val="00A76F0D"/>
    <w:rsid w:val="00A8126E"/>
    <w:rsid w:val="00A9000C"/>
    <w:rsid w:val="00A91219"/>
    <w:rsid w:val="00A965ED"/>
    <w:rsid w:val="00A966A4"/>
    <w:rsid w:val="00AA7D05"/>
    <w:rsid w:val="00AB0AAE"/>
    <w:rsid w:val="00AC29BE"/>
    <w:rsid w:val="00AC3FC8"/>
    <w:rsid w:val="00AC41C4"/>
    <w:rsid w:val="00AC589C"/>
    <w:rsid w:val="00AC5D44"/>
    <w:rsid w:val="00AC71B5"/>
    <w:rsid w:val="00AD44C4"/>
    <w:rsid w:val="00AE357C"/>
    <w:rsid w:val="00AE4A69"/>
    <w:rsid w:val="00AF4441"/>
    <w:rsid w:val="00AF4A6F"/>
    <w:rsid w:val="00B0026A"/>
    <w:rsid w:val="00B26DAF"/>
    <w:rsid w:val="00B35226"/>
    <w:rsid w:val="00B37B5B"/>
    <w:rsid w:val="00B43954"/>
    <w:rsid w:val="00B43F3D"/>
    <w:rsid w:val="00B50EB0"/>
    <w:rsid w:val="00B534D7"/>
    <w:rsid w:val="00B54692"/>
    <w:rsid w:val="00B54AA1"/>
    <w:rsid w:val="00B5586A"/>
    <w:rsid w:val="00B60493"/>
    <w:rsid w:val="00B66479"/>
    <w:rsid w:val="00B767F1"/>
    <w:rsid w:val="00B87E3C"/>
    <w:rsid w:val="00B94A3D"/>
    <w:rsid w:val="00BA133B"/>
    <w:rsid w:val="00BA50B5"/>
    <w:rsid w:val="00BA57F9"/>
    <w:rsid w:val="00BB1352"/>
    <w:rsid w:val="00BB33A5"/>
    <w:rsid w:val="00BB7D51"/>
    <w:rsid w:val="00BC5DA6"/>
    <w:rsid w:val="00BC78FC"/>
    <w:rsid w:val="00BD501B"/>
    <w:rsid w:val="00BE1BC5"/>
    <w:rsid w:val="00BF0225"/>
    <w:rsid w:val="00BF7D99"/>
    <w:rsid w:val="00C05098"/>
    <w:rsid w:val="00C10C8F"/>
    <w:rsid w:val="00C1484B"/>
    <w:rsid w:val="00C14E02"/>
    <w:rsid w:val="00C26D5E"/>
    <w:rsid w:val="00C32E02"/>
    <w:rsid w:val="00C35BE7"/>
    <w:rsid w:val="00C3675D"/>
    <w:rsid w:val="00C42FE4"/>
    <w:rsid w:val="00C51473"/>
    <w:rsid w:val="00C53026"/>
    <w:rsid w:val="00C53571"/>
    <w:rsid w:val="00C5798E"/>
    <w:rsid w:val="00C60D03"/>
    <w:rsid w:val="00C62DE4"/>
    <w:rsid w:val="00C66179"/>
    <w:rsid w:val="00C67D88"/>
    <w:rsid w:val="00C75284"/>
    <w:rsid w:val="00C754F9"/>
    <w:rsid w:val="00C7600D"/>
    <w:rsid w:val="00C846C5"/>
    <w:rsid w:val="00C95CFF"/>
    <w:rsid w:val="00C95F48"/>
    <w:rsid w:val="00C9783C"/>
    <w:rsid w:val="00CA1EEB"/>
    <w:rsid w:val="00CA3EB2"/>
    <w:rsid w:val="00CA7C3D"/>
    <w:rsid w:val="00CB199E"/>
    <w:rsid w:val="00CB33FE"/>
    <w:rsid w:val="00CB59F9"/>
    <w:rsid w:val="00CB5DC5"/>
    <w:rsid w:val="00CB7443"/>
    <w:rsid w:val="00CC07DF"/>
    <w:rsid w:val="00CC39E1"/>
    <w:rsid w:val="00CD5BEE"/>
    <w:rsid w:val="00CE3EED"/>
    <w:rsid w:val="00CE6E27"/>
    <w:rsid w:val="00CF5C17"/>
    <w:rsid w:val="00CF5EB4"/>
    <w:rsid w:val="00D00FAB"/>
    <w:rsid w:val="00D04435"/>
    <w:rsid w:val="00D052D4"/>
    <w:rsid w:val="00D07767"/>
    <w:rsid w:val="00D2024A"/>
    <w:rsid w:val="00D20B9B"/>
    <w:rsid w:val="00D21634"/>
    <w:rsid w:val="00D256D2"/>
    <w:rsid w:val="00D25891"/>
    <w:rsid w:val="00D3001C"/>
    <w:rsid w:val="00D30798"/>
    <w:rsid w:val="00D32AD4"/>
    <w:rsid w:val="00D377B1"/>
    <w:rsid w:val="00D41402"/>
    <w:rsid w:val="00D4329D"/>
    <w:rsid w:val="00D43F42"/>
    <w:rsid w:val="00D44CD6"/>
    <w:rsid w:val="00D5274F"/>
    <w:rsid w:val="00D604EF"/>
    <w:rsid w:val="00D616D7"/>
    <w:rsid w:val="00D67742"/>
    <w:rsid w:val="00D7091C"/>
    <w:rsid w:val="00D73D6F"/>
    <w:rsid w:val="00D762D0"/>
    <w:rsid w:val="00D865CD"/>
    <w:rsid w:val="00DA341A"/>
    <w:rsid w:val="00DA60D8"/>
    <w:rsid w:val="00DA75C2"/>
    <w:rsid w:val="00DA7F24"/>
    <w:rsid w:val="00DB6A0B"/>
    <w:rsid w:val="00DB6EA6"/>
    <w:rsid w:val="00DC2765"/>
    <w:rsid w:val="00DC368B"/>
    <w:rsid w:val="00DD06BB"/>
    <w:rsid w:val="00DD175F"/>
    <w:rsid w:val="00DD385A"/>
    <w:rsid w:val="00DD6E7D"/>
    <w:rsid w:val="00DE6CA4"/>
    <w:rsid w:val="00DE71C4"/>
    <w:rsid w:val="00DE7864"/>
    <w:rsid w:val="00DE7FF3"/>
    <w:rsid w:val="00DF4924"/>
    <w:rsid w:val="00E024CA"/>
    <w:rsid w:val="00E0258C"/>
    <w:rsid w:val="00E05F51"/>
    <w:rsid w:val="00E21579"/>
    <w:rsid w:val="00E220D3"/>
    <w:rsid w:val="00E30118"/>
    <w:rsid w:val="00E41A18"/>
    <w:rsid w:val="00E422E5"/>
    <w:rsid w:val="00E444F8"/>
    <w:rsid w:val="00E463CF"/>
    <w:rsid w:val="00E472EC"/>
    <w:rsid w:val="00E52D9D"/>
    <w:rsid w:val="00E5538B"/>
    <w:rsid w:val="00E57193"/>
    <w:rsid w:val="00E66B7C"/>
    <w:rsid w:val="00E82C4D"/>
    <w:rsid w:val="00E90346"/>
    <w:rsid w:val="00E911AE"/>
    <w:rsid w:val="00E9159F"/>
    <w:rsid w:val="00E93477"/>
    <w:rsid w:val="00E96ACF"/>
    <w:rsid w:val="00EA2472"/>
    <w:rsid w:val="00EA2990"/>
    <w:rsid w:val="00EA48B1"/>
    <w:rsid w:val="00EA70AE"/>
    <w:rsid w:val="00EB0E40"/>
    <w:rsid w:val="00EB2A7A"/>
    <w:rsid w:val="00EB5E15"/>
    <w:rsid w:val="00ED4B35"/>
    <w:rsid w:val="00ED50AF"/>
    <w:rsid w:val="00EF0485"/>
    <w:rsid w:val="00EF36D6"/>
    <w:rsid w:val="00EF6508"/>
    <w:rsid w:val="00F01C91"/>
    <w:rsid w:val="00F171AD"/>
    <w:rsid w:val="00F24FA4"/>
    <w:rsid w:val="00F26598"/>
    <w:rsid w:val="00F32CF3"/>
    <w:rsid w:val="00F55862"/>
    <w:rsid w:val="00F815FF"/>
    <w:rsid w:val="00F83237"/>
    <w:rsid w:val="00F84189"/>
    <w:rsid w:val="00F8771B"/>
    <w:rsid w:val="00F946A4"/>
    <w:rsid w:val="00F97186"/>
    <w:rsid w:val="00F97E55"/>
    <w:rsid w:val="00FA12B8"/>
    <w:rsid w:val="00FA49DC"/>
    <w:rsid w:val="00FA5472"/>
    <w:rsid w:val="00FA5C89"/>
    <w:rsid w:val="00FA5FC2"/>
    <w:rsid w:val="00FA6987"/>
    <w:rsid w:val="00FA7EDE"/>
    <w:rsid w:val="00FB5BEC"/>
    <w:rsid w:val="00FB79BF"/>
    <w:rsid w:val="00FC7C40"/>
    <w:rsid w:val="00FD07F8"/>
    <w:rsid w:val="00FD2E48"/>
    <w:rsid w:val="00FD3858"/>
    <w:rsid w:val="00FD4078"/>
    <w:rsid w:val="00FE56AF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D0626"/>
    <w:pPr>
      <w:keepNext/>
      <w:numPr>
        <w:numId w:val="19"/>
      </w:numPr>
      <w:spacing w:before="240" w:after="60"/>
      <w:ind w:hanging="720"/>
      <w:outlineLvl w:val="0"/>
    </w:pPr>
    <w:rPr>
      <w:rFonts w:asciiTheme="minorHAnsi" w:hAnsiTheme="minorHAnsi" w:cs="Arial"/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2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2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0626"/>
    <w:rPr>
      <w:rFonts w:eastAsia="Times New Roman" w:cs="Arial"/>
      <w:b/>
      <w:bCs/>
      <w:kern w:val="32"/>
      <w:sz w:val="24"/>
      <w:szCs w:val="24"/>
    </w:rPr>
  </w:style>
  <w:style w:type="character" w:styleId="Hyperlink">
    <w:name w:val="Hyperlink"/>
    <w:uiPriority w:val="99"/>
    <w:rsid w:val="00B5586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558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86A"/>
    <w:rPr>
      <w:rFonts w:ascii="Tahoma" w:eastAsia="Times New Roman" w:hAnsi="Tahoma" w:cs="Tahoma"/>
      <w:sz w:val="16"/>
      <w:szCs w:val="16"/>
    </w:rPr>
  </w:style>
  <w:style w:type="numbering" w:customStyle="1" w:styleId="Style1">
    <w:name w:val="Style1"/>
    <w:uiPriority w:val="99"/>
    <w:rsid w:val="0075003A"/>
    <w:pPr>
      <w:numPr>
        <w:numId w:val="1"/>
      </w:numPr>
    </w:pPr>
  </w:style>
  <w:style w:type="paragraph" w:customStyle="1" w:styleId="HeadingNumbered01">
    <w:name w:val="Heading Numbered 01"/>
    <w:basedOn w:val="ListParagraph"/>
    <w:link w:val="HeadingNumbered01Char"/>
    <w:qFormat/>
    <w:rsid w:val="00736887"/>
    <w:pPr>
      <w:numPr>
        <w:numId w:val="2"/>
      </w:numPr>
      <w:spacing w:before="240"/>
      <w:ind w:left="0" w:firstLine="0"/>
    </w:pPr>
    <w:rPr>
      <w:rFonts w:asciiTheme="minorHAnsi" w:hAnsiTheme="minorHAnsi"/>
    </w:rPr>
  </w:style>
  <w:style w:type="paragraph" w:customStyle="1" w:styleId="HeadingNumbered02">
    <w:name w:val="Heading Numbered 02"/>
    <w:basedOn w:val="ListParagraph"/>
    <w:link w:val="HeadingNumbered02Char"/>
    <w:qFormat/>
    <w:rsid w:val="00BB7D51"/>
    <w:pPr>
      <w:numPr>
        <w:ilvl w:val="1"/>
        <w:numId w:val="2"/>
      </w:numPr>
      <w:spacing w:before="240"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7D5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Numbered01Char">
    <w:name w:val="Heading Numbered 01 Char"/>
    <w:basedOn w:val="ListParagraphChar"/>
    <w:link w:val="HeadingNumbered01"/>
    <w:rsid w:val="0073688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Numbered03">
    <w:name w:val="Heading Numbered 03"/>
    <w:basedOn w:val="ListParagraph"/>
    <w:link w:val="HeadingNumbered03Char"/>
    <w:qFormat/>
    <w:rsid w:val="00BB7D51"/>
    <w:pPr>
      <w:numPr>
        <w:ilvl w:val="2"/>
        <w:numId w:val="2"/>
      </w:numPr>
      <w:spacing w:before="240"/>
    </w:pPr>
    <w:rPr>
      <w:rFonts w:asciiTheme="minorHAnsi" w:hAnsiTheme="minorHAnsi"/>
    </w:rPr>
  </w:style>
  <w:style w:type="character" w:customStyle="1" w:styleId="HeadingNumbered02Char">
    <w:name w:val="Heading Numbered 02 Char"/>
    <w:basedOn w:val="ListParagraphChar"/>
    <w:link w:val="HeadingNumbered02"/>
    <w:rsid w:val="00BB7D5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Numbered04">
    <w:name w:val="Heading Numbered 04"/>
    <w:basedOn w:val="ListParagraph"/>
    <w:link w:val="HeadingNumbered04Char"/>
    <w:qFormat/>
    <w:rsid w:val="00BB7D51"/>
    <w:pPr>
      <w:numPr>
        <w:ilvl w:val="3"/>
        <w:numId w:val="2"/>
      </w:numPr>
      <w:spacing w:before="240"/>
    </w:pPr>
    <w:rPr>
      <w:rFonts w:asciiTheme="minorHAnsi" w:hAnsiTheme="minorHAnsi"/>
    </w:rPr>
  </w:style>
  <w:style w:type="character" w:customStyle="1" w:styleId="HeadingNumbered03Char">
    <w:name w:val="Heading Numbered 03 Char"/>
    <w:basedOn w:val="ListParagraphChar"/>
    <w:link w:val="HeadingNumbered03"/>
    <w:rsid w:val="00BB7D5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Numbered05">
    <w:name w:val="Heading Numbered 05"/>
    <w:basedOn w:val="ListParagraph"/>
    <w:link w:val="HeadingNumbered05Char"/>
    <w:qFormat/>
    <w:rsid w:val="00BB7D51"/>
    <w:pPr>
      <w:numPr>
        <w:ilvl w:val="4"/>
        <w:numId w:val="2"/>
      </w:numPr>
      <w:spacing w:before="240"/>
    </w:pPr>
    <w:rPr>
      <w:rFonts w:asciiTheme="minorHAnsi" w:hAnsiTheme="minorHAnsi"/>
    </w:rPr>
  </w:style>
  <w:style w:type="character" w:customStyle="1" w:styleId="HeadingNumbered04Char">
    <w:name w:val="Heading Numbered 04 Char"/>
    <w:basedOn w:val="ListParagraphChar"/>
    <w:link w:val="HeadingNumbered04"/>
    <w:rsid w:val="00BB7D51"/>
    <w:rPr>
      <w:rFonts w:ascii="Times New Roman" w:eastAsia="Times New Roman" w:hAnsi="Times New Roman" w:cs="Times New Roman"/>
      <w:sz w:val="24"/>
      <w:szCs w:val="24"/>
    </w:rPr>
  </w:style>
  <w:style w:type="paragraph" w:customStyle="1" w:styleId="Dimi01">
    <w:name w:val="Dimi 01"/>
    <w:basedOn w:val="HeadingNumbered01"/>
    <w:link w:val="Dimi01Char"/>
    <w:qFormat/>
    <w:rsid w:val="00736887"/>
    <w:pPr>
      <w:numPr>
        <w:numId w:val="3"/>
      </w:numPr>
    </w:pPr>
  </w:style>
  <w:style w:type="character" w:customStyle="1" w:styleId="HeadingNumbered05Char">
    <w:name w:val="Heading Numbered 05 Char"/>
    <w:basedOn w:val="ListParagraphChar"/>
    <w:link w:val="HeadingNumbered05"/>
    <w:rsid w:val="00BB7D51"/>
    <w:rPr>
      <w:rFonts w:ascii="Times New Roman" w:eastAsia="Times New Roman" w:hAnsi="Times New Roman" w:cs="Times New Roman"/>
      <w:sz w:val="24"/>
      <w:szCs w:val="24"/>
    </w:rPr>
  </w:style>
  <w:style w:type="paragraph" w:customStyle="1" w:styleId="Dimi02">
    <w:name w:val="Dimi 02"/>
    <w:basedOn w:val="HeadingNumbered02"/>
    <w:link w:val="Dimi02Char"/>
    <w:qFormat/>
    <w:rsid w:val="00736887"/>
    <w:pPr>
      <w:numPr>
        <w:ilvl w:val="0"/>
        <w:numId w:val="0"/>
      </w:numPr>
      <w:ind w:left="2988" w:hanging="360"/>
    </w:pPr>
  </w:style>
  <w:style w:type="character" w:customStyle="1" w:styleId="Dimi01Char">
    <w:name w:val="Dimi 01 Char"/>
    <w:basedOn w:val="HeadingNumbered01Char"/>
    <w:link w:val="Dimi01"/>
    <w:rsid w:val="00736887"/>
    <w:rPr>
      <w:rFonts w:ascii="Times New Roman" w:eastAsia="Times New Roman" w:hAnsi="Times New Roman" w:cs="Times New Roman"/>
      <w:sz w:val="24"/>
      <w:szCs w:val="24"/>
    </w:rPr>
  </w:style>
  <w:style w:type="paragraph" w:customStyle="1" w:styleId="Dimi03">
    <w:name w:val="Dimi 03"/>
    <w:basedOn w:val="HeadingNumbered03"/>
    <w:link w:val="Dimi03Char"/>
    <w:qFormat/>
    <w:rsid w:val="00736887"/>
    <w:pPr>
      <w:numPr>
        <w:ilvl w:val="0"/>
        <w:numId w:val="0"/>
      </w:numPr>
      <w:ind w:left="2988" w:hanging="360"/>
    </w:pPr>
  </w:style>
  <w:style w:type="character" w:customStyle="1" w:styleId="Dimi02Char">
    <w:name w:val="Dimi 02 Char"/>
    <w:basedOn w:val="HeadingNumbered02Char"/>
    <w:link w:val="Dimi02"/>
    <w:rsid w:val="00736887"/>
    <w:rPr>
      <w:rFonts w:ascii="Times New Roman" w:eastAsia="Times New Roman" w:hAnsi="Times New Roman" w:cs="Times New Roman"/>
      <w:sz w:val="24"/>
      <w:szCs w:val="24"/>
    </w:rPr>
  </w:style>
  <w:style w:type="paragraph" w:customStyle="1" w:styleId="Dimi04">
    <w:name w:val="Dimi 04"/>
    <w:basedOn w:val="HeadingNumbered04"/>
    <w:link w:val="Dimi04Char"/>
    <w:qFormat/>
    <w:rsid w:val="00736887"/>
    <w:pPr>
      <w:numPr>
        <w:ilvl w:val="0"/>
        <w:numId w:val="0"/>
      </w:numPr>
    </w:pPr>
  </w:style>
  <w:style w:type="character" w:customStyle="1" w:styleId="Dimi03Char">
    <w:name w:val="Dimi 03 Char"/>
    <w:basedOn w:val="HeadingNumbered03Char"/>
    <w:link w:val="Dimi03"/>
    <w:rsid w:val="0073688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OneTOC">
    <w:name w:val="Heading One TOC"/>
    <w:basedOn w:val="HeadingNumbered02"/>
    <w:link w:val="HeadingOneTOCChar"/>
    <w:qFormat/>
    <w:rsid w:val="00736887"/>
    <w:pPr>
      <w:numPr>
        <w:ilvl w:val="0"/>
        <w:numId w:val="0"/>
      </w:numPr>
    </w:pPr>
  </w:style>
  <w:style w:type="character" w:customStyle="1" w:styleId="Dimi04Char">
    <w:name w:val="Dimi 04 Char"/>
    <w:basedOn w:val="HeadingNumbered04Char"/>
    <w:link w:val="Dimi04"/>
    <w:rsid w:val="0073688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OneTOCChar">
    <w:name w:val="Heading One TOC Char"/>
    <w:basedOn w:val="HeadingNumbered02Char"/>
    <w:link w:val="HeadingOneTOC"/>
    <w:rsid w:val="0073688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41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1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41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18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D4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B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B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3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A26F1"/>
    <w:rPr>
      <w:color w:val="800080" w:themeColor="followedHyperlink"/>
      <w:u w:val="single"/>
    </w:rPr>
  </w:style>
  <w:style w:type="paragraph" w:styleId="NormalWeb">
    <w:name w:val="Normal (Web)"/>
    <w:basedOn w:val="Normal"/>
    <w:rsid w:val="001715FC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unhideWhenUsed/>
    <w:qFormat/>
    <w:rsid w:val="001715FC"/>
    <w:pPr>
      <w:widowControl w:val="0"/>
      <w:autoSpaceDE w:val="0"/>
      <w:autoSpaceDN w:val="0"/>
      <w:adjustRightInd w:val="0"/>
      <w:ind w:left="110"/>
    </w:pPr>
    <w:rPr>
      <w:rFonts w:eastAsiaTheme="minorEastAsia"/>
      <w:sz w:val="23"/>
      <w:szCs w:val="23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1715FC"/>
    <w:rPr>
      <w:rFonts w:ascii="Times New Roman" w:eastAsiaTheme="minorEastAsia" w:hAnsi="Times New Roman" w:cs="Times New Roman"/>
      <w:sz w:val="23"/>
      <w:szCs w:val="23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FA5472"/>
  </w:style>
  <w:style w:type="paragraph" w:customStyle="1" w:styleId="Default">
    <w:name w:val="Default"/>
    <w:rsid w:val="001356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9072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90728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90728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9072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190728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190728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190728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190728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190728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190728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2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2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imi05">
    <w:name w:val="Dimi 05"/>
    <w:basedOn w:val="Normal"/>
    <w:link w:val="Dimi05Char"/>
    <w:qFormat/>
    <w:rsid w:val="00C26D5E"/>
    <w:pPr>
      <w:spacing w:before="240"/>
      <w:contextualSpacing/>
    </w:pPr>
    <w:rPr>
      <w:rFonts w:asciiTheme="minorHAnsi" w:hAnsiTheme="minorHAnsi"/>
    </w:rPr>
  </w:style>
  <w:style w:type="character" w:customStyle="1" w:styleId="Dimi05Char">
    <w:name w:val="Dimi 05 Char"/>
    <w:basedOn w:val="DefaultParagraphFont"/>
    <w:link w:val="Dimi05"/>
    <w:rsid w:val="00C26D5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edcourt.gov.au/law-and-practice/guides/guides-bankruptcy/information-sheet-1" TargetMode="External"/><Relationship Id="rId18" Type="http://schemas.openxmlformats.org/officeDocument/2006/relationships/hyperlink" Target="http://www.fedcourt.gov.au/forms-and-fees/forms/bankruptcy-rules" TargetMode="External"/><Relationship Id="rId26" Type="http://schemas.openxmlformats.org/officeDocument/2006/relationships/hyperlink" Target="https://www.elodgment.fedcourt.gov.au/eLodgment/Register.aspx?ref=eCourtroom" TargetMode="External"/><Relationship Id="rId39" Type="http://schemas.openxmlformats.org/officeDocument/2006/relationships/hyperlink" Target="https://www.legislation.gov.au/Details/F2011L01551" TargetMode="External"/><Relationship Id="rId21" Type="http://schemas.openxmlformats.org/officeDocument/2006/relationships/hyperlink" Target="https://www.fedcourt.gov.au/law-and-practice/guides/guides-bankruptcy/information-sheet-3/_admin" TargetMode="External"/><Relationship Id="rId34" Type="http://schemas.openxmlformats.org/officeDocument/2006/relationships/hyperlink" Target="https://www.comcourts.gov.au/" TargetMode="External"/><Relationship Id="rId42" Type="http://schemas.openxmlformats.org/officeDocument/2006/relationships/hyperlink" Target="http://www.fedcourt.gov.au/?a=41282" TargetMode="External"/><Relationship Id="rId47" Type="http://schemas.openxmlformats.org/officeDocument/2006/relationships/hyperlink" Target="file:///C:\Users\obrien0m\AppData\Local\Microsoft\Windows\Temporary%20Internet%20Files\Content.Outlook\6ISQMCQE\www.fedcourt.gov.au\law-and-practice\practice-documents\practice-notes" TargetMode="External"/><Relationship Id="rId50" Type="http://schemas.openxmlformats.org/officeDocument/2006/relationships/hyperlink" Target="http://www.fedcourt.gov.au/law-and-practice/practice-documents/practice-notes/cpn-1" TargetMode="External"/><Relationship Id="rId55" Type="http://schemas.openxmlformats.org/officeDocument/2006/relationships/hyperlink" Target="http://www.fedcourt.gov.au/online-services/elodgment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fedcourt.gov.au/forms-and-fees/forms/bankruptcy-rules" TargetMode="External"/><Relationship Id="rId20" Type="http://schemas.openxmlformats.org/officeDocument/2006/relationships/hyperlink" Target="https://www.fedcourt.gov.au/law-and-practice/guides/guides-bankruptcy/information-sheet-2" TargetMode="External"/><Relationship Id="rId29" Type="http://schemas.openxmlformats.org/officeDocument/2006/relationships/hyperlink" Target="https://www.elodgment.fedcourt.gov.au/" TargetMode="External"/><Relationship Id="rId41" Type="http://schemas.openxmlformats.org/officeDocument/2006/relationships/hyperlink" Target="http://www.fedcourt.gov.au/law-and-practice/practice-documents/practice-notes/gpn-costs" TargetMode="External"/><Relationship Id="rId54" Type="http://schemas.openxmlformats.org/officeDocument/2006/relationships/hyperlink" Target="https://www.fedcourt.gov.au/contact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au/Details/F2016L00386" TargetMode="External"/><Relationship Id="rId24" Type="http://schemas.openxmlformats.org/officeDocument/2006/relationships/hyperlink" Target="https://www.fedcourt.gov.au/law-and-practice/guides/guides-bankruptcy/information-sheet-6" TargetMode="External"/><Relationship Id="rId32" Type="http://schemas.openxmlformats.org/officeDocument/2006/relationships/hyperlink" Target="https://auspost.com.au/parcels-mail/calculate-postage-delivery-times/" TargetMode="External"/><Relationship Id="rId37" Type="http://schemas.openxmlformats.org/officeDocument/2006/relationships/hyperlink" Target="https://www.comcourts.gov.au/" TargetMode="External"/><Relationship Id="rId40" Type="http://schemas.openxmlformats.org/officeDocument/2006/relationships/hyperlink" Target="http://www.fedcourt.gov.au/law-and-practice/practice-documents/practice-notes/gpn-costs" TargetMode="External"/><Relationship Id="rId45" Type="http://schemas.openxmlformats.org/officeDocument/2006/relationships/hyperlink" Target="http://www.fedcourt.gov.au/law-and-practice/national-practice-areas/commercial/general-insolvency" TargetMode="External"/><Relationship Id="rId53" Type="http://schemas.openxmlformats.org/officeDocument/2006/relationships/hyperlink" Target="https://www.fedcourt.gov.au/going-to-court/i-am-a-party" TargetMode="External"/><Relationship Id="rId58" Type="http://schemas.openxmlformats.org/officeDocument/2006/relationships/hyperlink" Target="http://www.fedcourt.gov.au/online-servi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dcourt.gov.au/law-and-practice/guides/guides-bankruptcy/information-sheet-4" TargetMode="External"/><Relationship Id="rId23" Type="http://schemas.openxmlformats.org/officeDocument/2006/relationships/hyperlink" Target="https://www.fedcourt.gov.au/law-and-practice/guides/guides-bankruptcy/information-sheet-5" TargetMode="External"/><Relationship Id="rId28" Type="http://schemas.openxmlformats.org/officeDocument/2006/relationships/hyperlink" Target="https://www.elodgment.fedcourt.gov.au/" TargetMode="External"/><Relationship Id="rId36" Type="http://schemas.openxmlformats.org/officeDocument/2006/relationships/hyperlink" Target="https://www.comcourts.gov.au/public/esearch/disclaimer" TargetMode="External"/><Relationship Id="rId49" Type="http://schemas.openxmlformats.org/officeDocument/2006/relationships/hyperlink" Target="https://www.elodgment.fedcourt.gov.au/" TargetMode="External"/><Relationship Id="rId57" Type="http://schemas.openxmlformats.org/officeDocument/2006/relationships/hyperlink" Target="https://www.comcourts.gov.au/" TargetMode="External"/><Relationship Id="rId61" Type="http://schemas.openxmlformats.org/officeDocument/2006/relationships/footer" Target="footer2.xml"/><Relationship Id="rId10" Type="http://schemas.openxmlformats.org/officeDocument/2006/relationships/hyperlink" Target="https://www.legislation.gov.au/Series/C1966A00033" TargetMode="External"/><Relationship Id="rId19" Type="http://schemas.openxmlformats.org/officeDocument/2006/relationships/hyperlink" Target="https://www.fedcourt.gov.au/law-and-practice/guides/guides-bankruptcy/information-sheet-1" TargetMode="External"/><Relationship Id="rId31" Type="http://schemas.openxmlformats.org/officeDocument/2006/relationships/hyperlink" Target="https://www.ecourtroom.fedcourt.gov.au/ecourtroom/default.aspx" TargetMode="External"/><Relationship Id="rId44" Type="http://schemas.openxmlformats.org/officeDocument/2006/relationships/hyperlink" Target="http://www.fedcourt.gov.au/law-and-practice/guides/guides-bankruptcy/information-sheet-5" TargetMode="External"/><Relationship Id="rId52" Type="http://schemas.openxmlformats.org/officeDocument/2006/relationships/hyperlink" Target="http://www.fedcourt.gov.au/contact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edcourt.gov.au/services/subscribe" TargetMode="External"/><Relationship Id="rId14" Type="http://schemas.openxmlformats.org/officeDocument/2006/relationships/hyperlink" Target="http://www.fedcourt.gov.au/forms-and-fees/forms/bankruptcy-rules" TargetMode="External"/><Relationship Id="rId22" Type="http://schemas.openxmlformats.org/officeDocument/2006/relationships/hyperlink" Target="https://www.fedcourt.gov.au/law-and-practice/guides/guides-bankruptcy/information-sheet-4/_nocache" TargetMode="External"/><Relationship Id="rId27" Type="http://schemas.openxmlformats.org/officeDocument/2006/relationships/hyperlink" Target="http://www.fedcourt.gov.au/forms-and-fees/filing" TargetMode="External"/><Relationship Id="rId30" Type="http://schemas.openxmlformats.org/officeDocument/2006/relationships/hyperlink" Target="https://www.elodgment.fedcourt.gov.au/" TargetMode="External"/><Relationship Id="rId35" Type="http://schemas.openxmlformats.org/officeDocument/2006/relationships/hyperlink" Target="https://www.elodgment.fedcourt.gov.au/" TargetMode="External"/><Relationship Id="rId43" Type="http://schemas.openxmlformats.org/officeDocument/2006/relationships/hyperlink" Target="https://www.ecourtroom.fedcourt.gov.au/ecourtroom/default.aspx" TargetMode="External"/><Relationship Id="rId48" Type="http://schemas.openxmlformats.org/officeDocument/2006/relationships/hyperlink" Target="http://www.fedcourt.gov.au/law-and-practice/practice-documents/practice-notes/gpn-costs" TargetMode="External"/><Relationship Id="rId56" Type="http://schemas.openxmlformats.org/officeDocument/2006/relationships/hyperlink" Target="http://www.ecourtroom.fedcourt.gov.a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fedcourt.gov.au/court-calendar/daily-court-lists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edcourt.gov.au/forms-and-fees/forms/bankruptcy-rules" TargetMode="External"/><Relationship Id="rId17" Type="http://schemas.openxmlformats.org/officeDocument/2006/relationships/hyperlink" Target="https://www.legislation.gov.au/Details/F2011L01551" TargetMode="External"/><Relationship Id="rId25" Type="http://schemas.openxmlformats.org/officeDocument/2006/relationships/hyperlink" Target="https://www.afsa.gov.au/insolvency" TargetMode="External"/><Relationship Id="rId33" Type="http://schemas.openxmlformats.org/officeDocument/2006/relationships/hyperlink" Target="https://www.elodgment.fedcourt.gov.au/" TargetMode="External"/><Relationship Id="rId38" Type="http://schemas.openxmlformats.org/officeDocument/2006/relationships/hyperlink" Target="http://www.fedcourt.gov.au/?a=41282" TargetMode="External"/><Relationship Id="rId46" Type="http://schemas.openxmlformats.org/officeDocument/2006/relationships/hyperlink" Target="http://www.fedcourt.gov.au/law-and-practice/national-practice-areas/commercial/general-insolvency" TargetMode="External"/><Relationship Id="rId59" Type="http://schemas.openxmlformats.org/officeDocument/2006/relationships/hyperlink" Target="https://www.comcourts.gov.au/public/esearch/disclaim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FDAC1-F7FD-4964-B910-194B0CA6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5688</Words>
  <Characters>32422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2021-12-03T03:57:00Z</dcterms:created>
  <dcterms:modified xsi:type="dcterms:W3CDTF">2022-07-04T05:17:00Z</dcterms:modified>
</cp:coreProperties>
</file>