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43" w:rsidRPr="006C17F6" w:rsidRDefault="00396343" w:rsidP="00396343">
      <w:pPr>
        <w:pStyle w:val="Heading1"/>
        <w:jc w:val="center"/>
        <w:rPr>
          <w:rFonts w:asciiTheme="minorHAnsi" w:hAnsiTheme="minorHAnsi"/>
          <w:u w:val="single"/>
        </w:rPr>
      </w:pPr>
      <w:r>
        <w:rPr>
          <w:rFonts w:asciiTheme="minorHAnsi" w:hAnsiTheme="minorHAnsi"/>
          <w:u w:val="single"/>
        </w:rPr>
        <w:t xml:space="preserve">REGISTRARS’ </w:t>
      </w:r>
      <w:r w:rsidRPr="006C17F6">
        <w:rPr>
          <w:rFonts w:asciiTheme="minorHAnsi" w:hAnsiTheme="minorHAnsi"/>
          <w:u w:val="single"/>
        </w:rPr>
        <w:t xml:space="preserve">CORPORATIONS </w:t>
      </w:r>
      <w:r w:rsidR="00967FEC">
        <w:rPr>
          <w:rFonts w:asciiTheme="minorHAnsi" w:hAnsiTheme="minorHAnsi"/>
          <w:u w:val="single"/>
        </w:rPr>
        <w:t>MATTERS -</w:t>
      </w:r>
      <w:r>
        <w:rPr>
          <w:rFonts w:asciiTheme="minorHAnsi" w:hAnsiTheme="minorHAnsi"/>
          <w:u w:val="single"/>
        </w:rPr>
        <w:t xml:space="preserve"> </w:t>
      </w:r>
      <w:r w:rsidR="00967FEC">
        <w:rPr>
          <w:rFonts w:asciiTheme="minorHAnsi" w:hAnsiTheme="minorHAnsi"/>
          <w:u w:val="single"/>
        </w:rPr>
        <w:t xml:space="preserve">STANDARD </w:t>
      </w:r>
      <w:r w:rsidRPr="006C17F6">
        <w:rPr>
          <w:rFonts w:asciiTheme="minorHAnsi" w:hAnsiTheme="minorHAnsi"/>
          <w:u w:val="single"/>
        </w:rPr>
        <w:t>ORDERS</w:t>
      </w:r>
    </w:p>
    <w:p w:rsidR="00396343" w:rsidRPr="006C17F6" w:rsidRDefault="00396343" w:rsidP="00396343"/>
    <w:p w:rsidR="00396343" w:rsidRPr="006C17F6" w:rsidRDefault="00396343" w:rsidP="00396343">
      <w:pPr>
        <w:pStyle w:val="Heading2"/>
        <w:rPr>
          <w:rFonts w:asciiTheme="minorHAnsi" w:hAnsiTheme="minorHAnsi"/>
          <w:sz w:val="22"/>
        </w:rPr>
      </w:pPr>
      <w:r w:rsidRPr="006C17F6">
        <w:rPr>
          <w:rFonts w:asciiTheme="minorHAnsi" w:hAnsiTheme="minorHAnsi"/>
          <w:sz w:val="22"/>
        </w:rPr>
        <w:t xml:space="preserve">Winding Up </w:t>
      </w:r>
    </w:p>
    <w:p w:rsidR="00396343" w:rsidRPr="006C17F6" w:rsidRDefault="00396343" w:rsidP="00396343">
      <w:pPr>
        <w:spacing w:after="0"/>
        <w:rPr>
          <w:rFonts w:cs="Arial"/>
          <w:b/>
        </w:rPr>
      </w:pPr>
      <w:r w:rsidRPr="006C17F6">
        <w:rPr>
          <w:rFonts w:cs="Arial"/>
          <w:b/>
        </w:rPr>
        <w:t>Winding-up based on presumed insolvency</w:t>
      </w:r>
    </w:p>
    <w:p w:rsidR="00396343" w:rsidRPr="006C17F6" w:rsidRDefault="00396343" w:rsidP="00396343">
      <w:pPr>
        <w:spacing w:after="0"/>
      </w:pPr>
      <w:r w:rsidRPr="006C17F6">
        <w:t>The Court orders that:</w:t>
      </w:r>
    </w:p>
    <w:p w:rsidR="00396343" w:rsidRPr="006C17F6" w:rsidRDefault="00396343" w:rsidP="00396343">
      <w:pPr>
        <w:pStyle w:val="ListParagraph"/>
        <w:numPr>
          <w:ilvl w:val="0"/>
          <w:numId w:val="1"/>
        </w:numPr>
        <w:spacing w:after="0"/>
      </w:pPr>
      <w:r w:rsidRPr="006C17F6">
        <w:rPr>
          <w:b/>
        </w:rPr>
        <w:t xml:space="preserve">[insert] </w:t>
      </w:r>
      <w:r w:rsidRPr="006C17F6">
        <w:t xml:space="preserve">be wound up in insolvency under the </w:t>
      </w:r>
      <w:r w:rsidRPr="006C17F6">
        <w:rPr>
          <w:i/>
        </w:rPr>
        <w:t>Corporations Act 2001</w:t>
      </w:r>
      <w:r w:rsidRPr="006C17F6">
        <w:t>.</w:t>
      </w:r>
    </w:p>
    <w:p w:rsidR="00396343" w:rsidRPr="006C17F6" w:rsidRDefault="00396343" w:rsidP="00396343">
      <w:pPr>
        <w:pStyle w:val="ListParagraph"/>
        <w:numPr>
          <w:ilvl w:val="0"/>
          <w:numId w:val="1"/>
        </w:numPr>
        <w:spacing w:after="0"/>
      </w:pPr>
      <w:r w:rsidRPr="006C17F6">
        <w:rPr>
          <w:b/>
        </w:rPr>
        <w:t xml:space="preserve">[insert] </w:t>
      </w:r>
      <w:r w:rsidRPr="006C17F6">
        <w:t xml:space="preserve">of </w:t>
      </w:r>
      <w:r w:rsidRPr="006C17F6">
        <w:rPr>
          <w:b/>
        </w:rPr>
        <w:t>[insert]</w:t>
      </w:r>
      <w:r w:rsidRPr="006C17F6">
        <w:t xml:space="preserve"> be appointed as liquidator of the Defendant.</w:t>
      </w:r>
    </w:p>
    <w:p w:rsidR="00396343" w:rsidRPr="006C17F6" w:rsidRDefault="00396343" w:rsidP="00396343">
      <w:pPr>
        <w:pStyle w:val="ListParagraph"/>
        <w:numPr>
          <w:ilvl w:val="0"/>
          <w:numId w:val="1"/>
        </w:numPr>
        <w:spacing w:after="0"/>
        <w:rPr>
          <w:bCs/>
          <w:iCs/>
        </w:rPr>
      </w:pPr>
      <w:r w:rsidRPr="006C17F6">
        <w:t xml:space="preserve">The Plaintiff’s costs of these proceedings be fixed in the amount of </w:t>
      </w:r>
      <w:r w:rsidRPr="006C17F6">
        <w:rPr>
          <w:b/>
        </w:rPr>
        <w:t>$[insert]</w:t>
      </w:r>
      <w:r w:rsidRPr="006C17F6">
        <w:t xml:space="preserve"> </w:t>
      </w:r>
      <w:r w:rsidRPr="006C17F6">
        <w:rPr>
          <w:bCs/>
        </w:rPr>
        <w:t xml:space="preserve">and reimbursed in accordance with sub-section 466(2) of the </w:t>
      </w:r>
      <w:r w:rsidRPr="006C17F6">
        <w:rPr>
          <w:bCs/>
          <w:i/>
          <w:iCs/>
        </w:rPr>
        <w:t>Corporations Act 2001.</w:t>
      </w:r>
    </w:p>
    <w:p w:rsidR="00396343" w:rsidRPr="006C17F6" w:rsidRDefault="00396343" w:rsidP="00396343">
      <w:pPr>
        <w:pStyle w:val="ListParagraph"/>
        <w:spacing w:after="0"/>
        <w:ind w:left="709"/>
        <w:rPr>
          <w:b/>
        </w:rPr>
      </w:pPr>
      <w:r w:rsidRPr="006C17F6">
        <w:rPr>
          <w:b/>
        </w:rPr>
        <w:t>OR</w:t>
      </w:r>
    </w:p>
    <w:p w:rsidR="00396343" w:rsidRPr="006C17F6" w:rsidRDefault="00396343" w:rsidP="00396343">
      <w:pPr>
        <w:pStyle w:val="ListParagraph"/>
        <w:spacing w:after="0"/>
      </w:pPr>
      <w:r w:rsidRPr="006C17F6">
        <w:t xml:space="preserve">The Plaintiff’s costs (including reserved costs) be taxed and reimbursed out of the property of the Defendant </w:t>
      </w:r>
      <w:r w:rsidRPr="006C17F6">
        <w:rPr>
          <w:rFonts w:cs="Arial"/>
        </w:rPr>
        <w:t xml:space="preserve">in accordance with s 466(2) of the </w:t>
      </w:r>
      <w:r w:rsidRPr="006C17F6">
        <w:rPr>
          <w:rFonts w:cs="Arial"/>
          <w:i/>
        </w:rPr>
        <w:t>Corporations Act 2001</w:t>
      </w:r>
      <w:r w:rsidRPr="006C17F6">
        <w:rPr>
          <w:rFonts w:cs="Arial"/>
        </w:rPr>
        <w:t xml:space="preserve">. </w:t>
      </w:r>
    </w:p>
    <w:p w:rsidR="00396343" w:rsidRPr="006C17F6" w:rsidRDefault="00396343" w:rsidP="00396343">
      <w:pPr>
        <w:spacing w:after="0"/>
        <w:rPr>
          <w:rFonts w:cs="Arial"/>
          <w:b/>
        </w:rPr>
      </w:pPr>
    </w:p>
    <w:p w:rsidR="00396343" w:rsidRPr="006C17F6" w:rsidRDefault="00396343" w:rsidP="00396343">
      <w:pPr>
        <w:spacing w:after="0"/>
        <w:rPr>
          <w:rFonts w:cs="Arial"/>
          <w:b/>
        </w:rPr>
      </w:pPr>
      <w:r w:rsidRPr="006C17F6">
        <w:rPr>
          <w:rFonts w:cs="Arial"/>
          <w:b/>
        </w:rPr>
        <w:t>Winding-up on other grounds</w:t>
      </w:r>
    </w:p>
    <w:p w:rsidR="00396343" w:rsidRPr="006C17F6" w:rsidRDefault="00396343" w:rsidP="00396343">
      <w:pPr>
        <w:spacing w:after="0"/>
      </w:pPr>
      <w:r w:rsidRPr="006C17F6">
        <w:t>The Court orders that:</w:t>
      </w:r>
    </w:p>
    <w:p w:rsidR="00396343" w:rsidRPr="006C17F6" w:rsidRDefault="00396343" w:rsidP="00396343">
      <w:pPr>
        <w:pStyle w:val="ListParagraph"/>
        <w:numPr>
          <w:ilvl w:val="0"/>
          <w:numId w:val="2"/>
        </w:numPr>
        <w:spacing w:after="0"/>
        <w:rPr>
          <w:rFonts w:cs="Arial"/>
        </w:rPr>
      </w:pPr>
      <w:r w:rsidRPr="006C17F6">
        <w:rPr>
          <w:rFonts w:cs="Arial"/>
          <w:b/>
        </w:rPr>
        <w:t>[Insert]</w:t>
      </w:r>
      <w:r w:rsidRPr="006C17F6">
        <w:rPr>
          <w:rFonts w:cs="Arial"/>
        </w:rPr>
        <w:t xml:space="preserve"> be wound up under the provisions of the </w:t>
      </w:r>
      <w:r w:rsidRPr="006C17F6">
        <w:rPr>
          <w:rFonts w:cs="Arial"/>
          <w:i/>
        </w:rPr>
        <w:t>Corporations Act 2001</w:t>
      </w:r>
      <w:r w:rsidRPr="006C17F6">
        <w:rPr>
          <w:rFonts w:cs="Arial"/>
        </w:rPr>
        <w:t>.</w:t>
      </w:r>
    </w:p>
    <w:p w:rsidR="00396343" w:rsidRPr="006C17F6" w:rsidRDefault="00396343" w:rsidP="00396343">
      <w:pPr>
        <w:pStyle w:val="ListParagraph"/>
        <w:numPr>
          <w:ilvl w:val="0"/>
          <w:numId w:val="2"/>
        </w:numPr>
        <w:spacing w:after="0"/>
      </w:pPr>
      <w:r w:rsidRPr="006C17F6">
        <w:rPr>
          <w:b/>
        </w:rPr>
        <w:t xml:space="preserve">[insert] </w:t>
      </w:r>
      <w:r w:rsidRPr="006C17F6">
        <w:t xml:space="preserve">of </w:t>
      </w:r>
      <w:r w:rsidRPr="006C17F6">
        <w:rPr>
          <w:b/>
        </w:rPr>
        <w:t>[insert]</w:t>
      </w:r>
      <w:r w:rsidRPr="006C17F6">
        <w:t xml:space="preserve"> be appointed as liquidator of the Defendant.</w:t>
      </w:r>
    </w:p>
    <w:p w:rsidR="00396343" w:rsidRPr="006C17F6" w:rsidRDefault="00396343" w:rsidP="00396343">
      <w:pPr>
        <w:pStyle w:val="ListParagraph"/>
        <w:numPr>
          <w:ilvl w:val="0"/>
          <w:numId w:val="2"/>
        </w:numPr>
        <w:spacing w:after="0"/>
      </w:pPr>
      <w:r w:rsidRPr="006C17F6">
        <w:t xml:space="preserve">The Plaintiff’s costs of these proceedings be fixed in the amount of </w:t>
      </w:r>
      <w:r w:rsidRPr="006C17F6">
        <w:rPr>
          <w:b/>
        </w:rPr>
        <w:t>$[insert]</w:t>
      </w:r>
      <w:r w:rsidRPr="006C17F6">
        <w:t>.</w:t>
      </w:r>
    </w:p>
    <w:p w:rsidR="00396343" w:rsidRPr="006C17F6" w:rsidRDefault="00396343" w:rsidP="00396343">
      <w:pPr>
        <w:pStyle w:val="ListParagraph"/>
        <w:spacing w:after="0"/>
        <w:ind w:left="709"/>
        <w:rPr>
          <w:b/>
        </w:rPr>
      </w:pPr>
      <w:r w:rsidRPr="006C17F6">
        <w:rPr>
          <w:b/>
        </w:rPr>
        <w:t>OR</w:t>
      </w:r>
    </w:p>
    <w:p w:rsidR="00396343" w:rsidRPr="006C17F6" w:rsidRDefault="00396343" w:rsidP="00396343">
      <w:pPr>
        <w:pStyle w:val="ListParagraph"/>
        <w:spacing w:after="0"/>
      </w:pPr>
      <w:r w:rsidRPr="006C17F6">
        <w:t>The Plaintiff’s costs of these proceedings be taxed and reimbursed out of the property of the Defendant.</w:t>
      </w:r>
    </w:p>
    <w:p w:rsidR="00396343" w:rsidRPr="006C17F6" w:rsidRDefault="00396343" w:rsidP="00396343"/>
    <w:p w:rsidR="00396343" w:rsidRPr="00F46D83" w:rsidRDefault="00396343" w:rsidP="00396343">
      <w:pPr>
        <w:pStyle w:val="Heading2"/>
        <w:rPr>
          <w:rFonts w:asciiTheme="minorHAnsi" w:hAnsiTheme="minorHAnsi"/>
          <w:sz w:val="22"/>
        </w:rPr>
      </w:pPr>
      <w:r w:rsidRPr="00F46D83">
        <w:rPr>
          <w:rFonts w:asciiTheme="minorHAnsi" w:hAnsiTheme="minorHAnsi"/>
          <w:sz w:val="22"/>
        </w:rPr>
        <w:t xml:space="preserve">Dismissal </w:t>
      </w:r>
    </w:p>
    <w:p w:rsidR="00396343" w:rsidRPr="006C17F6" w:rsidRDefault="00396343" w:rsidP="00396343">
      <w:pPr>
        <w:spacing w:after="0"/>
      </w:pPr>
      <w:r w:rsidRPr="006C17F6">
        <w:t>The Court orders that:</w:t>
      </w:r>
    </w:p>
    <w:p w:rsidR="00396343" w:rsidRPr="006C17F6" w:rsidRDefault="00396343" w:rsidP="00396343">
      <w:pPr>
        <w:pStyle w:val="Default"/>
        <w:numPr>
          <w:ilvl w:val="0"/>
          <w:numId w:val="3"/>
        </w:numPr>
        <w:rPr>
          <w:rFonts w:asciiTheme="minorHAnsi" w:hAnsiTheme="minorHAnsi"/>
          <w:sz w:val="22"/>
          <w:szCs w:val="22"/>
        </w:rPr>
      </w:pPr>
      <w:r w:rsidRPr="006C17F6">
        <w:rPr>
          <w:rFonts w:asciiTheme="minorHAnsi" w:hAnsiTheme="minorHAnsi"/>
          <w:sz w:val="22"/>
          <w:szCs w:val="22"/>
        </w:rPr>
        <w:t xml:space="preserve">The originating process be dismissed. </w:t>
      </w:r>
    </w:p>
    <w:p w:rsidR="00396343" w:rsidRPr="006C17F6" w:rsidRDefault="00396343" w:rsidP="00396343">
      <w:pPr>
        <w:pStyle w:val="Default"/>
        <w:ind w:left="720"/>
        <w:rPr>
          <w:rFonts w:asciiTheme="minorHAnsi" w:hAnsiTheme="minorHAnsi"/>
          <w:sz w:val="22"/>
          <w:szCs w:val="22"/>
        </w:rPr>
      </w:pPr>
      <w:r w:rsidRPr="006C17F6">
        <w:rPr>
          <w:rFonts w:asciiTheme="minorHAnsi" w:hAnsiTheme="minorHAnsi"/>
          <w:b/>
          <w:sz w:val="22"/>
          <w:szCs w:val="22"/>
        </w:rPr>
        <w:t>OR:</w:t>
      </w:r>
      <w:r w:rsidRPr="006C17F6">
        <w:rPr>
          <w:rFonts w:asciiTheme="minorHAnsi" w:hAnsiTheme="minorHAnsi"/>
          <w:sz w:val="22"/>
          <w:szCs w:val="22"/>
        </w:rPr>
        <w:t xml:space="preserve"> </w:t>
      </w:r>
      <w:r w:rsidRPr="006C17F6">
        <w:rPr>
          <w:rFonts w:asciiTheme="minorHAnsi" w:hAnsiTheme="minorHAnsi"/>
          <w:b/>
          <w:sz w:val="22"/>
          <w:szCs w:val="22"/>
        </w:rPr>
        <w:t>where OP not published on insolvency website/ or where a supporting creditor applies to be substituted as the plaintiff.</w:t>
      </w:r>
      <w:r w:rsidRPr="006C17F6">
        <w:rPr>
          <w:rFonts w:asciiTheme="minorHAnsi" w:hAnsiTheme="minorHAnsi"/>
          <w:sz w:val="22"/>
          <w:szCs w:val="22"/>
        </w:rPr>
        <w:t xml:space="preserve">  </w:t>
      </w:r>
    </w:p>
    <w:p w:rsidR="00396343" w:rsidRPr="006C17F6" w:rsidRDefault="00396343" w:rsidP="00396343">
      <w:pPr>
        <w:pStyle w:val="Default"/>
        <w:numPr>
          <w:ilvl w:val="0"/>
          <w:numId w:val="4"/>
        </w:numPr>
        <w:rPr>
          <w:rFonts w:asciiTheme="minorHAnsi" w:hAnsiTheme="minorHAnsi"/>
          <w:sz w:val="22"/>
          <w:szCs w:val="22"/>
        </w:rPr>
      </w:pPr>
      <w:r w:rsidRPr="006C17F6">
        <w:rPr>
          <w:rFonts w:asciiTheme="minorHAnsi" w:hAnsiTheme="minorHAnsi"/>
          <w:sz w:val="22"/>
          <w:szCs w:val="22"/>
        </w:rPr>
        <w:t xml:space="preserve">The Plaintiff have leave to withdraw the application for an order that the Defendant be wound up. </w:t>
      </w:r>
    </w:p>
    <w:p w:rsidR="00396343" w:rsidRPr="006C17F6" w:rsidRDefault="00396343" w:rsidP="00396343">
      <w:pPr>
        <w:pStyle w:val="ListParagraph"/>
        <w:numPr>
          <w:ilvl w:val="0"/>
          <w:numId w:val="5"/>
        </w:numPr>
        <w:spacing w:after="0"/>
      </w:pPr>
      <w:r w:rsidRPr="006C17F6">
        <w:t xml:space="preserve">The Defendant pay the Plaintiff’s costs [fixed/ agreed in the amount of </w:t>
      </w:r>
      <w:r w:rsidRPr="006C17F6">
        <w:rPr>
          <w:b/>
        </w:rPr>
        <w:t>$[insert]</w:t>
      </w:r>
      <w:r w:rsidRPr="006C17F6">
        <w:t xml:space="preserve"> </w:t>
      </w:r>
      <w:r w:rsidRPr="006C17F6">
        <w:rPr>
          <w:b/>
          <w:i/>
          <w:u w:val="single"/>
        </w:rPr>
        <w:t>OR</w:t>
      </w:r>
      <w:r w:rsidRPr="006C17F6">
        <w:t xml:space="preserve"> as agreed or taxed].</w:t>
      </w:r>
    </w:p>
    <w:p w:rsidR="00396343" w:rsidRPr="006C17F6" w:rsidRDefault="00396343" w:rsidP="00396343">
      <w:pPr>
        <w:pStyle w:val="ListParagraph"/>
        <w:spacing w:after="0"/>
        <w:rPr>
          <w:b/>
        </w:rPr>
      </w:pPr>
      <w:r w:rsidRPr="006C17F6">
        <w:rPr>
          <w:b/>
        </w:rPr>
        <w:t>OR</w:t>
      </w:r>
    </w:p>
    <w:p w:rsidR="00396343" w:rsidRPr="006C17F6" w:rsidRDefault="00396343" w:rsidP="00396343">
      <w:pPr>
        <w:pStyle w:val="ListParagraph"/>
        <w:spacing w:after="0"/>
      </w:pPr>
      <w:r w:rsidRPr="006C17F6">
        <w:t xml:space="preserve">Each pay their own costs/ No order as to costs. </w:t>
      </w:r>
    </w:p>
    <w:p w:rsidR="00396343" w:rsidRPr="006C17F6" w:rsidRDefault="00396343" w:rsidP="00396343"/>
    <w:p w:rsidR="00396343" w:rsidRPr="00F46D83" w:rsidRDefault="00396343" w:rsidP="00396343">
      <w:pPr>
        <w:pStyle w:val="Heading2"/>
        <w:rPr>
          <w:rFonts w:asciiTheme="minorHAnsi" w:hAnsiTheme="minorHAnsi"/>
          <w:sz w:val="22"/>
        </w:rPr>
      </w:pPr>
      <w:r w:rsidRPr="00F46D83">
        <w:rPr>
          <w:rFonts w:asciiTheme="minorHAnsi" w:hAnsiTheme="minorHAnsi"/>
          <w:sz w:val="22"/>
        </w:rPr>
        <w:t>Substituting Plaintiff</w:t>
      </w:r>
    </w:p>
    <w:p w:rsidR="00396343" w:rsidRPr="006C17F6" w:rsidRDefault="00396343" w:rsidP="00396343">
      <w:pPr>
        <w:spacing w:after="0"/>
        <w:rPr>
          <w:rFonts w:cs="Arial"/>
        </w:rPr>
      </w:pPr>
      <w:r w:rsidRPr="006C17F6">
        <w:rPr>
          <w:rFonts w:cs="Arial"/>
        </w:rPr>
        <w:t>The Court orders that:</w:t>
      </w:r>
    </w:p>
    <w:p w:rsidR="00396343" w:rsidRPr="006C17F6" w:rsidRDefault="00396343" w:rsidP="00396343">
      <w:pPr>
        <w:pStyle w:val="ListParagraph"/>
        <w:numPr>
          <w:ilvl w:val="0"/>
          <w:numId w:val="6"/>
        </w:numPr>
        <w:spacing w:after="0"/>
        <w:rPr>
          <w:rFonts w:cs="Arial"/>
        </w:rPr>
      </w:pPr>
      <w:r w:rsidRPr="006C17F6">
        <w:rPr>
          <w:rFonts w:cs="Arial"/>
          <w:b/>
        </w:rPr>
        <w:t>[Insert]</w:t>
      </w:r>
      <w:r w:rsidRPr="006C17F6">
        <w:rPr>
          <w:rFonts w:cs="Arial"/>
        </w:rPr>
        <w:t xml:space="preserve"> be substituted as Plaintiff, and the title of the proceeding be amended accordingly. </w:t>
      </w:r>
    </w:p>
    <w:p w:rsidR="00396343" w:rsidRPr="006C17F6" w:rsidRDefault="00396343" w:rsidP="00396343"/>
    <w:p w:rsidR="00396343" w:rsidRDefault="00396343" w:rsidP="00396343">
      <w:pPr>
        <w:rPr>
          <w:rFonts w:eastAsiaTheme="majorEastAsia" w:cstheme="majorBidi"/>
          <w:b/>
          <w:bCs/>
          <w:color w:val="4F81BD" w:themeColor="accent1"/>
          <w:szCs w:val="26"/>
        </w:rPr>
      </w:pPr>
      <w:r>
        <w:br w:type="page"/>
      </w:r>
    </w:p>
    <w:p w:rsidR="00396343" w:rsidRPr="00F46D83" w:rsidRDefault="00396343" w:rsidP="00396343">
      <w:pPr>
        <w:pStyle w:val="Heading2"/>
        <w:rPr>
          <w:rFonts w:asciiTheme="minorHAnsi" w:hAnsiTheme="minorHAnsi"/>
          <w:sz w:val="22"/>
        </w:rPr>
      </w:pPr>
      <w:r w:rsidRPr="00F46D83">
        <w:rPr>
          <w:rFonts w:asciiTheme="minorHAnsi" w:hAnsiTheme="minorHAnsi"/>
          <w:sz w:val="22"/>
        </w:rPr>
        <w:lastRenderedPageBreak/>
        <w:t>Adjournment/Notification</w:t>
      </w:r>
    </w:p>
    <w:p w:rsidR="00396343" w:rsidRPr="006C17F6" w:rsidRDefault="00396343" w:rsidP="00396343">
      <w:pPr>
        <w:spacing w:after="0"/>
      </w:pPr>
      <w:r w:rsidRPr="006C17F6">
        <w:t>The Court orders that:</w:t>
      </w:r>
    </w:p>
    <w:p w:rsidR="00580A14" w:rsidRPr="006C17F6" w:rsidRDefault="00580A14" w:rsidP="00580A14">
      <w:pPr>
        <w:pStyle w:val="ListParagraph"/>
        <w:spacing w:after="0"/>
      </w:pPr>
    </w:p>
    <w:p w:rsidR="00396343" w:rsidRDefault="00396343" w:rsidP="00396343">
      <w:pPr>
        <w:pStyle w:val="ListParagraph"/>
        <w:numPr>
          <w:ilvl w:val="0"/>
          <w:numId w:val="7"/>
        </w:numPr>
        <w:spacing w:after="0"/>
      </w:pPr>
      <w:r w:rsidRPr="006C17F6">
        <w:t>The Plaintiff notify the parties not appearing today () of the details of time, date and place of the next Court date and any other orders made.</w:t>
      </w:r>
    </w:p>
    <w:p w:rsidR="00396343" w:rsidRDefault="00396343" w:rsidP="00396343">
      <w:pPr>
        <w:pStyle w:val="ListParagraph"/>
        <w:numPr>
          <w:ilvl w:val="0"/>
          <w:numId w:val="7"/>
        </w:numPr>
      </w:pPr>
      <w:r w:rsidRPr="006C17F6">
        <w:t>If the Plaintiff seeks to proceed an affidavit proving notification is to be provided on the next Court date.</w:t>
      </w:r>
    </w:p>
    <w:p w:rsidR="00396343" w:rsidRPr="00F46D83" w:rsidRDefault="00396343" w:rsidP="00396343">
      <w:pPr>
        <w:pStyle w:val="Heading2"/>
        <w:rPr>
          <w:rFonts w:asciiTheme="minorHAnsi" w:hAnsiTheme="minorHAnsi"/>
          <w:sz w:val="22"/>
        </w:rPr>
      </w:pPr>
      <w:r w:rsidRPr="00F46D83">
        <w:rPr>
          <w:rFonts w:asciiTheme="minorHAnsi" w:hAnsiTheme="minorHAnsi"/>
          <w:sz w:val="22"/>
        </w:rPr>
        <w:t>xtension of Time</w:t>
      </w:r>
    </w:p>
    <w:p w:rsidR="00396343" w:rsidRPr="006C17F6" w:rsidRDefault="00396343" w:rsidP="00396343">
      <w:pPr>
        <w:spacing w:after="0"/>
      </w:pPr>
      <w:r w:rsidRPr="006C17F6">
        <w:t>The Court orders that:</w:t>
      </w:r>
    </w:p>
    <w:p w:rsidR="00396343" w:rsidRPr="006C17F6" w:rsidRDefault="00396343" w:rsidP="00396343">
      <w:pPr>
        <w:pStyle w:val="ListParagraph"/>
        <w:numPr>
          <w:ilvl w:val="0"/>
          <w:numId w:val="8"/>
        </w:numPr>
        <w:spacing w:after="0"/>
        <w:rPr>
          <w:rFonts w:cs="Arial"/>
        </w:rPr>
      </w:pPr>
      <w:r w:rsidRPr="006C17F6">
        <w:rPr>
          <w:rFonts w:cs="Arial"/>
        </w:rPr>
        <w:t xml:space="preserve">The time for determination of the originating process be extended pursuant to s 459R of the </w:t>
      </w:r>
      <w:r w:rsidRPr="006C17F6">
        <w:rPr>
          <w:rFonts w:cs="Arial"/>
          <w:i/>
        </w:rPr>
        <w:t>Corporations Act 2001</w:t>
      </w:r>
      <w:r w:rsidRPr="006C17F6">
        <w:rPr>
          <w:rFonts w:cs="Arial"/>
        </w:rPr>
        <w:t xml:space="preserve"> to </w:t>
      </w:r>
      <w:r w:rsidRPr="006C17F6">
        <w:rPr>
          <w:rFonts w:cs="Arial"/>
          <w:b/>
        </w:rPr>
        <w:t>[insert]</w:t>
      </w:r>
      <w:r w:rsidRPr="006C17F6">
        <w:rPr>
          <w:rFonts w:cs="Arial"/>
        </w:rPr>
        <w:t xml:space="preserve">. </w:t>
      </w:r>
    </w:p>
    <w:p w:rsidR="00396343" w:rsidRPr="006C17F6" w:rsidRDefault="00396343" w:rsidP="00396343"/>
    <w:p w:rsidR="00396343" w:rsidRPr="00F46D83" w:rsidRDefault="00396343" w:rsidP="00396343">
      <w:pPr>
        <w:pStyle w:val="Heading2"/>
        <w:rPr>
          <w:rFonts w:asciiTheme="minorHAnsi" w:hAnsiTheme="minorHAnsi"/>
          <w:sz w:val="22"/>
        </w:rPr>
      </w:pPr>
      <w:r w:rsidRPr="00F46D83">
        <w:rPr>
          <w:rFonts w:asciiTheme="minorHAnsi" w:hAnsiTheme="minorHAnsi"/>
          <w:sz w:val="22"/>
        </w:rPr>
        <w:t>Administrator Appointed as Liquidator</w:t>
      </w:r>
    </w:p>
    <w:p w:rsidR="00396343" w:rsidRPr="006C17F6" w:rsidRDefault="00396343" w:rsidP="00396343">
      <w:pPr>
        <w:spacing w:after="0"/>
      </w:pPr>
      <w:r w:rsidRPr="006C17F6">
        <w:t>The Court orders that:</w:t>
      </w:r>
    </w:p>
    <w:p w:rsidR="00396343" w:rsidRPr="006C17F6" w:rsidRDefault="00396343" w:rsidP="00396343">
      <w:pPr>
        <w:pStyle w:val="ListParagraph"/>
        <w:numPr>
          <w:ilvl w:val="0"/>
          <w:numId w:val="9"/>
        </w:numPr>
        <w:spacing w:after="0"/>
        <w:rPr>
          <w:rFonts w:cs="Arial"/>
        </w:rPr>
      </w:pPr>
      <w:r w:rsidRPr="006C17F6">
        <w:rPr>
          <w:rFonts w:cs="Arial"/>
        </w:rPr>
        <w:t xml:space="preserve">Leave be granted to </w:t>
      </w:r>
      <w:r w:rsidRPr="006C17F6">
        <w:rPr>
          <w:rFonts w:cs="Arial"/>
          <w:b/>
        </w:rPr>
        <w:t>[insert]</w:t>
      </w:r>
      <w:r w:rsidRPr="006C17F6">
        <w:rPr>
          <w:rFonts w:cs="Arial"/>
        </w:rPr>
        <w:t xml:space="preserve"> under section 532(2) of the </w:t>
      </w:r>
      <w:r w:rsidRPr="006C17F6">
        <w:rPr>
          <w:rFonts w:cs="Arial"/>
          <w:i/>
        </w:rPr>
        <w:t>Corporations Act 2001</w:t>
      </w:r>
      <w:r w:rsidRPr="006C17F6">
        <w:rPr>
          <w:rFonts w:cs="Arial"/>
        </w:rPr>
        <w:t xml:space="preserve"> to be appointed and to act as liquidator of the Defendant.</w:t>
      </w:r>
    </w:p>
    <w:p w:rsidR="00396343" w:rsidRPr="006C17F6" w:rsidRDefault="00396343" w:rsidP="00396343"/>
    <w:p w:rsidR="00396343" w:rsidRPr="00F46D83" w:rsidRDefault="00396343" w:rsidP="00396343">
      <w:pPr>
        <w:pStyle w:val="Heading2"/>
        <w:rPr>
          <w:rFonts w:asciiTheme="minorHAnsi" w:hAnsiTheme="minorHAnsi"/>
          <w:sz w:val="22"/>
        </w:rPr>
      </w:pPr>
      <w:r w:rsidRPr="00F46D83">
        <w:rPr>
          <w:rFonts w:asciiTheme="minorHAnsi" w:hAnsiTheme="minorHAnsi"/>
          <w:sz w:val="22"/>
        </w:rPr>
        <w:t>Set Aside Statutory Demand</w:t>
      </w:r>
    </w:p>
    <w:p w:rsidR="00396343" w:rsidRPr="006C17F6" w:rsidRDefault="00396343" w:rsidP="00396343">
      <w:pPr>
        <w:spacing w:after="0"/>
      </w:pPr>
      <w:r w:rsidRPr="006C17F6">
        <w:t>The Court orders that:</w:t>
      </w:r>
    </w:p>
    <w:p w:rsidR="00396343" w:rsidRPr="006C17F6" w:rsidRDefault="00396343" w:rsidP="00396343">
      <w:pPr>
        <w:pStyle w:val="ListParagraph"/>
        <w:numPr>
          <w:ilvl w:val="0"/>
          <w:numId w:val="10"/>
        </w:numPr>
        <w:spacing w:after="0"/>
        <w:rPr>
          <w:rFonts w:cs="Arial"/>
        </w:rPr>
      </w:pPr>
      <w:r w:rsidRPr="006C17F6">
        <w:rPr>
          <w:rFonts w:cs="Arial"/>
        </w:rPr>
        <w:t xml:space="preserve">The statutory demand dated </w:t>
      </w:r>
      <w:r w:rsidRPr="006C17F6">
        <w:rPr>
          <w:rFonts w:cs="Arial"/>
          <w:b/>
        </w:rPr>
        <w:t>[insert]</w:t>
      </w:r>
      <w:r w:rsidRPr="006C17F6">
        <w:rPr>
          <w:rFonts w:cs="Arial"/>
        </w:rPr>
        <w:t xml:space="preserve"> be set aside.</w:t>
      </w:r>
    </w:p>
    <w:p w:rsidR="00396343" w:rsidRPr="006C17F6" w:rsidRDefault="00396343" w:rsidP="00396343">
      <w:pPr>
        <w:spacing w:after="0"/>
        <w:ind w:left="720"/>
        <w:rPr>
          <w:rFonts w:cs="Arial"/>
          <w:b/>
        </w:rPr>
      </w:pPr>
      <w:r w:rsidRPr="006C17F6">
        <w:rPr>
          <w:rFonts w:cs="Arial"/>
          <w:b/>
        </w:rPr>
        <w:t>OR</w:t>
      </w:r>
    </w:p>
    <w:p w:rsidR="00396343" w:rsidRPr="006C17F6" w:rsidRDefault="00396343" w:rsidP="00396343">
      <w:pPr>
        <w:pStyle w:val="ListParagraph"/>
        <w:spacing w:after="0"/>
        <w:rPr>
          <w:rFonts w:cs="Arial"/>
        </w:rPr>
      </w:pPr>
      <w:r w:rsidRPr="006C17F6">
        <w:rPr>
          <w:rFonts w:cs="Arial"/>
        </w:rPr>
        <w:t xml:space="preserve">The originating process to set aside the statutory demand issued by </w:t>
      </w:r>
      <w:r w:rsidRPr="006C17F6">
        <w:rPr>
          <w:rFonts w:cs="Arial"/>
          <w:b/>
        </w:rPr>
        <w:t>[insert]</w:t>
      </w:r>
      <w:r w:rsidRPr="006C17F6">
        <w:rPr>
          <w:rFonts w:cs="Arial"/>
        </w:rPr>
        <w:t xml:space="preserve"> and served on </w:t>
      </w:r>
      <w:r w:rsidRPr="006C17F6">
        <w:rPr>
          <w:rFonts w:cs="Arial"/>
          <w:b/>
        </w:rPr>
        <w:t>[insert]</w:t>
      </w:r>
      <w:r w:rsidRPr="006C17F6">
        <w:rPr>
          <w:rFonts w:cs="Arial"/>
        </w:rPr>
        <w:t xml:space="preserve"> be dismissed.</w:t>
      </w:r>
    </w:p>
    <w:p w:rsidR="00396343" w:rsidRPr="00F46D83" w:rsidRDefault="00396343" w:rsidP="00396343">
      <w:pPr>
        <w:pStyle w:val="Heading2"/>
        <w:rPr>
          <w:rFonts w:asciiTheme="minorHAnsi" w:hAnsiTheme="minorHAnsi"/>
          <w:sz w:val="22"/>
        </w:rPr>
      </w:pPr>
      <w:r w:rsidRPr="00F46D83">
        <w:rPr>
          <w:rFonts w:asciiTheme="minorHAnsi" w:hAnsiTheme="minorHAnsi"/>
          <w:sz w:val="22"/>
        </w:rPr>
        <w:t>Reinstatement</w:t>
      </w:r>
    </w:p>
    <w:p w:rsidR="00396343" w:rsidRPr="006C17F6" w:rsidRDefault="00396343" w:rsidP="00396343">
      <w:pPr>
        <w:spacing w:after="0"/>
      </w:pPr>
      <w:r w:rsidRPr="006C17F6">
        <w:t>The Court orders that:</w:t>
      </w:r>
    </w:p>
    <w:p w:rsidR="00C114DB" w:rsidRDefault="00C114DB" w:rsidP="00396343">
      <w:pPr>
        <w:pStyle w:val="Default"/>
        <w:numPr>
          <w:ilvl w:val="0"/>
          <w:numId w:val="11"/>
        </w:numPr>
        <w:spacing w:line="276" w:lineRule="auto"/>
        <w:rPr>
          <w:rFonts w:asciiTheme="minorHAnsi" w:hAnsiTheme="minorHAnsi"/>
          <w:sz w:val="22"/>
          <w:szCs w:val="22"/>
        </w:rPr>
      </w:pPr>
      <w:r w:rsidRPr="006C17F6">
        <w:rPr>
          <w:rFonts w:asciiTheme="minorHAnsi" w:hAnsiTheme="minorHAnsi"/>
          <w:sz w:val="22"/>
          <w:szCs w:val="22"/>
        </w:rPr>
        <w:t>The Australian Securities &amp; Investments Commission</w:t>
      </w:r>
      <w:r>
        <w:rPr>
          <w:rFonts w:asciiTheme="minorHAnsi" w:hAnsiTheme="minorHAnsi"/>
          <w:sz w:val="22"/>
          <w:szCs w:val="22"/>
        </w:rPr>
        <w:t xml:space="preserve"> be added as a Defendant to the Proceedings; </w:t>
      </w:r>
    </w:p>
    <w:p w:rsidR="00C114DB" w:rsidRDefault="00C114DB" w:rsidP="00C114DB">
      <w:pPr>
        <w:pStyle w:val="Default"/>
        <w:spacing w:line="276" w:lineRule="auto"/>
        <w:ind w:left="720"/>
        <w:rPr>
          <w:rFonts w:asciiTheme="minorHAnsi" w:hAnsiTheme="minorHAnsi"/>
          <w:sz w:val="22"/>
          <w:szCs w:val="22"/>
        </w:rPr>
      </w:pPr>
      <w:r>
        <w:rPr>
          <w:rFonts w:asciiTheme="minorHAnsi" w:hAnsiTheme="minorHAnsi"/>
          <w:sz w:val="22"/>
          <w:szCs w:val="22"/>
        </w:rPr>
        <w:t>OR</w:t>
      </w:r>
    </w:p>
    <w:p w:rsidR="00C114DB" w:rsidRDefault="005F2A34" w:rsidP="00396343">
      <w:pPr>
        <w:pStyle w:val="Default"/>
        <w:numPr>
          <w:ilvl w:val="0"/>
          <w:numId w:val="11"/>
        </w:numPr>
        <w:spacing w:line="276" w:lineRule="auto"/>
        <w:rPr>
          <w:rFonts w:asciiTheme="minorHAnsi" w:hAnsiTheme="minorHAnsi"/>
          <w:sz w:val="22"/>
          <w:szCs w:val="22"/>
        </w:rPr>
      </w:pPr>
      <w:r>
        <w:rPr>
          <w:rFonts w:asciiTheme="minorHAnsi" w:hAnsiTheme="minorHAnsi"/>
          <w:sz w:val="22"/>
          <w:szCs w:val="22"/>
        </w:rPr>
        <w:t xml:space="preserve">Directs the Plaintiff to provide a copy of these orders to ASIC within 24 hours and reserves liberty to ASIC to apply, should it seek to be heard in respect of the orders made, within 14 days. </w:t>
      </w:r>
    </w:p>
    <w:p w:rsidR="00396343" w:rsidRPr="006C17F6" w:rsidRDefault="00396343" w:rsidP="00396343">
      <w:pPr>
        <w:pStyle w:val="Default"/>
        <w:numPr>
          <w:ilvl w:val="0"/>
          <w:numId w:val="11"/>
        </w:numPr>
        <w:spacing w:line="276" w:lineRule="auto"/>
        <w:rPr>
          <w:rFonts w:asciiTheme="minorHAnsi" w:hAnsiTheme="minorHAnsi"/>
          <w:sz w:val="22"/>
          <w:szCs w:val="22"/>
        </w:rPr>
      </w:pPr>
      <w:r w:rsidRPr="006C17F6">
        <w:rPr>
          <w:rFonts w:asciiTheme="minorHAnsi" w:hAnsiTheme="minorHAnsi"/>
          <w:sz w:val="22"/>
          <w:szCs w:val="22"/>
        </w:rPr>
        <w:t xml:space="preserve">The Australian Securities &amp; Investments Commission reinstate the registration of </w:t>
      </w:r>
      <w:r w:rsidR="00C114DB">
        <w:rPr>
          <w:rFonts w:asciiTheme="minorHAnsi" w:hAnsiTheme="minorHAnsi"/>
          <w:sz w:val="22"/>
          <w:szCs w:val="22"/>
        </w:rPr>
        <w:t xml:space="preserve">the </w:t>
      </w:r>
      <w:r w:rsidRPr="006C17F6">
        <w:rPr>
          <w:rFonts w:asciiTheme="minorHAnsi" w:hAnsiTheme="minorHAnsi"/>
          <w:b/>
          <w:sz w:val="22"/>
          <w:szCs w:val="22"/>
        </w:rPr>
        <w:t>[insert]</w:t>
      </w:r>
      <w:r w:rsidRPr="006C17F6">
        <w:rPr>
          <w:rFonts w:asciiTheme="minorHAnsi" w:hAnsiTheme="minorHAnsi"/>
          <w:sz w:val="22"/>
          <w:szCs w:val="22"/>
        </w:rPr>
        <w:t xml:space="preserve"> </w:t>
      </w:r>
      <w:r w:rsidR="00C114DB">
        <w:rPr>
          <w:rFonts w:asciiTheme="minorHAnsi" w:hAnsiTheme="minorHAnsi"/>
          <w:sz w:val="22"/>
          <w:szCs w:val="22"/>
        </w:rPr>
        <w:t xml:space="preserve">(“the Company”) </w:t>
      </w:r>
      <w:r w:rsidRPr="006C17F6">
        <w:rPr>
          <w:rFonts w:asciiTheme="minorHAnsi" w:hAnsiTheme="minorHAnsi"/>
          <w:sz w:val="22"/>
          <w:szCs w:val="22"/>
        </w:rPr>
        <w:t xml:space="preserve">pursuant to s 601AH(2) of the </w:t>
      </w:r>
      <w:r w:rsidRPr="006C17F6">
        <w:rPr>
          <w:rFonts w:asciiTheme="minorHAnsi" w:hAnsiTheme="minorHAnsi"/>
          <w:i/>
          <w:iCs/>
          <w:sz w:val="22"/>
          <w:szCs w:val="22"/>
        </w:rPr>
        <w:t xml:space="preserve">Corporations Act 2001 </w:t>
      </w:r>
      <w:r w:rsidRPr="006C17F6">
        <w:rPr>
          <w:rFonts w:asciiTheme="minorHAnsi" w:hAnsiTheme="minorHAnsi"/>
          <w:sz w:val="22"/>
          <w:szCs w:val="22"/>
        </w:rPr>
        <w:t xml:space="preserve">(Cth). </w:t>
      </w:r>
    </w:p>
    <w:p w:rsidR="00C114DB" w:rsidRPr="00C114DB" w:rsidRDefault="00396343" w:rsidP="00396343">
      <w:pPr>
        <w:pStyle w:val="Default"/>
        <w:numPr>
          <w:ilvl w:val="0"/>
          <w:numId w:val="11"/>
        </w:numPr>
        <w:spacing w:line="276" w:lineRule="auto"/>
        <w:rPr>
          <w:rFonts w:asciiTheme="minorHAnsi" w:hAnsiTheme="minorHAnsi"/>
          <w:sz w:val="22"/>
          <w:szCs w:val="22"/>
        </w:rPr>
      </w:pPr>
      <w:r w:rsidRPr="006C17F6">
        <w:rPr>
          <w:rFonts w:asciiTheme="minorHAnsi" w:hAnsiTheme="minorHAnsi"/>
          <w:sz w:val="22"/>
          <w:szCs w:val="22"/>
        </w:rPr>
        <w:t xml:space="preserve">Immediately upon </w:t>
      </w:r>
      <w:r w:rsidR="00C114DB">
        <w:rPr>
          <w:rFonts w:asciiTheme="minorHAnsi" w:hAnsiTheme="minorHAnsi"/>
          <w:sz w:val="22"/>
          <w:szCs w:val="22"/>
        </w:rPr>
        <w:t>re-registration</w:t>
      </w:r>
      <w:r w:rsidRPr="006C17F6">
        <w:rPr>
          <w:rFonts w:asciiTheme="minorHAnsi" w:hAnsiTheme="minorHAnsi"/>
          <w:sz w:val="22"/>
          <w:szCs w:val="22"/>
        </w:rPr>
        <w:t>,</w:t>
      </w:r>
      <w:r w:rsidR="00C114DB">
        <w:rPr>
          <w:rFonts w:asciiTheme="minorHAnsi" w:hAnsiTheme="minorHAnsi"/>
          <w:sz w:val="22"/>
          <w:szCs w:val="22"/>
        </w:rPr>
        <w:t xml:space="preserve"> the Company </w:t>
      </w:r>
      <w:r w:rsidR="00C114DB" w:rsidRPr="006C17F6">
        <w:rPr>
          <w:rFonts w:asciiTheme="minorHAnsi" w:hAnsiTheme="minorHAnsi"/>
          <w:b/>
          <w:sz w:val="22"/>
          <w:szCs w:val="22"/>
        </w:rPr>
        <w:t>be</w:t>
      </w:r>
      <w:r w:rsidR="00C114DB" w:rsidRPr="00C114DB">
        <w:rPr>
          <w:rFonts w:asciiTheme="minorHAnsi" w:hAnsiTheme="minorHAnsi"/>
          <w:sz w:val="22"/>
          <w:szCs w:val="22"/>
        </w:rPr>
        <w:t xml:space="preserve"> wound up under the Corporations Act.</w:t>
      </w:r>
      <w:r w:rsidR="00C114DB">
        <w:rPr>
          <w:rFonts w:asciiTheme="minorHAnsi" w:hAnsiTheme="minorHAnsi"/>
          <w:b/>
          <w:sz w:val="22"/>
          <w:szCs w:val="22"/>
        </w:rPr>
        <w:t xml:space="preserve"> </w:t>
      </w:r>
    </w:p>
    <w:p w:rsidR="00396343" w:rsidRPr="006C17F6" w:rsidRDefault="00396343" w:rsidP="00396343">
      <w:pPr>
        <w:pStyle w:val="Default"/>
        <w:spacing w:line="276" w:lineRule="auto"/>
        <w:ind w:left="720"/>
        <w:rPr>
          <w:rFonts w:asciiTheme="minorHAnsi" w:hAnsiTheme="minorHAnsi"/>
          <w:sz w:val="22"/>
          <w:szCs w:val="22"/>
        </w:rPr>
      </w:pPr>
    </w:p>
    <w:p w:rsidR="00396343" w:rsidRPr="006C17F6" w:rsidRDefault="00C114DB" w:rsidP="00396343">
      <w:pPr>
        <w:pStyle w:val="Default"/>
        <w:spacing w:line="276" w:lineRule="auto"/>
        <w:ind w:left="720"/>
        <w:rPr>
          <w:rFonts w:asciiTheme="minorHAnsi" w:hAnsiTheme="minorHAnsi"/>
          <w:b/>
          <w:sz w:val="22"/>
          <w:szCs w:val="22"/>
        </w:rPr>
      </w:pPr>
      <w:r>
        <w:rPr>
          <w:rFonts w:asciiTheme="minorHAnsi" w:hAnsiTheme="minorHAnsi"/>
          <w:b/>
          <w:sz w:val="22"/>
          <w:szCs w:val="22"/>
        </w:rPr>
        <w:t xml:space="preserve">OR </w:t>
      </w:r>
      <w:r w:rsidR="00396343" w:rsidRPr="006C17F6">
        <w:rPr>
          <w:rFonts w:asciiTheme="minorHAnsi" w:hAnsiTheme="minorHAnsi"/>
          <w:b/>
          <w:sz w:val="22"/>
          <w:szCs w:val="22"/>
        </w:rPr>
        <w:t xml:space="preserve">Where company was in liquidation at the time of deregistration </w:t>
      </w:r>
    </w:p>
    <w:p w:rsidR="00396343" w:rsidRPr="00DD479A" w:rsidRDefault="00396343" w:rsidP="00396343">
      <w:pPr>
        <w:pStyle w:val="ListParagraph"/>
        <w:numPr>
          <w:ilvl w:val="0"/>
          <w:numId w:val="11"/>
        </w:numPr>
        <w:autoSpaceDE w:val="0"/>
        <w:autoSpaceDN w:val="0"/>
        <w:adjustRightInd w:val="0"/>
        <w:spacing w:after="0" w:line="240" w:lineRule="auto"/>
        <w:rPr>
          <w:rFonts w:cs="Times New Roman"/>
          <w:color w:val="000000"/>
        </w:rPr>
      </w:pPr>
      <w:r w:rsidRPr="00DD479A">
        <w:rPr>
          <w:rFonts w:cs="Times New Roman"/>
          <w:color w:val="000000"/>
        </w:rPr>
        <w:t>Notes that immediately upon the</w:t>
      </w:r>
      <w:r w:rsidR="00C114DB" w:rsidRPr="00DD479A">
        <w:rPr>
          <w:rFonts w:cs="Times New Roman"/>
          <w:color w:val="000000"/>
        </w:rPr>
        <w:t xml:space="preserve"> </w:t>
      </w:r>
      <w:r w:rsidR="00C114DB" w:rsidRPr="00DD479A">
        <w:t>re-registration, the Company</w:t>
      </w:r>
      <w:r w:rsidRPr="00DD479A">
        <w:rPr>
          <w:rFonts w:cs="Times New Roman"/>
          <w:color w:val="000000"/>
        </w:rPr>
        <w:t xml:space="preserve"> continues in liquidation. </w:t>
      </w:r>
    </w:p>
    <w:p w:rsidR="00C114DB" w:rsidRPr="00DD479A" w:rsidRDefault="00C114DB" w:rsidP="00790C05">
      <w:pPr>
        <w:pStyle w:val="Default"/>
        <w:numPr>
          <w:ilvl w:val="0"/>
          <w:numId w:val="11"/>
        </w:numPr>
        <w:spacing w:line="276" w:lineRule="auto"/>
        <w:rPr>
          <w:rFonts w:asciiTheme="minorHAnsi" w:hAnsiTheme="minorHAnsi"/>
          <w:sz w:val="22"/>
          <w:szCs w:val="22"/>
        </w:rPr>
      </w:pPr>
      <w:r w:rsidRPr="00DD479A">
        <w:rPr>
          <w:rFonts w:asciiTheme="minorHAnsi" w:hAnsiTheme="minorHAnsi"/>
        </w:rPr>
        <w:t xml:space="preserve">Orders that [xx] </w:t>
      </w:r>
      <w:r w:rsidRPr="00DD479A">
        <w:rPr>
          <w:rFonts w:asciiTheme="minorHAnsi" w:hAnsiTheme="minorHAnsi"/>
          <w:sz w:val="22"/>
          <w:szCs w:val="22"/>
        </w:rPr>
        <w:t>be appointed (or continue to act) as liquidator of the Company.</w:t>
      </w:r>
      <w:r w:rsidR="00790C05" w:rsidRPr="00DD479A">
        <w:rPr>
          <w:rFonts w:asciiTheme="minorHAnsi" w:hAnsiTheme="minorHAnsi"/>
          <w:sz w:val="22"/>
          <w:szCs w:val="22"/>
        </w:rPr>
        <w:t xml:space="preserve"> </w:t>
      </w:r>
    </w:p>
    <w:p w:rsidR="00396343" w:rsidRPr="006C17F6" w:rsidRDefault="00396343" w:rsidP="00396343"/>
    <w:p w:rsidR="00396343" w:rsidRDefault="00396343" w:rsidP="00396343">
      <w:pPr>
        <w:rPr>
          <w:rFonts w:eastAsiaTheme="majorEastAsia" w:cstheme="majorBidi"/>
          <w:b/>
          <w:bCs/>
          <w:color w:val="365F91" w:themeColor="accent1" w:themeShade="BF"/>
          <w:sz w:val="28"/>
          <w:szCs w:val="28"/>
          <w:u w:val="single"/>
        </w:rPr>
      </w:pPr>
      <w:r>
        <w:rPr>
          <w:u w:val="single"/>
        </w:rPr>
        <w:br w:type="page"/>
      </w:r>
    </w:p>
    <w:p w:rsidR="00396343" w:rsidRPr="006C17F6" w:rsidRDefault="00396343" w:rsidP="00396343">
      <w:pPr>
        <w:pStyle w:val="Heading1"/>
        <w:jc w:val="center"/>
        <w:rPr>
          <w:rFonts w:asciiTheme="minorHAnsi" w:hAnsiTheme="minorHAnsi"/>
          <w:u w:val="single"/>
        </w:rPr>
      </w:pPr>
      <w:r w:rsidRPr="006C17F6">
        <w:rPr>
          <w:rFonts w:asciiTheme="minorHAnsi" w:hAnsiTheme="minorHAnsi"/>
          <w:u w:val="single"/>
        </w:rPr>
        <w:lastRenderedPageBreak/>
        <w:t>GENERAL ORDERS</w:t>
      </w:r>
    </w:p>
    <w:p w:rsidR="00396343" w:rsidRPr="00F46D83" w:rsidRDefault="00396343" w:rsidP="00396343">
      <w:pPr>
        <w:pStyle w:val="Heading2"/>
        <w:rPr>
          <w:rFonts w:asciiTheme="minorHAnsi" w:hAnsiTheme="minorHAnsi"/>
          <w:sz w:val="22"/>
        </w:rPr>
      </w:pPr>
      <w:r w:rsidRPr="00F46D83">
        <w:rPr>
          <w:rFonts w:asciiTheme="minorHAnsi" w:hAnsiTheme="minorHAnsi"/>
          <w:sz w:val="22"/>
        </w:rPr>
        <w:t xml:space="preserve">Notice of Opposition </w:t>
      </w:r>
    </w:p>
    <w:p w:rsidR="00396343" w:rsidRPr="006C17F6" w:rsidRDefault="00396343" w:rsidP="00396343">
      <w:pPr>
        <w:spacing w:after="0"/>
      </w:pPr>
      <w:r w:rsidRPr="006C17F6">
        <w:t>The Court orders that:</w:t>
      </w:r>
    </w:p>
    <w:p w:rsidR="00396343" w:rsidRPr="006C17F6" w:rsidRDefault="00396343" w:rsidP="00396343">
      <w:pPr>
        <w:pStyle w:val="ListParagraph"/>
        <w:numPr>
          <w:ilvl w:val="0"/>
          <w:numId w:val="12"/>
        </w:numPr>
        <w:spacing w:after="0"/>
        <w:rPr>
          <w:b/>
          <w:u w:val="single"/>
        </w:rPr>
      </w:pPr>
      <w:r w:rsidRPr="006C17F6">
        <w:t xml:space="preserve">The Plaintiff (Applicant)/ Defendant (Respondent) file and serve any notice stating grounds of opposition and affidavit(s) in support by </w:t>
      </w:r>
      <w:r w:rsidRPr="006C17F6">
        <w:rPr>
          <w:b/>
        </w:rPr>
        <w:t>[insert]</w:t>
      </w:r>
      <w:r w:rsidRPr="006C17F6">
        <w:t xml:space="preserve">. </w:t>
      </w:r>
    </w:p>
    <w:p w:rsidR="00396343" w:rsidRPr="006C17F6" w:rsidRDefault="00396343" w:rsidP="00396343">
      <w:pPr>
        <w:pStyle w:val="ListParagraph"/>
        <w:numPr>
          <w:ilvl w:val="0"/>
          <w:numId w:val="12"/>
        </w:numPr>
        <w:spacing w:after="0"/>
        <w:rPr>
          <w:b/>
          <w:u w:val="single"/>
        </w:rPr>
      </w:pPr>
      <w:r w:rsidRPr="006C17F6">
        <w:t>The Plaintiff (Applicant)/ Defendant (Respondent) file and serve an affidavit</w:t>
      </w:r>
      <w:r w:rsidR="00395FF5">
        <w:t xml:space="preserve">(s) in support of the ground(s) of </w:t>
      </w:r>
      <w:r w:rsidR="000452E0">
        <w:t xml:space="preserve">opposition </w:t>
      </w:r>
      <w:r w:rsidR="006367A3">
        <w:t xml:space="preserve">/or in </w:t>
      </w:r>
      <w:r w:rsidRPr="006C17F6">
        <w:t xml:space="preserve"> by </w:t>
      </w:r>
      <w:r w:rsidRPr="006C17F6">
        <w:rPr>
          <w:b/>
        </w:rPr>
        <w:t>[date]</w:t>
      </w:r>
      <w:r w:rsidRPr="006C17F6">
        <w:t xml:space="preserve">. </w:t>
      </w:r>
    </w:p>
    <w:p w:rsidR="00396343" w:rsidRPr="006C17F6" w:rsidRDefault="00396343" w:rsidP="00396343">
      <w:pPr>
        <w:pStyle w:val="ListParagraph"/>
        <w:spacing w:after="0"/>
        <w:rPr>
          <w:b/>
          <w:u w:val="single"/>
        </w:rPr>
      </w:pPr>
      <w:r w:rsidRPr="006C17F6">
        <w:rPr>
          <w:b/>
        </w:rPr>
        <w:t>OR (where previous order made)</w:t>
      </w:r>
    </w:p>
    <w:p w:rsidR="00396343" w:rsidRPr="006C17F6" w:rsidRDefault="00396343" w:rsidP="00396343">
      <w:pPr>
        <w:pStyle w:val="ListParagraph"/>
        <w:numPr>
          <w:ilvl w:val="0"/>
          <w:numId w:val="13"/>
        </w:numPr>
      </w:pPr>
      <w:r w:rsidRPr="006C17F6">
        <w:t xml:space="preserve">The date by which the Plaintiff (Applicant)/ Defendant (Respondent) must file and serve </w:t>
      </w:r>
      <w:r w:rsidRPr="006C17F6">
        <w:rPr>
          <w:b/>
        </w:rPr>
        <w:t>[insert]</w:t>
      </w:r>
      <w:r w:rsidRPr="006C17F6">
        <w:t xml:space="preserve"> is extended to </w:t>
      </w:r>
      <w:r w:rsidRPr="006C17F6">
        <w:rPr>
          <w:b/>
        </w:rPr>
        <w:t>[insert]</w:t>
      </w:r>
      <w:r w:rsidRPr="006C17F6">
        <w:t>.</w:t>
      </w:r>
    </w:p>
    <w:p w:rsidR="00396343" w:rsidRPr="006C17F6" w:rsidRDefault="00396343" w:rsidP="00396343"/>
    <w:p w:rsidR="00396343" w:rsidRPr="00F46D83" w:rsidRDefault="00396343" w:rsidP="00396343">
      <w:pPr>
        <w:pStyle w:val="Heading2"/>
        <w:rPr>
          <w:rFonts w:asciiTheme="minorHAnsi" w:hAnsiTheme="minorHAnsi"/>
          <w:sz w:val="22"/>
        </w:rPr>
      </w:pPr>
      <w:r w:rsidRPr="00F46D83">
        <w:rPr>
          <w:rFonts w:asciiTheme="minorHAnsi" w:hAnsiTheme="minorHAnsi"/>
          <w:sz w:val="22"/>
        </w:rPr>
        <w:t>E-Lodge Document Filed in Court</w:t>
      </w:r>
    </w:p>
    <w:p w:rsidR="00396343" w:rsidRPr="006C17F6" w:rsidRDefault="00396343" w:rsidP="00396343">
      <w:pPr>
        <w:spacing w:after="0"/>
      </w:pPr>
      <w:r w:rsidRPr="006C17F6">
        <w:t>The Court orders that:</w:t>
      </w:r>
    </w:p>
    <w:p w:rsidR="00396343" w:rsidRPr="006C17F6" w:rsidRDefault="00396343" w:rsidP="00396343">
      <w:pPr>
        <w:pStyle w:val="ListParagraph"/>
        <w:numPr>
          <w:ilvl w:val="0"/>
          <w:numId w:val="14"/>
        </w:numPr>
        <w:spacing w:after="0"/>
      </w:pPr>
      <w:r w:rsidRPr="006C17F6">
        <w:t xml:space="preserve">Leave be granted to the Plaintiff (Applicant)/ Defendant (Respondent) to file in Court the affidavit of </w:t>
      </w:r>
      <w:r w:rsidRPr="006C17F6">
        <w:rPr>
          <w:b/>
        </w:rPr>
        <w:t>[insert]</w:t>
      </w:r>
      <w:r w:rsidRPr="006C17F6">
        <w:t>.</w:t>
      </w:r>
    </w:p>
    <w:p w:rsidR="00396343" w:rsidRPr="006C17F6" w:rsidRDefault="00396343" w:rsidP="00396343">
      <w:pPr>
        <w:pStyle w:val="ListParagraph"/>
        <w:numPr>
          <w:ilvl w:val="0"/>
          <w:numId w:val="14"/>
        </w:numPr>
        <w:spacing w:after="0"/>
      </w:pPr>
      <w:r w:rsidRPr="006C17F6">
        <w:t xml:space="preserve">The Plaintiff (Applicant)/ Defendant (Respondent) eLodge the affidavit referred to in order </w:t>
      </w:r>
      <w:r w:rsidRPr="006C17F6">
        <w:rPr>
          <w:b/>
        </w:rPr>
        <w:t>[insert]</w:t>
      </w:r>
      <w:r w:rsidRPr="006C17F6">
        <w:t xml:space="preserve"> by </w:t>
      </w:r>
      <w:r w:rsidRPr="006C17F6">
        <w:rPr>
          <w:b/>
        </w:rPr>
        <w:t>[insert]</w:t>
      </w:r>
      <w:r w:rsidRPr="006C17F6">
        <w:t>.</w:t>
      </w:r>
    </w:p>
    <w:p w:rsidR="00396343" w:rsidRDefault="00396343" w:rsidP="00396343"/>
    <w:p w:rsidR="000763AB" w:rsidRPr="00F46D83" w:rsidRDefault="000763AB" w:rsidP="000763AB">
      <w:pPr>
        <w:pStyle w:val="Heading2"/>
        <w:rPr>
          <w:rFonts w:asciiTheme="minorHAnsi" w:hAnsiTheme="minorHAnsi"/>
          <w:sz w:val="22"/>
        </w:rPr>
      </w:pPr>
      <w:r w:rsidRPr="00F46D83">
        <w:rPr>
          <w:rFonts w:asciiTheme="minorHAnsi" w:hAnsiTheme="minorHAnsi"/>
          <w:sz w:val="22"/>
        </w:rPr>
        <w:t>Affidavit in Support of Adjournment</w:t>
      </w:r>
    </w:p>
    <w:p w:rsidR="000763AB" w:rsidRDefault="000763AB" w:rsidP="000763AB">
      <w:pPr>
        <w:spacing w:after="0"/>
      </w:pPr>
      <w:r w:rsidRPr="006C17F6">
        <w:t>The Court orders that:</w:t>
      </w:r>
      <w:r>
        <w:t xml:space="preserve"> </w:t>
      </w:r>
    </w:p>
    <w:p w:rsidR="000763AB" w:rsidRPr="006C17F6" w:rsidRDefault="000763AB" w:rsidP="000763AB">
      <w:pPr>
        <w:spacing w:after="0"/>
      </w:pPr>
    </w:p>
    <w:p w:rsidR="000763AB" w:rsidRDefault="000763AB" w:rsidP="000763AB">
      <w:pPr>
        <w:pStyle w:val="ListParagraph"/>
        <w:numPr>
          <w:ilvl w:val="0"/>
          <w:numId w:val="17"/>
        </w:numPr>
        <w:spacing w:after="0"/>
        <w:ind w:left="709" w:hanging="283"/>
      </w:pPr>
      <w:r w:rsidRPr="006C17F6">
        <w:t xml:space="preserve">Unless by consent, any further adjournment application is to be supported by an affidavit to be filed and served by </w:t>
      </w:r>
      <w:r w:rsidRPr="006C17F6">
        <w:rPr>
          <w:b/>
        </w:rPr>
        <w:t>[insert]</w:t>
      </w:r>
      <w:r w:rsidRPr="006C17F6">
        <w:t>.</w:t>
      </w:r>
      <w:r>
        <w:t xml:space="preserve"> </w:t>
      </w:r>
    </w:p>
    <w:p w:rsidR="000763AB" w:rsidRPr="00A625D1" w:rsidRDefault="000763AB" w:rsidP="000763AB">
      <w:pPr>
        <w:pStyle w:val="ListParagraph"/>
        <w:spacing w:after="0"/>
        <w:ind w:left="709"/>
        <w:rPr>
          <w:b/>
        </w:rPr>
      </w:pPr>
      <w:r w:rsidRPr="00A625D1">
        <w:rPr>
          <w:b/>
        </w:rPr>
        <w:t xml:space="preserve">OR </w:t>
      </w:r>
    </w:p>
    <w:p w:rsidR="000763AB" w:rsidRDefault="000763AB" w:rsidP="000763AB">
      <w:pPr>
        <w:pStyle w:val="ListParagraph"/>
        <w:spacing w:after="0"/>
      </w:pPr>
    </w:p>
    <w:p w:rsidR="000763AB" w:rsidRDefault="000763AB" w:rsidP="000763AB">
      <w:pPr>
        <w:pStyle w:val="ListParagraph"/>
        <w:numPr>
          <w:ilvl w:val="0"/>
          <w:numId w:val="7"/>
        </w:numPr>
        <w:spacing w:after="0"/>
      </w:pPr>
      <w:r w:rsidRPr="00580A14">
        <w:t>If a</w:t>
      </w:r>
      <w:r>
        <w:t xml:space="preserve"> further adjournment is sought,</w:t>
      </w:r>
      <w:r w:rsidRPr="00580A14">
        <w:t xml:space="preserve"> the defendant file and serve</w:t>
      </w:r>
      <w:r>
        <w:t xml:space="preserve"> </w:t>
      </w:r>
      <w:r w:rsidRPr="00580A14">
        <w:t xml:space="preserve">the defendant </w:t>
      </w:r>
      <w:r>
        <w:t xml:space="preserve">is to </w:t>
      </w:r>
      <w:r w:rsidRPr="00580A14">
        <w:t>file and serve</w:t>
      </w:r>
      <w:r>
        <w:t xml:space="preserve"> by [</w:t>
      </w:r>
      <w:r w:rsidRPr="00580A14">
        <w:rPr>
          <w:b/>
        </w:rPr>
        <w:t>insert dat</w:t>
      </w:r>
      <w:r>
        <w:t>e]</w:t>
      </w:r>
      <w:r w:rsidRPr="00580A14">
        <w:t xml:space="preserve"> an affidavit outlining the reasons for the adjournment, including steps taken to seek legal and/or financial advice and to enter into a payment arrangement with the plaintiff.</w:t>
      </w:r>
      <w:r>
        <w:t xml:space="preserve"> </w:t>
      </w:r>
    </w:p>
    <w:p w:rsidR="000763AB" w:rsidRPr="00A625D1" w:rsidRDefault="000763AB" w:rsidP="000763AB">
      <w:pPr>
        <w:pStyle w:val="ListParagraph"/>
        <w:spacing w:after="0"/>
        <w:rPr>
          <w:b/>
        </w:rPr>
      </w:pPr>
      <w:r w:rsidRPr="00A625D1">
        <w:rPr>
          <w:b/>
        </w:rPr>
        <w:t xml:space="preserve">OR </w:t>
      </w:r>
    </w:p>
    <w:p w:rsidR="000763AB" w:rsidRPr="00580A14" w:rsidRDefault="000763AB" w:rsidP="000763AB">
      <w:pPr>
        <w:pStyle w:val="Default"/>
        <w:numPr>
          <w:ilvl w:val="0"/>
          <w:numId w:val="7"/>
        </w:numPr>
        <w:spacing w:after="68"/>
        <w:rPr>
          <w:rFonts w:asciiTheme="minorHAnsi" w:hAnsiTheme="minorHAnsi"/>
          <w:sz w:val="22"/>
          <w:szCs w:val="22"/>
        </w:rPr>
      </w:pPr>
      <w:r w:rsidRPr="00580A14">
        <w:rPr>
          <w:rFonts w:asciiTheme="minorHAnsi" w:hAnsiTheme="minorHAnsi"/>
          <w:sz w:val="22"/>
          <w:szCs w:val="22"/>
        </w:rPr>
        <w:t xml:space="preserve">If </w:t>
      </w:r>
      <w:r>
        <w:rPr>
          <w:rFonts w:asciiTheme="minorHAnsi" w:hAnsiTheme="minorHAnsi"/>
          <w:sz w:val="22"/>
          <w:szCs w:val="22"/>
        </w:rPr>
        <w:t>a further adjournment is sought,</w:t>
      </w:r>
      <w:r w:rsidRPr="00580A14">
        <w:rPr>
          <w:rFonts w:asciiTheme="minorHAnsi" w:hAnsiTheme="minorHAnsi"/>
          <w:sz w:val="22"/>
          <w:szCs w:val="22"/>
        </w:rPr>
        <w:t xml:space="preserve"> the defendant </w:t>
      </w:r>
      <w:r>
        <w:rPr>
          <w:rFonts w:asciiTheme="minorHAnsi" w:hAnsiTheme="minorHAnsi"/>
          <w:sz w:val="22"/>
          <w:szCs w:val="22"/>
        </w:rPr>
        <w:t xml:space="preserve">is to </w:t>
      </w:r>
      <w:r w:rsidRPr="00580A14">
        <w:rPr>
          <w:rFonts w:asciiTheme="minorHAnsi" w:hAnsiTheme="minorHAnsi"/>
          <w:sz w:val="22"/>
          <w:szCs w:val="22"/>
        </w:rPr>
        <w:t>file and serve</w:t>
      </w:r>
      <w:r>
        <w:rPr>
          <w:rFonts w:asciiTheme="minorHAnsi" w:hAnsiTheme="minorHAnsi"/>
          <w:sz w:val="22"/>
          <w:szCs w:val="22"/>
        </w:rPr>
        <w:t xml:space="preserve"> by [</w:t>
      </w:r>
      <w:r w:rsidRPr="00580A14">
        <w:rPr>
          <w:rFonts w:asciiTheme="minorHAnsi" w:hAnsiTheme="minorHAnsi"/>
          <w:b/>
          <w:sz w:val="22"/>
          <w:szCs w:val="22"/>
        </w:rPr>
        <w:t>insert dat</w:t>
      </w:r>
      <w:r>
        <w:rPr>
          <w:rFonts w:asciiTheme="minorHAnsi" w:hAnsiTheme="minorHAnsi"/>
          <w:sz w:val="22"/>
          <w:szCs w:val="22"/>
        </w:rPr>
        <w:t>e]</w:t>
      </w:r>
      <w:r w:rsidRPr="00580A14">
        <w:rPr>
          <w:rFonts w:asciiTheme="minorHAnsi" w:hAnsiTheme="minorHAnsi"/>
          <w:sz w:val="22"/>
          <w:szCs w:val="22"/>
        </w:rPr>
        <w:t xml:space="preserve"> an affidavit outlining the reasons for the adjournment, the steps to be taken to resolve the matter and the timeframe for doing so.</w:t>
      </w:r>
    </w:p>
    <w:p w:rsidR="000763AB" w:rsidRDefault="000763AB" w:rsidP="000763AB">
      <w:pPr>
        <w:spacing w:after="0"/>
      </w:pPr>
    </w:p>
    <w:p w:rsidR="000763AB" w:rsidRPr="006C17F6" w:rsidRDefault="000763AB" w:rsidP="000763AB">
      <w:pPr>
        <w:pStyle w:val="ListParagraph"/>
        <w:numPr>
          <w:ilvl w:val="0"/>
          <w:numId w:val="17"/>
        </w:numPr>
        <w:spacing w:after="0"/>
        <w:ind w:left="709" w:hanging="283"/>
      </w:pPr>
      <w:r w:rsidRPr="006C17F6">
        <w:t xml:space="preserve">In the event of non-compliance with Order </w:t>
      </w:r>
      <w:r w:rsidRPr="006C17F6">
        <w:rPr>
          <w:b/>
        </w:rPr>
        <w:t>[x]</w:t>
      </w:r>
      <w:r w:rsidRPr="006C17F6">
        <w:t xml:space="preserve">, the Applicant may proceed on the </w:t>
      </w:r>
      <w:r>
        <w:t xml:space="preserve">originating process </w:t>
      </w:r>
      <w:r w:rsidRPr="006C17F6">
        <w:t xml:space="preserve">for a </w:t>
      </w:r>
      <w:r>
        <w:t xml:space="preserve">winding up </w:t>
      </w:r>
      <w:r w:rsidRPr="006C17F6">
        <w:t>order and the Court w</w:t>
      </w:r>
      <w:r>
        <w:t xml:space="preserve">ill determine </w:t>
      </w:r>
      <w:r w:rsidRPr="006C17F6">
        <w:t xml:space="preserve">the application on the </w:t>
      </w:r>
      <w:r>
        <w:t xml:space="preserve">filed </w:t>
      </w:r>
      <w:r w:rsidRPr="006C17F6">
        <w:t xml:space="preserve">evidence. </w:t>
      </w:r>
    </w:p>
    <w:p w:rsidR="000763AB" w:rsidRPr="006C17F6" w:rsidRDefault="000763AB" w:rsidP="000763AB">
      <w:pPr>
        <w:pStyle w:val="ListParagraph"/>
        <w:spacing w:after="0"/>
        <w:ind w:left="709" w:hanging="283"/>
      </w:pPr>
    </w:p>
    <w:p w:rsidR="000763AB" w:rsidRPr="006C17F6" w:rsidRDefault="000763AB" w:rsidP="000763AB">
      <w:pPr>
        <w:pStyle w:val="ListParagraph"/>
        <w:spacing w:after="0"/>
        <w:ind w:left="709"/>
      </w:pPr>
      <w:r w:rsidRPr="006C17F6">
        <w:rPr>
          <w:i/>
        </w:rPr>
        <w:t>NOTE</w:t>
      </w:r>
      <w:r w:rsidRPr="006C17F6">
        <w:t xml:space="preserve">: The  party applying for an adjournment is expected to confer with the other party/parties in advance of the court hearing to determine whether the adjournment application is agreed/ or will be opposed. </w:t>
      </w:r>
    </w:p>
    <w:p w:rsidR="000763AB" w:rsidRPr="006C17F6" w:rsidRDefault="000763AB" w:rsidP="000763AB"/>
    <w:p w:rsidR="000763AB" w:rsidRDefault="000763AB" w:rsidP="00396343"/>
    <w:p w:rsidR="000763AB" w:rsidRPr="006C17F6" w:rsidRDefault="000763AB" w:rsidP="00396343"/>
    <w:p w:rsidR="00396343" w:rsidRPr="00F46D83" w:rsidRDefault="00396343" w:rsidP="00396343">
      <w:pPr>
        <w:pStyle w:val="Heading2"/>
        <w:rPr>
          <w:rFonts w:asciiTheme="minorHAnsi" w:hAnsiTheme="minorHAnsi"/>
          <w:sz w:val="22"/>
        </w:rPr>
      </w:pPr>
      <w:r w:rsidRPr="00F46D83">
        <w:rPr>
          <w:rFonts w:asciiTheme="minorHAnsi" w:hAnsiTheme="minorHAnsi"/>
          <w:sz w:val="22"/>
        </w:rPr>
        <w:t>Filing of Evidence</w:t>
      </w:r>
    </w:p>
    <w:p w:rsidR="00396343" w:rsidRPr="006C17F6" w:rsidRDefault="00396343" w:rsidP="00396343">
      <w:pPr>
        <w:spacing w:after="0"/>
      </w:pPr>
      <w:r w:rsidRPr="006C17F6">
        <w:t>The Court orders that:</w:t>
      </w:r>
    </w:p>
    <w:p w:rsidR="00396343" w:rsidRPr="006C17F6" w:rsidRDefault="00396343" w:rsidP="00396343">
      <w:pPr>
        <w:pStyle w:val="Default"/>
        <w:numPr>
          <w:ilvl w:val="0"/>
          <w:numId w:val="15"/>
        </w:numPr>
        <w:spacing w:after="68"/>
        <w:rPr>
          <w:rFonts w:asciiTheme="minorHAnsi" w:hAnsiTheme="minorHAnsi"/>
          <w:sz w:val="22"/>
          <w:szCs w:val="22"/>
        </w:rPr>
      </w:pPr>
      <w:r w:rsidRPr="006C17F6">
        <w:rPr>
          <w:rFonts w:asciiTheme="minorHAnsi" w:hAnsiTheme="minorHAnsi"/>
          <w:sz w:val="22"/>
          <w:szCs w:val="22"/>
        </w:rPr>
        <w:t xml:space="preserve">The Plaintiff (Applicant)/ Defendant (Respondent) file and serve any evidence on which he/ she/ it intends to rely by </w:t>
      </w:r>
      <w:r w:rsidRPr="006C17F6">
        <w:rPr>
          <w:rFonts w:asciiTheme="minorHAnsi" w:hAnsiTheme="minorHAnsi"/>
          <w:b/>
          <w:sz w:val="22"/>
          <w:szCs w:val="22"/>
        </w:rPr>
        <w:t>[insert]</w:t>
      </w:r>
      <w:r w:rsidRPr="006C17F6">
        <w:rPr>
          <w:rFonts w:asciiTheme="minorHAnsi" w:hAnsiTheme="minorHAnsi"/>
          <w:sz w:val="22"/>
          <w:szCs w:val="22"/>
        </w:rPr>
        <w:t>.</w:t>
      </w:r>
      <w:r w:rsidR="00580A14">
        <w:rPr>
          <w:rFonts w:asciiTheme="minorHAnsi" w:hAnsiTheme="minorHAnsi"/>
          <w:sz w:val="22"/>
          <w:szCs w:val="22"/>
        </w:rPr>
        <w:t xml:space="preserve"> </w:t>
      </w:r>
    </w:p>
    <w:p w:rsidR="00396343" w:rsidRPr="006C17F6" w:rsidRDefault="00396343" w:rsidP="00396343">
      <w:pPr>
        <w:ind w:left="360"/>
        <w:rPr>
          <w:b/>
        </w:rPr>
      </w:pPr>
      <w:r w:rsidRPr="006C17F6">
        <w:rPr>
          <w:b/>
        </w:rPr>
        <w:t>OR (where previous order made)</w:t>
      </w:r>
    </w:p>
    <w:p w:rsidR="00396343" w:rsidRDefault="00396343" w:rsidP="00396343">
      <w:pPr>
        <w:pStyle w:val="ListParagraph"/>
        <w:numPr>
          <w:ilvl w:val="0"/>
          <w:numId w:val="16"/>
        </w:numPr>
      </w:pPr>
      <w:r w:rsidRPr="006C17F6">
        <w:t xml:space="preserve">The date by which the Plaintiff (Applicant)/ Defendant (Respondent) must file and serve </w:t>
      </w:r>
      <w:r w:rsidRPr="006C17F6">
        <w:rPr>
          <w:b/>
        </w:rPr>
        <w:t>[insert]</w:t>
      </w:r>
      <w:r w:rsidRPr="006C17F6">
        <w:t xml:space="preserve"> is extended to </w:t>
      </w:r>
      <w:r w:rsidRPr="006C17F6">
        <w:rPr>
          <w:b/>
        </w:rPr>
        <w:t>[insert]</w:t>
      </w:r>
      <w:r w:rsidRPr="006C17F6">
        <w:t>.</w:t>
      </w:r>
      <w:r w:rsidR="004975EE">
        <w:t xml:space="preserve"> </w:t>
      </w:r>
    </w:p>
    <w:p w:rsidR="004975EE" w:rsidRPr="006C17F6" w:rsidRDefault="004975EE" w:rsidP="004975EE">
      <w:pPr>
        <w:pStyle w:val="ListParagraph"/>
      </w:pPr>
    </w:p>
    <w:p w:rsidR="00396343" w:rsidRPr="006C17F6" w:rsidRDefault="00396343" w:rsidP="00396343"/>
    <w:p w:rsidR="00396343" w:rsidRPr="006C17F6" w:rsidRDefault="00396343" w:rsidP="00396343">
      <w:pPr>
        <w:pStyle w:val="ListParagraph"/>
        <w:spacing w:after="0"/>
        <w:ind w:left="709" w:hanging="283"/>
      </w:pPr>
    </w:p>
    <w:sectPr w:rsidR="00396343" w:rsidRPr="006C17F6" w:rsidSect="00E507C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CB0" w:rsidRDefault="00223CB0" w:rsidP="003E2194">
      <w:pPr>
        <w:spacing w:after="0" w:line="240" w:lineRule="auto"/>
      </w:pPr>
      <w:r>
        <w:separator/>
      </w:r>
    </w:p>
  </w:endnote>
  <w:endnote w:type="continuationSeparator" w:id="0">
    <w:p w:rsidR="00223CB0" w:rsidRDefault="00223CB0" w:rsidP="003E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0AD" w:rsidRDefault="006D30AD" w:rsidP="00E507C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3E2194" w:rsidRDefault="003E2194" w:rsidP="006D30AD">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7C6" w:rsidRDefault="00E507C6" w:rsidP="000C05B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C021D">
      <w:rPr>
        <w:rStyle w:val="PageNumber"/>
        <w:noProof/>
      </w:rPr>
      <w:t>4</w:t>
    </w:r>
    <w:r>
      <w:rPr>
        <w:rStyle w:val="PageNumber"/>
      </w:rPr>
      <w:fldChar w:fldCharType="end"/>
    </w:r>
  </w:p>
  <w:p w:rsidR="003E2194" w:rsidRPr="00E507C6" w:rsidRDefault="00E507C6" w:rsidP="00E507C6">
    <w:pPr>
      <w:pStyle w:val="Footer"/>
      <w:tabs>
        <w:tab w:val="clear" w:pos="4513"/>
        <w:tab w:val="clear" w:pos="9026"/>
        <w:tab w:val="right" w:pos="9020"/>
      </w:tabs>
      <w:ind w:firstLine="360"/>
      <w:rPr>
        <w:sz w:val="20"/>
      </w:rPr>
    </w:pPr>
    <w:r>
      <w:rPr>
        <w:rStyle w:val="PageNumber"/>
        <w:sz w:val="20"/>
      </w:rPr>
      <w:tab/>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94" w:rsidRDefault="003E2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CB0" w:rsidRDefault="00223CB0" w:rsidP="003E2194">
      <w:pPr>
        <w:spacing w:after="0" w:line="240" w:lineRule="auto"/>
      </w:pPr>
      <w:r>
        <w:separator/>
      </w:r>
    </w:p>
  </w:footnote>
  <w:footnote w:type="continuationSeparator" w:id="0">
    <w:p w:rsidR="00223CB0" w:rsidRDefault="00223CB0" w:rsidP="003E2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94" w:rsidRDefault="003E2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94" w:rsidRDefault="003E2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94" w:rsidRDefault="003E2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FED"/>
    <w:multiLevelType w:val="hybridMultilevel"/>
    <w:tmpl w:val="C13CC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0E15D1"/>
    <w:multiLevelType w:val="hybridMultilevel"/>
    <w:tmpl w:val="F252CAFC"/>
    <w:lvl w:ilvl="0" w:tplc="CDFA88BE">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6AC29B9"/>
    <w:multiLevelType w:val="hybridMultilevel"/>
    <w:tmpl w:val="99C24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FC4952"/>
    <w:multiLevelType w:val="hybridMultilevel"/>
    <w:tmpl w:val="7228D208"/>
    <w:lvl w:ilvl="0" w:tplc="9A10E676">
      <w:start w:val="1"/>
      <w:numFmt w:val="decimal"/>
      <w:lvlText w:val="%1."/>
      <w:lvlJc w:val="left"/>
      <w:pPr>
        <w:ind w:left="1080" w:hanging="360"/>
      </w:pPr>
      <w:rPr>
        <w:rFonts w:hint="default"/>
        <w:sz w:val="23"/>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nsid w:val="1EA5504B"/>
    <w:multiLevelType w:val="hybridMultilevel"/>
    <w:tmpl w:val="E6BECDE2"/>
    <w:lvl w:ilvl="0" w:tplc="0946009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49F1D4F"/>
    <w:multiLevelType w:val="hybridMultilevel"/>
    <w:tmpl w:val="26BC49A4"/>
    <w:lvl w:ilvl="0" w:tplc="B2DC546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DDC083A"/>
    <w:multiLevelType w:val="hybridMultilevel"/>
    <w:tmpl w:val="7354D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EC31CA4"/>
    <w:multiLevelType w:val="hybridMultilevel"/>
    <w:tmpl w:val="970AC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2FA636D"/>
    <w:multiLevelType w:val="multilevel"/>
    <w:tmpl w:val="8944558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680"/>
        </w:tabs>
        <w:ind w:left="1134" w:hanging="567"/>
      </w:pPr>
      <w:rPr>
        <w:rFonts w:hint="default"/>
      </w:rPr>
    </w:lvl>
    <w:lvl w:ilvl="2">
      <w:start w:val="1"/>
      <w:numFmt w:val="lowerRoman"/>
      <w:lvlText w:val="(%3)"/>
      <w:lvlJc w:val="left"/>
      <w:pPr>
        <w:tabs>
          <w:tab w:val="num" w:pos="1814"/>
        </w:tabs>
        <w:ind w:left="1814"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CC8076F"/>
    <w:multiLevelType w:val="hybridMultilevel"/>
    <w:tmpl w:val="4726EC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E7266B"/>
    <w:multiLevelType w:val="hybridMultilevel"/>
    <w:tmpl w:val="C4D0D3A0"/>
    <w:lvl w:ilvl="0" w:tplc="5466672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F1D186F"/>
    <w:multiLevelType w:val="multilevel"/>
    <w:tmpl w:val="8944558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680"/>
        </w:tabs>
        <w:ind w:left="1134" w:hanging="567"/>
      </w:pPr>
      <w:rPr>
        <w:rFonts w:hint="default"/>
      </w:rPr>
    </w:lvl>
    <w:lvl w:ilvl="2">
      <w:start w:val="1"/>
      <w:numFmt w:val="lowerRoman"/>
      <w:lvlText w:val="(%3)"/>
      <w:lvlJc w:val="left"/>
      <w:pPr>
        <w:tabs>
          <w:tab w:val="num" w:pos="1814"/>
        </w:tabs>
        <w:ind w:left="1814" w:hanging="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743324C"/>
    <w:multiLevelType w:val="hybridMultilevel"/>
    <w:tmpl w:val="970ACBF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6D150310"/>
    <w:multiLevelType w:val="hybridMultilevel"/>
    <w:tmpl w:val="64B26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1E9465C"/>
    <w:multiLevelType w:val="hybridMultilevel"/>
    <w:tmpl w:val="7BA62C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7B40F52"/>
    <w:multiLevelType w:val="hybridMultilevel"/>
    <w:tmpl w:val="F6C22152"/>
    <w:lvl w:ilvl="0" w:tplc="8A36A83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A7D4D71"/>
    <w:multiLevelType w:val="hybridMultilevel"/>
    <w:tmpl w:val="6D2A6ADA"/>
    <w:lvl w:ilvl="0" w:tplc="15E2E8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C1C103E"/>
    <w:multiLevelType w:val="hybridMultilevel"/>
    <w:tmpl w:val="E6BECDE2"/>
    <w:lvl w:ilvl="0" w:tplc="0946009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D377177"/>
    <w:multiLevelType w:val="hybridMultilevel"/>
    <w:tmpl w:val="64B26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DA90DB6"/>
    <w:multiLevelType w:val="hybridMultilevel"/>
    <w:tmpl w:val="64B26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FA70D26"/>
    <w:multiLevelType w:val="hybridMultilevel"/>
    <w:tmpl w:val="B5A05D2A"/>
    <w:lvl w:ilvl="0" w:tplc="E13EBA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6"/>
  </w:num>
  <w:num w:numId="3">
    <w:abstractNumId w:val="13"/>
  </w:num>
  <w:num w:numId="4">
    <w:abstractNumId w:val="18"/>
  </w:num>
  <w:num w:numId="5">
    <w:abstractNumId w:val="5"/>
  </w:num>
  <w:num w:numId="6">
    <w:abstractNumId w:val="20"/>
  </w:num>
  <w:num w:numId="7">
    <w:abstractNumId w:val="2"/>
  </w:num>
  <w:num w:numId="8">
    <w:abstractNumId w:val="0"/>
  </w:num>
  <w:num w:numId="9">
    <w:abstractNumId w:val="14"/>
  </w:num>
  <w:num w:numId="10">
    <w:abstractNumId w:val="6"/>
  </w:num>
  <w:num w:numId="11">
    <w:abstractNumId w:val="19"/>
  </w:num>
  <w:num w:numId="12">
    <w:abstractNumId w:val="15"/>
  </w:num>
  <w:num w:numId="13">
    <w:abstractNumId w:val="10"/>
  </w:num>
  <w:num w:numId="14">
    <w:abstractNumId w:val="1"/>
  </w:num>
  <w:num w:numId="15">
    <w:abstractNumId w:val="17"/>
  </w:num>
  <w:num w:numId="16">
    <w:abstractNumId w:val="4"/>
  </w:num>
  <w:num w:numId="17">
    <w:abstractNumId w:val="3"/>
  </w:num>
  <w:num w:numId="18">
    <w:abstractNumId w:val="11"/>
  </w:num>
  <w:num w:numId="19">
    <w:abstractNumId w:val="12"/>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43"/>
    <w:rsid w:val="000452E0"/>
    <w:rsid w:val="000763AB"/>
    <w:rsid w:val="00223CB0"/>
    <w:rsid w:val="0024206A"/>
    <w:rsid w:val="00395FF5"/>
    <w:rsid w:val="00396343"/>
    <w:rsid w:val="003E2194"/>
    <w:rsid w:val="003E7771"/>
    <w:rsid w:val="004975EE"/>
    <w:rsid w:val="004E390A"/>
    <w:rsid w:val="00575C24"/>
    <w:rsid w:val="00580A14"/>
    <w:rsid w:val="005F2A34"/>
    <w:rsid w:val="006367A3"/>
    <w:rsid w:val="006A4EF8"/>
    <w:rsid w:val="006D30AD"/>
    <w:rsid w:val="007277C1"/>
    <w:rsid w:val="00790C05"/>
    <w:rsid w:val="00825D97"/>
    <w:rsid w:val="00967B0E"/>
    <w:rsid w:val="00967FEC"/>
    <w:rsid w:val="00AC021D"/>
    <w:rsid w:val="00C114DB"/>
    <w:rsid w:val="00DD479A"/>
    <w:rsid w:val="00E507C6"/>
    <w:rsid w:val="00EB6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43"/>
  </w:style>
  <w:style w:type="paragraph" w:styleId="Heading1">
    <w:name w:val="heading 1"/>
    <w:basedOn w:val="Normal"/>
    <w:next w:val="Normal"/>
    <w:link w:val="Heading1Char"/>
    <w:uiPriority w:val="9"/>
    <w:qFormat/>
    <w:rsid w:val="003963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63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3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634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96343"/>
    <w:pPr>
      <w:ind w:left="720"/>
      <w:contextualSpacing/>
    </w:pPr>
  </w:style>
  <w:style w:type="paragraph" w:customStyle="1" w:styleId="Default">
    <w:name w:val="Default"/>
    <w:rsid w:val="0039634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E2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194"/>
  </w:style>
  <w:style w:type="paragraph" w:styleId="Footer">
    <w:name w:val="footer"/>
    <w:basedOn w:val="Normal"/>
    <w:link w:val="FooterChar"/>
    <w:uiPriority w:val="99"/>
    <w:unhideWhenUsed/>
    <w:rsid w:val="003E2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194"/>
  </w:style>
  <w:style w:type="paragraph" w:styleId="BalloonText">
    <w:name w:val="Balloon Text"/>
    <w:basedOn w:val="Normal"/>
    <w:link w:val="BalloonTextChar"/>
    <w:uiPriority w:val="99"/>
    <w:semiHidden/>
    <w:unhideWhenUsed/>
    <w:rsid w:val="003E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94"/>
    <w:rPr>
      <w:rFonts w:ascii="Tahoma" w:hAnsi="Tahoma" w:cs="Tahoma"/>
      <w:sz w:val="16"/>
      <w:szCs w:val="16"/>
    </w:rPr>
  </w:style>
  <w:style w:type="character" w:styleId="CommentReference">
    <w:name w:val="annotation reference"/>
    <w:basedOn w:val="DefaultParagraphFont"/>
    <w:uiPriority w:val="99"/>
    <w:semiHidden/>
    <w:unhideWhenUsed/>
    <w:rsid w:val="00395FF5"/>
    <w:rPr>
      <w:sz w:val="16"/>
      <w:szCs w:val="16"/>
    </w:rPr>
  </w:style>
  <w:style w:type="paragraph" w:styleId="CommentText">
    <w:name w:val="annotation text"/>
    <w:basedOn w:val="Normal"/>
    <w:link w:val="CommentTextChar"/>
    <w:uiPriority w:val="99"/>
    <w:semiHidden/>
    <w:unhideWhenUsed/>
    <w:rsid w:val="00395FF5"/>
    <w:pPr>
      <w:spacing w:line="240" w:lineRule="auto"/>
    </w:pPr>
    <w:rPr>
      <w:sz w:val="20"/>
      <w:szCs w:val="20"/>
    </w:rPr>
  </w:style>
  <w:style w:type="character" w:customStyle="1" w:styleId="CommentTextChar">
    <w:name w:val="Comment Text Char"/>
    <w:basedOn w:val="DefaultParagraphFont"/>
    <w:link w:val="CommentText"/>
    <w:uiPriority w:val="99"/>
    <w:semiHidden/>
    <w:rsid w:val="00395FF5"/>
    <w:rPr>
      <w:sz w:val="20"/>
      <w:szCs w:val="20"/>
    </w:rPr>
  </w:style>
  <w:style w:type="paragraph" w:styleId="CommentSubject">
    <w:name w:val="annotation subject"/>
    <w:basedOn w:val="CommentText"/>
    <w:next w:val="CommentText"/>
    <w:link w:val="CommentSubjectChar"/>
    <w:uiPriority w:val="99"/>
    <w:semiHidden/>
    <w:unhideWhenUsed/>
    <w:rsid w:val="00395FF5"/>
    <w:rPr>
      <w:b/>
      <w:bCs/>
    </w:rPr>
  </w:style>
  <w:style w:type="character" w:customStyle="1" w:styleId="CommentSubjectChar">
    <w:name w:val="Comment Subject Char"/>
    <w:basedOn w:val="CommentTextChar"/>
    <w:link w:val="CommentSubject"/>
    <w:uiPriority w:val="99"/>
    <w:semiHidden/>
    <w:rsid w:val="00395FF5"/>
    <w:rPr>
      <w:b/>
      <w:bCs/>
      <w:sz w:val="20"/>
      <w:szCs w:val="20"/>
    </w:rPr>
  </w:style>
  <w:style w:type="character" w:styleId="PageNumber">
    <w:name w:val="page number"/>
    <w:basedOn w:val="DefaultParagraphFont"/>
    <w:uiPriority w:val="99"/>
    <w:semiHidden/>
    <w:unhideWhenUsed/>
    <w:rsid w:val="006D3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43"/>
  </w:style>
  <w:style w:type="paragraph" w:styleId="Heading1">
    <w:name w:val="heading 1"/>
    <w:basedOn w:val="Normal"/>
    <w:next w:val="Normal"/>
    <w:link w:val="Heading1Char"/>
    <w:uiPriority w:val="9"/>
    <w:qFormat/>
    <w:rsid w:val="003963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63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3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634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96343"/>
    <w:pPr>
      <w:ind w:left="720"/>
      <w:contextualSpacing/>
    </w:pPr>
  </w:style>
  <w:style w:type="paragraph" w:customStyle="1" w:styleId="Default">
    <w:name w:val="Default"/>
    <w:rsid w:val="0039634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E2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194"/>
  </w:style>
  <w:style w:type="paragraph" w:styleId="Footer">
    <w:name w:val="footer"/>
    <w:basedOn w:val="Normal"/>
    <w:link w:val="FooterChar"/>
    <w:uiPriority w:val="99"/>
    <w:unhideWhenUsed/>
    <w:rsid w:val="003E2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194"/>
  </w:style>
  <w:style w:type="paragraph" w:styleId="BalloonText">
    <w:name w:val="Balloon Text"/>
    <w:basedOn w:val="Normal"/>
    <w:link w:val="BalloonTextChar"/>
    <w:uiPriority w:val="99"/>
    <w:semiHidden/>
    <w:unhideWhenUsed/>
    <w:rsid w:val="003E2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94"/>
    <w:rPr>
      <w:rFonts w:ascii="Tahoma" w:hAnsi="Tahoma" w:cs="Tahoma"/>
      <w:sz w:val="16"/>
      <w:szCs w:val="16"/>
    </w:rPr>
  </w:style>
  <w:style w:type="character" w:styleId="CommentReference">
    <w:name w:val="annotation reference"/>
    <w:basedOn w:val="DefaultParagraphFont"/>
    <w:uiPriority w:val="99"/>
    <w:semiHidden/>
    <w:unhideWhenUsed/>
    <w:rsid w:val="00395FF5"/>
    <w:rPr>
      <w:sz w:val="16"/>
      <w:szCs w:val="16"/>
    </w:rPr>
  </w:style>
  <w:style w:type="paragraph" w:styleId="CommentText">
    <w:name w:val="annotation text"/>
    <w:basedOn w:val="Normal"/>
    <w:link w:val="CommentTextChar"/>
    <w:uiPriority w:val="99"/>
    <w:semiHidden/>
    <w:unhideWhenUsed/>
    <w:rsid w:val="00395FF5"/>
    <w:pPr>
      <w:spacing w:line="240" w:lineRule="auto"/>
    </w:pPr>
    <w:rPr>
      <w:sz w:val="20"/>
      <w:szCs w:val="20"/>
    </w:rPr>
  </w:style>
  <w:style w:type="character" w:customStyle="1" w:styleId="CommentTextChar">
    <w:name w:val="Comment Text Char"/>
    <w:basedOn w:val="DefaultParagraphFont"/>
    <w:link w:val="CommentText"/>
    <w:uiPriority w:val="99"/>
    <w:semiHidden/>
    <w:rsid w:val="00395FF5"/>
    <w:rPr>
      <w:sz w:val="20"/>
      <w:szCs w:val="20"/>
    </w:rPr>
  </w:style>
  <w:style w:type="paragraph" w:styleId="CommentSubject">
    <w:name w:val="annotation subject"/>
    <w:basedOn w:val="CommentText"/>
    <w:next w:val="CommentText"/>
    <w:link w:val="CommentSubjectChar"/>
    <w:uiPriority w:val="99"/>
    <w:semiHidden/>
    <w:unhideWhenUsed/>
    <w:rsid w:val="00395FF5"/>
    <w:rPr>
      <w:b/>
      <w:bCs/>
    </w:rPr>
  </w:style>
  <w:style w:type="character" w:customStyle="1" w:styleId="CommentSubjectChar">
    <w:name w:val="Comment Subject Char"/>
    <w:basedOn w:val="CommentTextChar"/>
    <w:link w:val="CommentSubject"/>
    <w:uiPriority w:val="99"/>
    <w:semiHidden/>
    <w:rsid w:val="00395FF5"/>
    <w:rPr>
      <w:b/>
      <w:bCs/>
      <w:sz w:val="20"/>
      <w:szCs w:val="20"/>
    </w:rPr>
  </w:style>
  <w:style w:type="character" w:styleId="PageNumber">
    <w:name w:val="page number"/>
    <w:basedOn w:val="DefaultParagraphFont"/>
    <w:uiPriority w:val="99"/>
    <w:semiHidden/>
    <w:unhideWhenUsed/>
    <w:rsid w:val="006D3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1B362-9E50-4685-872B-F59B6ABE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Caporale</dc:creator>
  <cp:lastModifiedBy>Lany Fernandez</cp:lastModifiedBy>
  <cp:revision>2</cp:revision>
  <cp:lastPrinted>2016-10-25T01:54:00Z</cp:lastPrinted>
  <dcterms:created xsi:type="dcterms:W3CDTF">2016-10-26T00:58:00Z</dcterms:created>
  <dcterms:modified xsi:type="dcterms:W3CDTF">2016-10-26T00:58:00Z</dcterms:modified>
</cp:coreProperties>
</file>