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D4EAF" w14:textId="77777777" w:rsidR="002123DF" w:rsidRPr="00F65EA3" w:rsidRDefault="002123DF" w:rsidP="002123DF">
      <w:pPr>
        <w:pStyle w:val="MBC1"/>
        <w:numPr>
          <w:ilvl w:val="0"/>
          <w:numId w:val="0"/>
        </w:numPr>
        <w:tabs>
          <w:tab w:val="left" w:pos="720"/>
        </w:tabs>
        <w:jc w:val="center"/>
        <w:rPr>
          <w:b/>
        </w:rPr>
      </w:pPr>
      <w:bookmarkStart w:id="0" w:name="_GoBack"/>
      <w:bookmarkEnd w:id="0"/>
      <w:r w:rsidRPr="00F65EA3">
        <w:rPr>
          <w:b/>
        </w:rPr>
        <w:t xml:space="preserve">SCHEDULE 1 – NOTICE </w:t>
      </w:r>
    </w:p>
    <w:p w14:paraId="3B307BB2" w14:textId="77777777" w:rsidR="002123DF" w:rsidRPr="00F65EA3" w:rsidRDefault="002123DF" w:rsidP="002123DF">
      <w:pPr>
        <w:jc w:val="both"/>
        <w:rPr>
          <w:rFonts w:cs="Arial"/>
          <w:sz w:val="21"/>
          <w:szCs w:val="22"/>
          <w:lang w:eastAsia="en-AU"/>
        </w:rPr>
      </w:pPr>
    </w:p>
    <w:p w14:paraId="4E0639A0" w14:textId="77777777" w:rsidR="002123DF" w:rsidRPr="00F65EA3" w:rsidRDefault="002123DF" w:rsidP="002123DF">
      <w:pPr>
        <w:jc w:val="center"/>
        <w:rPr>
          <w:b/>
          <w:sz w:val="21"/>
          <w:lang w:eastAsia="en-AU"/>
        </w:rPr>
      </w:pPr>
      <w:r w:rsidRPr="00F65EA3">
        <w:rPr>
          <w:b/>
          <w:sz w:val="21"/>
          <w:lang w:eastAsia="en-AU"/>
        </w:rPr>
        <w:t>NOTICE OF PROPOSED SETTLEMENT</w:t>
      </w:r>
    </w:p>
    <w:p w14:paraId="5FDD806C" w14:textId="77777777" w:rsidR="002123DF" w:rsidRPr="00F65EA3" w:rsidRDefault="002123DF" w:rsidP="002123DF">
      <w:pPr>
        <w:jc w:val="center"/>
        <w:rPr>
          <w:b/>
          <w:sz w:val="21"/>
          <w:lang w:eastAsia="en-AU"/>
        </w:rPr>
      </w:pPr>
      <w:r w:rsidRPr="00F65EA3">
        <w:rPr>
          <w:b/>
          <w:sz w:val="21"/>
          <w:lang w:eastAsia="en-AU"/>
        </w:rPr>
        <w:t>Volkswagen, Audi and Skoda Class Actions in the Federal Court of Australia</w:t>
      </w:r>
    </w:p>
    <w:p w14:paraId="4F948C25" w14:textId="77777777" w:rsidR="002123DF" w:rsidRPr="00F65EA3" w:rsidRDefault="002123DF" w:rsidP="002123DF">
      <w:pPr>
        <w:pBdr>
          <w:bottom w:val="single" w:sz="6" w:space="1" w:color="auto"/>
        </w:pBdr>
        <w:jc w:val="center"/>
        <w:rPr>
          <w:b/>
          <w:sz w:val="21"/>
          <w:szCs w:val="22"/>
          <w:lang w:eastAsia="en-AU"/>
        </w:rPr>
      </w:pPr>
    </w:p>
    <w:p w14:paraId="10D14A46" w14:textId="77777777" w:rsidR="002123DF" w:rsidRPr="00F65EA3" w:rsidRDefault="002123DF" w:rsidP="002123DF">
      <w:pPr>
        <w:jc w:val="center"/>
        <w:rPr>
          <w:b/>
          <w:sz w:val="21"/>
          <w:szCs w:val="22"/>
          <w:lang w:eastAsia="en-AU"/>
        </w:rPr>
      </w:pPr>
    </w:p>
    <w:p w14:paraId="481B294F" w14:textId="77777777" w:rsidR="002123DF" w:rsidRPr="00F65EA3" w:rsidRDefault="002123DF" w:rsidP="002123DF">
      <w:pPr>
        <w:jc w:val="both"/>
        <w:rPr>
          <w:sz w:val="22"/>
          <w:szCs w:val="22"/>
          <w:lang w:eastAsia="en-AU"/>
        </w:rPr>
      </w:pPr>
      <w:r w:rsidRPr="00F65EA3">
        <w:rPr>
          <w:sz w:val="22"/>
          <w:szCs w:val="22"/>
          <w:lang w:eastAsia="en-AU"/>
        </w:rPr>
        <w:t xml:space="preserve">This notice contains important information about the proposed settlement of the Volkswagen, Audi and Skoda Australian diesel emissions class actions – please read it carefully. If you are a Group Member in any of the class actions, your legal rights </w:t>
      </w:r>
      <w:proofErr w:type="gramStart"/>
      <w:r w:rsidRPr="00F65EA3">
        <w:rPr>
          <w:sz w:val="22"/>
          <w:szCs w:val="22"/>
          <w:lang w:eastAsia="en-AU"/>
        </w:rPr>
        <w:t>will be affected</w:t>
      </w:r>
      <w:proofErr w:type="gramEnd"/>
      <w:r w:rsidRPr="00F65EA3">
        <w:rPr>
          <w:sz w:val="22"/>
          <w:szCs w:val="22"/>
          <w:lang w:eastAsia="en-AU"/>
        </w:rPr>
        <w:t xml:space="preserve"> by the proposed settlement. </w:t>
      </w:r>
    </w:p>
    <w:p w14:paraId="550C9949" w14:textId="77777777" w:rsidR="002123DF" w:rsidRPr="00F65EA3" w:rsidRDefault="002123DF" w:rsidP="002123DF">
      <w:pPr>
        <w:jc w:val="both"/>
        <w:rPr>
          <w:sz w:val="22"/>
          <w:szCs w:val="22"/>
          <w:lang w:eastAsia="en-AU"/>
        </w:rPr>
      </w:pPr>
    </w:p>
    <w:p w14:paraId="5F615A56" w14:textId="77777777" w:rsidR="002123DF" w:rsidRPr="00F65EA3" w:rsidRDefault="002123DF" w:rsidP="002123DF">
      <w:pPr>
        <w:jc w:val="both"/>
        <w:rPr>
          <w:sz w:val="22"/>
          <w:szCs w:val="22"/>
          <w:lang w:eastAsia="en-AU"/>
        </w:rPr>
      </w:pPr>
      <w:r w:rsidRPr="00F65EA3">
        <w:rPr>
          <w:sz w:val="22"/>
          <w:szCs w:val="22"/>
          <w:lang w:eastAsia="en-AU"/>
        </w:rPr>
        <w:t xml:space="preserve">If you do not understand the notice or you have any questions, you should contact the lawyers for the applicants in the class actions, Maurice Blackburn or Bannister Law, or seek independent legal advice. The Federal Court is </w:t>
      </w:r>
      <w:r w:rsidRPr="00F65EA3">
        <w:rPr>
          <w:sz w:val="22"/>
          <w:szCs w:val="22"/>
          <w:u w:val="single"/>
          <w:lang w:eastAsia="en-AU"/>
        </w:rPr>
        <w:t>not</w:t>
      </w:r>
      <w:r w:rsidRPr="00F65EA3">
        <w:rPr>
          <w:sz w:val="22"/>
          <w:szCs w:val="22"/>
          <w:lang w:eastAsia="en-AU"/>
        </w:rPr>
        <w:t xml:space="preserve"> able to answer questions about the proposed settlement. </w:t>
      </w:r>
    </w:p>
    <w:p w14:paraId="34D386C2" w14:textId="77777777" w:rsidR="002123DF" w:rsidRPr="00F65EA3" w:rsidRDefault="002123DF" w:rsidP="002123DF">
      <w:pPr>
        <w:jc w:val="both"/>
        <w:rPr>
          <w:b/>
          <w:sz w:val="22"/>
          <w:szCs w:val="22"/>
          <w:lang w:eastAsia="en-AU"/>
        </w:rPr>
      </w:pPr>
    </w:p>
    <w:p w14:paraId="31E5A16F" w14:textId="77777777" w:rsidR="002123DF" w:rsidRPr="00F65EA3" w:rsidRDefault="002123DF" w:rsidP="002123DF">
      <w:pPr>
        <w:keepNext/>
        <w:spacing w:after="180"/>
        <w:jc w:val="both"/>
        <w:rPr>
          <w:b/>
          <w:caps/>
          <w:sz w:val="22"/>
          <w:szCs w:val="22"/>
          <w:lang w:eastAsia="en-AU"/>
        </w:rPr>
      </w:pPr>
      <w:r w:rsidRPr="00F65EA3">
        <w:rPr>
          <w:b/>
          <w:caps/>
          <w:sz w:val="22"/>
          <w:szCs w:val="22"/>
          <w:lang w:eastAsia="en-AU"/>
        </w:rPr>
        <w:t>Proposed settlement (see sections 1 and 2 below)</w:t>
      </w:r>
    </w:p>
    <w:p w14:paraId="516EFAD0" w14:textId="77777777" w:rsidR="002123DF" w:rsidRPr="00F65EA3" w:rsidRDefault="002123DF" w:rsidP="002123DF">
      <w:pPr>
        <w:jc w:val="both"/>
        <w:rPr>
          <w:sz w:val="22"/>
          <w:szCs w:val="22"/>
          <w:lang w:eastAsia="en-AU"/>
        </w:rPr>
      </w:pPr>
      <w:r w:rsidRPr="00F65EA3">
        <w:rPr>
          <w:sz w:val="22"/>
          <w:szCs w:val="22"/>
          <w:lang w:eastAsia="en-AU"/>
        </w:rPr>
        <w:t xml:space="preserve">In early December </w:t>
      </w:r>
      <w:proofErr w:type="gramStart"/>
      <w:r w:rsidRPr="00F65EA3">
        <w:rPr>
          <w:sz w:val="22"/>
          <w:szCs w:val="22"/>
          <w:lang w:eastAsia="en-AU"/>
        </w:rPr>
        <w:t>2019</w:t>
      </w:r>
      <w:proofErr w:type="gramEnd"/>
      <w:r w:rsidRPr="00F65EA3">
        <w:rPr>
          <w:sz w:val="22"/>
          <w:szCs w:val="22"/>
          <w:lang w:eastAsia="en-AU"/>
        </w:rPr>
        <w:t xml:space="preserve"> the parties in the Volkswagen, Audi and Skoda class actions agreed on terms for the proposed settlement of the class actions.  If the settlement </w:t>
      </w:r>
      <w:proofErr w:type="gramStart"/>
      <w:r w:rsidRPr="00F65EA3">
        <w:rPr>
          <w:sz w:val="22"/>
          <w:szCs w:val="22"/>
          <w:lang w:eastAsia="en-AU"/>
        </w:rPr>
        <w:t>is approved</w:t>
      </w:r>
      <w:proofErr w:type="gramEnd"/>
      <w:r w:rsidRPr="00F65EA3">
        <w:rPr>
          <w:sz w:val="22"/>
          <w:szCs w:val="22"/>
          <w:lang w:eastAsia="en-AU"/>
        </w:rPr>
        <w:t xml:space="preserve"> by the Federal Court, between $87 million and $127.1 million</w:t>
      </w:r>
      <w:r w:rsidRPr="00F65EA3">
        <w:rPr>
          <w:rStyle w:val="FootnoteReference"/>
          <w:szCs w:val="22"/>
          <w:lang w:eastAsia="en-AU"/>
        </w:rPr>
        <w:footnoteReference w:id="1"/>
      </w:r>
      <w:r w:rsidRPr="00F65EA3">
        <w:rPr>
          <w:sz w:val="20"/>
          <w:szCs w:val="22"/>
          <w:lang w:eastAsia="en-AU"/>
        </w:rPr>
        <w:t xml:space="preserve"> </w:t>
      </w:r>
      <w:r w:rsidRPr="00F65EA3">
        <w:rPr>
          <w:sz w:val="22"/>
          <w:szCs w:val="22"/>
          <w:lang w:eastAsia="en-AU"/>
        </w:rPr>
        <w:t xml:space="preserve">will be available for eligible Group Members, plus legal costs and other payments. The method by which this amount is to </w:t>
      </w:r>
      <w:proofErr w:type="gramStart"/>
      <w:r w:rsidRPr="00F65EA3">
        <w:rPr>
          <w:sz w:val="22"/>
          <w:szCs w:val="22"/>
          <w:lang w:eastAsia="en-AU"/>
        </w:rPr>
        <w:t>be divided</w:t>
      </w:r>
      <w:proofErr w:type="gramEnd"/>
      <w:r w:rsidRPr="00F65EA3">
        <w:rPr>
          <w:sz w:val="22"/>
          <w:szCs w:val="22"/>
          <w:lang w:eastAsia="en-AU"/>
        </w:rPr>
        <w:t xml:space="preserve"> amongst group members will be determined by the lawyers acting for the applicants subject to the approval of the Court.</w:t>
      </w:r>
    </w:p>
    <w:p w14:paraId="2998CF16" w14:textId="77777777" w:rsidR="002123DF" w:rsidRPr="00F65EA3" w:rsidRDefault="002123DF" w:rsidP="002123DF">
      <w:pPr>
        <w:jc w:val="both"/>
        <w:rPr>
          <w:sz w:val="22"/>
          <w:szCs w:val="22"/>
          <w:lang w:eastAsia="en-AU"/>
        </w:rPr>
      </w:pPr>
    </w:p>
    <w:p w14:paraId="664D4A71" w14:textId="77777777" w:rsidR="002123DF" w:rsidRPr="00F65EA3" w:rsidRDefault="002123DF" w:rsidP="002123DF">
      <w:pPr>
        <w:jc w:val="both"/>
        <w:rPr>
          <w:sz w:val="22"/>
          <w:szCs w:val="22"/>
          <w:lang w:eastAsia="en-AU"/>
        </w:rPr>
      </w:pPr>
      <w:r w:rsidRPr="00F65EA3">
        <w:rPr>
          <w:sz w:val="22"/>
          <w:szCs w:val="22"/>
          <w:lang w:eastAsia="en-AU"/>
        </w:rPr>
        <w:t xml:space="preserve">You may be eligible to receive a settlement payment if you owned an affected diesel vehicle or had certain types of vehicle leases as at </w:t>
      </w:r>
      <w:r w:rsidRPr="00F65EA3">
        <w:rPr>
          <w:b/>
          <w:sz w:val="22"/>
          <w:szCs w:val="22"/>
          <w:lang w:eastAsia="en-AU"/>
        </w:rPr>
        <w:t>18 September 2015</w:t>
      </w:r>
      <w:r w:rsidRPr="00F65EA3">
        <w:rPr>
          <w:sz w:val="22"/>
          <w:szCs w:val="22"/>
          <w:lang w:eastAsia="en-AU"/>
        </w:rPr>
        <w:t xml:space="preserve"> or </w:t>
      </w:r>
      <w:r w:rsidRPr="00F65EA3">
        <w:rPr>
          <w:b/>
          <w:sz w:val="22"/>
          <w:szCs w:val="22"/>
          <w:lang w:eastAsia="en-AU"/>
        </w:rPr>
        <w:t>3 October 2015</w:t>
      </w:r>
      <w:r w:rsidRPr="00F65EA3">
        <w:rPr>
          <w:sz w:val="22"/>
          <w:szCs w:val="22"/>
          <w:lang w:eastAsia="en-AU"/>
        </w:rPr>
        <w:t>.  Details of the affected vehicles are set out below, as is more information about the eligibility criteria</w:t>
      </w:r>
      <w:r w:rsidRPr="00F65EA3">
        <w:rPr>
          <w:rFonts w:cs="Arial"/>
          <w:sz w:val="22"/>
          <w:szCs w:val="22"/>
          <w:lang w:eastAsia="en-AU"/>
        </w:rPr>
        <w:t>.</w:t>
      </w:r>
    </w:p>
    <w:p w14:paraId="3E2DCDE2" w14:textId="77777777" w:rsidR="002123DF" w:rsidRPr="00F65EA3" w:rsidRDefault="002123DF" w:rsidP="002123DF">
      <w:pPr>
        <w:jc w:val="both"/>
        <w:rPr>
          <w:b/>
          <w:sz w:val="22"/>
          <w:szCs w:val="22"/>
          <w:lang w:eastAsia="en-AU"/>
        </w:rPr>
      </w:pPr>
    </w:p>
    <w:p w14:paraId="7E40221A" w14:textId="77777777" w:rsidR="002123DF" w:rsidRPr="00F65EA3" w:rsidRDefault="002123DF" w:rsidP="002123DF">
      <w:pPr>
        <w:keepNext/>
        <w:spacing w:after="180"/>
        <w:jc w:val="both"/>
        <w:rPr>
          <w:b/>
          <w:caps/>
          <w:sz w:val="22"/>
          <w:szCs w:val="22"/>
          <w:lang w:eastAsia="en-AU"/>
        </w:rPr>
      </w:pPr>
      <w:r w:rsidRPr="00F65EA3">
        <w:rPr>
          <w:b/>
          <w:caps/>
          <w:sz w:val="22"/>
          <w:szCs w:val="22"/>
          <w:lang w:eastAsia="en-AU"/>
        </w:rPr>
        <w:t xml:space="preserve">WHAT GROUP MEMBERS NEED TO DO (see Section 4 </w:t>
      </w:r>
      <w:proofErr w:type="gramStart"/>
      <w:r w:rsidRPr="00F65EA3">
        <w:rPr>
          <w:b/>
          <w:caps/>
          <w:sz w:val="22"/>
          <w:szCs w:val="22"/>
          <w:lang w:eastAsia="en-AU"/>
        </w:rPr>
        <w:t>below</w:t>
      </w:r>
      <w:proofErr w:type="gramEnd"/>
      <w:r w:rsidRPr="00F65EA3">
        <w:rPr>
          <w:b/>
          <w:caps/>
          <w:sz w:val="22"/>
          <w:szCs w:val="22"/>
          <w:lang w:eastAsia="en-AU"/>
        </w:rPr>
        <w:t xml:space="preserve">) </w:t>
      </w:r>
    </w:p>
    <w:p w14:paraId="7D6938D3" w14:textId="77777777" w:rsidR="002123DF" w:rsidRPr="00F65EA3" w:rsidRDefault="002123DF" w:rsidP="002123DF">
      <w:pPr>
        <w:jc w:val="both"/>
        <w:rPr>
          <w:sz w:val="22"/>
          <w:szCs w:val="22"/>
          <w:lang w:eastAsia="en-AU"/>
        </w:rPr>
      </w:pPr>
      <w:r w:rsidRPr="00F65EA3">
        <w:rPr>
          <w:sz w:val="22"/>
          <w:szCs w:val="22"/>
          <w:lang w:eastAsia="en-AU"/>
        </w:rPr>
        <w:t xml:space="preserve">If you want to claim a settlement </w:t>
      </w:r>
      <w:proofErr w:type="gramStart"/>
      <w:r w:rsidRPr="00F65EA3">
        <w:rPr>
          <w:sz w:val="22"/>
          <w:szCs w:val="22"/>
          <w:lang w:eastAsia="en-AU"/>
        </w:rPr>
        <w:t>payment</w:t>
      </w:r>
      <w:proofErr w:type="gramEnd"/>
      <w:r w:rsidRPr="00F65EA3">
        <w:rPr>
          <w:sz w:val="22"/>
          <w:szCs w:val="22"/>
          <w:lang w:eastAsia="en-AU"/>
        </w:rPr>
        <w:t xml:space="preserve"> you must </w:t>
      </w:r>
      <w:r w:rsidRPr="00F65EA3">
        <w:rPr>
          <w:b/>
          <w:sz w:val="22"/>
          <w:szCs w:val="22"/>
          <w:lang w:eastAsia="en-AU"/>
        </w:rPr>
        <w:t xml:space="preserve">register online </w:t>
      </w:r>
      <w:r w:rsidRPr="00F65EA3">
        <w:rPr>
          <w:sz w:val="22"/>
          <w:szCs w:val="22"/>
          <w:lang w:eastAsia="en-AU"/>
        </w:rPr>
        <w:t xml:space="preserve">at the following registration portal: </w:t>
      </w:r>
      <w:hyperlink r:id="rId12" w:history="1">
        <w:r w:rsidRPr="00F65EA3">
          <w:rPr>
            <w:rStyle w:val="Hyperlink"/>
            <w:sz w:val="22"/>
            <w:szCs w:val="22"/>
            <w:lang w:eastAsia="en-AU"/>
          </w:rPr>
          <w:t>www.vwsettlement.com.au</w:t>
        </w:r>
      </w:hyperlink>
      <w:r w:rsidRPr="00F65EA3">
        <w:rPr>
          <w:sz w:val="22"/>
          <w:szCs w:val="22"/>
          <w:lang w:eastAsia="en-AU"/>
        </w:rPr>
        <w:t xml:space="preserve"> </w:t>
      </w:r>
    </w:p>
    <w:p w14:paraId="48B600BF" w14:textId="77777777" w:rsidR="002123DF" w:rsidRPr="00F65EA3" w:rsidRDefault="002123DF" w:rsidP="002123DF">
      <w:pPr>
        <w:jc w:val="both"/>
        <w:rPr>
          <w:sz w:val="22"/>
          <w:szCs w:val="22"/>
          <w:lang w:eastAsia="en-AU"/>
        </w:rPr>
      </w:pPr>
    </w:p>
    <w:p w14:paraId="0947703D" w14:textId="77777777" w:rsidR="002123DF" w:rsidRPr="00F65EA3" w:rsidRDefault="002123DF" w:rsidP="002123DF">
      <w:pPr>
        <w:pBdr>
          <w:top w:val="single" w:sz="4" w:space="1" w:color="auto"/>
          <w:left w:val="single" w:sz="4" w:space="4" w:color="auto"/>
          <w:bottom w:val="single" w:sz="4" w:space="1" w:color="auto"/>
          <w:right w:val="single" w:sz="4" w:space="4" w:color="auto"/>
        </w:pBdr>
        <w:jc w:val="center"/>
        <w:rPr>
          <w:b/>
          <w:sz w:val="22"/>
          <w:szCs w:val="22"/>
          <w:lang w:eastAsia="en-AU"/>
        </w:rPr>
      </w:pPr>
      <w:r w:rsidRPr="00F65EA3">
        <w:rPr>
          <w:b/>
          <w:sz w:val="22"/>
          <w:szCs w:val="22"/>
          <w:lang w:eastAsia="en-AU"/>
        </w:rPr>
        <w:t>The deadline for registration in the proposed settlement is 10 March 2020</w:t>
      </w:r>
    </w:p>
    <w:p w14:paraId="14A98744" w14:textId="77777777" w:rsidR="002123DF" w:rsidRPr="00F65EA3" w:rsidRDefault="002123DF" w:rsidP="002123DF">
      <w:pPr>
        <w:pBdr>
          <w:top w:val="single" w:sz="4" w:space="1" w:color="auto"/>
          <w:left w:val="single" w:sz="4" w:space="4" w:color="auto"/>
          <w:bottom w:val="single" w:sz="4" w:space="1" w:color="auto"/>
          <w:right w:val="single" w:sz="4" w:space="4" w:color="auto"/>
        </w:pBdr>
        <w:spacing w:before="120"/>
        <w:jc w:val="center"/>
        <w:rPr>
          <w:b/>
          <w:sz w:val="22"/>
          <w:szCs w:val="22"/>
          <w:lang w:eastAsia="en-AU"/>
        </w:rPr>
      </w:pPr>
      <w:r w:rsidRPr="00F65EA3">
        <w:rPr>
          <w:b/>
          <w:sz w:val="22"/>
          <w:szCs w:val="22"/>
          <w:lang w:eastAsia="en-AU"/>
        </w:rPr>
        <w:t xml:space="preserve">If you fail to register before the </w:t>
      </w:r>
      <w:proofErr w:type="gramStart"/>
      <w:r w:rsidRPr="00F65EA3">
        <w:rPr>
          <w:b/>
          <w:sz w:val="22"/>
          <w:szCs w:val="22"/>
          <w:lang w:eastAsia="en-AU"/>
        </w:rPr>
        <w:t>deadline</w:t>
      </w:r>
      <w:proofErr w:type="gramEnd"/>
      <w:r w:rsidRPr="00F65EA3">
        <w:rPr>
          <w:b/>
          <w:sz w:val="22"/>
          <w:szCs w:val="22"/>
          <w:lang w:eastAsia="en-AU"/>
        </w:rPr>
        <w:t xml:space="preserve"> you will lose your right to receive a settlement payment  </w:t>
      </w:r>
    </w:p>
    <w:p w14:paraId="46B6EA89" w14:textId="77777777" w:rsidR="002123DF" w:rsidRPr="00F65EA3" w:rsidRDefault="002123DF" w:rsidP="002123DF">
      <w:pPr>
        <w:jc w:val="both"/>
        <w:rPr>
          <w:sz w:val="22"/>
          <w:szCs w:val="22"/>
          <w:lang w:eastAsia="en-AU"/>
        </w:rPr>
      </w:pPr>
    </w:p>
    <w:p w14:paraId="72505166" w14:textId="77777777" w:rsidR="002123DF" w:rsidRPr="00F65EA3" w:rsidRDefault="002123DF" w:rsidP="002123DF">
      <w:pPr>
        <w:jc w:val="both"/>
        <w:rPr>
          <w:sz w:val="22"/>
          <w:szCs w:val="22"/>
          <w:lang w:eastAsia="en-AU"/>
        </w:rPr>
      </w:pPr>
      <w:r w:rsidRPr="00F65EA3">
        <w:rPr>
          <w:sz w:val="22"/>
          <w:szCs w:val="22"/>
          <w:lang w:eastAsia="en-AU"/>
        </w:rPr>
        <w:t xml:space="preserve">At the time of registration, you </w:t>
      </w:r>
      <w:proofErr w:type="gramStart"/>
      <w:r w:rsidRPr="00F65EA3">
        <w:rPr>
          <w:sz w:val="22"/>
          <w:szCs w:val="22"/>
          <w:lang w:eastAsia="en-AU"/>
        </w:rPr>
        <w:t>may be asked</w:t>
      </w:r>
      <w:proofErr w:type="gramEnd"/>
      <w:r w:rsidRPr="00F65EA3">
        <w:rPr>
          <w:sz w:val="22"/>
          <w:szCs w:val="22"/>
          <w:lang w:eastAsia="en-AU"/>
        </w:rPr>
        <w:t xml:space="preserve"> to upload documents in support of your claim. If you </w:t>
      </w:r>
      <w:proofErr w:type="gramStart"/>
      <w:r w:rsidRPr="00F65EA3">
        <w:rPr>
          <w:sz w:val="22"/>
          <w:szCs w:val="22"/>
          <w:lang w:eastAsia="en-AU"/>
        </w:rPr>
        <w:t>are asked</w:t>
      </w:r>
      <w:proofErr w:type="gramEnd"/>
      <w:r w:rsidRPr="00F65EA3">
        <w:rPr>
          <w:sz w:val="22"/>
          <w:szCs w:val="22"/>
          <w:lang w:eastAsia="en-AU"/>
        </w:rPr>
        <w:t xml:space="preserve"> to upload documents, you must do this </w:t>
      </w:r>
      <w:r w:rsidRPr="00F65EA3">
        <w:rPr>
          <w:b/>
          <w:sz w:val="22"/>
          <w:szCs w:val="22"/>
          <w:lang w:eastAsia="en-AU"/>
        </w:rPr>
        <w:t>within 28 days</w:t>
      </w:r>
      <w:r w:rsidRPr="00F65EA3">
        <w:rPr>
          <w:sz w:val="22"/>
          <w:szCs w:val="22"/>
          <w:lang w:eastAsia="en-AU"/>
        </w:rPr>
        <w:t xml:space="preserve"> of registering your claim. If your vehicle </w:t>
      </w:r>
      <w:proofErr w:type="gramStart"/>
      <w:r w:rsidRPr="00F65EA3">
        <w:rPr>
          <w:sz w:val="22"/>
          <w:szCs w:val="22"/>
          <w:lang w:eastAsia="en-AU"/>
        </w:rPr>
        <w:t>was leased</w:t>
      </w:r>
      <w:proofErr w:type="gramEnd"/>
      <w:r w:rsidRPr="00F65EA3">
        <w:rPr>
          <w:sz w:val="22"/>
          <w:szCs w:val="22"/>
          <w:lang w:eastAsia="en-AU"/>
        </w:rPr>
        <w:t xml:space="preserve"> or subject to a hire purchase agreement, you may also need to provide paperwork in relation to the lease contract. Further details about the </w:t>
      </w:r>
      <w:proofErr w:type="gramStart"/>
      <w:r w:rsidRPr="00F65EA3">
        <w:rPr>
          <w:sz w:val="22"/>
          <w:szCs w:val="22"/>
          <w:lang w:eastAsia="en-AU"/>
        </w:rPr>
        <w:t>paperwork which may need to be provided</w:t>
      </w:r>
      <w:proofErr w:type="gramEnd"/>
      <w:r w:rsidRPr="00F65EA3">
        <w:rPr>
          <w:sz w:val="22"/>
          <w:szCs w:val="22"/>
          <w:lang w:eastAsia="en-AU"/>
        </w:rPr>
        <w:t xml:space="preserve"> is outlined in </w:t>
      </w:r>
      <w:r w:rsidRPr="00F65EA3">
        <w:rPr>
          <w:b/>
          <w:sz w:val="22"/>
          <w:szCs w:val="22"/>
          <w:lang w:eastAsia="en-AU"/>
        </w:rPr>
        <w:t>Section 4 below</w:t>
      </w:r>
      <w:r w:rsidRPr="00F65EA3">
        <w:rPr>
          <w:sz w:val="22"/>
          <w:szCs w:val="22"/>
          <w:lang w:eastAsia="en-AU"/>
        </w:rPr>
        <w:t xml:space="preserve">. </w:t>
      </w:r>
    </w:p>
    <w:p w14:paraId="0E4FA8C6" w14:textId="77777777" w:rsidR="002123DF" w:rsidRPr="00F65EA3" w:rsidRDefault="002123DF" w:rsidP="002123DF">
      <w:pPr>
        <w:jc w:val="both"/>
        <w:rPr>
          <w:sz w:val="22"/>
          <w:szCs w:val="22"/>
          <w:lang w:eastAsia="en-AU"/>
        </w:rPr>
      </w:pPr>
    </w:p>
    <w:p w14:paraId="210A6B01" w14:textId="77777777" w:rsidR="002123DF" w:rsidRPr="00F65EA3" w:rsidRDefault="002123DF" w:rsidP="002123DF">
      <w:pPr>
        <w:keepNext/>
        <w:spacing w:after="180"/>
        <w:jc w:val="both"/>
        <w:rPr>
          <w:b/>
          <w:caps/>
          <w:sz w:val="22"/>
          <w:szCs w:val="22"/>
          <w:lang w:eastAsia="en-AU"/>
        </w:rPr>
      </w:pPr>
      <w:r w:rsidRPr="00F65EA3">
        <w:rPr>
          <w:b/>
          <w:caps/>
          <w:sz w:val="22"/>
          <w:szCs w:val="22"/>
          <w:lang w:eastAsia="en-AU"/>
        </w:rPr>
        <w:t>COURT APPROVAL OF THE PROPOSED SETTLEMENT</w:t>
      </w:r>
    </w:p>
    <w:p w14:paraId="27B7CC3F" w14:textId="77777777" w:rsidR="002123DF" w:rsidRPr="00F65EA3" w:rsidRDefault="002123DF" w:rsidP="002123DF">
      <w:pPr>
        <w:jc w:val="both"/>
        <w:rPr>
          <w:sz w:val="22"/>
          <w:szCs w:val="22"/>
          <w:lang w:eastAsia="en-AU"/>
        </w:rPr>
      </w:pPr>
      <w:r w:rsidRPr="00F65EA3">
        <w:rPr>
          <w:sz w:val="22"/>
          <w:szCs w:val="22"/>
          <w:lang w:eastAsia="en-AU"/>
        </w:rPr>
        <w:t xml:space="preserve">On 26 March 2020, the Federal Court </w:t>
      </w:r>
      <w:proofErr w:type="gramStart"/>
      <w:r w:rsidRPr="00F65EA3">
        <w:rPr>
          <w:sz w:val="22"/>
          <w:szCs w:val="22"/>
          <w:lang w:eastAsia="en-AU"/>
        </w:rPr>
        <w:t>will be asked</w:t>
      </w:r>
      <w:proofErr w:type="gramEnd"/>
      <w:r w:rsidRPr="00F65EA3">
        <w:rPr>
          <w:sz w:val="22"/>
          <w:szCs w:val="22"/>
          <w:lang w:eastAsia="en-AU"/>
        </w:rPr>
        <w:t xml:space="preserve"> to approve the proposed settlement. You may attend this hearing if you wish, although you are not required to do so. The application </w:t>
      </w:r>
      <w:proofErr w:type="gramStart"/>
      <w:r w:rsidRPr="00F65EA3">
        <w:rPr>
          <w:sz w:val="22"/>
          <w:szCs w:val="22"/>
          <w:lang w:eastAsia="en-AU"/>
        </w:rPr>
        <w:t>will be heard</w:t>
      </w:r>
      <w:proofErr w:type="gramEnd"/>
      <w:r w:rsidRPr="00F65EA3">
        <w:rPr>
          <w:sz w:val="22"/>
          <w:szCs w:val="22"/>
          <w:lang w:eastAsia="en-AU"/>
        </w:rPr>
        <w:t xml:space="preserve"> at the Federal Court of Australia in Sydney, in the Law Courts Building at Queens Square. </w:t>
      </w:r>
    </w:p>
    <w:p w14:paraId="51236048" w14:textId="77777777" w:rsidR="002123DF" w:rsidRPr="00F65EA3" w:rsidRDefault="002123DF" w:rsidP="002123DF">
      <w:pPr>
        <w:jc w:val="both"/>
        <w:rPr>
          <w:sz w:val="22"/>
          <w:szCs w:val="22"/>
          <w:lang w:eastAsia="en-AU"/>
        </w:rPr>
      </w:pPr>
    </w:p>
    <w:p w14:paraId="55318A5D" w14:textId="77777777" w:rsidR="002123DF" w:rsidRPr="00F65EA3" w:rsidRDefault="002123DF" w:rsidP="002123DF">
      <w:pPr>
        <w:jc w:val="both"/>
        <w:rPr>
          <w:sz w:val="22"/>
          <w:szCs w:val="22"/>
          <w:lang w:eastAsia="en-AU"/>
        </w:rPr>
      </w:pPr>
      <w:r w:rsidRPr="00F65EA3">
        <w:rPr>
          <w:sz w:val="22"/>
          <w:szCs w:val="22"/>
          <w:lang w:eastAsia="en-AU"/>
        </w:rPr>
        <w:t xml:space="preserve">If you wish to oppose or object to the proposed settlement, you must lodge a written statement of your concerns by 10 March 2020 at the following website: </w:t>
      </w:r>
      <w:hyperlink r:id="rId13" w:history="1">
        <w:r w:rsidRPr="00F65EA3">
          <w:rPr>
            <w:rStyle w:val="Hyperlink"/>
            <w:sz w:val="22"/>
            <w:szCs w:val="22"/>
            <w:lang w:eastAsia="en-AU"/>
          </w:rPr>
          <w:t>www.vwsettlement.com.au/objections</w:t>
        </w:r>
      </w:hyperlink>
      <w:r w:rsidRPr="00F65EA3">
        <w:rPr>
          <w:sz w:val="22"/>
          <w:szCs w:val="22"/>
          <w:lang w:eastAsia="en-AU"/>
        </w:rPr>
        <w:t xml:space="preserve">.  You may also (but do not need to) attend the hearing in the Federal Court on 26 March 2020. </w:t>
      </w:r>
    </w:p>
    <w:p w14:paraId="6895F450" w14:textId="77777777" w:rsidR="002123DF" w:rsidRPr="00F65EA3" w:rsidRDefault="002123DF" w:rsidP="002123DF">
      <w:pPr>
        <w:rPr>
          <w:b/>
          <w:sz w:val="22"/>
          <w:szCs w:val="22"/>
          <w:lang w:eastAsia="en-AU"/>
        </w:rPr>
      </w:pPr>
    </w:p>
    <w:p w14:paraId="5BCA9BCB" w14:textId="77777777" w:rsidR="002123DF" w:rsidRPr="00F65EA3" w:rsidRDefault="002123DF" w:rsidP="002123DF">
      <w:pPr>
        <w:keepNext/>
        <w:spacing w:after="180"/>
        <w:jc w:val="both"/>
        <w:rPr>
          <w:b/>
          <w:caps/>
          <w:sz w:val="22"/>
          <w:szCs w:val="22"/>
          <w:lang w:eastAsia="en-AU"/>
        </w:rPr>
      </w:pPr>
      <w:r w:rsidRPr="00F65EA3">
        <w:rPr>
          <w:b/>
          <w:caps/>
          <w:sz w:val="22"/>
          <w:szCs w:val="22"/>
          <w:lang w:eastAsia="en-AU"/>
        </w:rPr>
        <w:lastRenderedPageBreak/>
        <w:t>Contact details</w:t>
      </w:r>
    </w:p>
    <w:p w14:paraId="06C7A8D2" w14:textId="77777777" w:rsidR="002123DF" w:rsidRPr="00F65EA3" w:rsidRDefault="002123DF" w:rsidP="002123DF">
      <w:pPr>
        <w:jc w:val="both"/>
        <w:rPr>
          <w:sz w:val="22"/>
          <w:szCs w:val="22"/>
          <w:lang w:eastAsia="en-AU"/>
        </w:rPr>
      </w:pPr>
      <w:r w:rsidRPr="00F65EA3">
        <w:rPr>
          <w:sz w:val="22"/>
          <w:szCs w:val="22"/>
          <w:lang w:eastAsia="en-AU"/>
        </w:rPr>
        <w:t xml:space="preserve">You can contact Maurice Blackburn or Bannister Law for further information including a copy of the Settlement Scheme or if you have any questions: </w:t>
      </w:r>
    </w:p>
    <w:p w14:paraId="34A42D3F" w14:textId="77777777" w:rsidR="002123DF" w:rsidRPr="00F65EA3" w:rsidRDefault="002123DF" w:rsidP="002123DF">
      <w:pPr>
        <w:jc w:val="both"/>
        <w:rPr>
          <w:sz w:val="22"/>
          <w:szCs w:val="22"/>
          <w:lang w:eastAsia="en-AU"/>
        </w:rPr>
      </w:pPr>
    </w:p>
    <w:tbl>
      <w:tblPr>
        <w:tblW w:w="0" w:type="auto"/>
        <w:tblLook w:val="04A0" w:firstRow="1" w:lastRow="0" w:firstColumn="1" w:lastColumn="0" w:noHBand="0" w:noVBand="1"/>
      </w:tblPr>
      <w:tblGrid>
        <w:gridCol w:w="4513"/>
        <w:gridCol w:w="4513"/>
      </w:tblGrid>
      <w:tr w:rsidR="002123DF" w:rsidRPr="00F65EA3" w14:paraId="61701CC9" w14:textId="77777777" w:rsidTr="00A13186">
        <w:tc>
          <w:tcPr>
            <w:tcW w:w="4530" w:type="dxa"/>
            <w:hideMark/>
          </w:tcPr>
          <w:p w14:paraId="1968A321" w14:textId="77777777" w:rsidR="002123DF" w:rsidRPr="00F65EA3" w:rsidRDefault="002123DF" w:rsidP="00A13186">
            <w:pPr>
              <w:jc w:val="both"/>
              <w:rPr>
                <w:b/>
                <w:sz w:val="22"/>
                <w:szCs w:val="21"/>
                <w:lang w:eastAsia="en-AU"/>
              </w:rPr>
            </w:pPr>
            <w:r w:rsidRPr="00F65EA3">
              <w:rPr>
                <w:b/>
                <w:sz w:val="22"/>
                <w:szCs w:val="21"/>
                <w:lang w:eastAsia="en-AU"/>
              </w:rPr>
              <w:t>Maurice Blackburn</w:t>
            </w:r>
          </w:p>
        </w:tc>
        <w:tc>
          <w:tcPr>
            <w:tcW w:w="4530" w:type="dxa"/>
            <w:hideMark/>
          </w:tcPr>
          <w:p w14:paraId="5E46E946" w14:textId="77777777" w:rsidR="002123DF" w:rsidRPr="00F65EA3" w:rsidRDefault="002123DF" w:rsidP="00A13186">
            <w:pPr>
              <w:jc w:val="both"/>
              <w:rPr>
                <w:b/>
                <w:sz w:val="22"/>
                <w:szCs w:val="21"/>
                <w:lang w:eastAsia="en-AU"/>
              </w:rPr>
            </w:pPr>
            <w:r w:rsidRPr="00F65EA3">
              <w:rPr>
                <w:b/>
                <w:sz w:val="22"/>
                <w:szCs w:val="21"/>
                <w:lang w:eastAsia="en-AU"/>
              </w:rPr>
              <w:t xml:space="preserve">Bannister Law </w:t>
            </w:r>
          </w:p>
        </w:tc>
      </w:tr>
      <w:tr w:rsidR="002123DF" w:rsidRPr="00F65EA3" w14:paraId="7AB208F2" w14:textId="77777777" w:rsidTr="00A13186">
        <w:tc>
          <w:tcPr>
            <w:tcW w:w="4530" w:type="dxa"/>
            <w:hideMark/>
          </w:tcPr>
          <w:p w14:paraId="250D3C9D" w14:textId="77777777" w:rsidR="002123DF" w:rsidRPr="00F65EA3" w:rsidRDefault="002123DF" w:rsidP="00A13186">
            <w:pPr>
              <w:jc w:val="both"/>
              <w:rPr>
                <w:sz w:val="22"/>
                <w:szCs w:val="21"/>
                <w:lang w:eastAsia="en-AU"/>
              </w:rPr>
            </w:pPr>
            <w:r w:rsidRPr="00F65EA3">
              <w:rPr>
                <w:rFonts w:cs="Arial"/>
                <w:sz w:val="22"/>
                <w:szCs w:val="21"/>
                <w:u w:val="single"/>
                <w:lang w:eastAsia="en-AU"/>
              </w:rPr>
              <w:t>www.mauriceblackburn.com.au</w:t>
            </w:r>
            <w:r w:rsidRPr="00F65EA3">
              <w:rPr>
                <w:sz w:val="22"/>
                <w:szCs w:val="21"/>
                <w:lang w:eastAsia="en-AU"/>
              </w:rPr>
              <w:t xml:space="preserve"> </w:t>
            </w:r>
          </w:p>
        </w:tc>
        <w:tc>
          <w:tcPr>
            <w:tcW w:w="4530" w:type="dxa"/>
            <w:hideMark/>
          </w:tcPr>
          <w:p w14:paraId="07DB149A" w14:textId="77777777" w:rsidR="002123DF" w:rsidRPr="00F65EA3" w:rsidRDefault="002123DF" w:rsidP="00A13186">
            <w:pPr>
              <w:jc w:val="both"/>
              <w:rPr>
                <w:sz w:val="22"/>
                <w:szCs w:val="21"/>
                <w:lang w:eastAsia="en-AU"/>
              </w:rPr>
            </w:pPr>
            <w:r w:rsidRPr="00F65EA3">
              <w:rPr>
                <w:sz w:val="22"/>
                <w:szCs w:val="21"/>
                <w:u w:val="single"/>
                <w:lang w:eastAsia="en-AU"/>
              </w:rPr>
              <w:t>www.bannisterlaw.com.au</w:t>
            </w:r>
            <w:r w:rsidRPr="00F65EA3">
              <w:rPr>
                <w:sz w:val="22"/>
                <w:szCs w:val="21"/>
                <w:lang w:eastAsia="en-AU"/>
              </w:rPr>
              <w:t xml:space="preserve">  </w:t>
            </w:r>
          </w:p>
        </w:tc>
      </w:tr>
      <w:tr w:rsidR="002123DF" w:rsidRPr="00F65EA3" w14:paraId="61C45DE3" w14:textId="77777777" w:rsidTr="00A13186">
        <w:tc>
          <w:tcPr>
            <w:tcW w:w="4530" w:type="dxa"/>
            <w:hideMark/>
          </w:tcPr>
          <w:p w14:paraId="1B0E242D" w14:textId="77777777" w:rsidR="002123DF" w:rsidRPr="00F65EA3" w:rsidRDefault="002123DF" w:rsidP="00A13186">
            <w:pPr>
              <w:jc w:val="both"/>
              <w:rPr>
                <w:b/>
                <w:sz w:val="22"/>
                <w:szCs w:val="21"/>
                <w:lang w:eastAsia="en-AU"/>
              </w:rPr>
            </w:pPr>
            <w:r w:rsidRPr="00F65EA3">
              <w:rPr>
                <w:rFonts w:cs="Arial"/>
                <w:b/>
                <w:sz w:val="22"/>
                <w:szCs w:val="21"/>
                <w:lang w:eastAsia="en-AU"/>
              </w:rPr>
              <w:t>Phone: 1800 810 812</w:t>
            </w:r>
          </w:p>
        </w:tc>
        <w:tc>
          <w:tcPr>
            <w:tcW w:w="4530" w:type="dxa"/>
            <w:hideMark/>
          </w:tcPr>
          <w:p w14:paraId="088E9A5C" w14:textId="77777777" w:rsidR="002123DF" w:rsidRPr="00F65EA3" w:rsidRDefault="002123DF" w:rsidP="00A13186">
            <w:pPr>
              <w:rPr>
                <w:rFonts w:ascii="Calibri" w:hAnsi="Calibri"/>
                <w:b/>
                <w:bCs/>
                <w:sz w:val="28"/>
                <w:szCs w:val="22"/>
                <w:lang w:eastAsia="en-AU"/>
              </w:rPr>
            </w:pPr>
            <w:r w:rsidRPr="00F65EA3">
              <w:rPr>
                <w:b/>
                <w:sz w:val="22"/>
                <w:szCs w:val="21"/>
                <w:lang w:eastAsia="en-AU"/>
              </w:rPr>
              <w:t xml:space="preserve">Phone: </w:t>
            </w:r>
            <w:r w:rsidRPr="00F65EA3">
              <w:rPr>
                <w:b/>
                <w:bCs/>
                <w:sz w:val="28"/>
                <w:szCs w:val="22"/>
                <w:lang w:eastAsia="en-AU"/>
              </w:rPr>
              <w:t>1300 728 760</w:t>
            </w:r>
          </w:p>
        </w:tc>
      </w:tr>
      <w:tr w:rsidR="002123DF" w:rsidRPr="00F65EA3" w14:paraId="788DF810" w14:textId="77777777" w:rsidTr="00A13186">
        <w:tc>
          <w:tcPr>
            <w:tcW w:w="4530" w:type="dxa"/>
            <w:hideMark/>
          </w:tcPr>
          <w:p w14:paraId="4552BC95" w14:textId="77777777" w:rsidR="002123DF" w:rsidRPr="00F65EA3" w:rsidRDefault="002123DF" w:rsidP="00A13186">
            <w:pPr>
              <w:jc w:val="both"/>
              <w:rPr>
                <w:rFonts w:cs="Arial"/>
                <w:b/>
                <w:sz w:val="22"/>
                <w:szCs w:val="21"/>
                <w:lang w:eastAsia="en-AU"/>
              </w:rPr>
            </w:pPr>
            <w:r w:rsidRPr="00F65EA3">
              <w:rPr>
                <w:rFonts w:cs="Arial"/>
                <w:b/>
                <w:sz w:val="22"/>
                <w:szCs w:val="21"/>
                <w:lang w:eastAsia="en-AU"/>
              </w:rPr>
              <w:t xml:space="preserve">Email: </w:t>
            </w:r>
            <w:hyperlink r:id="rId14" w:history="1">
              <w:r w:rsidRPr="00F65EA3">
                <w:rPr>
                  <w:rStyle w:val="Hyperlink"/>
                  <w:rFonts w:cs="Arial"/>
                  <w:sz w:val="22"/>
                  <w:szCs w:val="21"/>
                  <w:lang w:eastAsia="en-AU"/>
                </w:rPr>
                <w:t>vw@mauriceblackburn.com.au</w:t>
              </w:r>
            </w:hyperlink>
            <w:r w:rsidRPr="00F65EA3">
              <w:rPr>
                <w:rFonts w:cs="Arial"/>
                <w:b/>
                <w:sz w:val="22"/>
                <w:szCs w:val="21"/>
                <w:lang w:eastAsia="en-AU"/>
              </w:rPr>
              <w:t xml:space="preserve"> </w:t>
            </w:r>
          </w:p>
        </w:tc>
        <w:tc>
          <w:tcPr>
            <w:tcW w:w="4530" w:type="dxa"/>
            <w:hideMark/>
          </w:tcPr>
          <w:p w14:paraId="12198848" w14:textId="77777777" w:rsidR="002123DF" w:rsidRPr="00F65EA3" w:rsidRDefault="002123DF" w:rsidP="00A13186">
            <w:pPr>
              <w:jc w:val="both"/>
              <w:rPr>
                <w:sz w:val="22"/>
                <w:szCs w:val="21"/>
                <w:lang w:eastAsia="en-AU"/>
              </w:rPr>
            </w:pPr>
            <w:r w:rsidRPr="00F65EA3">
              <w:rPr>
                <w:b/>
                <w:sz w:val="22"/>
                <w:szCs w:val="21"/>
                <w:lang w:eastAsia="en-AU"/>
              </w:rPr>
              <w:t>Email:</w:t>
            </w:r>
            <w:r w:rsidRPr="00F65EA3">
              <w:rPr>
                <w:sz w:val="22"/>
                <w:szCs w:val="21"/>
                <w:lang w:eastAsia="en-AU"/>
              </w:rPr>
              <w:t xml:space="preserve"> </w:t>
            </w:r>
            <w:hyperlink r:id="rId15" w:history="1">
              <w:r w:rsidRPr="00F65EA3">
                <w:rPr>
                  <w:rStyle w:val="Hyperlink"/>
                  <w:sz w:val="22"/>
                  <w:szCs w:val="21"/>
                  <w:lang w:eastAsia="en-AU"/>
                </w:rPr>
                <w:t>vwclients@bannisterlaw.com.au</w:t>
              </w:r>
            </w:hyperlink>
          </w:p>
        </w:tc>
      </w:tr>
    </w:tbl>
    <w:p w14:paraId="797269B5" w14:textId="77777777" w:rsidR="002123DF" w:rsidRPr="00F65EA3" w:rsidRDefault="002123DF" w:rsidP="002123DF">
      <w:pPr>
        <w:pBdr>
          <w:bottom w:val="single" w:sz="4" w:space="1" w:color="auto"/>
        </w:pBdr>
        <w:rPr>
          <w:b/>
          <w:sz w:val="22"/>
          <w:szCs w:val="21"/>
          <w:lang w:eastAsia="en-AU"/>
        </w:rPr>
      </w:pPr>
    </w:p>
    <w:p w14:paraId="354E342C" w14:textId="77777777" w:rsidR="002123DF" w:rsidRPr="00F65EA3" w:rsidRDefault="002123DF" w:rsidP="002123DF">
      <w:pPr>
        <w:pBdr>
          <w:bottom w:val="single" w:sz="4" w:space="1" w:color="auto"/>
        </w:pBdr>
        <w:rPr>
          <w:b/>
          <w:sz w:val="22"/>
          <w:szCs w:val="22"/>
          <w:lang w:eastAsia="en-AU"/>
        </w:rPr>
      </w:pPr>
    </w:p>
    <w:p w14:paraId="143459B9" w14:textId="77777777" w:rsidR="002123DF" w:rsidRPr="00F65EA3" w:rsidRDefault="002123DF" w:rsidP="002123DF">
      <w:pPr>
        <w:keepNext/>
        <w:pBdr>
          <w:bottom w:val="single" w:sz="4" w:space="1" w:color="auto"/>
        </w:pBdr>
        <w:spacing w:after="180"/>
        <w:jc w:val="both"/>
        <w:rPr>
          <w:b/>
          <w:caps/>
          <w:sz w:val="22"/>
          <w:szCs w:val="22"/>
          <w:lang w:eastAsia="en-AU"/>
        </w:rPr>
      </w:pPr>
      <w:r w:rsidRPr="00F65EA3">
        <w:rPr>
          <w:b/>
          <w:caps/>
          <w:sz w:val="22"/>
          <w:szCs w:val="22"/>
          <w:lang w:eastAsia="en-AU"/>
        </w:rPr>
        <w:t xml:space="preserve">SECTION 1: </w:t>
      </w:r>
      <w:r w:rsidRPr="00F65EA3">
        <w:rPr>
          <w:b/>
          <w:caps/>
          <w:sz w:val="22"/>
          <w:szCs w:val="22"/>
          <w:lang w:eastAsia="en-AU"/>
        </w:rPr>
        <w:tab/>
        <w:t>OVERVIEW OF THE CLASS ACTIONS</w:t>
      </w:r>
    </w:p>
    <w:p w14:paraId="3762CA9A"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In </w:t>
      </w:r>
      <w:proofErr w:type="gramStart"/>
      <w:r w:rsidRPr="00F65EA3">
        <w:rPr>
          <w:rFonts w:cs="Arial"/>
          <w:sz w:val="22"/>
          <w:szCs w:val="22"/>
          <w:lang w:eastAsia="en-AU"/>
        </w:rPr>
        <w:t>2015</w:t>
      </w:r>
      <w:proofErr w:type="gramEnd"/>
      <w:r w:rsidRPr="00F65EA3">
        <w:rPr>
          <w:rFonts w:cs="Arial"/>
          <w:sz w:val="22"/>
          <w:szCs w:val="22"/>
          <w:lang w:eastAsia="en-AU"/>
        </w:rPr>
        <w:t xml:space="preserve"> five class actions were commenced in relation to the diesel emissions issue concerning approximately 100,000 Volkswagen, Audi and Skoda diesel vehicles in Australia. </w:t>
      </w:r>
      <w:proofErr w:type="gramStart"/>
      <w:r w:rsidRPr="00F65EA3">
        <w:rPr>
          <w:rFonts w:cs="Arial"/>
          <w:sz w:val="22"/>
          <w:szCs w:val="22"/>
          <w:lang w:eastAsia="en-AU"/>
        </w:rPr>
        <w:t xml:space="preserve">Two class actions were commenced by Bannister Law (the </w:t>
      </w:r>
      <w:r w:rsidRPr="00F65EA3">
        <w:rPr>
          <w:rFonts w:cs="Arial"/>
          <w:b/>
          <w:sz w:val="22"/>
          <w:szCs w:val="22"/>
          <w:lang w:eastAsia="en-AU"/>
        </w:rPr>
        <w:t>Bannister class actions</w:t>
      </w:r>
      <w:r w:rsidRPr="00F65EA3">
        <w:rPr>
          <w:rFonts w:cs="Arial"/>
          <w:sz w:val="22"/>
          <w:szCs w:val="22"/>
          <w:lang w:eastAsia="en-AU"/>
        </w:rPr>
        <w:t>)</w:t>
      </w:r>
      <w:proofErr w:type="gramEnd"/>
      <w:r w:rsidRPr="00F65EA3">
        <w:rPr>
          <w:rFonts w:cs="Arial"/>
          <w:sz w:val="22"/>
          <w:szCs w:val="22"/>
          <w:lang w:eastAsia="en-AU"/>
        </w:rPr>
        <w:t xml:space="preserve"> and three class actions were commenced by Maurice Blackburn (the </w:t>
      </w:r>
      <w:r w:rsidRPr="00F65EA3">
        <w:rPr>
          <w:rFonts w:cs="Arial"/>
          <w:b/>
          <w:sz w:val="22"/>
          <w:szCs w:val="22"/>
          <w:lang w:eastAsia="en-AU"/>
        </w:rPr>
        <w:t>MB class actions</w:t>
      </w:r>
      <w:r w:rsidRPr="00F65EA3">
        <w:rPr>
          <w:rFonts w:cs="Arial"/>
          <w:sz w:val="22"/>
          <w:szCs w:val="22"/>
          <w:lang w:eastAsia="en-AU"/>
        </w:rPr>
        <w:t>).</w:t>
      </w:r>
    </w:p>
    <w:p w14:paraId="640338DB" w14:textId="77777777" w:rsidR="002123DF" w:rsidRPr="00F65EA3" w:rsidRDefault="002123DF" w:rsidP="002123DF">
      <w:pPr>
        <w:jc w:val="both"/>
        <w:rPr>
          <w:rFonts w:cs="Arial"/>
          <w:sz w:val="22"/>
          <w:szCs w:val="22"/>
          <w:lang w:eastAsia="en-AU"/>
        </w:rPr>
      </w:pPr>
    </w:p>
    <w:p w14:paraId="6AA90B43"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What are the class actions about?</w:t>
      </w:r>
    </w:p>
    <w:p w14:paraId="72220425"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In October 2015, Volkswagen, Audi and Skoda announced a voluntary recall of certain vehicles sold in Australia between 2008 and 2015 that have the “EA189” diesel engine. The announcement disclosed that the affected vehicles contained software that caused the vehicles to operate in two different modes: one mode during the NEDC laboratory test cycle for testing emissions, and a second mode outside of NEDC testing conditions, for example when on the road. </w:t>
      </w:r>
    </w:p>
    <w:p w14:paraId="1E05F47B" w14:textId="77777777" w:rsidR="002123DF" w:rsidRPr="00F65EA3" w:rsidRDefault="002123DF" w:rsidP="002123DF">
      <w:pPr>
        <w:jc w:val="both"/>
        <w:rPr>
          <w:rFonts w:cs="Arial"/>
          <w:b/>
          <w:sz w:val="22"/>
          <w:szCs w:val="22"/>
          <w:lang w:eastAsia="en-AU"/>
        </w:rPr>
      </w:pPr>
    </w:p>
    <w:p w14:paraId="6580E208" w14:textId="77777777" w:rsidR="002123DF" w:rsidRPr="00F65EA3" w:rsidRDefault="002123DF" w:rsidP="002123DF">
      <w:pPr>
        <w:autoSpaceDE w:val="0"/>
        <w:autoSpaceDN w:val="0"/>
        <w:adjustRightInd w:val="0"/>
        <w:jc w:val="both"/>
        <w:rPr>
          <w:rFonts w:cs="Arial"/>
          <w:sz w:val="22"/>
          <w:szCs w:val="22"/>
          <w:lang w:eastAsia="en-AU"/>
        </w:rPr>
      </w:pPr>
      <w:r w:rsidRPr="00F65EA3">
        <w:rPr>
          <w:rFonts w:cs="Arial"/>
          <w:sz w:val="22"/>
          <w:szCs w:val="22"/>
          <w:lang w:eastAsia="en-AU"/>
        </w:rPr>
        <w:t xml:space="preserve">The applicants alleged that the dual mode software was a “defeat device”. They claim the respondents acted in breach of Australian consumer protection law and did not comply with applicable safety standards.  Other legal claims </w:t>
      </w:r>
      <w:proofErr w:type="gramStart"/>
      <w:r w:rsidRPr="00F65EA3">
        <w:rPr>
          <w:rFonts w:cs="Arial"/>
          <w:sz w:val="22"/>
          <w:szCs w:val="22"/>
          <w:lang w:eastAsia="en-AU"/>
        </w:rPr>
        <w:t>were also made</w:t>
      </w:r>
      <w:proofErr w:type="gramEnd"/>
      <w:r w:rsidRPr="00F65EA3">
        <w:rPr>
          <w:rFonts w:cs="Arial"/>
          <w:sz w:val="22"/>
          <w:szCs w:val="22"/>
          <w:lang w:eastAsia="en-AU"/>
        </w:rPr>
        <w:t xml:space="preserve">. Both the Bannister class actions and the MB class actions sued Volkswagen Group Australia and Audi Australia, and in the MB class </w:t>
      </w:r>
      <w:proofErr w:type="gramStart"/>
      <w:r w:rsidRPr="00F65EA3">
        <w:rPr>
          <w:rFonts w:cs="Arial"/>
          <w:sz w:val="22"/>
          <w:szCs w:val="22"/>
          <w:lang w:eastAsia="en-AU"/>
        </w:rPr>
        <w:t>actions</w:t>
      </w:r>
      <w:proofErr w:type="gramEnd"/>
      <w:r w:rsidRPr="00F65EA3">
        <w:rPr>
          <w:rFonts w:cs="Arial"/>
          <w:sz w:val="22"/>
          <w:szCs w:val="22"/>
          <w:lang w:eastAsia="en-AU"/>
        </w:rPr>
        <w:t xml:space="preserve"> the European parent companies were also sued.</w:t>
      </w:r>
    </w:p>
    <w:p w14:paraId="1C6C3476" w14:textId="77777777" w:rsidR="002123DF" w:rsidRPr="00F65EA3" w:rsidRDefault="002123DF" w:rsidP="002123DF">
      <w:pPr>
        <w:autoSpaceDE w:val="0"/>
        <w:autoSpaceDN w:val="0"/>
        <w:adjustRightInd w:val="0"/>
        <w:jc w:val="both"/>
        <w:rPr>
          <w:rFonts w:cs="Arial"/>
          <w:sz w:val="22"/>
          <w:szCs w:val="22"/>
          <w:lang w:eastAsia="en-AU"/>
        </w:rPr>
      </w:pPr>
    </w:p>
    <w:p w14:paraId="7E254763" w14:textId="77777777" w:rsidR="002123DF" w:rsidRPr="00F65EA3" w:rsidRDefault="002123DF" w:rsidP="002123DF">
      <w:pPr>
        <w:autoSpaceDE w:val="0"/>
        <w:autoSpaceDN w:val="0"/>
        <w:adjustRightInd w:val="0"/>
        <w:jc w:val="both"/>
        <w:rPr>
          <w:rFonts w:cs="Arial"/>
          <w:sz w:val="22"/>
          <w:szCs w:val="22"/>
          <w:lang w:eastAsia="en-AU"/>
        </w:rPr>
      </w:pPr>
      <w:r w:rsidRPr="00F65EA3">
        <w:rPr>
          <w:rFonts w:cs="Arial"/>
          <w:sz w:val="22"/>
          <w:szCs w:val="22"/>
          <w:lang w:eastAsia="en-AU"/>
        </w:rPr>
        <w:t>The applicants sought compensation from the respondents, claiming the true value of the affected vehicles was less than the price paid for them, or that there was a reduction in the second-hand value of the affected vehicles after October 2015.</w:t>
      </w:r>
    </w:p>
    <w:p w14:paraId="7730ADD4" w14:textId="77777777" w:rsidR="002123DF" w:rsidRPr="00F65EA3" w:rsidRDefault="002123DF" w:rsidP="002123DF">
      <w:pPr>
        <w:jc w:val="both"/>
        <w:rPr>
          <w:rFonts w:cs="Arial"/>
          <w:b/>
          <w:sz w:val="22"/>
          <w:szCs w:val="22"/>
          <w:lang w:eastAsia="en-AU"/>
        </w:rPr>
      </w:pPr>
    </w:p>
    <w:p w14:paraId="21898A70"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Volkswagen, Audi and Skoda denied that their conduct was unlawful, </w:t>
      </w:r>
      <w:proofErr w:type="gramStart"/>
      <w:r w:rsidRPr="00F65EA3">
        <w:rPr>
          <w:rFonts w:cs="Arial"/>
          <w:sz w:val="22"/>
          <w:szCs w:val="22"/>
          <w:lang w:eastAsia="en-AU"/>
        </w:rPr>
        <w:t>and also</w:t>
      </w:r>
      <w:proofErr w:type="gramEnd"/>
      <w:r w:rsidRPr="00F65EA3">
        <w:rPr>
          <w:rFonts w:cs="Arial"/>
          <w:sz w:val="22"/>
          <w:szCs w:val="22"/>
          <w:lang w:eastAsia="en-AU"/>
        </w:rPr>
        <w:t xml:space="preserve"> denied that the applicants and Group Members suffered any financial losses at all as a result of this issue.</w:t>
      </w:r>
    </w:p>
    <w:p w14:paraId="3490BE3C" w14:textId="77777777" w:rsidR="002123DF" w:rsidRPr="00F65EA3" w:rsidRDefault="002123DF" w:rsidP="002123DF">
      <w:pPr>
        <w:jc w:val="both"/>
        <w:rPr>
          <w:rFonts w:cs="Arial"/>
          <w:b/>
          <w:sz w:val="22"/>
          <w:szCs w:val="22"/>
          <w:lang w:eastAsia="en-AU"/>
        </w:rPr>
      </w:pPr>
    </w:p>
    <w:p w14:paraId="2FDECB94"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 xml:space="preserve">Who are Group Members? </w:t>
      </w:r>
    </w:p>
    <w:p w14:paraId="1134C70F"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Group Members in the Bannister class actions are people who held an interest in an affected vehicle as at 18 September 2015. Group Members in the MB class actions are people who held an interest in an affected vehicle as at 3 October 2015.  </w:t>
      </w:r>
    </w:p>
    <w:p w14:paraId="30C53935" w14:textId="77777777" w:rsidR="002123DF" w:rsidRPr="00F65EA3" w:rsidRDefault="002123DF" w:rsidP="002123DF">
      <w:pPr>
        <w:jc w:val="both"/>
        <w:rPr>
          <w:rFonts w:cs="Arial"/>
          <w:sz w:val="22"/>
          <w:szCs w:val="22"/>
          <w:lang w:eastAsia="en-AU"/>
        </w:rPr>
      </w:pPr>
    </w:p>
    <w:p w14:paraId="193066EB" w14:textId="77777777" w:rsidR="002123DF" w:rsidRPr="00F65EA3" w:rsidRDefault="002123DF" w:rsidP="002123DF">
      <w:pPr>
        <w:jc w:val="both"/>
        <w:rPr>
          <w:rFonts w:cs="Arial"/>
          <w:sz w:val="22"/>
          <w:szCs w:val="22"/>
          <w:lang w:eastAsia="en-AU"/>
        </w:rPr>
      </w:pPr>
      <w:r w:rsidRPr="00F65EA3">
        <w:rPr>
          <w:rFonts w:cs="Arial"/>
          <w:sz w:val="22"/>
          <w:szCs w:val="22"/>
          <w:lang w:eastAsia="en-AU"/>
        </w:rPr>
        <w:t>These two dates (18 September 2015 and 3 October 2015)</w:t>
      </w:r>
      <w:r w:rsidRPr="00F65EA3">
        <w:rPr>
          <w:rFonts w:cs="Arial"/>
          <w:b/>
          <w:sz w:val="22"/>
          <w:szCs w:val="22"/>
          <w:lang w:eastAsia="en-AU"/>
        </w:rPr>
        <w:t xml:space="preserve"> </w:t>
      </w:r>
      <w:proofErr w:type="gramStart"/>
      <w:r w:rsidRPr="00F65EA3">
        <w:rPr>
          <w:rFonts w:cs="Arial"/>
          <w:sz w:val="22"/>
          <w:szCs w:val="22"/>
          <w:lang w:eastAsia="en-AU"/>
        </w:rPr>
        <w:t>are referred</w:t>
      </w:r>
      <w:proofErr w:type="gramEnd"/>
      <w:r w:rsidRPr="00F65EA3">
        <w:rPr>
          <w:rFonts w:cs="Arial"/>
          <w:sz w:val="22"/>
          <w:szCs w:val="22"/>
          <w:lang w:eastAsia="en-AU"/>
        </w:rPr>
        <w:t xml:space="preserve"> to in this notice as the “</w:t>
      </w:r>
      <w:r w:rsidRPr="00F65EA3">
        <w:rPr>
          <w:rFonts w:cs="Arial"/>
          <w:b/>
          <w:sz w:val="22"/>
          <w:szCs w:val="22"/>
          <w:lang w:eastAsia="en-AU"/>
        </w:rPr>
        <w:t>Qualifying Dates</w:t>
      </w:r>
      <w:r w:rsidRPr="00F65EA3">
        <w:rPr>
          <w:rFonts w:cs="Arial"/>
          <w:sz w:val="22"/>
          <w:szCs w:val="22"/>
          <w:lang w:eastAsia="en-AU"/>
        </w:rPr>
        <w:t xml:space="preserve">”. You qualify to participate in the settlement only if you held an interest in an affected vehicle as at </w:t>
      </w:r>
      <w:r w:rsidRPr="00F65EA3">
        <w:rPr>
          <w:rFonts w:cs="Arial"/>
          <w:b/>
          <w:sz w:val="22"/>
          <w:szCs w:val="22"/>
          <w:lang w:eastAsia="en-AU"/>
        </w:rPr>
        <w:t>one or both</w:t>
      </w:r>
      <w:r w:rsidRPr="00F65EA3">
        <w:rPr>
          <w:b/>
          <w:sz w:val="22"/>
          <w:szCs w:val="22"/>
          <w:lang w:eastAsia="en-AU"/>
        </w:rPr>
        <w:t xml:space="preserve"> of </w:t>
      </w:r>
      <w:r w:rsidRPr="00F65EA3">
        <w:rPr>
          <w:rFonts w:cs="Arial"/>
          <w:b/>
          <w:sz w:val="22"/>
          <w:szCs w:val="22"/>
          <w:lang w:eastAsia="en-AU"/>
        </w:rPr>
        <w:t>the Qualifying Dates</w:t>
      </w:r>
      <w:r w:rsidRPr="00F65EA3">
        <w:rPr>
          <w:rFonts w:cs="Arial"/>
          <w:sz w:val="22"/>
          <w:szCs w:val="22"/>
          <w:lang w:eastAsia="en-AU"/>
        </w:rPr>
        <w:t>. See Section 2 below for more details.</w:t>
      </w:r>
    </w:p>
    <w:p w14:paraId="70E915D7" w14:textId="77777777" w:rsidR="002123DF" w:rsidRPr="00F65EA3" w:rsidRDefault="002123DF" w:rsidP="002123DF">
      <w:pPr>
        <w:jc w:val="both"/>
        <w:rPr>
          <w:rFonts w:cs="Arial"/>
          <w:b/>
          <w:sz w:val="22"/>
          <w:szCs w:val="22"/>
          <w:lang w:eastAsia="en-AU"/>
        </w:rPr>
      </w:pPr>
    </w:p>
    <w:p w14:paraId="38F7DC75"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 xml:space="preserve">Which vehicles are affected? </w:t>
      </w:r>
    </w:p>
    <w:p w14:paraId="17D13804" w14:textId="77777777" w:rsidR="002123DF" w:rsidRPr="00F65EA3" w:rsidRDefault="002123DF" w:rsidP="002123DF">
      <w:pPr>
        <w:jc w:val="both"/>
        <w:rPr>
          <w:sz w:val="22"/>
          <w:szCs w:val="22"/>
          <w:lang w:eastAsia="en-AU"/>
        </w:rPr>
      </w:pPr>
      <w:r w:rsidRPr="00F65EA3">
        <w:rPr>
          <w:sz w:val="22"/>
          <w:szCs w:val="22"/>
          <w:lang w:eastAsia="en-AU"/>
        </w:rPr>
        <w:t>A list of the affected Volkswagen, Audi and Skoda diesel vehicle models appears on the last page of this notice. The easiest way to check whether your vehicle is affected is to enter your vehicle identification number (</w:t>
      </w:r>
      <w:r w:rsidRPr="00F65EA3">
        <w:rPr>
          <w:b/>
          <w:sz w:val="22"/>
          <w:szCs w:val="22"/>
          <w:lang w:eastAsia="en-AU"/>
        </w:rPr>
        <w:t>VIN</w:t>
      </w:r>
      <w:r w:rsidRPr="00F65EA3">
        <w:rPr>
          <w:sz w:val="22"/>
          <w:szCs w:val="22"/>
          <w:lang w:eastAsia="en-AU"/>
        </w:rPr>
        <w:t xml:space="preserve">) in the class actions registration portal (see below for details). The registration portal will only accept registration of VINs for affected vehicles.  </w:t>
      </w:r>
    </w:p>
    <w:p w14:paraId="505EBE2E" w14:textId="77777777" w:rsidR="002123DF" w:rsidRPr="00F65EA3" w:rsidRDefault="002123DF" w:rsidP="002123DF">
      <w:pPr>
        <w:jc w:val="both"/>
        <w:rPr>
          <w:sz w:val="22"/>
          <w:szCs w:val="22"/>
          <w:lang w:eastAsia="en-AU"/>
        </w:rPr>
      </w:pPr>
      <w:r w:rsidRPr="00F65EA3">
        <w:rPr>
          <w:sz w:val="22"/>
          <w:szCs w:val="22"/>
          <w:lang w:eastAsia="en-AU"/>
        </w:rPr>
        <w:lastRenderedPageBreak/>
        <w:t xml:space="preserve">A VIN is a </w:t>
      </w:r>
      <w:proofErr w:type="gramStart"/>
      <w:r w:rsidRPr="00F65EA3">
        <w:rPr>
          <w:sz w:val="22"/>
          <w:szCs w:val="22"/>
          <w:lang w:eastAsia="en-AU"/>
        </w:rPr>
        <w:t>17 digit</w:t>
      </w:r>
      <w:proofErr w:type="gramEnd"/>
      <w:r w:rsidRPr="00F65EA3">
        <w:rPr>
          <w:sz w:val="22"/>
          <w:szCs w:val="22"/>
          <w:lang w:eastAsia="en-AU"/>
        </w:rPr>
        <w:t xml:space="preserve"> serial number which is unique to your vehicle. It </w:t>
      </w:r>
      <w:proofErr w:type="gramStart"/>
      <w:r w:rsidRPr="00F65EA3">
        <w:rPr>
          <w:sz w:val="22"/>
          <w:szCs w:val="22"/>
          <w:lang w:eastAsia="en-AU"/>
        </w:rPr>
        <w:t>can usually be found</w:t>
      </w:r>
      <w:proofErr w:type="gramEnd"/>
      <w:r w:rsidRPr="00F65EA3">
        <w:rPr>
          <w:sz w:val="22"/>
          <w:szCs w:val="22"/>
          <w:lang w:eastAsia="en-AU"/>
        </w:rPr>
        <w:t xml:space="preserve"> under the bonnet near the engine, or inside the passenger side of the vehicle near the dash, in your service manual or on your certificate of registration.</w:t>
      </w:r>
    </w:p>
    <w:p w14:paraId="5DB2C48C" w14:textId="77777777" w:rsidR="002123DF" w:rsidRPr="00F65EA3" w:rsidRDefault="002123DF" w:rsidP="002123DF">
      <w:pPr>
        <w:jc w:val="both"/>
        <w:rPr>
          <w:sz w:val="22"/>
          <w:szCs w:val="22"/>
          <w:lang w:eastAsia="en-AU"/>
        </w:rPr>
      </w:pPr>
    </w:p>
    <w:p w14:paraId="2E2B26E5" w14:textId="77777777" w:rsidR="002123DF" w:rsidRPr="00F65EA3" w:rsidRDefault="002123DF" w:rsidP="002123DF">
      <w:pPr>
        <w:keepNext/>
        <w:pBdr>
          <w:bottom w:val="single" w:sz="4" w:space="1" w:color="auto"/>
        </w:pBdr>
        <w:spacing w:after="180"/>
        <w:jc w:val="both"/>
        <w:rPr>
          <w:b/>
          <w:caps/>
          <w:sz w:val="22"/>
          <w:szCs w:val="22"/>
          <w:lang w:eastAsia="en-AU"/>
        </w:rPr>
      </w:pPr>
      <w:r w:rsidRPr="00F65EA3">
        <w:rPr>
          <w:b/>
          <w:caps/>
          <w:sz w:val="22"/>
          <w:szCs w:val="22"/>
          <w:lang w:eastAsia="en-AU"/>
        </w:rPr>
        <w:t xml:space="preserve">SECTION 2: </w:t>
      </w:r>
      <w:r w:rsidRPr="00F65EA3">
        <w:rPr>
          <w:b/>
          <w:caps/>
          <w:sz w:val="22"/>
          <w:szCs w:val="22"/>
          <w:lang w:eastAsia="en-AU"/>
        </w:rPr>
        <w:tab/>
        <w:t xml:space="preserve">THE PROPOSED SETTLEMENT </w:t>
      </w:r>
    </w:p>
    <w:p w14:paraId="487FF895" w14:textId="77777777" w:rsidR="002123DF" w:rsidRPr="00F65EA3" w:rsidRDefault="002123DF" w:rsidP="002123DF">
      <w:pPr>
        <w:jc w:val="both"/>
        <w:rPr>
          <w:sz w:val="22"/>
          <w:szCs w:val="22"/>
          <w:lang w:eastAsia="en-AU"/>
        </w:rPr>
      </w:pPr>
      <w:r w:rsidRPr="00F65EA3">
        <w:rPr>
          <w:sz w:val="22"/>
          <w:szCs w:val="22"/>
          <w:lang w:eastAsia="en-AU"/>
        </w:rPr>
        <w:t xml:space="preserve">On 16 September </w:t>
      </w:r>
      <w:proofErr w:type="gramStart"/>
      <w:r w:rsidRPr="00F65EA3">
        <w:rPr>
          <w:sz w:val="22"/>
          <w:szCs w:val="22"/>
          <w:lang w:eastAsia="en-AU"/>
        </w:rPr>
        <w:t>2019</w:t>
      </w:r>
      <w:proofErr w:type="gramEnd"/>
      <w:r w:rsidRPr="00F65EA3">
        <w:rPr>
          <w:sz w:val="22"/>
          <w:szCs w:val="22"/>
          <w:lang w:eastAsia="en-AU"/>
        </w:rPr>
        <w:t xml:space="preserve"> the parties in the class actions announced that they had reached an agreement to settle the proceedings. In early December 2019, the parties formalised that agreement by signing a settlement deed. Before it can take effect, the </w:t>
      </w:r>
      <w:proofErr w:type="gramStart"/>
      <w:r w:rsidRPr="00F65EA3">
        <w:rPr>
          <w:sz w:val="22"/>
          <w:szCs w:val="22"/>
          <w:lang w:eastAsia="en-AU"/>
        </w:rPr>
        <w:t>proposed settlement must be approved by the Federal Court</w:t>
      </w:r>
      <w:proofErr w:type="gramEnd"/>
      <w:r w:rsidRPr="00F65EA3">
        <w:rPr>
          <w:sz w:val="22"/>
          <w:szCs w:val="22"/>
          <w:lang w:eastAsia="en-AU"/>
        </w:rPr>
        <w:t xml:space="preserve">. </w:t>
      </w:r>
    </w:p>
    <w:p w14:paraId="70703A5A" w14:textId="77777777" w:rsidR="002123DF" w:rsidRPr="00F65EA3" w:rsidRDefault="002123DF" w:rsidP="002123DF">
      <w:pPr>
        <w:jc w:val="both"/>
        <w:rPr>
          <w:sz w:val="22"/>
          <w:szCs w:val="22"/>
          <w:lang w:eastAsia="en-AU"/>
        </w:rPr>
      </w:pPr>
    </w:p>
    <w:p w14:paraId="1C7B80D0" w14:textId="77777777" w:rsidR="002123DF" w:rsidRPr="00F65EA3" w:rsidRDefault="002123DF" w:rsidP="002123DF">
      <w:pPr>
        <w:jc w:val="both"/>
        <w:rPr>
          <w:rFonts w:cs="Arial"/>
          <w:sz w:val="22"/>
          <w:szCs w:val="22"/>
          <w:lang w:eastAsia="en-AU"/>
        </w:rPr>
      </w:pPr>
      <w:r w:rsidRPr="00F65EA3">
        <w:rPr>
          <w:sz w:val="22"/>
          <w:szCs w:val="22"/>
          <w:lang w:eastAsia="en-AU"/>
        </w:rPr>
        <w:t xml:space="preserve">If the Court approves the </w:t>
      </w:r>
      <w:proofErr w:type="gramStart"/>
      <w:r w:rsidRPr="00F65EA3">
        <w:rPr>
          <w:sz w:val="22"/>
          <w:szCs w:val="22"/>
          <w:lang w:eastAsia="en-AU"/>
        </w:rPr>
        <w:t>settlement</w:t>
      </w:r>
      <w:proofErr w:type="gramEnd"/>
      <w:r w:rsidRPr="00F65EA3">
        <w:rPr>
          <w:sz w:val="22"/>
          <w:szCs w:val="22"/>
          <w:lang w:eastAsia="en-AU"/>
        </w:rPr>
        <w:t xml:space="preserve"> the Volkswagen Group will pay between $87 million and $127.1 million to Group Members. The amount they will have to pay depends</w:t>
      </w:r>
      <w:r w:rsidRPr="00F65EA3">
        <w:rPr>
          <w:rFonts w:cs="Arial"/>
          <w:sz w:val="22"/>
          <w:szCs w:val="22"/>
          <w:lang w:eastAsia="en-AU"/>
        </w:rPr>
        <w:t xml:space="preserve"> on how many affected vehicles participate in the proposed settlement. See Section 4 below for information about how to register.  </w:t>
      </w:r>
    </w:p>
    <w:p w14:paraId="4909779D" w14:textId="77777777" w:rsidR="002123DF" w:rsidRPr="00F65EA3" w:rsidRDefault="002123DF" w:rsidP="002123DF">
      <w:pPr>
        <w:jc w:val="both"/>
        <w:rPr>
          <w:rFonts w:cs="Arial"/>
          <w:sz w:val="22"/>
          <w:szCs w:val="22"/>
          <w:lang w:eastAsia="en-AU"/>
        </w:rPr>
      </w:pPr>
    </w:p>
    <w:p w14:paraId="0B3EA9E4"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In addition to the amount that will be available to pay Group Members, the Volkswagen Group has also agreed to pay the applicants’ legal costs in the amount that </w:t>
      </w:r>
      <w:proofErr w:type="gramStart"/>
      <w:r w:rsidRPr="00F65EA3">
        <w:rPr>
          <w:rFonts w:cs="Arial"/>
          <w:sz w:val="22"/>
          <w:szCs w:val="22"/>
          <w:lang w:eastAsia="en-AU"/>
        </w:rPr>
        <w:t>is assessed as reasonable by an independent costs expert and approved by the Federal Court</w:t>
      </w:r>
      <w:proofErr w:type="gramEnd"/>
      <w:r w:rsidRPr="00F65EA3">
        <w:rPr>
          <w:rFonts w:cs="Arial"/>
          <w:sz w:val="22"/>
          <w:szCs w:val="22"/>
          <w:lang w:eastAsia="en-AU"/>
        </w:rPr>
        <w:t>.  The Volkswagen Group has also agreed to make a number of other payments, if approved by the Court, relating to the conduct of the class actions as well as the costs of administering the settlement.  None of these costs and other payments will reduce the amount of the fund available to pay Group Members.</w:t>
      </w:r>
    </w:p>
    <w:p w14:paraId="7E0839DC" w14:textId="77777777" w:rsidR="002123DF" w:rsidRPr="00F65EA3" w:rsidRDefault="002123DF" w:rsidP="002123DF">
      <w:pPr>
        <w:jc w:val="both"/>
        <w:rPr>
          <w:rFonts w:cs="Arial"/>
          <w:sz w:val="22"/>
          <w:szCs w:val="22"/>
          <w:lang w:eastAsia="en-AU"/>
        </w:rPr>
      </w:pPr>
    </w:p>
    <w:p w14:paraId="1CA0A94E"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The proposed settlement </w:t>
      </w:r>
      <w:proofErr w:type="gramStart"/>
      <w:r w:rsidRPr="00F65EA3">
        <w:rPr>
          <w:rFonts w:cs="Arial"/>
          <w:sz w:val="22"/>
          <w:szCs w:val="22"/>
          <w:lang w:eastAsia="en-AU"/>
        </w:rPr>
        <w:t>will be administered</w:t>
      </w:r>
      <w:proofErr w:type="gramEnd"/>
      <w:r w:rsidRPr="00F65EA3">
        <w:rPr>
          <w:rFonts w:cs="Arial"/>
          <w:sz w:val="22"/>
          <w:szCs w:val="22"/>
          <w:lang w:eastAsia="en-AU"/>
        </w:rPr>
        <w:t xml:space="preserve"> in accordance with an agreed Settlement Scheme. The Settlement Scheme is a </w:t>
      </w:r>
      <w:proofErr w:type="gramStart"/>
      <w:r w:rsidRPr="00F65EA3">
        <w:rPr>
          <w:rFonts w:cs="Arial"/>
          <w:sz w:val="22"/>
          <w:szCs w:val="22"/>
          <w:lang w:eastAsia="en-AU"/>
        </w:rPr>
        <w:t>document which</w:t>
      </w:r>
      <w:proofErr w:type="gramEnd"/>
      <w:r w:rsidRPr="00F65EA3">
        <w:rPr>
          <w:rFonts w:cs="Arial"/>
          <w:sz w:val="22"/>
          <w:szCs w:val="22"/>
          <w:lang w:eastAsia="en-AU"/>
        </w:rPr>
        <w:t xml:space="preserve"> sets out the process for Group Members to register and claim a settlement payment and the method by which those claims are to be assessed and paid. The Settlement Scheme is available for download from the websites of Maurice Blackburn and Bannister Law, or from the registration portal, or on request from either law firm.  </w:t>
      </w:r>
    </w:p>
    <w:p w14:paraId="5A8BDCE4" w14:textId="77777777" w:rsidR="002123DF" w:rsidRPr="00F65EA3" w:rsidRDefault="002123DF" w:rsidP="002123DF">
      <w:pPr>
        <w:jc w:val="both"/>
        <w:rPr>
          <w:rFonts w:cs="Arial"/>
          <w:sz w:val="22"/>
          <w:szCs w:val="22"/>
          <w:lang w:eastAsia="en-AU"/>
        </w:rPr>
      </w:pPr>
    </w:p>
    <w:p w14:paraId="42A60293"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If you wish to claim a settlement payment for your affected vehicle, you must register at the registration portal no later than </w:t>
      </w:r>
      <w:r w:rsidRPr="00F65EA3">
        <w:rPr>
          <w:rFonts w:cs="Arial"/>
          <w:b/>
          <w:sz w:val="22"/>
          <w:szCs w:val="22"/>
          <w:lang w:eastAsia="en-AU"/>
        </w:rPr>
        <w:t>10 March 2020</w:t>
      </w:r>
      <w:r w:rsidRPr="00F65EA3">
        <w:rPr>
          <w:rFonts w:cs="Arial"/>
          <w:sz w:val="22"/>
          <w:szCs w:val="22"/>
          <w:lang w:eastAsia="en-AU"/>
        </w:rPr>
        <w:t xml:space="preserve">. </w:t>
      </w:r>
      <w:r w:rsidRPr="00F65EA3">
        <w:rPr>
          <w:rFonts w:cs="Arial"/>
          <w:b/>
          <w:sz w:val="22"/>
          <w:szCs w:val="22"/>
          <w:lang w:eastAsia="en-AU"/>
        </w:rPr>
        <w:t>If you fail to register by that date, you will not be entitled to receive any settlement payment</w:t>
      </w:r>
      <w:r w:rsidRPr="00F65EA3">
        <w:rPr>
          <w:rFonts w:cs="Arial"/>
          <w:sz w:val="22"/>
          <w:szCs w:val="22"/>
          <w:lang w:eastAsia="en-AU"/>
        </w:rPr>
        <w:t xml:space="preserve">.  </w:t>
      </w:r>
    </w:p>
    <w:p w14:paraId="75BDA2E2" w14:textId="77777777" w:rsidR="002123DF" w:rsidRPr="00F65EA3" w:rsidRDefault="002123DF" w:rsidP="002123DF">
      <w:pPr>
        <w:jc w:val="both"/>
        <w:rPr>
          <w:rFonts w:cs="Arial"/>
          <w:sz w:val="22"/>
          <w:szCs w:val="22"/>
          <w:lang w:eastAsia="en-AU"/>
        </w:rPr>
      </w:pPr>
    </w:p>
    <w:p w14:paraId="071E9E02"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 xml:space="preserve">Who is eligible to receive a settlement payment? </w:t>
      </w:r>
    </w:p>
    <w:p w14:paraId="3CA06767"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If the </w:t>
      </w:r>
      <w:proofErr w:type="gramStart"/>
      <w:r w:rsidRPr="00F65EA3">
        <w:rPr>
          <w:rFonts w:cs="Arial"/>
          <w:sz w:val="22"/>
          <w:szCs w:val="22"/>
          <w:lang w:eastAsia="en-AU"/>
        </w:rPr>
        <w:t>settlement is approved by the Federal Court</w:t>
      </w:r>
      <w:proofErr w:type="gramEnd"/>
      <w:r w:rsidRPr="00F65EA3">
        <w:rPr>
          <w:rFonts w:cs="Arial"/>
          <w:sz w:val="22"/>
          <w:szCs w:val="22"/>
          <w:lang w:eastAsia="en-AU"/>
        </w:rPr>
        <w:t xml:space="preserve">, then you must satisfy three criteria to be eligible for a settlement payment. You must have: </w:t>
      </w:r>
    </w:p>
    <w:p w14:paraId="70ABA87E" w14:textId="77777777" w:rsidR="002123DF" w:rsidRPr="00F65EA3" w:rsidRDefault="002123DF" w:rsidP="002123DF">
      <w:pPr>
        <w:ind w:left="720"/>
        <w:contextualSpacing/>
        <w:jc w:val="both"/>
        <w:rPr>
          <w:rFonts w:cs="Arial"/>
          <w:sz w:val="22"/>
          <w:szCs w:val="22"/>
          <w:lang w:eastAsia="en-AU"/>
        </w:rPr>
      </w:pPr>
    </w:p>
    <w:p w14:paraId="046BCDF5" w14:textId="77777777" w:rsidR="002123DF" w:rsidRPr="00F65EA3" w:rsidRDefault="002123DF" w:rsidP="002123DF">
      <w:pPr>
        <w:numPr>
          <w:ilvl w:val="0"/>
          <w:numId w:val="5"/>
        </w:numPr>
        <w:jc w:val="both"/>
        <w:rPr>
          <w:rFonts w:cs="Arial"/>
          <w:sz w:val="22"/>
          <w:szCs w:val="22"/>
          <w:lang w:eastAsia="en-AU"/>
        </w:rPr>
      </w:pPr>
      <w:r w:rsidRPr="00F65EA3">
        <w:rPr>
          <w:rFonts w:cs="Arial"/>
          <w:sz w:val="22"/>
          <w:szCs w:val="22"/>
          <w:lang w:eastAsia="en-AU"/>
        </w:rPr>
        <w:t xml:space="preserve">acquired an “interest” in an affected vehicle; and  </w:t>
      </w:r>
    </w:p>
    <w:p w14:paraId="36C8DDF0" w14:textId="77777777" w:rsidR="002123DF" w:rsidRPr="00F65EA3" w:rsidRDefault="002123DF" w:rsidP="002123DF">
      <w:pPr>
        <w:ind w:left="720"/>
        <w:contextualSpacing/>
        <w:rPr>
          <w:rFonts w:cs="Arial"/>
          <w:sz w:val="22"/>
          <w:szCs w:val="22"/>
          <w:lang w:eastAsia="en-AU"/>
        </w:rPr>
      </w:pPr>
    </w:p>
    <w:p w14:paraId="52F700ED" w14:textId="77777777" w:rsidR="002123DF" w:rsidRPr="00F65EA3" w:rsidRDefault="002123DF" w:rsidP="002123DF">
      <w:pPr>
        <w:numPr>
          <w:ilvl w:val="0"/>
          <w:numId w:val="5"/>
        </w:numPr>
        <w:jc w:val="both"/>
        <w:rPr>
          <w:rFonts w:cs="Arial"/>
          <w:sz w:val="22"/>
          <w:szCs w:val="22"/>
          <w:lang w:eastAsia="en-AU"/>
        </w:rPr>
      </w:pPr>
      <w:r w:rsidRPr="00F65EA3">
        <w:rPr>
          <w:rFonts w:cs="Arial"/>
          <w:sz w:val="22"/>
          <w:szCs w:val="22"/>
          <w:lang w:eastAsia="en-AU"/>
        </w:rPr>
        <w:t>held that interest as at either of the Qualifying Dates; and</w:t>
      </w:r>
    </w:p>
    <w:p w14:paraId="68EB5B89" w14:textId="77777777" w:rsidR="002123DF" w:rsidRPr="00F65EA3" w:rsidRDefault="002123DF" w:rsidP="002123DF">
      <w:pPr>
        <w:ind w:left="720"/>
        <w:contextualSpacing/>
        <w:rPr>
          <w:rFonts w:cs="Arial"/>
          <w:sz w:val="22"/>
          <w:szCs w:val="22"/>
          <w:lang w:eastAsia="en-AU"/>
        </w:rPr>
      </w:pPr>
    </w:p>
    <w:p w14:paraId="28239600" w14:textId="77777777" w:rsidR="002123DF" w:rsidRPr="00F65EA3" w:rsidRDefault="002123DF" w:rsidP="002123DF">
      <w:pPr>
        <w:numPr>
          <w:ilvl w:val="0"/>
          <w:numId w:val="5"/>
        </w:numPr>
        <w:jc w:val="both"/>
        <w:rPr>
          <w:rFonts w:cs="Arial"/>
          <w:sz w:val="22"/>
          <w:szCs w:val="22"/>
          <w:lang w:eastAsia="en-AU"/>
        </w:rPr>
      </w:pPr>
      <w:proofErr w:type="gramStart"/>
      <w:r w:rsidRPr="00F65EA3">
        <w:rPr>
          <w:rFonts w:cs="Arial"/>
          <w:sz w:val="22"/>
          <w:szCs w:val="22"/>
          <w:lang w:eastAsia="en-AU"/>
        </w:rPr>
        <w:t>not</w:t>
      </w:r>
      <w:proofErr w:type="gramEnd"/>
      <w:r w:rsidRPr="00F65EA3">
        <w:rPr>
          <w:rFonts w:cs="Arial"/>
          <w:sz w:val="22"/>
          <w:szCs w:val="22"/>
          <w:lang w:eastAsia="en-AU"/>
        </w:rPr>
        <w:t xml:space="preserve"> “opted out” of both the Bannister class actions and MB class actions. </w:t>
      </w:r>
    </w:p>
    <w:p w14:paraId="783E41CF" w14:textId="77777777" w:rsidR="002123DF" w:rsidRPr="00F65EA3" w:rsidRDefault="002123DF" w:rsidP="002123DF">
      <w:pPr>
        <w:jc w:val="both"/>
        <w:rPr>
          <w:rFonts w:cs="Arial"/>
          <w:sz w:val="22"/>
          <w:szCs w:val="22"/>
          <w:lang w:eastAsia="en-AU"/>
        </w:rPr>
      </w:pPr>
    </w:p>
    <w:p w14:paraId="076F8ACE"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What is an “interest” in an Affected Vehicle?</w:t>
      </w:r>
    </w:p>
    <w:p w14:paraId="5D2CA3D3" w14:textId="77777777" w:rsidR="002123DF" w:rsidRPr="00F65EA3" w:rsidRDefault="002123DF" w:rsidP="002123DF">
      <w:pPr>
        <w:jc w:val="both"/>
        <w:rPr>
          <w:rFonts w:cs="Arial"/>
          <w:sz w:val="22"/>
          <w:szCs w:val="22"/>
          <w:lang w:eastAsia="en-AU"/>
        </w:rPr>
      </w:pPr>
      <w:proofErr w:type="gramStart"/>
      <w:r w:rsidRPr="00F65EA3">
        <w:rPr>
          <w:rFonts w:cs="Arial"/>
          <w:sz w:val="22"/>
          <w:szCs w:val="22"/>
          <w:lang w:eastAsia="en-AU"/>
        </w:rPr>
        <w:t>There are several different types of legal interests that people can have in a car.</w:t>
      </w:r>
      <w:proofErr w:type="gramEnd"/>
      <w:r w:rsidRPr="00F65EA3">
        <w:rPr>
          <w:rFonts w:cs="Arial"/>
          <w:sz w:val="22"/>
          <w:szCs w:val="22"/>
          <w:lang w:eastAsia="en-AU"/>
        </w:rPr>
        <w:t xml:space="preserve">  The most common is legal ownership.  Under the proposed settlement, you have an “interest” in an affected vehicle if, on either of the Qualifying Dates (18 September or 3 October 2015) you were: </w:t>
      </w:r>
    </w:p>
    <w:p w14:paraId="1495CF30" w14:textId="77777777" w:rsidR="002123DF" w:rsidRPr="00F65EA3" w:rsidRDefault="002123DF" w:rsidP="002123DF">
      <w:pPr>
        <w:jc w:val="both"/>
        <w:rPr>
          <w:rFonts w:cs="Arial"/>
          <w:sz w:val="22"/>
          <w:szCs w:val="22"/>
          <w:lang w:eastAsia="en-AU"/>
        </w:rPr>
      </w:pPr>
    </w:p>
    <w:p w14:paraId="523A2FBD" w14:textId="77777777" w:rsidR="002123DF" w:rsidRPr="00F65EA3" w:rsidRDefault="002123DF" w:rsidP="002123DF">
      <w:pPr>
        <w:numPr>
          <w:ilvl w:val="0"/>
          <w:numId w:val="6"/>
        </w:numPr>
        <w:jc w:val="both"/>
        <w:rPr>
          <w:rFonts w:cs="Arial"/>
          <w:sz w:val="22"/>
          <w:szCs w:val="22"/>
          <w:lang w:eastAsia="en-AU"/>
        </w:rPr>
      </w:pPr>
      <w:r w:rsidRPr="00F65EA3">
        <w:rPr>
          <w:rFonts w:cs="Arial"/>
          <w:sz w:val="22"/>
          <w:szCs w:val="22"/>
          <w:lang w:eastAsia="en-AU"/>
        </w:rPr>
        <w:t xml:space="preserve">the </w:t>
      </w:r>
      <w:r w:rsidRPr="00F65EA3">
        <w:rPr>
          <w:rFonts w:cs="Arial"/>
          <w:b/>
          <w:sz w:val="22"/>
          <w:szCs w:val="22"/>
          <w:lang w:eastAsia="en-AU"/>
        </w:rPr>
        <w:t>owner</w:t>
      </w:r>
      <w:r w:rsidRPr="00F65EA3">
        <w:rPr>
          <w:rFonts w:cs="Arial"/>
          <w:sz w:val="22"/>
          <w:szCs w:val="22"/>
          <w:lang w:eastAsia="en-AU"/>
        </w:rPr>
        <w:t xml:space="preserve"> of an affected vehicle; </w:t>
      </w:r>
    </w:p>
    <w:p w14:paraId="1D46548E" w14:textId="77777777" w:rsidR="002123DF" w:rsidRPr="00F65EA3" w:rsidRDefault="002123DF" w:rsidP="002123DF">
      <w:pPr>
        <w:ind w:left="720"/>
        <w:contextualSpacing/>
        <w:jc w:val="both"/>
        <w:rPr>
          <w:rFonts w:cs="Arial"/>
          <w:sz w:val="22"/>
          <w:szCs w:val="22"/>
          <w:lang w:eastAsia="en-AU"/>
        </w:rPr>
      </w:pPr>
    </w:p>
    <w:p w14:paraId="2E269ED5" w14:textId="77777777" w:rsidR="002123DF" w:rsidRPr="00F65EA3" w:rsidRDefault="002123DF" w:rsidP="002123DF">
      <w:pPr>
        <w:numPr>
          <w:ilvl w:val="0"/>
          <w:numId w:val="6"/>
        </w:numPr>
        <w:jc w:val="both"/>
        <w:rPr>
          <w:rFonts w:cs="Arial"/>
          <w:sz w:val="22"/>
          <w:szCs w:val="22"/>
          <w:lang w:eastAsia="en-AU"/>
        </w:rPr>
      </w:pPr>
      <w:r w:rsidRPr="00F65EA3">
        <w:rPr>
          <w:rFonts w:cs="Arial"/>
          <w:sz w:val="22"/>
          <w:szCs w:val="22"/>
          <w:lang w:eastAsia="en-AU"/>
        </w:rPr>
        <w:t xml:space="preserve">the </w:t>
      </w:r>
      <w:r w:rsidRPr="00F65EA3">
        <w:rPr>
          <w:rFonts w:cs="Arial"/>
          <w:b/>
          <w:sz w:val="22"/>
          <w:szCs w:val="22"/>
          <w:lang w:eastAsia="en-AU"/>
        </w:rPr>
        <w:t>lessee</w:t>
      </w:r>
      <w:r w:rsidRPr="00F65EA3">
        <w:rPr>
          <w:rFonts w:cs="Arial"/>
          <w:sz w:val="22"/>
          <w:szCs w:val="22"/>
          <w:lang w:eastAsia="en-AU"/>
        </w:rPr>
        <w:t xml:space="preserve"> of an affected vehicle pursuant to an operating lease, finance lease or novated lease; or </w:t>
      </w:r>
    </w:p>
    <w:p w14:paraId="1AA823A7" w14:textId="77777777" w:rsidR="002123DF" w:rsidRPr="00F65EA3" w:rsidRDefault="002123DF" w:rsidP="002123DF">
      <w:pPr>
        <w:ind w:left="720"/>
        <w:contextualSpacing/>
        <w:jc w:val="both"/>
        <w:rPr>
          <w:rFonts w:cs="Arial"/>
          <w:sz w:val="22"/>
          <w:szCs w:val="22"/>
          <w:lang w:eastAsia="en-AU"/>
        </w:rPr>
      </w:pPr>
    </w:p>
    <w:p w14:paraId="3F6C8214" w14:textId="77777777" w:rsidR="002123DF" w:rsidRPr="00F65EA3" w:rsidRDefault="002123DF" w:rsidP="002123DF">
      <w:pPr>
        <w:numPr>
          <w:ilvl w:val="0"/>
          <w:numId w:val="6"/>
        </w:numPr>
        <w:jc w:val="both"/>
        <w:rPr>
          <w:rFonts w:cs="Arial"/>
          <w:sz w:val="22"/>
          <w:szCs w:val="22"/>
          <w:lang w:eastAsia="en-AU"/>
        </w:rPr>
      </w:pPr>
      <w:proofErr w:type="gramStart"/>
      <w:r w:rsidRPr="00F65EA3">
        <w:rPr>
          <w:rFonts w:cs="Arial"/>
          <w:sz w:val="22"/>
          <w:szCs w:val="22"/>
          <w:lang w:eastAsia="en-AU"/>
        </w:rPr>
        <w:t>the</w:t>
      </w:r>
      <w:proofErr w:type="gramEnd"/>
      <w:r w:rsidRPr="00F65EA3">
        <w:rPr>
          <w:rFonts w:cs="Arial"/>
          <w:sz w:val="22"/>
          <w:szCs w:val="22"/>
          <w:lang w:eastAsia="en-AU"/>
        </w:rPr>
        <w:t xml:space="preserve"> </w:t>
      </w:r>
      <w:r w:rsidRPr="00F65EA3">
        <w:rPr>
          <w:rFonts w:cs="Arial"/>
          <w:b/>
          <w:sz w:val="22"/>
          <w:szCs w:val="22"/>
          <w:lang w:eastAsia="en-AU"/>
        </w:rPr>
        <w:t>lessor</w:t>
      </w:r>
      <w:r w:rsidRPr="00F65EA3">
        <w:rPr>
          <w:rFonts w:cs="Arial"/>
          <w:sz w:val="22"/>
          <w:szCs w:val="22"/>
          <w:lang w:eastAsia="en-AU"/>
        </w:rPr>
        <w:t xml:space="preserve"> of an affected vehicle under an operating lease. </w:t>
      </w:r>
    </w:p>
    <w:p w14:paraId="40C70CE3" w14:textId="77777777" w:rsidR="002123DF" w:rsidRPr="00F65EA3" w:rsidRDefault="002123DF" w:rsidP="002123DF">
      <w:pPr>
        <w:jc w:val="both"/>
        <w:rPr>
          <w:rFonts w:cs="Arial"/>
          <w:b/>
          <w:sz w:val="22"/>
          <w:szCs w:val="22"/>
          <w:lang w:eastAsia="en-AU"/>
        </w:rPr>
      </w:pPr>
      <w:r w:rsidRPr="00F65EA3">
        <w:rPr>
          <w:rFonts w:cs="Arial"/>
          <w:sz w:val="22"/>
          <w:szCs w:val="22"/>
          <w:lang w:eastAsia="en-AU"/>
        </w:rPr>
        <w:lastRenderedPageBreak/>
        <w:t xml:space="preserve">Examples of </w:t>
      </w:r>
      <w:proofErr w:type="gramStart"/>
      <w:r w:rsidRPr="00F65EA3">
        <w:rPr>
          <w:rFonts w:cs="Arial"/>
          <w:sz w:val="22"/>
          <w:szCs w:val="22"/>
          <w:lang w:eastAsia="en-AU"/>
        </w:rPr>
        <w:t>these types of interests and how they interact with the Qualifying Dates</w:t>
      </w:r>
      <w:proofErr w:type="gramEnd"/>
      <w:r w:rsidRPr="00F65EA3">
        <w:rPr>
          <w:rFonts w:cs="Arial"/>
          <w:sz w:val="22"/>
          <w:szCs w:val="22"/>
          <w:lang w:eastAsia="en-AU"/>
        </w:rPr>
        <w:t xml:space="preserve"> are included as Schedule 1 to this notice.  </w:t>
      </w:r>
    </w:p>
    <w:p w14:paraId="2F462F37" w14:textId="77777777" w:rsidR="002123DF" w:rsidRPr="00F65EA3" w:rsidRDefault="002123DF" w:rsidP="002123DF">
      <w:pPr>
        <w:jc w:val="both"/>
        <w:rPr>
          <w:rFonts w:cs="Arial"/>
          <w:b/>
          <w:sz w:val="22"/>
          <w:szCs w:val="22"/>
          <w:lang w:eastAsia="en-AU"/>
        </w:rPr>
      </w:pPr>
    </w:p>
    <w:p w14:paraId="328E2726"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Under the proposed </w:t>
      </w:r>
      <w:proofErr w:type="gramStart"/>
      <w:r w:rsidRPr="00F65EA3">
        <w:rPr>
          <w:rFonts w:cs="Arial"/>
          <w:sz w:val="22"/>
          <w:szCs w:val="22"/>
          <w:lang w:eastAsia="en-AU"/>
        </w:rPr>
        <w:t>settlement</w:t>
      </w:r>
      <w:proofErr w:type="gramEnd"/>
      <w:r w:rsidRPr="00F65EA3">
        <w:rPr>
          <w:rFonts w:cs="Arial"/>
          <w:sz w:val="22"/>
          <w:szCs w:val="22"/>
          <w:lang w:eastAsia="en-AU"/>
        </w:rPr>
        <w:t xml:space="preserve"> you </w:t>
      </w:r>
      <w:r w:rsidRPr="00F65EA3">
        <w:rPr>
          <w:rFonts w:cs="Arial"/>
          <w:b/>
          <w:sz w:val="22"/>
          <w:szCs w:val="22"/>
          <w:lang w:eastAsia="en-AU"/>
        </w:rPr>
        <w:t>will not qualify</w:t>
      </w:r>
      <w:r w:rsidRPr="00F65EA3">
        <w:rPr>
          <w:rFonts w:cs="Arial"/>
          <w:sz w:val="22"/>
          <w:szCs w:val="22"/>
          <w:lang w:eastAsia="en-AU"/>
        </w:rPr>
        <w:t xml:space="preserve"> for a settlement payment if: </w:t>
      </w:r>
    </w:p>
    <w:p w14:paraId="1280B24D" w14:textId="77777777" w:rsidR="002123DF" w:rsidRPr="00F65EA3" w:rsidRDefault="002123DF" w:rsidP="002123DF">
      <w:pPr>
        <w:jc w:val="both"/>
        <w:rPr>
          <w:rFonts w:cs="Arial"/>
          <w:sz w:val="22"/>
          <w:szCs w:val="22"/>
          <w:lang w:eastAsia="en-AU"/>
        </w:rPr>
      </w:pPr>
    </w:p>
    <w:p w14:paraId="6E44F11D" w14:textId="77777777" w:rsidR="002123DF" w:rsidRPr="00F65EA3" w:rsidRDefault="002123DF" w:rsidP="002123DF">
      <w:pPr>
        <w:numPr>
          <w:ilvl w:val="0"/>
          <w:numId w:val="7"/>
        </w:numPr>
        <w:jc w:val="both"/>
        <w:rPr>
          <w:rFonts w:cs="Arial"/>
          <w:sz w:val="22"/>
          <w:szCs w:val="22"/>
          <w:lang w:eastAsia="en-AU"/>
        </w:rPr>
      </w:pPr>
      <w:r w:rsidRPr="00F65EA3">
        <w:rPr>
          <w:rFonts w:cs="Arial"/>
          <w:sz w:val="22"/>
          <w:szCs w:val="22"/>
          <w:lang w:eastAsia="en-AU"/>
        </w:rPr>
        <w:t xml:space="preserve">you were the </w:t>
      </w:r>
      <w:r w:rsidRPr="00F65EA3">
        <w:rPr>
          <w:rFonts w:cs="Arial"/>
          <w:b/>
          <w:sz w:val="22"/>
          <w:szCs w:val="22"/>
          <w:lang w:eastAsia="en-AU"/>
        </w:rPr>
        <w:t>lessor</w:t>
      </w:r>
      <w:r w:rsidRPr="00F65EA3">
        <w:rPr>
          <w:rFonts w:cs="Arial"/>
          <w:sz w:val="22"/>
          <w:szCs w:val="22"/>
          <w:lang w:eastAsia="en-AU"/>
        </w:rPr>
        <w:t xml:space="preserve"> of an affected vehicle under a finance or novated lease; </w:t>
      </w:r>
    </w:p>
    <w:p w14:paraId="65E2C7C4" w14:textId="77777777" w:rsidR="002123DF" w:rsidRPr="00F65EA3" w:rsidRDefault="002123DF" w:rsidP="002123DF">
      <w:pPr>
        <w:ind w:left="720"/>
        <w:contextualSpacing/>
        <w:jc w:val="both"/>
        <w:rPr>
          <w:rFonts w:cs="Arial"/>
          <w:sz w:val="22"/>
          <w:szCs w:val="22"/>
          <w:lang w:eastAsia="en-AU"/>
        </w:rPr>
      </w:pPr>
    </w:p>
    <w:p w14:paraId="48168923" w14:textId="77777777" w:rsidR="002123DF" w:rsidRPr="00F65EA3" w:rsidRDefault="002123DF" w:rsidP="002123DF">
      <w:pPr>
        <w:numPr>
          <w:ilvl w:val="0"/>
          <w:numId w:val="7"/>
        </w:numPr>
        <w:jc w:val="both"/>
        <w:rPr>
          <w:rFonts w:cs="Arial"/>
          <w:sz w:val="22"/>
          <w:szCs w:val="22"/>
          <w:lang w:eastAsia="en-AU"/>
        </w:rPr>
      </w:pPr>
      <w:r w:rsidRPr="00F65EA3">
        <w:rPr>
          <w:rFonts w:cs="Arial"/>
          <w:sz w:val="22"/>
          <w:szCs w:val="22"/>
          <w:lang w:eastAsia="en-AU"/>
        </w:rPr>
        <w:t xml:space="preserve">you were the </w:t>
      </w:r>
      <w:r w:rsidRPr="00F65EA3">
        <w:rPr>
          <w:rFonts w:cs="Arial"/>
          <w:b/>
          <w:sz w:val="22"/>
          <w:szCs w:val="22"/>
          <w:lang w:eastAsia="en-AU"/>
        </w:rPr>
        <w:t>lender</w:t>
      </w:r>
      <w:r w:rsidRPr="00F65EA3">
        <w:rPr>
          <w:rFonts w:cs="Arial"/>
          <w:sz w:val="22"/>
          <w:szCs w:val="22"/>
          <w:lang w:eastAsia="en-AU"/>
        </w:rPr>
        <w:t xml:space="preserve"> or credit provider in relation to any type of secured or unsecured loan that was used by someone else to finance the acquisition of an affected vehicle (for example under a loan or hire purchase agreement), unless you repossessed the vehicle after the borrower defaulted on their loan or hire purchase agreement; </w:t>
      </w:r>
    </w:p>
    <w:p w14:paraId="2397E2E0" w14:textId="77777777" w:rsidR="002123DF" w:rsidRPr="00F65EA3" w:rsidRDefault="002123DF" w:rsidP="002123DF">
      <w:pPr>
        <w:jc w:val="both"/>
        <w:rPr>
          <w:rFonts w:cs="Arial"/>
          <w:sz w:val="22"/>
          <w:szCs w:val="22"/>
          <w:lang w:eastAsia="en-AU"/>
        </w:rPr>
      </w:pPr>
    </w:p>
    <w:p w14:paraId="14E77914" w14:textId="77777777" w:rsidR="002123DF" w:rsidRPr="00F65EA3" w:rsidRDefault="002123DF" w:rsidP="002123DF">
      <w:pPr>
        <w:numPr>
          <w:ilvl w:val="0"/>
          <w:numId w:val="7"/>
        </w:numPr>
        <w:jc w:val="both"/>
        <w:rPr>
          <w:rFonts w:cs="Arial"/>
          <w:sz w:val="22"/>
          <w:szCs w:val="22"/>
          <w:lang w:eastAsia="en-AU"/>
        </w:rPr>
      </w:pPr>
      <w:r w:rsidRPr="00F65EA3">
        <w:rPr>
          <w:rFonts w:cs="Arial"/>
          <w:sz w:val="22"/>
          <w:szCs w:val="22"/>
          <w:lang w:eastAsia="en-AU"/>
        </w:rPr>
        <w:t xml:space="preserve">you are an </w:t>
      </w:r>
      <w:r w:rsidRPr="00F65EA3">
        <w:rPr>
          <w:rFonts w:cs="Arial"/>
          <w:b/>
          <w:sz w:val="22"/>
          <w:szCs w:val="22"/>
          <w:lang w:eastAsia="en-AU"/>
        </w:rPr>
        <w:t>authorised dealer</w:t>
      </w:r>
      <w:r w:rsidRPr="00F65EA3">
        <w:rPr>
          <w:rFonts w:cs="Arial"/>
          <w:sz w:val="22"/>
          <w:szCs w:val="22"/>
          <w:lang w:eastAsia="en-AU"/>
        </w:rPr>
        <w:t xml:space="preserve"> of Volkswagen, Audi or Skoda vehicles, are a company that is related to the Volkswagen Group or had an interest limited to the right to use as affected vehicle owned by the respondents (for example employees or contractors); or </w:t>
      </w:r>
    </w:p>
    <w:p w14:paraId="0F1CB59B" w14:textId="77777777" w:rsidR="002123DF" w:rsidRPr="00F65EA3" w:rsidRDefault="002123DF" w:rsidP="002123DF">
      <w:pPr>
        <w:ind w:left="720"/>
        <w:contextualSpacing/>
        <w:jc w:val="both"/>
        <w:rPr>
          <w:rFonts w:cs="Arial"/>
          <w:sz w:val="22"/>
          <w:szCs w:val="22"/>
          <w:lang w:eastAsia="en-AU"/>
        </w:rPr>
      </w:pPr>
    </w:p>
    <w:p w14:paraId="5B6FBDC5" w14:textId="77777777" w:rsidR="002123DF" w:rsidRPr="00F65EA3" w:rsidRDefault="002123DF" w:rsidP="002123DF">
      <w:pPr>
        <w:numPr>
          <w:ilvl w:val="0"/>
          <w:numId w:val="7"/>
        </w:numPr>
        <w:jc w:val="both"/>
        <w:rPr>
          <w:rFonts w:cs="Arial"/>
          <w:sz w:val="22"/>
          <w:szCs w:val="22"/>
          <w:lang w:eastAsia="en-AU"/>
        </w:rPr>
      </w:pPr>
      <w:proofErr w:type="gramStart"/>
      <w:r w:rsidRPr="00F65EA3">
        <w:rPr>
          <w:rFonts w:cs="Arial"/>
          <w:sz w:val="22"/>
          <w:szCs w:val="22"/>
          <w:lang w:eastAsia="en-AU"/>
        </w:rPr>
        <w:t>your</w:t>
      </w:r>
      <w:proofErr w:type="gramEnd"/>
      <w:r w:rsidRPr="00F65EA3">
        <w:rPr>
          <w:rFonts w:cs="Arial"/>
          <w:sz w:val="22"/>
          <w:szCs w:val="22"/>
          <w:lang w:eastAsia="en-AU"/>
        </w:rPr>
        <w:t xml:space="preserve"> affected vehicle was </w:t>
      </w:r>
      <w:r w:rsidRPr="00F65EA3">
        <w:rPr>
          <w:rFonts w:cs="Arial"/>
          <w:b/>
          <w:sz w:val="22"/>
          <w:szCs w:val="22"/>
          <w:lang w:eastAsia="en-AU"/>
        </w:rPr>
        <w:t>written off</w:t>
      </w:r>
      <w:r w:rsidRPr="00F65EA3">
        <w:rPr>
          <w:rFonts w:cs="Arial"/>
          <w:sz w:val="22"/>
          <w:szCs w:val="22"/>
          <w:lang w:eastAsia="en-AU"/>
        </w:rPr>
        <w:t xml:space="preserve"> before the Qualifying Dates. </w:t>
      </w:r>
    </w:p>
    <w:p w14:paraId="68D00CD3" w14:textId="77777777" w:rsidR="002123DF" w:rsidRPr="00F65EA3" w:rsidRDefault="002123DF" w:rsidP="002123DF">
      <w:pPr>
        <w:ind w:left="720"/>
        <w:contextualSpacing/>
        <w:rPr>
          <w:sz w:val="22"/>
          <w:szCs w:val="22"/>
          <w:lang w:eastAsia="en-AU"/>
        </w:rPr>
      </w:pPr>
    </w:p>
    <w:p w14:paraId="1088E7D3"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 xml:space="preserve">How much will Group Members receive under the settlement? </w:t>
      </w:r>
    </w:p>
    <w:p w14:paraId="6F325614" w14:textId="77777777" w:rsidR="002123DF" w:rsidRPr="00F65EA3" w:rsidRDefault="002123DF" w:rsidP="002123DF">
      <w:pPr>
        <w:keepNext/>
        <w:jc w:val="both"/>
        <w:rPr>
          <w:rFonts w:cs="Arial"/>
          <w:sz w:val="22"/>
          <w:lang w:eastAsia="en-AU"/>
        </w:rPr>
      </w:pPr>
      <w:r w:rsidRPr="00F65EA3">
        <w:rPr>
          <w:rFonts w:cs="Arial"/>
          <w:sz w:val="22"/>
          <w:lang w:eastAsia="en-AU"/>
        </w:rPr>
        <w:t xml:space="preserve">Maurice Blackburn and Bannister Law will determine how individual settlement payments </w:t>
      </w:r>
      <w:proofErr w:type="gramStart"/>
      <w:r w:rsidRPr="00F65EA3">
        <w:rPr>
          <w:rFonts w:cs="Arial"/>
          <w:sz w:val="22"/>
          <w:lang w:eastAsia="en-AU"/>
        </w:rPr>
        <w:t>are calculated</w:t>
      </w:r>
      <w:proofErr w:type="gramEnd"/>
      <w:r w:rsidRPr="00F65EA3">
        <w:rPr>
          <w:rFonts w:cs="Arial"/>
          <w:sz w:val="22"/>
          <w:lang w:eastAsia="en-AU"/>
        </w:rPr>
        <w:t xml:space="preserve">, subject to Court approval. The amounts that </w:t>
      </w:r>
      <w:proofErr w:type="gramStart"/>
      <w:r w:rsidRPr="00F65EA3">
        <w:rPr>
          <w:rFonts w:cs="Arial"/>
          <w:sz w:val="22"/>
          <w:lang w:eastAsia="en-AU"/>
        </w:rPr>
        <w:t>will be paid</w:t>
      </w:r>
      <w:proofErr w:type="gramEnd"/>
      <w:r w:rsidRPr="00F65EA3">
        <w:rPr>
          <w:rFonts w:cs="Arial"/>
          <w:sz w:val="22"/>
          <w:lang w:eastAsia="en-AU"/>
        </w:rPr>
        <w:t xml:space="preserve"> to individual Group Members are not yet known. The following general information </w:t>
      </w:r>
      <w:proofErr w:type="gramStart"/>
      <w:r w:rsidRPr="00F65EA3">
        <w:rPr>
          <w:rFonts w:cs="Arial"/>
          <w:sz w:val="22"/>
          <w:lang w:eastAsia="en-AU"/>
        </w:rPr>
        <w:t>can be provided</w:t>
      </w:r>
      <w:proofErr w:type="gramEnd"/>
      <w:r w:rsidRPr="00F65EA3">
        <w:rPr>
          <w:rFonts w:cs="Arial"/>
          <w:sz w:val="22"/>
          <w:lang w:eastAsia="en-AU"/>
        </w:rPr>
        <w:t xml:space="preserve"> at this time. Under the proposed settlement, payments to eligible Group Members will vary depending on a number of factors, including</w:t>
      </w:r>
      <w:r w:rsidRPr="00F65EA3">
        <w:rPr>
          <w:rFonts w:cs="Arial"/>
          <w:sz w:val="22"/>
          <w:szCs w:val="22"/>
          <w:lang w:eastAsia="en-AU"/>
        </w:rPr>
        <w:t xml:space="preserve"> </w:t>
      </w:r>
      <w:r w:rsidRPr="00F65EA3">
        <w:rPr>
          <w:rFonts w:cs="Arial"/>
          <w:sz w:val="22"/>
          <w:lang w:eastAsia="en-AU"/>
        </w:rPr>
        <w:t xml:space="preserve">the number of affected vehicles of eligible Group Members who register to participate in the Settlement Scheme.  </w:t>
      </w:r>
    </w:p>
    <w:p w14:paraId="791D2197" w14:textId="77777777" w:rsidR="002123DF" w:rsidRPr="00F65EA3" w:rsidRDefault="002123DF" w:rsidP="002123DF">
      <w:pPr>
        <w:jc w:val="both"/>
        <w:rPr>
          <w:rFonts w:cs="Arial"/>
          <w:sz w:val="22"/>
          <w:lang w:eastAsia="en-AU"/>
        </w:rPr>
      </w:pPr>
    </w:p>
    <w:p w14:paraId="6D9EA673" w14:textId="77777777" w:rsidR="002123DF" w:rsidRPr="00F65EA3" w:rsidRDefault="002123DF" w:rsidP="002123DF">
      <w:pPr>
        <w:jc w:val="both"/>
        <w:rPr>
          <w:rFonts w:cs="Arial"/>
          <w:sz w:val="22"/>
          <w:lang w:eastAsia="en-AU"/>
        </w:rPr>
      </w:pPr>
      <w:r w:rsidRPr="00F65EA3">
        <w:rPr>
          <w:rFonts w:cs="Arial"/>
          <w:sz w:val="22"/>
          <w:lang w:eastAsia="en-AU"/>
        </w:rPr>
        <w:t xml:space="preserve">The participation rate </w:t>
      </w:r>
      <w:proofErr w:type="gramStart"/>
      <w:r w:rsidRPr="00F65EA3">
        <w:rPr>
          <w:rFonts w:cs="Arial"/>
          <w:sz w:val="22"/>
          <w:lang w:eastAsia="en-AU"/>
        </w:rPr>
        <w:t>will only be known</w:t>
      </w:r>
      <w:proofErr w:type="gramEnd"/>
      <w:r w:rsidRPr="00F65EA3">
        <w:rPr>
          <w:rFonts w:cs="Arial"/>
          <w:sz w:val="22"/>
          <w:lang w:eastAsia="en-AU"/>
        </w:rPr>
        <w:t xml:space="preserve"> after the completion of the registration process and after all registered claims have been assessed. In the unlikely </w:t>
      </w:r>
      <w:proofErr w:type="gramStart"/>
      <w:r w:rsidRPr="00F65EA3">
        <w:rPr>
          <w:rFonts w:cs="Arial"/>
          <w:sz w:val="22"/>
          <w:lang w:eastAsia="en-AU"/>
        </w:rPr>
        <w:t>event</w:t>
      </w:r>
      <w:proofErr w:type="gramEnd"/>
      <w:r w:rsidRPr="00F65EA3">
        <w:rPr>
          <w:rFonts w:cs="Arial"/>
          <w:sz w:val="22"/>
          <w:lang w:eastAsia="en-AU"/>
        </w:rPr>
        <w:t xml:space="preserve"> that every affected vehicle is registered to participate by an eligible Group Member the </w:t>
      </w:r>
      <w:r w:rsidRPr="00F65EA3">
        <w:rPr>
          <w:rFonts w:cs="Arial"/>
          <w:b/>
          <w:sz w:val="22"/>
          <w:lang w:eastAsia="en-AU"/>
        </w:rPr>
        <w:t>estimated average</w:t>
      </w:r>
      <w:r w:rsidRPr="00F65EA3">
        <w:rPr>
          <w:rFonts w:cs="Arial"/>
          <w:sz w:val="22"/>
          <w:lang w:eastAsia="en-AU"/>
        </w:rPr>
        <w:t xml:space="preserve"> payment across all affected vehicles would be approximately $1,400 for each affected vehicle, with average payments increasing if participation rates are lower.</w:t>
      </w:r>
    </w:p>
    <w:p w14:paraId="7A6468B5" w14:textId="77777777" w:rsidR="002123DF" w:rsidRPr="00F65EA3" w:rsidRDefault="002123DF" w:rsidP="002123DF">
      <w:pPr>
        <w:jc w:val="both"/>
        <w:rPr>
          <w:rFonts w:cs="Arial"/>
          <w:sz w:val="22"/>
          <w:lang w:eastAsia="en-AU"/>
        </w:rPr>
      </w:pPr>
    </w:p>
    <w:p w14:paraId="7911ED59" w14:textId="77777777" w:rsidR="002123DF" w:rsidRPr="00F65EA3" w:rsidRDefault="002123DF" w:rsidP="002123DF">
      <w:pPr>
        <w:jc w:val="both"/>
        <w:rPr>
          <w:rFonts w:cs="Arial"/>
          <w:sz w:val="22"/>
          <w:lang w:eastAsia="en-AU"/>
        </w:rPr>
      </w:pPr>
      <w:r w:rsidRPr="00F65EA3">
        <w:rPr>
          <w:rFonts w:cs="Arial"/>
          <w:sz w:val="22"/>
          <w:lang w:eastAsia="en-AU"/>
        </w:rPr>
        <w:t xml:space="preserve">The way that Maurice Blackburn and Bannister Law propose to determine individual payments </w:t>
      </w:r>
      <w:proofErr w:type="gramStart"/>
      <w:r w:rsidRPr="00F65EA3">
        <w:rPr>
          <w:rFonts w:cs="Arial"/>
          <w:sz w:val="22"/>
          <w:lang w:eastAsia="en-AU"/>
        </w:rPr>
        <w:t>will, for reasons of efficiency, broadly reflect</w:t>
      </w:r>
      <w:proofErr w:type="gramEnd"/>
      <w:r w:rsidRPr="00F65EA3">
        <w:rPr>
          <w:rFonts w:cs="Arial"/>
          <w:sz w:val="22"/>
          <w:lang w:eastAsia="en-AU"/>
        </w:rPr>
        <w:t xml:space="preserve"> the way they put the applicants' case (noting that the Volkswagen Group disputed this). This means that settlement payments will also vary for different vehicle models depending on their “as new” price when purchased and their estimated second hand value immediately before the Qualifying Date.  </w:t>
      </w:r>
    </w:p>
    <w:p w14:paraId="3FCB6A71" w14:textId="77777777" w:rsidR="002123DF" w:rsidRPr="00F65EA3" w:rsidRDefault="002123DF" w:rsidP="002123DF">
      <w:pPr>
        <w:jc w:val="both"/>
        <w:rPr>
          <w:rFonts w:cs="Arial"/>
          <w:sz w:val="22"/>
          <w:lang w:eastAsia="en-AU"/>
        </w:rPr>
      </w:pPr>
    </w:p>
    <w:p w14:paraId="79BF354F" w14:textId="77777777" w:rsidR="002123DF" w:rsidRPr="00F65EA3" w:rsidRDefault="002123DF" w:rsidP="002123DF">
      <w:pPr>
        <w:jc w:val="both"/>
        <w:rPr>
          <w:rFonts w:cs="Arial"/>
          <w:sz w:val="22"/>
          <w:lang w:eastAsia="en-AU"/>
        </w:rPr>
      </w:pPr>
      <w:r w:rsidRPr="00F65EA3">
        <w:rPr>
          <w:rFonts w:cs="Arial"/>
          <w:sz w:val="22"/>
          <w:lang w:eastAsia="en-AU"/>
        </w:rPr>
        <w:t xml:space="preserve">By way of example, the owner of a 2015 model year Audi Q5 will receive a higher settlement payment than the owner of a 2009 model year Audi Q5 because the older 2009 model has depreciated more. Similarly, the owner of a 2014 model year Audi A6 will receive a higher settlement payment than the owner of a 2014 model year Volkswagen Polo because the new vehicle price of an Audi A6 is higher.  </w:t>
      </w:r>
    </w:p>
    <w:p w14:paraId="376D03BF" w14:textId="77777777" w:rsidR="002123DF" w:rsidRPr="00F65EA3" w:rsidRDefault="002123DF" w:rsidP="002123DF">
      <w:pPr>
        <w:jc w:val="both"/>
        <w:rPr>
          <w:rFonts w:cs="Arial"/>
          <w:sz w:val="22"/>
          <w:lang w:eastAsia="en-AU"/>
        </w:rPr>
      </w:pPr>
    </w:p>
    <w:p w14:paraId="6C358D87" w14:textId="77777777" w:rsidR="002123DF" w:rsidRPr="00F65EA3" w:rsidRDefault="002123DF" w:rsidP="002123DF">
      <w:pPr>
        <w:jc w:val="both"/>
        <w:rPr>
          <w:rFonts w:cs="Arial"/>
          <w:sz w:val="22"/>
          <w:lang w:eastAsia="en-AU"/>
        </w:rPr>
      </w:pPr>
      <w:r w:rsidRPr="00F65EA3">
        <w:rPr>
          <w:rFonts w:cs="Arial"/>
          <w:sz w:val="22"/>
          <w:lang w:eastAsia="en-AU"/>
        </w:rPr>
        <w:t xml:space="preserve">For reasons of efficiency in the administration of the settlement, and because this is a pragmatic commercial settlement, the Settlement Scheme does not involve assessment of the value of any individual vehicle and cannot do so given that it will not take into account </w:t>
      </w:r>
      <w:r w:rsidRPr="00F65EA3">
        <w:rPr>
          <w:rFonts w:cs="Arial"/>
          <w:i/>
          <w:sz w:val="22"/>
          <w:lang w:eastAsia="en-AU"/>
        </w:rPr>
        <w:t>all</w:t>
      </w:r>
      <w:r w:rsidRPr="00F65EA3">
        <w:rPr>
          <w:rFonts w:cs="Arial"/>
          <w:sz w:val="22"/>
          <w:lang w:eastAsia="en-AU"/>
        </w:rPr>
        <w:t xml:space="preserve"> factors that may be relevant to vehicle values.  </w:t>
      </w:r>
    </w:p>
    <w:p w14:paraId="5D835765" w14:textId="77777777" w:rsidR="002123DF" w:rsidRPr="00F65EA3" w:rsidRDefault="002123DF" w:rsidP="002123DF">
      <w:pPr>
        <w:jc w:val="both"/>
        <w:rPr>
          <w:rFonts w:cs="Arial"/>
          <w:sz w:val="22"/>
          <w:lang w:eastAsia="en-AU"/>
        </w:rPr>
      </w:pPr>
    </w:p>
    <w:p w14:paraId="12BCB881" w14:textId="77777777" w:rsidR="002123DF" w:rsidRPr="00F65EA3" w:rsidRDefault="002123DF" w:rsidP="002123DF">
      <w:pPr>
        <w:jc w:val="both"/>
        <w:rPr>
          <w:rFonts w:cs="Arial"/>
          <w:sz w:val="22"/>
          <w:szCs w:val="22"/>
          <w:lang w:eastAsia="en-AU"/>
        </w:rPr>
      </w:pPr>
      <w:r w:rsidRPr="00F65EA3">
        <w:rPr>
          <w:rFonts w:cs="Arial"/>
          <w:sz w:val="22"/>
          <w:lang w:eastAsia="en-AU"/>
        </w:rPr>
        <w:t xml:space="preserve">Finally, the amount of each settlement payment will also depend on the type of interest held by the eligible Group Member. </w:t>
      </w:r>
      <w:r w:rsidRPr="00F65EA3">
        <w:rPr>
          <w:rFonts w:cs="Arial"/>
          <w:sz w:val="22"/>
          <w:szCs w:val="22"/>
          <w:lang w:eastAsia="en-AU"/>
        </w:rPr>
        <w:t xml:space="preserve">The Settlement Scheme provides that a single payment amount will be available for each affected vehicle: </w:t>
      </w:r>
    </w:p>
    <w:p w14:paraId="6CFED52C" w14:textId="77777777" w:rsidR="002123DF" w:rsidRPr="00F65EA3" w:rsidRDefault="002123DF" w:rsidP="002123DF">
      <w:pPr>
        <w:jc w:val="both"/>
        <w:rPr>
          <w:rFonts w:cs="Arial"/>
          <w:sz w:val="22"/>
          <w:szCs w:val="22"/>
          <w:lang w:eastAsia="en-AU"/>
        </w:rPr>
      </w:pPr>
    </w:p>
    <w:p w14:paraId="0744EE8D" w14:textId="77777777" w:rsidR="002123DF" w:rsidRPr="00F65EA3" w:rsidRDefault="002123DF" w:rsidP="002123DF">
      <w:pPr>
        <w:numPr>
          <w:ilvl w:val="0"/>
          <w:numId w:val="8"/>
        </w:numPr>
        <w:jc w:val="both"/>
        <w:rPr>
          <w:rFonts w:cs="Arial"/>
          <w:sz w:val="22"/>
          <w:szCs w:val="22"/>
          <w:lang w:eastAsia="en-AU"/>
        </w:rPr>
      </w:pPr>
      <w:r w:rsidRPr="00F65EA3">
        <w:rPr>
          <w:rFonts w:cs="Arial"/>
          <w:sz w:val="22"/>
          <w:szCs w:val="22"/>
          <w:lang w:eastAsia="en-AU"/>
        </w:rPr>
        <w:t>owners and lessees under a finance lease or a novated lease will receive 100% of the payment;</w:t>
      </w:r>
    </w:p>
    <w:p w14:paraId="7A804A8C" w14:textId="77777777" w:rsidR="002123DF" w:rsidRPr="00F65EA3" w:rsidRDefault="002123DF" w:rsidP="002123DF">
      <w:pPr>
        <w:tabs>
          <w:tab w:val="left" w:pos="2930"/>
        </w:tabs>
        <w:jc w:val="both"/>
        <w:rPr>
          <w:rFonts w:cs="Arial"/>
          <w:sz w:val="22"/>
          <w:szCs w:val="22"/>
          <w:lang w:eastAsia="en-AU"/>
        </w:rPr>
      </w:pPr>
    </w:p>
    <w:p w14:paraId="26B8C6F6" w14:textId="77777777" w:rsidR="002123DF" w:rsidRPr="00F65EA3" w:rsidRDefault="002123DF" w:rsidP="002123DF">
      <w:pPr>
        <w:numPr>
          <w:ilvl w:val="0"/>
          <w:numId w:val="8"/>
        </w:numPr>
        <w:jc w:val="both"/>
        <w:rPr>
          <w:rFonts w:cs="Arial"/>
          <w:sz w:val="22"/>
          <w:lang w:eastAsia="en-AU"/>
        </w:rPr>
      </w:pPr>
      <w:r w:rsidRPr="00F65EA3">
        <w:rPr>
          <w:rFonts w:cs="Arial"/>
          <w:sz w:val="22"/>
          <w:szCs w:val="22"/>
          <w:lang w:eastAsia="en-AU"/>
        </w:rPr>
        <w:t>where there was an operating lease, part of the payment will be available for the lessee (50%) and the remainder for the lessor (50%), with those proportions reflecting the economic risks and benefits assumed by lessees and lessors and taking into account the types of legal claims made by the applicants.</w:t>
      </w:r>
    </w:p>
    <w:p w14:paraId="19B586A3" w14:textId="77777777" w:rsidR="002123DF" w:rsidRPr="00F65EA3" w:rsidRDefault="002123DF" w:rsidP="002123DF">
      <w:pPr>
        <w:jc w:val="both"/>
        <w:rPr>
          <w:rFonts w:cs="Arial"/>
          <w:b/>
          <w:sz w:val="22"/>
          <w:lang w:eastAsia="en-AU"/>
        </w:rPr>
      </w:pPr>
    </w:p>
    <w:p w14:paraId="63FAE8B0"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Is the proposed settlement an admission of liability by Volkswagen, Audi and Skoda?</w:t>
      </w:r>
    </w:p>
    <w:p w14:paraId="2BBDA119" w14:textId="77777777" w:rsidR="002123DF" w:rsidRPr="00F65EA3" w:rsidRDefault="002123DF" w:rsidP="002123DF">
      <w:pPr>
        <w:jc w:val="both"/>
        <w:rPr>
          <w:rFonts w:cs="Arial"/>
          <w:sz w:val="22"/>
          <w:lang w:eastAsia="en-AU"/>
        </w:rPr>
      </w:pPr>
      <w:r w:rsidRPr="00F65EA3">
        <w:rPr>
          <w:sz w:val="22"/>
          <w:szCs w:val="22"/>
          <w:lang w:eastAsia="en-AU"/>
        </w:rPr>
        <w:t xml:space="preserve">No.  </w:t>
      </w:r>
      <w:r w:rsidRPr="00F65EA3">
        <w:rPr>
          <w:rFonts w:cs="Arial"/>
          <w:sz w:val="22"/>
          <w:lang w:eastAsia="en-AU"/>
        </w:rPr>
        <w:t xml:space="preserve">The respondents deny the allegations made in the class actions and the </w:t>
      </w:r>
      <w:proofErr w:type="gramStart"/>
      <w:r w:rsidRPr="00F65EA3">
        <w:rPr>
          <w:rFonts w:cs="Arial"/>
          <w:sz w:val="22"/>
          <w:lang w:eastAsia="en-AU"/>
        </w:rPr>
        <w:t>proposed settlement was agreed without any admission of liability by the Volkswagen Group</w:t>
      </w:r>
      <w:proofErr w:type="gramEnd"/>
      <w:r w:rsidRPr="00F65EA3">
        <w:rPr>
          <w:rFonts w:cs="Arial"/>
          <w:sz w:val="22"/>
          <w:lang w:eastAsia="en-AU"/>
        </w:rPr>
        <w:t xml:space="preserve">. In particular, the Volkswagen Group denies that Group Members suffered any loss or that the </w:t>
      </w:r>
      <w:proofErr w:type="gramStart"/>
      <w:r w:rsidRPr="00F65EA3">
        <w:rPr>
          <w:rFonts w:cs="Arial"/>
          <w:sz w:val="22"/>
          <w:lang w:eastAsia="en-AU"/>
        </w:rPr>
        <w:t>value of their vehicles was affected by the diesel issue</w:t>
      </w:r>
      <w:proofErr w:type="gramEnd"/>
      <w:r w:rsidRPr="00F65EA3">
        <w:rPr>
          <w:rFonts w:cs="Arial"/>
          <w:sz w:val="22"/>
          <w:lang w:eastAsia="en-AU"/>
        </w:rPr>
        <w:t>. This settlement represents a negotiated commercial outcome. Settlement without any admission of liability is common in Australian class actions.</w:t>
      </w:r>
    </w:p>
    <w:p w14:paraId="24DA0AE9" w14:textId="77777777" w:rsidR="002123DF" w:rsidRPr="00F65EA3" w:rsidRDefault="002123DF" w:rsidP="002123DF">
      <w:pPr>
        <w:jc w:val="both"/>
        <w:rPr>
          <w:rFonts w:cs="Arial"/>
          <w:b/>
          <w:sz w:val="22"/>
          <w:lang w:eastAsia="en-AU"/>
        </w:rPr>
      </w:pPr>
    </w:p>
    <w:p w14:paraId="5BE1436A"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 xml:space="preserve">Will Group Members be required to pay any legal fees? </w:t>
      </w:r>
    </w:p>
    <w:p w14:paraId="6BE4313E" w14:textId="77777777" w:rsidR="002123DF" w:rsidRPr="00F65EA3" w:rsidRDefault="002123DF" w:rsidP="002123DF">
      <w:pPr>
        <w:jc w:val="both"/>
        <w:rPr>
          <w:rFonts w:cs="Arial"/>
          <w:sz w:val="22"/>
          <w:lang w:eastAsia="en-AU"/>
        </w:rPr>
      </w:pPr>
      <w:r w:rsidRPr="00F65EA3">
        <w:rPr>
          <w:rFonts w:cs="Arial"/>
          <w:sz w:val="22"/>
          <w:lang w:eastAsia="en-AU"/>
        </w:rPr>
        <w:t xml:space="preserve">No.  You will not need to pay or </w:t>
      </w:r>
      <w:proofErr w:type="gramStart"/>
      <w:r w:rsidRPr="00F65EA3">
        <w:rPr>
          <w:rFonts w:cs="Arial"/>
          <w:sz w:val="22"/>
          <w:lang w:eastAsia="en-AU"/>
        </w:rPr>
        <w:t>make any contribution</w:t>
      </w:r>
      <w:proofErr w:type="gramEnd"/>
      <w:r w:rsidRPr="00F65EA3">
        <w:rPr>
          <w:rFonts w:cs="Arial"/>
          <w:sz w:val="22"/>
          <w:lang w:eastAsia="en-AU"/>
        </w:rPr>
        <w:t xml:space="preserve"> to the payment of any legal costs relating to the class actions or the administration of the proposed settlement.</w:t>
      </w:r>
    </w:p>
    <w:p w14:paraId="2C41FB68" w14:textId="77777777" w:rsidR="002123DF" w:rsidRPr="00F65EA3" w:rsidRDefault="002123DF" w:rsidP="002123DF">
      <w:pPr>
        <w:jc w:val="both"/>
        <w:rPr>
          <w:rFonts w:cs="Arial"/>
          <w:sz w:val="22"/>
          <w:lang w:eastAsia="en-AU"/>
        </w:rPr>
      </w:pPr>
    </w:p>
    <w:p w14:paraId="7A567D33" w14:textId="77777777" w:rsidR="002123DF" w:rsidRPr="00F65EA3" w:rsidRDefault="002123DF" w:rsidP="002123DF">
      <w:pPr>
        <w:jc w:val="both"/>
        <w:rPr>
          <w:rFonts w:cs="Arial"/>
          <w:sz w:val="22"/>
          <w:lang w:eastAsia="en-AU"/>
        </w:rPr>
      </w:pPr>
      <w:r w:rsidRPr="00F65EA3">
        <w:rPr>
          <w:rFonts w:cs="Arial"/>
          <w:sz w:val="22"/>
          <w:lang w:eastAsia="en-AU"/>
        </w:rPr>
        <w:t xml:space="preserve">If the proposed settlement is approved, as set out above, the </w:t>
      </w:r>
      <w:proofErr w:type="gramStart"/>
      <w:r w:rsidRPr="00F65EA3">
        <w:rPr>
          <w:rFonts w:cs="Arial"/>
          <w:sz w:val="22"/>
          <w:lang w:eastAsia="en-AU"/>
        </w:rPr>
        <w:t xml:space="preserve">applicants’ reasonable legal costs (an amount that will be determined by the Court) will be paid by the Volkswagen Group </w:t>
      </w:r>
      <w:r w:rsidRPr="00F65EA3">
        <w:rPr>
          <w:rFonts w:cs="Arial"/>
          <w:b/>
          <w:sz w:val="22"/>
          <w:lang w:eastAsia="en-AU"/>
        </w:rPr>
        <w:t>on top of the settlement sum</w:t>
      </w:r>
      <w:proofErr w:type="gramEnd"/>
      <w:r w:rsidRPr="00F65EA3">
        <w:rPr>
          <w:rFonts w:cs="Arial"/>
          <w:sz w:val="22"/>
          <w:lang w:eastAsia="en-AU"/>
        </w:rPr>
        <w:t xml:space="preserve">. </w:t>
      </w:r>
    </w:p>
    <w:p w14:paraId="630E051C" w14:textId="77777777" w:rsidR="002123DF" w:rsidRPr="00F65EA3" w:rsidRDefault="002123DF" w:rsidP="002123DF">
      <w:pPr>
        <w:jc w:val="both"/>
        <w:rPr>
          <w:rFonts w:cs="Arial"/>
          <w:sz w:val="22"/>
          <w:lang w:eastAsia="en-AU"/>
        </w:rPr>
      </w:pPr>
    </w:p>
    <w:p w14:paraId="2BE6FF7B" w14:textId="77777777" w:rsidR="002123DF" w:rsidRPr="00F65EA3" w:rsidRDefault="002123DF" w:rsidP="002123DF">
      <w:pPr>
        <w:jc w:val="both"/>
        <w:rPr>
          <w:rFonts w:cs="Arial"/>
          <w:sz w:val="22"/>
          <w:lang w:eastAsia="en-AU"/>
        </w:rPr>
      </w:pPr>
      <w:r w:rsidRPr="00F65EA3">
        <w:rPr>
          <w:rFonts w:cs="Arial"/>
          <w:sz w:val="22"/>
          <w:lang w:eastAsia="en-AU"/>
        </w:rPr>
        <w:t xml:space="preserve">The </w:t>
      </w:r>
      <w:proofErr w:type="gramStart"/>
      <w:r w:rsidRPr="00F65EA3">
        <w:rPr>
          <w:rFonts w:cs="Arial"/>
          <w:sz w:val="22"/>
          <w:lang w:eastAsia="en-AU"/>
        </w:rPr>
        <w:t>reasonable, Court-approved costs of administering the proposed settlement will also be paid by the Volkswagen Group on top of the settlement sum</w:t>
      </w:r>
      <w:proofErr w:type="gramEnd"/>
      <w:r w:rsidRPr="00F65EA3">
        <w:rPr>
          <w:rFonts w:cs="Arial"/>
          <w:sz w:val="22"/>
          <w:lang w:eastAsia="en-AU"/>
        </w:rPr>
        <w:t xml:space="preserve">.  </w:t>
      </w:r>
    </w:p>
    <w:p w14:paraId="57E3D245" w14:textId="77777777" w:rsidR="002123DF" w:rsidRPr="00F65EA3" w:rsidRDefault="002123DF" w:rsidP="002123DF">
      <w:pPr>
        <w:jc w:val="both"/>
        <w:rPr>
          <w:rFonts w:cs="Arial"/>
          <w:sz w:val="22"/>
          <w:lang w:eastAsia="en-AU"/>
        </w:rPr>
      </w:pPr>
    </w:p>
    <w:p w14:paraId="5A0690EF" w14:textId="77777777" w:rsidR="002123DF" w:rsidRPr="00F65EA3" w:rsidRDefault="002123DF" w:rsidP="002123DF">
      <w:pPr>
        <w:jc w:val="both"/>
        <w:rPr>
          <w:rFonts w:cs="Arial"/>
          <w:sz w:val="22"/>
          <w:lang w:eastAsia="en-AU"/>
        </w:rPr>
      </w:pPr>
      <w:r w:rsidRPr="00F65EA3">
        <w:rPr>
          <w:rFonts w:cs="Arial"/>
          <w:sz w:val="22"/>
          <w:lang w:eastAsia="en-AU"/>
        </w:rPr>
        <w:t xml:space="preserve">As a result, no amounts </w:t>
      </w:r>
      <w:proofErr w:type="gramStart"/>
      <w:r w:rsidRPr="00F65EA3">
        <w:rPr>
          <w:rFonts w:cs="Arial"/>
          <w:sz w:val="22"/>
          <w:lang w:eastAsia="en-AU"/>
        </w:rPr>
        <w:t>will be deducted</w:t>
      </w:r>
      <w:proofErr w:type="gramEnd"/>
      <w:r w:rsidRPr="00F65EA3">
        <w:rPr>
          <w:rFonts w:cs="Arial"/>
          <w:sz w:val="22"/>
          <w:lang w:eastAsia="en-AU"/>
        </w:rPr>
        <w:t xml:space="preserve"> from eligible Group Members’ settlement payments in order to pay or contribute to the payment of the applicants’ legal costs or the costs of administering the settlement. The potential for deductions from settlement payments in order to pay the Funder in the BL class actions </w:t>
      </w:r>
      <w:proofErr w:type="gramStart"/>
      <w:r w:rsidRPr="00F65EA3">
        <w:rPr>
          <w:rFonts w:cs="Arial"/>
          <w:sz w:val="22"/>
          <w:lang w:eastAsia="en-AU"/>
        </w:rPr>
        <w:t>is explained</w:t>
      </w:r>
      <w:proofErr w:type="gramEnd"/>
      <w:r w:rsidRPr="00F65EA3">
        <w:rPr>
          <w:rFonts w:cs="Arial"/>
          <w:sz w:val="22"/>
          <w:lang w:eastAsia="en-AU"/>
        </w:rPr>
        <w:t xml:space="preserve"> below.</w:t>
      </w:r>
    </w:p>
    <w:p w14:paraId="48F301EE" w14:textId="77777777" w:rsidR="002123DF" w:rsidRPr="00F65EA3" w:rsidRDefault="002123DF" w:rsidP="002123DF">
      <w:pPr>
        <w:jc w:val="both"/>
        <w:rPr>
          <w:sz w:val="22"/>
          <w:szCs w:val="22"/>
          <w:lang w:eastAsia="en-AU"/>
        </w:rPr>
      </w:pPr>
    </w:p>
    <w:p w14:paraId="2D9DF0E3" w14:textId="77777777" w:rsidR="002123DF" w:rsidRPr="00F65EA3" w:rsidRDefault="002123DF" w:rsidP="002123DF">
      <w:pPr>
        <w:keepNext/>
        <w:pBdr>
          <w:bottom w:val="single" w:sz="4" w:space="1" w:color="auto"/>
        </w:pBdr>
        <w:spacing w:after="180"/>
        <w:jc w:val="both"/>
        <w:rPr>
          <w:b/>
          <w:caps/>
          <w:sz w:val="22"/>
          <w:szCs w:val="22"/>
          <w:lang w:eastAsia="en-AU"/>
        </w:rPr>
      </w:pPr>
      <w:r w:rsidRPr="00F65EA3">
        <w:rPr>
          <w:b/>
          <w:caps/>
          <w:sz w:val="22"/>
          <w:szCs w:val="22"/>
          <w:lang w:eastAsia="en-AU"/>
        </w:rPr>
        <w:t xml:space="preserve">SECTION 3: </w:t>
      </w:r>
      <w:r w:rsidRPr="00F65EA3">
        <w:rPr>
          <w:b/>
          <w:caps/>
          <w:sz w:val="22"/>
          <w:szCs w:val="22"/>
          <w:lang w:eastAsia="en-AU"/>
        </w:rPr>
        <w:tab/>
        <w:t>FUNDING APPLICATION</w:t>
      </w:r>
    </w:p>
    <w:p w14:paraId="1F2EFDBF"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Bannister Law litigation funding arrangements</w:t>
      </w:r>
    </w:p>
    <w:p w14:paraId="68C95496" w14:textId="77777777" w:rsidR="002123DF" w:rsidRPr="00F65EA3" w:rsidRDefault="002123DF" w:rsidP="002123DF">
      <w:pPr>
        <w:autoSpaceDE w:val="0"/>
        <w:autoSpaceDN w:val="0"/>
        <w:adjustRightInd w:val="0"/>
        <w:jc w:val="both"/>
        <w:rPr>
          <w:rFonts w:eastAsia="ArialMT" w:cs="Arial"/>
          <w:sz w:val="22"/>
          <w:szCs w:val="22"/>
          <w:lang w:eastAsia="en-AU"/>
        </w:rPr>
      </w:pPr>
      <w:proofErr w:type="gramStart"/>
      <w:r w:rsidRPr="00F65EA3">
        <w:rPr>
          <w:rFonts w:eastAsia="ArialMT" w:cs="Arial"/>
          <w:sz w:val="22"/>
          <w:szCs w:val="22"/>
          <w:lang w:eastAsia="en-AU"/>
        </w:rPr>
        <w:t xml:space="preserve">The Bannister class actions are funded by a litigation funder, Grosvenor Litigation Services Pty Ltd (the </w:t>
      </w:r>
      <w:r w:rsidRPr="00F65EA3">
        <w:rPr>
          <w:rFonts w:eastAsia="ArialMT" w:cs="Arial"/>
          <w:b/>
          <w:sz w:val="22"/>
          <w:szCs w:val="22"/>
          <w:lang w:eastAsia="en-AU"/>
        </w:rPr>
        <w:t>Funder</w:t>
      </w:r>
      <w:r w:rsidRPr="00F65EA3">
        <w:rPr>
          <w:rFonts w:eastAsia="ArialMT" w:cs="Arial"/>
          <w:sz w:val="22"/>
          <w:szCs w:val="22"/>
          <w:lang w:eastAsia="en-AU"/>
        </w:rPr>
        <w:t>)</w:t>
      </w:r>
      <w:proofErr w:type="gramEnd"/>
      <w:r w:rsidRPr="00F65EA3">
        <w:rPr>
          <w:rFonts w:eastAsia="ArialMT" w:cs="Arial"/>
          <w:sz w:val="22"/>
          <w:szCs w:val="22"/>
          <w:lang w:eastAsia="en-AU"/>
        </w:rPr>
        <w:t>. The applicants in the Bannister class actions have entered into litigation funding agreements with the Funder. Some Group Members in the Bannister class actions have also entered into litigation funding agreements with the Funder.</w:t>
      </w:r>
    </w:p>
    <w:p w14:paraId="0EBEF448" w14:textId="77777777" w:rsidR="002123DF" w:rsidRPr="00F65EA3" w:rsidRDefault="002123DF" w:rsidP="002123DF">
      <w:pPr>
        <w:autoSpaceDE w:val="0"/>
        <w:autoSpaceDN w:val="0"/>
        <w:adjustRightInd w:val="0"/>
        <w:jc w:val="both"/>
        <w:rPr>
          <w:rFonts w:eastAsia="ArialMT" w:cs="Arial"/>
          <w:sz w:val="22"/>
          <w:szCs w:val="22"/>
          <w:lang w:eastAsia="en-AU"/>
        </w:rPr>
      </w:pPr>
    </w:p>
    <w:p w14:paraId="4EAE3650" w14:textId="77777777" w:rsidR="002123DF" w:rsidRPr="00F65EA3" w:rsidRDefault="002123DF" w:rsidP="002123DF">
      <w:pPr>
        <w:autoSpaceDE w:val="0"/>
        <w:autoSpaceDN w:val="0"/>
        <w:adjustRightInd w:val="0"/>
        <w:jc w:val="both"/>
        <w:rPr>
          <w:rFonts w:eastAsia="ArialMT" w:cs="Arial"/>
          <w:sz w:val="22"/>
          <w:szCs w:val="21"/>
          <w:lang w:eastAsia="en-AU"/>
        </w:rPr>
      </w:pPr>
      <w:r w:rsidRPr="00F65EA3">
        <w:rPr>
          <w:rFonts w:eastAsia="ArialMT" w:cs="Arial"/>
          <w:sz w:val="22"/>
          <w:szCs w:val="21"/>
          <w:lang w:eastAsia="en-AU"/>
        </w:rPr>
        <w:t xml:space="preserve">Throughout the Bannister class actions, the Funder has: </w:t>
      </w:r>
    </w:p>
    <w:p w14:paraId="0C6671D5" w14:textId="77777777" w:rsidR="002123DF" w:rsidRPr="00F65EA3" w:rsidRDefault="002123DF" w:rsidP="002123DF">
      <w:pPr>
        <w:autoSpaceDE w:val="0"/>
        <w:autoSpaceDN w:val="0"/>
        <w:adjustRightInd w:val="0"/>
        <w:jc w:val="both"/>
        <w:rPr>
          <w:rFonts w:eastAsia="ArialMT" w:cs="Arial"/>
          <w:sz w:val="22"/>
          <w:szCs w:val="21"/>
          <w:lang w:eastAsia="en-AU"/>
        </w:rPr>
      </w:pPr>
    </w:p>
    <w:p w14:paraId="5129B8E4" w14:textId="77777777" w:rsidR="002123DF" w:rsidRPr="00F65EA3" w:rsidRDefault="002123DF" w:rsidP="002123DF">
      <w:pPr>
        <w:numPr>
          <w:ilvl w:val="0"/>
          <w:numId w:val="8"/>
        </w:numPr>
        <w:jc w:val="both"/>
        <w:rPr>
          <w:rFonts w:cs="Arial"/>
          <w:sz w:val="22"/>
          <w:szCs w:val="21"/>
          <w:lang w:eastAsia="en-AU"/>
        </w:rPr>
      </w:pPr>
      <w:r w:rsidRPr="00F65EA3">
        <w:rPr>
          <w:rFonts w:cs="Arial"/>
          <w:sz w:val="22"/>
          <w:szCs w:val="21"/>
          <w:lang w:eastAsia="en-AU"/>
        </w:rPr>
        <w:t xml:space="preserve">paid approximately $5 million towards the applicants’ legal costs in the Bannister class actions; and </w:t>
      </w:r>
    </w:p>
    <w:p w14:paraId="48A6EBBA" w14:textId="77777777" w:rsidR="002123DF" w:rsidRPr="00F65EA3" w:rsidRDefault="002123DF" w:rsidP="002123DF">
      <w:pPr>
        <w:ind w:left="720"/>
        <w:contextualSpacing/>
        <w:jc w:val="both"/>
        <w:rPr>
          <w:rFonts w:cs="Arial"/>
          <w:sz w:val="22"/>
          <w:szCs w:val="21"/>
          <w:lang w:eastAsia="en-AU"/>
        </w:rPr>
      </w:pPr>
    </w:p>
    <w:p w14:paraId="46AE23CC" w14:textId="77777777" w:rsidR="002123DF" w:rsidRPr="00F65EA3" w:rsidRDefault="002123DF" w:rsidP="002123DF">
      <w:pPr>
        <w:numPr>
          <w:ilvl w:val="0"/>
          <w:numId w:val="8"/>
        </w:numPr>
        <w:jc w:val="both"/>
        <w:rPr>
          <w:rFonts w:cs="Arial"/>
          <w:sz w:val="22"/>
          <w:szCs w:val="21"/>
          <w:lang w:eastAsia="en-AU"/>
        </w:rPr>
      </w:pPr>
      <w:proofErr w:type="gramStart"/>
      <w:r w:rsidRPr="00F65EA3">
        <w:rPr>
          <w:rFonts w:cs="Arial"/>
          <w:sz w:val="22"/>
          <w:szCs w:val="21"/>
          <w:lang w:eastAsia="en-AU"/>
        </w:rPr>
        <w:t>given</w:t>
      </w:r>
      <w:proofErr w:type="gramEnd"/>
      <w:r w:rsidRPr="00F65EA3">
        <w:rPr>
          <w:rFonts w:cs="Arial"/>
          <w:sz w:val="22"/>
          <w:szCs w:val="21"/>
          <w:lang w:eastAsia="en-AU"/>
        </w:rPr>
        <w:t xml:space="preserve"> an indemnity up to the amount of $2.1 million to the applicants to protect them against an adverse costs order made against them.</w:t>
      </w:r>
    </w:p>
    <w:p w14:paraId="21A03229" w14:textId="77777777" w:rsidR="002123DF" w:rsidRPr="00F65EA3" w:rsidRDefault="002123DF" w:rsidP="002123DF">
      <w:pPr>
        <w:jc w:val="both"/>
        <w:rPr>
          <w:rFonts w:cs="Arial"/>
          <w:sz w:val="22"/>
          <w:lang w:eastAsia="en-AU"/>
        </w:rPr>
      </w:pPr>
    </w:p>
    <w:p w14:paraId="19B11BB3" w14:textId="77777777" w:rsidR="002123DF" w:rsidRPr="00F65EA3" w:rsidRDefault="002123DF" w:rsidP="002123DF">
      <w:pPr>
        <w:autoSpaceDE w:val="0"/>
        <w:autoSpaceDN w:val="0"/>
        <w:adjustRightInd w:val="0"/>
        <w:jc w:val="both"/>
        <w:rPr>
          <w:rFonts w:eastAsia="ArialMT" w:cs="Arial"/>
          <w:sz w:val="22"/>
          <w:szCs w:val="22"/>
          <w:lang w:eastAsia="en-AU"/>
        </w:rPr>
      </w:pPr>
      <w:r w:rsidRPr="00F65EA3">
        <w:rPr>
          <w:rFonts w:eastAsia="ArialMT" w:cs="Arial"/>
          <w:sz w:val="22"/>
          <w:szCs w:val="22"/>
          <w:lang w:eastAsia="en-AU"/>
        </w:rPr>
        <w:t xml:space="preserve">In return, the Funder claims an entitlement to receive a 30% commission from the settlement payments to Group Members who have entered into a litigation funding agreement with the Funder.  </w:t>
      </w:r>
    </w:p>
    <w:p w14:paraId="3A805C79" w14:textId="77777777" w:rsidR="002123DF" w:rsidRPr="00F65EA3" w:rsidRDefault="002123DF" w:rsidP="002123DF">
      <w:pPr>
        <w:jc w:val="both"/>
        <w:rPr>
          <w:rFonts w:cs="Arial"/>
          <w:b/>
          <w:sz w:val="22"/>
          <w:lang w:eastAsia="en-AU"/>
        </w:rPr>
      </w:pPr>
    </w:p>
    <w:p w14:paraId="69685B81"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Application for a “funding order”</w:t>
      </w:r>
    </w:p>
    <w:p w14:paraId="638B63FD" w14:textId="77777777" w:rsidR="002123DF" w:rsidRPr="00F65EA3" w:rsidRDefault="002123DF" w:rsidP="002123DF">
      <w:pPr>
        <w:autoSpaceDE w:val="0"/>
        <w:autoSpaceDN w:val="0"/>
        <w:adjustRightInd w:val="0"/>
        <w:jc w:val="both"/>
        <w:rPr>
          <w:rFonts w:eastAsia="ArialMT" w:cs="Arial"/>
          <w:sz w:val="22"/>
          <w:szCs w:val="22"/>
          <w:lang w:eastAsia="en-AU"/>
        </w:rPr>
      </w:pPr>
      <w:r w:rsidRPr="00F65EA3">
        <w:rPr>
          <w:rFonts w:eastAsia="ArialMT" w:cs="Arial"/>
          <w:sz w:val="22"/>
          <w:szCs w:val="22"/>
          <w:lang w:eastAsia="en-AU"/>
        </w:rPr>
        <w:t xml:space="preserve">The applicants in the Bannister class actions have applied to the Court for a “funding order”. If the Court makes this order, the funding order will affect </w:t>
      </w:r>
      <w:r w:rsidRPr="00F65EA3">
        <w:rPr>
          <w:rFonts w:eastAsia="ArialMT" w:cs="Arial"/>
          <w:sz w:val="22"/>
          <w:szCs w:val="22"/>
          <w:u w:val="single"/>
          <w:lang w:eastAsia="en-AU"/>
        </w:rPr>
        <w:t>all</w:t>
      </w:r>
      <w:r w:rsidRPr="00F65EA3">
        <w:rPr>
          <w:rFonts w:eastAsia="ArialMT" w:cs="Arial"/>
          <w:sz w:val="22"/>
          <w:szCs w:val="22"/>
          <w:lang w:eastAsia="en-AU"/>
        </w:rPr>
        <w:t xml:space="preserve"> Group Members who register to participate in the proposed settlement </w:t>
      </w:r>
      <w:r w:rsidRPr="00F65EA3">
        <w:rPr>
          <w:rFonts w:eastAsia="ArialMT" w:cs="Arial"/>
          <w:sz w:val="22"/>
          <w:szCs w:val="22"/>
          <w:u w:val="single"/>
          <w:lang w:eastAsia="en-AU"/>
        </w:rPr>
        <w:t>except</w:t>
      </w:r>
      <w:r w:rsidRPr="00F65EA3">
        <w:rPr>
          <w:rFonts w:eastAsia="ArialMT" w:cs="Arial"/>
          <w:sz w:val="22"/>
          <w:szCs w:val="22"/>
          <w:lang w:eastAsia="en-AU"/>
        </w:rPr>
        <w:t xml:space="preserve"> those who have: </w:t>
      </w:r>
    </w:p>
    <w:p w14:paraId="7587D1F9" w14:textId="77777777" w:rsidR="002123DF" w:rsidRPr="00F65EA3" w:rsidRDefault="002123DF" w:rsidP="002123DF">
      <w:pPr>
        <w:autoSpaceDE w:val="0"/>
        <w:autoSpaceDN w:val="0"/>
        <w:adjustRightInd w:val="0"/>
        <w:jc w:val="both"/>
        <w:rPr>
          <w:rFonts w:eastAsia="ArialMT" w:cs="Arial"/>
          <w:sz w:val="22"/>
          <w:szCs w:val="22"/>
          <w:lang w:eastAsia="en-AU"/>
        </w:rPr>
      </w:pPr>
    </w:p>
    <w:p w14:paraId="768F4154"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 xml:space="preserve">signed a retainer agreement with Maurice Blackburn </w:t>
      </w:r>
      <w:r w:rsidRPr="00F65EA3">
        <w:rPr>
          <w:rFonts w:cs="Arial"/>
          <w:sz w:val="22"/>
          <w:u w:val="single"/>
          <w:lang w:eastAsia="en-AU"/>
        </w:rPr>
        <w:t xml:space="preserve">on or before </w:t>
      </w:r>
      <w:r w:rsidRPr="00F65EA3">
        <w:rPr>
          <w:rFonts w:cs="Arial"/>
          <w:sz w:val="22"/>
          <w:lang w:eastAsia="en-AU"/>
        </w:rPr>
        <w:t xml:space="preserve">3 September 2019; or </w:t>
      </w:r>
    </w:p>
    <w:p w14:paraId="70CA27BA" w14:textId="77777777" w:rsidR="002123DF" w:rsidRPr="00F65EA3" w:rsidRDefault="002123DF" w:rsidP="002123DF">
      <w:pPr>
        <w:ind w:left="720"/>
        <w:contextualSpacing/>
        <w:jc w:val="both"/>
        <w:rPr>
          <w:rFonts w:cs="Arial"/>
          <w:sz w:val="22"/>
          <w:lang w:eastAsia="en-AU"/>
        </w:rPr>
      </w:pPr>
    </w:p>
    <w:p w14:paraId="16630049" w14:textId="77777777" w:rsidR="002123DF" w:rsidRPr="00F65EA3" w:rsidRDefault="002123DF" w:rsidP="002123DF">
      <w:pPr>
        <w:numPr>
          <w:ilvl w:val="0"/>
          <w:numId w:val="8"/>
        </w:numPr>
        <w:jc w:val="both"/>
        <w:rPr>
          <w:rFonts w:cs="Arial"/>
          <w:sz w:val="22"/>
          <w:lang w:eastAsia="en-AU"/>
        </w:rPr>
      </w:pPr>
      <w:proofErr w:type="gramStart"/>
      <w:r w:rsidRPr="00F65EA3">
        <w:rPr>
          <w:rFonts w:cs="Arial"/>
          <w:sz w:val="22"/>
          <w:lang w:eastAsia="en-AU"/>
        </w:rPr>
        <w:t>opted</w:t>
      </w:r>
      <w:proofErr w:type="gramEnd"/>
      <w:r w:rsidRPr="00F65EA3">
        <w:rPr>
          <w:rFonts w:cs="Arial"/>
          <w:sz w:val="22"/>
          <w:lang w:eastAsia="en-AU"/>
        </w:rPr>
        <w:t xml:space="preserve"> out of the Bannister class actions, </w:t>
      </w:r>
      <w:r w:rsidRPr="00F65EA3">
        <w:rPr>
          <w:rFonts w:cs="Arial"/>
          <w:sz w:val="22"/>
          <w:u w:val="single"/>
          <w:lang w:eastAsia="en-AU"/>
        </w:rPr>
        <w:t>but not</w:t>
      </w:r>
      <w:r w:rsidRPr="00F65EA3">
        <w:rPr>
          <w:rFonts w:cs="Arial"/>
          <w:sz w:val="22"/>
          <w:lang w:eastAsia="en-AU"/>
        </w:rPr>
        <w:t xml:space="preserve"> the MB class actions.</w:t>
      </w:r>
    </w:p>
    <w:p w14:paraId="6F0EB1C8" w14:textId="77777777" w:rsidR="002123DF" w:rsidRPr="00F65EA3" w:rsidRDefault="002123DF" w:rsidP="002123DF">
      <w:pPr>
        <w:autoSpaceDE w:val="0"/>
        <w:autoSpaceDN w:val="0"/>
        <w:adjustRightInd w:val="0"/>
        <w:jc w:val="both"/>
        <w:rPr>
          <w:rFonts w:eastAsia="ArialMT" w:cs="Arial"/>
          <w:sz w:val="22"/>
          <w:szCs w:val="22"/>
          <w:lang w:eastAsia="en-AU"/>
        </w:rPr>
      </w:pPr>
    </w:p>
    <w:p w14:paraId="21C72784" w14:textId="77777777" w:rsidR="002123DF" w:rsidRPr="00F65EA3" w:rsidRDefault="002123DF" w:rsidP="002123DF">
      <w:pPr>
        <w:autoSpaceDE w:val="0"/>
        <w:autoSpaceDN w:val="0"/>
        <w:adjustRightInd w:val="0"/>
        <w:jc w:val="both"/>
        <w:rPr>
          <w:rFonts w:eastAsia="ArialMT" w:cs="Arial"/>
          <w:sz w:val="22"/>
          <w:szCs w:val="22"/>
          <w:lang w:eastAsia="en-AU"/>
        </w:rPr>
      </w:pPr>
      <w:r w:rsidRPr="00F65EA3">
        <w:rPr>
          <w:rFonts w:eastAsia="ArialMT" w:cs="Arial"/>
          <w:sz w:val="22"/>
          <w:szCs w:val="22"/>
          <w:lang w:eastAsia="en-AU"/>
        </w:rPr>
        <w:t>If granted, the funding order will require those affected by it to pay up to a 10% commission from their settlement payments to the Funder. This would mean that:</w:t>
      </w:r>
    </w:p>
    <w:p w14:paraId="7043AF1E" w14:textId="77777777" w:rsidR="002123DF" w:rsidRPr="00F65EA3" w:rsidRDefault="002123DF" w:rsidP="002123DF">
      <w:pPr>
        <w:autoSpaceDE w:val="0"/>
        <w:autoSpaceDN w:val="0"/>
        <w:adjustRightInd w:val="0"/>
        <w:jc w:val="both"/>
        <w:rPr>
          <w:rFonts w:eastAsia="ArialMT" w:cs="Arial"/>
          <w:sz w:val="22"/>
          <w:szCs w:val="22"/>
          <w:lang w:eastAsia="en-AU"/>
        </w:rPr>
      </w:pPr>
    </w:p>
    <w:p w14:paraId="6FA20CA1"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 xml:space="preserve">people who </w:t>
      </w:r>
      <w:r w:rsidRPr="00F65EA3">
        <w:rPr>
          <w:rFonts w:cs="Arial"/>
          <w:sz w:val="22"/>
          <w:u w:val="single"/>
          <w:lang w:eastAsia="en-AU"/>
        </w:rPr>
        <w:t>have</w:t>
      </w:r>
      <w:r w:rsidRPr="00F65EA3">
        <w:rPr>
          <w:rFonts w:cs="Arial"/>
          <w:sz w:val="22"/>
          <w:lang w:eastAsia="en-AU"/>
        </w:rPr>
        <w:t xml:space="preserve"> signed litigation funding agreements with the Funder would pay up to 10%, rather than 30% commission; and </w:t>
      </w:r>
    </w:p>
    <w:p w14:paraId="36CB6AB5" w14:textId="77777777" w:rsidR="002123DF" w:rsidRPr="00F65EA3" w:rsidRDefault="002123DF" w:rsidP="002123DF">
      <w:pPr>
        <w:ind w:left="720"/>
        <w:contextualSpacing/>
        <w:jc w:val="both"/>
        <w:rPr>
          <w:rFonts w:cs="Arial"/>
          <w:sz w:val="22"/>
          <w:lang w:eastAsia="en-AU"/>
        </w:rPr>
      </w:pPr>
    </w:p>
    <w:p w14:paraId="34C98316" w14:textId="77777777" w:rsidR="002123DF" w:rsidRPr="00F65EA3" w:rsidRDefault="002123DF" w:rsidP="002123DF">
      <w:pPr>
        <w:numPr>
          <w:ilvl w:val="0"/>
          <w:numId w:val="8"/>
        </w:numPr>
        <w:jc w:val="both"/>
        <w:rPr>
          <w:rFonts w:cs="Arial"/>
          <w:sz w:val="22"/>
          <w:lang w:eastAsia="en-AU"/>
        </w:rPr>
      </w:pPr>
      <w:proofErr w:type="gramStart"/>
      <w:r w:rsidRPr="00F65EA3">
        <w:rPr>
          <w:rFonts w:cs="Arial"/>
          <w:sz w:val="22"/>
          <w:lang w:eastAsia="en-AU"/>
        </w:rPr>
        <w:t>people</w:t>
      </w:r>
      <w:proofErr w:type="gramEnd"/>
      <w:r w:rsidRPr="00F65EA3">
        <w:rPr>
          <w:rFonts w:cs="Arial"/>
          <w:sz w:val="22"/>
          <w:lang w:eastAsia="en-AU"/>
        </w:rPr>
        <w:t xml:space="preserve"> who </w:t>
      </w:r>
      <w:r w:rsidRPr="00F65EA3">
        <w:rPr>
          <w:rFonts w:cs="Arial"/>
          <w:sz w:val="22"/>
          <w:u w:val="single"/>
          <w:lang w:eastAsia="en-AU"/>
        </w:rPr>
        <w:t>have not</w:t>
      </w:r>
      <w:r w:rsidRPr="00F65EA3">
        <w:rPr>
          <w:rFonts w:cs="Arial"/>
          <w:sz w:val="22"/>
          <w:lang w:eastAsia="en-AU"/>
        </w:rPr>
        <w:t xml:space="preserve"> signed litigation funding agreements with the Funder would pay up to 10% commission, rather than nothing.</w:t>
      </w:r>
    </w:p>
    <w:p w14:paraId="31B6BAF6" w14:textId="77777777" w:rsidR="002123DF" w:rsidRPr="00F65EA3" w:rsidRDefault="002123DF" w:rsidP="002123DF">
      <w:pPr>
        <w:autoSpaceDE w:val="0"/>
        <w:autoSpaceDN w:val="0"/>
        <w:adjustRightInd w:val="0"/>
        <w:jc w:val="both"/>
        <w:rPr>
          <w:rFonts w:eastAsia="ArialMT" w:cs="Arial"/>
          <w:sz w:val="22"/>
          <w:szCs w:val="22"/>
          <w:lang w:eastAsia="en-AU"/>
        </w:rPr>
      </w:pPr>
    </w:p>
    <w:p w14:paraId="4A2F2C49" w14:textId="77777777" w:rsidR="002123DF" w:rsidRPr="00F65EA3" w:rsidRDefault="002123DF" w:rsidP="002123DF">
      <w:pPr>
        <w:autoSpaceDE w:val="0"/>
        <w:autoSpaceDN w:val="0"/>
        <w:adjustRightInd w:val="0"/>
        <w:jc w:val="both"/>
        <w:rPr>
          <w:rFonts w:eastAsia="ArialMT" w:cs="Arial"/>
          <w:sz w:val="22"/>
          <w:szCs w:val="22"/>
          <w:lang w:eastAsia="en-AU"/>
        </w:rPr>
      </w:pPr>
      <w:r w:rsidRPr="00F65EA3">
        <w:rPr>
          <w:rFonts w:eastAsia="ArialMT" w:cs="Arial"/>
          <w:sz w:val="22"/>
          <w:szCs w:val="22"/>
          <w:lang w:eastAsia="en-AU"/>
        </w:rPr>
        <w:t xml:space="preserve">The purpose of the funding order would be to compensate the Funder for funding the Bannister class actions for the benefit of those group members, and spread the commission payable to the Funder equally amongst them.  </w:t>
      </w:r>
    </w:p>
    <w:p w14:paraId="0EC2B9D9" w14:textId="77777777" w:rsidR="002123DF" w:rsidRPr="00F65EA3" w:rsidRDefault="002123DF" w:rsidP="002123DF">
      <w:pPr>
        <w:autoSpaceDE w:val="0"/>
        <w:autoSpaceDN w:val="0"/>
        <w:adjustRightInd w:val="0"/>
        <w:jc w:val="both"/>
        <w:rPr>
          <w:rFonts w:eastAsia="ArialMT" w:cs="Arial"/>
          <w:sz w:val="22"/>
          <w:szCs w:val="22"/>
          <w:lang w:eastAsia="en-AU"/>
        </w:rPr>
      </w:pPr>
    </w:p>
    <w:p w14:paraId="5F607EB1"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Application for a “funding equalisation order”</w:t>
      </w:r>
    </w:p>
    <w:p w14:paraId="13E9235F" w14:textId="77777777" w:rsidR="002123DF" w:rsidRPr="00F65EA3" w:rsidRDefault="002123DF" w:rsidP="002123DF">
      <w:pPr>
        <w:autoSpaceDE w:val="0"/>
        <w:autoSpaceDN w:val="0"/>
        <w:adjustRightInd w:val="0"/>
        <w:jc w:val="both"/>
        <w:rPr>
          <w:rFonts w:eastAsia="ArialMT" w:cs="Arial"/>
          <w:sz w:val="22"/>
          <w:szCs w:val="22"/>
          <w:lang w:eastAsia="en-AU"/>
        </w:rPr>
      </w:pPr>
      <w:r w:rsidRPr="00F65EA3">
        <w:rPr>
          <w:rFonts w:eastAsia="ArialMT" w:cs="Arial"/>
          <w:sz w:val="22"/>
          <w:szCs w:val="22"/>
          <w:lang w:eastAsia="en-AU"/>
        </w:rPr>
        <w:t xml:space="preserve">If the Court does make a funding order, then the applicants in the Bannister class actions will apply for a “funding equalisation” order. This order would seek to equalise the difference between the settlement payments of Group Members who are required to contribute </w:t>
      </w:r>
      <w:proofErr w:type="gramStart"/>
      <w:r w:rsidRPr="00F65EA3">
        <w:rPr>
          <w:rFonts w:eastAsia="ArialMT" w:cs="Arial"/>
          <w:sz w:val="22"/>
          <w:szCs w:val="22"/>
          <w:lang w:eastAsia="en-AU"/>
        </w:rPr>
        <w:t>as a result</w:t>
      </w:r>
      <w:proofErr w:type="gramEnd"/>
      <w:r w:rsidRPr="00F65EA3">
        <w:rPr>
          <w:rFonts w:eastAsia="ArialMT" w:cs="Arial"/>
          <w:sz w:val="22"/>
          <w:szCs w:val="22"/>
          <w:lang w:eastAsia="en-AU"/>
        </w:rPr>
        <w:t xml:space="preserve"> of the funding order and those Group Members (including clients of Maurice Blackburn) who would not be required to contribute as a result of the funding order. </w:t>
      </w:r>
    </w:p>
    <w:p w14:paraId="71FEA988" w14:textId="77777777" w:rsidR="002123DF" w:rsidRPr="00F65EA3" w:rsidRDefault="002123DF" w:rsidP="002123DF">
      <w:pPr>
        <w:autoSpaceDE w:val="0"/>
        <w:autoSpaceDN w:val="0"/>
        <w:adjustRightInd w:val="0"/>
        <w:jc w:val="both"/>
        <w:rPr>
          <w:rFonts w:eastAsia="ArialMT" w:cs="Arial"/>
          <w:sz w:val="22"/>
          <w:szCs w:val="22"/>
          <w:lang w:eastAsia="en-AU"/>
        </w:rPr>
      </w:pPr>
    </w:p>
    <w:p w14:paraId="51BAC52F" w14:textId="77777777" w:rsidR="002123DF" w:rsidRPr="00F65EA3" w:rsidRDefault="002123DF" w:rsidP="002123DF">
      <w:pPr>
        <w:autoSpaceDE w:val="0"/>
        <w:autoSpaceDN w:val="0"/>
        <w:adjustRightInd w:val="0"/>
        <w:jc w:val="both"/>
        <w:rPr>
          <w:rFonts w:eastAsia="ArialMT" w:cs="Arial"/>
          <w:sz w:val="22"/>
          <w:szCs w:val="22"/>
          <w:lang w:eastAsia="en-AU"/>
        </w:rPr>
      </w:pPr>
      <w:r w:rsidRPr="00F65EA3">
        <w:rPr>
          <w:rFonts w:eastAsia="ArialMT" w:cs="Arial"/>
          <w:sz w:val="22"/>
          <w:szCs w:val="22"/>
          <w:lang w:eastAsia="en-AU"/>
        </w:rPr>
        <w:t xml:space="preserve">The effect of this order would not increase the amount paid to the Funder. </w:t>
      </w:r>
      <w:proofErr w:type="gramStart"/>
      <w:r w:rsidRPr="00F65EA3">
        <w:rPr>
          <w:rFonts w:eastAsia="ArialMT" w:cs="Arial"/>
          <w:sz w:val="22"/>
          <w:szCs w:val="22"/>
          <w:lang w:eastAsia="en-AU"/>
        </w:rPr>
        <w:t>Instead</w:t>
      </w:r>
      <w:proofErr w:type="gramEnd"/>
      <w:r w:rsidRPr="00F65EA3">
        <w:rPr>
          <w:rFonts w:eastAsia="ArialMT" w:cs="Arial"/>
          <w:sz w:val="22"/>
          <w:szCs w:val="22"/>
          <w:lang w:eastAsia="en-AU"/>
        </w:rPr>
        <w:t xml:space="preserve"> it would distribute the contribution to the Funder in equal proportion among all eligible Group Members, so that all eligible Group Members receive proportionately the same amount, regardless of whether they are Group Members in the Bannister class actions. </w:t>
      </w:r>
    </w:p>
    <w:p w14:paraId="052B82CE" w14:textId="77777777" w:rsidR="002123DF" w:rsidRPr="00F65EA3" w:rsidRDefault="002123DF" w:rsidP="002123DF">
      <w:pPr>
        <w:autoSpaceDE w:val="0"/>
        <w:autoSpaceDN w:val="0"/>
        <w:adjustRightInd w:val="0"/>
        <w:jc w:val="both"/>
        <w:rPr>
          <w:rFonts w:eastAsia="ArialMT" w:cs="Arial"/>
          <w:sz w:val="22"/>
          <w:szCs w:val="22"/>
          <w:lang w:eastAsia="en-AU"/>
        </w:rPr>
      </w:pPr>
    </w:p>
    <w:p w14:paraId="7145CD6F" w14:textId="77777777" w:rsidR="002123DF" w:rsidRPr="00F65EA3" w:rsidRDefault="002123DF" w:rsidP="002123DF">
      <w:pPr>
        <w:autoSpaceDE w:val="0"/>
        <w:autoSpaceDN w:val="0"/>
        <w:adjustRightInd w:val="0"/>
        <w:jc w:val="both"/>
        <w:rPr>
          <w:rFonts w:eastAsia="ArialMT" w:cs="Arial"/>
          <w:sz w:val="22"/>
          <w:szCs w:val="22"/>
          <w:lang w:eastAsia="en-AU"/>
        </w:rPr>
      </w:pPr>
      <w:r w:rsidRPr="00F65EA3">
        <w:rPr>
          <w:rFonts w:eastAsia="ArialMT" w:cs="Arial"/>
          <w:sz w:val="22"/>
          <w:szCs w:val="22"/>
          <w:lang w:eastAsia="en-AU"/>
        </w:rPr>
        <w:t xml:space="preserve">Alternatively, if the Court does </w:t>
      </w:r>
      <w:r w:rsidRPr="00F65EA3">
        <w:rPr>
          <w:rFonts w:eastAsia="ArialMT" w:cs="Arial"/>
          <w:sz w:val="22"/>
          <w:szCs w:val="22"/>
          <w:u w:val="single"/>
          <w:lang w:eastAsia="en-AU"/>
        </w:rPr>
        <w:t>not</w:t>
      </w:r>
      <w:r w:rsidRPr="00F65EA3">
        <w:rPr>
          <w:rFonts w:eastAsia="ArialMT" w:cs="Arial"/>
          <w:sz w:val="22"/>
          <w:szCs w:val="22"/>
          <w:lang w:eastAsia="en-AU"/>
        </w:rPr>
        <w:t xml:space="preserve"> make a funding order, then the applicants in the Bannister class actions will apply for a “funding equalisation” order limited to Group Members in the Bannister class actions (excluding clients of Maurice Blackburn).</w:t>
      </w:r>
    </w:p>
    <w:p w14:paraId="1DE708CC" w14:textId="77777777" w:rsidR="002123DF" w:rsidRPr="00F65EA3" w:rsidRDefault="002123DF" w:rsidP="002123DF">
      <w:pPr>
        <w:autoSpaceDE w:val="0"/>
        <w:autoSpaceDN w:val="0"/>
        <w:adjustRightInd w:val="0"/>
        <w:jc w:val="both"/>
        <w:rPr>
          <w:rFonts w:eastAsia="ArialMT" w:cs="Arial"/>
          <w:sz w:val="22"/>
          <w:szCs w:val="22"/>
          <w:lang w:eastAsia="en-AU"/>
        </w:rPr>
      </w:pPr>
    </w:p>
    <w:p w14:paraId="43493C1F" w14:textId="77777777" w:rsidR="002123DF" w:rsidRPr="00F65EA3" w:rsidRDefault="002123DF" w:rsidP="002123DF">
      <w:pPr>
        <w:autoSpaceDE w:val="0"/>
        <w:autoSpaceDN w:val="0"/>
        <w:adjustRightInd w:val="0"/>
        <w:jc w:val="both"/>
        <w:rPr>
          <w:rFonts w:eastAsia="ArialMT" w:cs="Arial"/>
          <w:sz w:val="22"/>
          <w:szCs w:val="22"/>
          <w:lang w:eastAsia="en-AU"/>
        </w:rPr>
      </w:pPr>
      <w:r w:rsidRPr="00F65EA3">
        <w:rPr>
          <w:rFonts w:eastAsia="ArialMT" w:cs="Arial"/>
          <w:sz w:val="22"/>
          <w:szCs w:val="22"/>
          <w:lang w:eastAsia="en-AU"/>
        </w:rPr>
        <w:t xml:space="preserve">The effect of this order would not increase the amount paid to the Funder. </w:t>
      </w:r>
      <w:proofErr w:type="gramStart"/>
      <w:r w:rsidRPr="00F65EA3">
        <w:rPr>
          <w:rFonts w:eastAsia="ArialMT" w:cs="Arial"/>
          <w:sz w:val="22"/>
          <w:szCs w:val="22"/>
          <w:lang w:eastAsia="en-AU"/>
        </w:rPr>
        <w:t>Instead</w:t>
      </w:r>
      <w:proofErr w:type="gramEnd"/>
      <w:r w:rsidRPr="00F65EA3">
        <w:rPr>
          <w:rFonts w:eastAsia="ArialMT" w:cs="Arial"/>
          <w:sz w:val="22"/>
          <w:szCs w:val="22"/>
          <w:lang w:eastAsia="en-AU"/>
        </w:rPr>
        <w:t xml:space="preserve"> it would equalise the amounts to be received by clients of Bannister Law who have signed funding agreements with the Funder and the amounts to be received by all other Group Members in the Bannister class actions so that each would receive proportionately the same amount.</w:t>
      </w:r>
    </w:p>
    <w:p w14:paraId="6B944C13" w14:textId="77777777" w:rsidR="002123DF" w:rsidRPr="00F65EA3" w:rsidRDefault="002123DF" w:rsidP="002123DF">
      <w:pPr>
        <w:autoSpaceDE w:val="0"/>
        <w:autoSpaceDN w:val="0"/>
        <w:adjustRightInd w:val="0"/>
        <w:jc w:val="both"/>
        <w:rPr>
          <w:rFonts w:eastAsia="ArialMT" w:cs="Arial"/>
          <w:sz w:val="22"/>
          <w:szCs w:val="22"/>
          <w:lang w:eastAsia="en-AU"/>
        </w:rPr>
      </w:pPr>
    </w:p>
    <w:p w14:paraId="33375470"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 xml:space="preserve">When will the “funding application” and “funding equalisation application” be determined, and can I support or object to them? </w:t>
      </w:r>
    </w:p>
    <w:p w14:paraId="6CAF16F0" w14:textId="77777777" w:rsidR="002123DF" w:rsidRPr="00F65EA3" w:rsidRDefault="002123DF" w:rsidP="002123DF">
      <w:pPr>
        <w:jc w:val="both"/>
        <w:rPr>
          <w:sz w:val="22"/>
          <w:szCs w:val="22"/>
          <w:lang w:eastAsia="en-AU"/>
        </w:rPr>
      </w:pPr>
      <w:r w:rsidRPr="00F65EA3">
        <w:rPr>
          <w:rFonts w:eastAsia="ArialMT" w:cs="Arial"/>
          <w:sz w:val="22"/>
          <w:szCs w:val="22"/>
          <w:lang w:eastAsia="en-AU"/>
        </w:rPr>
        <w:t xml:space="preserve">The Federal Court </w:t>
      </w:r>
      <w:proofErr w:type="gramStart"/>
      <w:r w:rsidRPr="00F65EA3">
        <w:rPr>
          <w:rFonts w:eastAsia="ArialMT" w:cs="Arial"/>
          <w:sz w:val="22"/>
          <w:szCs w:val="22"/>
          <w:lang w:eastAsia="en-AU"/>
        </w:rPr>
        <w:t>will be asked</w:t>
      </w:r>
      <w:proofErr w:type="gramEnd"/>
      <w:r w:rsidRPr="00F65EA3">
        <w:rPr>
          <w:rFonts w:eastAsia="ArialMT" w:cs="Arial"/>
          <w:sz w:val="22"/>
          <w:szCs w:val="22"/>
          <w:lang w:eastAsia="en-AU"/>
        </w:rPr>
        <w:t xml:space="preserve"> to approve the funding order and funding equalisation order o</w:t>
      </w:r>
      <w:r w:rsidRPr="00F65EA3">
        <w:rPr>
          <w:sz w:val="22"/>
          <w:szCs w:val="22"/>
          <w:lang w:eastAsia="en-AU"/>
        </w:rPr>
        <w:t xml:space="preserve">n </w:t>
      </w:r>
      <w:r w:rsidRPr="00F65EA3">
        <w:rPr>
          <w:b/>
          <w:sz w:val="22"/>
          <w:szCs w:val="22"/>
          <w:lang w:eastAsia="en-AU"/>
        </w:rPr>
        <w:t>26 March 2020</w:t>
      </w:r>
      <w:r w:rsidRPr="00F65EA3">
        <w:rPr>
          <w:sz w:val="22"/>
          <w:szCs w:val="22"/>
          <w:lang w:eastAsia="en-AU"/>
        </w:rPr>
        <w:t xml:space="preserve">.  </w:t>
      </w:r>
    </w:p>
    <w:p w14:paraId="140FF59E" w14:textId="77777777" w:rsidR="002123DF" w:rsidRPr="00F65EA3" w:rsidRDefault="002123DF" w:rsidP="002123DF">
      <w:pPr>
        <w:jc w:val="both"/>
        <w:rPr>
          <w:sz w:val="22"/>
          <w:szCs w:val="22"/>
          <w:lang w:eastAsia="en-AU"/>
        </w:rPr>
      </w:pPr>
    </w:p>
    <w:p w14:paraId="434E6EC3" w14:textId="77777777" w:rsidR="002123DF" w:rsidRPr="00F65EA3" w:rsidRDefault="002123DF" w:rsidP="002123DF">
      <w:pPr>
        <w:jc w:val="both"/>
        <w:rPr>
          <w:sz w:val="22"/>
          <w:szCs w:val="22"/>
          <w:lang w:eastAsia="en-AU"/>
        </w:rPr>
      </w:pPr>
      <w:r w:rsidRPr="00F65EA3">
        <w:rPr>
          <w:sz w:val="22"/>
          <w:szCs w:val="22"/>
          <w:lang w:eastAsia="en-AU"/>
        </w:rPr>
        <w:t xml:space="preserve">You do not need to support or object to the funding order or the funding equalisation order.  However, if you </w:t>
      </w:r>
      <w:r w:rsidRPr="00F65EA3">
        <w:rPr>
          <w:sz w:val="22"/>
          <w:szCs w:val="22"/>
          <w:u w:val="single"/>
          <w:lang w:eastAsia="en-AU"/>
        </w:rPr>
        <w:t>do</w:t>
      </w:r>
      <w:r w:rsidRPr="00F65EA3">
        <w:rPr>
          <w:sz w:val="22"/>
          <w:szCs w:val="22"/>
          <w:lang w:eastAsia="en-AU"/>
        </w:rPr>
        <w:t xml:space="preserve"> wish object to either of those orders </w:t>
      </w:r>
      <w:proofErr w:type="gramStart"/>
      <w:r w:rsidRPr="00F65EA3">
        <w:rPr>
          <w:sz w:val="22"/>
          <w:szCs w:val="22"/>
          <w:lang w:eastAsia="en-AU"/>
        </w:rPr>
        <w:t>being made</w:t>
      </w:r>
      <w:proofErr w:type="gramEnd"/>
      <w:r w:rsidRPr="00F65EA3">
        <w:rPr>
          <w:sz w:val="22"/>
          <w:szCs w:val="22"/>
          <w:lang w:eastAsia="en-AU"/>
        </w:rPr>
        <w:t xml:space="preserve">, you must lodge a written statement of your concerns by 10 March 2020 at the following website: </w:t>
      </w:r>
      <w:hyperlink r:id="rId16" w:history="1">
        <w:r w:rsidRPr="00F65EA3">
          <w:rPr>
            <w:rStyle w:val="Hyperlink"/>
            <w:sz w:val="22"/>
            <w:szCs w:val="22"/>
            <w:lang w:eastAsia="en-AU"/>
          </w:rPr>
          <w:t>www.vwsettlement.com.au/objections</w:t>
        </w:r>
      </w:hyperlink>
      <w:r w:rsidRPr="00F65EA3">
        <w:rPr>
          <w:sz w:val="22"/>
          <w:szCs w:val="22"/>
          <w:lang w:eastAsia="en-AU"/>
        </w:rPr>
        <w:t xml:space="preserve">.  </w:t>
      </w:r>
    </w:p>
    <w:p w14:paraId="32FC09CE" w14:textId="77777777" w:rsidR="002123DF" w:rsidRPr="00F65EA3" w:rsidRDefault="002123DF" w:rsidP="002123DF">
      <w:pPr>
        <w:jc w:val="both"/>
        <w:rPr>
          <w:sz w:val="22"/>
          <w:szCs w:val="22"/>
          <w:lang w:eastAsia="en-AU"/>
        </w:rPr>
      </w:pPr>
    </w:p>
    <w:p w14:paraId="0A10EAF2" w14:textId="77777777" w:rsidR="002123DF" w:rsidRPr="00F65EA3" w:rsidRDefault="002123DF" w:rsidP="002123DF">
      <w:pPr>
        <w:jc w:val="both"/>
        <w:rPr>
          <w:sz w:val="22"/>
          <w:szCs w:val="22"/>
          <w:lang w:eastAsia="en-AU"/>
        </w:rPr>
      </w:pPr>
      <w:r w:rsidRPr="00F65EA3">
        <w:rPr>
          <w:sz w:val="22"/>
          <w:szCs w:val="22"/>
          <w:lang w:eastAsia="en-AU"/>
        </w:rPr>
        <w:t xml:space="preserve">You may also (but do not need to) attend the hearing in the Federal Court on 26 March 2020. </w:t>
      </w:r>
    </w:p>
    <w:p w14:paraId="461207DA" w14:textId="77777777" w:rsidR="002123DF" w:rsidRPr="00F65EA3" w:rsidRDefault="002123DF" w:rsidP="002123DF">
      <w:pPr>
        <w:jc w:val="both"/>
        <w:rPr>
          <w:sz w:val="22"/>
          <w:szCs w:val="22"/>
          <w:lang w:eastAsia="en-AU"/>
        </w:rPr>
      </w:pPr>
    </w:p>
    <w:p w14:paraId="3CC40A0A" w14:textId="77777777" w:rsidR="002123DF" w:rsidRPr="00F65EA3" w:rsidRDefault="002123DF" w:rsidP="002123DF">
      <w:pPr>
        <w:jc w:val="both"/>
        <w:rPr>
          <w:sz w:val="22"/>
          <w:szCs w:val="22"/>
          <w:lang w:eastAsia="en-AU"/>
        </w:rPr>
      </w:pPr>
      <w:r w:rsidRPr="00F65EA3">
        <w:rPr>
          <w:sz w:val="22"/>
          <w:szCs w:val="22"/>
          <w:lang w:eastAsia="en-AU"/>
        </w:rPr>
        <w:t xml:space="preserve">If you have any questions in relation to the funding equalisation order you should contact Bannister Law on </w:t>
      </w:r>
      <w:r w:rsidRPr="00F65EA3">
        <w:rPr>
          <w:bCs/>
          <w:sz w:val="22"/>
          <w:szCs w:val="22"/>
          <w:lang w:eastAsia="en-AU"/>
        </w:rPr>
        <w:t>1300 728 760</w:t>
      </w:r>
      <w:r w:rsidRPr="00F65EA3">
        <w:rPr>
          <w:sz w:val="22"/>
          <w:szCs w:val="22"/>
          <w:lang w:eastAsia="en-AU"/>
        </w:rPr>
        <w:t xml:space="preserve">. </w:t>
      </w:r>
    </w:p>
    <w:p w14:paraId="47C2054A" w14:textId="77777777" w:rsidR="002123DF" w:rsidRPr="00F65EA3" w:rsidRDefault="002123DF" w:rsidP="002123DF">
      <w:pPr>
        <w:autoSpaceDE w:val="0"/>
        <w:autoSpaceDN w:val="0"/>
        <w:adjustRightInd w:val="0"/>
        <w:jc w:val="both"/>
        <w:rPr>
          <w:rFonts w:eastAsia="ArialMT" w:cs="Arial"/>
          <w:sz w:val="22"/>
          <w:szCs w:val="22"/>
          <w:lang w:eastAsia="en-AU"/>
        </w:rPr>
      </w:pPr>
    </w:p>
    <w:p w14:paraId="7951B1AF" w14:textId="77777777" w:rsidR="002123DF" w:rsidRPr="00F65EA3" w:rsidRDefault="002123DF" w:rsidP="002123DF">
      <w:pPr>
        <w:keepNext/>
        <w:pBdr>
          <w:bottom w:val="single" w:sz="4" w:space="1" w:color="auto"/>
        </w:pBdr>
        <w:spacing w:after="180"/>
        <w:jc w:val="both"/>
        <w:rPr>
          <w:b/>
          <w:caps/>
          <w:sz w:val="22"/>
          <w:szCs w:val="22"/>
          <w:lang w:eastAsia="en-AU"/>
        </w:rPr>
      </w:pPr>
      <w:r w:rsidRPr="00F65EA3">
        <w:rPr>
          <w:b/>
          <w:caps/>
          <w:sz w:val="22"/>
          <w:szCs w:val="22"/>
          <w:lang w:eastAsia="en-AU"/>
        </w:rPr>
        <w:t xml:space="preserve">SECTION 4: </w:t>
      </w:r>
      <w:r w:rsidRPr="00F65EA3">
        <w:rPr>
          <w:b/>
          <w:caps/>
          <w:sz w:val="22"/>
          <w:szCs w:val="22"/>
          <w:lang w:eastAsia="en-AU"/>
        </w:rPr>
        <w:tab/>
        <w:t>PROCESS FOR MAKING AND ASSESSING CLAIMS</w:t>
      </w:r>
    </w:p>
    <w:p w14:paraId="4E1A838E" w14:textId="77777777" w:rsidR="002123DF" w:rsidRPr="00F65EA3" w:rsidRDefault="002123DF" w:rsidP="002123DF">
      <w:pPr>
        <w:jc w:val="both"/>
        <w:rPr>
          <w:rFonts w:cs="Arial"/>
          <w:sz w:val="22"/>
          <w:lang w:eastAsia="en-AU"/>
        </w:rPr>
      </w:pPr>
      <w:r w:rsidRPr="00F65EA3">
        <w:rPr>
          <w:rFonts w:cs="Arial"/>
          <w:sz w:val="22"/>
          <w:lang w:eastAsia="en-AU"/>
        </w:rPr>
        <w:t xml:space="preserve">The Settlement Scheme sets out the process for Group Members to register their claims and for their claims then to be assessed and final payments made to eligible Group Members. </w:t>
      </w:r>
    </w:p>
    <w:p w14:paraId="6A35B786" w14:textId="77777777" w:rsidR="002123DF" w:rsidRPr="00F65EA3" w:rsidRDefault="002123DF" w:rsidP="002123DF">
      <w:pPr>
        <w:jc w:val="both"/>
        <w:rPr>
          <w:rFonts w:cs="Arial"/>
          <w:sz w:val="22"/>
          <w:lang w:eastAsia="en-AU"/>
        </w:rPr>
      </w:pPr>
    </w:p>
    <w:p w14:paraId="29CE80D3" w14:textId="77777777" w:rsidR="002123DF" w:rsidRPr="00F65EA3" w:rsidRDefault="002123DF" w:rsidP="002123DF">
      <w:pPr>
        <w:jc w:val="both"/>
        <w:rPr>
          <w:rFonts w:cs="Arial"/>
          <w:sz w:val="22"/>
          <w:lang w:eastAsia="en-AU"/>
        </w:rPr>
      </w:pPr>
      <w:r w:rsidRPr="00F65EA3">
        <w:rPr>
          <w:rFonts w:cs="Arial"/>
          <w:sz w:val="22"/>
          <w:lang w:eastAsia="en-AU"/>
        </w:rPr>
        <w:t xml:space="preserve">If a Group Member does not register their claim before the registration deadline on 10 March 2020, they will not be entitled to receive a settlement payment but </w:t>
      </w:r>
      <w:proofErr w:type="gramStart"/>
      <w:r w:rsidRPr="00F65EA3">
        <w:rPr>
          <w:rFonts w:cs="Arial"/>
          <w:sz w:val="22"/>
          <w:lang w:eastAsia="en-AU"/>
        </w:rPr>
        <w:t>will nevertheless be bound</w:t>
      </w:r>
      <w:proofErr w:type="gramEnd"/>
      <w:r w:rsidRPr="00F65EA3">
        <w:rPr>
          <w:rFonts w:cs="Arial"/>
          <w:sz w:val="22"/>
          <w:lang w:eastAsia="en-AU"/>
        </w:rPr>
        <w:t xml:space="preserve"> by the outcome of the class actions and will be unable to bring separate legal action against the Volkswagen Group.  </w:t>
      </w:r>
    </w:p>
    <w:p w14:paraId="7230DCC4" w14:textId="77777777" w:rsidR="002123DF" w:rsidRPr="00F65EA3" w:rsidRDefault="002123DF" w:rsidP="002123DF">
      <w:pPr>
        <w:jc w:val="both"/>
        <w:rPr>
          <w:rFonts w:cs="Arial"/>
          <w:b/>
          <w:sz w:val="22"/>
          <w:lang w:eastAsia="en-AU"/>
        </w:rPr>
      </w:pPr>
    </w:p>
    <w:p w14:paraId="57923B4B"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 xml:space="preserve">Process for registration of claims </w:t>
      </w:r>
    </w:p>
    <w:p w14:paraId="1FF9A243" w14:textId="77777777" w:rsidR="002123DF" w:rsidRPr="00F65EA3" w:rsidRDefault="002123DF" w:rsidP="002123DF">
      <w:pPr>
        <w:jc w:val="both"/>
        <w:rPr>
          <w:rFonts w:cs="Arial"/>
          <w:sz w:val="22"/>
          <w:lang w:eastAsia="en-AU"/>
        </w:rPr>
      </w:pPr>
      <w:r w:rsidRPr="00F65EA3">
        <w:rPr>
          <w:rFonts w:cs="Arial"/>
          <w:sz w:val="22"/>
          <w:lang w:eastAsia="en-AU"/>
        </w:rPr>
        <w:t xml:space="preserve">Group Members who wish to make a claim for a settlement payment must register their claim by </w:t>
      </w:r>
      <w:r w:rsidRPr="00F65EA3">
        <w:rPr>
          <w:rFonts w:cs="Arial"/>
          <w:b/>
          <w:sz w:val="22"/>
          <w:lang w:eastAsia="en-AU"/>
        </w:rPr>
        <w:t>10 March 2020</w:t>
      </w:r>
      <w:r w:rsidRPr="00F65EA3">
        <w:rPr>
          <w:rFonts w:cs="Arial"/>
          <w:sz w:val="22"/>
          <w:lang w:eastAsia="en-AU"/>
        </w:rPr>
        <w:t xml:space="preserve">. Except for fleet operators (discussed below), all claims </w:t>
      </w:r>
      <w:proofErr w:type="gramStart"/>
      <w:r w:rsidRPr="00F65EA3">
        <w:rPr>
          <w:rFonts w:cs="Arial"/>
          <w:sz w:val="22"/>
          <w:lang w:eastAsia="en-AU"/>
        </w:rPr>
        <w:t>must be registered</w:t>
      </w:r>
      <w:proofErr w:type="gramEnd"/>
      <w:r w:rsidRPr="00F65EA3">
        <w:rPr>
          <w:rFonts w:cs="Arial"/>
          <w:sz w:val="22"/>
          <w:lang w:eastAsia="en-AU"/>
        </w:rPr>
        <w:t xml:space="preserve"> using the online registration portal: </w:t>
      </w:r>
      <w:hyperlink r:id="rId17" w:history="1">
        <w:r w:rsidRPr="00F65EA3">
          <w:rPr>
            <w:rStyle w:val="Hyperlink"/>
            <w:rFonts w:cs="Arial"/>
            <w:sz w:val="22"/>
            <w:lang w:eastAsia="en-AU"/>
          </w:rPr>
          <w:t>www.vwsettlement.com.au</w:t>
        </w:r>
      </w:hyperlink>
      <w:r w:rsidRPr="00F65EA3">
        <w:rPr>
          <w:rFonts w:cs="Arial"/>
          <w:sz w:val="22"/>
          <w:lang w:eastAsia="en-AU"/>
        </w:rPr>
        <w:t xml:space="preserve"> </w:t>
      </w:r>
    </w:p>
    <w:p w14:paraId="46D29B0A" w14:textId="77777777" w:rsidR="002123DF" w:rsidRPr="00F65EA3" w:rsidRDefault="002123DF" w:rsidP="002123DF">
      <w:pPr>
        <w:jc w:val="both"/>
        <w:rPr>
          <w:rFonts w:cs="Arial"/>
          <w:sz w:val="22"/>
          <w:lang w:eastAsia="en-AU"/>
        </w:rPr>
      </w:pPr>
    </w:p>
    <w:p w14:paraId="1892990A" w14:textId="77777777" w:rsidR="002123DF" w:rsidRPr="00F65EA3" w:rsidRDefault="002123DF" w:rsidP="002123DF">
      <w:pPr>
        <w:jc w:val="both"/>
        <w:rPr>
          <w:rFonts w:cs="Arial"/>
          <w:sz w:val="22"/>
          <w:lang w:eastAsia="en-AU"/>
        </w:rPr>
      </w:pPr>
      <w:r w:rsidRPr="00F65EA3">
        <w:rPr>
          <w:rFonts w:cs="Arial"/>
          <w:b/>
          <w:sz w:val="22"/>
          <w:lang w:eastAsia="en-AU"/>
        </w:rPr>
        <w:t>Please note</w:t>
      </w:r>
      <w:r w:rsidRPr="00F65EA3">
        <w:rPr>
          <w:rFonts w:cs="Arial"/>
          <w:sz w:val="22"/>
          <w:lang w:eastAsia="en-AU"/>
        </w:rPr>
        <w:t xml:space="preserve">: if you are a </w:t>
      </w:r>
      <w:r w:rsidRPr="00F65EA3">
        <w:rPr>
          <w:rFonts w:cs="Arial"/>
          <w:b/>
          <w:sz w:val="22"/>
          <w:lang w:eastAsia="en-AU"/>
        </w:rPr>
        <w:t>client of Maurice Blackburn or Bannister Law</w:t>
      </w:r>
      <w:r w:rsidRPr="00F65EA3">
        <w:rPr>
          <w:rFonts w:cs="Arial"/>
          <w:sz w:val="22"/>
          <w:lang w:eastAsia="en-AU"/>
        </w:rPr>
        <w:t xml:space="preserve"> and you had previously supplied a valid VIN for an affected vehicle, your claim </w:t>
      </w:r>
      <w:proofErr w:type="gramStart"/>
      <w:r w:rsidRPr="00F65EA3">
        <w:rPr>
          <w:rFonts w:cs="Arial"/>
          <w:sz w:val="22"/>
          <w:lang w:eastAsia="en-AU"/>
        </w:rPr>
        <w:t xml:space="preserve">will be </w:t>
      </w:r>
      <w:r w:rsidRPr="00F65EA3">
        <w:rPr>
          <w:rFonts w:cs="Arial"/>
          <w:b/>
          <w:sz w:val="22"/>
          <w:lang w:eastAsia="en-AU"/>
        </w:rPr>
        <w:t>partially registered</w:t>
      </w:r>
      <w:proofErr w:type="gramEnd"/>
      <w:r w:rsidRPr="00F65EA3">
        <w:rPr>
          <w:rFonts w:cs="Arial"/>
          <w:sz w:val="22"/>
          <w:lang w:eastAsia="en-AU"/>
        </w:rPr>
        <w:t xml:space="preserve"> on your behalf. Maurice Blackburn and Bannister Law will write to their clients in order to notify them whether their claims </w:t>
      </w:r>
      <w:proofErr w:type="gramStart"/>
      <w:r w:rsidRPr="00F65EA3">
        <w:rPr>
          <w:rFonts w:cs="Arial"/>
          <w:sz w:val="22"/>
          <w:lang w:eastAsia="en-AU"/>
        </w:rPr>
        <w:t>were partially registered</w:t>
      </w:r>
      <w:proofErr w:type="gramEnd"/>
      <w:r w:rsidRPr="00F65EA3">
        <w:rPr>
          <w:rFonts w:cs="Arial"/>
          <w:sz w:val="22"/>
          <w:lang w:eastAsia="en-AU"/>
        </w:rPr>
        <w:t xml:space="preserve"> on their behalf. However even if your claim is partially completed on your behalf, you must still log-in to the registration portal in order to </w:t>
      </w:r>
      <w:r w:rsidRPr="00F65EA3">
        <w:rPr>
          <w:rFonts w:cs="Arial"/>
          <w:b/>
          <w:sz w:val="22"/>
          <w:lang w:eastAsia="en-AU"/>
        </w:rPr>
        <w:t>complete your registration</w:t>
      </w:r>
      <w:r w:rsidRPr="00F65EA3">
        <w:rPr>
          <w:rFonts w:cs="Arial"/>
          <w:sz w:val="22"/>
          <w:lang w:eastAsia="en-AU"/>
        </w:rPr>
        <w:t xml:space="preserve"> and in order to supply any relevant documents as set out below.  You must complete your registration before the deadline on </w:t>
      </w:r>
      <w:r w:rsidRPr="00F65EA3">
        <w:rPr>
          <w:rFonts w:cs="Arial"/>
          <w:b/>
          <w:sz w:val="22"/>
          <w:lang w:eastAsia="en-AU"/>
        </w:rPr>
        <w:t>10 March 2020</w:t>
      </w:r>
      <w:r w:rsidRPr="00F65EA3">
        <w:rPr>
          <w:rFonts w:cs="Arial"/>
          <w:sz w:val="22"/>
          <w:lang w:eastAsia="en-AU"/>
        </w:rPr>
        <w:t>.</w:t>
      </w:r>
    </w:p>
    <w:p w14:paraId="4B05D645" w14:textId="77777777" w:rsidR="002123DF" w:rsidRPr="00F65EA3" w:rsidRDefault="002123DF" w:rsidP="002123DF">
      <w:pPr>
        <w:jc w:val="both"/>
        <w:rPr>
          <w:rFonts w:cs="Arial"/>
          <w:sz w:val="22"/>
          <w:lang w:eastAsia="en-AU"/>
        </w:rPr>
      </w:pPr>
    </w:p>
    <w:p w14:paraId="39F9F367" w14:textId="77777777" w:rsidR="002123DF" w:rsidRPr="00F65EA3" w:rsidRDefault="002123DF" w:rsidP="002123DF">
      <w:pPr>
        <w:keepNext/>
        <w:spacing w:after="120"/>
        <w:jc w:val="both"/>
        <w:rPr>
          <w:rFonts w:cs="Arial"/>
          <w:sz w:val="22"/>
          <w:u w:val="single"/>
          <w:lang w:eastAsia="en-AU"/>
        </w:rPr>
      </w:pPr>
      <w:r w:rsidRPr="00F65EA3">
        <w:rPr>
          <w:rFonts w:cs="Arial"/>
          <w:sz w:val="22"/>
          <w:u w:val="single"/>
          <w:lang w:eastAsia="en-AU"/>
        </w:rPr>
        <w:t xml:space="preserve">Initial registration </w:t>
      </w:r>
    </w:p>
    <w:p w14:paraId="44FB8432" w14:textId="77777777" w:rsidR="002123DF" w:rsidRPr="00F65EA3" w:rsidRDefault="002123DF" w:rsidP="002123DF">
      <w:pPr>
        <w:jc w:val="both"/>
        <w:rPr>
          <w:rFonts w:cs="Arial"/>
          <w:sz w:val="22"/>
          <w:lang w:eastAsia="en-AU"/>
        </w:rPr>
      </w:pPr>
      <w:r w:rsidRPr="00F65EA3">
        <w:rPr>
          <w:rFonts w:cs="Arial"/>
          <w:sz w:val="22"/>
          <w:lang w:eastAsia="en-AU"/>
        </w:rPr>
        <w:t xml:space="preserve">In order to register your claim, you will need to provide the following: </w:t>
      </w:r>
    </w:p>
    <w:p w14:paraId="000B3A79" w14:textId="77777777" w:rsidR="002123DF" w:rsidRPr="00F65EA3" w:rsidRDefault="002123DF" w:rsidP="002123DF">
      <w:pPr>
        <w:jc w:val="both"/>
        <w:rPr>
          <w:rFonts w:cs="Arial"/>
          <w:sz w:val="22"/>
          <w:lang w:eastAsia="en-AU"/>
        </w:rPr>
      </w:pPr>
    </w:p>
    <w:p w14:paraId="49CEF24C"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 xml:space="preserve">VIN for your vehicle </w:t>
      </w:r>
    </w:p>
    <w:p w14:paraId="23322C3F" w14:textId="77777777" w:rsidR="002123DF" w:rsidRPr="00F65EA3" w:rsidRDefault="002123DF" w:rsidP="002123DF">
      <w:pPr>
        <w:ind w:left="720"/>
        <w:contextualSpacing/>
        <w:jc w:val="both"/>
        <w:rPr>
          <w:rFonts w:cs="Arial"/>
          <w:sz w:val="22"/>
          <w:lang w:eastAsia="en-AU"/>
        </w:rPr>
      </w:pPr>
    </w:p>
    <w:p w14:paraId="56D83DCF"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 xml:space="preserve">Personal details such as your name and contact details </w:t>
      </w:r>
    </w:p>
    <w:p w14:paraId="40C80EA2" w14:textId="77777777" w:rsidR="002123DF" w:rsidRPr="00F65EA3" w:rsidRDefault="002123DF" w:rsidP="002123DF">
      <w:pPr>
        <w:ind w:left="720"/>
        <w:contextualSpacing/>
        <w:jc w:val="both"/>
        <w:rPr>
          <w:rFonts w:cs="Arial"/>
          <w:sz w:val="22"/>
          <w:lang w:eastAsia="en-AU"/>
        </w:rPr>
      </w:pPr>
    </w:p>
    <w:p w14:paraId="55E62DEC"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 xml:space="preserve">Answers to questions about whether or not your vehicle was subject to a lease </w:t>
      </w:r>
    </w:p>
    <w:p w14:paraId="7A7CA51A" w14:textId="77777777" w:rsidR="002123DF" w:rsidRPr="00F65EA3" w:rsidRDefault="002123DF" w:rsidP="002123DF">
      <w:pPr>
        <w:ind w:left="720"/>
        <w:contextualSpacing/>
        <w:rPr>
          <w:rFonts w:cs="Arial"/>
          <w:sz w:val="22"/>
          <w:lang w:eastAsia="en-AU"/>
        </w:rPr>
      </w:pPr>
    </w:p>
    <w:p w14:paraId="1AD6C5A4"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 xml:space="preserve">If you are making a claim on behalf of someone else or in the name of a company, details of the company or other person and your relationship to the company or other person </w:t>
      </w:r>
    </w:p>
    <w:p w14:paraId="3C68ED56" w14:textId="77777777" w:rsidR="002123DF" w:rsidRPr="00F65EA3" w:rsidRDefault="002123DF" w:rsidP="002123DF">
      <w:pPr>
        <w:jc w:val="both"/>
        <w:rPr>
          <w:rFonts w:cs="Arial"/>
          <w:sz w:val="22"/>
          <w:lang w:eastAsia="en-AU"/>
        </w:rPr>
      </w:pPr>
    </w:p>
    <w:p w14:paraId="2065BE08" w14:textId="77777777" w:rsidR="002123DF" w:rsidRPr="00F65EA3" w:rsidRDefault="002123DF" w:rsidP="002123DF">
      <w:pPr>
        <w:jc w:val="both"/>
        <w:rPr>
          <w:rFonts w:cs="Arial"/>
          <w:sz w:val="22"/>
          <w:lang w:eastAsia="en-AU"/>
        </w:rPr>
      </w:pPr>
      <w:r w:rsidRPr="00F65EA3">
        <w:rPr>
          <w:rFonts w:cs="Arial"/>
          <w:sz w:val="22"/>
          <w:lang w:eastAsia="en-AU"/>
        </w:rPr>
        <w:t xml:space="preserve">The registration portal will </w:t>
      </w:r>
      <w:r w:rsidRPr="00F65EA3">
        <w:rPr>
          <w:rFonts w:cs="Arial"/>
          <w:b/>
          <w:sz w:val="22"/>
          <w:lang w:eastAsia="en-AU"/>
        </w:rPr>
        <w:t xml:space="preserve">only permit you to register if you enter a valid VIN </w:t>
      </w:r>
      <w:r w:rsidRPr="00F65EA3">
        <w:rPr>
          <w:rFonts w:cs="Arial"/>
          <w:sz w:val="22"/>
          <w:lang w:eastAsia="en-AU"/>
        </w:rPr>
        <w:t xml:space="preserve">for an affected Volkswagen, Audi or Skoda vehicle.  If the registration portal does not allow you to register, please check that you correctly entered the VIN, including checking that: </w:t>
      </w:r>
    </w:p>
    <w:p w14:paraId="7A37FED0" w14:textId="77777777" w:rsidR="002123DF" w:rsidRPr="00F65EA3" w:rsidRDefault="002123DF" w:rsidP="002123DF">
      <w:pPr>
        <w:jc w:val="both"/>
        <w:rPr>
          <w:rFonts w:cs="Arial"/>
          <w:sz w:val="22"/>
          <w:lang w:eastAsia="en-AU"/>
        </w:rPr>
      </w:pPr>
    </w:p>
    <w:p w14:paraId="51375D75"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the number “0” was not mistyped as the letter “O” (or vice versa)</w:t>
      </w:r>
    </w:p>
    <w:p w14:paraId="540940EC" w14:textId="77777777" w:rsidR="002123DF" w:rsidRPr="00F65EA3" w:rsidRDefault="002123DF" w:rsidP="002123DF">
      <w:pPr>
        <w:ind w:left="720"/>
        <w:contextualSpacing/>
        <w:rPr>
          <w:rFonts w:cs="Arial"/>
          <w:sz w:val="22"/>
          <w:lang w:eastAsia="en-AU"/>
        </w:rPr>
      </w:pPr>
    </w:p>
    <w:p w14:paraId="020C7B66"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the number “1” was not mistyped as the letter “l” (or vice versa)</w:t>
      </w:r>
    </w:p>
    <w:p w14:paraId="33E6AD7B" w14:textId="77777777" w:rsidR="002123DF" w:rsidRPr="00F65EA3" w:rsidRDefault="002123DF" w:rsidP="002123DF">
      <w:pPr>
        <w:ind w:left="720"/>
        <w:contextualSpacing/>
        <w:jc w:val="both"/>
        <w:rPr>
          <w:rFonts w:cs="Arial"/>
          <w:sz w:val="22"/>
          <w:lang w:eastAsia="en-AU"/>
        </w:rPr>
      </w:pPr>
    </w:p>
    <w:p w14:paraId="339A0EB8"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the number “2” was not mistyped as the letter “Z” (or vice versa)</w:t>
      </w:r>
    </w:p>
    <w:p w14:paraId="38337AD1" w14:textId="77777777" w:rsidR="002123DF" w:rsidRPr="00F65EA3" w:rsidRDefault="002123DF" w:rsidP="002123DF">
      <w:pPr>
        <w:ind w:left="720"/>
        <w:contextualSpacing/>
        <w:rPr>
          <w:rFonts w:cs="Arial"/>
          <w:sz w:val="22"/>
          <w:lang w:eastAsia="en-AU"/>
        </w:rPr>
      </w:pPr>
    </w:p>
    <w:p w14:paraId="29FB72D4"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 xml:space="preserve">any sequence of the letters “W” and “V” (for example “WVW”) was typed correctly </w:t>
      </w:r>
    </w:p>
    <w:p w14:paraId="2E70ECC2" w14:textId="77777777" w:rsidR="002123DF" w:rsidRPr="00F65EA3" w:rsidRDefault="002123DF" w:rsidP="002123DF">
      <w:pPr>
        <w:jc w:val="both"/>
        <w:rPr>
          <w:rFonts w:cs="Arial"/>
          <w:sz w:val="22"/>
          <w:lang w:eastAsia="en-AU"/>
        </w:rPr>
      </w:pPr>
    </w:p>
    <w:p w14:paraId="3D379BBA" w14:textId="77777777" w:rsidR="002123DF" w:rsidRPr="00F65EA3" w:rsidRDefault="002123DF" w:rsidP="002123DF">
      <w:pPr>
        <w:keepNext/>
        <w:spacing w:after="120"/>
        <w:jc w:val="both"/>
        <w:rPr>
          <w:rFonts w:cs="Arial"/>
          <w:sz w:val="22"/>
          <w:u w:val="single"/>
          <w:lang w:eastAsia="en-AU"/>
        </w:rPr>
      </w:pPr>
      <w:r w:rsidRPr="00F65EA3">
        <w:rPr>
          <w:rFonts w:cs="Arial"/>
          <w:sz w:val="22"/>
          <w:u w:val="single"/>
          <w:lang w:eastAsia="en-AU"/>
        </w:rPr>
        <w:t xml:space="preserve">Documents to </w:t>
      </w:r>
      <w:proofErr w:type="gramStart"/>
      <w:r w:rsidRPr="00F65EA3">
        <w:rPr>
          <w:rFonts w:cs="Arial"/>
          <w:sz w:val="22"/>
          <w:u w:val="single"/>
          <w:lang w:eastAsia="en-AU"/>
        </w:rPr>
        <w:t>be provided</w:t>
      </w:r>
      <w:proofErr w:type="gramEnd"/>
      <w:r w:rsidRPr="00F65EA3">
        <w:rPr>
          <w:rFonts w:cs="Arial"/>
          <w:sz w:val="22"/>
          <w:u w:val="single"/>
          <w:lang w:eastAsia="en-AU"/>
        </w:rPr>
        <w:t xml:space="preserve"> </w:t>
      </w:r>
    </w:p>
    <w:p w14:paraId="195E12D4" w14:textId="77777777" w:rsidR="002123DF" w:rsidRPr="00F65EA3" w:rsidRDefault="002123DF" w:rsidP="002123DF">
      <w:pPr>
        <w:jc w:val="both"/>
        <w:rPr>
          <w:rFonts w:cs="Arial"/>
          <w:sz w:val="22"/>
          <w:lang w:eastAsia="en-AU"/>
        </w:rPr>
      </w:pPr>
      <w:r w:rsidRPr="00F65EA3">
        <w:rPr>
          <w:rFonts w:cs="Arial"/>
          <w:sz w:val="22"/>
          <w:lang w:eastAsia="en-AU"/>
        </w:rPr>
        <w:t xml:space="preserve">Once you have entered your initial registration information, your details </w:t>
      </w:r>
      <w:proofErr w:type="gramStart"/>
      <w:r w:rsidRPr="00F65EA3">
        <w:rPr>
          <w:rFonts w:cs="Arial"/>
          <w:sz w:val="22"/>
          <w:lang w:eastAsia="en-AU"/>
        </w:rPr>
        <w:t>will be automatically checked</w:t>
      </w:r>
      <w:proofErr w:type="gramEnd"/>
      <w:r w:rsidRPr="00F65EA3">
        <w:rPr>
          <w:rFonts w:cs="Arial"/>
          <w:sz w:val="22"/>
          <w:lang w:eastAsia="en-AU"/>
        </w:rPr>
        <w:t xml:space="preserve"> against any data from the National Exchange of Vehicle and Driver System (</w:t>
      </w:r>
      <w:r w:rsidRPr="00F65EA3">
        <w:rPr>
          <w:rFonts w:cs="Arial"/>
          <w:b/>
          <w:sz w:val="22"/>
          <w:lang w:eastAsia="en-AU"/>
        </w:rPr>
        <w:t>NEVDIS</w:t>
      </w:r>
      <w:r w:rsidRPr="00F65EA3">
        <w:rPr>
          <w:rFonts w:cs="Arial"/>
          <w:sz w:val="22"/>
          <w:lang w:eastAsia="en-AU"/>
        </w:rPr>
        <w:t xml:space="preserve">). NEVDIS data records the details of registered drivers as at October 2015. </w:t>
      </w:r>
    </w:p>
    <w:p w14:paraId="490503D7" w14:textId="77777777" w:rsidR="002123DF" w:rsidRPr="00F65EA3" w:rsidRDefault="002123DF" w:rsidP="002123DF">
      <w:pPr>
        <w:jc w:val="both"/>
        <w:rPr>
          <w:rFonts w:cs="Arial"/>
          <w:sz w:val="22"/>
          <w:lang w:eastAsia="en-AU"/>
        </w:rPr>
      </w:pPr>
    </w:p>
    <w:p w14:paraId="60712B1E" w14:textId="77777777" w:rsidR="002123DF" w:rsidRPr="00F65EA3" w:rsidRDefault="002123DF" w:rsidP="002123DF">
      <w:pPr>
        <w:jc w:val="both"/>
        <w:rPr>
          <w:rFonts w:cs="Arial"/>
          <w:sz w:val="22"/>
          <w:u w:val="single"/>
          <w:lang w:eastAsia="en-AU"/>
        </w:rPr>
      </w:pPr>
      <w:r w:rsidRPr="00F65EA3">
        <w:rPr>
          <w:rFonts w:cs="Arial"/>
          <w:b/>
          <w:sz w:val="22"/>
          <w:lang w:eastAsia="en-AU"/>
        </w:rPr>
        <w:lastRenderedPageBreak/>
        <w:t>If your details do not match</w:t>
      </w:r>
      <w:r w:rsidRPr="00F65EA3">
        <w:rPr>
          <w:rFonts w:cs="Arial"/>
          <w:sz w:val="22"/>
          <w:lang w:eastAsia="en-AU"/>
        </w:rPr>
        <w:t xml:space="preserve"> the NEVDIS data, you </w:t>
      </w:r>
      <w:proofErr w:type="gramStart"/>
      <w:r w:rsidRPr="00F65EA3">
        <w:rPr>
          <w:rFonts w:cs="Arial"/>
          <w:sz w:val="22"/>
          <w:lang w:eastAsia="en-AU"/>
        </w:rPr>
        <w:t>may be asked</w:t>
      </w:r>
      <w:proofErr w:type="gramEnd"/>
      <w:r w:rsidRPr="00F65EA3">
        <w:rPr>
          <w:rFonts w:cs="Arial"/>
          <w:sz w:val="22"/>
          <w:lang w:eastAsia="en-AU"/>
        </w:rPr>
        <w:t xml:space="preserve"> to provide additional documents in order to confirm that you held an interest in an affected vehicle as at the Qualifying Dates. If you </w:t>
      </w:r>
      <w:proofErr w:type="gramStart"/>
      <w:r w:rsidRPr="00F65EA3">
        <w:rPr>
          <w:rFonts w:cs="Arial"/>
          <w:sz w:val="22"/>
          <w:lang w:eastAsia="en-AU"/>
        </w:rPr>
        <w:t>are asked</w:t>
      </w:r>
      <w:proofErr w:type="gramEnd"/>
      <w:r w:rsidRPr="00F65EA3">
        <w:rPr>
          <w:rFonts w:cs="Arial"/>
          <w:sz w:val="22"/>
          <w:lang w:eastAsia="en-AU"/>
        </w:rPr>
        <w:t xml:space="preserve"> to provide additional documents, you </w:t>
      </w:r>
      <w:r w:rsidRPr="00F65EA3">
        <w:rPr>
          <w:rFonts w:cs="Arial"/>
          <w:b/>
          <w:sz w:val="22"/>
          <w:lang w:eastAsia="en-AU"/>
        </w:rPr>
        <w:t>must</w:t>
      </w:r>
      <w:r w:rsidRPr="00F65EA3">
        <w:rPr>
          <w:rFonts w:cs="Arial"/>
          <w:sz w:val="22"/>
          <w:lang w:eastAsia="en-AU"/>
        </w:rPr>
        <w:t xml:space="preserve"> do this </w:t>
      </w:r>
      <w:r w:rsidRPr="00F65EA3">
        <w:rPr>
          <w:rFonts w:cs="Arial"/>
          <w:b/>
          <w:sz w:val="22"/>
          <w:lang w:eastAsia="en-AU"/>
        </w:rPr>
        <w:t>within 28 days</w:t>
      </w:r>
      <w:r w:rsidRPr="00F65EA3">
        <w:rPr>
          <w:rFonts w:cs="Arial"/>
          <w:sz w:val="22"/>
          <w:lang w:eastAsia="en-AU"/>
        </w:rPr>
        <w:t xml:space="preserve"> of registering your claim (and in any event, no later than 23 March 2020).</w:t>
      </w:r>
      <w:r w:rsidRPr="00F65EA3">
        <w:rPr>
          <w:rFonts w:cs="Arial"/>
          <w:sz w:val="22"/>
          <w:u w:val="single"/>
          <w:lang w:eastAsia="en-AU"/>
        </w:rPr>
        <w:t xml:space="preserve"> </w:t>
      </w:r>
    </w:p>
    <w:p w14:paraId="708FF9D5" w14:textId="77777777" w:rsidR="002123DF" w:rsidRPr="00F65EA3" w:rsidRDefault="002123DF" w:rsidP="002123DF">
      <w:pPr>
        <w:jc w:val="both"/>
        <w:rPr>
          <w:rFonts w:cs="Arial"/>
          <w:sz w:val="22"/>
          <w:u w:val="single"/>
          <w:lang w:eastAsia="en-AU"/>
        </w:rPr>
      </w:pPr>
    </w:p>
    <w:p w14:paraId="5E705BB6" w14:textId="77777777" w:rsidR="002123DF" w:rsidRPr="00F65EA3" w:rsidRDefault="002123DF" w:rsidP="002123DF">
      <w:pPr>
        <w:jc w:val="both"/>
        <w:rPr>
          <w:rFonts w:cs="Arial"/>
          <w:sz w:val="22"/>
          <w:lang w:eastAsia="en-AU"/>
        </w:rPr>
      </w:pPr>
      <w:r w:rsidRPr="00F65EA3">
        <w:rPr>
          <w:rFonts w:cs="Arial"/>
          <w:sz w:val="22"/>
          <w:lang w:eastAsia="en-AU"/>
        </w:rPr>
        <w:t xml:space="preserve">Schedule 2 provides some examples of documents that group members </w:t>
      </w:r>
      <w:proofErr w:type="gramStart"/>
      <w:r w:rsidRPr="00F65EA3">
        <w:rPr>
          <w:rFonts w:cs="Arial"/>
          <w:sz w:val="22"/>
          <w:lang w:eastAsia="en-AU"/>
        </w:rPr>
        <w:t>may be asked</w:t>
      </w:r>
      <w:proofErr w:type="gramEnd"/>
      <w:r w:rsidRPr="00F65EA3">
        <w:rPr>
          <w:rFonts w:cs="Arial"/>
          <w:sz w:val="22"/>
          <w:lang w:eastAsia="en-AU"/>
        </w:rPr>
        <w:t xml:space="preserve"> to provide.</w:t>
      </w:r>
    </w:p>
    <w:p w14:paraId="177B2E5C" w14:textId="77777777" w:rsidR="002123DF" w:rsidRPr="00F65EA3" w:rsidRDefault="002123DF" w:rsidP="002123DF">
      <w:pPr>
        <w:jc w:val="both"/>
        <w:rPr>
          <w:rFonts w:cs="Arial"/>
          <w:sz w:val="22"/>
          <w:u w:val="single"/>
          <w:lang w:eastAsia="en-AU"/>
        </w:rPr>
      </w:pPr>
    </w:p>
    <w:p w14:paraId="6BAE3FB5" w14:textId="77777777" w:rsidR="002123DF" w:rsidRPr="00F65EA3" w:rsidRDefault="002123DF" w:rsidP="002123DF">
      <w:pPr>
        <w:keepNext/>
        <w:spacing w:after="120"/>
        <w:jc w:val="both"/>
        <w:rPr>
          <w:rFonts w:cs="Arial"/>
          <w:sz w:val="22"/>
          <w:u w:val="single"/>
          <w:lang w:eastAsia="en-AU"/>
        </w:rPr>
      </w:pPr>
      <w:r w:rsidRPr="00F65EA3">
        <w:rPr>
          <w:rFonts w:cs="Arial"/>
          <w:sz w:val="22"/>
          <w:u w:val="single"/>
          <w:lang w:eastAsia="en-AU"/>
        </w:rPr>
        <w:t xml:space="preserve">Fleet operators </w:t>
      </w:r>
    </w:p>
    <w:p w14:paraId="16CEFD1D" w14:textId="77777777" w:rsidR="002123DF" w:rsidRPr="00F65EA3" w:rsidRDefault="002123DF" w:rsidP="002123DF">
      <w:pPr>
        <w:jc w:val="both"/>
        <w:rPr>
          <w:rFonts w:cs="Arial"/>
          <w:sz w:val="22"/>
          <w:lang w:eastAsia="en-AU"/>
        </w:rPr>
      </w:pPr>
      <w:r w:rsidRPr="00F65EA3">
        <w:rPr>
          <w:rFonts w:cs="Arial"/>
          <w:sz w:val="22"/>
          <w:lang w:eastAsia="en-AU"/>
        </w:rPr>
        <w:t xml:space="preserve">If you propose to register a claim in relation to ten (10) or more vehicles, you </w:t>
      </w:r>
      <w:proofErr w:type="gramStart"/>
      <w:r w:rsidRPr="00F65EA3">
        <w:rPr>
          <w:rFonts w:cs="Arial"/>
          <w:sz w:val="22"/>
          <w:lang w:eastAsia="en-AU"/>
        </w:rPr>
        <w:t>will be treated</w:t>
      </w:r>
      <w:proofErr w:type="gramEnd"/>
      <w:r w:rsidRPr="00F65EA3">
        <w:rPr>
          <w:rFonts w:cs="Arial"/>
          <w:sz w:val="22"/>
          <w:lang w:eastAsia="en-AU"/>
        </w:rPr>
        <w:t xml:space="preserve"> as a “</w:t>
      </w:r>
      <w:r w:rsidRPr="00F65EA3">
        <w:rPr>
          <w:rFonts w:cs="Arial"/>
          <w:b/>
          <w:sz w:val="22"/>
          <w:lang w:eastAsia="en-AU"/>
        </w:rPr>
        <w:t>fleet operator</w:t>
      </w:r>
      <w:r w:rsidRPr="00F65EA3">
        <w:rPr>
          <w:rFonts w:cs="Arial"/>
          <w:sz w:val="22"/>
          <w:lang w:eastAsia="en-AU"/>
        </w:rPr>
        <w:t xml:space="preserve">” under the Settlement Scheme and, if so, you may use an alternative procedure in order to register numerous vehicles </w:t>
      </w:r>
      <w:proofErr w:type="spellStart"/>
      <w:r w:rsidRPr="00F65EA3">
        <w:rPr>
          <w:rFonts w:cs="Arial"/>
          <w:i/>
          <w:sz w:val="22"/>
          <w:lang w:eastAsia="en-AU"/>
        </w:rPr>
        <w:t>en</w:t>
      </w:r>
      <w:proofErr w:type="spellEnd"/>
      <w:r w:rsidRPr="00F65EA3">
        <w:rPr>
          <w:rFonts w:cs="Arial"/>
          <w:i/>
          <w:sz w:val="22"/>
          <w:lang w:eastAsia="en-AU"/>
        </w:rPr>
        <w:t xml:space="preserve"> masse</w:t>
      </w:r>
      <w:r w:rsidRPr="00F65EA3">
        <w:rPr>
          <w:rFonts w:cs="Arial"/>
          <w:sz w:val="22"/>
          <w:lang w:eastAsia="en-AU"/>
        </w:rPr>
        <w:t xml:space="preserve">.  </w:t>
      </w:r>
    </w:p>
    <w:p w14:paraId="1DD10CD7" w14:textId="77777777" w:rsidR="002123DF" w:rsidRPr="00F65EA3" w:rsidRDefault="002123DF" w:rsidP="002123DF">
      <w:pPr>
        <w:jc w:val="both"/>
        <w:rPr>
          <w:rFonts w:cs="Arial"/>
          <w:sz w:val="22"/>
          <w:lang w:eastAsia="en-AU"/>
        </w:rPr>
      </w:pPr>
    </w:p>
    <w:p w14:paraId="77E65CA2" w14:textId="77777777" w:rsidR="002123DF" w:rsidRPr="00F65EA3" w:rsidRDefault="002123DF" w:rsidP="002123DF">
      <w:pPr>
        <w:jc w:val="both"/>
        <w:rPr>
          <w:rFonts w:cs="Arial"/>
          <w:sz w:val="22"/>
          <w:lang w:eastAsia="en-AU"/>
        </w:rPr>
      </w:pPr>
      <w:r w:rsidRPr="00F65EA3">
        <w:rPr>
          <w:rFonts w:cs="Arial"/>
          <w:sz w:val="22"/>
          <w:lang w:eastAsia="en-AU"/>
        </w:rPr>
        <w:t xml:space="preserve">Instead of using the registration portal, fleet operators must register by contacting the settlement administrator in writing at the following email address: </w:t>
      </w:r>
      <w:hyperlink r:id="rId18" w:history="1">
        <w:r w:rsidRPr="00F65EA3">
          <w:rPr>
            <w:rStyle w:val="Hyperlink"/>
            <w:rFonts w:cs="Arial"/>
            <w:sz w:val="22"/>
            <w:lang w:eastAsia="en-AU"/>
          </w:rPr>
          <w:t>vwfleets@mauriceblackburn.com.au</w:t>
        </w:r>
      </w:hyperlink>
      <w:r w:rsidRPr="00F65EA3">
        <w:rPr>
          <w:rFonts w:cs="Arial"/>
          <w:sz w:val="22"/>
          <w:lang w:eastAsia="en-AU"/>
        </w:rPr>
        <w:t xml:space="preserve">. More information about the alternative registration procedure is set out in the Settlement Scheme.  </w:t>
      </w:r>
    </w:p>
    <w:p w14:paraId="5B7CAC75" w14:textId="77777777" w:rsidR="002123DF" w:rsidRPr="00F65EA3" w:rsidRDefault="002123DF" w:rsidP="002123DF">
      <w:pPr>
        <w:jc w:val="both"/>
        <w:rPr>
          <w:rFonts w:cs="Arial"/>
          <w:sz w:val="22"/>
          <w:lang w:eastAsia="en-AU"/>
        </w:rPr>
      </w:pPr>
    </w:p>
    <w:p w14:paraId="58F0FD36"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 xml:space="preserve">Assessment and payment of claims </w:t>
      </w:r>
    </w:p>
    <w:p w14:paraId="302EF25C" w14:textId="77777777" w:rsidR="002123DF" w:rsidRPr="00F65EA3" w:rsidRDefault="002123DF" w:rsidP="002123DF">
      <w:pPr>
        <w:jc w:val="both"/>
        <w:rPr>
          <w:rFonts w:cs="Arial"/>
          <w:sz w:val="22"/>
          <w:lang w:eastAsia="en-AU"/>
        </w:rPr>
      </w:pPr>
      <w:r w:rsidRPr="00F65EA3">
        <w:rPr>
          <w:rFonts w:cs="Arial"/>
          <w:sz w:val="22"/>
          <w:lang w:eastAsia="en-AU"/>
        </w:rPr>
        <w:t xml:space="preserve">After you register a claim and, if required, provide supporting documents, the claim </w:t>
      </w:r>
      <w:proofErr w:type="gramStart"/>
      <w:r w:rsidRPr="00F65EA3">
        <w:rPr>
          <w:rFonts w:cs="Arial"/>
          <w:sz w:val="22"/>
          <w:lang w:eastAsia="en-AU"/>
        </w:rPr>
        <w:t>will be assessed</w:t>
      </w:r>
      <w:proofErr w:type="gramEnd"/>
      <w:r w:rsidRPr="00F65EA3">
        <w:rPr>
          <w:rFonts w:cs="Arial"/>
          <w:sz w:val="22"/>
          <w:lang w:eastAsia="en-AU"/>
        </w:rPr>
        <w:t xml:space="preserve"> in order to determine whether it meets the eligibility criteria to receive a settlement payment. After a determination </w:t>
      </w:r>
      <w:proofErr w:type="gramStart"/>
      <w:r w:rsidRPr="00F65EA3">
        <w:rPr>
          <w:rFonts w:cs="Arial"/>
          <w:sz w:val="22"/>
          <w:lang w:eastAsia="en-AU"/>
        </w:rPr>
        <w:t>is made</w:t>
      </w:r>
      <w:proofErr w:type="gramEnd"/>
      <w:r w:rsidRPr="00F65EA3">
        <w:rPr>
          <w:rFonts w:cs="Arial"/>
          <w:sz w:val="22"/>
          <w:lang w:eastAsia="en-AU"/>
        </w:rPr>
        <w:t xml:space="preserve">, you will be sent a “Notice of Assessment” – please note that this may take several weeks from the time that your registration has been completed. </w:t>
      </w:r>
    </w:p>
    <w:p w14:paraId="141482EC" w14:textId="77777777" w:rsidR="002123DF" w:rsidRPr="00F65EA3" w:rsidRDefault="002123DF" w:rsidP="002123DF">
      <w:pPr>
        <w:jc w:val="both"/>
        <w:rPr>
          <w:rFonts w:cs="Arial"/>
          <w:sz w:val="22"/>
          <w:lang w:eastAsia="en-AU"/>
        </w:rPr>
      </w:pPr>
    </w:p>
    <w:p w14:paraId="71EF66DB" w14:textId="77777777" w:rsidR="002123DF" w:rsidRPr="00F65EA3" w:rsidRDefault="002123DF" w:rsidP="002123DF">
      <w:pPr>
        <w:jc w:val="both"/>
        <w:rPr>
          <w:rFonts w:cs="Arial"/>
          <w:sz w:val="22"/>
          <w:lang w:eastAsia="en-AU"/>
        </w:rPr>
      </w:pPr>
      <w:r w:rsidRPr="00F65EA3">
        <w:rPr>
          <w:rFonts w:cs="Arial"/>
          <w:sz w:val="22"/>
          <w:lang w:eastAsia="en-AU"/>
        </w:rPr>
        <w:t xml:space="preserve">If you are assessed as </w:t>
      </w:r>
      <w:proofErr w:type="gramStart"/>
      <w:r w:rsidRPr="00F65EA3">
        <w:rPr>
          <w:rFonts w:cs="Arial"/>
          <w:sz w:val="22"/>
          <w:lang w:eastAsia="en-AU"/>
        </w:rPr>
        <w:t>ineligible</w:t>
      </w:r>
      <w:proofErr w:type="gramEnd"/>
      <w:r w:rsidRPr="00F65EA3">
        <w:rPr>
          <w:rFonts w:cs="Arial"/>
          <w:sz w:val="22"/>
          <w:lang w:eastAsia="en-AU"/>
        </w:rPr>
        <w:t xml:space="preserve"> you may request a review by an independent lawyer who will be appointed as a “review assessor”. </w:t>
      </w:r>
    </w:p>
    <w:p w14:paraId="0849D892" w14:textId="77777777" w:rsidR="002123DF" w:rsidRPr="00F65EA3" w:rsidRDefault="002123DF" w:rsidP="002123DF">
      <w:pPr>
        <w:jc w:val="both"/>
        <w:rPr>
          <w:rFonts w:cs="Arial"/>
          <w:sz w:val="22"/>
          <w:lang w:eastAsia="en-AU"/>
        </w:rPr>
      </w:pPr>
    </w:p>
    <w:p w14:paraId="14061A01" w14:textId="77777777" w:rsidR="002123DF" w:rsidRPr="00F65EA3" w:rsidRDefault="002123DF" w:rsidP="002123DF">
      <w:pPr>
        <w:jc w:val="both"/>
        <w:rPr>
          <w:rFonts w:cs="Arial"/>
          <w:sz w:val="22"/>
          <w:lang w:eastAsia="en-AU"/>
        </w:rPr>
      </w:pPr>
      <w:r w:rsidRPr="00F65EA3">
        <w:rPr>
          <w:rFonts w:cs="Arial"/>
          <w:sz w:val="22"/>
          <w:lang w:eastAsia="en-AU"/>
        </w:rPr>
        <w:t xml:space="preserve">Once all claims have been finally assessed and the total number of eligible Group Members has been determined, the Volkswagen Group will pay the final settlement sum that </w:t>
      </w:r>
      <w:proofErr w:type="gramStart"/>
      <w:r w:rsidRPr="00F65EA3">
        <w:rPr>
          <w:rFonts w:cs="Arial"/>
          <w:sz w:val="22"/>
          <w:lang w:eastAsia="en-AU"/>
        </w:rPr>
        <w:t>is then able to</w:t>
      </w:r>
      <w:proofErr w:type="gramEnd"/>
      <w:r w:rsidRPr="00F65EA3">
        <w:rPr>
          <w:rFonts w:cs="Arial"/>
          <w:sz w:val="22"/>
          <w:lang w:eastAsia="en-AU"/>
        </w:rPr>
        <w:t xml:space="preserve"> be calculated in light of the total number of affected vehicles owned by Group Members who are assessed as eligible to receive a settlement payment. As was noted above, the settlement sum will range between $87 million and $127.1 million.  </w:t>
      </w:r>
    </w:p>
    <w:p w14:paraId="49205E59" w14:textId="77777777" w:rsidR="002123DF" w:rsidRPr="00F65EA3" w:rsidRDefault="002123DF" w:rsidP="002123DF">
      <w:pPr>
        <w:jc w:val="both"/>
        <w:rPr>
          <w:rFonts w:cs="Arial"/>
          <w:sz w:val="22"/>
          <w:lang w:eastAsia="en-AU"/>
        </w:rPr>
      </w:pPr>
    </w:p>
    <w:p w14:paraId="79D048D5" w14:textId="77777777" w:rsidR="002123DF" w:rsidRPr="00F65EA3" w:rsidRDefault="002123DF" w:rsidP="002123DF">
      <w:pPr>
        <w:jc w:val="both"/>
        <w:rPr>
          <w:rFonts w:cs="Arial"/>
          <w:sz w:val="22"/>
          <w:lang w:eastAsia="en-AU"/>
        </w:rPr>
      </w:pPr>
      <w:r w:rsidRPr="00F65EA3">
        <w:rPr>
          <w:rFonts w:cs="Arial"/>
          <w:sz w:val="22"/>
          <w:lang w:eastAsia="en-AU"/>
        </w:rPr>
        <w:t xml:space="preserve">Once the final settlement sum </w:t>
      </w:r>
      <w:proofErr w:type="gramStart"/>
      <w:r w:rsidRPr="00F65EA3">
        <w:rPr>
          <w:rFonts w:cs="Arial"/>
          <w:sz w:val="22"/>
          <w:lang w:eastAsia="en-AU"/>
        </w:rPr>
        <w:t>is known</w:t>
      </w:r>
      <w:proofErr w:type="gramEnd"/>
      <w:r w:rsidRPr="00F65EA3">
        <w:rPr>
          <w:rFonts w:cs="Arial"/>
          <w:sz w:val="22"/>
          <w:lang w:eastAsia="en-AU"/>
        </w:rPr>
        <w:t xml:space="preserve">, the settlement administrator will notify each eligible Group Member of the amount of their individual settlement payment. Before receiving payment, Group Members will need to indicate their agreement to release the Volkswagen Group from all future claims relating to the diesel emissions issue and they will also need to agree to keep the amount of their settlement payment confidential.  </w:t>
      </w:r>
    </w:p>
    <w:p w14:paraId="4686FEAD" w14:textId="77777777" w:rsidR="002123DF" w:rsidRPr="00F65EA3" w:rsidRDefault="002123DF" w:rsidP="002123DF">
      <w:pPr>
        <w:jc w:val="both"/>
        <w:rPr>
          <w:rFonts w:cs="Arial"/>
          <w:sz w:val="22"/>
          <w:lang w:eastAsia="en-AU"/>
        </w:rPr>
      </w:pPr>
    </w:p>
    <w:p w14:paraId="43E510E2" w14:textId="77777777" w:rsidR="002123DF" w:rsidRPr="00F65EA3" w:rsidRDefault="002123DF" w:rsidP="002123DF">
      <w:pPr>
        <w:jc w:val="both"/>
        <w:rPr>
          <w:rFonts w:cs="Arial"/>
          <w:sz w:val="22"/>
          <w:lang w:eastAsia="en-AU"/>
        </w:rPr>
      </w:pPr>
      <w:r w:rsidRPr="00F65EA3">
        <w:rPr>
          <w:rFonts w:cs="Arial"/>
          <w:sz w:val="22"/>
          <w:lang w:eastAsia="en-AU"/>
        </w:rPr>
        <w:t xml:space="preserve">In due course, the Court-appointed settlement administrator will distribute the settlement payments to eligible Group Members by electronic funds transfer. This will not occur until after the settlement approval hearing in the Federal Court on 26 March 2020 and until after all appeal periods have expired.  </w:t>
      </w:r>
    </w:p>
    <w:p w14:paraId="45C5865E" w14:textId="77777777" w:rsidR="002123DF" w:rsidRPr="00F65EA3" w:rsidRDefault="002123DF" w:rsidP="002123DF">
      <w:pPr>
        <w:rPr>
          <w:rFonts w:eastAsia="ArialMT" w:cs="Arial"/>
          <w:sz w:val="22"/>
          <w:szCs w:val="22"/>
          <w:lang w:eastAsia="en-AU"/>
        </w:rPr>
      </w:pPr>
    </w:p>
    <w:p w14:paraId="45C09CF0" w14:textId="77777777" w:rsidR="002123DF" w:rsidRPr="00F65EA3" w:rsidRDefault="002123DF" w:rsidP="002123DF">
      <w:pPr>
        <w:rPr>
          <w:rFonts w:eastAsia="ArialMT" w:cs="Arial"/>
          <w:b/>
          <w:sz w:val="22"/>
          <w:szCs w:val="22"/>
          <w:lang w:eastAsia="en-AU"/>
        </w:rPr>
      </w:pPr>
      <w:r w:rsidRPr="00F65EA3">
        <w:rPr>
          <w:rFonts w:eastAsia="ArialMT" w:cs="Arial"/>
          <w:b/>
          <w:sz w:val="22"/>
          <w:szCs w:val="22"/>
          <w:lang w:eastAsia="en-AU"/>
        </w:rPr>
        <w:br w:type="page"/>
      </w:r>
    </w:p>
    <w:p w14:paraId="09518665" w14:textId="77777777" w:rsidR="002123DF" w:rsidRPr="00F65EA3" w:rsidRDefault="002123DF" w:rsidP="002123DF">
      <w:pPr>
        <w:autoSpaceDE w:val="0"/>
        <w:autoSpaceDN w:val="0"/>
        <w:adjustRightInd w:val="0"/>
        <w:jc w:val="center"/>
        <w:rPr>
          <w:rFonts w:eastAsia="ArialMT" w:cs="Arial"/>
          <w:b/>
          <w:sz w:val="22"/>
          <w:szCs w:val="22"/>
          <w:lang w:eastAsia="en-AU"/>
        </w:rPr>
      </w:pPr>
      <w:r w:rsidRPr="00F65EA3">
        <w:rPr>
          <w:rFonts w:eastAsia="ArialMT" w:cs="Arial"/>
          <w:b/>
          <w:sz w:val="22"/>
          <w:szCs w:val="22"/>
          <w:lang w:eastAsia="en-AU"/>
        </w:rPr>
        <w:lastRenderedPageBreak/>
        <w:t>LIST OF AFFECTED DIESEL VEHICLES</w:t>
      </w:r>
    </w:p>
    <w:p w14:paraId="179D970D" w14:textId="77777777" w:rsidR="002123DF" w:rsidRPr="00F65EA3" w:rsidRDefault="002123DF" w:rsidP="002123DF">
      <w:pPr>
        <w:autoSpaceDE w:val="0"/>
        <w:autoSpaceDN w:val="0"/>
        <w:adjustRightInd w:val="0"/>
        <w:jc w:val="both"/>
        <w:rPr>
          <w:rFonts w:eastAsia="ArialMT" w:cs="Arial"/>
          <w:sz w:val="22"/>
          <w:szCs w:val="22"/>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985"/>
        <w:gridCol w:w="1984"/>
      </w:tblGrid>
      <w:tr w:rsidR="002123DF" w:rsidRPr="00F65EA3" w14:paraId="714E83CA" w14:textId="77777777" w:rsidTr="00A13186">
        <w:trPr>
          <w:trHeight w:val="501"/>
          <w:tblHeader/>
          <w:jc w:val="center"/>
        </w:trPr>
        <w:tc>
          <w:tcPr>
            <w:tcW w:w="1665" w:type="dxa"/>
            <w:tcBorders>
              <w:top w:val="single" w:sz="4" w:space="0" w:color="auto"/>
              <w:left w:val="single" w:sz="4" w:space="0" w:color="auto"/>
              <w:bottom w:val="single" w:sz="4" w:space="0" w:color="auto"/>
              <w:right w:val="single" w:sz="4" w:space="0" w:color="auto"/>
            </w:tcBorders>
            <w:shd w:val="clear" w:color="auto" w:fill="D9D9D9"/>
            <w:hideMark/>
          </w:tcPr>
          <w:p w14:paraId="13B896B5" w14:textId="77777777" w:rsidR="002123DF" w:rsidRPr="00F65EA3" w:rsidRDefault="002123DF" w:rsidP="00A13186">
            <w:pPr>
              <w:spacing w:before="120" w:after="120"/>
              <w:jc w:val="both"/>
              <w:rPr>
                <w:b/>
                <w:sz w:val="22"/>
                <w:szCs w:val="22"/>
                <w:lang w:eastAsia="en-AU"/>
              </w:rPr>
            </w:pPr>
            <w:r w:rsidRPr="00F65EA3">
              <w:rPr>
                <w:b/>
                <w:sz w:val="22"/>
                <w:szCs w:val="22"/>
                <w:lang w:eastAsia="en-AU"/>
              </w:rPr>
              <w:t>Make</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B7A4E16" w14:textId="77777777" w:rsidR="002123DF" w:rsidRPr="00F65EA3" w:rsidRDefault="002123DF" w:rsidP="00A13186">
            <w:pPr>
              <w:spacing w:before="120" w:after="120"/>
              <w:jc w:val="both"/>
              <w:rPr>
                <w:b/>
                <w:sz w:val="22"/>
                <w:szCs w:val="22"/>
                <w:lang w:eastAsia="en-AU"/>
              </w:rPr>
            </w:pPr>
            <w:r w:rsidRPr="00F65EA3">
              <w:rPr>
                <w:b/>
                <w:sz w:val="22"/>
                <w:szCs w:val="22"/>
                <w:lang w:eastAsia="en-AU"/>
              </w:rPr>
              <w:t>Model (Diesel)</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E125B8A" w14:textId="77777777" w:rsidR="002123DF" w:rsidRPr="00F65EA3" w:rsidRDefault="002123DF" w:rsidP="00A13186">
            <w:pPr>
              <w:spacing w:before="120" w:after="120"/>
              <w:jc w:val="both"/>
              <w:rPr>
                <w:b/>
                <w:sz w:val="22"/>
                <w:szCs w:val="22"/>
                <w:lang w:eastAsia="en-AU"/>
              </w:rPr>
            </w:pPr>
            <w:r w:rsidRPr="00F65EA3">
              <w:rPr>
                <w:b/>
                <w:sz w:val="22"/>
                <w:szCs w:val="22"/>
                <w:lang w:eastAsia="en-AU"/>
              </w:rPr>
              <w:t>Model Year</w:t>
            </w:r>
          </w:p>
        </w:tc>
      </w:tr>
      <w:tr w:rsidR="002123DF" w:rsidRPr="00F65EA3" w14:paraId="2F94142C" w14:textId="77777777" w:rsidTr="00A13186">
        <w:trPr>
          <w:jc w:val="center"/>
        </w:trPr>
        <w:tc>
          <w:tcPr>
            <w:tcW w:w="1665" w:type="dxa"/>
            <w:vMerge w:val="restart"/>
            <w:tcBorders>
              <w:top w:val="single" w:sz="4" w:space="0" w:color="auto"/>
              <w:left w:val="single" w:sz="4" w:space="0" w:color="auto"/>
              <w:bottom w:val="single" w:sz="4" w:space="0" w:color="auto"/>
              <w:right w:val="single" w:sz="4" w:space="0" w:color="auto"/>
            </w:tcBorders>
            <w:vAlign w:val="center"/>
            <w:hideMark/>
          </w:tcPr>
          <w:p w14:paraId="6C22C13C" w14:textId="77777777" w:rsidR="002123DF" w:rsidRPr="00F65EA3" w:rsidRDefault="002123DF" w:rsidP="00A13186">
            <w:pPr>
              <w:spacing w:before="120" w:after="120"/>
              <w:jc w:val="both"/>
              <w:rPr>
                <w:b/>
                <w:sz w:val="22"/>
                <w:szCs w:val="22"/>
                <w:lang w:eastAsia="en-AU"/>
              </w:rPr>
            </w:pPr>
            <w:r w:rsidRPr="00F65EA3">
              <w:rPr>
                <w:b/>
                <w:sz w:val="22"/>
                <w:szCs w:val="22"/>
                <w:lang w:eastAsia="en-AU"/>
              </w:rPr>
              <w:t>Volkswagen</w:t>
            </w:r>
          </w:p>
        </w:tc>
        <w:tc>
          <w:tcPr>
            <w:tcW w:w="1985" w:type="dxa"/>
            <w:tcBorders>
              <w:top w:val="single" w:sz="4" w:space="0" w:color="auto"/>
              <w:left w:val="single" w:sz="4" w:space="0" w:color="auto"/>
              <w:bottom w:val="single" w:sz="4" w:space="0" w:color="auto"/>
              <w:right w:val="single" w:sz="4" w:space="0" w:color="auto"/>
            </w:tcBorders>
            <w:hideMark/>
          </w:tcPr>
          <w:p w14:paraId="0C5C0785" w14:textId="77777777" w:rsidR="002123DF" w:rsidRPr="00F65EA3" w:rsidRDefault="002123DF" w:rsidP="00A13186">
            <w:pPr>
              <w:spacing w:before="120" w:after="120"/>
              <w:jc w:val="both"/>
              <w:rPr>
                <w:sz w:val="22"/>
                <w:szCs w:val="22"/>
                <w:lang w:eastAsia="en-AU"/>
              </w:rPr>
            </w:pPr>
            <w:r w:rsidRPr="00F65EA3">
              <w:rPr>
                <w:sz w:val="22"/>
                <w:szCs w:val="22"/>
                <w:lang w:eastAsia="en-AU"/>
              </w:rPr>
              <w:t>Golf</w:t>
            </w:r>
          </w:p>
        </w:tc>
        <w:tc>
          <w:tcPr>
            <w:tcW w:w="1984" w:type="dxa"/>
            <w:tcBorders>
              <w:top w:val="single" w:sz="4" w:space="0" w:color="auto"/>
              <w:left w:val="single" w:sz="4" w:space="0" w:color="auto"/>
              <w:bottom w:val="single" w:sz="4" w:space="0" w:color="auto"/>
              <w:right w:val="single" w:sz="4" w:space="0" w:color="auto"/>
            </w:tcBorders>
            <w:hideMark/>
          </w:tcPr>
          <w:p w14:paraId="4199425F" w14:textId="77777777" w:rsidR="002123DF" w:rsidRPr="00F65EA3" w:rsidRDefault="002123DF" w:rsidP="00A13186">
            <w:pPr>
              <w:spacing w:before="120" w:after="120"/>
              <w:jc w:val="both"/>
              <w:rPr>
                <w:sz w:val="22"/>
                <w:szCs w:val="22"/>
                <w:lang w:eastAsia="en-AU"/>
              </w:rPr>
            </w:pPr>
            <w:r w:rsidRPr="00F65EA3">
              <w:rPr>
                <w:sz w:val="22"/>
                <w:szCs w:val="22"/>
                <w:lang w:eastAsia="en-AU"/>
              </w:rPr>
              <w:t>MY 2009 - 2013</w:t>
            </w:r>
          </w:p>
        </w:tc>
      </w:tr>
      <w:tr w:rsidR="002123DF" w:rsidRPr="00F65EA3" w14:paraId="0514C612"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5ED6B7C5"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6E54EDF6" w14:textId="77777777" w:rsidR="002123DF" w:rsidRPr="00F65EA3" w:rsidRDefault="002123DF" w:rsidP="00A13186">
            <w:pPr>
              <w:spacing w:before="120" w:after="120"/>
              <w:jc w:val="both"/>
              <w:rPr>
                <w:sz w:val="22"/>
                <w:szCs w:val="22"/>
                <w:lang w:eastAsia="en-AU"/>
              </w:rPr>
            </w:pPr>
            <w:r w:rsidRPr="00F65EA3">
              <w:rPr>
                <w:sz w:val="22"/>
                <w:szCs w:val="22"/>
                <w:lang w:eastAsia="en-AU"/>
              </w:rPr>
              <w:t>Polo</w:t>
            </w:r>
          </w:p>
        </w:tc>
        <w:tc>
          <w:tcPr>
            <w:tcW w:w="1984" w:type="dxa"/>
            <w:tcBorders>
              <w:top w:val="single" w:sz="4" w:space="0" w:color="auto"/>
              <w:left w:val="single" w:sz="4" w:space="0" w:color="auto"/>
              <w:bottom w:val="single" w:sz="4" w:space="0" w:color="auto"/>
              <w:right w:val="single" w:sz="4" w:space="0" w:color="auto"/>
            </w:tcBorders>
            <w:hideMark/>
          </w:tcPr>
          <w:p w14:paraId="4B39D7B3" w14:textId="77777777" w:rsidR="002123DF" w:rsidRPr="00F65EA3" w:rsidRDefault="002123DF" w:rsidP="00A13186">
            <w:pPr>
              <w:spacing w:before="120" w:after="120"/>
              <w:jc w:val="both"/>
              <w:rPr>
                <w:sz w:val="22"/>
                <w:szCs w:val="22"/>
                <w:lang w:eastAsia="en-AU"/>
              </w:rPr>
            </w:pPr>
            <w:r w:rsidRPr="00F65EA3">
              <w:rPr>
                <w:sz w:val="22"/>
                <w:szCs w:val="22"/>
                <w:lang w:eastAsia="en-AU"/>
              </w:rPr>
              <w:t>MY 2010 - 2014</w:t>
            </w:r>
          </w:p>
        </w:tc>
      </w:tr>
      <w:tr w:rsidR="002123DF" w:rsidRPr="00F65EA3" w14:paraId="3E619C16"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08FF646E"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48BC72CD" w14:textId="77777777" w:rsidR="002123DF" w:rsidRPr="00F65EA3" w:rsidRDefault="002123DF" w:rsidP="00A13186">
            <w:pPr>
              <w:spacing w:before="120" w:after="120"/>
              <w:jc w:val="both"/>
              <w:rPr>
                <w:sz w:val="22"/>
                <w:szCs w:val="22"/>
                <w:lang w:eastAsia="en-AU"/>
              </w:rPr>
            </w:pPr>
            <w:r w:rsidRPr="00F65EA3">
              <w:rPr>
                <w:sz w:val="22"/>
                <w:szCs w:val="22"/>
                <w:lang w:eastAsia="en-AU"/>
              </w:rPr>
              <w:t>Jetta</w:t>
            </w:r>
          </w:p>
        </w:tc>
        <w:tc>
          <w:tcPr>
            <w:tcW w:w="1984" w:type="dxa"/>
            <w:tcBorders>
              <w:top w:val="single" w:sz="4" w:space="0" w:color="auto"/>
              <w:left w:val="single" w:sz="4" w:space="0" w:color="auto"/>
              <w:bottom w:val="single" w:sz="4" w:space="0" w:color="auto"/>
              <w:right w:val="single" w:sz="4" w:space="0" w:color="auto"/>
            </w:tcBorders>
            <w:hideMark/>
          </w:tcPr>
          <w:p w14:paraId="008D0E13" w14:textId="77777777" w:rsidR="002123DF" w:rsidRPr="00F65EA3" w:rsidRDefault="002123DF" w:rsidP="00A13186">
            <w:pPr>
              <w:spacing w:before="120" w:after="120"/>
              <w:jc w:val="both"/>
              <w:rPr>
                <w:sz w:val="22"/>
                <w:szCs w:val="22"/>
                <w:lang w:eastAsia="en-AU"/>
              </w:rPr>
            </w:pPr>
            <w:r w:rsidRPr="00F65EA3">
              <w:rPr>
                <w:sz w:val="22"/>
                <w:szCs w:val="22"/>
                <w:lang w:eastAsia="en-AU"/>
              </w:rPr>
              <w:t>MY 2009 - 2016</w:t>
            </w:r>
          </w:p>
        </w:tc>
      </w:tr>
      <w:tr w:rsidR="002123DF" w:rsidRPr="00F65EA3" w14:paraId="264D852B"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41ADBFC6"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41A2F4AF" w14:textId="77777777" w:rsidR="002123DF" w:rsidRPr="00F65EA3" w:rsidRDefault="002123DF" w:rsidP="00A13186">
            <w:pPr>
              <w:spacing w:before="120" w:after="120"/>
              <w:jc w:val="both"/>
              <w:rPr>
                <w:sz w:val="22"/>
                <w:szCs w:val="22"/>
                <w:lang w:eastAsia="en-AU"/>
              </w:rPr>
            </w:pPr>
            <w:r w:rsidRPr="00F65EA3">
              <w:rPr>
                <w:sz w:val="22"/>
                <w:szCs w:val="22"/>
                <w:lang w:eastAsia="en-AU"/>
              </w:rPr>
              <w:t xml:space="preserve">Passat </w:t>
            </w:r>
          </w:p>
        </w:tc>
        <w:tc>
          <w:tcPr>
            <w:tcW w:w="1984" w:type="dxa"/>
            <w:tcBorders>
              <w:top w:val="single" w:sz="4" w:space="0" w:color="auto"/>
              <w:left w:val="single" w:sz="4" w:space="0" w:color="auto"/>
              <w:bottom w:val="single" w:sz="4" w:space="0" w:color="auto"/>
              <w:right w:val="single" w:sz="4" w:space="0" w:color="auto"/>
            </w:tcBorders>
            <w:hideMark/>
          </w:tcPr>
          <w:p w14:paraId="2391AAAD" w14:textId="77777777" w:rsidR="002123DF" w:rsidRPr="00F65EA3" w:rsidRDefault="002123DF" w:rsidP="00A13186">
            <w:pPr>
              <w:spacing w:before="120" w:after="120"/>
              <w:jc w:val="both"/>
              <w:rPr>
                <w:sz w:val="22"/>
                <w:szCs w:val="22"/>
                <w:lang w:eastAsia="en-AU"/>
              </w:rPr>
            </w:pPr>
            <w:r w:rsidRPr="00F65EA3">
              <w:rPr>
                <w:sz w:val="22"/>
                <w:szCs w:val="22"/>
                <w:lang w:eastAsia="en-AU"/>
              </w:rPr>
              <w:t>MY 2009 - 2015</w:t>
            </w:r>
          </w:p>
        </w:tc>
      </w:tr>
      <w:tr w:rsidR="002123DF" w:rsidRPr="00F65EA3" w14:paraId="4E182C0B"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06FA7FB1"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53015E33" w14:textId="77777777" w:rsidR="002123DF" w:rsidRPr="00F65EA3" w:rsidRDefault="002123DF" w:rsidP="00A13186">
            <w:pPr>
              <w:spacing w:before="120" w:after="120"/>
              <w:jc w:val="both"/>
              <w:rPr>
                <w:sz w:val="22"/>
                <w:szCs w:val="22"/>
                <w:lang w:eastAsia="en-AU"/>
              </w:rPr>
            </w:pPr>
            <w:r w:rsidRPr="00F65EA3">
              <w:rPr>
                <w:sz w:val="22"/>
                <w:szCs w:val="22"/>
                <w:lang w:eastAsia="en-AU"/>
              </w:rPr>
              <w:t>Passat CC</w:t>
            </w:r>
          </w:p>
        </w:tc>
        <w:tc>
          <w:tcPr>
            <w:tcW w:w="1984" w:type="dxa"/>
            <w:tcBorders>
              <w:top w:val="single" w:sz="4" w:space="0" w:color="auto"/>
              <w:left w:val="single" w:sz="4" w:space="0" w:color="auto"/>
              <w:bottom w:val="single" w:sz="4" w:space="0" w:color="auto"/>
              <w:right w:val="single" w:sz="4" w:space="0" w:color="auto"/>
            </w:tcBorders>
            <w:hideMark/>
          </w:tcPr>
          <w:p w14:paraId="7687AD81" w14:textId="77777777" w:rsidR="002123DF" w:rsidRPr="00F65EA3" w:rsidRDefault="002123DF" w:rsidP="00A13186">
            <w:pPr>
              <w:spacing w:before="120" w:after="120"/>
              <w:jc w:val="both"/>
              <w:rPr>
                <w:sz w:val="22"/>
                <w:szCs w:val="22"/>
                <w:lang w:eastAsia="en-AU"/>
              </w:rPr>
            </w:pPr>
            <w:r w:rsidRPr="00F65EA3">
              <w:rPr>
                <w:sz w:val="22"/>
                <w:szCs w:val="22"/>
                <w:lang w:eastAsia="en-AU"/>
              </w:rPr>
              <w:t>MY 2009 - 2012</w:t>
            </w:r>
          </w:p>
        </w:tc>
      </w:tr>
      <w:tr w:rsidR="002123DF" w:rsidRPr="00F65EA3" w14:paraId="4C440A9D"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105E7758"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13151A2D" w14:textId="77777777" w:rsidR="002123DF" w:rsidRPr="00F65EA3" w:rsidRDefault="002123DF" w:rsidP="00A13186">
            <w:pPr>
              <w:spacing w:before="120" w:after="120"/>
              <w:jc w:val="both"/>
              <w:rPr>
                <w:sz w:val="22"/>
                <w:szCs w:val="22"/>
                <w:lang w:eastAsia="en-AU"/>
              </w:rPr>
            </w:pPr>
            <w:r w:rsidRPr="00F65EA3">
              <w:rPr>
                <w:sz w:val="22"/>
                <w:szCs w:val="22"/>
                <w:lang w:eastAsia="en-AU"/>
              </w:rPr>
              <w:t>Volkswagen CC</w:t>
            </w:r>
          </w:p>
        </w:tc>
        <w:tc>
          <w:tcPr>
            <w:tcW w:w="1984" w:type="dxa"/>
            <w:tcBorders>
              <w:top w:val="single" w:sz="4" w:space="0" w:color="auto"/>
              <w:left w:val="single" w:sz="4" w:space="0" w:color="auto"/>
              <w:bottom w:val="single" w:sz="4" w:space="0" w:color="auto"/>
              <w:right w:val="single" w:sz="4" w:space="0" w:color="auto"/>
            </w:tcBorders>
            <w:hideMark/>
          </w:tcPr>
          <w:p w14:paraId="2B99F476" w14:textId="77777777" w:rsidR="002123DF" w:rsidRPr="00F65EA3" w:rsidRDefault="002123DF" w:rsidP="00A13186">
            <w:pPr>
              <w:spacing w:before="120" w:after="120"/>
              <w:jc w:val="both"/>
              <w:rPr>
                <w:sz w:val="22"/>
                <w:szCs w:val="22"/>
                <w:lang w:eastAsia="en-AU"/>
              </w:rPr>
            </w:pPr>
            <w:r w:rsidRPr="00F65EA3">
              <w:rPr>
                <w:sz w:val="22"/>
                <w:szCs w:val="22"/>
                <w:lang w:eastAsia="en-AU"/>
              </w:rPr>
              <w:t>MY 2012 - 2016</w:t>
            </w:r>
          </w:p>
        </w:tc>
      </w:tr>
      <w:tr w:rsidR="002123DF" w:rsidRPr="00F65EA3" w14:paraId="733AD8A5"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69580844"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714213BC" w14:textId="77777777" w:rsidR="002123DF" w:rsidRPr="00F65EA3" w:rsidRDefault="002123DF" w:rsidP="00A13186">
            <w:pPr>
              <w:spacing w:before="120" w:after="120"/>
              <w:jc w:val="both"/>
              <w:rPr>
                <w:sz w:val="22"/>
                <w:szCs w:val="22"/>
                <w:lang w:eastAsia="en-AU"/>
              </w:rPr>
            </w:pPr>
            <w:r w:rsidRPr="00F65EA3">
              <w:rPr>
                <w:sz w:val="22"/>
                <w:szCs w:val="22"/>
                <w:lang w:eastAsia="en-AU"/>
              </w:rPr>
              <w:t>Eos</w:t>
            </w:r>
          </w:p>
        </w:tc>
        <w:tc>
          <w:tcPr>
            <w:tcW w:w="1984" w:type="dxa"/>
            <w:tcBorders>
              <w:top w:val="single" w:sz="4" w:space="0" w:color="auto"/>
              <w:left w:val="single" w:sz="4" w:space="0" w:color="auto"/>
              <w:bottom w:val="single" w:sz="4" w:space="0" w:color="auto"/>
              <w:right w:val="single" w:sz="4" w:space="0" w:color="auto"/>
            </w:tcBorders>
            <w:hideMark/>
          </w:tcPr>
          <w:p w14:paraId="0EFBF6E1" w14:textId="77777777" w:rsidR="002123DF" w:rsidRPr="00F65EA3" w:rsidRDefault="002123DF" w:rsidP="00A13186">
            <w:pPr>
              <w:spacing w:before="120" w:after="120"/>
              <w:jc w:val="both"/>
              <w:rPr>
                <w:sz w:val="22"/>
                <w:szCs w:val="22"/>
                <w:lang w:eastAsia="en-AU"/>
              </w:rPr>
            </w:pPr>
            <w:r w:rsidRPr="00F65EA3">
              <w:rPr>
                <w:sz w:val="22"/>
                <w:szCs w:val="22"/>
                <w:lang w:eastAsia="en-AU"/>
              </w:rPr>
              <w:t>MY 2009 - 2014</w:t>
            </w:r>
          </w:p>
        </w:tc>
      </w:tr>
      <w:tr w:rsidR="002123DF" w:rsidRPr="00F65EA3" w14:paraId="1A15039E"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33963A03"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253C5989" w14:textId="77777777" w:rsidR="002123DF" w:rsidRPr="00F65EA3" w:rsidRDefault="002123DF" w:rsidP="00A13186">
            <w:pPr>
              <w:spacing w:before="120" w:after="120"/>
              <w:jc w:val="both"/>
              <w:rPr>
                <w:sz w:val="22"/>
                <w:szCs w:val="22"/>
                <w:lang w:eastAsia="en-AU"/>
              </w:rPr>
            </w:pPr>
            <w:proofErr w:type="spellStart"/>
            <w:r w:rsidRPr="00F65EA3">
              <w:rPr>
                <w:sz w:val="22"/>
                <w:szCs w:val="22"/>
                <w:lang w:eastAsia="en-AU"/>
              </w:rPr>
              <w:t>Tiguan</w:t>
            </w:r>
            <w:proofErr w:type="spellEnd"/>
            <w:r w:rsidRPr="00F65EA3">
              <w:rPr>
                <w:sz w:val="22"/>
                <w:szCs w:val="22"/>
                <w:lang w:eastAsia="en-AU"/>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1743AB72" w14:textId="77777777" w:rsidR="002123DF" w:rsidRPr="00F65EA3" w:rsidRDefault="002123DF" w:rsidP="00A13186">
            <w:pPr>
              <w:spacing w:before="120" w:after="120"/>
              <w:jc w:val="both"/>
              <w:rPr>
                <w:sz w:val="22"/>
                <w:szCs w:val="22"/>
                <w:lang w:eastAsia="en-AU"/>
              </w:rPr>
            </w:pPr>
            <w:r w:rsidRPr="00F65EA3">
              <w:rPr>
                <w:sz w:val="22"/>
                <w:szCs w:val="22"/>
                <w:lang w:eastAsia="en-AU"/>
              </w:rPr>
              <w:t>MY 2008 - 2016</w:t>
            </w:r>
          </w:p>
        </w:tc>
      </w:tr>
      <w:tr w:rsidR="002123DF" w:rsidRPr="00F65EA3" w14:paraId="37A9A25E"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333877A7"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1852FE70" w14:textId="77777777" w:rsidR="002123DF" w:rsidRPr="00F65EA3" w:rsidRDefault="002123DF" w:rsidP="00A13186">
            <w:pPr>
              <w:spacing w:before="120" w:after="120"/>
              <w:jc w:val="both"/>
              <w:rPr>
                <w:sz w:val="22"/>
                <w:szCs w:val="22"/>
                <w:lang w:eastAsia="en-AU"/>
              </w:rPr>
            </w:pPr>
            <w:r w:rsidRPr="00F65EA3">
              <w:rPr>
                <w:sz w:val="22"/>
                <w:szCs w:val="22"/>
                <w:lang w:eastAsia="en-AU"/>
              </w:rPr>
              <w:t xml:space="preserve">Caddy </w:t>
            </w:r>
          </w:p>
        </w:tc>
        <w:tc>
          <w:tcPr>
            <w:tcW w:w="1984" w:type="dxa"/>
            <w:tcBorders>
              <w:top w:val="single" w:sz="4" w:space="0" w:color="auto"/>
              <w:left w:val="single" w:sz="4" w:space="0" w:color="auto"/>
              <w:bottom w:val="single" w:sz="4" w:space="0" w:color="auto"/>
              <w:right w:val="single" w:sz="4" w:space="0" w:color="auto"/>
            </w:tcBorders>
            <w:hideMark/>
          </w:tcPr>
          <w:p w14:paraId="42F7CE14" w14:textId="77777777" w:rsidR="002123DF" w:rsidRPr="00F65EA3" w:rsidRDefault="002123DF" w:rsidP="00A13186">
            <w:pPr>
              <w:spacing w:before="120" w:after="120"/>
              <w:jc w:val="both"/>
              <w:rPr>
                <w:sz w:val="22"/>
                <w:szCs w:val="22"/>
                <w:lang w:eastAsia="en-AU"/>
              </w:rPr>
            </w:pPr>
            <w:r w:rsidRPr="00F65EA3">
              <w:rPr>
                <w:sz w:val="22"/>
                <w:szCs w:val="22"/>
                <w:lang w:eastAsia="en-AU"/>
              </w:rPr>
              <w:t>MY 2010 - 2016</w:t>
            </w:r>
          </w:p>
        </w:tc>
      </w:tr>
      <w:tr w:rsidR="002123DF" w:rsidRPr="00F65EA3" w14:paraId="69613303"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01C6C678"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41B8A6A9" w14:textId="77777777" w:rsidR="002123DF" w:rsidRPr="00F65EA3" w:rsidRDefault="002123DF" w:rsidP="00A13186">
            <w:pPr>
              <w:spacing w:before="120" w:after="120"/>
              <w:jc w:val="both"/>
              <w:rPr>
                <w:sz w:val="22"/>
                <w:szCs w:val="22"/>
                <w:lang w:eastAsia="en-AU"/>
              </w:rPr>
            </w:pPr>
            <w:r w:rsidRPr="00F65EA3">
              <w:rPr>
                <w:sz w:val="22"/>
                <w:szCs w:val="22"/>
                <w:lang w:eastAsia="en-AU"/>
              </w:rPr>
              <w:t xml:space="preserve">Amarok </w:t>
            </w:r>
          </w:p>
        </w:tc>
        <w:tc>
          <w:tcPr>
            <w:tcW w:w="1984" w:type="dxa"/>
            <w:tcBorders>
              <w:top w:val="single" w:sz="4" w:space="0" w:color="auto"/>
              <w:left w:val="single" w:sz="4" w:space="0" w:color="auto"/>
              <w:bottom w:val="single" w:sz="4" w:space="0" w:color="auto"/>
              <w:right w:val="single" w:sz="4" w:space="0" w:color="auto"/>
            </w:tcBorders>
            <w:hideMark/>
          </w:tcPr>
          <w:p w14:paraId="63DE7CA8" w14:textId="77777777" w:rsidR="002123DF" w:rsidRPr="00F65EA3" w:rsidRDefault="002123DF" w:rsidP="00A13186">
            <w:pPr>
              <w:spacing w:before="120" w:after="120"/>
              <w:jc w:val="both"/>
              <w:rPr>
                <w:sz w:val="22"/>
                <w:szCs w:val="22"/>
                <w:lang w:eastAsia="en-AU"/>
              </w:rPr>
            </w:pPr>
            <w:r w:rsidRPr="00F65EA3">
              <w:rPr>
                <w:sz w:val="22"/>
                <w:szCs w:val="22"/>
                <w:lang w:eastAsia="en-AU"/>
              </w:rPr>
              <w:t>MY 2011 - 2012</w:t>
            </w:r>
          </w:p>
        </w:tc>
      </w:tr>
      <w:tr w:rsidR="002123DF" w:rsidRPr="00F65EA3" w14:paraId="06155922" w14:textId="77777777" w:rsidTr="00A13186">
        <w:trPr>
          <w:jc w:val="center"/>
        </w:trPr>
        <w:tc>
          <w:tcPr>
            <w:tcW w:w="1665" w:type="dxa"/>
            <w:vMerge w:val="restart"/>
            <w:tcBorders>
              <w:top w:val="single" w:sz="4" w:space="0" w:color="auto"/>
              <w:left w:val="single" w:sz="4" w:space="0" w:color="auto"/>
              <w:bottom w:val="single" w:sz="4" w:space="0" w:color="auto"/>
              <w:right w:val="single" w:sz="4" w:space="0" w:color="auto"/>
            </w:tcBorders>
            <w:vAlign w:val="center"/>
            <w:hideMark/>
          </w:tcPr>
          <w:p w14:paraId="50EEEF34" w14:textId="77777777" w:rsidR="002123DF" w:rsidRPr="00F65EA3" w:rsidRDefault="002123DF" w:rsidP="00A13186">
            <w:pPr>
              <w:spacing w:before="120" w:after="120"/>
              <w:jc w:val="both"/>
              <w:rPr>
                <w:b/>
                <w:sz w:val="22"/>
                <w:szCs w:val="22"/>
                <w:lang w:eastAsia="en-AU"/>
              </w:rPr>
            </w:pPr>
            <w:r w:rsidRPr="00F65EA3">
              <w:rPr>
                <w:b/>
                <w:sz w:val="22"/>
                <w:szCs w:val="22"/>
                <w:lang w:eastAsia="en-AU"/>
              </w:rPr>
              <w:t xml:space="preserve">Skoda </w:t>
            </w:r>
          </w:p>
        </w:tc>
        <w:tc>
          <w:tcPr>
            <w:tcW w:w="1985" w:type="dxa"/>
            <w:tcBorders>
              <w:top w:val="single" w:sz="4" w:space="0" w:color="auto"/>
              <w:left w:val="single" w:sz="4" w:space="0" w:color="auto"/>
              <w:bottom w:val="single" w:sz="4" w:space="0" w:color="auto"/>
              <w:right w:val="single" w:sz="4" w:space="0" w:color="auto"/>
            </w:tcBorders>
            <w:hideMark/>
          </w:tcPr>
          <w:p w14:paraId="795B740E" w14:textId="77777777" w:rsidR="002123DF" w:rsidRPr="00F65EA3" w:rsidRDefault="002123DF" w:rsidP="00A13186">
            <w:pPr>
              <w:spacing w:before="120" w:after="120"/>
              <w:jc w:val="both"/>
              <w:rPr>
                <w:sz w:val="22"/>
                <w:szCs w:val="22"/>
                <w:lang w:eastAsia="en-AU"/>
              </w:rPr>
            </w:pPr>
            <w:r w:rsidRPr="00F65EA3">
              <w:rPr>
                <w:sz w:val="22"/>
                <w:szCs w:val="22"/>
                <w:lang w:eastAsia="en-AU"/>
              </w:rPr>
              <w:t xml:space="preserve">Octavia </w:t>
            </w:r>
          </w:p>
        </w:tc>
        <w:tc>
          <w:tcPr>
            <w:tcW w:w="1984" w:type="dxa"/>
            <w:tcBorders>
              <w:top w:val="single" w:sz="4" w:space="0" w:color="auto"/>
              <w:left w:val="single" w:sz="4" w:space="0" w:color="auto"/>
              <w:bottom w:val="single" w:sz="4" w:space="0" w:color="auto"/>
              <w:right w:val="single" w:sz="4" w:space="0" w:color="auto"/>
            </w:tcBorders>
            <w:hideMark/>
          </w:tcPr>
          <w:p w14:paraId="448038F1" w14:textId="77777777" w:rsidR="002123DF" w:rsidRPr="00F65EA3" w:rsidRDefault="002123DF" w:rsidP="00A13186">
            <w:pPr>
              <w:spacing w:before="120" w:after="120"/>
              <w:jc w:val="both"/>
              <w:rPr>
                <w:sz w:val="22"/>
                <w:szCs w:val="22"/>
                <w:lang w:eastAsia="en-AU"/>
              </w:rPr>
            </w:pPr>
            <w:r w:rsidRPr="00F65EA3">
              <w:rPr>
                <w:sz w:val="22"/>
                <w:szCs w:val="22"/>
                <w:lang w:eastAsia="en-AU"/>
              </w:rPr>
              <w:t xml:space="preserve">MY 2008 - 2013 </w:t>
            </w:r>
          </w:p>
        </w:tc>
      </w:tr>
      <w:tr w:rsidR="002123DF" w:rsidRPr="00F65EA3" w14:paraId="06DB992F"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7C09302F"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078A7C2E" w14:textId="77777777" w:rsidR="002123DF" w:rsidRPr="00F65EA3" w:rsidRDefault="002123DF" w:rsidP="00A13186">
            <w:pPr>
              <w:spacing w:before="120" w:after="120"/>
              <w:jc w:val="both"/>
              <w:rPr>
                <w:sz w:val="22"/>
                <w:szCs w:val="22"/>
                <w:lang w:eastAsia="en-AU"/>
              </w:rPr>
            </w:pPr>
            <w:r w:rsidRPr="00F65EA3">
              <w:rPr>
                <w:sz w:val="22"/>
                <w:szCs w:val="22"/>
                <w:lang w:eastAsia="en-AU"/>
              </w:rPr>
              <w:t>Yeti</w:t>
            </w:r>
          </w:p>
        </w:tc>
        <w:tc>
          <w:tcPr>
            <w:tcW w:w="1984" w:type="dxa"/>
            <w:tcBorders>
              <w:top w:val="single" w:sz="4" w:space="0" w:color="auto"/>
              <w:left w:val="single" w:sz="4" w:space="0" w:color="auto"/>
              <w:bottom w:val="single" w:sz="4" w:space="0" w:color="auto"/>
              <w:right w:val="single" w:sz="4" w:space="0" w:color="auto"/>
            </w:tcBorders>
            <w:hideMark/>
          </w:tcPr>
          <w:p w14:paraId="66CAA2FC" w14:textId="77777777" w:rsidR="002123DF" w:rsidRPr="00F65EA3" w:rsidRDefault="002123DF" w:rsidP="00A13186">
            <w:pPr>
              <w:spacing w:before="120" w:after="120"/>
              <w:jc w:val="both"/>
              <w:rPr>
                <w:sz w:val="22"/>
                <w:szCs w:val="22"/>
                <w:lang w:eastAsia="en-AU"/>
              </w:rPr>
            </w:pPr>
            <w:r w:rsidRPr="00F65EA3">
              <w:rPr>
                <w:sz w:val="22"/>
                <w:szCs w:val="22"/>
                <w:lang w:eastAsia="en-AU"/>
              </w:rPr>
              <w:t>MY 2012 - 2016</w:t>
            </w:r>
          </w:p>
        </w:tc>
      </w:tr>
      <w:tr w:rsidR="002123DF" w:rsidRPr="00F65EA3" w14:paraId="19C506F1"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31904850"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0732ED4C" w14:textId="77777777" w:rsidR="002123DF" w:rsidRPr="00F65EA3" w:rsidRDefault="002123DF" w:rsidP="00A13186">
            <w:pPr>
              <w:spacing w:before="120" w:after="120"/>
              <w:jc w:val="both"/>
              <w:rPr>
                <w:sz w:val="22"/>
                <w:szCs w:val="22"/>
                <w:lang w:eastAsia="en-AU"/>
              </w:rPr>
            </w:pPr>
            <w:r w:rsidRPr="00F65EA3">
              <w:rPr>
                <w:sz w:val="22"/>
                <w:szCs w:val="22"/>
                <w:lang w:eastAsia="en-AU"/>
              </w:rPr>
              <w:t>Superb</w:t>
            </w:r>
          </w:p>
        </w:tc>
        <w:tc>
          <w:tcPr>
            <w:tcW w:w="1984" w:type="dxa"/>
            <w:tcBorders>
              <w:top w:val="single" w:sz="4" w:space="0" w:color="auto"/>
              <w:left w:val="single" w:sz="4" w:space="0" w:color="auto"/>
              <w:bottom w:val="single" w:sz="4" w:space="0" w:color="auto"/>
              <w:right w:val="single" w:sz="4" w:space="0" w:color="auto"/>
            </w:tcBorders>
            <w:hideMark/>
          </w:tcPr>
          <w:p w14:paraId="47C633FB" w14:textId="77777777" w:rsidR="002123DF" w:rsidRPr="00F65EA3" w:rsidRDefault="002123DF" w:rsidP="00A13186">
            <w:pPr>
              <w:spacing w:before="120" w:after="120"/>
              <w:jc w:val="both"/>
              <w:rPr>
                <w:sz w:val="22"/>
                <w:szCs w:val="22"/>
                <w:lang w:eastAsia="en-AU"/>
              </w:rPr>
            </w:pPr>
            <w:r w:rsidRPr="00F65EA3">
              <w:rPr>
                <w:sz w:val="22"/>
                <w:szCs w:val="22"/>
                <w:lang w:eastAsia="en-AU"/>
              </w:rPr>
              <w:t>MY 2009 - 2015</w:t>
            </w:r>
          </w:p>
        </w:tc>
      </w:tr>
      <w:tr w:rsidR="002123DF" w:rsidRPr="00F65EA3" w14:paraId="54E03881" w14:textId="77777777" w:rsidTr="00A13186">
        <w:trPr>
          <w:jc w:val="center"/>
        </w:trPr>
        <w:tc>
          <w:tcPr>
            <w:tcW w:w="1665" w:type="dxa"/>
            <w:vMerge w:val="restart"/>
            <w:tcBorders>
              <w:top w:val="single" w:sz="4" w:space="0" w:color="auto"/>
              <w:left w:val="single" w:sz="4" w:space="0" w:color="auto"/>
              <w:bottom w:val="single" w:sz="4" w:space="0" w:color="auto"/>
              <w:right w:val="single" w:sz="4" w:space="0" w:color="auto"/>
            </w:tcBorders>
            <w:vAlign w:val="center"/>
            <w:hideMark/>
          </w:tcPr>
          <w:p w14:paraId="36A80E76" w14:textId="77777777" w:rsidR="002123DF" w:rsidRPr="00F65EA3" w:rsidRDefault="002123DF" w:rsidP="00A13186">
            <w:pPr>
              <w:spacing w:before="120" w:after="120"/>
              <w:jc w:val="both"/>
              <w:rPr>
                <w:b/>
                <w:sz w:val="22"/>
                <w:szCs w:val="22"/>
                <w:lang w:eastAsia="en-AU"/>
              </w:rPr>
            </w:pPr>
            <w:r w:rsidRPr="00F65EA3">
              <w:rPr>
                <w:b/>
                <w:sz w:val="22"/>
                <w:szCs w:val="22"/>
                <w:lang w:eastAsia="en-AU"/>
              </w:rPr>
              <w:t xml:space="preserve">Audi </w:t>
            </w:r>
          </w:p>
        </w:tc>
        <w:tc>
          <w:tcPr>
            <w:tcW w:w="1985" w:type="dxa"/>
            <w:tcBorders>
              <w:top w:val="single" w:sz="4" w:space="0" w:color="auto"/>
              <w:left w:val="single" w:sz="4" w:space="0" w:color="auto"/>
              <w:bottom w:val="single" w:sz="4" w:space="0" w:color="auto"/>
              <w:right w:val="single" w:sz="4" w:space="0" w:color="auto"/>
            </w:tcBorders>
            <w:hideMark/>
          </w:tcPr>
          <w:p w14:paraId="683FA692" w14:textId="77777777" w:rsidR="002123DF" w:rsidRPr="00F65EA3" w:rsidRDefault="002123DF" w:rsidP="00A13186">
            <w:pPr>
              <w:spacing w:before="120" w:after="120"/>
              <w:jc w:val="both"/>
              <w:rPr>
                <w:sz w:val="22"/>
                <w:szCs w:val="22"/>
                <w:lang w:eastAsia="en-AU"/>
              </w:rPr>
            </w:pPr>
            <w:r w:rsidRPr="00F65EA3">
              <w:rPr>
                <w:sz w:val="22"/>
                <w:szCs w:val="22"/>
                <w:lang w:eastAsia="en-AU"/>
              </w:rPr>
              <w:t>A1</w:t>
            </w:r>
          </w:p>
        </w:tc>
        <w:tc>
          <w:tcPr>
            <w:tcW w:w="1984" w:type="dxa"/>
            <w:tcBorders>
              <w:top w:val="single" w:sz="4" w:space="0" w:color="auto"/>
              <w:left w:val="single" w:sz="4" w:space="0" w:color="auto"/>
              <w:bottom w:val="single" w:sz="4" w:space="0" w:color="auto"/>
              <w:right w:val="single" w:sz="4" w:space="0" w:color="auto"/>
            </w:tcBorders>
            <w:hideMark/>
          </w:tcPr>
          <w:p w14:paraId="6CE629D8" w14:textId="77777777" w:rsidR="002123DF" w:rsidRPr="00F65EA3" w:rsidRDefault="002123DF" w:rsidP="00A13186">
            <w:pPr>
              <w:spacing w:before="120" w:after="120"/>
              <w:jc w:val="both"/>
              <w:rPr>
                <w:sz w:val="22"/>
                <w:szCs w:val="22"/>
                <w:lang w:eastAsia="en-AU"/>
              </w:rPr>
            </w:pPr>
            <w:r w:rsidRPr="00F65EA3">
              <w:rPr>
                <w:sz w:val="22"/>
                <w:szCs w:val="22"/>
                <w:lang w:eastAsia="en-AU"/>
              </w:rPr>
              <w:t>MY 2010 - 2015</w:t>
            </w:r>
          </w:p>
        </w:tc>
      </w:tr>
      <w:tr w:rsidR="002123DF" w:rsidRPr="00F65EA3" w14:paraId="3D21088C"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38E4A294"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363DC8F4" w14:textId="77777777" w:rsidR="002123DF" w:rsidRPr="00F65EA3" w:rsidRDefault="002123DF" w:rsidP="00A13186">
            <w:pPr>
              <w:spacing w:before="120" w:after="120"/>
              <w:jc w:val="both"/>
              <w:rPr>
                <w:sz w:val="22"/>
                <w:szCs w:val="22"/>
                <w:lang w:eastAsia="en-AU"/>
              </w:rPr>
            </w:pPr>
            <w:r w:rsidRPr="00F65EA3">
              <w:rPr>
                <w:sz w:val="22"/>
                <w:szCs w:val="22"/>
                <w:lang w:eastAsia="en-AU"/>
              </w:rPr>
              <w:t>A3 (1.6L)</w:t>
            </w:r>
          </w:p>
        </w:tc>
        <w:tc>
          <w:tcPr>
            <w:tcW w:w="1984" w:type="dxa"/>
            <w:tcBorders>
              <w:top w:val="single" w:sz="4" w:space="0" w:color="auto"/>
              <w:left w:val="single" w:sz="4" w:space="0" w:color="auto"/>
              <w:bottom w:val="single" w:sz="4" w:space="0" w:color="auto"/>
              <w:right w:val="single" w:sz="4" w:space="0" w:color="auto"/>
            </w:tcBorders>
            <w:hideMark/>
          </w:tcPr>
          <w:p w14:paraId="7B531386" w14:textId="77777777" w:rsidR="002123DF" w:rsidRPr="00F65EA3" w:rsidRDefault="002123DF" w:rsidP="00A13186">
            <w:pPr>
              <w:spacing w:before="120" w:after="120"/>
              <w:jc w:val="both"/>
              <w:rPr>
                <w:sz w:val="22"/>
                <w:szCs w:val="22"/>
                <w:lang w:eastAsia="en-AU"/>
              </w:rPr>
            </w:pPr>
            <w:r w:rsidRPr="00F65EA3">
              <w:rPr>
                <w:sz w:val="22"/>
                <w:szCs w:val="22"/>
                <w:lang w:eastAsia="en-AU"/>
              </w:rPr>
              <w:t>MY 2009 - 2013</w:t>
            </w:r>
          </w:p>
        </w:tc>
      </w:tr>
      <w:tr w:rsidR="002123DF" w:rsidRPr="00F65EA3" w14:paraId="4B080D91"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3751A8EB"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52CA12D7" w14:textId="77777777" w:rsidR="002123DF" w:rsidRPr="00F65EA3" w:rsidRDefault="002123DF" w:rsidP="00A13186">
            <w:pPr>
              <w:spacing w:before="120" w:after="120"/>
              <w:jc w:val="both"/>
              <w:rPr>
                <w:sz w:val="22"/>
                <w:szCs w:val="22"/>
                <w:lang w:eastAsia="en-AU"/>
              </w:rPr>
            </w:pPr>
            <w:r w:rsidRPr="00F65EA3">
              <w:rPr>
                <w:sz w:val="22"/>
                <w:szCs w:val="22"/>
                <w:lang w:eastAsia="en-AU"/>
              </w:rPr>
              <w:t>A3 (2.0L)</w:t>
            </w:r>
          </w:p>
        </w:tc>
        <w:tc>
          <w:tcPr>
            <w:tcW w:w="1984" w:type="dxa"/>
            <w:tcBorders>
              <w:top w:val="single" w:sz="4" w:space="0" w:color="auto"/>
              <w:left w:val="single" w:sz="4" w:space="0" w:color="auto"/>
              <w:bottom w:val="single" w:sz="4" w:space="0" w:color="auto"/>
              <w:right w:val="single" w:sz="4" w:space="0" w:color="auto"/>
            </w:tcBorders>
            <w:hideMark/>
          </w:tcPr>
          <w:p w14:paraId="2D41A948" w14:textId="77777777" w:rsidR="002123DF" w:rsidRPr="00F65EA3" w:rsidRDefault="002123DF" w:rsidP="00A13186">
            <w:pPr>
              <w:spacing w:before="120" w:after="120"/>
              <w:jc w:val="both"/>
              <w:rPr>
                <w:sz w:val="22"/>
                <w:szCs w:val="22"/>
                <w:lang w:eastAsia="en-AU"/>
              </w:rPr>
            </w:pPr>
            <w:r w:rsidRPr="00F65EA3">
              <w:rPr>
                <w:sz w:val="22"/>
                <w:szCs w:val="22"/>
                <w:lang w:eastAsia="en-AU"/>
              </w:rPr>
              <w:t>MY 2011 - 2013</w:t>
            </w:r>
          </w:p>
        </w:tc>
      </w:tr>
      <w:tr w:rsidR="002123DF" w:rsidRPr="00F65EA3" w14:paraId="39359164"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0EFD486C"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25D01B6C" w14:textId="77777777" w:rsidR="002123DF" w:rsidRPr="00F65EA3" w:rsidRDefault="002123DF" w:rsidP="00A13186">
            <w:pPr>
              <w:spacing w:before="120" w:after="120"/>
              <w:jc w:val="both"/>
              <w:rPr>
                <w:sz w:val="22"/>
                <w:szCs w:val="22"/>
                <w:lang w:eastAsia="en-AU"/>
              </w:rPr>
            </w:pPr>
            <w:r w:rsidRPr="00F65EA3">
              <w:rPr>
                <w:sz w:val="22"/>
                <w:szCs w:val="22"/>
                <w:lang w:eastAsia="en-AU"/>
              </w:rPr>
              <w:t>A4</w:t>
            </w:r>
          </w:p>
        </w:tc>
        <w:tc>
          <w:tcPr>
            <w:tcW w:w="1984" w:type="dxa"/>
            <w:tcBorders>
              <w:top w:val="single" w:sz="4" w:space="0" w:color="auto"/>
              <w:left w:val="single" w:sz="4" w:space="0" w:color="auto"/>
              <w:bottom w:val="single" w:sz="4" w:space="0" w:color="auto"/>
              <w:right w:val="single" w:sz="4" w:space="0" w:color="auto"/>
            </w:tcBorders>
            <w:hideMark/>
          </w:tcPr>
          <w:p w14:paraId="3BB8BCF3" w14:textId="77777777" w:rsidR="002123DF" w:rsidRPr="00F65EA3" w:rsidRDefault="002123DF" w:rsidP="00A13186">
            <w:pPr>
              <w:spacing w:before="120" w:after="120"/>
              <w:jc w:val="both"/>
              <w:rPr>
                <w:sz w:val="22"/>
                <w:szCs w:val="22"/>
                <w:lang w:eastAsia="en-AU"/>
              </w:rPr>
            </w:pPr>
            <w:r w:rsidRPr="00F65EA3">
              <w:rPr>
                <w:sz w:val="22"/>
                <w:szCs w:val="22"/>
                <w:lang w:eastAsia="en-AU"/>
              </w:rPr>
              <w:t>MY 2008 - 2015</w:t>
            </w:r>
          </w:p>
        </w:tc>
      </w:tr>
      <w:tr w:rsidR="002123DF" w:rsidRPr="00F65EA3" w14:paraId="35795677"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57177E5F"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3B57E292" w14:textId="77777777" w:rsidR="002123DF" w:rsidRPr="00F65EA3" w:rsidRDefault="002123DF" w:rsidP="00A13186">
            <w:pPr>
              <w:spacing w:before="120" w:after="120"/>
              <w:jc w:val="both"/>
              <w:rPr>
                <w:sz w:val="22"/>
                <w:szCs w:val="22"/>
                <w:lang w:eastAsia="en-AU"/>
              </w:rPr>
            </w:pPr>
            <w:r w:rsidRPr="00F65EA3">
              <w:rPr>
                <w:sz w:val="22"/>
                <w:szCs w:val="22"/>
                <w:lang w:eastAsia="en-AU"/>
              </w:rPr>
              <w:t>A5</w:t>
            </w:r>
          </w:p>
        </w:tc>
        <w:tc>
          <w:tcPr>
            <w:tcW w:w="1984" w:type="dxa"/>
            <w:tcBorders>
              <w:top w:val="single" w:sz="4" w:space="0" w:color="auto"/>
              <w:left w:val="single" w:sz="4" w:space="0" w:color="auto"/>
              <w:bottom w:val="single" w:sz="4" w:space="0" w:color="auto"/>
              <w:right w:val="single" w:sz="4" w:space="0" w:color="auto"/>
            </w:tcBorders>
            <w:hideMark/>
          </w:tcPr>
          <w:p w14:paraId="359BCFA2" w14:textId="77777777" w:rsidR="002123DF" w:rsidRPr="00F65EA3" w:rsidRDefault="002123DF" w:rsidP="00A13186">
            <w:pPr>
              <w:spacing w:before="120" w:after="120"/>
              <w:jc w:val="both"/>
              <w:rPr>
                <w:sz w:val="22"/>
                <w:szCs w:val="22"/>
                <w:lang w:eastAsia="en-AU"/>
              </w:rPr>
            </w:pPr>
            <w:r w:rsidRPr="00F65EA3">
              <w:rPr>
                <w:sz w:val="22"/>
                <w:szCs w:val="22"/>
                <w:lang w:eastAsia="en-AU"/>
              </w:rPr>
              <w:t>MY 2012 - 2016</w:t>
            </w:r>
          </w:p>
        </w:tc>
      </w:tr>
      <w:tr w:rsidR="002123DF" w:rsidRPr="00F65EA3" w14:paraId="74ECF9DA"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0AF6DA31"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3B1D3DCD" w14:textId="77777777" w:rsidR="002123DF" w:rsidRPr="00F65EA3" w:rsidRDefault="002123DF" w:rsidP="00A13186">
            <w:pPr>
              <w:spacing w:before="120" w:after="120"/>
              <w:jc w:val="both"/>
              <w:rPr>
                <w:sz w:val="22"/>
                <w:szCs w:val="22"/>
                <w:lang w:eastAsia="en-AU"/>
              </w:rPr>
            </w:pPr>
            <w:r w:rsidRPr="00F65EA3">
              <w:rPr>
                <w:sz w:val="22"/>
                <w:szCs w:val="22"/>
                <w:lang w:eastAsia="en-AU"/>
              </w:rPr>
              <w:t>A6</w:t>
            </w:r>
          </w:p>
        </w:tc>
        <w:tc>
          <w:tcPr>
            <w:tcW w:w="1984" w:type="dxa"/>
            <w:tcBorders>
              <w:top w:val="single" w:sz="4" w:space="0" w:color="auto"/>
              <w:left w:val="single" w:sz="4" w:space="0" w:color="auto"/>
              <w:bottom w:val="single" w:sz="4" w:space="0" w:color="auto"/>
              <w:right w:val="single" w:sz="4" w:space="0" w:color="auto"/>
            </w:tcBorders>
            <w:hideMark/>
          </w:tcPr>
          <w:p w14:paraId="6BD8BD8F" w14:textId="77777777" w:rsidR="002123DF" w:rsidRPr="00F65EA3" w:rsidRDefault="002123DF" w:rsidP="00A13186">
            <w:pPr>
              <w:spacing w:before="120" w:after="120"/>
              <w:jc w:val="both"/>
              <w:rPr>
                <w:sz w:val="22"/>
                <w:szCs w:val="22"/>
                <w:lang w:eastAsia="en-AU"/>
              </w:rPr>
            </w:pPr>
            <w:r w:rsidRPr="00F65EA3">
              <w:rPr>
                <w:sz w:val="22"/>
                <w:szCs w:val="22"/>
                <w:lang w:eastAsia="en-AU"/>
              </w:rPr>
              <w:t>MY 2009 - 2015</w:t>
            </w:r>
          </w:p>
        </w:tc>
      </w:tr>
      <w:tr w:rsidR="002123DF" w:rsidRPr="00F65EA3" w14:paraId="69325F26"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423A1768"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49A0CA52" w14:textId="77777777" w:rsidR="002123DF" w:rsidRPr="00F65EA3" w:rsidRDefault="002123DF" w:rsidP="00A13186">
            <w:pPr>
              <w:spacing w:before="120" w:after="120"/>
              <w:jc w:val="both"/>
              <w:rPr>
                <w:sz w:val="22"/>
                <w:szCs w:val="22"/>
                <w:lang w:eastAsia="en-AU"/>
              </w:rPr>
            </w:pPr>
            <w:r w:rsidRPr="00F65EA3">
              <w:rPr>
                <w:sz w:val="22"/>
                <w:szCs w:val="22"/>
                <w:lang w:eastAsia="en-AU"/>
              </w:rPr>
              <w:t>Q3</w:t>
            </w:r>
          </w:p>
        </w:tc>
        <w:tc>
          <w:tcPr>
            <w:tcW w:w="1984" w:type="dxa"/>
            <w:tcBorders>
              <w:top w:val="single" w:sz="4" w:space="0" w:color="auto"/>
              <w:left w:val="single" w:sz="4" w:space="0" w:color="auto"/>
              <w:bottom w:val="single" w:sz="4" w:space="0" w:color="auto"/>
              <w:right w:val="single" w:sz="4" w:space="0" w:color="auto"/>
            </w:tcBorders>
            <w:hideMark/>
          </w:tcPr>
          <w:p w14:paraId="387E87F4" w14:textId="77777777" w:rsidR="002123DF" w:rsidRPr="00F65EA3" w:rsidRDefault="002123DF" w:rsidP="00A13186">
            <w:pPr>
              <w:spacing w:before="120" w:after="120"/>
              <w:jc w:val="both"/>
              <w:rPr>
                <w:sz w:val="22"/>
                <w:szCs w:val="22"/>
                <w:lang w:eastAsia="en-AU"/>
              </w:rPr>
            </w:pPr>
            <w:r w:rsidRPr="00F65EA3">
              <w:rPr>
                <w:sz w:val="22"/>
                <w:szCs w:val="22"/>
                <w:lang w:eastAsia="en-AU"/>
              </w:rPr>
              <w:t>MY 2012 - 2014</w:t>
            </w:r>
          </w:p>
        </w:tc>
      </w:tr>
      <w:tr w:rsidR="002123DF" w:rsidRPr="00F65EA3" w14:paraId="0D700129" w14:textId="77777777" w:rsidTr="00A13186">
        <w:trPr>
          <w:jc w:val="center"/>
        </w:trPr>
        <w:tc>
          <w:tcPr>
            <w:tcW w:w="1665" w:type="dxa"/>
            <w:vMerge w:val="restart"/>
            <w:tcBorders>
              <w:top w:val="single" w:sz="4" w:space="0" w:color="auto"/>
              <w:left w:val="single" w:sz="4" w:space="0" w:color="auto"/>
              <w:bottom w:val="single" w:sz="4" w:space="0" w:color="auto"/>
              <w:right w:val="single" w:sz="4" w:space="0" w:color="auto"/>
            </w:tcBorders>
            <w:vAlign w:val="center"/>
            <w:hideMark/>
          </w:tcPr>
          <w:p w14:paraId="4C7927E5" w14:textId="77777777" w:rsidR="002123DF" w:rsidRPr="00F65EA3" w:rsidRDefault="002123DF" w:rsidP="00A13186">
            <w:pPr>
              <w:spacing w:before="120" w:after="120"/>
              <w:jc w:val="both"/>
              <w:rPr>
                <w:b/>
                <w:sz w:val="22"/>
                <w:szCs w:val="22"/>
                <w:lang w:eastAsia="en-AU"/>
              </w:rPr>
            </w:pPr>
            <w:r w:rsidRPr="00F65EA3">
              <w:rPr>
                <w:b/>
                <w:sz w:val="22"/>
                <w:szCs w:val="22"/>
                <w:lang w:eastAsia="en-AU"/>
              </w:rPr>
              <w:t xml:space="preserve">Audi </w:t>
            </w:r>
          </w:p>
        </w:tc>
        <w:tc>
          <w:tcPr>
            <w:tcW w:w="1985" w:type="dxa"/>
            <w:tcBorders>
              <w:top w:val="single" w:sz="4" w:space="0" w:color="auto"/>
              <w:left w:val="single" w:sz="4" w:space="0" w:color="auto"/>
              <w:bottom w:val="single" w:sz="4" w:space="0" w:color="auto"/>
              <w:right w:val="single" w:sz="4" w:space="0" w:color="auto"/>
            </w:tcBorders>
            <w:hideMark/>
          </w:tcPr>
          <w:p w14:paraId="5EFC5607" w14:textId="77777777" w:rsidR="002123DF" w:rsidRPr="00F65EA3" w:rsidRDefault="002123DF" w:rsidP="00A13186">
            <w:pPr>
              <w:spacing w:before="120" w:after="120"/>
              <w:jc w:val="both"/>
              <w:rPr>
                <w:sz w:val="22"/>
                <w:szCs w:val="22"/>
                <w:lang w:eastAsia="en-AU"/>
              </w:rPr>
            </w:pPr>
            <w:r w:rsidRPr="00F65EA3">
              <w:rPr>
                <w:sz w:val="22"/>
                <w:szCs w:val="22"/>
                <w:lang w:eastAsia="en-AU"/>
              </w:rPr>
              <w:t xml:space="preserve">TT </w:t>
            </w:r>
          </w:p>
        </w:tc>
        <w:tc>
          <w:tcPr>
            <w:tcW w:w="1984" w:type="dxa"/>
            <w:tcBorders>
              <w:top w:val="single" w:sz="4" w:space="0" w:color="auto"/>
              <w:left w:val="single" w:sz="4" w:space="0" w:color="auto"/>
              <w:bottom w:val="single" w:sz="4" w:space="0" w:color="auto"/>
              <w:right w:val="single" w:sz="4" w:space="0" w:color="auto"/>
            </w:tcBorders>
            <w:hideMark/>
          </w:tcPr>
          <w:p w14:paraId="117D4295" w14:textId="77777777" w:rsidR="002123DF" w:rsidRPr="00F65EA3" w:rsidRDefault="002123DF" w:rsidP="00A13186">
            <w:pPr>
              <w:spacing w:before="120" w:after="120"/>
              <w:jc w:val="both"/>
              <w:rPr>
                <w:sz w:val="22"/>
                <w:szCs w:val="22"/>
                <w:lang w:eastAsia="en-AU"/>
              </w:rPr>
            </w:pPr>
            <w:r w:rsidRPr="00F65EA3">
              <w:rPr>
                <w:sz w:val="22"/>
                <w:szCs w:val="22"/>
                <w:lang w:eastAsia="en-AU"/>
              </w:rPr>
              <w:t>MY 2009 - 2014</w:t>
            </w:r>
          </w:p>
        </w:tc>
      </w:tr>
      <w:tr w:rsidR="002123DF" w:rsidRPr="00F65EA3" w14:paraId="0A85EF08"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1CE929C2"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37F3C33B" w14:textId="77777777" w:rsidR="002123DF" w:rsidRPr="00F65EA3" w:rsidRDefault="002123DF" w:rsidP="00A13186">
            <w:pPr>
              <w:spacing w:before="120" w:after="120"/>
              <w:jc w:val="both"/>
              <w:rPr>
                <w:sz w:val="22"/>
                <w:szCs w:val="22"/>
                <w:lang w:eastAsia="en-AU"/>
              </w:rPr>
            </w:pPr>
            <w:r w:rsidRPr="00F65EA3">
              <w:rPr>
                <w:sz w:val="22"/>
                <w:szCs w:val="22"/>
                <w:lang w:eastAsia="en-AU"/>
              </w:rPr>
              <w:t>Q5 (CAH Engine)</w:t>
            </w:r>
          </w:p>
        </w:tc>
        <w:tc>
          <w:tcPr>
            <w:tcW w:w="1984" w:type="dxa"/>
            <w:tcBorders>
              <w:top w:val="single" w:sz="4" w:space="0" w:color="auto"/>
              <w:left w:val="single" w:sz="4" w:space="0" w:color="auto"/>
              <w:bottom w:val="single" w:sz="4" w:space="0" w:color="auto"/>
              <w:right w:val="single" w:sz="4" w:space="0" w:color="auto"/>
            </w:tcBorders>
            <w:hideMark/>
          </w:tcPr>
          <w:p w14:paraId="1D957A6A" w14:textId="77777777" w:rsidR="002123DF" w:rsidRPr="00F65EA3" w:rsidRDefault="002123DF" w:rsidP="00A13186">
            <w:pPr>
              <w:spacing w:before="120" w:after="120"/>
              <w:jc w:val="both"/>
              <w:rPr>
                <w:sz w:val="22"/>
                <w:szCs w:val="22"/>
                <w:lang w:eastAsia="en-AU"/>
              </w:rPr>
            </w:pPr>
            <w:r w:rsidRPr="00F65EA3">
              <w:rPr>
                <w:sz w:val="22"/>
                <w:szCs w:val="22"/>
                <w:lang w:eastAsia="en-AU"/>
              </w:rPr>
              <w:t>MY 2009 - 2011</w:t>
            </w:r>
          </w:p>
        </w:tc>
      </w:tr>
      <w:tr w:rsidR="002123DF" w:rsidRPr="00F65EA3" w14:paraId="248C2C45" w14:textId="77777777" w:rsidTr="00A13186">
        <w:trPr>
          <w:jc w:val="center"/>
        </w:trPr>
        <w:tc>
          <w:tcPr>
            <w:tcW w:w="1665" w:type="dxa"/>
            <w:vMerge/>
            <w:tcBorders>
              <w:top w:val="single" w:sz="4" w:space="0" w:color="auto"/>
              <w:left w:val="single" w:sz="4" w:space="0" w:color="auto"/>
              <w:bottom w:val="single" w:sz="4" w:space="0" w:color="auto"/>
              <w:right w:val="single" w:sz="4" w:space="0" w:color="auto"/>
            </w:tcBorders>
            <w:vAlign w:val="center"/>
            <w:hideMark/>
          </w:tcPr>
          <w:p w14:paraId="4F2FB410" w14:textId="77777777" w:rsidR="002123DF" w:rsidRPr="00F65EA3" w:rsidRDefault="002123DF" w:rsidP="00A13186">
            <w:pPr>
              <w:rPr>
                <w:b/>
                <w:sz w:val="22"/>
                <w:szCs w:val="22"/>
                <w:lang w:eastAsia="en-AU"/>
              </w:rPr>
            </w:pPr>
          </w:p>
        </w:tc>
        <w:tc>
          <w:tcPr>
            <w:tcW w:w="1985" w:type="dxa"/>
            <w:tcBorders>
              <w:top w:val="single" w:sz="4" w:space="0" w:color="auto"/>
              <w:left w:val="single" w:sz="4" w:space="0" w:color="auto"/>
              <w:bottom w:val="single" w:sz="4" w:space="0" w:color="auto"/>
              <w:right w:val="single" w:sz="4" w:space="0" w:color="auto"/>
            </w:tcBorders>
            <w:hideMark/>
          </w:tcPr>
          <w:p w14:paraId="741B9F74" w14:textId="77777777" w:rsidR="002123DF" w:rsidRPr="00F65EA3" w:rsidRDefault="002123DF" w:rsidP="00A13186">
            <w:pPr>
              <w:spacing w:before="120" w:after="120"/>
              <w:jc w:val="both"/>
              <w:rPr>
                <w:sz w:val="22"/>
                <w:szCs w:val="22"/>
                <w:lang w:eastAsia="en-AU"/>
              </w:rPr>
            </w:pPr>
            <w:r w:rsidRPr="00F65EA3">
              <w:rPr>
                <w:sz w:val="22"/>
                <w:szCs w:val="22"/>
                <w:lang w:eastAsia="en-AU"/>
              </w:rPr>
              <w:t>Q5 (CGL Engine)</w:t>
            </w:r>
          </w:p>
        </w:tc>
        <w:tc>
          <w:tcPr>
            <w:tcW w:w="1984" w:type="dxa"/>
            <w:tcBorders>
              <w:top w:val="single" w:sz="4" w:space="0" w:color="auto"/>
              <w:left w:val="single" w:sz="4" w:space="0" w:color="auto"/>
              <w:bottom w:val="single" w:sz="4" w:space="0" w:color="auto"/>
              <w:right w:val="single" w:sz="4" w:space="0" w:color="auto"/>
            </w:tcBorders>
            <w:hideMark/>
          </w:tcPr>
          <w:p w14:paraId="62C11695" w14:textId="77777777" w:rsidR="002123DF" w:rsidRPr="00F65EA3" w:rsidRDefault="002123DF" w:rsidP="00A13186">
            <w:pPr>
              <w:spacing w:before="120" w:after="120"/>
              <w:jc w:val="both"/>
              <w:rPr>
                <w:sz w:val="22"/>
                <w:szCs w:val="22"/>
                <w:lang w:eastAsia="en-AU"/>
              </w:rPr>
            </w:pPr>
            <w:r w:rsidRPr="00F65EA3">
              <w:rPr>
                <w:sz w:val="22"/>
                <w:szCs w:val="22"/>
                <w:lang w:eastAsia="en-AU"/>
              </w:rPr>
              <w:t>MY 2009 - 2016</w:t>
            </w:r>
          </w:p>
        </w:tc>
      </w:tr>
    </w:tbl>
    <w:p w14:paraId="308B1A40" w14:textId="77777777" w:rsidR="002123DF" w:rsidRPr="00F65EA3" w:rsidRDefault="002123DF" w:rsidP="002123DF">
      <w:pPr>
        <w:autoSpaceDE w:val="0"/>
        <w:autoSpaceDN w:val="0"/>
        <w:adjustRightInd w:val="0"/>
        <w:jc w:val="both"/>
        <w:rPr>
          <w:rFonts w:eastAsia="ArialMT" w:cs="Arial"/>
          <w:sz w:val="22"/>
          <w:szCs w:val="22"/>
          <w:lang w:eastAsia="en-AU"/>
        </w:rPr>
      </w:pPr>
    </w:p>
    <w:p w14:paraId="637AD227" w14:textId="77777777" w:rsidR="002123DF" w:rsidRPr="00F65EA3" w:rsidRDefault="002123DF" w:rsidP="002123DF">
      <w:pPr>
        <w:autoSpaceDE w:val="0"/>
        <w:autoSpaceDN w:val="0"/>
        <w:adjustRightInd w:val="0"/>
        <w:jc w:val="both"/>
        <w:rPr>
          <w:rFonts w:eastAsia="ArialMT" w:cs="Arial"/>
          <w:sz w:val="22"/>
          <w:szCs w:val="22"/>
          <w:lang w:eastAsia="en-AU"/>
        </w:rPr>
      </w:pPr>
    </w:p>
    <w:p w14:paraId="79DD1840" w14:textId="77777777" w:rsidR="002123DF" w:rsidRPr="00F65EA3" w:rsidRDefault="002123DF" w:rsidP="002123DF">
      <w:pPr>
        <w:rPr>
          <w:rFonts w:eastAsia="ArialMT" w:cs="Arial"/>
          <w:sz w:val="22"/>
          <w:szCs w:val="22"/>
          <w:lang w:eastAsia="en-AU"/>
        </w:rPr>
      </w:pPr>
      <w:r w:rsidRPr="00F65EA3">
        <w:rPr>
          <w:rFonts w:eastAsia="ArialMT" w:cs="Arial"/>
          <w:sz w:val="22"/>
          <w:szCs w:val="22"/>
          <w:lang w:eastAsia="en-AU"/>
        </w:rPr>
        <w:br w:type="page"/>
      </w:r>
    </w:p>
    <w:p w14:paraId="31F859A5" w14:textId="77777777" w:rsidR="002123DF" w:rsidRPr="00F65EA3" w:rsidRDefault="002123DF" w:rsidP="002123DF">
      <w:pPr>
        <w:jc w:val="center"/>
        <w:rPr>
          <w:rFonts w:cs="Arial"/>
          <w:b/>
          <w:caps/>
          <w:sz w:val="22"/>
          <w:szCs w:val="22"/>
          <w:lang w:eastAsia="en-AU"/>
        </w:rPr>
      </w:pPr>
      <w:r w:rsidRPr="00F65EA3">
        <w:rPr>
          <w:rFonts w:cs="Arial"/>
          <w:b/>
          <w:caps/>
          <w:sz w:val="22"/>
          <w:szCs w:val="22"/>
          <w:lang w:eastAsia="en-AU"/>
        </w:rPr>
        <w:lastRenderedPageBreak/>
        <w:t>Schedule 1</w:t>
      </w:r>
    </w:p>
    <w:p w14:paraId="1F93D54D" w14:textId="77777777" w:rsidR="002123DF" w:rsidRPr="00F65EA3" w:rsidRDefault="002123DF" w:rsidP="002123DF">
      <w:pPr>
        <w:jc w:val="center"/>
        <w:rPr>
          <w:rFonts w:cs="Arial"/>
          <w:b/>
          <w:caps/>
          <w:sz w:val="22"/>
          <w:szCs w:val="22"/>
          <w:lang w:eastAsia="en-AU"/>
        </w:rPr>
      </w:pPr>
    </w:p>
    <w:p w14:paraId="056AB3F5" w14:textId="77777777" w:rsidR="002123DF" w:rsidRPr="00F65EA3" w:rsidRDefault="002123DF" w:rsidP="002123DF">
      <w:pPr>
        <w:jc w:val="center"/>
        <w:rPr>
          <w:rFonts w:cs="Arial"/>
          <w:b/>
          <w:caps/>
          <w:sz w:val="22"/>
          <w:szCs w:val="22"/>
          <w:lang w:eastAsia="en-AU"/>
        </w:rPr>
      </w:pPr>
      <w:r w:rsidRPr="00F65EA3">
        <w:rPr>
          <w:rFonts w:cs="Arial"/>
          <w:b/>
          <w:caps/>
          <w:sz w:val="22"/>
          <w:szCs w:val="22"/>
          <w:lang w:eastAsia="en-AU"/>
        </w:rPr>
        <w:t>Examples of different interests at the time of the Qualifying Dates</w:t>
      </w:r>
    </w:p>
    <w:p w14:paraId="69866E55" w14:textId="77777777" w:rsidR="002123DF" w:rsidRPr="00F65EA3" w:rsidRDefault="002123DF" w:rsidP="002123DF">
      <w:pPr>
        <w:jc w:val="both"/>
        <w:rPr>
          <w:rFonts w:cs="Arial"/>
          <w:sz w:val="22"/>
          <w:szCs w:val="22"/>
          <w:lang w:eastAsia="en-AU"/>
        </w:rPr>
      </w:pPr>
    </w:p>
    <w:p w14:paraId="654392C9"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Note that the Qualifying Dates are 18 September 2015 and 3 October 2015.  </w:t>
      </w:r>
    </w:p>
    <w:p w14:paraId="6C63160A" w14:textId="77777777" w:rsidR="002123DF" w:rsidRPr="00F65EA3" w:rsidRDefault="002123DF" w:rsidP="002123DF">
      <w:pPr>
        <w:jc w:val="both"/>
        <w:rPr>
          <w:rFonts w:cs="Arial"/>
          <w:sz w:val="22"/>
          <w:szCs w:val="22"/>
          <w:lang w:eastAsia="en-AU"/>
        </w:rPr>
      </w:pPr>
    </w:p>
    <w:p w14:paraId="3051627D"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 xml:space="preserve">Ownership </w:t>
      </w:r>
    </w:p>
    <w:p w14:paraId="3D3C1BC5"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If you bought an affected vehicle in December 2012 and you still own it today, you may be entitled to a settlement payment.  </w:t>
      </w:r>
    </w:p>
    <w:p w14:paraId="46021D8C" w14:textId="77777777" w:rsidR="002123DF" w:rsidRPr="00F65EA3" w:rsidRDefault="002123DF" w:rsidP="002123DF">
      <w:pPr>
        <w:jc w:val="both"/>
        <w:rPr>
          <w:rFonts w:cs="Arial"/>
          <w:sz w:val="22"/>
          <w:szCs w:val="22"/>
          <w:lang w:eastAsia="en-AU"/>
        </w:rPr>
      </w:pPr>
    </w:p>
    <w:p w14:paraId="5A345A8D"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Similarly, if you bought an affected vehicle in December 2012 and you later sold it after 3 October </w:t>
      </w:r>
      <w:proofErr w:type="gramStart"/>
      <w:r w:rsidRPr="00F65EA3">
        <w:rPr>
          <w:rFonts w:cs="Arial"/>
          <w:sz w:val="22"/>
          <w:szCs w:val="22"/>
          <w:lang w:eastAsia="en-AU"/>
        </w:rPr>
        <w:t>2015,</w:t>
      </w:r>
      <w:proofErr w:type="gramEnd"/>
      <w:r w:rsidRPr="00F65EA3">
        <w:rPr>
          <w:rFonts w:cs="Arial"/>
          <w:sz w:val="22"/>
          <w:szCs w:val="22"/>
          <w:lang w:eastAsia="en-AU"/>
        </w:rPr>
        <w:t xml:space="preserve"> you may be entitled to a settlement payment.  </w:t>
      </w:r>
    </w:p>
    <w:p w14:paraId="2582B322" w14:textId="77777777" w:rsidR="002123DF" w:rsidRPr="00F65EA3" w:rsidRDefault="002123DF" w:rsidP="002123DF">
      <w:pPr>
        <w:jc w:val="both"/>
        <w:rPr>
          <w:rFonts w:cs="Arial"/>
          <w:sz w:val="22"/>
          <w:szCs w:val="22"/>
          <w:lang w:eastAsia="en-AU"/>
        </w:rPr>
      </w:pPr>
    </w:p>
    <w:p w14:paraId="221EE603"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On the other hand, if you bought an affected vehicle in December 2012 and you sold it in June </w:t>
      </w:r>
      <w:proofErr w:type="gramStart"/>
      <w:r w:rsidRPr="00F65EA3">
        <w:rPr>
          <w:rFonts w:cs="Arial"/>
          <w:sz w:val="22"/>
          <w:szCs w:val="22"/>
          <w:lang w:eastAsia="en-AU"/>
        </w:rPr>
        <w:t>2015,</w:t>
      </w:r>
      <w:proofErr w:type="gramEnd"/>
      <w:r w:rsidRPr="00F65EA3">
        <w:rPr>
          <w:rFonts w:cs="Arial"/>
          <w:sz w:val="22"/>
          <w:szCs w:val="22"/>
          <w:lang w:eastAsia="en-AU"/>
        </w:rPr>
        <w:t xml:space="preserve"> you will not be entitled to a settlement payment.  </w:t>
      </w:r>
    </w:p>
    <w:p w14:paraId="166ABF95" w14:textId="77777777" w:rsidR="002123DF" w:rsidRPr="00F65EA3" w:rsidRDefault="002123DF" w:rsidP="002123DF">
      <w:pPr>
        <w:jc w:val="both"/>
        <w:rPr>
          <w:rFonts w:cs="Arial"/>
          <w:sz w:val="22"/>
          <w:szCs w:val="22"/>
          <w:lang w:eastAsia="en-AU"/>
        </w:rPr>
      </w:pPr>
    </w:p>
    <w:p w14:paraId="18447D57"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Operating leases</w:t>
      </w:r>
    </w:p>
    <w:p w14:paraId="16892DA7"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If an affected vehicle was subject to an operating lease for a period of three years starting in July 2013 and ending in July 2016, both the lessee and the lessor may be entitled to a settlement payment.  </w:t>
      </w:r>
    </w:p>
    <w:p w14:paraId="27A9183E" w14:textId="77777777" w:rsidR="002123DF" w:rsidRPr="00F65EA3" w:rsidRDefault="002123DF" w:rsidP="002123DF">
      <w:pPr>
        <w:jc w:val="both"/>
        <w:rPr>
          <w:rFonts w:cs="Arial"/>
          <w:sz w:val="22"/>
          <w:szCs w:val="22"/>
          <w:lang w:eastAsia="en-AU"/>
        </w:rPr>
      </w:pPr>
    </w:p>
    <w:p w14:paraId="1D13BB52"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On the other hand, if an operating lease had expired before 18 September 2015, the lessee will not be entitled to a settlement payment, and the lessor would only be entitled to a settlement payment if they had not disposed of the vehicle before 18 September 2015.  </w:t>
      </w:r>
    </w:p>
    <w:p w14:paraId="1906067E" w14:textId="77777777" w:rsidR="002123DF" w:rsidRPr="00F65EA3" w:rsidRDefault="002123DF" w:rsidP="002123DF">
      <w:pPr>
        <w:jc w:val="both"/>
        <w:rPr>
          <w:rFonts w:cs="Arial"/>
          <w:sz w:val="22"/>
          <w:szCs w:val="22"/>
          <w:lang w:eastAsia="en-AU"/>
        </w:rPr>
      </w:pPr>
    </w:p>
    <w:p w14:paraId="1733D11D" w14:textId="77777777" w:rsidR="002123DF" w:rsidRPr="00F65EA3" w:rsidRDefault="002123DF" w:rsidP="002123DF">
      <w:pPr>
        <w:keepNext/>
        <w:autoSpaceDE w:val="0"/>
        <w:autoSpaceDN w:val="0"/>
        <w:adjustRightInd w:val="0"/>
        <w:spacing w:after="120"/>
        <w:rPr>
          <w:rFonts w:cs="Arial"/>
          <w:b/>
          <w:sz w:val="22"/>
          <w:szCs w:val="22"/>
          <w:lang w:eastAsia="en-AU"/>
        </w:rPr>
      </w:pPr>
      <w:r w:rsidRPr="00F65EA3">
        <w:rPr>
          <w:rFonts w:cs="Arial"/>
          <w:b/>
          <w:sz w:val="22"/>
          <w:szCs w:val="22"/>
          <w:lang w:eastAsia="en-AU"/>
        </w:rPr>
        <w:t>Finance leases and novated leases</w:t>
      </w:r>
    </w:p>
    <w:p w14:paraId="39EA07FF"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If an affected vehicle was subject to a finance lease or a novated lease for a period of three years starting in July 2013 and ending in July 2016, the lessee may be entitled to a settlement payment, and as discussed below the lessor would not be entitled to a settlement payment.  </w:t>
      </w:r>
    </w:p>
    <w:p w14:paraId="62419FE5" w14:textId="77777777" w:rsidR="002123DF" w:rsidRPr="00F65EA3" w:rsidRDefault="002123DF" w:rsidP="002123DF">
      <w:pPr>
        <w:jc w:val="both"/>
        <w:rPr>
          <w:rFonts w:cs="Arial"/>
          <w:sz w:val="22"/>
          <w:szCs w:val="22"/>
          <w:lang w:eastAsia="en-AU"/>
        </w:rPr>
      </w:pPr>
    </w:p>
    <w:p w14:paraId="0AA0015E" w14:textId="77777777" w:rsidR="002123DF" w:rsidRPr="00F65EA3" w:rsidRDefault="002123DF" w:rsidP="002123DF">
      <w:pPr>
        <w:jc w:val="both"/>
        <w:rPr>
          <w:rFonts w:cs="Arial"/>
          <w:sz w:val="22"/>
          <w:szCs w:val="22"/>
          <w:lang w:eastAsia="en-AU"/>
        </w:rPr>
      </w:pPr>
      <w:r w:rsidRPr="00F65EA3">
        <w:rPr>
          <w:rFonts w:cs="Arial"/>
          <w:sz w:val="22"/>
          <w:szCs w:val="22"/>
          <w:lang w:eastAsia="en-AU"/>
        </w:rPr>
        <w:t xml:space="preserve">If a lessee made a residual value payment or “balloon payment” before September 2015, they </w:t>
      </w:r>
      <w:proofErr w:type="gramStart"/>
      <w:r w:rsidRPr="00F65EA3">
        <w:rPr>
          <w:rFonts w:cs="Arial"/>
          <w:sz w:val="22"/>
          <w:szCs w:val="22"/>
          <w:lang w:eastAsia="en-AU"/>
        </w:rPr>
        <w:t>will be treated</w:t>
      </w:r>
      <w:proofErr w:type="gramEnd"/>
      <w:r w:rsidRPr="00F65EA3">
        <w:rPr>
          <w:rFonts w:cs="Arial"/>
          <w:sz w:val="22"/>
          <w:szCs w:val="22"/>
          <w:lang w:eastAsia="en-AU"/>
        </w:rPr>
        <w:t xml:space="preserve"> as an owner of the vehicle.  </w:t>
      </w:r>
    </w:p>
    <w:p w14:paraId="37611936" w14:textId="77777777" w:rsidR="002123DF" w:rsidRPr="00F65EA3" w:rsidRDefault="002123DF" w:rsidP="002123DF">
      <w:pPr>
        <w:jc w:val="both"/>
        <w:rPr>
          <w:rFonts w:cs="Arial"/>
          <w:sz w:val="22"/>
          <w:szCs w:val="22"/>
          <w:lang w:eastAsia="en-AU"/>
        </w:rPr>
      </w:pPr>
    </w:p>
    <w:p w14:paraId="231110F3" w14:textId="77777777" w:rsidR="002123DF" w:rsidRPr="00F65EA3" w:rsidRDefault="002123DF" w:rsidP="002123DF">
      <w:pPr>
        <w:jc w:val="both"/>
        <w:rPr>
          <w:rFonts w:cs="Arial"/>
          <w:sz w:val="22"/>
          <w:szCs w:val="22"/>
          <w:lang w:eastAsia="en-AU"/>
        </w:rPr>
      </w:pPr>
    </w:p>
    <w:p w14:paraId="60C3F612" w14:textId="77777777" w:rsidR="002123DF" w:rsidRPr="00F65EA3" w:rsidRDefault="002123DF" w:rsidP="002123DF">
      <w:pPr>
        <w:jc w:val="both"/>
        <w:rPr>
          <w:rFonts w:cs="Arial"/>
          <w:sz w:val="22"/>
          <w:szCs w:val="22"/>
          <w:lang w:eastAsia="en-AU"/>
        </w:rPr>
      </w:pPr>
    </w:p>
    <w:p w14:paraId="58C3E86E" w14:textId="77777777" w:rsidR="002123DF" w:rsidRPr="00F65EA3" w:rsidRDefault="002123DF" w:rsidP="002123DF">
      <w:pPr>
        <w:jc w:val="both"/>
        <w:rPr>
          <w:rFonts w:cs="Arial"/>
          <w:sz w:val="22"/>
          <w:szCs w:val="22"/>
          <w:lang w:eastAsia="en-AU"/>
        </w:rPr>
      </w:pPr>
    </w:p>
    <w:p w14:paraId="6EB8A045" w14:textId="77777777" w:rsidR="002123DF" w:rsidRPr="00F65EA3" w:rsidRDefault="002123DF" w:rsidP="002123DF">
      <w:pPr>
        <w:rPr>
          <w:rFonts w:cs="Arial"/>
          <w:b/>
          <w:sz w:val="22"/>
          <w:lang w:eastAsia="en-AU"/>
        </w:rPr>
      </w:pPr>
      <w:r w:rsidRPr="00F65EA3">
        <w:rPr>
          <w:rFonts w:cs="Arial"/>
          <w:b/>
          <w:sz w:val="22"/>
          <w:lang w:eastAsia="en-AU"/>
        </w:rPr>
        <w:br w:type="page"/>
      </w:r>
    </w:p>
    <w:p w14:paraId="3BE96EE1" w14:textId="77777777" w:rsidR="002123DF" w:rsidRPr="00F65EA3" w:rsidRDefault="002123DF" w:rsidP="002123DF">
      <w:pPr>
        <w:jc w:val="center"/>
        <w:rPr>
          <w:rFonts w:cs="Arial"/>
          <w:b/>
          <w:caps/>
          <w:sz w:val="22"/>
          <w:szCs w:val="22"/>
          <w:lang w:eastAsia="en-AU"/>
        </w:rPr>
      </w:pPr>
      <w:r w:rsidRPr="00F65EA3">
        <w:rPr>
          <w:rFonts w:cs="Arial"/>
          <w:b/>
          <w:caps/>
          <w:sz w:val="22"/>
          <w:szCs w:val="22"/>
          <w:lang w:eastAsia="en-AU"/>
        </w:rPr>
        <w:lastRenderedPageBreak/>
        <w:t>Schedule 2</w:t>
      </w:r>
    </w:p>
    <w:p w14:paraId="054F724D" w14:textId="77777777" w:rsidR="002123DF" w:rsidRPr="00F65EA3" w:rsidRDefault="002123DF" w:rsidP="002123DF">
      <w:pPr>
        <w:jc w:val="both"/>
        <w:rPr>
          <w:rFonts w:cs="Arial"/>
          <w:sz w:val="22"/>
          <w:lang w:eastAsia="en-AU"/>
        </w:rPr>
      </w:pPr>
    </w:p>
    <w:p w14:paraId="53E0AF2A" w14:textId="77777777" w:rsidR="002123DF" w:rsidRPr="00F65EA3" w:rsidRDefault="002123DF" w:rsidP="002123DF">
      <w:pPr>
        <w:jc w:val="both"/>
        <w:rPr>
          <w:rFonts w:cs="Arial"/>
          <w:sz w:val="22"/>
          <w:lang w:eastAsia="en-AU"/>
        </w:rPr>
      </w:pPr>
      <w:r w:rsidRPr="00F65EA3">
        <w:rPr>
          <w:rFonts w:cs="Arial"/>
          <w:sz w:val="22"/>
          <w:lang w:eastAsia="en-AU"/>
        </w:rPr>
        <w:t xml:space="preserve">Examples of some of the </w:t>
      </w:r>
      <w:proofErr w:type="gramStart"/>
      <w:r w:rsidRPr="00F65EA3">
        <w:rPr>
          <w:rFonts w:cs="Arial"/>
          <w:sz w:val="22"/>
          <w:lang w:eastAsia="en-AU"/>
        </w:rPr>
        <w:t>documents which you may need to provide</w:t>
      </w:r>
      <w:proofErr w:type="gramEnd"/>
      <w:r w:rsidRPr="00F65EA3">
        <w:rPr>
          <w:rFonts w:cs="Arial"/>
          <w:sz w:val="22"/>
          <w:lang w:eastAsia="en-AU"/>
        </w:rPr>
        <w:t xml:space="preserve"> include: </w:t>
      </w:r>
    </w:p>
    <w:p w14:paraId="6DACCB20" w14:textId="77777777" w:rsidR="002123DF" w:rsidRPr="00F65EA3" w:rsidRDefault="002123DF" w:rsidP="002123DF">
      <w:pPr>
        <w:jc w:val="both"/>
        <w:rPr>
          <w:rFonts w:cs="Arial"/>
          <w:sz w:val="22"/>
          <w:lang w:eastAsia="en-AU"/>
        </w:rPr>
      </w:pPr>
    </w:p>
    <w:p w14:paraId="18F987E8" w14:textId="77777777" w:rsidR="002123DF" w:rsidRPr="00F65EA3" w:rsidRDefault="002123DF" w:rsidP="002123DF">
      <w:pPr>
        <w:numPr>
          <w:ilvl w:val="0"/>
          <w:numId w:val="8"/>
        </w:numPr>
        <w:jc w:val="both"/>
        <w:rPr>
          <w:sz w:val="22"/>
          <w:szCs w:val="22"/>
          <w:lang w:eastAsia="en-AU"/>
        </w:rPr>
      </w:pPr>
      <w:r w:rsidRPr="00F65EA3">
        <w:rPr>
          <w:rFonts w:cs="Arial"/>
          <w:sz w:val="22"/>
          <w:lang w:eastAsia="en-AU"/>
        </w:rPr>
        <w:t xml:space="preserve">one </w:t>
      </w:r>
      <w:r w:rsidRPr="00F65EA3">
        <w:rPr>
          <w:b/>
          <w:sz w:val="22"/>
          <w:szCs w:val="22"/>
          <w:lang w:eastAsia="en-AU"/>
        </w:rPr>
        <w:t>registration certificate before</w:t>
      </w:r>
      <w:r w:rsidRPr="00F65EA3">
        <w:rPr>
          <w:sz w:val="22"/>
          <w:szCs w:val="22"/>
          <w:lang w:eastAsia="en-AU"/>
        </w:rPr>
        <w:t xml:space="preserve"> </w:t>
      </w:r>
      <w:r w:rsidRPr="00F65EA3">
        <w:rPr>
          <w:b/>
          <w:sz w:val="22"/>
          <w:szCs w:val="22"/>
          <w:u w:val="single"/>
          <w:lang w:eastAsia="en-AU"/>
        </w:rPr>
        <w:t>and</w:t>
      </w:r>
      <w:r w:rsidRPr="00F65EA3">
        <w:rPr>
          <w:sz w:val="22"/>
          <w:szCs w:val="22"/>
          <w:lang w:eastAsia="en-AU"/>
        </w:rPr>
        <w:t xml:space="preserve"> </w:t>
      </w:r>
      <w:r w:rsidRPr="00F65EA3">
        <w:rPr>
          <w:b/>
          <w:sz w:val="22"/>
          <w:szCs w:val="22"/>
          <w:lang w:eastAsia="en-AU"/>
        </w:rPr>
        <w:t>after</w:t>
      </w:r>
      <w:r w:rsidRPr="00F65EA3">
        <w:rPr>
          <w:sz w:val="22"/>
          <w:szCs w:val="22"/>
          <w:lang w:eastAsia="en-AU"/>
        </w:rPr>
        <w:t xml:space="preserve"> either of the Qualifying Dates (18 September 2015 or 3 October 2015); or </w:t>
      </w:r>
    </w:p>
    <w:p w14:paraId="37DF9DBB" w14:textId="77777777" w:rsidR="002123DF" w:rsidRPr="00F65EA3" w:rsidRDefault="002123DF" w:rsidP="002123DF">
      <w:pPr>
        <w:ind w:left="720"/>
        <w:contextualSpacing/>
        <w:jc w:val="both"/>
        <w:rPr>
          <w:sz w:val="22"/>
          <w:szCs w:val="22"/>
          <w:lang w:eastAsia="en-AU"/>
        </w:rPr>
      </w:pPr>
    </w:p>
    <w:p w14:paraId="18B2EF98" w14:textId="77777777" w:rsidR="002123DF" w:rsidRPr="00F65EA3" w:rsidRDefault="002123DF" w:rsidP="002123DF">
      <w:pPr>
        <w:numPr>
          <w:ilvl w:val="0"/>
          <w:numId w:val="8"/>
        </w:numPr>
        <w:jc w:val="both"/>
        <w:rPr>
          <w:sz w:val="22"/>
          <w:szCs w:val="22"/>
          <w:lang w:eastAsia="en-AU"/>
        </w:rPr>
      </w:pPr>
      <w:r w:rsidRPr="00F65EA3">
        <w:rPr>
          <w:sz w:val="22"/>
          <w:szCs w:val="22"/>
          <w:lang w:eastAsia="en-AU"/>
        </w:rPr>
        <w:t xml:space="preserve">certificates of insurance </w:t>
      </w:r>
      <w:r w:rsidRPr="00F65EA3">
        <w:rPr>
          <w:b/>
          <w:sz w:val="22"/>
          <w:szCs w:val="22"/>
          <w:lang w:eastAsia="en-AU"/>
        </w:rPr>
        <w:t>before</w:t>
      </w:r>
      <w:r w:rsidRPr="00F65EA3">
        <w:rPr>
          <w:sz w:val="22"/>
          <w:szCs w:val="22"/>
          <w:lang w:eastAsia="en-AU"/>
        </w:rPr>
        <w:t xml:space="preserve"> </w:t>
      </w:r>
      <w:r w:rsidRPr="00F65EA3">
        <w:rPr>
          <w:b/>
          <w:sz w:val="22"/>
          <w:szCs w:val="22"/>
          <w:u w:val="single"/>
          <w:lang w:eastAsia="en-AU"/>
        </w:rPr>
        <w:t>and</w:t>
      </w:r>
      <w:r w:rsidRPr="00F65EA3">
        <w:rPr>
          <w:sz w:val="22"/>
          <w:szCs w:val="22"/>
          <w:lang w:eastAsia="en-AU"/>
        </w:rPr>
        <w:t xml:space="preserve"> </w:t>
      </w:r>
      <w:r w:rsidRPr="00F65EA3">
        <w:rPr>
          <w:b/>
          <w:sz w:val="22"/>
          <w:szCs w:val="22"/>
          <w:lang w:eastAsia="en-AU"/>
        </w:rPr>
        <w:t>after</w:t>
      </w:r>
      <w:r w:rsidRPr="00F65EA3">
        <w:rPr>
          <w:sz w:val="22"/>
          <w:szCs w:val="22"/>
          <w:lang w:eastAsia="en-AU"/>
        </w:rPr>
        <w:t xml:space="preserve"> either of the Qualifying Dates (18 September 2015 or 3 October 2015); or </w:t>
      </w:r>
    </w:p>
    <w:p w14:paraId="239E59D6" w14:textId="77777777" w:rsidR="002123DF" w:rsidRPr="00F65EA3" w:rsidRDefault="002123DF" w:rsidP="002123DF">
      <w:pPr>
        <w:ind w:left="720"/>
        <w:contextualSpacing/>
        <w:jc w:val="both"/>
        <w:rPr>
          <w:sz w:val="22"/>
          <w:szCs w:val="22"/>
          <w:lang w:eastAsia="en-AU"/>
        </w:rPr>
      </w:pPr>
    </w:p>
    <w:p w14:paraId="0CE92263" w14:textId="77777777" w:rsidR="002123DF" w:rsidRPr="00F65EA3" w:rsidRDefault="002123DF" w:rsidP="002123DF">
      <w:pPr>
        <w:numPr>
          <w:ilvl w:val="0"/>
          <w:numId w:val="8"/>
        </w:numPr>
        <w:jc w:val="both"/>
        <w:rPr>
          <w:rFonts w:cs="Arial"/>
          <w:sz w:val="22"/>
          <w:u w:val="single"/>
          <w:lang w:eastAsia="en-AU"/>
        </w:rPr>
      </w:pPr>
      <w:r w:rsidRPr="00F65EA3">
        <w:rPr>
          <w:sz w:val="22"/>
          <w:szCs w:val="22"/>
          <w:lang w:eastAsia="en-AU"/>
        </w:rPr>
        <w:t>other documents that demonstrate that you held an interest in an affected vehicle as at the Qualifying Dates (18 September 2015 or 3 October 2015) provided that those documents identify the VIN of the affected vehicle.</w:t>
      </w:r>
    </w:p>
    <w:p w14:paraId="66D8F9EB" w14:textId="77777777" w:rsidR="002123DF" w:rsidRPr="00F65EA3" w:rsidRDefault="002123DF" w:rsidP="002123DF">
      <w:pPr>
        <w:ind w:left="720"/>
        <w:contextualSpacing/>
        <w:rPr>
          <w:rFonts w:cs="Arial"/>
          <w:sz w:val="22"/>
          <w:u w:val="single"/>
          <w:lang w:eastAsia="en-AU"/>
        </w:rPr>
      </w:pPr>
    </w:p>
    <w:p w14:paraId="2CF890ED" w14:textId="77777777" w:rsidR="002123DF" w:rsidRPr="00F65EA3" w:rsidRDefault="002123DF" w:rsidP="002123DF">
      <w:pPr>
        <w:jc w:val="both"/>
        <w:rPr>
          <w:rFonts w:cs="Arial"/>
          <w:sz w:val="22"/>
          <w:lang w:eastAsia="en-AU"/>
        </w:rPr>
      </w:pPr>
      <w:r w:rsidRPr="00F65EA3">
        <w:rPr>
          <w:rFonts w:cs="Arial"/>
          <w:sz w:val="22"/>
          <w:lang w:eastAsia="en-AU"/>
        </w:rPr>
        <w:t xml:space="preserve">If you no longer have registration certificates for your vehicle, copies </w:t>
      </w:r>
      <w:proofErr w:type="gramStart"/>
      <w:r w:rsidRPr="00F65EA3">
        <w:rPr>
          <w:rFonts w:cs="Arial"/>
          <w:sz w:val="22"/>
          <w:lang w:eastAsia="en-AU"/>
        </w:rPr>
        <w:t>can usually be obtained</w:t>
      </w:r>
      <w:proofErr w:type="gramEnd"/>
      <w:r w:rsidRPr="00F65EA3">
        <w:rPr>
          <w:rFonts w:cs="Arial"/>
          <w:sz w:val="22"/>
          <w:lang w:eastAsia="en-AU"/>
        </w:rPr>
        <w:t xml:space="preserve"> from the motor vehicle registry in your state or territory. </w:t>
      </w:r>
    </w:p>
    <w:p w14:paraId="56DCA4CB" w14:textId="77777777" w:rsidR="002123DF" w:rsidRPr="00F65EA3" w:rsidRDefault="002123DF" w:rsidP="002123DF">
      <w:pPr>
        <w:jc w:val="both"/>
        <w:rPr>
          <w:rFonts w:cs="Arial"/>
          <w:sz w:val="22"/>
          <w:u w:val="single"/>
          <w:lang w:eastAsia="en-AU"/>
        </w:rPr>
      </w:pPr>
    </w:p>
    <w:p w14:paraId="69AAF1A3" w14:textId="77777777" w:rsidR="002123DF" w:rsidRPr="00F65EA3" w:rsidRDefault="002123DF" w:rsidP="002123DF">
      <w:pPr>
        <w:jc w:val="both"/>
        <w:rPr>
          <w:sz w:val="22"/>
          <w:szCs w:val="22"/>
          <w:lang w:eastAsia="en-AU"/>
        </w:rPr>
      </w:pPr>
      <w:r w:rsidRPr="00F65EA3">
        <w:rPr>
          <w:rFonts w:cs="Arial"/>
          <w:sz w:val="22"/>
          <w:lang w:eastAsia="en-AU"/>
        </w:rPr>
        <w:t xml:space="preserve">If you leased or hired an affected vehicle as at the Qualifying Dates </w:t>
      </w:r>
      <w:r w:rsidRPr="00F65EA3">
        <w:rPr>
          <w:sz w:val="22"/>
          <w:szCs w:val="22"/>
          <w:lang w:eastAsia="en-AU"/>
        </w:rPr>
        <w:t xml:space="preserve">(18 September 2015 or 3 October </w:t>
      </w:r>
      <w:proofErr w:type="gramStart"/>
      <w:r w:rsidRPr="00F65EA3">
        <w:rPr>
          <w:sz w:val="22"/>
          <w:szCs w:val="22"/>
          <w:lang w:eastAsia="en-AU"/>
        </w:rPr>
        <w:t>2015)</w:t>
      </w:r>
      <w:proofErr w:type="gramEnd"/>
      <w:r w:rsidRPr="00F65EA3">
        <w:rPr>
          <w:sz w:val="22"/>
          <w:szCs w:val="22"/>
          <w:lang w:eastAsia="en-AU"/>
        </w:rPr>
        <w:t xml:space="preserve"> you will be asked to provide a copy of your lease or hire purchase contract. Instead of providing your lease or hire purchase contract, you may alternatively provide written confirmation from the organisation that leased the vehicle to you, </w:t>
      </w:r>
      <w:proofErr w:type="gramStart"/>
      <w:r w:rsidRPr="00F65EA3">
        <w:rPr>
          <w:sz w:val="22"/>
          <w:szCs w:val="22"/>
          <w:lang w:eastAsia="en-AU"/>
        </w:rPr>
        <w:t>provided that</w:t>
      </w:r>
      <w:proofErr w:type="gramEnd"/>
      <w:r w:rsidRPr="00F65EA3">
        <w:rPr>
          <w:sz w:val="22"/>
          <w:szCs w:val="22"/>
          <w:lang w:eastAsia="en-AU"/>
        </w:rPr>
        <w:t xml:space="preserve"> this confirmation sets out:  </w:t>
      </w:r>
    </w:p>
    <w:p w14:paraId="5E04D7A6" w14:textId="77777777" w:rsidR="002123DF" w:rsidRPr="00F65EA3" w:rsidRDefault="002123DF" w:rsidP="002123DF">
      <w:pPr>
        <w:jc w:val="both"/>
        <w:rPr>
          <w:sz w:val="22"/>
          <w:szCs w:val="22"/>
          <w:lang w:eastAsia="en-AU"/>
        </w:rPr>
      </w:pPr>
    </w:p>
    <w:p w14:paraId="7AD1E88C"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 xml:space="preserve">the name of the lessee or hirer; </w:t>
      </w:r>
    </w:p>
    <w:p w14:paraId="61D33C9E"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 xml:space="preserve">VIN of the Affected Vehicle; </w:t>
      </w:r>
    </w:p>
    <w:p w14:paraId="7FC959AD" w14:textId="77777777" w:rsidR="002123DF" w:rsidRPr="00F65EA3" w:rsidRDefault="002123DF" w:rsidP="002123DF">
      <w:pPr>
        <w:numPr>
          <w:ilvl w:val="0"/>
          <w:numId w:val="8"/>
        </w:numPr>
        <w:jc w:val="both"/>
        <w:rPr>
          <w:rFonts w:cs="Arial"/>
          <w:sz w:val="22"/>
          <w:lang w:eastAsia="en-AU"/>
        </w:rPr>
      </w:pPr>
      <w:r w:rsidRPr="00F65EA3">
        <w:rPr>
          <w:rFonts w:cs="Arial"/>
          <w:sz w:val="22"/>
          <w:lang w:eastAsia="en-AU"/>
        </w:rPr>
        <w:t xml:space="preserve">the type of lease or agreement; and </w:t>
      </w:r>
    </w:p>
    <w:p w14:paraId="6A8251B5" w14:textId="77777777" w:rsidR="002123DF" w:rsidRPr="00F65EA3" w:rsidRDefault="002123DF" w:rsidP="002123DF">
      <w:pPr>
        <w:numPr>
          <w:ilvl w:val="0"/>
          <w:numId w:val="8"/>
        </w:numPr>
        <w:jc w:val="both"/>
        <w:rPr>
          <w:rFonts w:cs="Arial"/>
          <w:sz w:val="22"/>
          <w:lang w:eastAsia="en-AU"/>
        </w:rPr>
      </w:pPr>
      <w:proofErr w:type="gramStart"/>
      <w:r w:rsidRPr="00F65EA3">
        <w:rPr>
          <w:rFonts w:cs="Arial"/>
          <w:sz w:val="22"/>
          <w:lang w:eastAsia="en-AU"/>
        </w:rPr>
        <w:t>the</w:t>
      </w:r>
      <w:proofErr w:type="gramEnd"/>
      <w:r w:rsidRPr="00F65EA3">
        <w:rPr>
          <w:rFonts w:cs="Arial"/>
          <w:sz w:val="22"/>
          <w:lang w:eastAsia="en-AU"/>
        </w:rPr>
        <w:t xml:space="preserve"> start and end dates of the lease or agreement. </w:t>
      </w:r>
    </w:p>
    <w:p w14:paraId="2485835E" w14:textId="77777777" w:rsidR="002123DF" w:rsidRPr="00F65EA3" w:rsidRDefault="002123DF" w:rsidP="002123DF">
      <w:pPr>
        <w:jc w:val="both"/>
        <w:rPr>
          <w:rFonts w:cs="Arial"/>
          <w:sz w:val="22"/>
          <w:lang w:eastAsia="en-AU"/>
        </w:rPr>
      </w:pPr>
    </w:p>
    <w:p w14:paraId="310D753B" w14:textId="77777777" w:rsidR="002123DF" w:rsidRPr="00F65EA3" w:rsidRDefault="002123DF" w:rsidP="002123DF">
      <w:pPr>
        <w:jc w:val="both"/>
        <w:rPr>
          <w:sz w:val="22"/>
          <w:szCs w:val="22"/>
          <w:lang w:eastAsia="en-AU"/>
        </w:rPr>
      </w:pPr>
      <w:r w:rsidRPr="00F65EA3">
        <w:rPr>
          <w:rFonts w:cs="Arial"/>
          <w:sz w:val="22"/>
          <w:lang w:eastAsia="en-AU"/>
        </w:rPr>
        <w:t xml:space="preserve">If you </w:t>
      </w:r>
      <w:proofErr w:type="gramStart"/>
      <w:r w:rsidRPr="00F65EA3">
        <w:rPr>
          <w:rFonts w:cs="Arial"/>
          <w:sz w:val="22"/>
          <w:lang w:eastAsia="en-AU"/>
        </w:rPr>
        <w:t>are asked</w:t>
      </w:r>
      <w:proofErr w:type="gramEnd"/>
      <w:r w:rsidRPr="00F65EA3">
        <w:rPr>
          <w:rFonts w:cs="Arial"/>
          <w:sz w:val="22"/>
          <w:lang w:eastAsia="en-AU"/>
        </w:rPr>
        <w:t xml:space="preserve"> to provide documents in support of your claim, you must </w:t>
      </w:r>
      <w:r w:rsidRPr="00F65EA3">
        <w:rPr>
          <w:rFonts w:cs="Arial"/>
          <w:b/>
          <w:sz w:val="22"/>
          <w:lang w:eastAsia="en-AU"/>
        </w:rPr>
        <w:t>upload these documents onto the registration portal</w:t>
      </w:r>
      <w:r w:rsidRPr="00F65EA3">
        <w:rPr>
          <w:rFonts w:cs="Arial"/>
          <w:sz w:val="22"/>
          <w:lang w:eastAsia="en-AU"/>
        </w:rPr>
        <w:t xml:space="preserve">. Unless you are a fleet operator (see below), do </w:t>
      </w:r>
      <w:r w:rsidRPr="00F65EA3">
        <w:rPr>
          <w:rFonts w:cs="Arial"/>
          <w:b/>
          <w:sz w:val="22"/>
          <w:lang w:eastAsia="en-AU"/>
        </w:rPr>
        <w:t>not</w:t>
      </w:r>
      <w:r w:rsidRPr="00F65EA3">
        <w:rPr>
          <w:rFonts w:cs="Arial"/>
          <w:sz w:val="22"/>
          <w:lang w:eastAsia="en-AU"/>
        </w:rPr>
        <w:t xml:space="preserve"> send documents to Maurice Blackburn or Bannister Law by email, fax or post. </w:t>
      </w:r>
      <w:r w:rsidRPr="00F65EA3">
        <w:rPr>
          <w:sz w:val="22"/>
          <w:szCs w:val="22"/>
          <w:lang w:eastAsia="en-AU"/>
        </w:rPr>
        <w:t xml:space="preserve">You may use a smartphone or tablet device in order to take photographs of relevant documents, </w:t>
      </w:r>
      <w:proofErr w:type="gramStart"/>
      <w:r w:rsidRPr="00F65EA3">
        <w:rPr>
          <w:sz w:val="22"/>
          <w:szCs w:val="22"/>
          <w:lang w:eastAsia="en-AU"/>
        </w:rPr>
        <w:t>provided that</w:t>
      </w:r>
      <w:proofErr w:type="gramEnd"/>
      <w:r w:rsidRPr="00F65EA3">
        <w:rPr>
          <w:sz w:val="22"/>
          <w:szCs w:val="22"/>
          <w:lang w:eastAsia="en-AU"/>
        </w:rPr>
        <w:t xml:space="preserve"> all words and numbers are clearly legible in the photographs. The photographs </w:t>
      </w:r>
      <w:proofErr w:type="gramStart"/>
      <w:r w:rsidRPr="00F65EA3">
        <w:rPr>
          <w:sz w:val="22"/>
          <w:szCs w:val="22"/>
          <w:lang w:eastAsia="en-AU"/>
        </w:rPr>
        <w:t>can then be uploaded</w:t>
      </w:r>
      <w:proofErr w:type="gramEnd"/>
      <w:r w:rsidRPr="00F65EA3">
        <w:rPr>
          <w:sz w:val="22"/>
          <w:szCs w:val="22"/>
          <w:lang w:eastAsia="en-AU"/>
        </w:rPr>
        <w:t xml:space="preserve"> onto the registration portal.  </w:t>
      </w:r>
    </w:p>
    <w:p w14:paraId="6C57283B" w14:textId="77777777" w:rsidR="002123DF" w:rsidRPr="00F65EA3" w:rsidRDefault="002123DF" w:rsidP="002123DF">
      <w:pPr>
        <w:jc w:val="both"/>
        <w:rPr>
          <w:rFonts w:cs="Arial"/>
          <w:b/>
          <w:sz w:val="22"/>
          <w:lang w:eastAsia="en-AU"/>
        </w:rPr>
      </w:pPr>
    </w:p>
    <w:p w14:paraId="66AF4A6E" w14:textId="77777777" w:rsidR="002123DF" w:rsidRPr="00F65EA3" w:rsidRDefault="002123DF" w:rsidP="002123DF">
      <w:pPr>
        <w:jc w:val="both"/>
        <w:rPr>
          <w:rFonts w:cs="Arial"/>
          <w:b/>
          <w:sz w:val="22"/>
          <w:lang w:eastAsia="en-AU"/>
        </w:rPr>
      </w:pPr>
    </w:p>
    <w:p w14:paraId="6DC7467C" w14:textId="77777777" w:rsidR="002123DF" w:rsidRPr="00F65EA3" w:rsidRDefault="002123DF" w:rsidP="002123DF">
      <w:pPr>
        <w:rPr>
          <w:rFonts w:cs="Arial"/>
          <w:b/>
          <w:sz w:val="22"/>
          <w:lang w:eastAsia="en-AU"/>
        </w:rPr>
      </w:pPr>
      <w:r w:rsidRPr="00F65EA3">
        <w:rPr>
          <w:rFonts w:cs="Arial"/>
          <w:b/>
          <w:sz w:val="22"/>
          <w:lang w:eastAsia="en-AU"/>
        </w:rPr>
        <w:br w:type="page"/>
      </w:r>
    </w:p>
    <w:p w14:paraId="10E7EBCD" w14:textId="3C15C0AD" w:rsidR="002123DF" w:rsidRPr="00F65EA3" w:rsidRDefault="00796F14" w:rsidP="002123DF">
      <w:pPr>
        <w:jc w:val="center"/>
        <w:rPr>
          <w:rFonts w:cs="Arial"/>
          <w:b/>
          <w:caps/>
          <w:sz w:val="22"/>
          <w:szCs w:val="22"/>
          <w:lang w:eastAsia="en-AU"/>
        </w:rPr>
      </w:pPr>
      <w:r>
        <w:rPr>
          <w:rFonts w:cs="Arial"/>
          <w:b/>
          <w:caps/>
          <w:sz w:val="22"/>
          <w:szCs w:val="22"/>
          <w:lang w:eastAsia="en-AU"/>
        </w:rPr>
        <w:lastRenderedPageBreak/>
        <w:t>Schedule 2 –</w:t>
      </w:r>
      <w:r w:rsidR="002123DF" w:rsidRPr="00F65EA3">
        <w:rPr>
          <w:rFonts w:cs="Arial"/>
          <w:b/>
          <w:caps/>
          <w:sz w:val="22"/>
          <w:szCs w:val="22"/>
          <w:lang w:eastAsia="en-AU"/>
        </w:rPr>
        <w:t xml:space="preserve"> Advertisement</w:t>
      </w:r>
    </w:p>
    <w:p w14:paraId="2C4DC88D" w14:textId="77777777" w:rsidR="002123DF" w:rsidRPr="00F65EA3" w:rsidRDefault="002123DF" w:rsidP="002123DF">
      <w:pPr>
        <w:jc w:val="center"/>
        <w:rPr>
          <w:rFonts w:cs="Arial"/>
          <w:b/>
          <w:caps/>
          <w:sz w:val="22"/>
          <w:szCs w:val="22"/>
          <w:lang w:eastAsia="en-AU"/>
        </w:rPr>
      </w:pPr>
    </w:p>
    <w:p w14:paraId="3F13A217" w14:textId="77777777" w:rsidR="002123DF" w:rsidRPr="00F65EA3" w:rsidRDefault="002123DF" w:rsidP="002123DF">
      <w:pPr>
        <w:jc w:val="center"/>
        <w:rPr>
          <w:b/>
          <w:sz w:val="22"/>
          <w:szCs w:val="21"/>
          <w:lang w:eastAsia="en-AU"/>
        </w:rPr>
      </w:pPr>
      <w:r w:rsidRPr="00F65EA3">
        <w:rPr>
          <w:b/>
          <w:sz w:val="22"/>
          <w:szCs w:val="21"/>
          <w:lang w:eastAsia="en-AU"/>
        </w:rPr>
        <w:t>PROPOSED SETTLEMENT</w:t>
      </w:r>
    </w:p>
    <w:p w14:paraId="6F3E102A" w14:textId="77777777" w:rsidR="002123DF" w:rsidRPr="00F65EA3" w:rsidRDefault="002123DF" w:rsidP="002123DF">
      <w:pPr>
        <w:jc w:val="center"/>
        <w:rPr>
          <w:b/>
          <w:sz w:val="22"/>
          <w:szCs w:val="21"/>
          <w:lang w:eastAsia="en-AU"/>
        </w:rPr>
      </w:pPr>
      <w:r w:rsidRPr="00F65EA3">
        <w:rPr>
          <w:b/>
          <w:sz w:val="22"/>
          <w:szCs w:val="21"/>
          <w:lang w:eastAsia="en-AU"/>
        </w:rPr>
        <w:t>Volkswagen, Audi and Skoda Class Actions in the Federal Court of Australia</w:t>
      </w:r>
    </w:p>
    <w:p w14:paraId="3AFF03DC" w14:textId="77777777" w:rsidR="002123DF" w:rsidRPr="00F65EA3" w:rsidRDefault="002123DF" w:rsidP="002123DF">
      <w:pPr>
        <w:pBdr>
          <w:bottom w:val="single" w:sz="6" w:space="1" w:color="auto"/>
        </w:pBdr>
        <w:jc w:val="center"/>
        <w:rPr>
          <w:b/>
          <w:sz w:val="22"/>
          <w:szCs w:val="21"/>
          <w:lang w:eastAsia="en-AU"/>
        </w:rPr>
      </w:pPr>
    </w:p>
    <w:p w14:paraId="6443D846" w14:textId="77777777" w:rsidR="002123DF" w:rsidRPr="00F65EA3" w:rsidRDefault="002123DF" w:rsidP="002123DF">
      <w:pPr>
        <w:jc w:val="center"/>
        <w:rPr>
          <w:b/>
          <w:sz w:val="22"/>
          <w:szCs w:val="21"/>
          <w:lang w:eastAsia="en-AU"/>
        </w:rPr>
      </w:pPr>
    </w:p>
    <w:p w14:paraId="19CCEEF7" w14:textId="77777777" w:rsidR="002123DF" w:rsidRPr="00F65EA3" w:rsidRDefault="002123DF" w:rsidP="002123DF">
      <w:pPr>
        <w:jc w:val="both"/>
        <w:rPr>
          <w:sz w:val="22"/>
          <w:szCs w:val="21"/>
          <w:lang w:eastAsia="en-AU"/>
        </w:rPr>
      </w:pPr>
      <w:r w:rsidRPr="00F65EA3">
        <w:rPr>
          <w:sz w:val="22"/>
          <w:szCs w:val="21"/>
          <w:lang w:eastAsia="en-AU"/>
        </w:rPr>
        <w:t xml:space="preserve">In early December </w:t>
      </w:r>
      <w:proofErr w:type="gramStart"/>
      <w:r w:rsidRPr="00F65EA3">
        <w:rPr>
          <w:sz w:val="22"/>
          <w:szCs w:val="21"/>
          <w:lang w:eastAsia="en-AU"/>
        </w:rPr>
        <w:t>2019</w:t>
      </w:r>
      <w:proofErr w:type="gramEnd"/>
      <w:r w:rsidRPr="00F65EA3">
        <w:rPr>
          <w:sz w:val="22"/>
          <w:szCs w:val="21"/>
          <w:lang w:eastAsia="en-AU"/>
        </w:rPr>
        <w:t xml:space="preserve"> the parties in the Volkswagen, Audi and Skoda Australian diesel emissions class actions agreed on terms for the proposed settlement of the class actions. If the settlement </w:t>
      </w:r>
      <w:proofErr w:type="gramStart"/>
      <w:r w:rsidRPr="00F65EA3">
        <w:rPr>
          <w:sz w:val="22"/>
          <w:szCs w:val="21"/>
          <w:lang w:eastAsia="en-AU"/>
        </w:rPr>
        <w:t>is approved</w:t>
      </w:r>
      <w:proofErr w:type="gramEnd"/>
      <w:r w:rsidRPr="00F65EA3">
        <w:rPr>
          <w:sz w:val="22"/>
          <w:szCs w:val="21"/>
          <w:lang w:eastAsia="en-AU"/>
        </w:rPr>
        <w:t xml:space="preserve"> by the Federal Court, between $87 million and $127.1 million will be available for eligible Group Members, plus legal costs and other payments as approved by the Court. </w:t>
      </w:r>
    </w:p>
    <w:p w14:paraId="65F84508" w14:textId="77777777" w:rsidR="002123DF" w:rsidRPr="00F65EA3" w:rsidRDefault="002123DF" w:rsidP="002123DF">
      <w:pPr>
        <w:jc w:val="both"/>
        <w:rPr>
          <w:sz w:val="22"/>
          <w:szCs w:val="21"/>
          <w:lang w:eastAsia="en-AU"/>
        </w:rPr>
      </w:pPr>
    </w:p>
    <w:p w14:paraId="007D32CE" w14:textId="77777777" w:rsidR="002123DF" w:rsidRPr="00F65EA3" w:rsidRDefault="002123DF" w:rsidP="002123DF">
      <w:pPr>
        <w:jc w:val="both"/>
        <w:rPr>
          <w:sz w:val="22"/>
          <w:szCs w:val="21"/>
          <w:lang w:eastAsia="en-AU"/>
        </w:rPr>
      </w:pPr>
      <w:r w:rsidRPr="00F65EA3">
        <w:rPr>
          <w:sz w:val="22"/>
          <w:szCs w:val="21"/>
          <w:lang w:eastAsia="en-AU"/>
        </w:rPr>
        <w:t xml:space="preserve">You may be eligible to receive a settlement payment if you owned an affected diesel vehicle or had certain types of vehicle leases as at </w:t>
      </w:r>
      <w:r w:rsidRPr="00F65EA3">
        <w:rPr>
          <w:b/>
          <w:sz w:val="22"/>
          <w:szCs w:val="21"/>
          <w:lang w:eastAsia="en-AU"/>
        </w:rPr>
        <w:t>18 September 2015</w:t>
      </w:r>
      <w:r w:rsidRPr="00F65EA3">
        <w:rPr>
          <w:sz w:val="22"/>
          <w:szCs w:val="21"/>
          <w:lang w:eastAsia="en-AU"/>
        </w:rPr>
        <w:t xml:space="preserve"> or </w:t>
      </w:r>
      <w:r w:rsidRPr="00F65EA3">
        <w:rPr>
          <w:b/>
          <w:sz w:val="22"/>
          <w:szCs w:val="21"/>
          <w:lang w:eastAsia="en-AU"/>
        </w:rPr>
        <w:t>3 October 2015</w:t>
      </w:r>
      <w:r w:rsidRPr="00F65EA3">
        <w:rPr>
          <w:sz w:val="22"/>
          <w:szCs w:val="21"/>
          <w:lang w:eastAsia="en-AU"/>
        </w:rPr>
        <w:t xml:space="preserve">.  </w:t>
      </w:r>
    </w:p>
    <w:p w14:paraId="5E12B5B7" w14:textId="77777777" w:rsidR="002123DF" w:rsidRPr="00F65EA3" w:rsidRDefault="002123DF" w:rsidP="002123DF">
      <w:pPr>
        <w:jc w:val="both"/>
        <w:rPr>
          <w:sz w:val="22"/>
          <w:szCs w:val="21"/>
          <w:lang w:eastAsia="en-AU"/>
        </w:rPr>
      </w:pPr>
    </w:p>
    <w:p w14:paraId="0ED2261F" w14:textId="77777777" w:rsidR="002123DF" w:rsidRPr="00F65EA3" w:rsidRDefault="002123DF" w:rsidP="002123DF">
      <w:pPr>
        <w:jc w:val="both"/>
        <w:rPr>
          <w:sz w:val="22"/>
          <w:szCs w:val="21"/>
          <w:lang w:eastAsia="en-AU"/>
        </w:rPr>
      </w:pPr>
      <w:r w:rsidRPr="00F65EA3">
        <w:rPr>
          <w:sz w:val="22"/>
          <w:szCs w:val="21"/>
          <w:lang w:eastAsia="en-AU"/>
        </w:rPr>
        <w:t>Details of the affected vehicles as well as more information about the eligibility criteria are set out in a Settlement Notice</w:t>
      </w:r>
      <w:r w:rsidRPr="00F65EA3">
        <w:rPr>
          <w:rFonts w:cs="Arial"/>
          <w:sz w:val="22"/>
          <w:szCs w:val="21"/>
          <w:lang w:eastAsia="en-AU"/>
        </w:rPr>
        <w:t xml:space="preserve">. </w:t>
      </w:r>
      <w:r w:rsidRPr="00F65EA3">
        <w:rPr>
          <w:sz w:val="22"/>
          <w:szCs w:val="21"/>
          <w:lang w:eastAsia="en-AU"/>
        </w:rPr>
        <w:t xml:space="preserve">You may obtain a copy of this Settlement Notice at </w:t>
      </w:r>
      <w:hyperlink r:id="rId19" w:history="1">
        <w:r w:rsidRPr="00F65EA3">
          <w:rPr>
            <w:rStyle w:val="Hyperlink"/>
            <w:sz w:val="22"/>
            <w:szCs w:val="21"/>
            <w:lang w:eastAsia="en-AU"/>
          </w:rPr>
          <w:t>www.vwsettlement.com.au</w:t>
        </w:r>
      </w:hyperlink>
      <w:r w:rsidRPr="00F65EA3">
        <w:rPr>
          <w:sz w:val="22"/>
          <w:szCs w:val="21"/>
          <w:lang w:eastAsia="en-AU"/>
        </w:rPr>
        <w:t xml:space="preserve">. </w:t>
      </w:r>
    </w:p>
    <w:p w14:paraId="2F0D1CC6" w14:textId="77777777" w:rsidR="002123DF" w:rsidRPr="00F65EA3" w:rsidRDefault="002123DF" w:rsidP="002123DF">
      <w:pPr>
        <w:jc w:val="both"/>
        <w:rPr>
          <w:sz w:val="22"/>
          <w:szCs w:val="21"/>
          <w:lang w:eastAsia="en-AU"/>
        </w:rPr>
      </w:pPr>
    </w:p>
    <w:p w14:paraId="2515A389" w14:textId="77777777" w:rsidR="002123DF" w:rsidRPr="00F65EA3" w:rsidRDefault="002123DF" w:rsidP="002123DF">
      <w:pPr>
        <w:keepNext/>
        <w:spacing w:after="120"/>
        <w:rPr>
          <w:b/>
          <w:sz w:val="22"/>
          <w:szCs w:val="21"/>
          <w:lang w:eastAsia="en-AU"/>
        </w:rPr>
      </w:pPr>
      <w:r w:rsidRPr="00F65EA3">
        <w:rPr>
          <w:b/>
          <w:sz w:val="22"/>
          <w:szCs w:val="21"/>
          <w:lang w:eastAsia="en-AU"/>
        </w:rPr>
        <w:t xml:space="preserve">WHAT GROUP MEMBERS NEED TO DO </w:t>
      </w:r>
    </w:p>
    <w:p w14:paraId="1AD3FA54" w14:textId="77777777" w:rsidR="002123DF" w:rsidRPr="00F65EA3" w:rsidRDefault="002123DF" w:rsidP="002123DF">
      <w:pPr>
        <w:jc w:val="both"/>
        <w:rPr>
          <w:sz w:val="22"/>
          <w:szCs w:val="21"/>
          <w:lang w:eastAsia="en-AU"/>
        </w:rPr>
      </w:pPr>
      <w:r w:rsidRPr="00F65EA3">
        <w:rPr>
          <w:sz w:val="22"/>
          <w:szCs w:val="21"/>
          <w:lang w:eastAsia="en-AU"/>
        </w:rPr>
        <w:t xml:space="preserve">If you want to claim a settlement </w:t>
      </w:r>
      <w:proofErr w:type="gramStart"/>
      <w:r w:rsidRPr="00F65EA3">
        <w:rPr>
          <w:sz w:val="22"/>
          <w:szCs w:val="21"/>
          <w:lang w:eastAsia="en-AU"/>
        </w:rPr>
        <w:t>payment</w:t>
      </w:r>
      <w:proofErr w:type="gramEnd"/>
      <w:r w:rsidRPr="00F65EA3">
        <w:rPr>
          <w:sz w:val="22"/>
          <w:szCs w:val="21"/>
          <w:lang w:eastAsia="en-AU"/>
        </w:rPr>
        <w:t xml:space="preserve"> you must </w:t>
      </w:r>
      <w:r w:rsidRPr="00F65EA3">
        <w:rPr>
          <w:b/>
          <w:sz w:val="22"/>
          <w:szCs w:val="21"/>
          <w:lang w:eastAsia="en-AU"/>
        </w:rPr>
        <w:t xml:space="preserve">register online </w:t>
      </w:r>
      <w:r w:rsidRPr="00F65EA3">
        <w:rPr>
          <w:sz w:val="22"/>
          <w:szCs w:val="21"/>
          <w:lang w:eastAsia="en-AU"/>
        </w:rPr>
        <w:t xml:space="preserve">at the following registration portal: </w:t>
      </w:r>
      <w:hyperlink r:id="rId20" w:history="1">
        <w:r w:rsidRPr="00F65EA3">
          <w:rPr>
            <w:rStyle w:val="Hyperlink"/>
            <w:sz w:val="22"/>
            <w:szCs w:val="21"/>
            <w:lang w:eastAsia="en-AU"/>
          </w:rPr>
          <w:t>www.vwsettlement.com.au</w:t>
        </w:r>
      </w:hyperlink>
      <w:r w:rsidRPr="00F65EA3">
        <w:rPr>
          <w:sz w:val="22"/>
          <w:szCs w:val="21"/>
          <w:lang w:eastAsia="en-AU"/>
        </w:rPr>
        <w:t xml:space="preserve">   </w:t>
      </w:r>
    </w:p>
    <w:p w14:paraId="513715EC" w14:textId="77777777" w:rsidR="002123DF" w:rsidRPr="00F65EA3" w:rsidRDefault="002123DF" w:rsidP="002123DF">
      <w:pPr>
        <w:jc w:val="both"/>
        <w:rPr>
          <w:sz w:val="22"/>
          <w:szCs w:val="21"/>
          <w:lang w:eastAsia="en-AU"/>
        </w:rPr>
      </w:pPr>
    </w:p>
    <w:p w14:paraId="4950DB6C" w14:textId="77777777" w:rsidR="002123DF" w:rsidRPr="00F65EA3" w:rsidRDefault="002123DF" w:rsidP="002123DF">
      <w:pPr>
        <w:pBdr>
          <w:top w:val="single" w:sz="4" w:space="1" w:color="auto"/>
          <w:left w:val="single" w:sz="4" w:space="4" w:color="auto"/>
          <w:bottom w:val="single" w:sz="4" w:space="1" w:color="auto"/>
          <w:right w:val="single" w:sz="4" w:space="4" w:color="auto"/>
        </w:pBdr>
        <w:jc w:val="center"/>
        <w:rPr>
          <w:b/>
          <w:sz w:val="22"/>
          <w:szCs w:val="21"/>
          <w:lang w:eastAsia="en-AU"/>
        </w:rPr>
      </w:pPr>
      <w:r w:rsidRPr="00F65EA3">
        <w:rPr>
          <w:b/>
          <w:sz w:val="22"/>
          <w:szCs w:val="21"/>
          <w:lang w:eastAsia="en-AU"/>
        </w:rPr>
        <w:t>The deadline for registration in the proposed settlement is 10 March 2020</w:t>
      </w:r>
    </w:p>
    <w:p w14:paraId="3DFE8C29" w14:textId="77777777" w:rsidR="002123DF" w:rsidRPr="00F65EA3" w:rsidRDefault="002123DF" w:rsidP="002123DF">
      <w:pPr>
        <w:pBdr>
          <w:top w:val="single" w:sz="4" w:space="1" w:color="auto"/>
          <w:left w:val="single" w:sz="4" w:space="4" w:color="auto"/>
          <w:bottom w:val="single" w:sz="4" w:space="1" w:color="auto"/>
          <w:right w:val="single" w:sz="4" w:space="4" w:color="auto"/>
        </w:pBdr>
        <w:spacing w:before="120"/>
        <w:jc w:val="center"/>
        <w:rPr>
          <w:b/>
          <w:sz w:val="22"/>
          <w:szCs w:val="21"/>
          <w:lang w:eastAsia="en-AU"/>
        </w:rPr>
      </w:pPr>
      <w:r w:rsidRPr="00F65EA3">
        <w:rPr>
          <w:b/>
          <w:sz w:val="22"/>
          <w:szCs w:val="21"/>
          <w:lang w:eastAsia="en-AU"/>
        </w:rPr>
        <w:t xml:space="preserve">If you fail to register before the </w:t>
      </w:r>
      <w:proofErr w:type="gramStart"/>
      <w:r w:rsidRPr="00F65EA3">
        <w:rPr>
          <w:b/>
          <w:sz w:val="22"/>
          <w:szCs w:val="21"/>
          <w:lang w:eastAsia="en-AU"/>
        </w:rPr>
        <w:t>deadline</w:t>
      </w:r>
      <w:proofErr w:type="gramEnd"/>
      <w:r w:rsidRPr="00F65EA3">
        <w:rPr>
          <w:b/>
          <w:sz w:val="22"/>
          <w:szCs w:val="21"/>
          <w:lang w:eastAsia="en-AU"/>
        </w:rPr>
        <w:t xml:space="preserve"> you will lose your right to receive a settlement payment but will still be bound by this settlement </w:t>
      </w:r>
    </w:p>
    <w:p w14:paraId="6953D723" w14:textId="77777777" w:rsidR="002123DF" w:rsidRPr="00F65EA3" w:rsidRDefault="002123DF" w:rsidP="002123DF">
      <w:pPr>
        <w:jc w:val="both"/>
        <w:rPr>
          <w:sz w:val="22"/>
          <w:szCs w:val="21"/>
          <w:lang w:eastAsia="en-AU"/>
        </w:rPr>
      </w:pPr>
    </w:p>
    <w:p w14:paraId="5071362D" w14:textId="77777777" w:rsidR="002123DF" w:rsidRPr="00F65EA3" w:rsidRDefault="002123DF" w:rsidP="002123DF">
      <w:pPr>
        <w:jc w:val="both"/>
        <w:rPr>
          <w:sz w:val="22"/>
          <w:szCs w:val="21"/>
          <w:lang w:eastAsia="en-AU"/>
        </w:rPr>
      </w:pPr>
      <w:r w:rsidRPr="00F65EA3">
        <w:rPr>
          <w:sz w:val="22"/>
          <w:szCs w:val="21"/>
          <w:lang w:eastAsia="en-AU"/>
        </w:rPr>
        <w:t xml:space="preserve">At the time of registration, you </w:t>
      </w:r>
      <w:proofErr w:type="gramStart"/>
      <w:r w:rsidRPr="00F65EA3">
        <w:rPr>
          <w:sz w:val="22"/>
          <w:szCs w:val="21"/>
          <w:lang w:eastAsia="en-AU"/>
        </w:rPr>
        <w:t>may be asked</w:t>
      </w:r>
      <w:proofErr w:type="gramEnd"/>
      <w:r w:rsidRPr="00F65EA3">
        <w:rPr>
          <w:sz w:val="22"/>
          <w:szCs w:val="21"/>
          <w:lang w:eastAsia="en-AU"/>
        </w:rPr>
        <w:t xml:space="preserve"> to upload documents in support of your claim. If you </w:t>
      </w:r>
      <w:proofErr w:type="gramStart"/>
      <w:r w:rsidRPr="00F65EA3">
        <w:rPr>
          <w:sz w:val="22"/>
          <w:szCs w:val="21"/>
          <w:lang w:eastAsia="en-AU"/>
        </w:rPr>
        <w:t>are asked</w:t>
      </w:r>
      <w:proofErr w:type="gramEnd"/>
      <w:r w:rsidRPr="00F65EA3">
        <w:rPr>
          <w:sz w:val="22"/>
          <w:szCs w:val="21"/>
          <w:lang w:eastAsia="en-AU"/>
        </w:rPr>
        <w:t xml:space="preserve"> to upload documents, you must do this </w:t>
      </w:r>
      <w:r w:rsidRPr="00F65EA3">
        <w:rPr>
          <w:b/>
          <w:sz w:val="22"/>
          <w:szCs w:val="21"/>
          <w:lang w:eastAsia="en-AU"/>
        </w:rPr>
        <w:t>within 28 days</w:t>
      </w:r>
      <w:r w:rsidRPr="00F65EA3">
        <w:rPr>
          <w:sz w:val="22"/>
          <w:szCs w:val="21"/>
          <w:lang w:eastAsia="en-AU"/>
        </w:rPr>
        <w:t xml:space="preserve"> of registering your claim. If your vehicle </w:t>
      </w:r>
      <w:proofErr w:type="gramStart"/>
      <w:r w:rsidRPr="00F65EA3">
        <w:rPr>
          <w:sz w:val="22"/>
          <w:szCs w:val="21"/>
          <w:lang w:eastAsia="en-AU"/>
        </w:rPr>
        <w:t>was leased</w:t>
      </w:r>
      <w:proofErr w:type="gramEnd"/>
      <w:r w:rsidRPr="00F65EA3">
        <w:rPr>
          <w:sz w:val="22"/>
          <w:szCs w:val="21"/>
          <w:lang w:eastAsia="en-AU"/>
        </w:rPr>
        <w:t xml:space="preserve"> or subject to a hire purchase agreement, you may also need to provide paperwork in relation to the lease contract. Further details about the </w:t>
      </w:r>
      <w:proofErr w:type="gramStart"/>
      <w:r w:rsidRPr="00F65EA3">
        <w:rPr>
          <w:sz w:val="22"/>
          <w:szCs w:val="21"/>
          <w:lang w:eastAsia="en-AU"/>
        </w:rPr>
        <w:t>paperwork which may need to be provided</w:t>
      </w:r>
      <w:proofErr w:type="gramEnd"/>
      <w:r w:rsidRPr="00F65EA3">
        <w:rPr>
          <w:sz w:val="22"/>
          <w:szCs w:val="21"/>
          <w:lang w:eastAsia="en-AU"/>
        </w:rPr>
        <w:t xml:space="preserve"> are outlined in the Settlement Notice which is available at </w:t>
      </w:r>
      <w:hyperlink r:id="rId21" w:history="1">
        <w:r w:rsidRPr="00F65EA3">
          <w:rPr>
            <w:rStyle w:val="Hyperlink"/>
            <w:sz w:val="22"/>
            <w:szCs w:val="21"/>
            <w:lang w:eastAsia="en-AU"/>
          </w:rPr>
          <w:t>www.vwsettlement.com.au</w:t>
        </w:r>
      </w:hyperlink>
      <w:r w:rsidRPr="00F65EA3">
        <w:rPr>
          <w:sz w:val="22"/>
          <w:szCs w:val="21"/>
          <w:lang w:eastAsia="en-AU"/>
        </w:rPr>
        <w:t xml:space="preserve">. </w:t>
      </w:r>
    </w:p>
    <w:p w14:paraId="22383BBC" w14:textId="77777777" w:rsidR="002123DF" w:rsidRPr="00F65EA3" w:rsidRDefault="002123DF" w:rsidP="002123DF">
      <w:pPr>
        <w:jc w:val="both"/>
        <w:rPr>
          <w:sz w:val="22"/>
          <w:szCs w:val="21"/>
          <w:lang w:eastAsia="en-AU"/>
        </w:rPr>
      </w:pPr>
    </w:p>
    <w:p w14:paraId="6258578A" w14:textId="77777777" w:rsidR="002123DF" w:rsidRPr="00F65EA3" w:rsidRDefault="002123DF" w:rsidP="002123DF">
      <w:pPr>
        <w:keepNext/>
        <w:spacing w:after="120"/>
        <w:rPr>
          <w:b/>
          <w:sz w:val="22"/>
          <w:szCs w:val="21"/>
          <w:lang w:eastAsia="en-AU"/>
        </w:rPr>
      </w:pPr>
      <w:r w:rsidRPr="00F65EA3">
        <w:rPr>
          <w:b/>
          <w:sz w:val="22"/>
          <w:szCs w:val="21"/>
          <w:lang w:eastAsia="en-AU"/>
        </w:rPr>
        <w:t>COURT APPROVAL OF THE PROPOSED SETTLEMENT</w:t>
      </w:r>
    </w:p>
    <w:p w14:paraId="493AF98B" w14:textId="77777777" w:rsidR="002123DF" w:rsidRPr="00F65EA3" w:rsidRDefault="002123DF" w:rsidP="002123DF">
      <w:pPr>
        <w:jc w:val="both"/>
        <w:rPr>
          <w:sz w:val="22"/>
          <w:szCs w:val="21"/>
          <w:lang w:eastAsia="en-AU"/>
        </w:rPr>
      </w:pPr>
      <w:r w:rsidRPr="00F65EA3">
        <w:rPr>
          <w:sz w:val="22"/>
          <w:szCs w:val="21"/>
          <w:lang w:eastAsia="en-AU"/>
        </w:rPr>
        <w:t xml:space="preserve">On 26 March 2020, the Federal Court </w:t>
      </w:r>
      <w:proofErr w:type="gramStart"/>
      <w:r w:rsidRPr="00F65EA3">
        <w:rPr>
          <w:sz w:val="22"/>
          <w:szCs w:val="21"/>
          <w:lang w:eastAsia="en-AU"/>
        </w:rPr>
        <w:t>will be asked</w:t>
      </w:r>
      <w:proofErr w:type="gramEnd"/>
      <w:r w:rsidRPr="00F65EA3">
        <w:rPr>
          <w:sz w:val="22"/>
          <w:szCs w:val="21"/>
          <w:lang w:eastAsia="en-AU"/>
        </w:rPr>
        <w:t xml:space="preserve"> to approve the proposed settlement. You may attend this hearing if you wish, although you are not required to do so. The application </w:t>
      </w:r>
      <w:proofErr w:type="gramStart"/>
      <w:r w:rsidRPr="00F65EA3">
        <w:rPr>
          <w:sz w:val="22"/>
          <w:szCs w:val="21"/>
          <w:lang w:eastAsia="en-AU"/>
        </w:rPr>
        <w:t>will be heard</w:t>
      </w:r>
      <w:proofErr w:type="gramEnd"/>
      <w:r w:rsidRPr="00F65EA3">
        <w:rPr>
          <w:sz w:val="22"/>
          <w:szCs w:val="21"/>
          <w:lang w:eastAsia="en-AU"/>
        </w:rPr>
        <w:t xml:space="preserve"> at the Federal Court of Australia in Sydney, in the Law Courts Building at Queens Square. </w:t>
      </w:r>
    </w:p>
    <w:p w14:paraId="76841D56" w14:textId="77777777" w:rsidR="002123DF" w:rsidRPr="00F65EA3" w:rsidRDefault="002123DF" w:rsidP="002123DF">
      <w:pPr>
        <w:jc w:val="both"/>
        <w:rPr>
          <w:sz w:val="22"/>
          <w:szCs w:val="21"/>
          <w:lang w:eastAsia="en-AU"/>
        </w:rPr>
      </w:pPr>
    </w:p>
    <w:p w14:paraId="45667643" w14:textId="77777777" w:rsidR="002123DF" w:rsidRPr="00F65EA3" w:rsidRDefault="002123DF" w:rsidP="002123DF">
      <w:pPr>
        <w:jc w:val="both"/>
        <w:rPr>
          <w:sz w:val="22"/>
          <w:szCs w:val="21"/>
          <w:lang w:eastAsia="en-AU"/>
        </w:rPr>
      </w:pPr>
      <w:r w:rsidRPr="00F65EA3">
        <w:rPr>
          <w:sz w:val="22"/>
          <w:szCs w:val="21"/>
          <w:lang w:eastAsia="en-AU"/>
        </w:rPr>
        <w:t xml:space="preserve">If you wish to oppose or object to the proposed settlement, you must lodge a written statement of your concerns by </w:t>
      </w:r>
      <w:r w:rsidRPr="00F65EA3">
        <w:rPr>
          <w:b/>
          <w:sz w:val="22"/>
          <w:szCs w:val="21"/>
          <w:lang w:eastAsia="en-AU"/>
        </w:rPr>
        <w:t>10 March 2020</w:t>
      </w:r>
      <w:r w:rsidRPr="00F65EA3">
        <w:rPr>
          <w:sz w:val="22"/>
          <w:szCs w:val="21"/>
          <w:lang w:eastAsia="en-AU"/>
        </w:rPr>
        <w:t xml:space="preserve"> at the following website: </w:t>
      </w:r>
      <w:hyperlink r:id="rId22" w:history="1">
        <w:r w:rsidRPr="00F65EA3">
          <w:rPr>
            <w:rStyle w:val="Hyperlink"/>
            <w:sz w:val="22"/>
            <w:szCs w:val="21"/>
            <w:lang w:eastAsia="en-AU"/>
          </w:rPr>
          <w:t>www.vwsettlement.com.au/objections</w:t>
        </w:r>
      </w:hyperlink>
      <w:r w:rsidRPr="00F65EA3">
        <w:rPr>
          <w:sz w:val="22"/>
          <w:szCs w:val="21"/>
          <w:lang w:eastAsia="en-AU"/>
        </w:rPr>
        <w:t xml:space="preserve">. You may also (but do not need to) attend the hearing in the Federal Court on 26 March 2020. </w:t>
      </w:r>
    </w:p>
    <w:p w14:paraId="06D3B24C" w14:textId="77777777" w:rsidR="002123DF" w:rsidRPr="00F65EA3" w:rsidRDefault="002123DF" w:rsidP="002123DF">
      <w:pPr>
        <w:jc w:val="both"/>
        <w:rPr>
          <w:b/>
          <w:sz w:val="22"/>
          <w:szCs w:val="21"/>
          <w:lang w:eastAsia="en-AU"/>
        </w:rPr>
      </w:pPr>
    </w:p>
    <w:p w14:paraId="026BCBCE" w14:textId="77777777" w:rsidR="002123DF" w:rsidRPr="00F65EA3" w:rsidRDefault="002123DF" w:rsidP="002123DF">
      <w:pPr>
        <w:keepNext/>
        <w:spacing w:after="120"/>
        <w:rPr>
          <w:b/>
          <w:caps/>
          <w:sz w:val="22"/>
          <w:szCs w:val="21"/>
          <w:lang w:eastAsia="en-AU"/>
        </w:rPr>
      </w:pPr>
      <w:r w:rsidRPr="00F65EA3">
        <w:rPr>
          <w:b/>
          <w:caps/>
          <w:sz w:val="22"/>
          <w:szCs w:val="21"/>
          <w:lang w:eastAsia="en-AU"/>
        </w:rPr>
        <w:t>Contact details</w:t>
      </w:r>
    </w:p>
    <w:p w14:paraId="60BB8B83" w14:textId="77777777" w:rsidR="002123DF" w:rsidRPr="00F65EA3" w:rsidRDefault="002123DF" w:rsidP="002123DF">
      <w:pPr>
        <w:jc w:val="both"/>
        <w:rPr>
          <w:sz w:val="22"/>
          <w:szCs w:val="21"/>
          <w:lang w:eastAsia="en-AU"/>
        </w:rPr>
      </w:pPr>
      <w:r w:rsidRPr="00F65EA3">
        <w:rPr>
          <w:sz w:val="22"/>
          <w:szCs w:val="21"/>
          <w:lang w:eastAsia="en-AU"/>
        </w:rPr>
        <w:t xml:space="preserve">You can contact Maurice Blackburn or Bannister Law for further information including a copy of the Settlement Scheme or if you have any questions: </w:t>
      </w:r>
    </w:p>
    <w:p w14:paraId="15E4151B" w14:textId="77777777" w:rsidR="002123DF" w:rsidRPr="00F65EA3" w:rsidRDefault="002123DF" w:rsidP="002123DF">
      <w:pPr>
        <w:jc w:val="both"/>
        <w:rPr>
          <w:sz w:val="22"/>
          <w:szCs w:val="21"/>
          <w:lang w:eastAsia="en-AU"/>
        </w:rPr>
      </w:pPr>
    </w:p>
    <w:tbl>
      <w:tblPr>
        <w:tblW w:w="0" w:type="auto"/>
        <w:tblLook w:val="04A0" w:firstRow="1" w:lastRow="0" w:firstColumn="1" w:lastColumn="0" w:noHBand="0" w:noVBand="1"/>
      </w:tblPr>
      <w:tblGrid>
        <w:gridCol w:w="4517"/>
        <w:gridCol w:w="4509"/>
      </w:tblGrid>
      <w:tr w:rsidR="002123DF" w:rsidRPr="00F65EA3" w14:paraId="061097F0" w14:textId="77777777" w:rsidTr="00A13186">
        <w:tc>
          <w:tcPr>
            <w:tcW w:w="4530" w:type="dxa"/>
            <w:hideMark/>
          </w:tcPr>
          <w:p w14:paraId="6A0A7197" w14:textId="77777777" w:rsidR="002123DF" w:rsidRPr="00F65EA3" w:rsidRDefault="002123DF" w:rsidP="00A13186">
            <w:pPr>
              <w:jc w:val="both"/>
              <w:rPr>
                <w:b/>
                <w:sz w:val="22"/>
                <w:szCs w:val="21"/>
                <w:lang w:eastAsia="en-AU"/>
              </w:rPr>
            </w:pPr>
            <w:r w:rsidRPr="00F65EA3">
              <w:rPr>
                <w:b/>
                <w:sz w:val="22"/>
                <w:szCs w:val="21"/>
              </w:rPr>
              <w:t>Maurice Blackburn</w:t>
            </w:r>
          </w:p>
        </w:tc>
        <w:tc>
          <w:tcPr>
            <w:tcW w:w="4530" w:type="dxa"/>
            <w:hideMark/>
          </w:tcPr>
          <w:p w14:paraId="2DB4A452" w14:textId="77777777" w:rsidR="002123DF" w:rsidRPr="00F65EA3" w:rsidRDefault="002123DF" w:rsidP="00A13186">
            <w:pPr>
              <w:jc w:val="both"/>
              <w:rPr>
                <w:b/>
                <w:sz w:val="22"/>
                <w:szCs w:val="21"/>
              </w:rPr>
            </w:pPr>
            <w:r w:rsidRPr="00F65EA3">
              <w:rPr>
                <w:b/>
                <w:sz w:val="22"/>
                <w:szCs w:val="21"/>
              </w:rPr>
              <w:t xml:space="preserve">Bannister Law </w:t>
            </w:r>
          </w:p>
        </w:tc>
      </w:tr>
      <w:tr w:rsidR="002123DF" w:rsidRPr="00F65EA3" w14:paraId="769113F9" w14:textId="77777777" w:rsidTr="00A13186">
        <w:tc>
          <w:tcPr>
            <w:tcW w:w="4530" w:type="dxa"/>
            <w:hideMark/>
          </w:tcPr>
          <w:p w14:paraId="45A183DD" w14:textId="77777777" w:rsidR="002123DF" w:rsidRPr="00F65EA3" w:rsidRDefault="003D715F" w:rsidP="00A13186">
            <w:pPr>
              <w:jc w:val="both"/>
              <w:rPr>
                <w:sz w:val="22"/>
                <w:szCs w:val="21"/>
              </w:rPr>
            </w:pPr>
            <w:hyperlink r:id="rId23" w:history="1">
              <w:r w:rsidR="002123DF" w:rsidRPr="00F65EA3">
                <w:rPr>
                  <w:rStyle w:val="Hyperlink"/>
                  <w:sz w:val="22"/>
                  <w:szCs w:val="21"/>
                </w:rPr>
                <w:t>https://www.mauriceblackburn.com.au</w:t>
              </w:r>
            </w:hyperlink>
          </w:p>
        </w:tc>
        <w:tc>
          <w:tcPr>
            <w:tcW w:w="4530" w:type="dxa"/>
            <w:hideMark/>
          </w:tcPr>
          <w:p w14:paraId="604C9F88" w14:textId="77777777" w:rsidR="002123DF" w:rsidRPr="00F65EA3" w:rsidRDefault="003D715F" w:rsidP="00A13186">
            <w:pPr>
              <w:jc w:val="both"/>
              <w:rPr>
                <w:sz w:val="22"/>
                <w:szCs w:val="21"/>
              </w:rPr>
            </w:pPr>
            <w:hyperlink r:id="rId24" w:history="1">
              <w:r w:rsidR="002123DF" w:rsidRPr="00F65EA3">
                <w:rPr>
                  <w:rStyle w:val="Hyperlink"/>
                  <w:sz w:val="22"/>
                  <w:szCs w:val="21"/>
                </w:rPr>
                <w:t>http://bannisterlaw.com.au</w:t>
              </w:r>
            </w:hyperlink>
            <w:r w:rsidR="002123DF" w:rsidRPr="00F65EA3">
              <w:rPr>
                <w:sz w:val="22"/>
                <w:szCs w:val="21"/>
              </w:rPr>
              <w:t xml:space="preserve"> </w:t>
            </w:r>
          </w:p>
        </w:tc>
      </w:tr>
      <w:tr w:rsidR="002123DF" w:rsidRPr="00F65EA3" w14:paraId="2C0345A2" w14:textId="77777777" w:rsidTr="00A13186">
        <w:tc>
          <w:tcPr>
            <w:tcW w:w="4530" w:type="dxa"/>
            <w:hideMark/>
          </w:tcPr>
          <w:p w14:paraId="36B8230E" w14:textId="77777777" w:rsidR="002123DF" w:rsidRPr="00F65EA3" w:rsidRDefault="002123DF" w:rsidP="00A13186">
            <w:pPr>
              <w:jc w:val="both"/>
              <w:rPr>
                <w:b/>
                <w:sz w:val="22"/>
                <w:szCs w:val="21"/>
              </w:rPr>
            </w:pPr>
            <w:r w:rsidRPr="00F65EA3">
              <w:rPr>
                <w:rFonts w:cs="Arial"/>
                <w:b/>
                <w:sz w:val="22"/>
                <w:szCs w:val="21"/>
              </w:rPr>
              <w:t>Phone: 1800 810 812</w:t>
            </w:r>
          </w:p>
        </w:tc>
        <w:tc>
          <w:tcPr>
            <w:tcW w:w="4530" w:type="dxa"/>
            <w:hideMark/>
          </w:tcPr>
          <w:p w14:paraId="5125A3A1" w14:textId="77777777" w:rsidR="002123DF" w:rsidRPr="00F65EA3" w:rsidRDefault="002123DF" w:rsidP="00A13186">
            <w:pPr>
              <w:rPr>
                <w:rFonts w:ascii="Calibri" w:hAnsi="Calibri"/>
                <w:b/>
                <w:bCs/>
                <w:sz w:val="28"/>
                <w:szCs w:val="22"/>
              </w:rPr>
            </w:pPr>
            <w:r w:rsidRPr="00F65EA3">
              <w:rPr>
                <w:b/>
                <w:sz w:val="22"/>
                <w:szCs w:val="21"/>
              </w:rPr>
              <w:t xml:space="preserve">Phone: </w:t>
            </w:r>
            <w:r w:rsidRPr="00DD6DFC">
              <w:rPr>
                <w:rFonts w:cs="Arial"/>
                <w:b/>
                <w:sz w:val="22"/>
                <w:szCs w:val="21"/>
              </w:rPr>
              <w:t>1300 728 760</w:t>
            </w:r>
          </w:p>
        </w:tc>
      </w:tr>
      <w:tr w:rsidR="002123DF" w:rsidRPr="00C107D0" w14:paraId="46CBB931" w14:textId="77777777" w:rsidTr="00A13186">
        <w:tc>
          <w:tcPr>
            <w:tcW w:w="4530" w:type="dxa"/>
            <w:hideMark/>
          </w:tcPr>
          <w:p w14:paraId="14933225" w14:textId="77777777" w:rsidR="002123DF" w:rsidRPr="00F65EA3" w:rsidRDefault="002123DF" w:rsidP="00A13186">
            <w:pPr>
              <w:jc w:val="both"/>
              <w:rPr>
                <w:rFonts w:cs="Arial"/>
                <w:b/>
                <w:sz w:val="22"/>
                <w:szCs w:val="21"/>
              </w:rPr>
            </w:pPr>
            <w:r w:rsidRPr="00F65EA3">
              <w:rPr>
                <w:rFonts w:cs="Arial"/>
                <w:b/>
                <w:sz w:val="22"/>
                <w:szCs w:val="21"/>
              </w:rPr>
              <w:t xml:space="preserve">Email: </w:t>
            </w:r>
            <w:hyperlink r:id="rId25" w:history="1">
              <w:r w:rsidRPr="00F65EA3">
                <w:rPr>
                  <w:rStyle w:val="Hyperlink"/>
                  <w:sz w:val="22"/>
                  <w:szCs w:val="21"/>
                </w:rPr>
                <w:t>vw@mauriceblackburn.com.au</w:t>
              </w:r>
            </w:hyperlink>
            <w:r w:rsidRPr="00F65EA3">
              <w:rPr>
                <w:rFonts w:cs="Arial"/>
                <w:b/>
                <w:sz w:val="22"/>
                <w:szCs w:val="21"/>
              </w:rPr>
              <w:t xml:space="preserve"> </w:t>
            </w:r>
          </w:p>
        </w:tc>
        <w:tc>
          <w:tcPr>
            <w:tcW w:w="4530" w:type="dxa"/>
            <w:hideMark/>
          </w:tcPr>
          <w:p w14:paraId="6DF76432" w14:textId="77777777" w:rsidR="002123DF" w:rsidRPr="00C107D0" w:rsidRDefault="002123DF" w:rsidP="00A13186">
            <w:pPr>
              <w:jc w:val="both"/>
              <w:rPr>
                <w:sz w:val="22"/>
                <w:szCs w:val="21"/>
              </w:rPr>
            </w:pPr>
            <w:r w:rsidRPr="00F65EA3">
              <w:rPr>
                <w:b/>
                <w:sz w:val="22"/>
                <w:szCs w:val="21"/>
              </w:rPr>
              <w:t>Email:</w:t>
            </w:r>
            <w:r w:rsidRPr="00F65EA3">
              <w:rPr>
                <w:sz w:val="22"/>
                <w:szCs w:val="21"/>
              </w:rPr>
              <w:t xml:space="preserve"> </w:t>
            </w:r>
            <w:hyperlink r:id="rId26" w:history="1">
              <w:r w:rsidRPr="00F65EA3">
                <w:rPr>
                  <w:rStyle w:val="Hyperlink"/>
                  <w:sz w:val="22"/>
                  <w:szCs w:val="21"/>
                </w:rPr>
                <w:t>vwclients@bannisterlaw.com.au</w:t>
              </w:r>
            </w:hyperlink>
          </w:p>
        </w:tc>
      </w:tr>
    </w:tbl>
    <w:p w14:paraId="108C5D5A" w14:textId="77777777" w:rsidR="002123DF" w:rsidRDefault="002123DF" w:rsidP="002123DF">
      <w:pPr>
        <w:rPr>
          <w:spacing w:val="-3"/>
        </w:rPr>
      </w:pPr>
    </w:p>
    <w:sectPr w:rsidR="002123DF" w:rsidSect="00C107D0">
      <w:headerReference w:type="default" r:id="rId27"/>
      <w:footerReference w:type="default" r:id="rId28"/>
      <w:footerReference w:type="first" r:id="rId29"/>
      <w:pgSz w:w="11906" w:h="16838"/>
      <w:pgMar w:top="1702" w:right="1440" w:bottom="1440" w:left="1440" w:header="720" w:footer="72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F5A6F" w14:textId="77777777" w:rsidR="003D715F" w:rsidRDefault="003D715F">
      <w:r>
        <w:separator/>
      </w:r>
    </w:p>
  </w:endnote>
  <w:endnote w:type="continuationSeparator" w:id="0">
    <w:p w14:paraId="4E15DC21" w14:textId="77777777" w:rsidR="003D715F" w:rsidRDefault="003D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D13" w14:textId="17C8A047" w:rsidR="00C46572" w:rsidRDefault="008C33A5" w:rsidP="003F71C3">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w:t>
    </w:r>
    <w:r w:rsidR="0044060D">
      <w:rPr>
        <w:rFonts w:ascii="Times New Roman" w:hAnsi="Times New Roman"/>
        <w:szCs w:val="16"/>
        <w:lang w:val="en-AU"/>
      </w:rPr>
      <w:t xml:space="preserve">repared in the </w:t>
    </w:r>
    <w:sdt>
      <w:sdtPr>
        <w:rPr>
          <w:rFonts w:ascii="Times New Roman" w:hAnsi="Times New Roman"/>
          <w:szCs w:val="16"/>
          <w:lang w:val="en-AU"/>
        </w:rPr>
        <w:tag w:val="cl_ftdistrictregistry"/>
        <w:id w:val="-6982097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9A04977" w14:textId="13E0299E" w:rsidR="0054518F" w:rsidRPr="003F71C3" w:rsidRDefault="003D715F" w:rsidP="003F71C3">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registryaddress"/>
        <w:id w:val="162755802"/>
        <w:showingPlcHdr/>
      </w:sdtPr>
      <w:sdtEndPr/>
      <w:sdtContent>
        <w:r w:rsidR="00A075E8">
          <w:rPr>
            <w:rFonts w:ascii="Times New Roman" w:hAnsi="Times New Roman"/>
            <w:lang w:val="en-AU"/>
          </w:rPr>
          <w:t>Level 17,  Law Courts Building, Queens Square</w:t>
        </w:r>
      </w:sdtContent>
    </w:sdt>
    <w:r w:rsidR="008C33A5" w:rsidRPr="00F611C7">
      <w:rPr>
        <w:rFonts w:ascii="Times New Roman" w:hAnsi="Times New Roman"/>
        <w:szCs w:val="16"/>
        <w:lang w:val="en-AU"/>
      </w:rPr>
      <w:t xml:space="preserve">, Telephone </w:t>
    </w:r>
    <w:sdt>
      <w:sdtPr>
        <w:rPr>
          <w:rFonts w:ascii="Times New Roman" w:hAnsi="Times New Roman"/>
          <w:szCs w:val="16"/>
          <w:lang w:val="en-AU"/>
        </w:rPr>
        <w:tag w:val="cl_ftregistryphone"/>
        <w:id w:val="-2133240388"/>
        <w:showingPlcHdr/>
      </w:sdtPr>
      <w:sdtEndPr/>
      <w:sdtContent>
        <w:r w:rsidR="00A075E8">
          <w:rPr>
            <w:rFonts w:ascii="Times New Roman" w:hAnsi="Times New Roman"/>
            <w:lang w:val="en-AU"/>
          </w:rPr>
          <w:t>02 9230 8567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8F91" w14:textId="4D3E4A1E" w:rsidR="00C46572" w:rsidRDefault="00E975F9" w:rsidP="00E975F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1534643646"/>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B7B794D" w14:textId="69AE2FB9" w:rsidR="00F611C7" w:rsidRPr="00E975F9" w:rsidRDefault="003D715F" w:rsidP="00E975F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583330882"/>
        <w:showingPlcHdr/>
      </w:sdtPr>
      <w:sdtEndPr/>
      <w:sdtContent>
        <w:r w:rsidR="00A075E8">
          <w:rPr>
            <w:rFonts w:ascii="Times New Roman" w:hAnsi="Times New Roman"/>
            <w:lang w:val="en-AU"/>
          </w:rPr>
          <w:t>Level 17,  Law Courts Building, Queens Square</w:t>
        </w:r>
      </w:sdtContent>
    </w:sdt>
    <w:r w:rsidR="00E975F9"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1402566437"/>
        <w:showingPlcHdr/>
      </w:sdtPr>
      <w:sdtEndPr/>
      <w:sdtContent>
        <w:r w:rsidR="00A075E8">
          <w:rPr>
            <w:rFonts w:ascii="Times New Roman" w:hAnsi="Times New Roman"/>
            <w:lang w:val="en-AU"/>
          </w:rPr>
          <w:t>02 9230 8567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6C312" w14:textId="77777777" w:rsidR="003D715F" w:rsidRDefault="003D715F">
      <w:r>
        <w:separator/>
      </w:r>
    </w:p>
  </w:footnote>
  <w:footnote w:type="continuationSeparator" w:id="0">
    <w:p w14:paraId="38BCDFC4" w14:textId="77777777" w:rsidR="003D715F" w:rsidRDefault="003D715F">
      <w:r>
        <w:continuationSeparator/>
      </w:r>
    </w:p>
  </w:footnote>
  <w:footnote w:id="1">
    <w:p w14:paraId="73E60349" w14:textId="77777777" w:rsidR="002123DF" w:rsidRPr="001618AD" w:rsidRDefault="002123DF" w:rsidP="002123DF">
      <w:pPr>
        <w:pStyle w:val="FootnoteText"/>
        <w:rPr>
          <w:rFonts w:ascii="Times New Roman" w:hAnsi="Times New Roman"/>
          <w:sz w:val="20"/>
        </w:rPr>
      </w:pPr>
      <w:r>
        <w:rPr>
          <w:rStyle w:val="FootnoteReference"/>
        </w:rPr>
        <w:footnoteRef/>
      </w:r>
      <w:r>
        <w:t xml:space="preserve"> </w:t>
      </w:r>
      <w:r w:rsidRPr="001618AD">
        <w:rPr>
          <w:rFonts w:ascii="Times New Roman" w:hAnsi="Times New Roman"/>
          <w:sz w:val="20"/>
        </w:rPr>
        <w:t>Figures are in Australian Dollars (AUD)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AF42" w14:textId="7ABC7276" w:rsidR="00C368DC" w:rsidRDefault="00C368DC" w:rsidP="00C368DC">
    <w:pPr>
      <w:pStyle w:val="Header"/>
      <w:jc w:val="center"/>
    </w:pPr>
    <w:r>
      <w:t xml:space="preserve">- </w:t>
    </w:r>
    <w:sdt>
      <w:sdtPr>
        <w:id w:val="1301344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16E70">
          <w:rPr>
            <w:noProof/>
          </w:rPr>
          <w:t>- 12 -</w:t>
        </w:r>
        <w:r>
          <w:rPr>
            <w:noProof/>
          </w:rPr>
          <w:fldChar w:fldCharType="end"/>
        </w:r>
      </w:sdtContent>
    </w:sdt>
    <w:r>
      <w:rPr>
        <w:noProof/>
      </w:rPr>
      <w:t xml:space="preserve"> -</w:t>
    </w:r>
  </w:p>
  <w:p w14:paraId="58622AD4" w14:textId="77777777" w:rsidR="003D5CA3" w:rsidRPr="00C368DC" w:rsidRDefault="003D5CA3" w:rsidP="00C3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E41"/>
    <w:multiLevelType w:val="hybridMultilevel"/>
    <w:tmpl w:val="EF32D0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3B298E"/>
    <w:multiLevelType w:val="multilevel"/>
    <w:tmpl w:val="A8740A0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ascii="Times New Roman" w:eastAsia="Times New Roman" w:hAnsi="Times New Roman" w:cs="Times New Roman"/>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15CE24E2"/>
    <w:multiLevelType w:val="hybridMultilevel"/>
    <w:tmpl w:val="EF32D0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8E531FF"/>
    <w:multiLevelType w:val="hybridMultilevel"/>
    <w:tmpl w:val="EF32D0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2C7A"/>
    <w:multiLevelType w:val="multilevel"/>
    <w:tmpl w:val="8FFC4C46"/>
    <w:lvl w:ilvl="0">
      <w:start w:val="1"/>
      <w:numFmt w:val="decimal"/>
      <w:pStyle w:val="MBC1"/>
      <w:lvlText w:val="%1."/>
      <w:lvlJc w:val="left"/>
      <w:pPr>
        <w:tabs>
          <w:tab w:val="num" w:pos="850"/>
        </w:tabs>
        <w:ind w:left="850" w:hanging="850"/>
      </w:pPr>
      <w:rPr>
        <w:b w:val="0"/>
      </w:rPr>
    </w:lvl>
    <w:lvl w:ilvl="1">
      <w:start w:val="1"/>
      <w:numFmt w:val="decimal"/>
      <w:pStyle w:val="MBC2"/>
      <w:lvlText w:val="%1.%2"/>
      <w:lvlJc w:val="left"/>
      <w:pPr>
        <w:tabs>
          <w:tab w:val="num" w:pos="850"/>
        </w:tabs>
        <w:ind w:left="850" w:hanging="850"/>
      </w:pPr>
    </w:lvl>
    <w:lvl w:ilvl="2">
      <w:start w:val="1"/>
      <w:numFmt w:val="lowerLetter"/>
      <w:pStyle w:val="MBC3"/>
      <w:lvlText w:val="(%3)"/>
      <w:lvlJc w:val="left"/>
      <w:pPr>
        <w:tabs>
          <w:tab w:val="num" w:pos="1417"/>
        </w:tabs>
        <w:ind w:left="1417" w:hanging="567"/>
      </w:pPr>
    </w:lvl>
    <w:lvl w:ilvl="3">
      <w:start w:val="1"/>
      <w:numFmt w:val="lowerRoman"/>
      <w:lvlText w:val="(%4)"/>
      <w:lvlJc w:val="right"/>
      <w:pPr>
        <w:tabs>
          <w:tab w:val="num" w:pos="1984"/>
        </w:tabs>
        <w:ind w:left="1984" w:hanging="567"/>
      </w:pPr>
    </w:lvl>
    <w:lvl w:ilvl="4">
      <w:start w:val="1"/>
      <w:numFmt w:val="upperLetter"/>
      <w:pStyle w:val="MBC5"/>
      <w:lvlText w:val="%5."/>
      <w:lvlJc w:val="left"/>
      <w:pPr>
        <w:tabs>
          <w:tab w:val="num" w:pos="2551"/>
        </w:tabs>
        <w:ind w:left="2551" w:hanging="567"/>
      </w:pPr>
    </w:lvl>
    <w:lvl w:ilvl="5">
      <w:start w:val="1"/>
      <w:numFmt w:val="none"/>
      <w:pStyle w:val="MBC6"/>
      <w:suff w:val="nothing"/>
      <w:lvlText w:val=""/>
      <w:lvlJc w:val="left"/>
      <w:pPr>
        <w:ind w:left="850" w:firstLine="0"/>
      </w:pPr>
    </w:lvl>
    <w:lvl w:ilvl="6">
      <w:start w:val="1"/>
      <w:numFmt w:val="none"/>
      <w:pStyle w:val="MBC7"/>
      <w:suff w:val="nothing"/>
      <w:lvlText w:val="%7"/>
      <w:lvlJc w:val="left"/>
      <w:pPr>
        <w:ind w:left="1701" w:firstLine="0"/>
      </w:pPr>
    </w:lvl>
    <w:lvl w:ilvl="7">
      <w:start w:val="1"/>
      <w:numFmt w:val="none"/>
      <w:pStyle w:val="MBC8"/>
      <w:suff w:val="nothing"/>
      <w:lvlText w:val=""/>
      <w:lvlJc w:val="left"/>
      <w:pPr>
        <w:ind w:left="2268" w:firstLine="0"/>
      </w:pPr>
    </w:lvl>
    <w:lvl w:ilvl="8">
      <w:start w:val="1"/>
      <w:numFmt w:val="lowerRoman"/>
      <w:lvlText w:val="(%9)"/>
      <w:lvlJc w:val="left"/>
      <w:pPr>
        <w:tabs>
          <w:tab w:val="num" w:pos="2126"/>
        </w:tabs>
        <w:ind w:left="2126" w:hanging="709"/>
      </w:pPr>
    </w:lvl>
  </w:abstractNum>
  <w:abstractNum w:abstractNumId="7" w15:restartNumberingAfterBreak="0">
    <w:nsid w:val="3A4E717A"/>
    <w:multiLevelType w:val="hybridMultilevel"/>
    <w:tmpl w:val="6A72F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C"/>
    <w:rsid w:val="00000DFE"/>
    <w:rsid w:val="00015624"/>
    <w:rsid w:val="00015737"/>
    <w:rsid w:val="000313EF"/>
    <w:rsid w:val="00031844"/>
    <w:rsid w:val="00035F13"/>
    <w:rsid w:val="00046820"/>
    <w:rsid w:val="00054ACE"/>
    <w:rsid w:val="000550D8"/>
    <w:rsid w:val="000667C5"/>
    <w:rsid w:val="00076B43"/>
    <w:rsid w:val="00087992"/>
    <w:rsid w:val="000A0B51"/>
    <w:rsid w:val="000C6040"/>
    <w:rsid w:val="000D28CE"/>
    <w:rsid w:val="000E0DD6"/>
    <w:rsid w:val="000E78A4"/>
    <w:rsid w:val="000F1EDA"/>
    <w:rsid w:val="00114D7C"/>
    <w:rsid w:val="00117992"/>
    <w:rsid w:val="0012009E"/>
    <w:rsid w:val="00130B10"/>
    <w:rsid w:val="0014090B"/>
    <w:rsid w:val="00150FD5"/>
    <w:rsid w:val="001828AC"/>
    <w:rsid w:val="00193033"/>
    <w:rsid w:val="001A03A3"/>
    <w:rsid w:val="001A5CD6"/>
    <w:rsid w:val="001D33E5"/>
    <w:rsid w:val="002105EA"/>
    <w:rsid w:val="00210BB3"/>
    <w:rsid w:val="002117D5"/>
    <w:rsid w:val="002123DF"/>
    <w:rsid w:val="00221099"/>
    <w:rsid w:val="002248A7"/>
    <w:rsid w:val="00234BAE"/>
    <w:rsid w:val="00235930"/>
    <w:rsid w:val="00244672"/>
    <w:rsid w:val="0024758E"/>
    <w:rsid w:val="002527EC"/>
    <w:rsid w:val="0025376E"/>
    <w:rsid w:val="00257717"/>
    <w:rsid w:val="00262101"/>
    <w:rsid w:val="002706AA"/>
    <w:rsid w:val="00276A82"/>
    <w:rsid w:val="0027756C"/>
    <w:rsid w:val="0028259E"/>
    <w:rsid w:val="002A32B9"/>
    <w:rsid w:val="002A33C8"/>
    <w:rsid w:val="002A57E2"/>
    <w:rsid w:val="002B2A81"/>
    <w:rsid w:val="002D2FD8"/>
    <w:rsid w:val="002E7321"/>
    <w:rsid w:val="003054AA"/>
    <w:rsid w:val="00326633"/>
    <w:rsid w:val="003313E7"/>
    <w:rsid w:val="00331C61"/>
    <w:rsid w:val="00350968"/>
    <w:rsid w:val="003600BF"/>
    <w:rsid w:val="00386CDA"/>
    <w:rsid w:val="003876B9"/>
    <w:rsid w:val="00390493"/>
    <w:rsid w:val="00396DA6"/>
    <w:rsid w:val="003A7FAD"/>
    <w:rsid w:val="003B0D52"/>
    <w:rsid w:val="003B14D7"/>
    <w:rsid w:val="003D5CA3"/>
    <w:rsid w:val="003D6C52"/>
    <w:rsid w:val="003D715F"/>
    <w:rsid w:val="003E64E6"/>
    <w:rsid w:val="003F71C3"/>
    <w:rsid w:val="00416E70"/>
    <w:rsid w:val="0042175A"/>
    <w:rsid w:val="0044060D"/>
    <w:rsid w:val="00445F49"/>
    <w:rsid w:val="004522A4"/>
    <w:rsid w:val="00454AF3"/>
    <w:rsid w:val="0047072A"/>
    <w:rsid w:val="00471B68"/>
    <w:rsid w:val="0047378C"/>
    <w:rsid w:val="004A450E"/>
    <w:rsid w:val="004A4824"/>
    <w:rsid w:val="004C2B76"/>
    <w:rsid w:val="004C5EF8"/>
    <w:rsid w:val="004D4F6E"/>
    <w:rsid w:val="004F252E"/>
    <w:rsid w:val="004F2D85"/>
    <w:rsid w:val="004F5D4C"/>
    <w:rsid w:val="004F6A54"/>
    <w:rsid w:val="00510D03"/>
    <w:rsid w:val="005148DB"/>
    <w:rsid w:val="0052319E"/>
    <w:rsid w:val="0054518F"/>
    <w:rsid w:val="00562FCA"/>
    <w:rsid w:val="00576BCA"/>
    <w:rsid w:val="005811EB"/>
    <w:rsid w:val="005B2C72"/>
    <w:rsid w:val="005C3E0E"/>
    <w:rsid w:val="005D6564"/>
    <w:rsid w:val="005E63EF"/>
    <w:rsid w:val="005F67B8"/>
    <w:rsid w:val="005F68E3"/>
    <w:rsid w:val="006077F7"/>
    <w:rsid w:val="00621146"/>
    <w:rsid w:val="00621319"/>
    <w:rsid w:val="006264C2"/>
    <w:rsid w:val="006337F1"/>
    <w:rsid w:val="006368EE"/>
    <w:rsid w:val="00644492"/>
    <w:rsid w:val="0065221C"/>
    <w:rsid w:val="0065432A"/>
    <w:rsid w:val="00655485"/>
    <w:rsid w:val="006632E9"/>
    <w:rsid w:val="0067536A"/>
    <w:rsid w:val="00675787"/>
    <w:rsid w:val="00682948"/>
    <w:rsid w:val="0069283D"/>
    <w:rsid w:val="006A37F3"/>
    <w:rsid w:val="006A636E"/>
    <w:rsid w:val="006B3882"/>
    <w:rsid w:val="006B47ED"/>
    <w:rsid w:val="006D46FD"/>
    <w:rsid w:val="006E2C5C"/>
    <w:rsid w:val="006E2D15"/>
    <w:rsid w:val="006F5E65"/>
    <w:rsid w:val="00701B64"/>
    <w:rsid w:val="00703824"/>
    <w:rsid w:val="007265CB"/>
    <w:rsid w:val="00747162"/>
    <w:rsid w:val="007650D0"/>
    <w:rsid w:val="00766558"/>
    <w:rsid w:val="0077394F"/>
    <w:rsid w:val="007924F5"/>
    <w:rsid w:val="0079481F"/>
    <w:rsid w:val="00796F14"/>
    <w:rsid w:val="007A09E6"/>
    <w:rsid w:val="007B0FB1"/>
    <w:rsid w:val="007B47BF"/>
    <w:rsid w:val="007B6F81"/>
    <w:rsid w:val="007D42F5"/>
    <w:rsid w:val="007D7C8E"/>
    <w:rsid w:val="007E422B"/>
    <w:rsid w:val="007E4837"/>
    <w:rsid w:val="007F3EE3"/>
    <w:rsid w:val="00810A75"/>
    <w:rsid w:val="00831FE2"/>
    <w:rsid w:val="00834C91"/>
    <w:rsid w:val="0084746C"/>
    <w:rsid w:val="008477D9"/>
    <w:rsid w:val="008656F5"/>
    <w:rsid w:val="0089292A"/>
    <w:rsid w:val="008945DC"/>
    <w:rsid w:val="008B537C"/>
    <w:rsid w:val="008C33A5"/>
    <w:rsid w:val="008E301F"/>
    <w:rsid w:val="008F026B"/>
    <w:rsid w:val="008F75AF"/>
    <w:rsid w:val="0091067D"/>
    <w:rsid w:val="00927547"/>
    <w:rsid w:val="0095419D"/>
    <w:rsid w:val="00963311"/>
    <w:rsid w:val="009979FF"/>
    <w:rsid w:val="009A0B40"/>
    <w:rsid w:val="009A13ED"/>
    <w:rsid w:val="009D62D6"/>
    <w:rsid w:val="009E4F84"/>
    <w:rsid w:val="00A04486"/>
    <w:rsid w:val="00A075E8"/>
    <w:rsid w:val="00A143E4"/>
    <w:rsid w:val="00A32A2E"/>
    <w:rsid w:val="00A37EE6"/>
    <w:rsid w:val="00A473A4"/>
    <w:rsid w:val="00A73198"/>
    <w:rsid w:val="00A73D41"/>
    <w:rsid w:val="00A7602E"/>
    <w:rsid w:val="00A76BD7"/>
    <w:rsid w:val="00A91B90"/>
    <w:rsid w:val="00A91C29"/>
    <w:rsid w:val="00AE007A"/>
    <w:rsid w:val="00AF6A6F"/>
    <w:rsid w:val="00B059F5"/>
    <w:rsid w:val="00B100AC"/>
    <w:rsid w:val="00B45852"/>
    <w:rsid w:val="00B5217C"/>
    <w:rsid w:val="00B5225C"/>
    <w:rsid w:val="00B615A9"/>
    <w:rsid w:val="00B61AFA"/>
    <w:rsid w:val="00B82818"/>
    <w:rsid w:val="00B870C6"/>
    <w:rsid w:val="00BA7F6F"/>
    <w:rsid w:val="00BB7185"/>
    <w:rsid w:val="00BF4ACE"/>
    <w:rsid w:val="00C13E92"/>
    <w:rsid w:val="00C20E50"/>
    <w:rsid w:val="00C24298"/>
    <w:rsid w:val="00C27A0B"/>
    <w:rsid w:val="00C31B08"/>
    <w:rsid w:val="00C344AC"/>
    <w:rsid w:val="00C368DC"/>
    <w:rsid w:val="00C4066B"/>
    <w:rsid w:val="00C46572"/>
    <w:rsid w:val="00C64427"/>
    <w:rsid w:val="00C74591"/>
    <w:rsid w:val="00C75D4E"/>
    <w:rsid w:val="00C803D8"/>
    <w:rsid w:val="00C863FF"/>
    <w:rsid w:val="00C9483C"/>
    <w:rsid w:val="00CC323C"/>
    <w:rsid w:val="00CC4ACC"/>
    <w:rsid w:val="00CD35D5"/>
    <w:rsid w:val="00CD363C"/>
    <w:rsid w:val="00CF0591"/>
    <w:rsid w:val="00CF789F"/>
    <w:rsid w:val="00D05192"/>
    <w:rsid w:val="00D07EE2"/>
    <w:rsid w:val="00D11D4D"/>
    <w:rsid w:val="00D13B1C"/>
    <w:rsid w:val="00D147D4"/>
    <w:rsid w:val="00D212CC"/>
    <w:rsid w:val="00D36CDA"/>
    <w:rsid w:val="00D37039"/>
    <w:rsid w:val="00D51823"/>
    <w:rsid w:val="00D6598D"/>
    <w:rsid w:val="00D67431"/>
    <w:rsid w:val="00D70EF2"/>
    <w:rsid w:val="00D71C1E"/>
    <w:rsid w:val="00D72708"/>
    <w:rsid w:val="00D8045F"/>
    <w:rsid w:val="00D943A9"/>
    <w:rsid w:val="00D94B04"/>
    <w:rsid w:val="00DC673A"/>
    <w:rsid w:val="00DD3473"/>
    <w:rsid w:val="00DD6DFC"/>
    <w:rsid w:val="00DE6EDF"/>
    <w:rsid w:val="00DF23C1"/>
    <w:rsid w:val="00E030A3"/>
    <w:rsid w:val="00E12F9D"/>
    <w:rsid w:val="00E1363C"/>
    <w:rsid w:val="00E17B5D"/>
    <w:rsid w:val="00E2288F"/>
    <w:rsid w:val="00E23B49"/>
    <w:rsid w:val="00E42E0C"/>
    <w:rsid w:val="00E538FC"/>
    <w:rsid w:val="00E53C70"/>
    <w:rsid w:val="00E5576D"/>
    <w:rsid w:val="00E57E9B"/>
    <w:rsid w:val="00E675F3"/>
    <w:rsid w:val="00E7109D"/>
    <w:rsid w:val="00E95159"/>
    <w:rsid w:val="00E975F9"/>
    <w:rsid w:val="00EA58CB"/>
    <w:rsid w:val="00EA6087"/>
    <w:rsid w:val="00EB2203"/>
    <w:rsid w:val="00EB67E5"/>
    <w:rsid w:val="00EC4ABB"/>
    <w:rsid w:val="00EC57C5"/>
    <w:rsid w:val="00ED0EC2"/>
    <w:rsid w:val="00ED466B"/>
    <w:rsid w:val="00ED7EA4"/>
    <w:rsid w:val="00EE707E"/>
    <w:rsid w:val="00EF500E"/>
    <w:rsid w:val="00F35671"/>
    <w:rsid w:val="00F41E30"/>
    <w:rsid w:val="00F611C7"/>
    <w:rsid w:val="00F70BC6"/>
    <w:rsid w:val="00F777A7"/>
    <w:rsid w:val="00F90BFF"/>
    <w:rsid w:val="00F9708A"/>
    <w:rsid w:val="00FB09D6"/>
    <w:rsid w:val="00FB5A65"/>
    <w:rsid w:val="00FB6A83"/>
    <w:rsid w:val="00FE0886"/>
    <w:rsid w:val="00FE2028"/>
    <w:rsid w:val="00FE46F3"/>
    <w:rsid w:val="00FF2BBB"/>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0492D"/>
  <w15:docId w15:val="{B07C0D7D-FF95-48EB-B42A-4763E71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0"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7920"/>
      </w:tabs>
    </w:pPr>
    <w:rPr>
      <w:rFonts w:ascii="Book Antiqua" w:hAnsi="Book Antiqua"/>
      <w:sz w:val="16"/>
      <w:szCs w:val="20"/>
      <w:lang w:val="en-US"/>
    </w:rPr>
  </w:style>
  <w:style w:type="paragraph" w:styleId="BodyText">
    <w:name w:val="Body Text"/>
    <w:basedOn w:val="Normal"/>
    <w:autoRedefine/>
    <w:rsid w:val="00244672"/>
    <w:rPr>
      <w:noProof/>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D5CA3"/>
    <w:rPr>
      <w:sz w:val="24"/>
      <w:szCs w:val="24"/>
      <w:lang w:val="en-AU"/>
    </w:rPr>
  </w:style>
  <w:style w:type="paragraph" w:styleId="ListParagraph">
    <w:name w:val="List Paragraph"/>
    <w:basedOn w:val="Normal"/>
    <w:uiPriority w:val="34"/>
    <w:qFormat/>
    <w:rsid w:val="00117992"/>
    <w:pPr>
      <w:ind w:left="720"/>
      <w:contextualSpacing/>
    </w:pPr>
  </w:style>
  <w:style w:type="paragraph" w:styleId="FootnoteText">
    <w:name w:val="footnote text"/>
    <w:basedOn w:val="Normal"/>
    <w:link w:val="FootnoteTextChar"/>
    <w:uiPriority w:val="50"/>
    <w:rsid w:val="002123DF"/>
    <w:rPr>
      <w:rFonts w:ascii="Arial" w:hAnsi="Arial"/>
      <w:sz w:val="18"/>
      <w:szCs w:val="22"/>
      <w:lang w:eastAsia="en-AU"/>
    </w:rPr>
  </w:style>
  <w:style w:type="character" w:customStyle="1" w:styleId="FootnoteTextChar">
    <w:name w:val="Footnote Text Char"/>
    <w:basedOn w:val="DefaultParagraphFont"/>
    <w:link w:val="FootnoteText"/>
    <w:uiPriority w:val="50"/>
    <w:rsid w:val="002123DF"/>
    <w:rPr>
      <w:rFonts w:ascii="Arial" w:hAnsi="Arial"/>
      <w:sz w:val="18"/>
      <w:szCs w:val="22"/>
      <w:lang w:val="en-AU" w:eastAsia="en-AU"/>
    </w:rPr>
  </w:style>
  <w:style w:type="character" w:styleId="FootnoteReference">
    <w:name w:val="footnote reference"/>
    <w:uiPriority w:val="50"/>
    <w:rsid w:val="002123DF"/>
    <w:rPr>
      <w:vertAlign w:val="superscript"/>
    </w:rPr>
  </w:style>
  <w:style w:type="character" w:styleId="Hyperlink">
    <w:name w:val="Hyperlink"/>
    <w:unhideWhenUsed/>
    <w:rsid w:val="002123DF"/>
    <w:rPr>
      <w:color w:val="0000FF"/>
      <w:u w:val="single"/>
    </w:rPr>
  </w:style>
  <w:style w:type="paragraph" w:customStyle="1" w:styleId="MBC1">
    <w:name w:val="MBC1"/>
    <w:basedOn w:val="Normal"/>
    <w:uiPriority w:val="5"/>
    <w:qFormat/>
    <w:rsid w:val="002123DF"/>
    <w:pPr>
      <w:numPr>
        <w:numId w:val="4"/>
      </w:numPr>
      <w:spacing w:before="240"/>
    </w:pPr>
    <w:rPr>
      <w:rFonts w:ascii="Arial" w:hAnsi="Arial"/>
      <w:sz w:val="22"/>
      <w:szCs w:val="20"/>
    </w:rPr>
  </w:style>
  <w:style w:type="paragraph" w:customStyle="1" w:styleId="MBC2">
    <w:name w:val="MBC2"/>
    <w:basedOn w:val="Normal"/>
    <w:uiPriority w:val="5"/>
    <w:qFormat/>
    <w:rsid w:val="002123DF"/>
    <w:pPr>
      <w:numPr>
        <w:ilvl w:val="1"/>
        <w:numId w:val="4"/>
      </w:numPr>
      <w:spacing w:before="240"/>
    </w:pPr>
    <w:rPr>
      <w:rFonts w:ascii="Arial" w:hAnsi="Arial"/>
      <w:sz w:val="22"/>
      <w:szCs w:val="20"/>
    </w:rPr>
  </w:style>
  <w:style w:type="paragraph" w:customStyle="1" w:styleId="MBC3">
    <w:name w:val="MBC3"/>
    <w:basedOn w:val="Normal"/>
    <w:uiPriority w:val="5"/>
    <w:qFormat/>
    <w:rsid w:val="002123DF"/>
    <w:pPr>
      <w:numPr>
        <w:ilvl w:val="2"/>
        <w:numId w:val="4"/>
      </w:numPr>
      <w:spacing w:before="240"/>
      <w:outlineLvl w:val="2"/>
    </w:pPr>
    <w:rPr>
      <w:rFonts w:ascii="Arial" w:hAnsi="Arial"/>
      <w:sz w:val="22"/>
      <w:szCs w:val="20"/>
      <w:lang w:val="en-US"/>
    </w:rPr>
  </w:style>
  <w:style w:type="paragraph" w:customStyle="1" w:styleId="MBC5">
    <w:name w:val="MBC5"/>
    <w:basedOn w:val="Normal"/>
    <w:uiPriority w:val="5"/>
    <w:qFormat/>
    <w:rsid w:val="002123DF"/>
    <w:pPr>
      <w:numPr>
        <w:ilvl w:val="4"/>
        <w:numId w:val="4"/>
      </w:numPr>
      <w:spacing w:before="240"/>
    </w:pPr>
    <w:rPr>
      <w:rFonts w:ascii="Arial" w:hAnsi="Arial"/>
      <w:sz w:val="22"/>
    </w:rPr>
  </w:style>
  <w:style w:type="paragraph" w:customStyle="1" w:styleId="MBC6">
    <w:name w:val="MBC6"/>
    <w:basedOn w:val="Normal"/>
    <w:uiPriority w:val="60"/>
    <w:rsid w:val="002123DF"/>
    <w:pPr>
      <w:numPr>
        <w:ilvl w:val="5"/>
        <w:numId w:val="4"/>
      </w:numPr>
      <w:spacing w:before="200"/>
    </w:pPr>
    <w:rPr>
      <w:rFonts w:ascii="Arial" w:hAnsi="Arial"/>
      <w:sz w:val="22"/>
    </w:rPr>
  </w:style>
  <w:style w:type="paragraph" w:customStyle="1" w:styleId="MBC7">
    <w:name w:val="MBC7"/>
    <w:basedOn w:val="Normal"/>
    <w:uiPriority w:val="60"/>
    <w:rsid w:val="002123DF"/>
    <w:pPr>
      <w:numPr>
        <w:ilvl w:val="6"/>
        <w:numId w:val="4"/>
      </w:numPr>
      <w:spacing w:before="200"/>
    </w:pPr>
    <w:rPr>
      <w:rFonts w:ascii="Arial" w:hAnsi="Arial"/>
      <w:sz w:val="22"/>
    </w:rPr>
  </w:style>
  <w:style w:type="paragraph" w:customStyle="1" w:styleId="MBC8">
    <w:name w:val="MBC8"/>
    <w:basedOn w:val="Normal"/>
    <w:uiPriority w:val="60"/>
    <w:rsid w:val="002123DF"/>
    <w:pPr>
      <w:numPr>
        <w:ilvl w:val="7"/>
        <w:numId w:val="4"/>
      </w:numPr>
      <w:spacing w:before="20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wsettlement.com.au/objections" TargetMode="External"/><Relationship Id="rId18" Type="http://schemas.openxmlformats.org/officeDocument/2006/relationships/hyperlink" Target="mailto:vwfleets@mauriceblackburn.com.au" TargetMode="External"/><Relationship Id="rId26" Type="http://schemas.openxmlformats.org/officeDocument/2006/relationships/hyperlink" Target="mailto:vwclients@bannisterlaw.com.au" TargetMode="External"/><Relationship Id="rId3" Type="http://schemas.openxmlformats.org/officeDocument/2006/relationships/customXml" Target="../customXml/item3.xml"/><Relationship Id="rId21" Type="http://schemas.openxmlformats.org/officeDocument/2006/relationships/hyperlink" Target="http://www.vwsettlement.com.au" TargetMode="External"/><Relationship Id="rId7" Type="http://schemas.openxmlformats.org/officeDocument/2006/relationships/styles" Target="styles.xml"/><Relationship Id="rId12" Type="http://schemas.openxmlformats.org/officeDocument/2006/relationships/hyperlink" Target="http://www.vwsettlement.com.au" TargetMode="External"/><Relationship Id="rId17" Type="http://schemas.openxmlformats.org/officeDocument/2006/relationships/hyperlink" Target="http://www.vwsettlement.com.au" TargetMode="External"/><Relationship Id="rId25" Type="http://schemas.openxmlformats.org/officeDocument/2006/relationships/hyperlink" Target="mailto:vw@mauriceblackburn.com.au" TargetMode="External"/><Relationship Id="rId2" Type="http://schemas.openxmlformats.org/officeDocument/2006/relationships/customXml" Target="../customXml/item2.xml"/><Relationship Id="rId16" Type="http://schemas.openxmlformats.org/officeDocument/2006/relationships/hyperlink" Target="http://www.vwsettlement.com.au/objections" TargetMode="External"/><Relationship Id="rId20" Type="http://schemas.openxmlformats.org/officeDocument/2006/relationships/hyperlink" Target="http://www.vwsettlement.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annisterlaw.com.au/volkswagen-and-audi-class-action-settlement-heads-of-agreement/" TargetMode="External"/><Relationship Id="rId5" Type="http://schemas.openxmlformats.org/officeDocument/2006/relationships/customXml" Target="../customXml/item5.xml"/><Relationship Id="rId15" Type="http://schemas.openxmlformats.org/officeDocument/2006/relationships/hyperlink" Target="mailto:vwclients@bannisterlaw.com.au" TargetMode="External"/><Relationship Id="rId23" Type="http://schemas.openxmlformats.org/officeDocument/2006/relationships/hyperlink" Target="https://www.mauriceblackburn.com.au/class-actions/current-class-actions/volkswagen-class-action/"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vwsettlement.com.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w@mauriceblackburn.com.au" TargetMode="External"/><Relationship Id="rId22" Type="http://schemas.openxmlformats.org/officeDocument/2006/relationships/hyperlink" Target="http://www.vwsettlement.com.au/objection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FOSTER</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hidepreviousversions xmlns="85512599-8531-48e1-9b90-9215d01f2c32">true</hidepreviousversions>
    <listingrolid xmlns="85512599-8531-48e1-9b90-9215d01f2c32">428584/DOC110</listingrolid>
    <File_x0020_Number xmlns="85512599-8531-48e1-9b90-9215d01f2c32">NSD1307/2015</File_x0020_Number>
    <Date_x0020_Filed xmlns="85512599-8531-48e1-9b90-9215d01f2c32">2019-12-12T03:08:33+00:00</Date_x0020_Filed>
    <orderdivision xmlns="85512599-8531-48e1-9b90-9215d01f2c32">General</orderdivision>
    <showorderinccp xmlns="85512599-8531-48e1-9b90-9215d01f2c32">false</showorderinccp>
    <Listing_x0020_DateTime xmlns="85512599-8531-48e1-9b90-9215d01f2c32">2019-12-12T03:00:00+00:00</Listing_x0020_DateTime>
    <Document_x0020_Type xmlns="85512599-8531-48e1-9b90-9215d01f2c32">Order</Document_x0020_Type>
    <districtregistry xmlns="85512599-8531-48e1-9b90-9215d01f2c32">New South Wales</districtregistry>
    <Document_x0020_Title xmlns="85512599-8531-48e1-9b90-9215d01f2c32">Order_JUSTICEFOSTER</Document_x0020_Title>
    <registryphonenumber xmlns="85512599-8531-48e1-9b90-9215d01f2c32">02 9230 8567</registryphonenumber>
    <listinglocation xmlns="85512599-8531-48e1-9b90-9215d01f2c32">Sydney</listinglocation>
    <inspectingcoding xmlns="85512599-8531-48e1-9b90-9215d01f2c32">false</inspectingcoding>
    <outcomeid xmlns="85512599-8531-48e1-9b90-9215d01f2c32">D-ADJPH</outcomeid>
  </documentManagement>
</p:properties>
</file>

<file path=customXml/item3.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B97CF84F13EC27419FC531689D525846" ma:contentTypeVersion="17" ma:contentTypeDescription="Create a new document." ma:contentTypeScope="" ma:versionID="3df60a8689d4a7d21be14173090d29c0">
  <xsd:schema xmlns:xsd="http://www.w3.org/2001/XMLSchema" xmlns:xs="http://www.w3.org/2001/XMLSchema" xmlns:p="http://schemas.microsoft.com/office/2006/metadata/properties" xmlns:ns2="85512599-8531-48e1-9b90-9215d01f2c32" targetNamespace="http://schemas.microsoft.com/office/2006/metadata/properties" ma:root="true" ma:fieldsID="abf9e6f73cd212d3b12007a707226dae"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element ref="ns2:hideprevious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element name="hidepreviousversions" ma:index="28" nillable="true" ma:displayName="Hide Previous Versions" ma:default="1" ma:description="Hide Previous Versions of this order" ma:internalName="hidepreviousvers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2.xml><?xml version="1.0" encoding="utf-8"?>
<ds:datastoreItem xmlns:ds="http://schemas.openxmlformats.org/officeDocument/2006/customXml" ds:itemID="{775059FB-CAC5-49F2-9B40-38D6DAE3BBAF}">
  <ds:schemaRefs>
    <ds:schemaRef ds:uri="http://schemas.microsoft.com/office/2006/metadata/properties"/>
    <ds:schemaRef ds:uri="http://schemas.microsoft.com/office/infopath/2007/PartnerControls"/>
    <ds:schemaRef ds:uri="85512599-8531-48e1-9b90-9215d01f2c32"/>
  </ds:schemaRefs>
</ds:datastoreItem>
</file>

<file path=customXml/itemProps3.xml><?xml version="1.0" encoding="utf-8"?>
<ds:datastoreItem xmlns:ds="http://schemas.openxmlformats.org/officeDocument/2006/customXml" ds:itemID="{54F8A327-2B2A-492A-B8A3-18332A57D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5.xml><?xml version="1.0" encoding="utf-8"?>
<ds:datastoreItem xmlns:ds="http://schemas.openxmlformats.org/officeDocument/2006/customXml" ds:itemID="{053E626F-FBD8-4D01-A73F-BF329D9B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Order_JUSTICEFOSTER_DOC110</vt:lpstr>
    </vt:vector>
  </TitlesOfParts>
  <Company>Federal Court of Australia</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Order_JUSTICEFOSTER_DOC110</dc:title>
  <dc:creator>Contoso Administrator</dc:creator>
  <cp:lastModifiedBy>Megan Carey</cp:lastModifiedBy>
  <cp:revision>2</cp:revision>
  <cp:lastPrinted>2009-08-20T04:48:00Z</cp:lastPrinted>
  <dcterms:created xsi:type="dcterms:W3CDTF">2019-12-12T04:00:00Z</dcterms:created>
  <dcterms:modified xsi:type="dcterms:W3CDTF">2019-12-12T04:00:00Z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0x0101002660ECA7A2BC9E48BEC14588AF8062EE00B97CF84F13EC27419FC531689D525846</vt:lpwstr>
  </property>
  <property fmtid="{D5CDD505-2E9C-101B-9397-08002B2CF9AE}" pid="11" name="isformultiplejudges">
    <vt:bool>false</vt:bool>
  </property>
</Properties>
</file>