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r w:rsidRPr="00503E88">
        <w:rPr>
          <w:szCs w:val="22"/>
        </w:rPr>
        <w:t xml:space="preserve">Form </w:t>
      </w:r>
      <w:r w:rsidR="00D942D8">
        <w:rPr>
          <w:szCs w:val="22"/>
        </w:rPr>
        <w:t>CP</w:t>
      </w:r>
      <w:r w:rsidR="000762FF">
        <w:rPr>
          <w:szCs w:val="22"/>
        </w:rPr>
        <w:t>3</w:t>
      </w:r>
      <w:r w:rsidR="004925F7">
        <w:rPr>
          <w:szCs w:val="22"/>
        </w:rPr>
        <w:t>7</w:t>
      </w:r>
    </w:p>
    <w:p w:rsidR="000D7B69" w:rsidRDefault="007874B5" w:rsidP="000D7B69">
      <w:pPr>
        <w:rPr>
          <w:szCs w:val="22"/>
        </w:rPr>
      </w:pPr>
      <w:r>
        <w:rPr>
          <w:szCs w:val="22"/>
        </w:rPr>
        <w:t xml:space="preserve">Federal Court (Criminal Proceedings) Rule </w:t>
      </w:r>
      <w:r w:rsidR="000762FF">
        <w:rPr>
          <w:szCs w:val="22"/>
        </w:rPr>
        <w:t>5.07</w:t>
      </w:r>
    </w:p>
    <w:p w:rsidR="003178F6" w:rsidRDefault="003178F6" w:rsidP="000D7B69">
      <w:pPr>
        <w:rPr>
          <w:szCs w:val="22"/>
        </w:rPr>
      </w:pPr>
      <w:r>
        <w:rPr>
          <w:szCs w:val="22"/>
        </w:rPr>
        <w:t xml:space="preserve">Federal Court of Australia Act 1976 section </w:t>
      </w:r>
      <w:proofErr w:type="gramStart"/>
      <w:r>
        <w:rPr>
          <w:szCs w:val="22"/>
        </w:rPr>
        <w:t>58FB</w:t>
      </w:r>
      <w:r w:rsidR="0095736D">
        <w:rPr>
          <w:szCs w:val="22"/>
        </w:rPr>
        <w:t>(</w:t>
      </w:r>
      <w:proofErr w:type="gramEnd"/>
      <w:r w:rsidR="0095736D">
        <w:rPr>
          <w:szCs w:val="22"/>
        </w:rPr>
        <w:t>3</w:t>
      </w:r>
      <w:r w:rsidR="004B31EB">
        <w:rPr>
          <w:szCs w:val="22"/>
        </w:rPr>
        <w:t>)</w:t>
      </w:r>
    </w:p>
    <w:p w:rsidR="00E35517" w:rsidRPr="00125102" w:rsidRDefault="00E35517" w:rsidP="000D7B69">
      <w:pPr>
        <w:rPr>
          <w:szCs w:val="22"/>
        </w:rPr>
      </w:pPr>
    </w:p>
    <w:p w:rsidR="000D7B69" w:rsidRPr="000D7B69" w:rsidRDefault="00922DDF" w:rsidP="000D4A1D">
      <w:pPr>
        <w:pStyle w:val="FED1"/>
      </w:pPr>
      <w:r>
        <w:t>Notice of proposed forfeiture</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49112E" w:rsidRDefault="0049112E" w:rsidP="0049112E">
      <w:pPr>
        <w:rPr>
          <w:szCs w:val="22"/>
        </w:rPr>
      </w:pPr>
    </w:p>
    <w:p w:rsidR="0049112E" w:rsidRDefault="0049112E" w:rsidP="0049112E">
      <w:pPr>
        <w:spacing w:before="120" w:line="360" w:lineRule="auto"/>
        <w:rPr>
          <w:rFonts w:cs="Arial"/>
          <w:szCs w:val="22"/>
        </w:rPr>
      </w:pPr>
      <w:r>
        <w:rPr>
          <w:rFonts w:cs="Arial"/>
          <w:b/>
        </w:rPr>
        <w:t xml:space="preserve">Commonwealth Director of Public </w:t>
      </w:r>
      <w:proofErr w:type="gramStart"/>
      <w:r>
        <w:rPr>
          <w:rFonts w:cs="Arial"/>
          <w:b/>
        </w:rPr>
        <w:t>Prosecutions</w:t>
      </w:r>
      <w:proofErr w:type="gramEnd"/>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49112E" w:rsidRDefault="0049112E" w:rsidP="0049112E">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49112E" w:rsidRDefault="0049112E" w:rsidP="0049112E">
      <w:pPr>
        <w:spacing w:before="120" w:after="480" w:line="360" w:lineRule="auto"/>
        <w:rPr>
          <w:rFonts w:cs="Arial"/>
          <w:szCs w:val="22"/>
        </w:rPr>
      </w:pPr>
      <w:r>
        <w:rPr>
          <w:rFonts w:cs="Arial"/>
          <w:szCs w:val="22"/>
        </w:rPr>
        <w:fldChar w:fldCharType="begin">
          <w:ffData>
            <w:name w:val=""/>
            <w:enabled/>
            <w:calcOnExit w:val="0"/>
            <w:textInput>
              <w:default w:val="[Change title f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criminal appeal proceedings (Form CP3)]</w:t>
      </w:r>
      <w:r>
        <w:rPr>
          <w:rFonts w:cs="Arial"/>
          <w:szCs w:val="22"/>
        </w:rPr>
        <w:fldChar w:fldCharType="end"/>
      </w:r>
    </w:p>
    <w:p w:rsidR="00922DDF" w:rsidRPr="00922DDF" w:rsidRDefault="00922DDF" w:rsidP="00922DDF">
      <w:pPr>
        <w:tabs>
          <w:tab w:val="left" w:pos="851"/>
        </w:tabs>
        <w:spacing w:before="120" w:after="240" w:line="360" w:lineRule="auto"/>
        <w:ind w:left="851" w:hanging="851"/>
      </w:pPr>
      <w:r w:rsidRPr="00922DDF">
        <w:t>To</w:t>
      </w:r>
      <w:r w:rsidRPr="00922DDF">
        <w:tab/>
      </w:r>
      <w:r w:rsidRPr="00922DDF">
        <w:fldChar w:fldCharType="begin">
          <w:ffData>
            <w:name w:val=""/>
            <w:enabled/>
            <w:calcOnExit w:val="0"/>
            <w:textInput>
              <w:default w:val="[and others named in the schedule]"/>
            </w:textInput>
          </w:ffData>
        </w:fldChar>
      </w:r>
      <w:r w:rsidRPr="00922DDF">
        <w:instrText xml:space="preserve"> FORMTEXT </w:instrText>
      </w:r>
      <w:r w:rsidRPr="00922DDF">
        <w:fldChar w:fldCharType="separate"/>
      </w:r>
      <w:r w:rsidRPr="00922DDF">
        <w:t>[name]</w:t>
      </w:r>
      <w:r w:rsidRPr="00922DDF">
        <w:fldChar w:fldCharType="end"/>
      </w:r>
      <w:r>
        <w:br/>
      </w:r>
      <w:r w:rsidRPr="00922DDF">
        <w:fldChar w:fldCharType="begin">
          <w:ffData>
            <w:name w:val=""/>
            <w:enabled/>
            <w:calcOnExit w:val="0"/>
            <w:textInput>
              <w:default w:val="[and others named in the schedule]"/>
            </w:textInput>
          </w:ffData>
        </w:fldChar>
      </w:r>
      <w:r w:rsidRPr="00922DDF">
        <w:instrText xml:space="preserve"> FORMTEXT </w:instrText>
      </w:r>
      <w:r w:rsidRPr="00922DDF">
        <w:fldChar w:fldCharType="separate"/>
      </w:r>
      <w:r w:rsidRPr="00922DDF">
        <w:t>[address]</w:t>
      </w:r>
      <w:r w:rsidRPr="00922DDF">
        <w:fldChar w:fldCharType="end"/>
      </w:r>
    </w:p>
    <w:p w:rsidR="00922DDF" w:rsidRPr="00922DDF" w:rsidRDefault="00922DDF" w:rsidP="00922DDF">
      <w:pPr>
        <w:spacing w:before="120" w:line="360" w:lineRule="auto"/>
      </w:pPr>
      <w:r w:rsidRPr="00922DDF">
        <w:t xml:space="preserve">You are invited to show cause, by filing an objection in the Court, </w:t>
      </w:r>
      <w:r w:rsidR="002807F5">
        <w:t xml:space="preserve">in </w:t>
      </w:r>
      <w:r w:rsidR="002807F5" w:rsidRPr="002807F5">
        <w:t xml:space="preserve">accordance with </w:t>
      </w:r>
      <w:r w:rsidR="00514B2E">
        <w:t>section</w:t>
      </w:r>
      <w:r w:rsidR="004C2775">
        <w:t>s</w:t>
      </w:r>
      <w:r w:rsidR="002807F5" w:rsidRPr="002807F5">
        <w:t xml:space="preserve"> </w:t>
      </w:r>
      <w:proofErr w:type="gramStart"/>
      <w:r w:rsidR="002807F5" w:rsidRPr="002807F5">
        <w:t>58FC(</w:t>
      </w:r>
      <w:proofErr w:type="gramEnd"/>
      <w:r w:rsidR="002807F5" w:rsidRPr="002807F5">
        <w:t xml:space="preserve">3)(b) and </w:t>
      </w:r>
      <w:r w:rsidR="00514B2E">
        <w:t>58FC(3)</w:t>
      </w:r>
      <w:r w:rsidR="002807F5" w:rsidRPr="002807F5">
        <w:t>(c)</w:t>
      </w:r>
      <w:r w:rsidR="002807F5">
        <w:t xml:space="preserve"> of the </w:t>
      </w:r>
      <w:r w:rsidR="002807F5">
        <w:rPr>
          <w:i/>
        </w:rPr>
        <w:t>Federal Court of Australia Act 1976</w:t>
      </w:r>
      <w:r w:rsidR="002807F5" w:rsidRPr="002807F5">
        <w:t xml:space="preserve">, </w:t>
      </w:r>
      <w:r w:rsidRPr="00922DDF">
        <w:t xml:space="preserve">why the following </w:t>
      </w:r>
      <w:r w:rsidR="002807F5">
        <w:t>security</w:t>
      </w:r>
      <w:r w:rsidRPr="00922DDF">
        <w:t xml:space="preserve"> should not be forfeited:</w:t>
      </w:r>
    </w:p>
    <w:p w:rsidR="00922DDF" w:rsidRPr="00922DDF" w:rsidRDefault="002807F5" w:rsidP="00922DDF">
      <w:pPr>
        <w:spacing w:before="120" w:line="360" w:lineRule="auto"/>
      </w:pPr>
      <w:r>
        <w:fldChar w:fldCharType="begin">
          <w:ffData>
            <w:name w:val=""/>
            <w:enabled/>
            <w:calcOnExit w:val="0"/>
            <w:textInput>
              <w:default w:val="[details of the security]"/>
            </w:textInput>
          </w:ffData>
        </w:fldChar>
      </w:r>
      <w:r>
        <w:instrText xml:space="preserve"> FORMTEXT </w:instrText>
      </w:r>
      <w:r>
        <w:fldChar w:fldCharType="separate"/>
      </w:r>
      <w:r>
        <w:rPr>
          <w:noProof/>
        </w:rPr>
        <w:t>[details of the security]</w:t>
      </w:r>
      <w:r>
        <w:fldChar w:fldCharType="end"/>
      </w:r>
    </w:p>
    <w:p w:rsidR="00922DDF" w:rsidRPr="00922DDF" w:rsidRDefault="00922DDF" w:rsidP="00922DDF">
      <w:pPr>
        <w:spacing w:before="120" w:line="360" w:lineRule="auto"/>
      </w:pPr>
      <w:r w:rsidRPr="00922DDF">
        <w:t xml:space="preserve">The property described above was provided as security for bail granted </w:t>
      </w:r>
      <w:r w:rsidR="00743080">
        <w:t xml:space="preserve">on </w:t>
      </w:r>
      <w:r w:rsidR="00743080">
        <w:fldChar w:fldCharType="begin">
          <w:ffData>
            <w:name w:val=""/>
            <w:enabled/>
            <w:calcOnExit w:val="0"/>
            <w:textInput>
              <w:default w:val="[date]"/>
            </w:textInput>
          </w:ffData>
        </w:fldChar>
      </w:r>
      <w:r w:rsidR="00743080">
        <w:instrText xml:space="preserve"> FORMTEXT </w:instrText>
      </w:r>
      <w:r w:rsidR="00743080">
        <w:fldChar w:fldCharType="separate"/>
      </w:r>
      <w:r w:rsidR="00743080">
        <w:rPr>
          <w:noProof/>
        </w:rPr>
        <w:t>[date]</w:t>
      </w:r>
      <w:r w:rsidR="00743080">
        <w:fldChar w:fldCharType="end"/>
      </w:r>
      <w:r w:rsidR="00743080">
        <w:t xml:space="preserve"> </w:t>
      </w:r>
      <w:r w:rsidRPr="00922DDF">
        <w:t xml:space="preserve">to </w:t>
      </w:r>
      <w:r w:rsidR="002807F5">
        <w:t>the Accused</w:t>
      </w:r>
      <w:r w:rsidRPr="00922DDF">
        <w:t xml:space="preserve">.  On </w:t>
      </w:r>
      <w:r w:rsidR="002807F5">
        <w:fldChar w:fldCharType="begin">
          <w:ffData>
            <w:name w:val=""/>
            <w:enabled/>
            <w:calcOnExit w:val="0"/>
            <w:textInput>
              <w:default w:val="[date]"/>
            </w:textInput>
          </w:ffData>
        </w:fldChar>
      </w:r>
      <w:r w:rsidR="002807F5">
        <w:instrText xml:space="preserve"> FORMTEXT </w:instrText>
      </w:r>
      <w:r w:rsidR="002807F5">
        <w:fldChar w:fldCharType="separate"/>
      </w:r>
      <w:r w:rsidR="002807F5">
        <w:rPr>
          <w:noProof/>
        </w:rPr>
        <w:t>[date]</w:t>
      </w:r>
      <w:r w:rsidR="002807F5">
        <w:fldChar w:fldCharType="end"/>
      </w:r>
      <w:r w:rsidRPr="00922DDF">
        <w:t xml:space="preserve"> </w:t>
      </w:r>
      <w:r w:rsidR="002807F5">
        <w:t xml:space="preserve">the Accused </w:t>
      </w:r>
      <w:r w:rsidRPr="00922DDF">
        <w:t xml:space="preserve">failed to appear before Court in accordance with </w:t>
      </w:r>
      <w:r w:rsidR="002807F5">
        <w:fldChar w:fldCharType="begin">
          <w:ffData>
            <w:name w:val=""/>
            <w:enabled/>
            <w:calcOnExit w:val="0"/>
            <w:textInput>
              <w:default w:val="[his/her]"/>
            </w:textInput>
          </w:ffData>
        </w:fldChar>
      </w:r>
      <w:r w:rsidR="002807F5">
        <w:instrText xml:space="preserve"> FORMTEXT </w:instrText>
      </w:r>
      <w:r w:rsidR="002807F5">
        <w:fldChar w:fldCharType="separate"/>
      </w:r>
      <w:r w:rsidR="002807F5">
        <w:rPr>
          <w:noProof/>
        </w:rPr>
        <w:t>[his/her]</w:t>
      </w:r>
      <w:r w:rsidR="002807F5">
        <w:fldChar w:fldCharType="end"/>
      </w:r>
      <w:r w:rsidRPr="00922DDF">
        <w:t xml:space="preserve"> bail undertaking.  The </w:t>
      </w:r>
      <w:r w:rsidR="002807F5">
        <w:t>security</w:t>
      </w:r>
      <w:r w:rsidRPr="00922DDF">
        <w:t xml:space="preserve"> became liable to forfeiture on that day.</w:t>
      </w:r>
    </w:p>
    <w:p w:rsidR="00922DDF" w:rsidRPr="00922DDF" w:rsidRDefault="00922DDF" w:rsidP="00922DDF">
      <w:pPr>
        <w:spacing w:before="120" w:line="360" w:lineRule="auto"/>
      </w:pPr>
      <w:r w:rsidRPr="00922DDF">
        <w:t xml:space="preserve">This notice has been </w:t>
      </w:r>
      <w:r w:rsidR="002807F5">
        <w:t>given</w:t>
      </w:r>
      <w:r w:rsidRPr="00922DDF">
        <w:t xml:space="preserve"> to you because</w:t>
      </w:r>
      <w:r w:rsidR="009362AB">
        <w:t xml:space="preserve"> </w:t>
      </w:r>
      <w:r w:rsidR="002807F5">
        <w:fldChar w:fldCharType="begin">
          <w:ffData>
            <w:name w:val=""/>
            <w:enabled/>
            <w:calcOnExit w:val="0"/>
            <w:textInput>
              <w:default w:val="[select one of the following and delete the others]"/>
            </w:textInput>
          </w:ffData>
        </w:fldChar>
      </w:r>
      <w:r w:rsidR="002807F5">
        <w:instrText xml:space="preserve"> FORMTEXT </w:instrText>
      </w:r>
      <w:r w:rsidR="002807F5">
        <w:fldChar w:fldCharType="separate"/>
      </w:r>
      <w:r w:rsidR="002807F5">
        <w:rPr>
          <w:noProof/>
        </w:rPr>
        <w:t>[select one of the following and delete the others]</w:t>
      </w:r>
      <w:r w:rsidR="002807F5">
        <w:fldChar w:fldCharType="end"/>
      </w:r>
    </w:p>
    <w:p w:rsidR="00922DDF" w:rsidRPr="00922DDF" w:rsidRDefault="004C2775" w:rsidP="00514B2E">
      <w:p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22DDF" w:rsidRPr="00922DDF">
        <w:t>you are the Accused</w:t>
      </w:r>
      <w:r w:rsidR="009362AB">
        <w:t>.</w:t>
      </w:r>
    </w:p>
    <w:p w:rsidR="00922DDF" w:rsidRPr="00922DDF" w:rsidRDefault="004C2775" w:rsidP="00514B2E">
      <w:p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22DDF" w:rsidRPr="00922DDF">
        <w:t xml:space="preserve">you provided a third party security undertaking in relation the </w:t>
      </w:r>
      <w:r w:rsidR="00743080">
        <w:t>security</w:t>
      </w:r>
      <w:r w:rsidR="00922DDF" w:rsidRPr="00922DDF">
        <w:t xml:space="preserve"> described above</w:t>
      </w:r>
      <w:r w:rsidR="009362AB">
        <w:t>.</w:t>
      </w:r>
    </w:p>
    <w:p w:rsidR="009362AB" w:rsidRDefault="004C2775" w:rsidP="00514B2E">
      <w:p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22DDF" w:rsidRPr="00922DDF">
        <w:t>you may have an interest in the following property which was provided as security for the Accused’s bail:</w:t>
      </w:r>
    </w:p>
    <w:p w:rsidR="00922DDF" w:rsidRPr="00922DDF" w:rsidRDefault="002807F5" w:rsidP="00514B2E">
      <w:pPr>
        <w:spacing w:before="120" w:line="360" w:lineRule="auto"/>
      </w:pPr>
      <w:r>
        <w:fldChar w:fldCharType="begin">
          <w:ffData>
            <w:name w:val=""/>
            <w:enabled/>
            <w:calcOnExit w:val="0"/>
            <w:textInput>
              <w:default w:val="[details of relevant security]"/>
            </w:textInput>
          </w:ffData>
        </w:fldChar>
      </w:r>
      <w:r>
        <w:instrText xml:space="preserve"> FORMTEXT </w:instrText>
      </w:r>
      <w:r>
        <w:fldChar w:fldCharType="separate"/>
      </w:r>
      <w:r>
        <w:rPr>
          <w:noProof/>
        </w:rPr>
        <w:t>[details of relevant security]</w:t>
      </w:r>
      <w:r>
        <w:fldChar w:fldCharType="end"/>
      </w:r>
    </w:p>
    <w:p w:rsidR="00922DDF" w:rsidRPr="00922DDF" w:rsidRDefault="00922DDF" w:rsidP="00922DDF">
      <w:pPr>
        <w:keepNext/>
        <w:spacing w:before="120" w:line="360" w:lineRule="auto"/>
        <w:rPr>
          <w:b/>
        </w:rPr>
      </w:pPr>
      <w:r w:rsidRPr="00922DDF">
        <w:rPr>
          <w:b/>
        </w:rPr>
        <w:t>How to object</w:t>
      </w:r>
    </w:p>
    <w:p w:rsidR="00922DDF" w:rsidRPr="00922DDF" w:rsidRDefault="00922DDF" w:rsidP="00922DDF">
      <w:pPr>
        <w:spacing w:before="120" w:line="360" w:lineRule="auto"/>
      </w:pPr>
      <w:r w:rsidRPr="00922DDF">
        <w:t xml:space="preserve">If you wish to object to forfeiture of the </w:t>
      </w:r>
      <w:r w:rsidR="009362AB">
        <w:t>security</w:t>
      </w:r>
      <w:r w:rsidRPr="00922DDF">
        <w:t xml:space="preserve"> you must file a written objection</w:t>
      </w:r>
      <w:r w:rsidR="009362AB">
        <w:t xml:space="preserve"> in accordance with Form CP</w:t>
      </w:r>
      <w:r w:rsidR="00BE4365">
        <w:t>38</w:t>
      </w:r>
      <w:r w:rsidR="009362AB">
        <w:t xml:space="preserve"> and section 58FC(3) of the </w:t>
      </w:r>
      <w:r w:rsidR="009362AB">
        <w:rPr>
          <w:i/>
        </w:rPr>
        <w:t>Federal Court of Australia Act 1976</w:t>
      </w:r>
      <w:r w:rsidRPr="00922DDF">
        <w:t xml:space="preserve"> before the end of 28 days after</w:t>
      </w:r>
      <w:r w:rsidR="004C2775">
        <w:t xml:space="preserve"> this notice is given to you.</w:t>
      </w:r>
    </w:p>
    <w:p w:rsidR="00922DDF" w:rsidRPr="00922DDF" w:rsidRDefault="00922DDF" w:rsidP="00922DDF">
      <w:pPr>
        <w:spacing w:before="120" w:line="360" w:lineRule="auto"/>
      </w:pPr>
      <w:r w:rsidRPr="00922DDF">
        <w:lastRenderedPageBreak/>
        <w:t>If you need more information about how to file an objection to forfeiture, you should contact the Federal Court of Australia.  Contact details for the Court may be found on the Court’s webpage at http://www.fedcourt.gov.au.</w:t>
      </w:r>
    </w:p>
    <w:p w:rsidR="00922DDF" w:rsidRPr="00922DDF" w:rsidRDefault="00922DDF" w:rsidP="00922DDF">
      <w:pPr>
        <w:keepNext/>
        <w:spacing w:before="120" w:line="360" w:lineRule="auto"/>
        <w:rPr>
          <w:b/>
        </w:rPr>
      </w:pPr>
      <w:r w:rsidRPr="00922DDF">
        <w:rPr>
          <w:b/>
        </w:rPr>
        <w:t>The effect of objecting to forfeiture</w:t>
      </w:r>
    </w:p>
    <w:p w:rsidR="00922DDF" w:rsidRPr="00922DDF" w:rsidRDefault="00922DDF" w:rsidP="00922DDF">
      <w:pPr>
        <w:spacing w:before="120" w:line="360" w:lineRule="auto"/>
      </w:pPr>
      <w:r w:rsidRPr="00922DDF">
        <w:t>If you file an objection to forfeiture</w:t>
      </w:r>
      <w:r w:rsidR="000215EF">
        <w:t>,</w:t>
      </w:r>
      <w:r w:rsidRPr="00922DDF">
        <w:t xml:space="preserve"> the Court will consider the objection when deciding whether to order forfeiture of the </w:t>
      </w:r>
      <w:r w:rsidR="000215EF">
        <w:t>security</w:t>
      </w:r>
      <w:r w:rsidRPr="00922DDF">
        <w:t xml:space="preserve"> and whether to order forfeiture of the whole </w:t>
      </w:r>
      <w:r w:rsidR="00A55D58">
        <w:t>security</w:t>
      </w:r>
      <w:r w:rsidRPr="00922DDF">
        <w:t xml:space="preserve"> or only part of the </w:t>
      </w:r>
      <w:r w:rsidR="00A55D58">
        <w:t>security</w:t>
      </w:r>
      <w:r w:rsidRPr="00922DDF">
        <w:t>.</w:t>
      </w:r>
    </w:p>
    <w:p w:rsidR="00922DDF" w:rsidRPr="00922DDF" w:rsidRDefault="00922DDF" w:rsidP="00922DDF">
      <w:pPr>
        <w:spacing w:before="120" w:line="360" w:lineRule="auto"/>
      </w:pPr>
      <w:r w:rsidRPr="00922DDF">
        <w:t xml:space="preserve">The Court may also invite you to make written or oral submissions before deciding whether to order forfeiture of part of all of the </w:t>
      </w:r>
      <w:r w:rsidR="00A55D58">
        <w:t>security</w:t>
      </w:r>
      <w:r w:rsidRPr="00922DDF">
        <w:t>.</w:t>
      </w:r>
    </w:p>
    <w:p w:rsidR="00922DDF" w:rsidRPr="00922DDF" w:rsidRDefault="00922DDF" w:rsidP="00922DDF">
      <w:pPr>
        <w:keepNext/>
        <w:spacing w:before="120" w:line="360" w:lineRule="auto"/>
        <w:rPr>
          <w:b/>
        </w:rPr>
      </w:pPr>
      <w:r w:rsidRPr="00922DDF">
        <w:rPr>
          <w:b/>
        </w:rPr>
        <w:t>The effect of not objecting to forfeiture</w:t>
      </w:r>
    </w:p>
    <w:p w:rsidR="00922DDF" w:rsidRPr="00922DDF" w:rsidRDefault="00922DDF" w:rsidP="00922DDF">
      <w:pPr>
        <w:spacing w:before="120" w:line="360" w:lineRule="auto"/>
      </w:pPr>
      <w:r w:rsidRPr="00922DDF">
        <w:t xml:space="preserve">If you do not file an objection to forfeiture, the Court may order forfeiture of part or all of the </w:t>
      </w:r>
      <w:r w:rsidR="00A55D58">
        <w:t>security</w:t>
      </w:r>
      <w:r w:rsidRPr="00922DDF">
        <w:t xml:space="preserve"> without further reference to you.</w:t>
      </w:r>
    </w:p>
    <w:p w:rsidR="00922DDF" w:rsidRPr="00922DDF" w:rsidRDefault="00922DDF" w:rsidP="00922DDF">
      <w:pPr>
        <w:keepNext/>
        <w:spacing w:before="120" w:line="360" w:lineRule="auto"/>
        <w:rPr>
          <w:b/>
        </w:rPr>
      </w:pPr>
      <w:r w:rsidRPr="00922DDF">
        <w:rPr>
          <w:b/>
        </w:rPr>
        <w:t>Particulars of the matter</w:t>
      </w:r>
    </w:p>
    <w:p w:rsidR="00922DDF" w:rsidRPr="00922DDF" w:rsidRDefault="00922DDF" w:rsidP="00922DDF">
      <w:pPr>
        <w:spacing w:before="120" w:line="360" w:lineRule="auto"/>
      </w:pPr>
      <w:r w:rsidRPr="00922DDF">
        <w:t>The following particulars are provided for your assistance:</w:t>
      </w:r>
    </w:p>
    <w:p w:rsidR="00922DDF" w:rsidRPr="00922DDF" w:rsidRDefault="00922DDF" w:rsidP="00922DDF">
      <w:pPr>
        <w:pStyle w:val="ListBullet"/>
        <w:keepNext/>
        <w:spacing w:before="120" w:line="360" w:lineRule="auto"/>
        <w:ind w:left="357" w:hanging="357"/>
        <w:contextualSpacing w:val="0"/>
        <w:rPr>
          <w:b/>
        </w:rPr>
      </w:pPr>
      <w:r w:rsidRPr="00922DDF">
        <w:rPr>
          <w:b/>
        </w:rPr>
        <w:t>The Accused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635"/>
      </w:tblGrid>
      <w:tr w:rsidR="00922DDF" w:rsidRPr="00922DDF" w:rsidTr="00625F5E">
        <w:tc>
          <w:tcPr>
            <w:tcW w:w="3780" w:type="dxa"/>
            <w:shd w:val="clear" w:color="auto" w:fill="auto"/>
          </w:tcPr>
          <w:p w:rsidR="00922DDF" w:rsidRPr="00922DDF" w:rsidRDefault="00922DDF" w:rsidP="000215EF">
            <w:pPr>
              <w:spacing w:before="120" w:line="360" w:lineRule="auto"/>
            </w:pPr>
            <w:r w:rsidRPr="00922DDF">
              <w:t xml:space="preserve">Name of the </w:t>
            </w:r>
            <w:r w:rsidR="000215EF">
              <w:t>A</w:t>
            </w:r>
            <w:r w:rsidRPr="00922DDF">
              <w:t>ccused</w:t>
            </w:r>
          </w:p>
        </w:tc>
        <w:tc>
          <w:tcPr>
            <w:tcW w:w="4635"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r>
      <w:tr w:rsidR="00922DDF" w:rsidRPr="00922DDF" w:rsidTr="00625F5E">
        <w:tc>
          <w:tcPr>
            <w:tcW w:w="3780" w:type="dxa"/>
            <w:shd w:val="clear" w:color="auto" w:fill="auto"/>
          </w:tcPr>
          <w:p w:rsidR="00922DDF" w:rsidRPr="00922DDF" w:rsidRDefault="00922DDF" w:rsidP="00922DDF">
            <w:pPr>
              <w:spacing w:before="120" w:line="360" w:lineRule="auto"/>
            </w:pPr>
            <w:r w:rsidRPr="00922DDF">
              <w:t>Date of the bail order</w:t>
            </w:r>
          </w:p>
        </w:tc>
        <w:tc>
          <w:tcPr>
            <w:tcW w:w="4635"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r>
      <w:tr w:rsidR="00922DDF" w:rsidRPr="00922DDF" w:rsidTr="00625F5E">
        <w:tc>
          <w:tcPr>
            <w:tcW w:w="3780" w:type="dxa"/>
            <w:shd w:val="clear" w:color="auto" w:fill="auto"/>
          </w:tcPr>
          <w:p w:rsidR="00922DDF" w:rsidRPr="00922DDF" w:rsidRDefault="00922DDF" w:rsidP="00922DDF">
            <w:pPr>
              <w:spacing w:before="120" w:line="360" w:lineRule="auto"/>
            </w:pPr>
            <w:r w:rsidRPr="00922DDF">
              <w:t>The offences to which the bail order related</w:t>
            </w:r>
          </w:p>
        </w:tc>
        <w:tc>
          <w:tcPr>
            <w:tcW w:w="4635"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r>
      <w:tr w:rsidR="00922DDF" w:rsidRPr="00922DDF" w:rsidTr="00625F5E">
        <w:tc>
          <w:tcPr>
            <w:tcW w:w="3780" w:type="dxa"/>
            <w:shd w:val="clear" w:color="auto" w:fill="auto"/>
          </w:tcPr>
          <w:p w:rsidR="00922DDF" w:rsidRPr="00922DDF" w:rsidRDefault="00922DDF" w:rsidP="000215EF">
            <w:pPr>
              <w:spacing w:before="120" w:line="360" w:lineRule="auto"/>
            </w:pPr>
            <w:r w:rsidRPr="00922DDF">
              <w:t xml:space="preserve">Date of </w:t>
            </w:r>
            <w:r w:rsidR="000215EF">
              <w:t>A</w:t>
            </w:r>
            <w:r w:rsidRPr="00922DDF">
              <w:t>ccused’s bail undertaking</w:t>
            </w:r>
          </w:p>
        </w:tc>
        <w:tc>
          <w:tcPr>
            <w:tcW w:w="4635"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r>
      <w:tr w:rsidR="00922DDF" w:rsidRPr="00922DDF" w:rsidTr="00625F5E">
        <w:tc>
          <w:tcPr>
            <w:tcW w:w="3780" w:type="dxa"/>
            <w:shd w:val="clear" w:color="auto" w:fill="auto"/>
          </w:tcPr>
          <w:p w:rsidR="00922DDF" w:rsidRPr="00922DDF" w:rsidRDefault="00922DDF" w:rsidP="000215EF">
            <w:pPr>
              <w:spacing w:before="120" w:line="360" w:lineRule="auto"/>
            </w:pPr>
            <w:r w:rsidRPr="00922DDF">
              <w:t xml:space="preserve">Details of any security provided by the </w:t>
            </w:r>
            <w:r w:rsidR="000215EF">
              <w:t>A</w:t>
            </w:r>
            <w:r w:rsidRPr="00922DDF">
              <w:t>ccused</w:t>
            </w:r>
          </w:p>
        </w:tc>
        <w:tc>
          <w:tcPr>
            <w:tcW w:w="4635"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r>
    </w:tbl>
    <w:p w:rsidR="00922DDF" w:rsidRPr="00922DDF" w:rsidRDefault="00922DDF" w:rsidP="00922DDF">
      <w:pPr>
        <w:pStyle w:val="ListBullet"/>
        <w:spacing w:before="120" w:line="360" w:lineRule="auto"/>
        <w:ind w:left="357" w:hanging="357"/>
        <w:contextualSpacing w:val="0"/>
        <w:rPr>
          <w:b/>
        </w:rPr>
      </w:pPr>
      <w:r w:rsidRPr="00922DDF">
        <w:rPr>
          <w:b/>
        </w:rPr>
        <w:t>Third part</w:t>
      </w:r>
      <w:r w:rsidR="003178F6">
        <w:rPr>
          <w:b/>
        </w:rPr>
        <w: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00"/>
        <w:gridCol w:w="3595"/>
      </w:tblGrid>
      <w:tr w:rsidR="00922DDF" w:rsidRPr="00922DDF" w:rsidTr="00922DDF">
        <w:tc>
          <w:tcPr>
            <w:tcW w:w="2520" w:type="dxa"/>
            <w:shd w:val="clear" w:color="auto" w:fill="auto"/>
          </w:tcPr>
          <w:p w:rsidR="00922DDF" w:rsidRPr="00922DDF" w:rsidRDefault="00922DDF" w:rsidP="003178F6">
            <w:pPr>
              <w:spacing w:before="120"/>
            </w:pPr>
            <w:r w:rsidRPr="00922DDF">
              <w:t xml:space="preserve">Name of </w:t>
            </w:r>
            <w:r w:rsidR="003178F6">
              <w:t>third party</w:t>
            </w:r>
          </w:p>
        </w:tc>
        <w:tc>
          <w:tcPr>
            <w:tcW w:w="2300" w:type="dxa"/>
            <w:shd w:val="clear" w:color="auto" w:fill="auto"/>
          </w:tcPr>
          <w:p w:rsidR="00922DDF" w:rsidRPr="00922DDF" w:rsidRDefault="00922DDF" w:rsidP="00922DDF">
            <w:pPr>
              <w:spacing w:before="120"/>
            </w:pPr>
            <w:r w:rsidRPr="00922DDF">
              <w:t>Date of third party security undertaking</w:t>
            </w:r>
          </w:p>
        </w:tc>
        <w:tc>
          <w:tcPr>
            <w:tcW w:w="3595" w:type="dxa"/>
            <w:shd w:val="clear" w:color="auto" w:fill="auto"/>
          </w:tcPr>
          <w:p w:rsidR="00922DDF" w:rsidRPr="00922DDF" w:rsidRDefault="00922DDF" w:rsidP="00922DDF">
            <w:pPr>
              <w:spacing w:before="120"/>
            </w:pPr>
            <w:r w:rsidRPr="00922DDF">
              <w:t>Form of security given</w:t>
            </w:r>
          </w:p>
        </w:tc>
      </w:tr>
      <w:tr w:rsidR="00922DDF" w:rsidRPr="00922DDF" w:rsidTr="00922DDF">
        <w:tc>
          <w:tcPr>
            <w:tcW w:w="2520"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c>
          <w:tcPr>
            <w:tcW w:w="2300"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c>
          <w:tcPr>
            <w:tcW w:w="3595" w:type="dxa"/>
            <w:shd w:val="clear" w:color="auto" w:fill="auto"/>
          </w:tcPr>
          <w:p w:rsidR="00922DDF" w:rsidRPr="00922DDF" w:rsidRDefault="00922DDF" w:rsidP="00922DDF">
            <w:pPr>
              <w:spacing w:before="120" w:line="360" w:lineRule="auto"/>
            </w:pPr>
            <w:r w:rsidRPr="00922DDF">
              <w:fldChar w:fldCharType="begin">
                <w:ffData>
                  <w:name w:val=""/>
                  <w:enabled/>
                  <w:calcOnExit w:val="0"/>
                  <w:textInput/>
                </w:ffData>
              </w:fldChar>
            </w:r>
            <w:r w:rsidRPr="00922DDF">
              <w:instrText xml:space="preserve"> FORMTEXT </w:instrText>
            </w:r>
            <w:r w:rsidRPr="00922DDF">
              <w:fldChar w:fldCharType="separate"/>
            </w:r>
            <w:r w:rsidRPr="00922DDF">
              <w:t> </w:t>
            </w:r>
            <w:r w:rsidRPr="00922DDF">
              <w:t> </w:t>
            </w:r>
            <w:r w:rsidRPr="00922DDF">
              <w:t> </w:t>
            </w:r>
            <w:r w:rsidRPr="00922DDF">
              <w:t> </w:t>
            </w:r>
            <w:r w:rsidRPr="00922DDF">
              <w:t> </w:t>
            </w:r>
            <w:r w:rsidRPr="00922DDF">
              <w:fldChar w:fldCharType="end"/>
            </w:r>
          </w:p>
        </w:tc>
      </w:tr>
      <w:tr w:rsidR="00922DDF" w:rsidRPr="00922DDF" w:rsidTr="00922DDF">
        <w:tc>
          <w:tcPr>
            <w:tcW w:w="2520" w:type="dxa"/>
            <w:shd w:val="clear" w:color="auto" w:fill="auto"/>
          </w:tcPr>
          <w:p w:rsidR="00922DDF" w:rsidRPr="00922DDF" w:rsidRDefault="00922DDF" w:rsidP="00922DDF">
            <w:pPr>
              <w:spacing w:before="120" w:line="360" w:lineRule="auto"/>
            </w:pPr>
          </w:p>
        </w:tc>
        <w:tc>
          <w:tcPr>
            <w:tcW w:w="2300" w:type="dxa"/>
            <w:shd w:val="clear" w:color="auto" w:fill="auto"/>
          </w:tcPr>
          <w:p w:rsidR="00922DDF" w:rsidRPr="00922DDF" w:rsidRDefault="00922DDF" w:rsidP="00922DDF">
            <w:pPr>
              <w:spacing w:before="120" w:line="360" w:lineRule="auto"/>
            </w:pPr>
          </w:p>
        </w:tc>
        <w:tc>
          <w:tcPr>
            <w:tcW w:w="3595" w:type="dxa"/>
            <w:shd w:val="clear" w:color="auto" w:fill="auto"/>
          </w:tcPr>
          <w:p w:rsidR="00922DDF" w:rsidRPr="00922DDF" w:rsidRDefault="00922DDF" w:rsidP="00922DDF">
            <w:pPr>
              <w:spacing w:before="120" w:line="360" w:lineRule="auto"/>
            </w:pPr>
          </w:p>
        </w:tc>
      </w:tr>
    </w:tbl>
    <w:p w:rsidR="00922DDF" w:rsidRPr="00922DDF" w:rsidRDefault="00922DDF" w:rsidP="00922DDF">
      <w:pPr>
        <w:pStyle w:val="ListBullet"/>
        <w:spacing w:before="120" w:line="360" w:lineRule="auto"/>
        <w:ind w:left="357" w:hanging="357"/>
        <w:contextualSpacing w:val="0"/>
        <w:rPr>
          <w:b/>
        </w:rPr>
      </w:pPr>
      <w:r w:rsidRPr="00922DDF">
        <w:rPr>
          <w:b/>
        </w:rPr>
        <w:t>Failure to appear</w:t>
      </w:r>
    </w:p>
    <w:p w:rsidR="00922DDF" w:rsidRPr="00922DDF" w:rsidRDefault="00922DDF" w:rsidP="00922DDF">
      <w:pPr>
        <w:spacing w:before="120" w:line="360" w:lineRule="auto"/>
      </w:pPr>
      <w:r w:rsidRPr="00922DDF">
        <w:t xml:space="preserve">The Accused was required to appear before the Court on </w:t>
      </w:r>
      <w:r w:rsidR="000215EF">
        <w:fldChar w:fldCharType="begin">
          <w:ffData>
            <w:name w:val=""/>
            <w:enabled/>
            <w:calcOnExit w:val="0"/>
            <w:textInput>
              <w:default w:val="[date]"/>
            </w:textInput>
          </w:ffData>
        </w:fldChar>
      </w:r>
      <w:r w:rsidR="000215EF">
        <w:instrText xml:space="preserve"> FORMTEXT </w:instrText>
      </w:r>
      <w:r w:rsidR="000215EF">
        <w:fldChar w:fldCharType="separate"/>
      </w:r>
      <w:r w:rsidR="000215EF">
        <w:rPr>
          <w:noProof/>
        </w:rPr>
        <w:t>[date]</w:t>
      </w:r>
      <w:r w:rsidR="000215EF">
        <w:fldChar w:fldCharType="end"/>
      </w:r>
      <w:r w:rsidRPr="00922DDF">
        <w:t xml:space="preserve"> in accordance with the Accused’s bail undertaking.  The Accused did not appear on that day </w:t>
      </w:r>
    </w:p>
    <w:p w:rsidR="00922DDF" w:rsidRPr="00922DDF" w:rsidRDefault="00743080" w:rsidP="00922DDF">
      <w:pPr>
        <w:keepNext/>
        <w:spacing w:before="120" w:line="360" w:lineRule="auto"/>
        <w:rPr>
          <w:b/>
        </w:rPr>
      </w:pPr>
      <w:r>
        <w:rPr>
          <w:b/>
        </w:rPr>
        <w:lastRenderedPageBreak/>
        <w:t>Accompanying this notice</w:t>
      </w:r>
    </w:p>
    <w:p w:rsidR="00922DDF" w:rsidRPr="00922DDF" w:rsidRDefault="00922DDF" w:rsidP="00922DDF">
      <w:pPr>
        <w:keepNext/>
        <w:spacing w:before="120" w:line="360" w:lineRule="auto"/>
      </w:pPr>
      <w:r w:rsidRPr="00922DDF">
        <w:t xml:space="preserve">The following documents </w:t>
      </w:r>
      <w:r w:rsidR="00743080">
        <w:t>accompany this notice</w:t>
      </w:r>
      <w:r w:rsidRPr="00922DDF">
        <w:t>:</w:t>
      </w:r>
    </w:p>
    <w:p w:rsidR="00922DDF" w:rsidRPr="00922DDF" w:rsidRDefault="003178F6" w:rsidP="00BC7433">
      <w:pPr>
        <w:pStyle w:val="ListBullet"/>
        <w:numPr>
          <w:ilvl w:val="0"/>
          <w:numId w:val="0"/>
        </w:numPr>
        <w:spacing w:before="120" w:line="360" w:lineRule="auto"/>
        <w:ind w:left="357"/>
        <w:contextualSpacing w:val="0"/>
      </w:pPr>
      <w:r>
        <w:t>(</w:t>
      </w:r>
      <w:r w:rsidR="00011182">
        <w:t>a</w:t>
      </w:r>
      <w:r>
        <w:t xml:space="preserve">) </w:t>
      </w:r>
      <w:r w:rsidR="00922DDF" w:rsidRPr="00922DDF">
        <w:t xml:space="preserve">a copy of the </w:t>
      </w:r>
      <w:r w:rsidR="00743080">
        <w:t>A</w:t>
      </w:r>
      <w:r w:rsidR="00922DDF" w:rsidRPr="00922DDF">
        <w:t>ccused’s bail undertaking;</w:t>
      </w:r>
      <w:r>
        <w:t xml:space="preserve"> and</w:t>
      </w:r>
    </w:p>
    <w:p w:rsidR="00922DDF" w:rsidRPr="00922DDF" w:rsidRDefault="003178F6" w:rsidP="00BC7433">
      <w:pPr>
        <w:pStyle w:val="ListBullet"/>
        <w:numPr>
          <w:ilvl w:val="0"/>
          <w:numId w:val="0"/>
        </w:numPr>
        <w:spacing w:before="120" w:line="360" w:lineRule="auto"/>
        <w:ind w:left="357"/>
        <w:contextualSpacing w:val="0"/>
      </w:pPr>
      <w:r>
        <w:t>(</w:t>
      </w:r>
      <w:r w:rsidR="00011182">
        <w:t>b</w:t>
      </w:r>
      <w:r>
        <w:t xml:space="preserve">) </w:t>
      </w:r>
      <w:r w:rsidR="00BC7433">
        <w:fldChar w:fldCharType="begin">
          <w:ffData>
            <w:name w:val=""/>
            <w:enabled/>
            <w:calcOnExit w:val="0"/>
            <w:textInput>
              <w:default w:val="[if relevant, add]"/>
            </w:textInput>
          </w:ffData>
        </w:fldChar>
      </w:r>
      <w:r w:rsidR="00BC7433">
        <w:instrText xml:space="preserve"> FORMTEXT </w:instrText>
      </w:r>
      <w:r w:rsidR="00BC7433">
        <w:fldChar w:fldCharType="separate"/>
      </w:r>
      <w:r w:rsidR="00BC7433">
        <w:rPr>
          <w:noProof/>
        </w:rPr>
        <w:t>[if relevant, add]</w:t>
      </w:r>
      <w:r w:rsidR="00BC7433">
        <w:fldChar w:fldCharType="end"/>
      </w:r>
      <w:r w:rsidR="00743080">
        <w:t xml:space="preserve">a copy of </w:t>
      </w:r>
      <w:r w:rsidR="00BC7433">
        <w:t>any</w:t>
      </w:r>
      <w:r w:rsidRPr="003178F6">
        <w:t xml:space="preserve"> third party security undertaking </w:t>
      </w:r>
      <w:r w:rsidR="0078657F" w:rsidRPr="0078657F">
        <w:t xml:space="preserve">made in relation to the </w:t>
      </w:r>
      <w:r w:rsidR="0078657F">
        <w:t>A</w:t>
      </w:r>
      <w:r w:rsidR="0078657F" w:rsidRPr="0078657F">
        <w:t>ccused’s bail</w:t>
      </w:r>
      <w:r w:rsidR="00BC7433">
        <w:t>.</w:t>
      </w:r>
    </w:p>
    <w:p w:rsidR="004C2775" w:rsidRDefault="004C2775" w:rsidP="004C2775">
      <w:pPr>
        <w:keepNext/>
        <w:spacing w:before="24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2775" w:rsidRDefault="004C2775" w:rsidP="004C2775">
      <w:pPr>
        <w:keepNext/>
        <w:keepLines/>
        <w:spacing w:before="120" w:line="360" w:lineRule="auto"/>
      </w:pPr>
    </w:p>
    <w:p w:rsidR="004C2775" w:rsidRDefault="004C2775" w:rsidP="004C2775">
      <w:pPr>
        <w:keepNext/>
        <w:keepLines/>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4C2775" w:rsidTr="00EA4C98">
        <w:tc>
          <w:tcPr>
            <w:tcW w:w="4678" w:type="dxa"/>
          </w:tcPr>
          <w:p w:rsidR="004C2775" w:rsidRDefault="004C2775" w:rsidP="00FE627B">
            <w:pPr>
              <w:keepNext/>
              <w:keepLines/>
            </w:pPr>
            <w:r>
              <w:t xml:space="preserve">Signed by an officer acting with the authority of the </w:t>
            </w:r>
            <w:r w:rsidR="00FE627B">
              <w:t>Chief Executive Officer</w:t>
            </w:r>
          </w:p>
        </w:tc>
      </w:tr>
    </w:tbl>
    <w:p w:rsidR="004C2775" w:rsidRPr="00922DDF" w:rsidRDefault="004C2775" w:rsidP="00922DDF">
      <w:pPr>
        <w:spacing w:before="120" w:line="360" w:lineRule="auto"/>
      </w:pPr>
    </w:p>
    <w:sectPr w:rsidR="004C2775" w:rsidRPr="00922DDF" w:rsidSect="00757EB0">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6F" w:rsidRDefault="00F64B6F">
      <w:r>
        <w:separator/>
      </w:r>
    </w:p>
  </w:endnote>
  <w:endnote w:type="continuationSeparator" w:id="0">
    <w:p w:rsidR="00F64B6F" w:rsidRDefault="00F6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FD" w:rsidRDefault="00241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FD" w:rsidRDefault="00241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9" w:type="dxa"/>
      <w:tblInd w:w="107" w:type="dxa"/>
      <w:tblLayout w:type="fixed"/>
      <w:tblLook w:val="01E0" w:firstRow="1" w:lastRow="1" w:firstColumn="1" w:lastColumn="1" w:noHBand="0" w:noVBand="0"/>
    </w:tblPr>
    <w:tblGrid>
      <w:gridCol w:w="6661"/>
      <w:gridCol w:w="2838"/>
    </w:tblGrid>
    <w:tr w:rsidR="00CB012D" w:rsidTr="00126635">
      <w:trPr>
        <w:cantSplit/>
      </w:trPr>
      <w:tc>
        <w:tcPr>
          <w:tcW w:w="6661" w:type="dxa"/>
          <w:vAlign w:val="bottom"/>
        </w:tcPr>
        <w:p w:rsidR="00CB012D" w:rsidRDefault="00CB012D" w:rsidP="00126635">
          <w:pPr>
            <w:spacing w:before="60"/>
            <w:ind w:left="-107"/>
            <w:rPr>
              <w:bCs/>
              <w:sz w:val="18"/>
              <w:szCs w:val="18"/>
              <w:lang w:val="en-GB"/>
            </w:rPr>
          </w:pPr>
        </w:p>
      </w:tc>
      <w:tc>
        <w:tcPr>
          <w:tcW w:w="2838" w:type="dxa"/>
          <w:vAlign w:val="bottom"/>
        </w:tcPr>
        <w:p w:rsidR="00CB012D" w:rsidRDefault="00CB012D" w:rsidP="007874B5">
          <w:pPr>
            <w:spacing w:before="60"/>
            <w:ind w:left="-107"/>
            <w:jc w:val="right"/>
            <w:rPr>
              <w:bCs/>
              <w:sz w:val="18"/>
              <w:szCs w:val="18"/>
              <w:lang w:val="en-GB"/>
            </w:rPr>
          </w:pPr>
          <w:r>
            <w:rPr>
              <w:bCs/>
              <w:sz w:val="18"/>
              <w:szCs w:val="18"/>
              <w:lang w:val="en-GB"/>
            </w:rPr>
            <w:t xml:space="preserve">[Form approved </w:t>
          </w:r>
          <w:r w:rsidR="002415FD" w:rsidRPr="002415FD">
            <w:rPr>
              <w:bCs/>
              <w:sz w:val="18"/>
              <w:szCs w:val="18"/>
              <w:lang w:val="en-GB"/>
            </w:rPr>
            <w:t>10/11/2016</w:t>
          </w:r>
          <w:bookmarkStart w:id="0" w:name="_GoBack"/>
          <w:bookmarkEnd w:id="0"/>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6F" w:rsidRDefault="00F64B6F">
      <w:r>
        <w:separator/>
      </w:r>
    </w:p>
  </w:footnote>
  <w:footnote w:type="continuationSeparator" w:id="0">
    <w:p w:rsidR="00F64B6F" w:rsidRDefault="00F64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FD" w:rsidRDefault="00241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2415FD">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FD" w:rsidRDefault="00241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805F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F6C68"/>
    <w:multiLevelType w:val="hybridMultilevel"/>
    <w:tmpl w:val="D2661692"/>
    <w:lvl w:ilvl="0" w:tplc="73F88942">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1F833EA"/>
    <w:multiLevelType w:val="hybridMultilevel"/>
    <w:tmpl w:val="8D0A54D6"/>
    <w:lvl w:ilvl="0" w:tplc="73F88942">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76480090"/>
    <w:multiLevelType w:val="hybridMultilevel"/>
    <w:tmpl w:val="9014DF0E"/>
    <w:lvl w:ilvl="0" w:tplc="73F88942">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1182"/>
    <w:rsid w:val="000130CC"/>
    <w:rsid w:val="000161A3"/>
    <w:rsid w:val="000215EF"/>
    <w:rsid w:val="000409E2"/>
    <w:rsid w:val="0004204A"/>
    <w:rsid w:val="000505CA"/>
    <w:rsid w:val="0006598D"/>
    <w:rsid w:val="000762FF"/>
    <w:rsid w:val="0008006D"/>
    <w:rsid w:val="00091156"/>
    <w:rsid w:val="00091475"/>
    <w:rsid w:val="00091784"/>
    <w:rsid w:val="00096F3D"/>
    <w:rsid w:val="000A276A"/>
    <w:rsid w:val="000A5672"/>
    <w:rsid w:val="000B1ED0"/>
    <w:rsid w:val="000C3944"/>
    <w:rsid w:val="000C7966"/>
    <w:rsid w:val="000D1E48"/>
    <w:rsid w:val="000D4A1D"/>
    <w:rsid w:val="000D7B69"/>
    <w:rsid w:val="000E268B"/>
    <w:rsid w:val="000E268D"/>
    <w:rsid w:val="000E2B49"/>
    <w:rsid w:val="000E5C15"/>
    <w:rsid w:val="00113B45"/>
    <w:rsid w:val="00120C4A"/>
    <w:rsid w:val="00122D79"/>
    <w:rsid w:val="00126635"/>
    <w:rsid w:val="0013654D"/>
    <w:rsid w:val="00143E5E"/>
    <w:rsid w:val="00143F92"/>
    <w:rsid w:val="001515A9"/>
    <w:rsid w:val="00165437"/>
    <w:rsid w:val="00183B34"/>
    <w:rsid w:val="0018510F"/>
    <w:rsid w:val="001A5599"/>
    <w:rsid w:val="001A618F"/>
    <w:rsid w:val="001B46BB"/>
    <w:rsid w:val="001C2814"/>
    <w:rsid w:val="001D7154"/>
    <w:rsid w:val="001F646F"/>
    <w:rsid w:val="002101DA"/>
    <w:rsid w:val="00223CC5"/>
    <w:rsid w:val="002415FD"/>
    <w:rsid w:val="00256333"/>
    <w:rsid w:val="00257773"/>
    <w:rsid w:val="0025777B"/>
    <w:rsid w:val="002807F5"/>
    <w:rsid w:val="002C0B84"/>
    <w:rsid w:val="002C3A1C"/>
    <w:rsid w:val="002C5335"/>
    <w:rsid w:val="002E3B0F"/>
    <w:rsid w:val="002E48E9"/>
    <w:rsid w:val="00301564"/>
    <w:rsid w:val="00305DEE"/>
    <w:rsid w:val="003141BD"/>
    <w:rsid w:val="003178F6"/>
    <w:rsid w:val="00345ECD"/>
    <w:rsid w:val="0035499C"/>
    <w:rsid w:val="00363078"/>
    <w:rsid w:val="00367CDA"/>
    <w:rsid w:val="0038166B"/>
    <w:rsid w:val="00386ABE"/>
    <w:rsid w:val="003B34BD"/>
    <w:rsid w:val="003B6CCD"/>
    <w:rsid w:val="003D2E12"/>
    <w:rsid w:val="003F2247"/>
    <w:rsid w:val="00401E35"/>
    <w:rsid w:val="00401F16"/>
    <w:rsid w:val="00412B71"/>
    <w:rsid w:val="00420E94"/>
    <w:rsid w:val="00422FFC"/>
    <w:rsid w:val="00424E63"/>
    <w:rsid w:val="0043053B"/>
    <w:rsid w:val="00436565"/>
    <w:rsid w:val="00445622"/>
    <w:rsid w:val="00445D09"/>
    <w:rsid w:val="0045693C"/>
    <w:rsid w:val="004571FB"/>
    <w:rsid w:val="00466255"/>
    <w:rsid w:val="004674F4"/>
    <w:rsid w:val="0047140F"/>
    <w:rsid w:val="00472689"/>
    <w:rsid w:val="00474C28"/>
    <w:rsid w:val="00480E49"/>
    <w:rsid w:val="004841DA"/>
    <w:rsid w:val="0049112E"/>
    <w:rsid w:val="004925F7"/>
    <w:rsid w:val="004A4DA7"/>
    <w:rsid w:val="004B0148"/>
    <w:rsid w:val="004B31EB"/>
    <w:rsid w:val="004B5302"/>
    <w:rsid w:val="004B5B39"/>
    <w:rsid w:val="004B5F48"/>
    <w:rsid w:val="004C2775"/>
    <w:rsid w:val="004C6D24"/>
    <w:rsid w:val="004C7FF7"/>
    <w:rsid w:val="004F26D4"/>
    <w:rsid w:val="004F547F"/>
    <w:rsid w:val="00512ADA"/>
    <w:rsid w:val="0051379C"/>
    <w:rsid w:val="00514B2E"/>
    <w:rsid w:val="00530AAF"/>
    <w:rsid w:val="0053788D"/>
    <w:rsid w:val="005407A7"/>
    <w:rsid w:val="005774EF"/>
    <w:rsid w:val="00577842"/>
    <w:rsid w:val="00586906"/>
    <w:rsid w:val="005A09C6"/>
    <w:rsid w:val="005A4A53"/>
    <w:rsid w:val="005B7D3F"/>
    <w:rsid w:val="005C251D"/>
    <w:rsid w:val="005C764A"/>
    <w:rsid w:val="005D52F7"/>
    <w:rsid w:val="005E7051"/>
    <w:rsid w:val="00612B79"/>
    <w:rsid w:val="0062487B"/>
    <w:rsid w:val="00625F5E"/>
    <w:rsid w:val="00632995"/>
    <w:rsid w:val="0063593C"/>
    <w:rsid w:val="006411DD"/>
    <w:rsid w:val="00663AC4"/>
    <w:rsid w:val="00671BD4"/>
    <w:rsid w:val="006730C1"/>
    <w:rsid w:val="006730C4"/>
    <w:rsid w:val="0068621F"/>
    <w:rsid w:val="006911C6"/>
    <w:rsid w:val="006A0447"/>
    <w:rsid w:val="006B337A"/>
    <w:rsid w:val="006B34A7"/>
    <w:rsid w:val="006C5D8A"/>
    <w:rsid w:val="006D6C41"/>
    <w:rsid w:val="006E1CA8"/>
    <w:rsid w:val="006E3451"/>
    <w:rsid w:val="00711161"/>
    <w:rsid w:val="0071374F"/>
    <w:rsid w:val="0072427C"/>
    <w:rsid w:val="00734872"/>
    <w:rsid w:val="007366D1"/>
    <w:rsid w:val="00743080"/>
    <w:rsid w:val="00754EA8"/>
    <w:rsid w:val="00757EB0"/>
    <w:rsid w:val="00761D82"/>
    <w:rsid w:val="0076748B"/>
    <w:rsid w:val="00775D2C"/>
    <w:rsid w:val="00780EDA"/>
    <w:rsid w:val="00782A0E"/>
    <w:rsid w:val="00784C4C"/>
    <w:rsid w:val="0078657F"/>
    <w:rsid w:val="007874B5"/>
    <w:rsid w:val="00787DAB"/>
    <w:rsid w:val="007914BA"/>
    <w:rsid w:val="007A796E"/>
    <w:rsid w:val="007A7D7B"/>
    <w:rsid w:val="007C096E"/>
    <w:rsid w:val="007D47F1"/>
    <w:rsid w:val="007F6059"/>
    <w:rsid w:val="00812A60"/>
    <w:rsid w:val="00814265"/>
    <w:rsid w:val="008203A9"/>
    <w:rsid w:val="00827B2C"/>
    <w:rsid w:val="00831574"/>
    <w:rsid w:val="00846A8A"/>
    <w:rsid w:val="00850608"/>
    <w:rsid w:val="008622FB"/>
    <w:rsid w:val="00862F28"/>
    <w:rsid w:val="008734BC"/>
    <w:rsid w:val="00880B04"/>
    <w:rsid w:val="0088654E"/>
    <w:rsid w:val="00887AC7"/>
    <w:rsid w:val="00892BE1"/>
    <w:rsid w:val="008958C7"/>
    <w:rsid w:val="008E45FC"/>
    <w:rsid w:val="008F0FE7"/>
    <w:rsid w:val="008F40FA"/>
    <w:rsid w:val="008F4633"/>
    <w:rsid w:val="00903F1C"/>
    <w:rsid w:val="00922DDF"/>
    <w:rsid w:val="00925B3B"/>
    <w:rsid w:val="00925EB9"/>
    <w:rsid w:val="009310BB"/>
    <w:rsid w:val="009362AB"/>
    <w:rsid w:val="0094047A"/>
    <w:rsid w:val="00953C6B"/>
    <w:rsid w:val="0095736D"/>
    <w:rsid w:val="00962575"/>
    <w:rsid w:val="0097392B"/>
    <w:rsid w:val="009A225A"/>
    <w:rsid w:val="009A41A6"/>
    <w:rsid w:val="009B513F"/>
    <w:rsid w:val="009B6C44"/>
    <w:rsid w:val="009F087E"/>
    <w:rsid w:val="00A04A95"/>
    <w:rsid w:val="00A06F4E"/>
    <w:rsid w:val="00A26931"/>
    <w:rsid w:val="00A52544"/>
    <w:rsid w:val="00A52948"/>
    <w:rsid w:val="00A55D58"/>
    <w:rsid w:val="00A60CF7"/>
    <w:rsid w:val="00A65BD2"/>
    <w:rsid w:val="00A90292"/>
    <w:rsid w:val="00AA3D5B"/>
    <w:rsid w:val="00AC396F"/>
    <w:rsid w:val="00AC600D"/>
    <w:rsid w:val="00AD6570"/>
    <w:rsid w:val="00AE0EA7"/>
    <w:rsid w:val="00B14D02"/>
    <w:rsid w:val="00B407BB"/>
    <w:rsid w:val="00B51705"/>
    <w:rsid w:val="00B74349"/>
    <w:rsid w:val="00B75C00"/>
    <w:rsid w:val="00B86371"/>
    <w:rsid w:val="00B91FF0"/>
    <w:rsid w:val="00BA1A28"/>
    <w:rsid w:val="00BA34A4"/>
    <w:rsid w:val="00BA3D38"/>
    <w:rsid w:val="00BB48B6"/>
    <w:rsid w:val="00BC104F"/>
    <w:rsid w:val="00BC7433"/>
    <w:rsid w:val="00BC7559"/>
    <w:rsid w:val="00BE4365"/>
    <w:rsid w:val="00BF4CE4"/>
    <w:rsid w:val="00BF5820"/>
    <w:rsid w:val="00C05566"/>
    <w:rsid w:val="00C104C4"/>
    <w:rsid w:val="00C20EA0"/>
    <w:rsid w:val="00C27FF5"/>
    <w:rsid w:val="00C545EB"/>
    <w:rsid w:val="00C6277A"/>
    <w:rsid w:val="00C62FE4"/>
    <w:rsid w:val="00CB012D"/>
    <w:rsid w:val="00CB1292"/>
    <w:rsid w:val="00CB3A06"/>
    <w:rsid w:val="00CB46CA"/>
    <w:rsid w:val="00CC730D"/>
    <w:rsid w:val="00CE26D0"/>
    <w:rsid w:val="00CF4F29"/>
    <w:rsid w:val="00D00EE6"/>
    <w:rsid w:val="00D06C0A"/>
    <w:rsid w:val="00D117E4"/>
    <w:rsid w:val="00D15DEB"/>
    <w:rsid w:val="00D221CE"/>
    <w:rsid w:val="00D25F4E"/>
    <w:rsid w:val="00D2636E"/>
    <w:rsid w:val="00D5028D"/>
    <w:rsid w:val="00D54E06"/>
    <w:rsid w:val="00D57ABE"/>
    <w:rsid w:val="00D62964"/>
    <w:rsid w:val="00D67544"/>
    <w:rsid w:val="00D71EC9"/>
    <w:rsid w:val="00D7747F"/>
    <w:rsid w:val="00D811FE"/>
    <w:rsid w:val="00D830C0"/>
    <w:rsid w:val="00D85BE4"/>
    <w:rsid w:val="00D942D8"/>
    <w:rsid w:val="00DC540B"/>
    <w:rsid w:val="00DE022E"/>
    <w:rsid w:val="00DE2B94"/>
    <w:rsid w:val="00DF6ABC"/>
    <w:rsid w:val="00E00F96"/>
    <w:rsid w:val="00E35517"/>
    <w:rsid w:val="00E452E3"/>
    <w:rsid w:val="00E67569"/>
    <w:rsid w:val="00E723DF"/>
    <w:rsid w:val="00EA4C98"/>
    <w:rsid w:val="00EC1C92"/>
    <w:rsid w:val="00ED619B"/>
    <w:rsid w:val="00EF5703"/>
    <w:rsid w:val="00F029F5"/>
    <w:rsid w:val="00F17349"/>
    <w:rsid w:val="00F21572"/>
    <w:rsid w:val="00F33D90"/>
    <w:rsid w:val="00F36552"/>
    <w:rsid w:val="00F413CB"/>
    <w:rsid w:val="00F4685B"/>
    <w:rsid w:val="00F64B6F"/>
    <w:rsid w:val="00F9375B"/>
    <w:rsid w:val="00FC0BBB"/>
    <w:rsid w:val="00FE3ADF"/>
    <w:rsid w:val="00FE627B"/>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paragraph" w:styleId="ListBullet">
    <w:name w:val="List Bullet"/>
    <w:basedOn w:val="Normal"/>
    <w:rsid w:val="00922DDF"/>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paragraph" w:styleId="ListBullet">
    <w:name w:val="List Bullet"/>
    <w:basedOn w:val="Normal"/>
    <w:rsid w:val="00922DD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7823">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CP37 - Notice of proposed forfeiture</vt:lpstr>
    </vt:vector>
  </TitlesOfParts>
  <Company>Reliable Legal Precedents</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CP37 - Notice of proposed forfeiture</dc:title>
  <dc:creator>Federal Court of Australia</dc:creator>
  <cp:lastModifiedBy>Jessica Der Matossian</cp:lastModifiedBy>
  <cp:revision>3</cp:revision>
  <cp:lastPrinted>2015-11-10T05:16:00Z</cp:lastPrinted>
  <dcterms:created xsi:type="dcterms:W3CDTF">2016-11-08T03:55:00Z</dcterms:created>
  <dcterms:modified xsi:type="dcterms:W3CDTF">2016-11-14T01:08:00Z</dcterms:modified>
</cp:coreProperties>
</file>