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895F11">
        <w:rPr>
          <w:szCs w:val="22"/>
        </w:rPr>
        <w:t>3</w:t>
      </w:r>
      <w:r w:rsidR="009D71A3">
        <w:rPr>
          <w:szCs w:val="22"/>
        </w:rPr>
        <w:t>1</w:t>
      </w:r>
    </w:p>
    <w:p w:rsidR="000D7B69" w:rsidRDefault="00C33FB6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DB281E">
        <w:rPr>
          <w:szCs w:val="22"/>
        </w:rPr>
        <w:t>5.01</w:t>
      </w:r>
    </w:p>
    <w:p w:rsidR="00AC6672" w:rsidRDefault="00AC6672" w:rsidP="000D7B69">
      <w:pPr>
        <w:rPr>
          <w:szCs w:val="22"/>
        </w:rPr>
      </w:pPr>
      <w:r>
        <w:rPr>
          <w:szCs w:val="22"/>
        </w:rPr>
        <w:t>Federal Court of Australia Act 1976 section 58DA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5D4A27" w:rsidP="000D4A1D">
      <w:pPr>
        <w:pStyle w:val="FED1"/>
      </w:pPr>
      <w:r>
        <w:t>Bail application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BA49CD" w:rsidRDefault="00BA49CD" w:rsidP="00BA49CD">
      <w:pPr>
        <w:rPr>
          <w:szCs w:val="22"/>
        </w:rPr>
      </w:pPr>
    </w:p>
    <w:p w:rsidR="00BA49CD" w:rsidRDefault="00BA49CD" w:rsidP="00BA49CD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BA49CD" w:rsidRDefault="00BA49CD" w:rsidP="00BA49CD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BA49CD" w:rsidRDefault="00BA49CD" w:rsidP="00BA49CD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hange title f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criminal appeal proceedings (Form CP3)]</w:t>
      </w:r>
      <w:r>
        <w:rPr>
          <w:rFonts w:cs="Arial"/>
          <w:szCs w:val="22"/>
        </w:rPr>
        <w:fldChar w:fldCharType="end"/>
      </w:r>
    </w:p>
    <w:p w:rsidR="005D4A27" w:rsidRPr="005D4A27" w:rsidRDefault="005D4A27" w:rsidP="005D4A27">
      <w:pPr>
        <w:spacing w:before="120" w:line="360" w:lineRule="auto"/>
      </w:pPr>
      <w:r w:rsidRPr="005D4A27">
        <w:t>To the Prosecutor</w:t>
      </w:r>
    </w:p>
    <w:p w:rsidR="005D4A27" w:rsidRPr="005D4A27" w:rsidRDefault="005D4A27" w:rsidP="005D4A27">
      <w:pPr>
        <w:spacing w:before="120" w:line="360" w:lineRule="auto"/>
      </w:pPr>
      <w:r w:rsidRPr="005D4A27">
        <w:t xml:space="preserve">The Accused applies </w:t>
      </w:r>
      <w:r w:rsidR="00977729">
        <w:t xml:space="preserve">under section 58DA of the </w:t>
      </w:r>
      <w:r w:rsidR="00977729" w:rsidRPr="006B3F0F">
        <w:rPr>
          <w:i/>
        </w:rPr>
        <w:t>Federal Court of Australia Act 1976</w:t>
      </w:r>
      <w:r w:rsidR="00977729">
        <w:t xml:space="preserve"> </w:t>
      </w:r>
      <w:r w:rsidRPr="005D4A27">
        <w:t>for bail.</w:t>
      </w:r>
    </w:p>
    <w:p w:rsidR="005D4A27" w:rsidRPr="005D4A27" w:rsidRDefault="005D4A27" w:rsidP="005D4A27">
      <w:pPr>
        <w:spacing w:before="120" w:line="360" w:lineRule="auto"/>
      </w:pPr>
      <w:r w:rsidRPr="005D4A27">
        <w:t>The grounds of the application are set out in the accompanying affidavit</w:t>
      </w:r>
      <w:r w:rsidR="002C489D">
        <w:t xml:space="preserve"> as required</w:t>
      </w:r>
      <w:r w:rsidRPr="005D4A27">
        <w:t xml:space="preserve"> </w:t>
      </w:r>
      <w:r w:rsidR="002720B0">
        <w:t>by</w:t>
      </w:r>
      <w:r w:rsidR="006B3F0F">
        <w:t xml:space="preserve"> </w:t>
      </w:r>
      <w:r w:rsidR="00740229">
        <w:t>CP R</w:t>
      </w:r>
      <w:r w:rsidRPr="005D4A27">
        <w:t xml:space="preserve">ule </w:t>
      </w:r>
      <w:r w:rsidR="00AC6672">
        <w:t>5.01(</w:t>
      </w:r>
      <w:r w:rsidR="009D71A3">
        <w:t>3</w:t>
      </w:r>
      <w:r w:rsidR="00AC6672">
        <w:t>)</w:t>
      </w:r>
      <w:r w:rsidRPr="00BA1760">
        <w:t>.</w:t>
      </w:r>
    </w:p>
    <w:p w:rsidR="00E06290" w:rsidRDefault="00E06290" w:rsidP="00E06290">
      <w:pPr>
        <w:spacing w:before="120" w:line="360" w:lineRule="auto"/>
      </w:pPr>
      <w:r>
        <w:t>The Court will hear this application at the time, date and place shown in the Notice of Filing and Hearing attached.</w:t>
      </w:r>
      <w:r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[Note: The Court will insert the Notice of Filing and Hearing as a coversheet when this application is accepted for filing.]</w:t>
      </w:r>
      <w:r>
        <w:fldChar w:fldCharType="end"/>
      </w:r>
      <w:r>
        <w:rPr>
          <w:color w:val="1F497D"/>
        </w:rPr>
        <w:t xml:space="preserve"> </w:t>
      </w:r>
      <w:r>
        <w:t xml:space="preserve">If you or your </w:t>
      </w:r>
      <w:proofErr w:type="gramStart"/>
      <w:r>
        <w:t>lawyer do</w:t>
      </w:r>
      <w:proofErr w:type="gramEnd"/>
      <w:r>
        <w:t xml:space="preserve"> not attend, then the Court may make orders in your absence.</w:t>
      </w:r>
    </w:p>
    <w:p w:rsidR="005D4A27" w:rsidRDefault="005D4A27" w:rsidP="005D4A27">
      <w:pPr>
        <w:rPr>
          <w:rFonts w:cs="Arial"/>
          <w:szCs w:val="22"/>
        </w:rPr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5D4A27" w:rsidRPr="00964662" w:rsidRDefault="005D4A27" w:rsidP="005D4A27">
            <w:pPr>
              <w:rPr>
                <w:rFonts w:cs="Arial"/>
                <w:szCs w:val="22"/>
              </w:rPr>
            </w:pPr>
            <w:r w:rsidRPr="00964662">
              <w:rPr>
                <w:rFonts w:cs="Arial"/>
                <w:szCs w:val="22"/>
              </w:rPr>
              <w:t xml:space="preserve">Signed by </w:t>
            </w:r>
            <w:r w:rsidRPr="0096466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964662">
              <w:rPr>
                <w:rFonts w:cs="Arial"/>
                <w:szCs w:val="22"/>
              </w:rPr>
              <w:instrText xml:space="preserve"> FORMTEXT </w:instrText>
            </w:r>
            <w:r w:rsidRPr="00964662">
              <w:rPr>
                <w:rFonts w:cs="Arial"/>
                <w:szCs w:val="22"/>
              </w:rPr>
            </w:r>
            <w:r w:rsidRPr="00964662">
              <w:rPr>
                <w:rFonts w:cs="Arial"/>
                <w:szCs w:val="22"/>
              </w:rPr>
              <w:fldChar w:fldCharType="separate"/>
            </w:r>
            <w:r w:rsidRPr="00964662">
              <w:rPr>
                <w:rFonts w:cs="Arial"/>
                <w:szCs w:val="22"/>
              </w:rPr>
              <w:t>[Name]</w:t>
            </w:r>
            <w:r w:rsidRPr="00964662">
              <w:rPr>
                <w:rFonts w:cs="Arial"/>
                <w:szCs w:val="22"/>
              </w:rPr>
              <w:fldChar w:fldCharType="end"/>
            </w:r>
          </w:p>
          <w:p w:rsidR="00E452E3" w:rsidRDefault="00977729" w:rsidP="00977729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ccused / Lawyer for the Accused]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[Insert capacity eg Accused / Lawyer for the Accused]</w:t>
            </w:r>
            <w:r>
              <w:rPr>
                <w:rFonts w:cs="Arial"/>
              </w:rPr>
              <w:fldChar w:fldCharType="end"/>
            </w:r>
          </w:p>
        </w:tc>
      </w:tr>
    </w:tbl>
    <w:p w:rsidR="00623BF1" w:rsidRDefault="00623BF1" w:rsidP="00977729"/>
    <w:p w:rsidR="00A311B7" w:rsidRDefault="00A311B7" w:rsidP="00A311B7"/>
    <w:p w:rsidR="00A311B7" w:rsidRDefault="00A311B7" w:rsidP="00A311B7"/>
    <w:p w:rsidR="00A311B7" w:rsidRPr="009704CE" w:rsidRDefault="00A311B7" w:rsidP="00C330C2">
      <w:pPr>
        <w:keepNext/>
        <w:rPr>
          <w:i/>
        </w:rPr>
      </w:pPr>
      <w:r w:rsidRPr="009704CE">
        <w:rPr>
          <w:i/>
        </w:rPr>
        <w:lastRenderedPageBreak/>
        <w:t>Note</w:t>
      </w:r>
      <w:r w:rsidR="00C330C2">
        <w:rPr>
          <w:i/>
        </w:rPr>
        <w:t>s</w:t>
      </w:r>
    </w:p>
    <w:p w:rsidR="00A311B7" w:rsidRDefault="00A311B7" w:rsidP="00C330C2">
      <w:pPr>
        <w:keepNext/>
        <w:numPr>
          <w:ilvl w:val="0"/>
          <w:numId w:val="1"/>
        </w:numPr>
        <w:spacing w:before="120"/>
      </w:pPr>
      <w:r w:rsidRPr="009704CE">
        <w:rPr>
          <w:b/>
        </w:rPr>
        <w:t>Service:</w:t>
      </w:r>
      <w:r w:rsidR="00C330C2">
        <w:rPr>
          <w:b/>
        </w:rPr>
        <w:t xml:space="preserve"> </w:t>
      </w:r>
      <w:r w:rsidR="009D71A3">
        <w:t>A</w:t>
      </w:r>
      <w:r w:rsidR="001A5B86" w:rsidRPr="0091650E">
        <w:t xml:space="preserve"> stamped copy of this </w:t>
      </w:r>
      <w:r w:rsidR="009D71A3">
        <w:t>application</w:t>
      </w:r>
      <w:r w:rsidR="001A5B86" w:rsidRPr="0091650E">
        <w:t xml:space="preserve"> </w:t>
      </w:r>
      <w:r w:rsidR="001A5B86">
        <w:t xml:space="preserve">and the accompanying affidavit </w:t>
      </w:r>
      <w:r w:rsidR="001A5B86" w:rsidRPr="0091650E">
        <w:t xml:space="preserve">must be served on </w:t>
      </w:r>
      <w:r w:rsidR="009D71A3">
        <w:t>the p</w:t>
      </w:r>
      <w:r w:rsidR="001A5B86">
        <w:t>rosecutor</w:t>
      </w:r>
      <w:r w:rsidR="001A5B86" w:rsidRPr="0091650E">
        <w:t xml:space="preserve"> </w:t>
      </w:r>
      <w:r w:rsidR="009D71A3">
        <w:t>at least 2 days before the hearing of the application</w:t>
      </w:r>
      <w:r w:rsidR="001A5B86" w:rsidRPr="0091650E">
        <w:t xml:space="preserve">: (CP </w:t>
      </w:r>
      <w:r w:rsidR="009D71A3">
        <w:t>Rule 5.01(5)</w:t>
      </w:r>
      <w:r w:rsidR="00D54C14">
        <w:t xml:space="preserve">). See Part 7 </w:t>
      </w:r>
      <w:r w:rsidR="001A5B86" w:rsidRPr="0091650E">
        <w:t xml:space="preserve">of the </w:t>
      </w:r>
      <w:r w:rsidR="00D54C14">
        <w:t>CP Rules</w:t>
      </w:r>
      <w:r w:rsidR="001A5B86" w:rsidRPr="0091650E">
        <w:t xml:space="preserve"> for rules about service.</w:t>
      </w:r>
    </w:p>
    <w:p w:rsidR="001A5B86" w:rsidRDefault="001A5B86" w:rsidP="001A5B86">
      <w:pPr>
        <w:numPr>
          <w:ilvl w:val="0"/>
          <w:numId w:val="1"/>
        </w:numPr>
        <w:spacing w:before="120"/>
      </w:pPr>
      <w:r w:rsidRPr="0091650E">
        <w:rPr>
          <w:b/>
        </w:rPr>
        <w:t>Accompanying affidavit</w:t>
      </w:r>
      <w:r>
        <w:rPr>
          <w:b/>
        </w:rPr>
        <w:t xml:space="preserve">: </w:t>
      </w:r>
      <w:r w:rsidRPr="0091650E">
        <w:t xml:space="preserve">A written bail application must be accompanied by an affidavit </w:t>
      </w:r>
      <w:r>
        <w:t xml:space="preserve">that complies with any practice note dealing with applications for bail: </w:t>
      </w:r>
      <w:r w:rsidR="009D71A3">
        <w:t>(</w:t>
      </w:r>
      <w:r>
        <w:t xml:space="preserve">CP </w:t>
      </w:r>
      <w:r w:rsidRPr="009D71A3">
        <w:t xml:space="preserve">Rule </w:t>
      </w:r>
      <w:r w:rsidR="009D71A3">
        <w:t>5.01(3))</w:t>
      </w:r>
      <w:r w:rsidRPr="009D71A3">
        <w:t>.</w:t>
      </w:r>
    </w:p>
    <w:p w:rsidR="001A5B86" w:rsidRDefault="001A5B86" w:rsidP="001A5B86">
      <w:pPr>
        <w:spacing w:before="120"/>
        <w:ind w:left="360"/>
        <w:rPr>
          <w:i/>
        </w:rPr>
      </w:pPr>
      <w:r w:rsidRPr="00CC0249">
        <w:t xml:space="preserve">If the Court has previously refused to grant bail to the accused for the offence, the affidavit must describe the material change of circumstances since the refusal: see section </w:t>
      </w:r>
      <w:proofErr w:type="gramStart"/>
      <w:r w:rsidRPr="00CC0249">
        <w:t>58DA(</w:t>
      </w:r>
      <w:proofErr w:type="gramEnd"/>
      <w:r w:rsidRPr="00CC0249">
        <w:t xml:space="preserve">2) of the </w:t>
      </w:r>
      <w:r w:rsidRPr="00CC0249">
        <w:rPr>
          <w:i/>
        </w:rPr>
        <w:t>Federal Court of Australia Act 1976.</w:t>
      </w:r>
    </w:p>
    <w:p w:rsidR="002C6543" w:rsidRPr="0091650E" w:rsidRDefault="009D71A3" w:rsidP="001A5B86">
      <w:pPr>
        <w:spacing w:before="120"/>
        <w:ind w:left="360"/>
      </w:pPr>
      <w:r>
        <w:t>Practice n</w:t>
      </w:r>
      <w:r w:rsidR="002C6543">
        <w:t>otes are available on the Federal Court</w:t>
      </w:r>
      <w:r>
        <w:t>’s</w:t>
      </w:r>
      <w:r w:rsidR="002C6543">
        <w:t xml:space="preserve"> website</w:t>
      </w:r>
      <w:r w:rsidR="007669DF">
        <w:t xml:space="preserve"> at http://www.fedcourt.gov.au.</w:t>
      </w:r>
    </w:p>
    <w:p w:rsidR="001A5B86" w:rsidRDefault="001A5B86" w:rsidP="00A311B7">
      <w:pPr>
        <w:spacing w:before="120"/>
      </w:pPr>
    </w:p>
    <w:sectPr w:rsidR="001A5B86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51" w:rsidRDefault="00817051">
      <w:r>
        <w:separator/>
      </w:r>
    </w:p>
  </w:endnote>
  <w:endnote w:type="continuationSeparator" w:id="0">
    <w:p w:rsidR="00817051" w:rsidRDefault="0081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70" w:rsidRDefault="00F065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70" w:rsidRDefault="00F065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82555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F06570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51" w:rsidRDefault="00817051">
      <w:r>
        <w:separator/>
      </w:r>
    </w:p>
  </w:footnote>
  <w:footnote w:type="continuationSeparator" w:id="0">
    <w:p w:rsidR="00817051" w:rsidRDefault="00817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70" w:rsidRDefault="00F065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F0657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70" w:rsidRDefault="00F065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0A30"/>
    <w:multiLevelType w:val="hybridMultilevel"/>
    <w:tmpl w:val="81028C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505CA"/>
    <w:rsid w:val="0006598D"/>
    <w:rsid w:val="0008006D"/>
    <w:rsid w:val="00084EA1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6AAD"/>
    <w:rsid w:val="000D7B69"/>
    <w:rsid w:val="000E268B"/>
    <w:rsid w:val="000E268D"/>
    <w:rsid w:val="000E2B49"/>
    <w:rsid w:val="000E5C15"/>
    <w:rsid w:val="000F2D0C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5B86"/>
    <w:rsid w:val="001A618F"/>
    <w:rsid w:val="001B46BB"/>
    <w:rsid w:val="001C2814"/>
    <w:rsid w:val="001C6CC8"/>
    <w:rsid w:val="001D7154"/>
    <w:rsid w:val="001E5360"/>
    <w:rsid w:val="001F646F"/>
    <w:rsid w:val="002101DA"/>
    <w:rsid w:val="0024251C"/>
    <w:rsid w:val="00256333"/>
    <w:rsid w:val="00257773"/>
    <w:rsid w:val="002720B0"/>
    <w:rsid w:val="00287B43"/>
    <w:rsid w:val="002A0DC2"/>
    <w:rsid w:val="002C0B84"/>
    <w:rsid w:val="002C3A1C"/>
    <w:rsid w:val="002C489D"/>
    <w:rsid w:val="002C6543"/>
    <w:rsid w:val="002C6DDE"/>
    <w:rsid w:val="002E3B0F"/>
    <w:rsid w:val="002E48E9"/>
    <w:rsid w:val="00301564"/>
    <w:rsid w:val="0030421C"/>
    <w:rsid w:val="00305DEE"/>
    <w:rsid w:val="003141BD"/>
    <w:rsid w:val="00323EFF"/>
    <w:rsid w:val="00345ECD"/>
    <w:rsid w:val="00363078"/>
    <w:rsid w:val="00367CDA"/>
    <w:rsid w:val="0038166B"/>
    <w:rsid w:val="00386ABE"/>
    <w:rsid w:val="003B34BD"/>
    <w:rsid w:val="003B6CCD"/>
    <w:rsid w:val="003F2247"/>
    <w:rsid w:val="003F4D25"/>
    <w:rsid w:val="00401E35"/>
    <w:rsid w:val="00401F16"/>
    <w:rsid w:val="00412B71"/>
    <w:rsid w:val="00420E94"/>
    <w:rsid w:val="00422FFC"/>
    <w:rsid w:val="00424931"/>
    <w:rsid w:val="00424E63"/>
    <w:rsid w:val="004335E4"/>
    <w:rsid w:val="00436565"/>
    <w:rsid w:val="00445622"/>
    <w:rsid w:val="00445D09"/>
    <w:rsid w:val="004509A4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30AAF"/>
    <w:rsid w:val="00533B0F"/>
    <w:rsid w:val="0053788D"/>
    <w:rsid w:val="005407A7"/>
    <w:rsid w:val="005774EF"/>
    <w:rsid w:val="00577842"/>
    <w:rsid w:val="00586906"/>
    <w:rsid w:val="005A09C6"/>
    <w:rsid w:val="005A0F24"/>
    <w:rsid w:val="005A4A53"/>
    <w:rsid w:val="005B7D3F"/>
    <w:rsid w:val="005C251D"/>
    <w:rsid w:val="005D4A27"/>
    <w:rsid w:val="005D52F7"/>
    <w:rsid w:val="005E7051"/>
    <w:rsid w:val="00612B79"/>
    <w:rsid w:val="00623BF1"/>
    <w:rsid w:val="0062487B"/>
    <w:rsid w:val="00634422"/>
    <w:rsid w:val="0063593C"/>
    <w:rsid w:val="006411DD"/>
    <w:rsid w:val="00650805"/>
    <w:rsid w:val="00663AC4"/>
    <w:rsid w:val="00671BD4"/>
    <w:rsid w:val="006730C1"/>
    <w:rsid w:val="006730C4"/>
    <w:rsid w:val="0067337C"/>
    <w:rsid w:val="00680190"/>
    <w:rsid w:val="006911C6"/>
    <w:rsid w:val="006A0447"/>
    <w:rsid w:val="006B337A"/>
    <w:rsid w:val="006B34A7"/>
    <w:rsid w:val="006B3F0F"/>
    <w:rsid w:val="006B5EE4"/>
    <w:rsid w:val="006C5D8A"/>
    <w:rsid w:val="006D10C2"/>
    <w:rsid w:val="006D6C41"/>
    <w:rsid w:val="006E1CA8"/>
    <w:rsid w:val="006E3451"/>
    <w:rsid w:val="00711161"/>
    <w:rsid w:val="0071374F"/>
    <w:rsid w:val="0072427C"/>
    <w:rsid w:val="00732FD7"/>
    <w:rsid w:val="00734872"/>
    <w:rsid w:val="007366D1"/>
    <w:rsid w:val="00740229"/>
    <w:rsid w:val="00754EA8"/>
    <w:rsid w:val="00757EB0"/>
    <w:rsid w:val="00761D82"/>
    <w:rsid w:val="007669DF"/>
    <w:rsid w:val="0076748B"/>
    <w:rsid w:val="00775D2C"/>
    <w:rsid w:val="00780EDA"/>
    <w:rsid w:val="00782A0E"/>
    <w:rsid w:val="007835E7"/>
    <w:rsid w:val="00787DAB"/>
    <w:rsid w:val="007914BA"/>
    <w:rsid w:val="00793F4A"/>
    <w:rsid w:val="007A796E"/>
    <w:rsid w:val="007A7D7B"/>
    <w:rsid w:val="007B077B"/>
    <w:rsid w:val="007B0B2D"/>
    <w:rsid w:val="007C096E"/>
    <w:rsid w:val="007D47F1"/>
    <w:rsid w:val="007F6059"/>
    <w:rsid w:val="007F7BD5"/>
    <w:rsid w:val="00812A60"/>
    <w:rsid w:val="00814265"/>
    <w:rsid w:val="00817051"/>
    <w:rsid w:val="008203A9"/>
    <w:rsid w:val="0082555A"/>
    <w:rsid w:val="008443D5"/>
    <w:rsid w:val="00846A8A"/>
    <w:rsid w:val="008622FB"/>
    <w:rsid w:val="008734BC"/>
    <w:rsid w:val="00880B04"/>
    <w:rsid w:val="0088654E"/>
    <w:rsid w:val="00887275"/>
    <w:rsid w:val="00887AC7"/>
    <w:rsid w:val="008958C7"/>
    <w:rsid w:val="00895F11"/>
    <w:rsid w:val="008B56CC"/>
    <w:rsid w:val="008D0B8D"/>
    <w:rsid w:val="008F0FE7"/>
    <w:rsid w:val="008F40FA"/>
    <w:rsid w:val="00903F1C"/>
    <w:rsid w:val="00925B3B"/>
    <w:rsid w:val="00925EB9"/>
    <w:rsid w:val="009310BB"/>
    <w:rsid w:val="0094047A"/>
    <w:rsid w:val="00953C6B"/>
    <w:rsid w:val="00962575"/>
    <w:rsid w:val="0097392B"/>
    <w:rsid w:val="00977729"/>
    <w:rsid w:val="009A225A"/>
    <w:rsid w:val="009A41A6"/>
    <w:rsid w:val="009B513F"/>
    <w:rsid w:val="009B6C44"/>
    <w:rsid w:val="009D71A3"/>
    <w:rsid w:val="009E795C"/>
    <w:rsid w:val="00A06F4E"/>
    <w:rsid w:val="00A311B7"/>
    <w:rsid w:val="00A322C0"/>
    <w:rsid w:val="00A52544"/>
    <w:rsid w:val="00A52948"/>
    <w:rsid w:val="00A60CF7"/>
    <w:rsid w:val="00A65BD2"/>
    <w:rsid w:val="00A6679A"/>
    <w:rsid w:val="00A90292"/>
    <w:rsid w:val="00AC396F"/>
    <w:rsid w:val="00AC6672"/>
    <w:rsid w:val="00AC787B"/>
    <w:rsid w:val="00AD6570"/>
    <w:rsid w:val="00B10F58"/>
    <w:rsid w:val="00B14D02"/>
    <w:rsid w:val="00B51705"/>
    <w:rsid w:val="00B63C46"/>
    <w:rsid w:val="00B74349"/>
    <w:rsid w:val="00B75C00"/>
    <w:rsid w:val="00B86371"/>
    <w:rsid w:val="00B91FF0"/>
    <w:rsid w:val="00B9246E"/>
    <w:rsid w:val="00BA1760"/>
    <w:rsid w:val="00BA1A28"/>
    <w:rsid w:val="00BA34A4"/>
    <w:rsid w:val="00BA3D38"/>
    <w:rsid w:val="00BA49CD"/>
    <w:rsid w:val="00BA5609"/>
    <w:rsid w:val="00BB48B6"/>
    <w:rsid w:val="00BC104F"/>
    <w:rsid w:val="00BC752C"/>
    <w:rsid w:val="00BC7559"/>
    <w:rsid w:val="00BD6B13"/>
    <w:rsid w:val="00BF4CE4"/>
    <w:rsid w:val="00BF5820"/>
    <w:rsid w:val="00C002C8"/>
    <w:rsid w:val="00C05566"/>
    <w:rsid w:val="00C104C4"/>
    <w:rsid w:val="00C15151"/>
    <w:rsid w:val="00C20EA0"/>
    <w:rsid w:val="00C27FF5"/>
    <w:rsid w:val="00C330C2"/>
    <w:rsid w:val="00C33FB6"/>
    <w:rsid w:val="00C545EB"/>
    <w:rsid w:val="00C6277A"/>
    <w:rsid w:val="00C62FE4"/>
    <w:rsid w:val="00C8159D"/>
    <w:rsid w:val="00CB012D"/>
    <w:rsid w:val="00CB1292"/>
    <w:rsid w:val="00CB25D4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2888"/>
    <w:rsid w:val="00D25F4E"/>
    <w:rsid w:val="00D2636E"/>
    <w:rsid w:val="00D3767C"/>
    <w:rsid w:val="00D5028D"/>
    <w:rsid w:val="00D54C14"/>
    <w:rsid w:val="00D54E06"/>
    <w:rsid w:val="00D57ABE"/>
    <w:rsid w:val="00D62964"/>
    <w:rsid w:val="00D67544"/>
    <w:rsid w:val="00D71EC9"/>
    <w:rsid w:val="00D7747F"/>
    <w:rsid w:val="00D811FE"/>
    <w:rsid w:val="00D830C0"/>
    <w:rsid w:val="00D942D8"/>
    <w:rsid w:val="00DB281E"/>
    <w:rsid w:val="00DE2B94"/>
    <w:rsid w:val="00E00F96"/>
    <w:rsid w:val="00E06290"/>
    <w:rsid w:val="00E105CF"/>
    <w:rsid w:val="00E35517"/>
    <w:rsid w:val="00E452E3"/>
    <w:rsid w:val="00E51C93"/>
    <w:rsid w:val="00E628AC"/>
    <w:rsid w:val="00E67569"/>
    <w:rsid w:val="00E723DF"/>
    <w:rsid w:val="00EC1C92"/>
    <w:rsid w:val="00ED5426"/>
    <w:rsid w:val="00ED619B"/>
    <w:rsid w:val="00EF5703"/>
    <w:rsid w:val="00F029F5"/>
    <w:rsid w:val="00F06570"/>
    <w:rsid w:val="00F17349"/>
    <w:rsid w:val="00F21572"/>
    <w:rsid w:val="00F33D90"/>
    <w:rsid w:val="00F36552"/>
    <w:rsid w:val="00F413CB"/>
    <w:rsid w:val="00F42368"/>
    <w:rsid w:val="00F9375B"/>
    <w:rsid w:val="00FC0BBB"/>
    <w:rsid w:val="00FD56EE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character" w:styleId="Hyperlink">
    <w:name w:val="Hyperlink"/>
    <w:rsid w:val="002C6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character" w:styleId="Hyperlink">
    <w:name w:val="Hyperlink"/>
    <w:rsid w:val="002C6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CP31 - Bail application</vt:lpstr>
    </vt:vector>
  </TitlesOfParts>
  <Company>Reliable Legal Precedents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CP31 - Bail application</dc:title>
  <dc:creator>Federal Court of Australia</dc:creator>
  <cp:lastModifiedBy>Jessica Der Matossian</cp:lastModifiedBy>
  <cp:revision>3</cp:revision>
  <cp:lastPrinted>2016-09-26T23:41:00Z</cp:lastPrinted>
  <dcterms:created xsi:type="dcterms:W3CDTF">2016-11-08T03:49:00Z</dcterms:created>
  <dcterms:modified xsi:type="dcterms:W3CDTF">2016-11-14T01:07:00Z</dcterms:modified>
</cp:coreProperties>
</file>