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B87253">
        <w:rPr>
          <w:szCs w:val="22"/>
        </w:rPr>
        <w:t>27</w:t>
      </w:r>
    </w:p>
    <w:p w:rsidR="000D7B69" w:rsidRDefault="007F3520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02029F">
        <w:rPr>
          <w:szCs w:val="22"/>
        </w:rPr>
        <w:t>4.</w:t>
      </w:r>
      <w:r w:rsidR="00D23694">
        <w:rPr>
          <w:szCs w:val="22"/>
        </w:rPr>
        <w:t>27</w:t>
      </w:r>
    </w:p>
    <w:p w:rsidR="00050FD2" w:rsidRPr="00125102" w:rsidRDefault="00050FD2" w:rsidP="00050FD2">
      <w:pPr>
        <w:rPr>
          <w:szCs w:val="22"/>
        </w:rPr>
      </w:pPr>
      <w:r w:rsidRPr="006874BA">
        <w:rPr>
          <w:szCs w:val="22"/>
        </w:rPr>
        <w:t xml:space="preserve">Federal Court of Australia Act 1976 section </w:t>
      </w:r>
      <w:proofErr w:type="gramStart"/>
      <w:r w:rsidRPr="006874BA">
        <w:rPr>
          <w:szCs w:val="22"/>
        </w:rPr>
        <w:t>30</w:t>
      </w:r>
      <w:r>
        <w:rPr>
          <w:szCs w:val="22"/>
        </w:rPr>
        <w:t>CB</w:t>
      </w:r>
      <w:r w:rsidR="00030D21">
        <w:rPr>
          <w:szCs w:val="22"/>
        </w:rPr>
        <w:t>(</w:t>
      </w:r>
      <w:proofErr w:type="gramEnd"/>
      <w:r w:rsidR="00030D21">
        <w:rPr>
          <w:szCs w:val="22"/>
        </w:rPr>
        <w:t>1)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590E88" w:rsidP="000D4A1D">
      <w:pPr>
        <w:pStyle w:val="FED1"/>
      </w:pPr>
      <w:r>
        <w:t>Application for leave to refer a question of law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>Federal Court of Australia</w:t>
      </w:r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1E2D7C" w:rsidRPr="002E3B0F" w:rsidRDefault="001E2D7C" w:rsidP="001E2D7C">
      <w:pPr>
        <w:rPr>
          <w:szCs w:val="22"/>
        </w:rPr>
      </w:pPr>
    </w:p>
    <w:p w:rsidR="001E2D7C" w:rsidRPr="00DB60C1" w:rsidRDefault="004040FB" w:rsidP="001E2D7C">
      <w:pPr>
        <w:spacing w:before="120" w:line="360" w:lineRule="auto"/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 w:rsidRPr="00E85786"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 w:rsidRPr="00E85786">
        <w:rPr>
          <w:b/>
        </w:rPr>
        <w:instrText xml:space="preserve"> FORMTEXT </w:instrText>
      </w:r>
      <w:r w:rsidRPr="00E85786">
        <w:rPr>
          <w:b/>
        </w:rPr>
      </w:r>
      <w:r w:rsidRPr="00E85786">
        <w:rPr>
          <w:b/>
        </w:rPr>
        <w:fldChar w:fldCharType="separate"/>
      </w:r>
      <w:r w:rsidRPr="00E85786">
        <w:rPr>
          <w:b/>
          <w:noProof/>
        </w:rPr>
        <w:t>[or other as appropriate]</w:t>
      </w:r>
      <w:r w:rsidRPr="00E85786">
        <w:rPr>
          <w:b/>
        </w:rPr>
        <w:fldChar w:fldCharType="end"/>
      </w:r>
      <w:r w:rsidR="001E2D7C">
        <w:rPr>
          <w:b/>
        </w:rPr>
        <w:br/>
      </w:r>
      <w:r w:rsidR="006B6A58">
        <w:t>Prosecutor</w:t>
      </w:r>
    </w:p>
    <w:p w:rsidR="001E2D7C" w:rsidRPr="00DB60C1" w:rsidRDefault="001E2D7C" w:rsidP="001E2D7C">
      <w:pPr>
        <w:spacing w:before="120" w:after="480" w:line="360" w:lineRule="auto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Respondent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Respondent]</w:t>
      </w:r>
      <w:r>
        <w:rPr>
          <w:b/>
        </w:rPr>
        <w:fldChar w:fldCharType="end"/>
      </w:r>
      <w:r>
        <w:rPr>
          <w:b/>
        </w:rPr>
        <w:br/>
      </w:r>
      <w:r w:rsidRPr="00DB60C1">
        <w:t>Respondent</w:t>
      </w:r>
    </w:p>
    <w:p w:rsidR="00590E88" w:rsidRPr="00590E88" w:rsidRDefault="00590E88" w:rsidP="00590E88">
      <w:pPr>
        <w:spacing w:before="120" w:line="360" w:lineRule="auto"/>
      </w:pPr>
      <w:r w:rsidRPr="00590E88">
        <w:t>To the Respondent</w:t>
      </w:r>
    </w:p>
    <w:p w:rsidR="00DA020C" w:rsidRPr="00DA020C" w:rsidRDefault="00DA020C" w:rsidP="00230535">
      <w:pPr>
        <w:spacing w:before="120" w:after="120" w:line="360" w:lineRule="auto"/>
        <w:rPr>
          <w:b/>
        </w:rPr>
      </w:pPr>
      <w:r w:rsidRPr="00230535">
        <w:rPr>
          <w:b/>
        </w:rPr>
        <w:t>Application and court hearing</w:t>
      </w:r>
    </w:p>
    <w:p w:rsidR="00590E88" w:rsidRPr="00590E88" w:rsidRDefault="00590E88" w:rsidP="00590E88">
      <w:pPr>
        <w:spacing w:before="120" w:line="360" w:lineRule="auto"/>
      </w:pPr>
      <w:r w:rsidRPr="00590E88">
        <w:t xml:space="preserve">The </w:t>
      </w:r>
      <w:r w:rsidR="006B6A58">
        <w:t>Prosecutor</w:t>
      </w:r>
      <w:r w:rsidRPr="00590E88">
        <w:t xml:space="preserve"> applies for leave to refer a question of law to a Full Court of the Federal Court of Australia for its determination under section </w:t>
      </w:r>
      <w:proofErr w:type="gramStart"/>
      <w:r w:rsidRPr="00590E88">
        <w:t>30CB</w:t>
      </w:r>
      <w:r w:rsidR="00520364">
        <w:t>(</w:t>
      </w:r>
      <w:proofErr w:type="gramEnd"/>
      <w:r w:rsidR="00520364">
        <w:t>1)</w:t>
      </w:r>
      <w:r w:rsidRPr="00590E88">
        <w:t xml:space="preserve"> of the </w:t>
      </w:r>
      <w:r w:rsidRPr="007D2BF0">
        <w:rPr>
          <w:i/>
        </w:rPr>
        <w:t>Federal Court of Australia Act 1976</w:t>
      </w:r>
      <w:r w:rsidRPr="00590E88">
        <w:t>.</w:t>
      </w:r>
    </w:p>
    <w:p w:rsidR="00DA020C" w:rsidRDefault="00DA020C" w:rsidP="00DA020C">
      <w:pPr>
        <w:spacing w:before="120" w:line="360" w:lineRule="auto"/>
      </w:pPr>
      <w:r>
        <w:t>The Court will hear this application, or make orders for the conduct of the application, at the time, date and place shown in the Notice of Filing and Hearing attached.</w:t>
      </w:r>
      <w:r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application is accepted for filing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[Note: The Court will insert the Notice of Filing and Hearing as a coversheet when this application is accepted for filing.]</w:t>
      </w:r>
      <w:r>
        <w:fldChar w:fldCharType="end"/>
      </w:r>
      <w:r>
        <w:rPr>
          <w:color w:val="1F497D"/>
        </w:rPr>
        <w:t xml:space="preserve"> </w:t>
      </w:r>
      <w:r>
        <w:t xml:space="preserve">If you or your </w:t>
      </w:r>
      <w:proofErr w:type="gramStart"/>
      <w:r>
        <w:t>lawyer do</w:t>
      </w:r>
      <w:proofErr w:type="gramEnd"/>
      <w:r>
        <w:t xml:space="preserve"> not attend, then the Court may make orders in your absence.</w:t>
      </w:r>
    </w:p>
    <w:p w:rsidR="003C649A" w:rsidRDefault="003C649A" w:rsidP="00590E88">
      <w:pPr>
        <w:spacing w:before="120" w:line="360" w:lineRule="auto"/>
      </w:pPr>
      <w:r w:rsidRPr="005B7314">
        <w:t xml:space="preserve">If you want to appear at the hearing </w:t>
      </w:r>
      <w:r w:rsidR="00D94E56" w:rsidRPr="005B7314">
        <w:t>of the application for leave</w:t>
      </w:r>
      <w:r w:rsidR="00520364" w:rsidRPr="005B7314">
        <w:t>,</w:t>
      </w:r>
      <w:r w:rsidR="00D94E56" w:rsidRPr="005B7314">
        <w:t xml:space="preserve"> </w:t>
      </w:r>
      <w:r w:rsidRPr="005B7314">
        <w:t>you must file in the Registry</w:t>
      </w:r>
      <w:r w:rsidR="00D94E56" w:rsidRPr="005B7314">
        <w:t xml:space="preserve"> a notice of intended appearance (Form CP</w:t>
      </w:r>
      <w:r w:rsidR="00EC5A86" w:rsidRPr="005B7314">
        <w:t>2</w:t>
      </w:r>
      <w:r w:rsidR="00B87253" w:rsidRPr="005B7314">
        <w:t>9</w:t>
      </w:r>
      <w:r w:rsidR="00D94E56" w:rsidRPr="005B7314">
        <w:t xml:space="preserve">) </w:t>
      </w:r>
      <w:r w:rsidR="00B87253" w:rsidRPr="005B7314">
        <w:t xml:space="preserve">and </w:t>
      </w:r>
      <w:r w:rsidR="007D2BF0" w:rsidRPr="005B7314">
        <w:t>a</w:t>
      </w:r>
      <w:r w:rsidR="00D94E56" w:rsidRPr="005B7314">
        <w:t xml:space="preserve"> notice of address for service </w:t>
      </w:r>
      <w:r w:rsidR="00B87253" w:rsidRPr="005B7314">
        <w:t xml:space="preserve">(Form CP10) </w:t>
      </w:r>
      <w:r w:rsidR="00D94E56" w:rsidRPr="005B7314">
        <w:t xml:space="preserve">as required by </w:t>
      </w:r>
      <w:r w:rsidR="00FF1429" w:rsidRPr="005B7314">
        <w:t>CP R</w:t>
      </w:r>
      <w:r w:rsidR="00D94E56" w:rsidRPr="005B7314">
        <w:t>ule 4.</w:t>
      </w:r>
      <w:r w:rsidR="00D23694">
        <w:t>31</w:t>
      </w:r>
      <w:r w:rsidRPr="005B7314">
        <w:t>.</w:t>
      </w:r>
    </w:p>
    <w:p w:rsidR="00DA020C" w:rsidRDefault="00DA020C" w:rsidP="00590E88">
      <w:pPr>
        <w:spacing w:before="120" w:line="360" w:lineRule="auto"/>
      </w:pPr>
    </w:p>
    <w:p w:rsidR="0002029F" w:rsidRPr="007D2BF0" w:rsidRDefault="0002029F" w:rsidP="00230535">
      <w:pPr>
        <w:keepNext/>
        <w:spacing w:before="240" w:after="120" w:line="360" w:lineRule="auto"/>
        <w:rPr>
          <w:b/>
        </w:rPr>
      </w:pPr>
      <w:r w:rsidRPr="007D2BF0">
        <w:rPr>
          <w:b/>
        </w:rPr>
        <w:t xml:space="preserve">Question of law </w:t>
      </w:r>
    </w:p>
    <w:p w:rsidR="0002029F" w:rsidRPr="00590E88" w:rsidRDefault="00AE2BEB" w:rsidP="0002029F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dentify precisely the question of law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[Identify precisely the question of law]</w:t>
      </w:r>
      <w:r>
        <w:fldChar w:fldCharType="end"/>
      </w:r>
    </w:p>
    <w:p w:rsidR="00AE2BEB" w:rsidRDefault="00AE2BEB" w:rsidP="0002029F">
      <w:pPr>
        <w:spacing w:before="120" w:line="360" w:lineRule="auto"/>
      </w:pPr>
    </w:p>
    <w:p w:rsidR="00FF1429" w:rsidRDefault="00FF1429" w:rsidP="00230535">
      <w:pPr>
        <w:keepNext/>
        <w:spacing w:before="120" w:after="120" w:line="360" w:lineRule="auto"/>
      </w:pPr>
      <w:r w:rsidRPr="00EB065F">
        <w:rPr>
          <w:b/>
        </w:rPr>
        <w:lastRenderedPageBreak/>
        <w:t>Accompanying affidavit</w:t>
      </w:r>
    </w:p>
    <w:p w:rsidR="00AE2BEB" w:rsidRDefault="00B4715E" w:rsidP="00230535">
      <w:pPr>
        <w:keepNext/>
        <w:spacing w:before="120" w:line="360" w:lineRule="auto"/>
      </w:pPr>
      <w:r>
        <w:t xml:space="preserve">This application </w:t>
      </w:r>
      <w:r w:rsidR="00E065A3">
        <w:t>must be</w:t>
      </w:r>
      <w:r>
        <w:t xml:space="preserve"> accompanied by an </w:t>
      </w:r>
      <w:r w:rsidR="006B6A58">
        <w:t>affidavit</w:t>
      </w:r>
      <w:r>
        <w:t xml:space="preserve"> stating</w:t>
      </w:r>
      <w:r w:rsidR="006B6A58">
        <w:t xml:space="preserve"> </w:t>
      </w:r>
      <w:r w:rsidR="00E065A3">
        <w:t xml:space="preserve">briefly, but specifically, </w:t>
      </w:r>
      <w:r w:rsidR="006B6A58">
        <w:t xml:space="preserve">the facts </w:t>
      </w:r>
      <w:r w:rsidR="00E065A3">
        <w:t>that</w:t>
      </w:r>
      <w:r>
        <w:t xml:space="preserve"> support </w:t>
      </w:r>
      <w:r w:rsidR="006B6A58">
        <w:t>the application</w:t>
      </w:r>
      <w:r>
        <w:t>, including</w:t>
      </w:r>
      <w:r w:rsidR="006B6A58">
        <w:t xml:space="preserve"> the reason why the Court should consider the question of law.</w:t>
      </w:r>
    </w:p>
    <w:p w:rsidR="00BB4E7E" w:rsidRDefault="00BB4E7E" w:rsidP="0002029F">
      <w:pPr>
        <w:spacing w:before="120" w:line="360" w:lineRule="auto"/>
      </w:pPr>
      <w:r>
        <w:t xml:space="preserve">The Respondent was acquitted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>.</w:t>
      </w:r>
    </w:p>
    <w:p w:rsidR="00AE2BEB" w:rsidRPr="007D2BF0" w:rsidRDefault="00BF0B0D" w:rsidP="00755D2F">
      <w:pPr>
        <w:keepNext/>
        <w:spacing w:before="120" w:line="360" w:lineRule="auto"/>
        <w:rPr>
          <w:b/>
        </w:rPr>
      </w:pPr>
      <w:r w:rsidRPr="00590E88">
        <w:rPr>
          <w:b/>
        </w:rPr>
        <w:t xml:space="preserve">Arrangements to ensure that </w:t>
      </w:r>
      <w:r>
        <w:rPr>
          <w:b/>
        </w:rPr>
        <w:t>acquitted person</w:t>
      </w:r>
      <w:r w:rsidRPr="00590E88">
        <w:rPr>
          <w:b/>
        </w:rPr>
        <w:t xml:space="preserve"> is </w:t>
      </w:r>
      <w:r w:rsidR="00E065A3">
        <w:rPr>
          <w:b/>
        </w:rPr>
        <w:t>properly</w:t>
      </w:r>
      <w:r w:rsidRPr="00590E88">
        <w:rPr>
          <w:b/>
        </w:rPr>
        <w:t xml:space="preserve"> represented</w:t>
      </w:r>
    </w:p>
    <w:p w:rsidR="00AE2BEB" w:rsidRDefault="00AE2BEB" w:rsidP="0002029F">
      <w:pPr>
        <w:spacing w:before="120" w:line="360" w:lineRule="auto"/>
      </w:pPr>
      <w:r>
        <w:t xml:space="preserve">The </w:t>
      </w:r>
      <w:r w:rsidR="006B6A58">
        <w:t>Prosecutor</w:t>
      </w:r>
      <w:r>
        <w:t xml:space="preserve"> proposes the following </w:t>
      </w:r>
      <w:r w:rsidRPr="00AE2BEB">
        <w:t xml:space="preserve">arrangements to ensure </w:t>
      </w:r>
      <w:r w:rsidR="00B4715E">
        <w:t xml:space="preserve">that </w:t>
      </w:r>
      <w:r w:rsidR="0064031C">
        <w:t>you</w:t>
      </w:r>
      <w:r w:rsidRPr="00AE2BEB">
        <w:t xml:space="preserve"> will be properly represented if </w:t>
      </w:r>
      <w:r w:rsidR="0064031C">
        <w:t>you</w:t>
      </w:r>
      <w:r w:rsidRPr="00AE2BEB">
        <w:t xml:space="preserve"> want to </w:t>
      </w:r>
      <w:r w:rsidR="00BB4E7E">
        <w:t xml:space="preserve">appear at the hearing of this application or to </w:t>
      </w:r>
      <w:r w:rsidRPr="00AE2BEB">
        <w:t xml:space="preserve">make submissions </w:t>
      </w:r>
      <w:r w:rsidR="00E065A3">
        <w:t>in relation to the application for leave or in relation to the Court’s determination of</w:t>
      </w:r>
      <w:r w:rsidRPr="00AE2BEB">
        <w:t xml:space="preserve"> the question of law</w:t>
      </w:r>
      <w:r>
        <w:t>:</w:t>
      </w:r>
    </w:p>
    <w:p w:rsidR="00AE2BEB" w:rsidRDefault="00AE2BEB" w:rsidP="0002029F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et out proposed arrangemen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[set out proposed arrangements]</w:t>
      </w:r>
      <w:r>
        <w:fldChar w:fldCharType="end"/>
      </w:r>
    </w:p>
    <w:p w:rsidR="00BF0B0D" w:rsidRPr="007D2BF0" w:rsidRDefault="00BF0B0D" w:rsidP="0002029F">
      <w:pPr>
        <w:spacing w:before="120" w:line="360" w:lineRule="auto"/>
      </w:pPr>
    </w:p>
    <w:p w:rsidR="00AE2BEB" w:rsidRPr="007D2BF0" w:rsidRDefault="004B2A72" w:rsidP="0002029F">
      <w:pPr>
        <w:spacing w:before="120" w:line="360" w:lineRule="auto"/>
        <w:rPr>
          <w:b/>
        </w:rPr>
      </w:pPr>
      <w:r>
        <w:rPr>
          <w:b/>
        </w:rPr>
        <w:t>Arrangements to ensure that b</w:t>
      </w:r>
      <w:r w:rsidR="00BF0B0D" w:rsidRPr="007D2BF0">
        <w:rPr>
          <w:b/>
        </w:rPr>
        <w:t xml:space="preserve">oth sides </w:t>
      </w:r>
      <w:r>
        <w:rPr>
          <w:b/>
        </w:rPr>
        <w:t>will</w:t>
      </w:r>
      <w:r w:rsidR="00BF0B0D" w:rsidRPr="007D2BF0">
        <w:rPr>
          <w:b/>
        </w:rPr>
        <w:t xml:space="preserve"> be argued</w:t>
      </w:r>
    </w:p>
    <w:p w:rsidR="00AE2BEB" w:rsidRDefault="00AE2BEB" w:rsidP="0002029F">
      <w:pPr>
        <w:spacing w:before="120" w:line="360" w:lineRule="auto"/>
      </w:pPr>
      <w:r>
        <w:t xml:space="preserve">The </w:t>
      </w:r>
      <w:r w:rsidR="006B6A58">
        <w:t>Prosecutor</w:t>
      </w:r>
      <w:r>
        <w:t xml:space="preserve"> proposes the following </w:t>
      </w:r>
      <w:r w:rsidRPr="00AE2BEB">
        <w:t xml:space="preserve">arrangements to ensure that both sides of the issue will be argued if </w:t>
      </w:r>
      <w:r w:rsidR="0064031C">
        <w:t>you</w:t>
      </w:r>
      <w:r w:rsidRPr="00AE2BEB">
        <w:t xml:space="preserve"> do not want to make submissions</w:t>
      </w:r>
      <w:r w:rsidR="007D2BF0">
        <w:t xml:space="preserve"> </w:t>
      </w:r>
      <w:r w:rsidR="004B2A72">
        <w:t>in relation to the Court’s determination of</w:t>
      </w:r>
      <w:r w:rsidR="007D2BF0">
        <w:t xml:space="preserve"> the question of law</w:t>
      </w:r>
      <w:r w:rsidR="003C649A">
        <w:t>:</w:t>
      </w:r>
    </w:p>
    <w:p w:rsidR="003C649A" w:rsidRDefault="003C649A" w:rsidP="0002029F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et out proposed arrangemen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[set out proposed arrangements]</w:t>
      </w:r>
      <w:r>
        <w:fldChar w:fldCharType="end"/>
      </w:r>
    </w:p>
    <w:p w:rsidR="0002029F" w:rsidRDefault="0002029F" w:rsidP="00590E88">
      <w:pPr>
        <w:spacing w:before="120" w:line="360" w:lineRule="auto"/>
      </w:pPr>
    </w:p>
    <w:p w:rsidR="00590E88" w:rsidRPr="00590E88" w:rsidRDefault="00590E88" w:rsidP="00590E88">
      <w:pPr>
        <w:keepNext/>
        <w:spacing w:before="120" w:line="360" w:lineRule="auto"/>
        <w:rPr>
          <w:b/>
        </w:rPr>
      </w:pPr>
      <w:r w:rsidRPr="00590E88">
        <w:rPr>
          <w:b/>
        </w:rPr>
        <w:t>Information for Respondent</w:t>
      </w:r>
    </w:p>
    <w:p w:rsidR="00590E88" w:rsidRPr="00590E88" w:rsidRDefault="00590E88" w:rsidP="00590E88">
      <w:pPr>
        <w:keepNext/>
        <w:spacing w:before="120" w:line="360" w:lineRule="auto"/>
      </w:pPr>
      <w:r w:rsidRPr="00590E88">
        <w:t>The outcome of these proceedings cannot affect your status as an acquitted person.  If the Court gives leave to refer a question of law, the Full Court of the Federal Court of Australia will have power to make a ruling of law for use in future cases but it will not have power to set aside your acquittal or impose a sentence upon you.</w:t>
      </w:r>
    </w:p>
    <w:p w:rsidR="00590E88" w:rsidRPr="00590E88" w:rsidRDefault="00590E88" w:rsidP="00590E88">
      <w:pPr>
        <w:spacing w:before="120" w:line="360" w:lineRule="auto"/>
      </w:pPr>
      <w:r w:rsidRPr="00590E88">
        <w:t xml:space="preserve">If the Court gives </w:t>
      </w:r>
      <w:r w:rsidR="00BB4E7E">
        <w:t xml:space="preserve">the Prosecutor </w:t>
      </w:r>
      <w:r w:rsidRPr="00590E88">
        <w:t xml:space="preserve">leave to refer </w:t>
      </w:r>
      <w:r w:rsidR="00BB4E7E">
        <w:t>the</w:t>
      </w:r>
      <w:r w:rsidRPr="00590E88">
        <w:t xml:space="preserve"> question of law </w:t>
      </w:r>
      <w:r w:rsidR="00BB4E7E">
        <w:t xml:space="preserve">to a Full Court </w:t>
      </w:r>
      <w:r w:rsidRPr="00590E88">
        <w:t xml:space="preserve">you will </w:t>
      </w:r>
      <w:proofErr w:type="gramStart"/>
      <w:r w:rsidRPr="00590E88">
        <w:t>receive</w:t>
      </w:r>
      <w:proofErr w:type="gramEnd"/>
      <w:r w:rsidRPr="00590E88">
        <w:t xml:space="preserve"> a notice of referral</w:t>
      </w:r>
      <w:r w:rsidR="00BB4E7E">
        <w:t>, which will give you information about what to do if you want to appear when the question of law is heard</w:t>
      </w:r>
      <w:r w:rsidR="004847AE">
        <w:t>.</w:t>
      </w:r>
    </w:p>
    <w:p w:rsidR="00590E88" w:rsidRPr="00590E88" w:rsidRDefault="00590E88" w:rsidP="00590E88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590E88" w:rsidRPr="00A63BD2" w:rsidRDefault="00590E88" w:rsidP="00590E88">
            <w:pPr>
              <w:rPr>
                <w:rFonts w:cs="Arial"/>
                <w:szCs w:val="22"/>
              </w:rPr>
            </w:pPr>
            <w:r w:rsidRPr="00A63BD2">
              <w:rPr>
                <w:rFonts w:cs="Arial"/>
                <w:szCs w:val="22"/>
              </w:rPr>
              <w:t xml:space="preserve">Signed by </w:t>
            </w:r>
            <w:r w:rsidRPr="00A63BD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A63BD2">
              <w:rPr>
                <w:rFonts w:cs="Arial"/>
                <w:szCs w:val="22"/>
              </w:rPr>
              <w:instrText xml:space="preserve"> FORMTEXT </w:instrText>
            </w:r>
            <w:r w:rsidRPr="00A63BD2">
              <w:rPr>
                <w:rFonts w:cs="Arial"/>
                <w:szCs w:val="22"/>
              </w:rPr>
            </w:r>
            <w:r w:rsidRPr="00A63BD2">
              <w:rPr>
                <w:rFonts w:cs="Arial"/>
                <w:szCs w:val="22"/>
              </w:rPr>
              <w:fldChar w:fldCharType="separate"/>
            </w:r>
            <w:r w:rsidRPr="00A63BD2">
              <w:rPr>
                <w:rFonts w:cs="Arial"/>
                <w:szCs w:val="22"/>
              </w:rPr>
              <w:t>[Name]</w:t>
            </w:r>
            <w:r w:rsidRPr="00A63BD2">
              <w:rPr>
                <w:rFonts w:cs="Arial"/>
                <w:szCs w:val="22"/>
              </w:rPr>
              <w:fldChar w:fldCharType="end"/>
            </w:r>
          </w:p>
          <w:p w:rsidR="00E452E3" w:rsidRDefault="0002029F" w:rsidP="0002029F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For Commonwealth Director of Public Prosecutions]</w:t>
            </w:r>
            <w:r>
              <w:fldChar w:fldCharType="end"/>
            </w:r>
          </w:p>
        </w:tc>
      </w:tr>
    </w:tbl>
    <w:p w:rsidR="009A225A" w:rsidRDefault="009A225A" w:rsidP="00424E63"/>
    <w:p w:rsidR="0002029F" w:rsidRDefault="0002029F" w:rsidP="00273C0E">
      <w:pPr>
        <w:keepNext/>
        <w:spacing w:after="120"/>
        <w:rPr>
          <w:i/>
        </w:rPr>
      </w:pPr>
      <w:r w:rsidRPr="007D2BF0">
        <w:rPr>
          <w:i/>
        </w:rPr>
        <w:lastRenderedPageBreak/>
        <w:t>Note</w:t>
      </w:r>
      <w:r w:rsidR="003C649A">
        <w:rPr>
          <w:i/>
        </w:rPr>
        <w:t>s</w:t>
      </w:r>
    </w:p>
    <w:p w:rsidR="0002029F" w:rsidRDefault="0002029F" w:rsidP="00273C0E">
      <w:pPr>
        <w:keepNext/>
        <w:numPr>
          <w:ilvl w:val="0"/>
          <w:numId w:val="2"/>
        </w:numPr>
      </w:pPr>
      <w:r w:rsidRPr="006B6A58">
        <w:t>Section 30CB(1) of the Act allows the prosecutor to apply for leave to refer a question of law to a Full Court to provide guidance for future cases if a person has been acquitted following a trial on indictment.</w:t>
      </w:r>
    </w:p>
    <w:p w:rsidR="003C649A" w:rsidRDefault="003C649A" w:rsidP="00541167">
      <w:pPr>
        <w:numPr>
          <w:ilvl w:val="0"/>
          <w:numId w:val="2"/>
        </w:numPr>
        <w:spacing w:before="120"/>
      </w:pPr>
      <w:r>
        <w:t xml:space="preserve">An application </w:t>
      </w:r>
      <w:r w:rsidRPr="003C649A">
        <w:t xml:space="preserve">for leave to refer a question of law, under section </w:t>
      </w:r>
      <w:proofErr w:type="gramStart"/>
      <w:r w:rsidRPr="003C649A">
        <w:t>30CB(</w:t>
      </w:r>
      <w:proofErr w:type="gramEnd"/>
      <w:r w:rsidRPr="003C649A">
        <w:t xml:space="preserve">1) of the Act, must be </w:t>
      </w:r>
      <w:r>
        <w:t>filed no later than 28 days after the acquitted person is discharged</w:t>
      </w:r>
      <w:r w:rsidR="004B2A72">
        <w:t>. (CP Rule 4.</w:t>
      </w:r>
      <w:r w:rsidR="00D23694">
        <w:t>28</w:t>
      </w:r>
      <w:r w:rsidR="004B2A72">
        <w:t>(1)</w:t>
      </w:r>
    </w:p>
    <w:p w:rsidR="004B2A72" w:rsidRPr="00CF01F8" w:rsidRDefault="004B2A72" w:rsidP="00541167">
      <w:pPr>
        <w:numPr>
          <w:ilvl w:val="0"/>
          <w:numId w:val="2"/>
        </w:numPr>
        <w:spacing w:before="120"/>
      </w:pPr>
      <w:r w:rsidRPr="00755D2F">
        <w:rPr>
          <w:b/>
        </w:rPr>
        <w:t>Service</w:t>
      </w:r>
      <w:r>
        <w:t>: A stamped copy of this application and accompanying affidavit must be served personally on the acquitted person at least 5 days before the day fixed by the Court for hearing the application</w:t>
      </w:r>
      <w:r w:rsidR="00F94978">
        <w:t>:</w:t>
      </w:r>
      <w:r>
        <w:t xml:space="preserve"> (CP Rule 4.</w:t>
      </w:r>
      <w:r w:rsidR="00D23694">
        <w:t>28</w:t>
      </w:r>
      <w:r>
        <w:t>(2))</w:t>
      </w:r>
      <w:r w:rsidR="00F94978">
        <w:t>. See Part 7 of the CP Rules for rules about service.</w:t>
      </w:r>
    </w:p>
    <w:p w:rsidR="003C649A" w:rsidRPr="006B6A58" w:rsidRDefault="003C649A" w:rsidP="006B6A58">
      <w:pPr>
        <w:ind w:left="720"/>
      </w:pPr>
    </w:p>
    <w:sectPr w:rsidR="003C649A" w:rsidRPr="006B6A58" w:rsidSect="00757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63" w:rsidRDefault="005F3E63">
      <w:r>
        <w:separator/>
      </w:r>
    </w:p>
  </w:endnote>
  <w:endnote w:type="continuationSeparator" w:id="0">
    <w:p w:rsidR="005F3E63" w:rsidRDefault="005F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AC" w:rsidRDefault="009841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AC" w:rsidRDefault="009841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7F3520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9841AC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63" w:rsidRDefault="005F3E63">
      <w:r>
        <w:separator/>
      </w:r>
    </w:p>
  </w:footnote>
  <w:footnote w:type="continuationSeparator" w:id="0">
    <w:p w:rsidR="005F3E63" w:rsidRDefault="005F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AC" w:rsidRDefault="009841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841AC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AC" w:rsidRDefault="009841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32273"/>
    <w:multiLevelType w:val="hybridMultilevel"/>
    <w:tmpl w:val="B06819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387353"/>
    <w:multiLevelType w:val="hybridMultilevel"/>
    <w:tmpl w:val="EEB0632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0795D"/>
    <w:rsid w:val="000130CC"/>
    <w:rsid w:val="000161A3"/>
    <w:rsid w:val="0002029F"/>
    <w:rsid w:val="00030D21"/>
    <w:rsid w:val="000409E2"/>
    <w:rsid w:val="0004204A"/>
    <w:rsid w:val="000505CA"/>
    <w:rsid w:val="00050FD2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018"/>
    <w:rsid w:val="001B436F"/>
    <w:rsid w:val="001B46BB"/>
    <w:rsid w:val="001C0640"/>
    <w:rsid w:val="001C2814"/>
    <w:rsid w:val="001C4FAA"/>
    <w:rsid w:val="001D7154"/>
    <w:rsid w:val="001E2D7C"/>
    <w:rsid w:val="001F1207"/>
    <w:rsid w:val="001F646F"/>
    <w:rsid w:val="002101DA"/>
    <w:rsid w:val="00230535"/>
    <w:rsid w:val="00256333"/>
    <w:rsid w:val="00257773"/>
    <w:rsid w:val="002646B3"/>
    <w:rsid w:val="00273C0E"/>
    <w:rsid w:val="002A13B6"/>
    <w:rsid w:val="002A1595"/>
    <w:rsid w:val="002B2411"/>
    <w:rsid w:val="002C0B84"/>
    <w:rsid w:val="002C3A1C"/>
    <w:rsid w:val="002E3B0F"/>
    <w:rsid w:val="002E48E9"/>
    <w:rsid w:val="00301564"/>
    <w:rsid w:val="00305DEE"/>
    <w:rsid w:val="00306971"/>
    <w:rsid w:val="003141BD"/>
    <w:rsid w:val="00345ECD"/>
    <w:rsid w:val="00356FBB"/>
    <w:rsid w:val="00363078"/>
    <w:rsid w:val="00367CDA"/>
    <w:rsid w:val="0038166B"/>
    <w:rsid w:val="00386ABE"/>
    <w:rsid w:val="003968E5"/>
    <w:rsid w:val="0039772E"/>
    <w:rsid w:val="003B34BD"/>
    <w:rsid w:val="003B557E"/>
    <w:rsid w:val="003B6CCD"/>
    <w:rsid w:val="003B6F50"/>
    <w:rsid w:val="003C649A"/>
    <w:rsid w:val="003D4FA1"/>
    <w:rsid w:val="003F2247"/>
    <w:rsid w:val="00401E35"/>
    <w:rsid w:val="00401F16"/>
    <w:rsid w:val="004040FB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66255"/>
    <w:rsid w:val="004674F4"/>
    <w:rsid w:val="0047125D"/>
    <w:rsid w:val="0047140F"/>
    <w:rsid w:val="00472689"/>
    <w:rsid w:val="00474C28"/>
    <w:rsid w:val="00480E49"/>
    <w:rsid w:val="004847AE"/>
    <w:rsid w:val="00484BFB"/>
    <w:rsid w:val="004A4DA7"/>
    <w:rsid w:val="004B0148"/>
    <w:rsid w:val="004B2A72"/>
    <w:rsid w:val="004B5302"/>
    <w:rsid w:val="004B5B39"/>
    <w:rsid w:val="004B5F48"/>
    <w:rsid w:val="004B6D2F"/>
    <w:rsid w:val="004C6D24"/>
    <w:rsid w:val="004E2879"/>
    <w:rsid w:val="004F26D4"/>
    <w:rsid w:val="004F547F"/>
    <w:rsid w:val="00512ADA"/>
    <w:rsid w:val="0051379C"/>
    <w:rsid w:val="00520364"/>
    <w:rsid w:val="00530AAF"/>
    <w:rsid w:val="0053788D"/>
    <w:rsid w:val="005407A7"/>
    <w:rsid w:val="00541167"/>
    <w:rsid w:val="005774EF"/>
    <w:rsid w:val="00577842"/>
    <w:rsid w:val="00586906"/>
    <w:rsid w:val="00590E88"/>
    <w:rsid w:val="005A09C6"/>
    <w:rsid w:val="005A4A53"/>
    <w:rsid w:val="005B7314"/>
    <w:rsid w:val="005B7D3F"/>
    <w:rsid w:val="005C251D"/>
    <w:rsid w:val="005D52F7"/>
    <w:rsid w:val="005E3260"/>
    <w:rsid w:val="005E5987"/>
    <w:rsid w:val="005E7051"/>
    <w:rsid w:val="005F3E63"/>
    <w:rsid w:val="00612B79"/>
    <w:rsid w:val="0062487B"/>
    <w:rsid w:val="0063593C"/>
    <w:rsid w:val="0064031C"/>
    <w:rsid w:val="006411DD"/>
    <w:rsid w:val="00663AC4"/>
    <w:rsid w:val="00671BD4"/>
    <w:rsid w:val="006730C1"/>
    <w:rsid w:val="006730C4"/>
    <w:rsid w:val="006911C6"/>
    <w:rsid w:val="00695565"/>
    <w:rsid w:val="006A0447"/>
    <w:rsid w:val="006B2D2A"/>
    <w:rsid w:val="006B337A"/>
    <w:rsid w:val="006B34A7"/>
    <w:rsid w:val="006B6A58"/>
    <w:rsid w:val="006C5D8A"/>
    <w:rsid w:val="006C6768"/>
    <w:rsid w:val="006D6C41"/>
    <w:rsid w:val="006E1CA8"/>
    <w:rsid w:val="006E3451"/>
    <w:rsid w:val="006F012A"/>
    <w:rsid w:val="00711161"/>
    <w:rsid w:val="00712B1E"/>
    <w:rsid w:val="0071374F"/>
    <w:rsid w:val="007222B7"/>
    <w:rsid w:val="0072427C"/>
    <w:rsid w:val="00734872"/>
    <w:rsid w:val="007366D1"/>
    <w:rsid w:val="00754EA8"/>
    <w:rsid w:val="00755D2F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B6C7F"/>
    <w:rsid w:val="007C096E"/>
    <w:rsid w:val="007D2BF0"/>
    <w:rsid w:val="007D47F1"/>
    <w:rsid w:val="007F3520"/>
    <w:rsid w:val="007F6059"/>
    <w:rsid w:val="008012FC"/>
    <w:rsid w:val="00801B11"/>
    <w:rsid w:val="00812A60"/>
    <w:rsid w:val="00814265"/>
    <w:rsid w:val="008203A9"/>
    <w:rsid w:val="00846A8A"/>
    <w:rsid w:val="008622FB"/>
    <w:rsid w:val="00871D56"/>
    <w:rsid w:val="008734BC"/>
    <w:rsid w:val="00880B04"/>
    <w:rsid w:val="0088654E"/>
    <w:rsid w:val="00887AC7"/>
    <w:rsid w:val="008958C7"/>
    <w:rsid w:val="008966AA"/>
    <w:rsid w:val="008A6209"/>
    <w:rsid w:val="008F0FE7"/>
    <w:rsid w:val="008F40FA"/>
    <w:rsid w:val="009001C1"/>
    <w:rsid w:val="00903F1C"/>
    <w:rsid w:val="00925B3B"/>
    <w:rsid w:val="00925EB9"/>
    <w:rsid w:val="009310BB"/>
    <w:rsid w:val="00933D0E"/>
    <w:rsid w:val="0094047A"/>
    <w:rsid w:val="00953C6B"/>
    <w:rsid w:val="00953D92"/>
    <w:rsid w:val="00962575"/>
    <w:rsid w:val="0097392B"/>
    <w:rsid w:val="009841AC"/>
    <w:rsid w:val="009958D3"/>
    <w:rsid w:val="009A225A"/>
    <w:rsid w:val="009A41A6"/>
    <w:rsid w:val="009B513F"/>
    <w:rsid w:val="009B6C44"/>
    <w:rsid w:val="009D1BCC"/>
    <w:rsid w:val="00A027A7"/>
    <w:rsid w:val="00A06F4E"/>
    <w:rsid w:val="00A206C4"/>
    <w:rsid w:val="00A52544"/>
    <w:rsid w:val="00A52948"/>
    <w:rsid w:val="00A60CF7"/>
    <w:rsid w:val="00A64EF1"/>
    <w:rsid w:val="00A65BD2"/>
    <w:rsid w:val="00A90292"/>
    <w:rsid w:val="00A940FB"/>
    <w:rsid w:val="00AA1B97"/>
    <w:rsid w:val="00AA7FE8"/>
    <w:rsid w:val="00AC396F"/>
    <w:rsid w:val="00AD6570"/>
    <w:rsid w:val="00AE2BEB"/>
    <w:rsid w:val="00B127B8"/>
    <w:rsid w:val="00B14D02"/>
    <w:rsid w:val="00B3406E"/>
    <w:rsid w:val="00B4715E"/>
    <w:rsid w:val="00B51705"/>
    <w:rsid w:val="00B74349"/>
    <w:rsid w:val="00B75C00"/>
    <w:rsid w:val="00B86371"/>
    <w:rsid w:val="00B87253"/>
    <w:rsid w:val="00B91FF0"/>
    <w:rsid w:val="00BA1A28"/>
    <w:rsid w:val="00BA34A4"/>
    <w:rsid w:val="00BA3D38"/>
    <w:rsid w:val="00BB1CF6"/>
    <w:rsid w:val="00BB48B6"/>
    <w:rsid w:val="00BB4E7E"/>
    <w:rsid w:val="00BC104F"/>
    <w:rsid w:val="00BC7559"/>
    <w:rsid w:val="00BF0B0D"/>
    <w:rsid w:val="00BF4CE4"/>
    <w:rsid w:val="00BF5820"/>
    <w:rsid w:val="00C05566"/>
    <w:rsid w:val="00C104C4"/>
    <w:rsid w:val="00C20EA0"/>
    <w:rsid w:val="00C27FF5"/>
    <w:rsid w:val="00C545EB"/>
    <w:rsid w:val="00C6277A"/>
    <w:rsid w:val="00C62FE4"/>
    <w:rsid w:val="00C814B0"/>
    <w:rsid w:val="00CB012D"/>
    <w:rsid w:val="00CB1292"/>
    <w:rsid w:val="00CB3A06"/>
    <w:rsid w:val="00CB46CA"/>
    <w:rsid w:val="00CC2E11"/>
    <w:rsid w:val="00CC730D"/>
    <w:rsid w:val="00CE26D0"/>
    <w:rsid w:val="00CF01F8"/>
    <w:rsid w:val="00CF4F29"/>
    <w:rsid w:val="00D00EE6"/>
    <w:rsid w:val="00D06C0A"/>
    <w:rsid w:val="00D117E4"/>
    <w:rsid w:val="00D15DEB"/>
    <w:rsid w:val="00D221CE"/>
    <w:rsid w:val="00D23694"/>
    <w:rsid w:val="00D25F4E"/>
    <w:rsid w:val="00D2636E"/>
    <w:rsid w:val="00D30D61"/>
    <w:rsid w:val="00D37A6D"/>
    <w:rsid w:val="00D5028D"/>
    <w:rsid w:val="00D54E06"/>
    <w:rsid w:val="00D57ABE"/>
    <w:rsid w:val="00D62964"/>
    <w:rsid w:val="00D67544"/>
    <w:rsid w:val="00D71EC9"/>
    <w:rsid w:val="00D7747F"/>
    <w:rsid w:val="00D811FE"/>
    <w:rsid w:val="00D830C0"/>
    <w:rsid w:val="00D942D8"/>
    <w:rsid w:val="00D94E56"/>
    <w:rsid w:val="00DA020C"/>
    <w:rsid w:val="00DC4DFC"/>
    <w:rsid w:val="00DC70A2"/>
    <w:rsid w:val="00DE2B94"/>
    <w:rsid w:val="00DF53CC"/>
    <w:rsid w:val="00E00F96"/>
    <w:rsid w:val="00E065A3"/>
    <w:rsid w:val="00E35517"/>
    <w:rsid w:val="00E452E3"/>
    <w:rsid w:val="00E67569"/>
    <w:rsid w:val="00E723DF"/>
    <w:rsid w:val="00EB7005"/>
    <w:rsid w:val="00EC1C92"/>
    <w:rsid w:val="00EC5A86"/>
    <w:rsid w:val="00ED619B"/>
    <w:rsid w:val="00EF5703"/>
    <w:rsid w:val="00F029F5"/>
    <w:rsid w:val="00F17349"/>
    <w:rsid w:val="00F21572"/>
    <w:rsid w:val="00F33D90"/>
    <w:rsid w:val="00F36552"/>
    <w:rsid w:val="00F413CB"/>
    <w:rsid w:val="00F64E12"/>
    <w:rsid w:val="00F902E7"/>
    <w:rsid w:val="00F9375B"/>
    <w:rsid w:val="00F94978"/>
    <w:rsid w:val="00F953E9"/>
    <w:rsid w:val="00FC0BBB"/>
    <w:rsid w:val="00FE3ADF"/>
    <w:rsid w:val="00FF1429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8215-54F0-4BAE-B1DC-A18312DF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CP27 - Application for leave to refer a question of law</vt:lpstr>
    </vt:vector>
  </TitlesOfParts>
  <Company>Reliable Legal Precedents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CP27 - Application for leave to refer a question of law</dc:title>
  <dc:creator>Federal Court of Australia</dc:creator>
  <cp:lastModifiedBy>Jessica Der Matossian</cp:lastModifiedBy>
  <cp:revision>3</cp:revision>
  <cp:lastPrinted>2016-09-26T23:38:00Z</cp:lastPrinted>
  <dcterms:created xsi:type="dcterms:W3CDTF">2016-11-08T03:47:00Z</dcterms:created>
  <dcterms:modified xsi:type="dcterms:W3CDTF">2016-11-14T01:06:00Z</dcterms:modified>
</cp:coreProperties>
</file>