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1840" w:rsidRPr="00202BBA" w:rsidRDefault="00041840" w:rsidP="00041840">
      <w:pPr>
        <w:pStyle w:val="Schedulepart"/>
        <w:keepNext w:val="0"/>
        <w:keepLines w:val="0"/>
        <w:tabs>
          <w:tab w:val="left" w:pos="1560"/>
        </w:tabs>
        <w:spacing w:before="120"/>
      </w:pPr>
      <w:bookmarkStart w:id="0" w:name="_Toc331583609"/>
      <w:r w:rsidRPr="007E3E14">
        <w:rPr>
          <w:rStyle w:val="CharSchPTNo"/>
          <w:rFonts w:cs="Arial"/>
        </w:rPr>
        <w:t>Form 21</w:t>
      </w:r>
      <w:r w:rsidRPr="00202BBA">
        <w:tab/>
      </w:r>
      <w:r w:rsidRPr="007E3E14">
        <w:rPr>
          <w:rStyle w:val="CharSchPTText"/>
          <w:rFonts w:cs="Arial"/>
        </w:rPr>
        <w:t xml:space="preserve">Notice of making of order under </w:t>
      </w:r>
      <w:r>
        <w:rPr>
          <w:rStyle w:val="CharSchPTText"/>
          <w:rFonts w:cs="Arial"/>
        </w:rPr>
        <w:t xml:space="preserve">the </w:t>
      </w:r>
      <w:r w:rsidRPr="00FE5349">
        <w:rPr>
          <w:rStyle w:val="CharSchPTText"/>
          <w:rFonts w:cs="Arial"/>
          <w:i/>
        </w:rPr>
        <w:t>Cross</w:t>
      </w:r>
      <w:r w:rsidRPr="00FE5349">
        <w:rPr>
          <w:rStyle w:val="CharSchPTText"/>
          <w:rFonts w:cs="Arial"/>
          <w:i/>
        </w:rPr>
        <w:noBreakHyphen/>
        <w:t>Border Insolvency Act 2008</w:t>
      </w:r>
      <w:bookmarkEnd w:id="0"/>
    </w:p>
    <w:p w:rsidR="00041840" w:rsidRPr="00202BBA" w:rsidRDefault="00041840" w:rsidP="00041840">
      <w:pPr>
        <w:pStyle w:val="Schedulereference"/>
        <w:keepNext w:val="0"/>
        <w:keepLines w:val="0"/>
        <w:tabs>
          <w:tab w:val="center" w:pos="4323"/>
        </w:tabs>
        <w:ind w:left="1560"/>
      </w:pPr>
      <w:r w:rsidRPr="001A585A">
        <w:t>(rule 15A.7)</w:t>
      </w:r>
    </w:p>
    <w:p w:rsidR="00041840" w:rsidRPr="00202BBA" w:rsidRDefault="00041840" w:rsidP="00041840">
      <w:pPr>
        <w:pStyle w:val="Schedulepara"/>
        <w:tabs>
          <w:tab w:val="right" w:pos="7088"/>
        </w:tabs>
        <w:spacing w:before="240" w:line="360" w:lineRule="auto"/>
        <w:ind w:left="0" w:firstLine="0"/>
      </w:pPr>
      <w:r w:rsidRPr="00202BBA">
        <w:t>IN THE [</w:t>
      </w:r>
      <w:r w:rsidRPr="00202BBA">
        <w:rPr>
          <w:i/>
        </w:rPr>
        <w:t>name of Court</w:t>
      </w:r>
      <w:r w:rsidRPr="00202BBA">
        <w:t>]</w:t>
      </w:r>
      <w:r w:rsidRPr="00202BBA">
        <w:tab/>
        <w:t>No.</w:t>
      </w:r>
      <w:r>
        <w:t xml:space="preserve">  </w:t>
      </w:r>
      <w:r w:rsidRPr="00202BBA">
        <w:t xml:space="preserve"> of [</w:t>
      </w:r>
      <w:r w:rsidRPr="00202BBA">
        <w:rPr>
          <w:i/>
        </w:rPr>
        <w:t>year</w:t>
      </w:r>
      <w:r w:rsidRPr="00202BBA">
        <w:t>]</w:t>
      </w:r>
    </w:p>
    <w:p w:rsidR="00041840" w:rsidRPr="001A585A" w:rsidRDefault="00041840" w:rsidP="00041840">
      <w:pPr>
        <w:pStyle w:val="Schedulepara"/>
      </w:pPr>
      <w:r w:rsidRPr="001A585A">
        <w:t>[</w:t>
      </w:r>
      <w:r w:rsidRPr="001A585A">
        <w:rPr>
          <w:i/>
        </w:rPr>
        <w:t>Name of company</w:t>
      </w:r>
      <w:r w:rsidRPr="001A585A">
        <w:t>]</w:t>
      </w:r>
    </w:p>
    <w:p w:rsidR="00041840" w:rsidRPr="001A585A" w:rsidRDefault="00041840" w:rsidP="00041840">
      <w:pPr>
        <w:pStyle w:val="Schedulepara"/>
      </w:pPr>
      <w:r w:rsidRPr="00202BBA">
        <w:t xml:space="preserve">ABN or ACN: </w:t>
      </w:r>
      <w:r>
        <w:t>[</w:t>
      </w:r>
      <w:r w:rsidRPr="001A585A">
        <w:rPr>
          <w:i/>
        </w:rPr>
        <w:t>ABN or ACN of comp</w:t>
      </w:r>
      <w:r>
        <w:rPr>
          <w:i/>
        </w:rPr>
        <w:t>any to which proceeding relates</w:t>
      </w:r>
      <w:r>
        <w:t>]</w:t>
      </w:r>
    </w:p>
    <w:p w:rsidR="00041840" w:rsidRPr="00202BBA" w:rsidRDefault="00041840" w:rsidP="00041840">
      <w:pPr>
        <w:pStyle w:val="Schedulepara"/>
      </w:pPr>
      <w:r w:rsidRPr="00202BBA">
        <w:t xml:space="preserve">TO all the creditors of </w:t>
      </w:r>
      <w:r w:rsidRPr="001A585A">
        <w:t>[</w:t>
      </w:r>
      <w:r w:rsidRPr="001A585A">
        <w:rPr>
          <w:i/>
        </w:rPr>
        <w:t>name of company</w:t>
      </w:r>
      <w:r w:rsidRPr="001A585A">
        <w:t>]</w:t>
      </w:r>
      <w:r w:rsidRPr="00630256">
        <w:rPr>
          <w:i/>
        </w:rPr>
        <w:t>.</w:t>
      </w:r>
    </w:p>
    <w:p w:rsidR="00041840" w:rsidRPr="00202BBA" w:rsidRDefault="00041840" w:rsidP="00041840">
      <w:pPr>
        <w:pStyle w:val="Schedulepara"/>
      </w:pPr>
      <w:r w:rsidRPr="00202BBA">
        <w:t>TAKE NOTICE that:</w:t>
      </w:r>
    </w:p>
    <w:p w:rsidR="00041840" w:rsidRPr="00202BBA" w:rsidRDefault="00041840" w:rsidP="00041840">
      <w:pPr>
        <w:pStyle w:val="Schedulepara"/>
      </w:pPr>
      <w:r w:rsidRPr="00202BBA">
        <w:t>1.</w:t>
      </w:r>
      <w:r>
        <w:tab/>
      </w:r>
      <w:r w:rsidRPr="00202BBA">
        <w:tab/>
        <w:t>On [</w:t>
      </w:r>
      <w:r w:rsidRPr="00202BBA">
        <w:rPr>
          <w:i/>
        </w:rPr>
        <w:t>date</w:t>
      </w:r>
      <w:r w:rsidRPr="00202BBA">
        <w:t>], the [</w:t>
      </w:r>
      <w:r w:rsidRPr="00202BBA">
        <w:rPr>
          <w:i/>
        </w:rPr>
        <w:t>name of Court</w:t>
      </w:r>
      <w:r w:rsidRPr="00202BBA">
        <w:t>] in Proceeding No.</w:t>
      </w:r>
      <w:r>
        <w:t xml:space="preserve">  </w:t>
      </w:r>
      <w:r w:rsidRPr="00202BBA">
        <w:t xml:space="preserve"> of [</w:t>
      </w:r>
      <w:r w:rsidRPr="00202BBA">
        <w:rPr>
          <w:i/>
        </w:rPr>
        <w:t>year</w:t>
      </w:r>
      <w:r w:rsidRPr="00202BBA">
        <w:t>], commenced by the plaintiff [</w:t>
      </w:r>
      <w:r w:rsidRPr="00202BBA">
        <w:rPr>
          <w:i/>
        </w:rPr>
        <w:t>name of plaintiff</w:t>
      </w:r>
      <w:r w:rsidRPr="00202BBA">
        <w:t>]</w:t>
      </w:r>
      <w:r>
        <w:t>,</w:t>
      </w:r>
      <w:r w:rsidRPr="00202BBA">
        <w:t xml:space="preserve"> made the following orders under the </w:t>
      </w:r>
      <w:r w:rsidRPr="00202BBA">
        <w:rPr>
          <w:i/>
        </w:rPr>
        <w:t>Cross</w:t>
      </w:r>
      <w:r>
        <w:rPr>
          <w:i/>
        </w:rPr>
        <w:noBreakHyphen/>
      </w:r>
      <w:r w:rsidRPr="00202BBA">
        <w:rPr>
          <w:i/>
        </w:rPr>
        <w:t>Border Insolvency Act 2008</w:t>
      </w:r>
      <w:r>
        <w:t xml:space="preserve"> </w:t>
      </w:r>
      <w:r w:rsidRPr="00202BBA">
        <w:t>in relation to [</w:t>
      </w:r>
      <w:r w:rsidRPr="00202BBA">
        <w:rPr>
          <w:i/>
        </w:rPr>
        <w:t>name of company</w:t>
      </w:r>
      <w:r w:rsidRPr="00202BBA">
        <w:t xml:space="preserve">]: </w:t>
      </w:r>
      <w:r>
        <w:t xml:space="preserve"> </w:t>
      </w:r>
      <w:r w:rsidRPr="00202BBA">
        <w:rPr>
          <w:i/>
        </w:rPr>
        <w:tab/>
      </w:r>
      <w:r w:rsidRPr="00202BBA">
        <w:t>[</w:t>
      </w:r>
      <w:r w:rsidRPr="00202BBA">
        <w:rPr>
          <w:i/>
        </w:rPr>
        <w:t>insert details of order</w:t>
      </w:r>
      <w:r w:rsidRPr="00202BBA">
        <w:t>]</w:t>
      </w:r>
      <w:r>
        <w:t>.</w:t>
      </w:r>
    </w:p>
    <w:p w:rsidR="00041840" w:rsidRPr="00202BBA" w:rsidRDefault="00041840" w:rsidP="00041840">
      <w:pPr>
        <w:pStyle w:val="Schedulepara"/>
      </w:pPr>
      <w:r w:rsidRPr="00202BBA">
        <w:t>2.</w:t>
      </w:r>
      <w:r w:rsidRPr="00202BBA">
        <w:tab/>
      </w:r>
      <w:r>
        <w:tab/>
      </w:r>
      <w:r w:rsidRPr="00202BBA">
        <w:t>The plaintiff’s address for service is [</w:t>
      </w:r>
      <w:r w:rsidRPr="00202BBA">
        <w:rPr>
          <w:i/>
        </w:rPr>
        <w:t>name and address of plaintiff’s legal practitioner or, if there is no legal practitioner, address</w:t>
      </w:r>
      <w:r>
        <w:rPr>
          <w:i/>
        </w:rPr>
        <w:t xml:space="preserve"> </w:t>
      </w:r>
      <w:r w:rsidRPr="00202BBA">
        <w:rPr>
          <w:i/>
        </w:rPr>
        <w:t>of the plaintiff</w:t>
      </w:r>
      <w:r w:rsidRPr="00202BBA">
        <w:t>].</w:t>
      </w:r>
    </w:p>
    <w:p w:rsidR="00041840" w:rsidRPr="00202BBA" w:rsidRDefault="00041840" w:rsidP="00041840">
      <w:pPr>
        <w:pStyle w:val="Schedulepara"/>
      </w:pPr>
      <w:r w:rsidRPr="00202BBA">
        <w:t>3.</w:t>
      </w:r>
      <w:r w:rsidRPr="00202BBA">
        <w:tab/>
      </w:r>
      <w:r>
        <w:tab/>
      </w:r>
      <w:r w:rsidRPr="00202BBA">
        <w:t xml:space="preserve">The name and address of the foreign representative </w:t>
      </w:r>
      <w:r>
        <w:t xml:space="preserve">is </w:t>
      </w:r>
      <w:r w:rsidRPr="00202BBA">
        <w:t>[</w:t>
      </w:r>
      <w:r w:rsidRPr="00202BBA">
        <w:rPr>
          <w:i/>
        </w:rPr>
        <w:t>insert name and address</w:t>
      </w:r>
      <w:r>
        <w:t>].</w:t>
      </w:r>
    </w:p>
    <w:p w:rsidR="00041840" w:rsidRPr="00202BBA" w:rsidRDefault="00041840" w:rsidP="00041840">
      <w:pPr>
        <w:pStyle w:val="Schedulepara"/>
      </w:pPr>
      <w:r w:rsidRPr="00202BBA">
        <w:t>4.</w:t>
      </w:r>
      <w:r w:rsidRPr="00202BBA">
        <w:tab/>
      </w:r>
      <w:r>
        <w:tab/>
      </w:r>
      <w:r w:rsidRPr="00202BBA">
        <w:t xml:space="preserve">The name and address of </w:t>
      </w:r>
      <w:r>
        <w:t>the</w:t>
      </w:r>
      <w:r w:rsidRPr="00202BBA">
        <w:t xml:space="preserve"> person entrusted with distribution of the company’s assets </w:t>
      </w:r>
      <w:r>
        <w:t>is [i</w:t>
      </w:r>
      <w:r w:rsidRPr="00202BBA">
        <w:rPr>
          <w:i/>
        </w:rPr>
        <w:t>nsert name and address</w:t>
      </w:r>
      <w:r>
        <w:t>].</w:t>
      </w:r>
      <w:r w:rsidRPr="00202BBA">
        <w:t>*</w:t>
      </w:r>
    </w:p>
    <w:p w:rsidR="00041840" w:rsidRPr="00202BBA" w:rsidRDefault="00041840" w:rsidP="00041840">
      <w:pPr>
        <w:pStyle w:val="Schedulepara"/>
        <w:spacing w:before="240" w:line="360" w:lineRule="auto"/>
        <w:ind w:left="0" w:firstLine="0"/>
      </w:pPr>
      <w:r w:rsidRPr="00202BBA">
        <w:t>Date:</w:t>
      </w:r>
    </w:p>
    <w:p w:rsidR="00041840" w:rsidRPr="00202BBA" w:rsidRDefault="00041840" w:rsidP="00041840">
      <w:pPr>
        <w:pStyle w:val="Schedulepara"/>
        <w:spacing w:before="120" w:line="360" w:lineRule="auto"/>
        <w:ind w:left="0" w:firstLine="0"/>
      </w:pPr>
      <w:r w:rsidRPr="00202BBA">
        <w:t>Name of plaintiff or plaintiff’s legal practitioner: [</w:t>
      </w:r>
      <w:r w:rsidRPr="00202BBA">
        <w:rPr>
          <w:i/>
        </w:rPr>
        <w:t>name</w:t>
      </w:r>
      <w:r w:rsidRPr="00202BBA">
        <w:t>]</w:t>
      </w:r>
    </w:p>
    <w:p w:rsidR="00041840" w:rsidRPr="00202BBA" w:rsidRDefault="00041840" w:rsidP="00041840">
      <w:pPr>
        <w:pStyle w:val="Schedulepara"/>
        <w:spacing w:before="120" w:line="360" w:lineRule="auto"/>
        <w:rPr>
          <w:i/>
        </w:rPr>
      </w:pPr>
      <w:r w:rsidRPr="00202BBA">
        <w:t>*</w:t>
      </w:r>
      <w:r>
        <w:t>   </w:t>
      </w:r>
      <w:r w:rsidRPr="00202BBA">
        <w:rPr>
          <w:i/>
        </w:rPr>
        <w:t>Omit if not applicable</w:t>
      </w:r>
    </w:p>
    <w:p w:rsidR="00F61C72" w:rsidRPr="00041840" w:rsidRDefault="00F61C72" w:rsidP="00041840"/>
    <w:sectPr w:rsidR="00F61C72" w:rsidRPr="00041840">
      <w:pgSz w:w="11907" w:h="16840" w:code="9"/>
      <w:pgMar w:top="1622" w:right="1701" w:bottom="1622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83035"/>
    <w:multiLevelType w:val="hybridMultilevel"/>
    <w:tmpl w:val="4E082274"/>
    <w:lvl w:ilvl="0" w:tplc="DC9254A2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1" w15:restartNumberingAfterBreak="0">
    <w:nsid w:val="48791A18"/>
    <w:multiLevelType w:val="hybridMultilevel"/>
    <w:tmpl w:val="86F4AE44"/>
    <w:lvl w:ilvl="0" w:tplc="0FD4BC80">
      <w:start w:val="1"/>
      <w:numFmt w:val="bullet"/>
      <w:pStyle w:val="BulletLis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" w15:restartNumberingAfterBreak="0">
    <w:nsid w:val="4F0543BC"/>
    <w:multiLevelType w:val="multilevel"/>
    <w:tmpl w:val="FAF2CB1A"/>
    <w:lvl w:ilvl="0">
      <w:start w:val="1"/>
      <w:numFmt w:val="decimal"/>
      <w:pStyle w:val="Heading1"/>
      <w:suff w:val="space"/>
      <w:lvlText w:val="Chapter %1"/>
      <w:lvlJc w:val="left"/>
      <w:rPr>
        <w:rFonts w:cs="Times New Roman" w:hint="default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Normal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Normal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Normal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Normal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Normal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Normal"/>
      <w:suff w:val="nothing"/>
      <w:lvlText w:val=""/>
      <w:lvlJc w:val="left"/>
      <w:rPr>
        <w:rFonts w:cs="Times New Roman" w:hint="default"/>
      </w:rPr>
    </w:lvl>
  </w:abstractNum>
  <w:abstractNum w:abstractNumId="3" w15:restartNumberingAfterBreak="0">
    <w:nsid w:val="76DE7F3F"/>
    <w:multiLevelType w:val="hybridMultilevel"/>
    <w:tmpl w:val="B224B97C"/>
    <w:lvl w:ilvl="0" w:tplc="100CE9B2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1866165203">
    <w:abstractNumId w:val="3"/>
  </w:num>
  <w:num w:numId="2" w16cid:durableId="1080979753">
    <w:abstractNumId w:val="0"/>
  </w:num>
  <w:num w:numId="3" w16cid:durableId="1975792485">
    <w:abstractNumId w:val="1"/>
  </w:num>
  <w:num w:numId="4" w16cid:durableId="1514614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28224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3236"/>
    <w:rsid w:val="00041840"/>
    <w:rsid w:val="0006561F"/>
    <w:rsid w:val="000B3236"/>
    <w:rsid w:val="001A585A"/>
    <w:rsid w:val="00202BBA"/>
    <w:rsid w:val="002E32E7"/>
    <w:rsid w:val="003B064D"/>
    <w:rsid w:val="004D7667"/>
    <w:rsid w:val="004F3D91"/>
    <w:rsid w:val="00630256"/>
    <w:rsid w:val="00664E83"/>
    <w:rsid w:val="007E3E14"/>
    <w:rsid w:val="00945386"/>
    <w:rsid w:val="00AC1223"/>
    <w:rsid w:val="00AC2963"/>
    <w:rsid w:val="00B1627B"/>
    <w:rsid w:val="00BC6B13"/>
    <w:rsid w:val="00CE7B9C"/>
    <w:rsid w:val="00EB223F"/>
    <w:rsid w:val="00F61C72"/>
    <w:rsid w:val="00FE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pPr>
      <w:keepNext/>
      <w:widowControl w:val="0"/>
      <w:numPr>
        <w:numId w:val="5"/>
      </w:numPr>
      <w:shd w:val="pct10" w:color="auto" w:fill="FFFFFF"/>
      <w:spacing w:before="240" w:after="60"/>
      <w:jc w:val="center"/>
      <w:outlineLvl w:val="0"/>
    </w:pPr>
    <w:rPr>
      <w:rFonts w:ascii="Times New (W1)" w:hAnsi="Times New (W1)" w:cs="Times New (W1)"/>
      <w:b/>
      <w:bCs/>
      <w:caps/>
      <w:color w:val="800080"/>
      <w:spacing w:val="24"/>
      <w:kern w:val="28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kk">
    <w:name w:val="kk"/>
    <w:basedOn w:val="Normal"/>
    <w:next w:val="Normal"/>
    <w:pPr>
      <w:widowControl w:val="0"/>
      <w:ind w:left="285" w:right="1875"/>
    </w:pPr>
    <w:rPr>
      <w:b/>
      <w:bCs/>
      <w:color w:val="000000"/>
      <w:sz w:val="23"/>
      <w:szCs w:val="23"/>
    </w:rPr>
  </w:style>
  <w:style w:type="paragraph" w:customStyle="1" w:styleId="Style1">
    <w:name w:val="Style1"/>
    <w:basedOn w:val="Heading4"/>
    <w:rPr>
      <w:rFonts w:ascii="Times New (W1)" w:hAnsi="Times New (W1)" w:cs="Times New (W1)"/>
      <w:sz w:val="22"/>
      <w:szCs w:val="22"/>
    </w:rPr>
  </w:style>
  <w:style w:type="paragraph" w:customStyle="1" w:styleId="BulletList">
    <w:name w:val="Bullet List"/>
    <w:basedOn w:val="Normal"/>
    <w:autoRedefine/>
    <w:pPr>
      <w:numPr>
        <w:numId w:val="3"/>
      </w:numPr>
    </w:pPr>
    <w:rPr>
      <w:rFonts w:ascii="Arial" w:hAnsi="Arial" w:cs="Arial"/>
    </w:rPr>
  </w:style>
  <w:style w:type="paragraph" w:customStyle="1" w:styleId="Style2">
    <w:name w:val="Style2"/>
    <w:basedOn w:val="Heading1"/>
    <w:next w:val="Heading1"/>
    <w:autoRedefine/>
    <w:pPr>
      <w:tabs>
        <w:tab w:val="left" w:pos="284"/>
        <w:tab w:val="left" w:pos="1134"/>
        <w:tab w:val="left" w:pos="2268"/>
        <w:tab w:val="left" w:pos="7371"/>
        <w:tab w:val="left" w:pos="8222"/>
      </w:tabs>
      <w:spacing w:before="0" w:after="0"/>
    </w:pPr>
    <w:rPr>
      <w:rFonts w:ascii="Arial (W1)" w:hAnsi="Arial (W1)" w:cs="Arial (W1)"/>
      <w:vanish/>
      <w:kern w:val="0"/>
      <w:sz w:val="28"/>
      <w:szCs w:val="28"/>
      <w:lang w:val="en-GB"/>
    </w:rPr>
  </w:style>
  <w:style w:type="paragraph" w:customStyle="1" w:styleId="Style3">
    <w:name w:val="Style3"/>
    <w:basedOn w:val="Heading2"/>
    <w:next w:val="Style2"/>
    <w:autoRedefine/>
    <w:pPr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874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528"/>
        <w:tab w:val="left" w:pos="13248"/>
        <w:tab w:val="left" w:pos="13968"/>
        <w:tab w:val="left" w:pos="14688"/>
        <w:tab w:val="left" w:pos="15408"/>
        <w:tab w:val="left" w:pos="16128"/>
        <w:tab w:val="left" w:pos="16848"/>
        <w:tab w:val="left" w:pos="17568"/>
        <w:tab w:val="left" w:pos="18288"/>
        <w:tab w:val="left" w:pos="19008"/>
      </w:tabs>
      <w:suppressAutoHyphens/>
      <w:spacing w:before="0" w:after="0" w:line="221" w:lineRule="auto"/>
    </w:pPr>
    <w:rPr>
      <w:i w:val="0"/>
      <w:iCs w:val="0"/>
      <w:spacing w:val="-2"/>
      <w:sz w:val="26"/>
      <w:szCs w:val="26"/>
      <w:lang w:val="en-GB"/>
    </w:rPr>
  </w:style>
  <w:style w:type="character" w:customStyle="1" w:styleId="CharSchPTNo">
    <w:name w:val="CharSchPTNo"/>
    <w:rsid w:val="000B3236"/>
    <w:rPr>
      <w:rFonts w:cs="Times New Roman"/>
    </w:rPr>
  </w:style>
  <w:style w:type="character" w:customStyle="1" w:styleId="CharSchPTText">
    <w:name w:val="CharSchPTText"/>
    <w:rsid w:val="000B3236"/>
    <w:rPr>
      <w:rFonts w:cs="Times New Roman"/>
    </w:rPr>
  </w:style>
  <w:style w:type="paragraph" w:customStyle="1" w:styleId="Schedulepara">
    <w:name w:val="Schedule para"/>
    <w:basedOn w:val="Normal"/>
    <w:rsid w:val="000B3236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0B3236"/>
    <w:pPr>
      <w:keepNext/>
      <w:keepLines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rsid w:val="000B3236"/>
    <w:pPr>
      <w:keepNext/>
      <w:keepLines/>
      <w:spacing w:before="60" w:line="200" w:lineRule="exact"/>
      <w:ind w:left="2410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Corporations Form 21: Notice of making of order under the Cross Border Insolvency Act 2008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Corporations Form 21: Notice of making of order under the Cross Border Insolvency Act 2008</dc:title>
  <dc:subject/>
  <dc:creator/>
  <cp:keywords/>
  <dc:description/>
  <cp:lastModifiedBy/>
  <cp:revision>1</cp:revision>
  <dcterms:created xsi:type="dcterms:W3CDTF">2025-07-15T05:17:00Z</dcterms:created>
  <dcterms:modified xsi:type="dcterms:W3CDTF">2025-07-15T05:17:00Z</dcterms:modified>
</cp:coreProperties>
</file>