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BAD" w:rsidRDefault="00727BAD" w:rsidP="00727BAD">
      <w:pPr>
        <w:pStyle w:val="Schedulepart"/>
      </w:pPr>
      <w:bookmarkStart w:id="0" w:name="_Toc331583606"/>
      <w:r w:rsidRPr="008C0A7D">
        <w:rPr>
          <w:rStyle w:val="CharSchPTNo"/>
        </w:rPr>
        <w:t>Form 18</w:t>
      </w:r>
      <w:r>
        <w:tab/>
      </w:r>
      <w:r>
        <w:rPr>
          <w:rStyle w:val="CharSchPTText"/>
        </w:rPr>
        <w:t>Summons for appearance in relation to registration of transfer of interests</w:t>
      </w:r>
      <w:bookmarkEnd w:id="0"/>
    </w:p>
    <w:p w:rsidR="00727BAD" w:rsidRDefault="00727BAD" w:rsidP="00727BAD">
      <w:pPr>
        <w:pStyle w:val="Schedulereference"/>
        <w:ind w:left="1559"/>
      </w:pPr>
      <w:r>
        <w:t>(rule 12.2)</w:t>
      </w:r>
    </w:p>
    <w:p w:rsidR="00727BAD" w:rsidRDefault="00727BAD" w:rsidP="00727BAD">
      <w:pPr>
        <w:pStyle w:val="Schedulepara"/>
        <w:keepNext/>
        <w:spacing w:before="24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727BAD" w:rsidRDefault="00727BAD" w:rsidP="00727BAD">
      <w:pPr>
        <w:pStyle w:val="Schedulepara"/>
        <w:keepNext/>
        <w:spacing w:before="240"/>
        <w:ind w:left="0" w:firstLine="0"/>
        <w:jc w:val="left"/>
        <w:rPr>
          <w:sz w:val="22"/>
        </w:rPr>
      </w:pPr>
      <w:r>
        <w:rPr>
          <w:sz w:val="22"/>
        </w:rPr>
        <w:t>TO: [</w:t>
      </w:r>
      <w:r>
        <w:rPr>
          <w:i/>
          <w:sz w:val="22"/>
        </w:rPr>
        <w:t>name and address</w:t>
      </w:r>
      <w:r>
        <w:rPr>
          <w:sz w:val="22"/>
        </w:rPr>
        <w:t>]</w:t>
      </w:r>
    </w:p>
    <w:p w:rsidR="00727BAD" w:rsidRDefault="00727BAD" w:rsidP="00727BAD">
      <w:pPr>
        <w:pStyle w:val="Schedulepara"/>
        <w:keepNext/>
        <w:spacing w:before="240"/>
        <w:ind w:left="0" w:firstLine="0"/>
        <w:rPr>
          <w:sz w:val="22"/>
        </w:rPr>
      </w:pPr>
      <w:r>
        <w:rPr>
          <w:sz w:val="22"/>
        </w:rPr>
        <w:t>You are required to appear before the . . . . . . . . . . . . . . .  at [</w:t>
      </w:r>
      <w:r>
        <w:rPr>
          <w:i/>
          <w:sz w:val="22"/>
        </w:rPr>
        <w:t>address of Court</w:t>
      </w:r>
      <w:r>
        <w:rPr>
          <w:sz w:val="22"/>
        </w:rPr>
        <w:t>] at . . . . . . . . *am/*pm on . . . . . . . . and show cause why the document(s) specified in the Schedule should not be *delivered up/*produced at the office of [</w:t>
      </w:r>
      <w:r>
        <w:rPr>
          <w:i/>
          <w:sz w:val="22"/>
        </w:rPr>
        <w:t>name of company</w:t>
      </w:r>
      <w:r>
        <w:rPr>
          <w:sz w:val="22"/>
        </w:rPr>
        <w:t>] at [</w:t>
      </w:r>
      <w:r>
        <w:rPr>
          <w:i/>
          <w:sz w:val="22"/>
        </w:rPr>
        <w:t>address of company</w:t>
      </w:r>
      <w:r>
        <w:rPr>
          <w:sz w:val="22"/>
        </w:rPr>
        <w:t>] within [</w:t>
      </w:r>
      <w:r>
        <w:rPr>
          <w:i/>
          <w:sz w:val="22"/>
        </w:rPr>
        <w:t>period as ordered</w:t>
      </w:r>
      <w:r>
        <w:rPr>
          <w:sz w:val="22"/>
        </w:rPr>
        <w:t>], as required by the attached notice.</w:t>
      </w:r>
    </w:p>
    <w:p w:rsidR="00727BAD" w:rsidRDefault="00727BAD" w:rsidP="00727BAD">
      <w:pPr>
        <w:pStyle w:val="Schedulepara"/>
        <w:keepNext/>
        <w:spacing w:before="240"/>
        <w:ind w:left="0" w:firstLine="0"/>
        <w:rPr>
          <w:sz w:val="22"/>
        </w:rPr>
      </w:pPr>
      <w:r>
        <w:rPr>
          <w:sz w:val="22"/>
        </w:rPr>
        <w:t>The address for service of the person applying for this summons is [</w:t>
      </w:r>
      <w:r>
        <w:rPr>
          <w:i/>
          <w:sz w:val="22"/>
        </w:rPr>
        <w:t>address of person’s legal practitioner or of person</w:t>
      </w:r>
      <w:r>
        <w:rPr>
          <w:sz w:val="22"/>
        </w:rPr>
        <w:t>].</w:t>
      </w:r>
    </w:p>
    <w:p w:rsidR="00727BAD" w:rsidRDefault="00727BAD" w:rsidP="00727BAD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Date:</w:t>
      </w:r>
    </w:p>
    <w:p w:rsidR="00727BAD" w:rsidRDefault="00727BAD" w:rsidP="00727BAD">
      <w:pPr>
        <w:keepNext/>
        <w:spacing w:before="360"/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727BAD" w:rsidRDefault="00727BAD" w:rsidP="00727BAD">
      <w:pPr>
        <w:pStyle w:val="Schedulepara"/>
        <w:keepNext/>
        <w:spacing w:before="60"/>
        <w:ind w:left="0" w:firstLine="0"/>
        <w:jc w:val="right"/>
        <w:outlineLvl w:val="0"/>
        <w:rPr>
          <w:sz w:val="22"/>
        </w:rPr>
      </w:pPr>
      <w:r>
        <w:rPr>
          <w:i/>
          <w:sz w:val="22"/>
        </w:rPr>
        <w:t>Registrar</w:t>
      </w:r>
    </w:p>
    <w:p w:rsidR="00727BAD" w:rsidRDefault="00727BAD" w:rsidP="00727BAD">
      <w:pPr>
        <w:pStyle w:val="Schedulepara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727BAD" w:rsidRDefault="00727BAD" w:rsidP="00727BAD">
      <w:pPr>
        <w:keepNext/>
        <w:spacing w:before="240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Schedule</w:t>
      </w:r>
    </w:p>
    <w:p w:rsidR="00727BAD" w:rsidRDefault="00727BAD" w:rsidP="00727BAD">
      <w:pPr>
        <w:pStyle w:val="Schedulepara"/>
        <w:ind w:left="0" w:firstLine="0"/>
        <w:jc w:val="center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description of document(s)</w:t>
      </w:r>
      <w:r>
        <w:rPr>
          <w:sz w:val="22"/>
        </w:rPr>
        <w:t>]</w:t>
      </w:r>
    </w:p>
    <w:p w:rsidR="00727BAD" w:rsidRDefault="00727BAD" w:rsidP="00727BAD">
      <w:pPr>
        <w:pStyle w:val="Schedulepara"/>
        <w:ind w:left="0" w:firstLine="0"/>
        <w:jc w:val="center"/>
        <w:rPr>
          <w:sz w:val="22"/>
        </w:rPr>
      </w:pPr>
    </w:p>
    <w:p w:rsidR="007A7E1D" w:rsidRDefault="007A7E1D"/>
    <w:sectPr w:rsidR="007A7E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921"/>
    <w:rsid w:val="00310B6F"/>
    <w:rsid w:val="004830FE"/>
    <w:rsid w:val="006C54ED"/>
    <w:rsid w:val="00727BAD"/>
    <w:rsid w:val="007A7E1D"/>
    <w:rsid w:val="00872E40"/>
    <w:rsid w:val="008C0A7D"/>
    <w:rsid w:val="00A66AB0"/>
    <w:rsid w:val="00BD3E80"/>
    <w:rsid w:val="00D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18: Summons for appearance in relation to registration of transfer of interests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18: Summons for appearance in relation to registration of transfer of interests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