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1A44" w:rsidRDefault="00681A44" w:rsidP="00681A44">
      <w:pPr>
        <w:pStyle w:val="Schedulepart"/>
      </w:pPr>
      <w:bookmarkStart w:id="0" w:name="_Toc331583605"/>
      <w:r w:rsidRPr="0097320C">
        <w:rPr>
          <w:rStyle w:val="CharSchPTNo"/>
          <w:rFonts w:cs="Arial"/>
        </w:rPr>
        <w:t>Form 17A</w:t>
      </w:r>
      <w:r>
        <w:tab/>
      </w:r>
      <w:r w:rsidRPr="0097320C">
        <w:rPr>
          <w:rStyle w:val="CharSchPTText"/>
          <w:rFonts w:cs="Arial"/>
        </w:rPr>
        <w:t>Arrest warrant</w:t>
      </w:r>
      <w:bookmarkEnd w:id="0"/>
    </w:p>
    <w:p w:rsidR="00681A44" w:rsidRDefault="00681A44" w:rsidP="00681A44">
      <w:pPr>
        <w:pStyle w:val="Schedulereferenceleft"/>
        <w:ind w:left="1560"/>
      </w:pPr>
      <w:r>
        <w:t>(</w:t>
      </w:r>
      <w:r>
        <w:rPr>
          <w:i/>
        </w:rPr>
        <w:t>Corporations Act 2001</w:t>
      </w:r>
      <w:r>
        <w:t xml:space="preserve"> s </w:t>
      </w:r>
      <w:r w:rsidRPr="00C17113">
        <w:t xml:space="preserve">486B and </w:t>
      </w:r>
      <w:r>
        <w:rPr>
          <w:i/>
        </w:rPr>
        <w:t xml:space="preserve">Federal Court (Corporations) Rules 2000 </w:t>
      </w:r>
      <w:r w:rsidRPr="00C17113">
        <w:t>rule 11A.01</w:t>
      </w:r>
      <w:r>
        <w:t>)</w:t>
      </w:r>
    </w:p>
    <w:p w:rsidR="00681A44" w:rsidRDefault="00681A44" w:rsidP="00681A44">
      <w:pPr>
        <w:pStyle w:val="Schedulepara"/>
        <w:keepNext/>
        <w:keepLines/>
        <w:spacing w:before="240"/>
      </w:pPr>
      <w:r>
        <w:t>[</w:t>
      </w:r>
      <w:r w:rsidRPr="00C17113">
        <w:rPr>
          <w:i/>
        </w:rPr>
        <w:t>Title</w:t>
      </w:r>
      <w:r>
        <w:t>]</w:t>
      </w:r>
    </w:p>
    <w:p w:rsidR="00681A44" w:rsidRDefault="00681A44" w:rsidP="00681A44">
      <w:pPr>
        <w:pStyle w:val="Schedulepara"/>
        <w:keepNext/>
        <w:keepLines/>
        <w:spacing w:before="240"/>
        <w:ind w:left="0" w:firstLine="0"/>
        <w:rPr>
          <w:sz w:val="22"/>
        </w:rPr>
      </w:pPr>
      <w:r>
        <w:rPr>
          <w:sz w:val="22"/>
        </w:rPr>
        <w:t>TO:   All members and special members of the Australian Federal Police and to all officers of the police force of the State or Territory in which [</w:t>
      </w:r>
      <w:r>
        <w:rPr>
          <w:i/>
          <w:sz w:val="22"/>
        </w:rPr>
        <w:t xml:space="preserve">name of </w:t>
      </w:r>
      <w:r w:rsidRPr="007E12D7">
        <w:rPr>
          <w:i/>
          <w:sz w:val="22"/>
        </w:rPr>
        <w:t>person</w:t>
      </w:r>
      <w:r>
        <w:rPr>
          <w:sz w:val="22"/>
        </w:rPr>
        <w:t>] is found, and to the Sheriff of that State or Territory and all of that Sheriff’s officers.</w:t>
      </w:r>
    </w:p>
    <w:p w:rsidR="00681A44" w:rsidRDefault="00681A44" w:rsidP="00681A44">
      <w:pPr>
        <w:pStyle w:val="Schedulepara"/>
        <w:spacing w:before="240"/>
        <w:ind w:left="0" w:firstLine="0"/>
        <w:rPr>
          <w:sz w:val="22"/>
        </w:rPr>
      </w:pPr>
      <w:r>
        <w:rPr>
          <w:sz w:val="22"/>
        </w:rPr>
        <w:t>WHEREAS:</w:t>
      </w:r>
    </w:p>
    <w:p w:rsidR="00681A44" w:rsidRDefault="00681A44" w:rsidP="00681A44">
      <w:pPr>
        <w:pStyle w:val="Schedulepara"/>
        <w:numPr>
          <w:ilvl w:val="0"/>
          <w:numId w:val="6"/>
        </w:numPr>
        <w:spacing w:before="240"/>
        <w:rPr>
          <w:sz w:val="22"/>
        </w:rPr>
      </w:pPr>
      <w:r>
        <w:rPr>
          <w:sz w:val="22"/>
        </w:rPr>
        <w:t>*[</w:t>
      </w:r>
      <w:r>
        <w:rPr>
          <w:i/>
          <w:sz w:val="22"/>
        </w:rPr>
        <w:t>name of company</w:t>
      </w:r>
      <w:r>
        <w:rPr>
          <w:sz w:val="22"/>
        </w:rPr>
        <w:t xml:space="preserve">] (the Company) is being wound up in insolvency </w:t>
      </w:r>
      <w:r>
        <w:rPr>
          <w:i/>
          <w:sz w:val="22"/>
        </w:rPr>
        <w:t>or</w:t>
      </w:r>
    </w:p>
    <w:p w:rsidR="00681A44" w:rsidRDefault="00681A44" w:rsidP="00681A44">
      <w:pPr>
        <w:pStyle w:val="Schedulepara"/>
        <w:numPr>
          <w:ilvl w:val="0"/>
          <w:numId w:val="6"/>
        </w:numPr>
        <w:spacing w:before="240"/>
        <w:rPr>
          <w:sz w:val="22"/>
        </w:rPr>
      </w:pPr>
      <w:r>
        <w:rPr>
          <w:sz w:val="22"/>
        </w:rPr>
        <w:t>*[</w:t>
      </w:r>
      <w:r>
        <w:rPr>
          <w:i/>
          <w:sz w:val="22"/>
        </w:rPr>
        <w:t>name of company</w:t>
      </w:r>
      <w:r>
        <w:rPr>
          <w:sz w:val="22"/>
        </w:rPr>
        <w:t xml:space="preserve">] (the Company) is being wound up by the Court </w:t>
      </w:r>
      <w:r>
        <w:rPr>
          <w:i/>
          <w:sz w:val="22"/>
        </w:rPr>
        <w:t>or</w:t>
      </w:r>
    </w:p>
    <w:p w:rsidR="00681A44" w:rsidRPr="0068111C" w:rsidRDefault="00681A44" w:rsidP="00681A44">
      <w:pPr>
        <w:pStyle w:val="Schedulepara"/>
        <w:numPr>
          <w:ilvl w:val="0"/>
          <w:numId w:val="6"/>
        </w:numPr>
        <w:spacing w:before="240"/>
        <w:jc w:val="left"/>
        <w:rPr>
          <w:sz w:val="22"/>
        </w:rPr>
      </w:pPr>
      <w:r>
        <w:rPr>
          <w:sz w:val="22"/>
        </w:rPr>
        <w:t>*an application has been made for [</w:t>
      </w:r>
      <w:r>
        <w:rPr>
          <w:i/>
          <w:sz w:val="22"/>
        </w:rPr>
        <w:t>name of company</w:t>
      </w:r>
      <w:r>
        <w:rPr>
          <w:sz w:val="22"/>
        </w:rPr>
        <w:t>] (the Company) to be wound up</w:t>
      </w:r>
    </w:p>
    <w:p w:rsidR="00681A44" w:rsidRDefault="00681A44" w:rsidP="00681A44">
      <w:pPr>
        <w:pStyle w:val="Schedulepara"/>
        <w:keepNext/>
        <w:spacing w:before="240" w:line="360" w:lineRule="auto"/>
        <w:ind w:left="0" w:firstLine="0"/>
        <w:rPr>
          <w:sz w:val="22"/>
        </w:rPr>
      </w:pPr>
      <w:r>
        <w:rPr>
          <w:sz w:val="22"/>
        </w:rPr>
        <w:t>AND THE COURT IS SATISFIED THAT [</w:t>
      </w:r>
      <w:r>
        <w:rPr>
          <w:i/>
          <w:sz w:val="22"/>
        </w:rPr>
        <w:t>name of person</w:t>
      </w:r>
      <w:r>
        <w:rPr>
          <w:sz w:val="22"/>
        </w:rPr>
        <w:t>]:</w:t>
      </w:r>
    </w:p>
    <w:p w:rsidR="00681A44" w:rsidRPr="00D44FAE" w:rsidRDefault="00681A44" w:rsidP="00681A44">
      <w:pPr>
        <w:pStyle w:val="P1"/>
        <w:spacing w:before="240"/>
        <w:rPr>
          <w:sz w:val="22"/>
          <w:szCs w:val="22"/>
        </w:rPr>
      </w:pPr>
      <w:r w:rsidRPr="00D44FAE">
        <w:rPr>
          <w:sz w:val="22"/>
          <w:szCs w:val="22"/>
        </w:rPr>
        <w:tab/>
        <w:t>(a)</w:t>
      </w:r>
      <w:r w:rsidRPr="00D44FAE">
        <w:rPr>
          <w:sz w:val="22"/>
          <w:szCs w:val="22"/>
        </w:rPr>
        <w:tab/>
        <w:t xml:space="preserve">*is about to leave </w:t>
      </w:r>
      <w:smartTag w:uri="urn:schemas-microsoft-com:office:smarttags" w:element="country-region">
        <w:smartTag w:uri="urn:schemas-microsoft-com:office:smarttags" w:element="place">
          <w:r w:rsidRPr="00D44FAE">
            <w:rPr>
              <w:sz w:val="22"/>
              <w:szCs w:val="22"/>
            </w:rPr>
            <w:t>Australia</w:t>
          </w:r>
        </w:smartTag>
      </w:smartTag>
      <w:r w:rsidRPr="00D44FAE">
        <w:rPr>
          <w:sz w:val="22"/>
          <w:szCs w:val="22"/>
        </w:rPr>
        <w:t xml:space="preserve"> in order to avoid:</w:t>
      </w:r>
    </w:p>
    <w:p w:rsidR="00681A44" w:rsidRPr="00D44FAE" w:rsidRDefault="00681A44" w:rsidP="00681A44">
      <w:pPr>
        <w:pStyle w:val="P2"/>
        <w:spacing w:before="240"/>
        <w:rPr>
          <w:i/>
          <w:sz w:val="22"/>
          <w:szCs w:val="22"/>
        </w:rPr>
      </w:pPr>
      <w:r w:rsidRPr="00D44FAE">
        <w:rPr>
          <w:sz w:val="22"/>
          <w:szCs w:val="22"/>
        </w:rPr>
        <w:tab/>
        <w:t>(i)</w:t>
      </w:r>
      <w:r w:rsidRPr="00D44FAE">
        <w:rPr>
          <w:sz w:val="22"/>
          <w:szCs w:val="22"/>
        </w:rPr>
        <w:tab/>
        <w:t xml:space="preserve">*paying money payable to the company; </w:t>
      </w:r>
      <w:r w:rsidRPr="00D44FAE">
        <w:rPr>
          <w:i/>
          <w:sz w:val="22"/>
          <w:szCs w:val="22"/>
        </w:rPr>
        <w:t>or</w:t>
      </w:r>
    </w:p>
    <w:p w:rsidR="00681A44" w:rsidRPr="00D44FAE" w:rsidRDefault="00681A44" w:rsidP="00681A44">
      <w:pPr>
        <w:pStyle w:val="P2"/>
        <w:spacing w:before="240"/>
        <w:rPr>
          <w:i/>
          <w:sz w:val="22"/>
          <w:szCs w:val="22"/>
        </w:rPr>
      </w:pPr>
      <w:r w:rsidRPr="00D44FAE">
        <w:rPr>
          <w:sz w:val="22"/>
          <w:szCs w:val="22"/>
        </w:rPr>
        <w:tab/>
        <w:t>(ii)</w:t>
      </w:r>
      <w:r w:rsidRPr="00D44FAE">
        <w:rPr>
          <w:sz w:val="22"/>
          <w:szCs w:val="22"/>
        </w:rPr>
        <w:tab/>
        <w:t xml:space="preserve">*being examined about the company’s affairs; </w:t>
      </w:r>
      <w:r w:rsidRPr="00D44FAE">
        <w:rPr>
          <w:i/>
          <w:sz w:val="22"/>
          <w:szCs w:val="22"/>
        </w:rPr>
        <w:t>or</w:t>
      </w:r>
    </w:p>
    <w:p w:rsidR="00681A44" w:rsidRPr="00D44FAE" w:rsidRDefault="00681A44" w:rsidP="00681A44">
      <w:pPr>
        <w:pStyle w:val="P2"/>
        <w:spacing w:before="240"/>
        <w:rPr>
          <w:i/>
          <w:sz w:val="22"/>
          <w:szCs w:val="22"/>
        </w:rPr>
      </w:pPr>
      <w:r w:rsidRPr="00D44FAE">
        <w:rPr>
          <w:sz w:val="22"/>
          <w:szCs w:val="22"/>
        </w:rPr>
        <w:tab/>
        <w:t>(iii)</w:t>
      </w:r>
      <w:r w:rsidRPr="00D44FAE">
        <w:rPr>
          <w:sz w:val="22"/>
          <w:szCs w:val="22"/>
        </w:rPr>
        <w:tab/>
        <w:t xml:space="preserve">*complying with an order of the Court, or some other obligation, under Chapter 5 of the </w:t>
      </w:r>
      <w:r w:rsidRPr="00D44FAE">
        <w:rPr>
          <w:i/>
          <w:sz w:val="22"/>
          <w:szCs w:val="22"/>
        </w:rPr>
        <w:t xml:space="preserve">Corporations Act 2001 </w:t>
      </w:r>
      <w:r w:rsidRPr="00D44FAE">
        <w:rPr>
          <w:sz w:val="22"/>
          <w:szCs w:val="22"/>
        </w:rPr>
        <w:t xml:space="preserve">(Cth) in connection with the winding up; </w:t>
      </w:r>
      <w:r w:rsidRPr="00D44FAE">
        <w:rPr>
          <w:i/>
          <w:sz w:val="22"/>
          <w:szCs w:val="22"/>
        </w:rPr>
        <w:t>or</w:t>
      </w:r>
    </w:p>
    <w:p w:rsidR="00681A44" w:rsidRPr="00D44FAE" w:rsidRDefault="00681A44" w:rsidP="00681A44">
      <w:pPr>
        <w:pStyle w:val="P1"/>
        <w:spacing w:before="240"/>
        <w:rPr>
          <w:i/>
          <w:sz w:val="22"/>
          <w:szCs w:val="22"/>
        </w:rPr>
      </w:pPr>
      <w:r w:rsidRPr="00D44FAE">
        <w:rPr>
          <w:sz w:val="22"/>
          <w:szCs w:val="22"/>
        </w:rPr>
        <w:tab/>
        <w:t>(b)</w:t>
      </w:r>
      <w:r w:rsidRPr="00D44FAE">
        <w:rPr>
          <w:sz w:val="22"/>
          <w:szCs w:val="22"/>
        </w:rPr>
        <w:tab/>
        <w:t xml:space="preserve">*has concealed or removed property of the Company in order to prevent or delay the taking of the property into the liquidator’s custody or control; </w:t>
      </w:r>
      <w:r w:rsidRPr="00D44FAE">
        <w:rPr>
          <w:i/>
          <w:sz w:val="22"/>
          <w:szCs w:val="22"/>
        </w:rPr>
        <w:t>or</w:t>
      </w:r>
    </w:p>
    <w:p w:rsidR="00681A44" w:rsidRPr="00D44FAE" w:rsidRDefault="00681A44" w:rsidP="00681A44">
      <w:pPr>
        <w:pStyle w:val="P1"/>
        <w:spacing w:before="240"/>
        <w:rPr>
          <w:sz w:val="22"/>
          <w:szCs w:val="22"/>
        </w:rPr>
      </w:pPr>
      <w:r w:rsidRPr="00D44FAE">
        <w:rPr>
          <w:sz w:val="22"/>
          <w:szCs w:val="22"/>
        </w:rPr>
        <w:tab/>
        <w:t>(c)</w:t>
      </w:r>
      <w:r w:rsidRPr="00D44FAE">
        <w:rPr>
          <w:sz w:val="22"/>
          <w:szCs w:val="22"/>
        </w:rPr>
        <w:tab/>
        <w:t>*has destroyed, concealed or removed books of the Company or is about to do so;</w:t>
      </w:r>
    </w:p>
    <w:p w:rsidR="00681A44" w:rsidRDefault="00681A44" w:rsidP="00681A44">
      <w:pPr>
        <w:pStyle w:val="Schedulepara"/>
        <w:spacing w:before="240"/>
        <w:ind w:left="0" w:firstLine="0"/>
        <w:rPr>
          <w:sz w:val="22"/>
        </w:rPr>
      </w:pPr>
      <w:r>
        <w:rPr>
          <w:sz w:val="22"/>
        </w:rPr>
        <w:t xml:space="preserve">THIS </w:t>
      </w:r>
      <w:r>
        <w:rPr>
          <w:sz w:val="22"/>
        </w:rPr>
        <w:tab/>
        <w:t>WARRANT THEREFORE requires and authorises you to take [</w:t>
      </w:r>
      <w:r>
        <w:rPr>
          <w:i/>
          <w:sz w:val="22"/>
        </w:rPr>
        <w:t>name of person</w:t>
      </w:r>
      <w:r>
        <w:rPr>
          <w:sz w:val="22"/>
        </w:rPr>
        <w:t>] and to bring *</w:t>
      </w:r>
      <w:r w:rsidRPr="00C5216F">
        <w:rPr>
          <w:sz w:val="22"/>
        </w:rPr>
        <w:t>him/*her</w:t>
      </w:r>
      <w:r>
        <w:rPr>
          <w:sz w:val="22"/>
        </w:rPr>
        <w:t xml:space="preserve"> before the Court at [</w:t>
      </w:r>
      <w:r>
        <w:rPr>
          <w:i/>
          <w:sz w:val="22"/>
        </w:rPr>
        <w:t xml:space="preserve">address of </w:t>
      </w:r>
      <w:r w:rsidRPr="00135DCE">
        <w:rPr>
          <w:i/>
          <w:sz w:val="22"/>
        </w:rPr>
        <w:t>court</w:t>
      </w:r>
      <w:r>
        <w:rPr>
          <w:sz w:val="22"/>
        </w:rPr>
        <w:t>] and to keep *him/*her there pending the making of a further order by the Court.</w:t>
      </w:r>
    </w:p>
    <w:p w:rsidR="00681A44" w:rsidRDefault="00681A44" w:rsidP="00681A44">
      <w:pPr>
        <w:pStyle w:val="Schedulepara"/>
        <w:spacing w:before="240"/>
        <w:ind w:left="0" w:firstLine="0"/>
        <w:rPr>
          <w:sz w:val="22"/>
        </w:rPr>
      </w:pPr>
      <w:r>
        <w:rPr>
          <w:sz w:val="22"/>
        </w:rPr>
        <w:t>THIS WARRANT ALSO requires and authorises you to seize any property or books of the company in the possession of [</w:t>
      </w:r>
      <w:r>
        <w:rPr>
          <w:i/>
          <w:sz w:val="22"/>
        </w:rPr>
        <w:t>name of person</w:t>
      </w:r>
      <w:r>
        <w:rPr>
          <w:sz w:val="22"/>
        </w:rPr>
        <w:t>] and to deliver them into the custody of the Registrar of the Court to be kept by that Registrar until the Court makes an order for their disposal.</w:t>
      </w:r>
    </w:p>
    <w:p w:rsidR="00681A44" w:rsidRPr="007571BD" w:rsidRDefault="00681A44" w:rsidP="00681A44">
      <w:pPr>
        <w:pStyle w:val="Note"/>
        <w:spacing w:before="240"/>
        <w:ind w:left="0"/>
      </w:pPr>
      <w:r>
        <w:rPr>
          <w:i/>
        </w:rPr>
        <w:t>Note   </w:t>
      </w:r>
      <w:r w:rsidRPr="007571BD">
        <w:t xml:space="preserve">Section 489A of the </w:t>
      </w:r>
      <w:r w:rsidRPr="007571BD">
        <w:rPr>
          <w:i/>
        </w:rPr>
        <w:t>Corporations Act 2001</w:t>
      </w:r>
      <w:r w:rsidRPr="007571BD">
        <w:t xml:space="preserve"> provides that if the Court issues a warrant under section 486B for a person to be arrested and brought before the Court, and the person is not in prison, then the person named in the warrant may be arrested by an officer of the police force of the State or Territory in which the person is found, or the Sheriff of that State or Territory or any of the Sheriff’s officers, or a member or special member of the Australian Federal Police.</w:t>
      </w:r>
    </w:p>
    <w:p w:rsidR="00681A44" w:rsidRDefault="00681A44" w:rsidP="00681A44">
      <w:pPr>
        <w:pStyle w:val="Schedulepara"/>
        <w:tabs>
          <w:tab w:val="right" w:pos="2127"/>
        </w:tabs>
        <w:spacing w:before="240"/>
        <w:rPr>
          <w:sz w:val="22"/>
        </w:rPr>
      </w:pPr>
      <w:r>
        <w:rPr>
          <w:sz w:val="22"/>
        </w:rPr>
        <w:lastRenderedPageBreak/>
        <w:t>Date:</w:t>
      </w:r>
    </w:p>
    <w:p w:rsidR="00681A44" w:rsidRPr="00512160" w:rsidRDefault="00681A44" w:rsidP="00681A44">
      <w:pPr>
        <w:rPr>
          <w:sz w:val="22"/>
          <w:szCs w:val="22"/>
        </w:rPr>
      </w:pPr>
    </w:p>
    <w:p w:rsidR="00681A44" w:rsidRPr="00512160" w:rsidRDefault="00681A44" w:rsidP="00681A44">
      <w:pPr>
        <w:jc w:val="right"/>
        <w:rPr>
          <w:sz w:val="22"/>
          <w:szCs w:val="22"/>
        </w:rPr>
      </w:pPr>
      <w:r w:rsidRPr="00512160">
        <w:rPr>
          <w:sz w:val="22"/>
          <w:szCs w:val="22"/>
        </w:rPr>
        <w:t>………………………………………………...</w:t>
      </w:r>
    </w:p>
    <w:p w:rsidR="00681A44" w:rsidRPr="005E0BA4" w:rsidRDefault="00681A44" w:rsidP="00681A44">
      <w:pPr>
        <w:jc w:val="right"/>
        <w:rPr>
          <w:i/>
          <w:sz w:val="22"/>
          <w:szCs w:val="22"/>
        </w:rPr>
      </w:pPr>
      <w:r w:rsidRPr="005E0BA4">
        <w:rPr>
          <w:i/>
          <w:sz w:val="22"/>
          <w:szCs w:val="22"/>
        </w:rPr>
        <w:t xml:space="preserve">Signature of </w:t>
      </w:r>
      <w:r>
        <w:rPr>
          <w:i/>
          <w:sz w:val="22"/>
          <w:szCs w:val="22"/>
        </w:rPr>
        <w:t>Registrar</w:t>
      </w:r>
    </w:p>
    <w:p w:rsidR="00681A44" w:rsidRPr="000C57DD" w:rsidRDefault="00681A44" w:rsidP="00681A44">
      <w:pPr>
        <w:pStyle w:val="Schedulepara"/>
        <w:tabs>
          <w:tab w:val="clear" w:pos="567"/>
        </w:tabs>
        <w:spacing w:before="240"/>
        <w:ind w:left="284" w:hanging="284"/>
        <w:rPr>
          <w:i/>
          <w:sz w:val="20"/>
          <w:szCs w:val="20"/>
        </w:rPr>
      </w:pPr>
      <w:r w:rsidRPr="000C57DD">
        <w:rPr>
          <w:i/>
          <w:sz w:val="20"/>
          <w:szCs w:val="20"/>
        </w:rPr>
        <w:t>*</w:t>
      </w:r>
      <w:r>
        <w:rPr>
          <w:i/>
          <w:sz w:val="20"/>
          <w:szCs w:val="20"/>
        </w:rPr>
        <w:t>   </w:t>
      </w:r>
      <w:r w:rsidRPr="000C57DD">
        <w:rPr>
          <w:i/>
          <w:sz w:val="20"/>
          <w:szCs w:val="20"/>
        </w:rPr>
        <w:t>O</w:t>
      </w:r>
      <w:r>
        <w:rPr>
          <w:i/>
          <w:sz w:val="20"/>
          <w:szCs w:val="20"/>
        </w:rPr>
        <w:t>mit if not applicable</w:t>
      </w:r>
    </w:p>
    <w:p w:rsidR="00F61C72" w:rsidRPr="00681A44" w:rsidRDefault="00F61C72" w:rsidP="00681A44"/>
    <w:sectPr w:rsidR="00F61C72" w:rsidRPr="00681A44">
      <w:pgSz w:w="11907" w:h="16840" w:code="9"/>
      <w:pgMar w:top="1622" w:right="1701" w:bottom="162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035"/>
    <w:multiLevelType w:val="hybridMultilevel"/>
    <w:tmpl w:val="4E082274"/>
    <w:lvl w:ilvl="0" w:tplc="DC9254A2">
      <w:start w:val="1"/>
      <w:numFmt w:val="bulle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1" w15:restartNumberingAfterBreak="0">
    <w:nsid w:val="29C34CFA"/>
    <w:multiLevelType w:val="hybridMultilevel"/>
    <w:tmpl w:val="4616413E"/>
    <w:lvl w:ilvl="0" w:tplc="25D60E82">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91A18"/>
    <w:multiLevelType w:val="hybridMultilevel"/>
    <w:tmpl w:val="86F4AE44"/>
    <w:lvl w:ilvl="0" w:tplc="0FD4BC80">
      <w:start w:val="1"/>
      <w:numFmt w:val="bullet"/>
      <w:pStyle w:val="BulletLis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3" w15:restartNumberingAfterBreak="0">
    <w:nsid w:val="4F0543BC"/>
    <w:multiLevelType w:val="multilevel"/>
    <w:tmpl w:val="FAF2CB1A"/>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Normal"/>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Normal"/>
      <w:suff w:val="nothing"/>
      <w:lvlText w:val=""/>
      <w:lvlJc w:val="left"/>
      <w:rPr>
        <w:rFonts w:cs="Times New Roman" w:hint="default"/>
      </w:rPr>
    </w:lvl>
    <w:lvl w:ilvl="5">
      <w:start w:val="1"/>
      <w:numFmt w:val="none"/>
      <w:pStyle w:val="Normal"/>
      <w:suff w:val="nothing"/>
      <w:lvlText w:val=""/>
      <w:lvlJc w:val="left"/>
      <w:rPr>
        <w:rFonts w:cs="Times New Roman" w:hint="default"/>
      </w:rPr>
    </w:lvl>
    <w:lvl w:ilvl="6">
      <w:start w:val="1"/>
      <w:numFmt w:val="none"/>
      <w:pStyle w:val="Normal"/>
      <w:suff w:val="nothing"/>
      <w:lvlText w:val=""/>
      <w:lvlJc w:val="left"/>
      <w:rPr>
        <w:rFonts w:cs="Times New Roman" w:hint="default"/>
      </w:rPr>
    </w:lvl>
    <w:lvl w:ilvl="7">
      <w:start w:val="1"/>
      <w:numFmt w:val="none"/>
      <w:pStyle w:val="Normal"/>
      <w:suff w:val="nothing"/>
      <w:lvlText w:val=""/>
      <w:lvlJc w:val="left"/>
      <w:rPr>
        <w:rFonts w:cs="Times New Roman" w:hint="default"/>
      </w:rPr>
    </w:lvl>
    <w:lvl w:ilvl="8">
      <w:start w:val="1"/>
      <w:numFmt w:val="none"/>
      <w:pStyle w:val="Normal"/>
      <w:suff w:val="nothing"/>
      <w:lvlText w:val=""/>
      <w:lvlJc w:val="left"/>
      <w:rPr>
        <w:rFonts w:cs="Times New Roman" w:hint="default"/>
      </w:rPr>
    </w:lvl>
  </w:abstractNum>
  <w:abstractNum w:abstractNumId="4" w15:restartNumberingAfterBreak="0">
    <w:nsid w:val="76DE7F3F"/>
    <w:multiLevelType w:val="hybridMultilevel"/>
    <w:tmpl w:val="B224B97C"/>
    <w:lvl w:ilvl="0" w:tplc="100CE9B2">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num w:numId="1" w16cid:durableId="693656762">
    <w:abstractNumId w:val="4"/>
  </w:num>
  <w:num w:numId="2" w16cid:durableId="451438867">
    <w:abstractNumId w:val="0"/>
  </w:num>
  <w:num w:numId="3" w16cid:durableId="1446539878">
    <w:abstractNumId w:val="2"/>
  </w:num>
  <w:num w:numId="4" w16cid:durableId="193301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21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08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6B8"/>
    <w:rsid w:val="000C57DD"/>
    <w:rsid w:val="00124EC9"/>
    <w:rsid w:val="00135DCE"/>
    <w:rsid w:val="003F7EB2"/>
    <w:rsid w:val="00512160"/>
    <w:rsid w:val="00597118"/>
    <w:rsid w:val="005E0BA4"/>
    <w:rsid w:val="006266B8"/>
    <w:rsid w:val="0068111C"/>
    <w:rsid w:val="00681A44"/>
    <w:rsid w:val="007571BD"/>
    <w:rsid w:val="007E12D7"/>
    <w:rsid w:val="0097320C"/>
    <w:rsid w:val="00A268B8"/>
    <w:rsid w:val="00AB3C76"/>
    <w:rsid w:val="00B66315"/>
    <w:rsid w:val="00C17113"/>
    <w:rsid w:val="00C5216F"/>
    <w:rsid w:val="00D44FAE"/>
    <w:rsid w:val="00EB223F"/>
    <w:rsid w:val="00F61C72"/>
    <w:rsid w:val="00F86BAB"/>
    <w:rsid w:val="00FD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A44"/>
    <w:rPr>
      <w:sz w:val="24"/>
      <w:szCs w:val="24"/>
    </w:rPr>
  </w:style>
  <w:style w:type="paragraph" w:styleId="Heading1">
    <w:name w:val="heading 1"/>
    <w:basedOn w:val="Normal"/>
    <w:next w:val="Normal"/>
    <w:autoRedefine/>
    <w:qFormat/>
    <w:pPr>
      <w:keepNext/>
      <w:widowControl w:val="0"/>
      <w:numPr>
        <w:numId w:val="5"/>
      </w:numPr>
      <w:shd w:val="pct10" w:color="auto" w:fill="FFFFFF"/>
      <w:spacing w:before="240" w:after="60"/>
      <w:jc w:val="center"/>
      <w:outlineLvl w:val="0"/>
    </w:pPr>
    <w:rPr>
      <w:rFonts w:ascii="Times New (W1)" w:hAnsi="Times New (W1)" w:cs="Times New (W1)"/>
      <w:b/>
      <w:bCs/>
      <w:caps/>
      <w:color w:val="800080"/>
      <w:spacing w:val="24"/>
      <w:kern w:val="28"/>
      <w:sz w:val="32"/>
      <w:szCs w:val="32"/>
    </w:rPr>
  </w:style>
  <w:style w:type="paragraph" w:styleId="Heading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Heading4">
    <w:name w:val="heading 4"/>
    <w:basedOn w:val="Normal"/>
    <w:next w:val="Normal"/>
    <w:qFormat/>
    <w:pPr>
      <w:keepNext/>
      <w:numPr>
        <w:ilvl w:val="3"/>
        <w:numId w:val="5"/>
      </w:numPr>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k">
    <w:name w:val="kk"/>
    <w:basedOn w:val="Normal"/>
    <w:next w:val="Normal"/>
    <w:pPr>
      <w:widowControl w:val="0"/>
      <w:ind w:left="285" w:right="1875"/>
    </w:pPr>
    <w:rPr>
      <w:b/>
      <w:bCs/>
      <w:color w:val="000000"/>
      <w:sz w:val="23"/>
      <w:szCs w:val="23"/>
      <w:lang w:eastAsia="en-US"/>
    </w:rPr>
  </w:style>
  <w:style w:type="paragraph" w:customStyle="1" w:styleId="Style1">
    <w:name w:val="Style1"/>
    <w:basedOn w:val="Heading4"/>
    <w:rPr>
      <w:rFonts w:ascii="Times New (W1)" w:hAnsi="Times New (W1)" w:cs="Times New (W1)"/>
      <w:sz w:val="22"/>
      <w:szCs w:val="22"/>
    </w:rPr>
  </w:style>
  <w:style w:type="paragraph" w:customStyle="1" w:styleId="BulletList">
    <w:name w:val="Bullet List"/>
    <w:basedOn w:val="Normal"/>
    <w:autoRedefine/>
    <w:pPr>
      <w:numPr>
        <w:numId w:val="3"/>
      </w:numPr>
    </w:pPr>
    <w:rPr>
      <w:rFonts w:ascii="Arial" w:hAnsi="Arial" w:cs="Arial"/>
    </w:rPr>
  </w:style>
  <w:style w:type="paragraph" w:customStyle="1" w:styleId="Style2">
    <w:name w:val="Style2"/>
    <w:basedOn w:val="Heading1"/>
    <w:next w:val="Heading1"/>
    <w:autoRedefine/>
    <w:pPr>
      <w:tabs>
        <w:tab w:val="left" w:pos="284"/>
        <w:tab w:val="left" w:pos="1134"/>
        <w:tab w:val="left" w:pos="2268"/>
        <w:tab w:val="left" w:pos="7371"/>
        <w:tab w:val="left" w:pos="8222"/>
      </w:tabs>
      <w:spacing w:before="0" w:after="0"/>
    </w:pPr>
    <w:rPr>
      <w:rFonts w:ascii="Arial (W1)" w:hAnsi="Arial (W1)" w:cs="Arial (W1)"/>
      <w:vanish/>
      <w:kern w:val="0"/>
      <w:sz w:val="28"/>
      <w:szCs w:val="28"/>
      <w:lang w:val="en-GB"/>
    </w:rPr>
  </w:style>
  <w:style w:type="paragraph" w:customStyle="1" w:styleId="Style3">
    <w:name w:val="Style3"/>
    <w:basedOn w:val="Heading2"/>
    <w:next w:val="Style2"/>
    <w:autoRedefine/>
    <w:pPr>
      <w:tabs>
        <w:tab w:val="left" w:pos="-1152"/>
        <w:tab w:val="left" w:pos="-432"/>
        <w:tab w:val="left" w:pos="288"/>
        <w:tab w:val="left" w:pos="1008"/>
        <w:tab w:val="left" w:pos="1728"/>
        <w:tab w:val="left" w:pos="2448"/>
        <w:tab w:val="left" w:pos="3168"/>
        <w:tab w:val="left" w:pos="3888"/>
        <w:tab w:val="left" w:pos="4608"/>
        <w:tab w:val="left" w:pos="5874"/>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0" w:after="0" w:line="221" w:lineRule="auto"/>
    </w:pPr>
    <w:rPr>
      <w:i w:val="0"/>
      <w:iCs w:val="0"/>
      <w:spacing w:val="-2"/>
      <w:sz w:val="26"/>
      <w:szCs w:val="26"/>
      <w:lang w:val="en-GB"/>
    </w:rPr>
  </w:style>
  <w:style w:type="character" w:customStyle="1" w:styleId="CharSchPTNo">
    <w:name w:val="CharSchPTNo"/>
    <w:rsid w:val="006266B8"/>
    <w:rPr>
      <w:rFonts w:cs="Times New Roman"/>
    </w:rPr>
  </w:style>
  <w:style w:type="character" w:customStyle="1" w:styleId="CharSchPTText">
    <w:name w:val="CharSchPTText"/>
    <w:rsid w:val="006266B8"/>
    <w:rPr>
      <w:rFonts w:cs="Times New Roman"/>
    </w:rPr>
  </w:style>
  <w:style w:type="paragraph" w:customStyle="1" w:styleId="Note">
    <w:name w:val="Note"/>
    <w:basedOn w:val="Normal"/>
    <w:rsid w:val="006266B8"/>
    <w:pPr>
      <w:keepLines/>
      <w:spacing w:before="120" w:line="221" w:lineRule="auto"/>
      <w:ind w:left="964"/>
      <w:jc w:val="both"/>
    </w:pPr>
    <w:rPr>
      <w:sz w:val="20"/>
      <w:szCs w:val="20"/>
    </w:rPr>
  </w:style>
  <w:style w:type="paragraph" w:customStyle="1" w:styleId="P1">
    <w:name w:val="P1"/>
    <w:aliases w:val="(a)"/>
    <w:basedOn w:val="Normal"/>
    <w:rsid w:val="006266B8"/>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6266B8"/>
    <w:pPr>
      <w:keepLines/>
      <w:tabs>
        <w:tab w:val="right" w:pos="1758"/>
        <w:tab w:val="left" w:pos="2155"/>
      </w:tabs>
      <w:spacing w:before="60" w:line="260" w:lineRule="exact"/>
      <w:ind w:left="1985" w:hanging="1985"/>
      <w:jc w:val="both"/>
    </w:pPr>
    <w:rPr>
      <w:lang w:eastAsia="en-US"/>
    </w:rPr>
  </w:style>
  <w:style w:type="paragraph" w:customStyle="1" w:styleId="Schedulepara">
    <w:name w:val="Schedule para"/>
    <w:basedOn w:val="Normal"/>
    <w:rsid w:val="006266B8"/>
    <w:pPr>
      <w:tabs>
        <w:tab w:val="right" w:pos="567"/>
      </w:tabs>
      <w:spacing w:before="180" w:line="260" w:lineRule="exact"/>
      <w:ind w:left="964" w:hanging="964"/>
      <w:jc w:val="both"/>
    </w:pPr>
    <w:rPr>
      <w:lang w:eastAsia="en-US"/>
    </w:rPr>
  </w:style>
  <w:style w:type="paragraph" w:customStyle="1" w:styleId="Schedulepart">
    <w:name w:val="Schedule part"/>
    <w:basedOn w:val="Normal"/>
    <w:rsid w:val="006266B8"/>
    <w:pPr>
      <w:keepNext/>
      <w:keepLines/>
      <w:spacing w:before="360"/>
      <w:ind w:left="1559" w:hanging="1559"/>
    </w:pPr>
    <w:rPr>
      <w:rFonts w:ascii="Arial" w:hAnsi="Arial" w:cs="Arial"/>
      <w:b/>
      <w:bCs/>
      <w:sz w:val="28"/>
      <w:szCs w:val="28"/>
      <w:lang w:eastAsia="en-US"/>
    </w:rPr>
  </w:style>
  <w:style w:type="paragraph" w:customStyle="1" w:styleId="Schedulereferenceleft">
    <w:name w:val="Schedule reference left"/>
    <w:basedOn w:val="Normal"/>
    <w:rsid w:val="006266B8"/>
    <w:pPr>
      <w:keepNext/>
      <w:keepLines/>
      <w:spacing w:before="60" w:line="200" w:lineRule="exact"/>
      <w:jc w:val="both"/>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Corporations Form 17A: Arrest warrant</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17A: Arrest warrant</dc:title>
  <dc:subject/>
  <dc:creator/>
  <cp:keywords/>
  <dc:description/>
  <cp:lastModifiedBy/>
  <cp:revision>1</cp:revision>
  <dcterms:created xsi:type="dcterms:W3CDTF">2025-07-15T05:17:00Z</dcterms:created>
  <dcterms:modified xsi:type="dcterms:W3CDTF">2025-07-15T05:17:00Z</dcterms:modified>
</cp:coreProperties>
</file>