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Ind w:w="-1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6"/>
      </w:tblGrid>
      <w:tr w:rsidR="00D9694A" w:rsidRPr="002211C2" w14:paraId="2FB65157" w14:textId="77777777" w:rsidTr="00D9694A">
        <w:trPr>
          <w:trHeight w:val="842"/>
        </w:trPr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B99942" w14:textId="6D4D1304" w:rsidR="00D9694A" w:rsidRPr="00D9694A" w:rsidRDefault="00F60759" w:rsidP="00F60759">
            <w:r>
              <w:rPr>
                <w:noProof/>
                <w:lang w:eastAsia="en-AU"/>
              </w:rPr>
              <w:drawing>
                <wp:inline distT="0" distB="0" distL="0" distR="0" wp14:anchorId="40DF6CE0" wp14:editId="740D4C1D">
                  <wp:extent cx="1986643" cy="4927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edCourt_Logo_BW_lrg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720" cy="505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CC2B94" w14:textId="77777777" w:rsidR="00D9694A" w:rsidRPr="00677074" w:rsidRDefault="00D9694A" w:rsidP="00D9694A">
            <w:pPr>
              <w:ind w:right="140"/>
              <w:jc w:val="right"/>
              <w:rPr>
                <w:rFonts w:cstheme="minorHAnsi"/>
                <w:sz w:val="16"/>
              </w:rPr>
            </w:pPr>
            <w:r w:rsidRPr="00AA09C2">
              <w:rPr>
                <w:rFonts w:cstheme="minorHAnsi"/>
                <w:i/>
                <w:sz w:val="16"/>
              </w:rPr>
              <w:t xml:space="preserve">Federal Court Rules 2011 </w:t>
            </w:r>
            <w:r w:rsidRPr="00AA09C2">
              <w:rPr>
                <w:rFonts w:cstheme="minorHAnsi"/>
                <w:sz w:val="16"/>
              </w:rPr>
              <w:t>– Rule 2.3</w:t>
            </w:r>
            <w:r w:rsidRPr="00677074">
              <w:rPr>
                <w:rFonts w:cstheme="minorHAnsi"/>
                <w:sz w:val="16"/>
              </w:rPr>
              <w:t>2</w:t>
            </w:r>
          </w:p>
          <w:p w14:paraId="60B0943F" w14:textId="77777777" w:rsidR="00D9694A" w:rsidRPr="00677074" w:rsidRDefault="00D9694A" w:rsidP="00D9694A">
            <w:pPr>
              <w:ind w:right="140"/>
              <w:jc w:val="right"/>
              <w:rPr>
                <w:rFonts w:cstheme="minorHAnsi"/>
                <w:sz w:val="16"/>
              </w:rPr>
            </w:pPr>
            <w:r w:rsidRPr="00AA09C2">
              <w:rPr>
                <w:rFonts w:cstheme="minorHAnsi"/>
                <w:i/>
                <w:sz w:val="16"/>
              </w:rPr>
              <w:t xml:space="preserve">Federal Court (Corporations) Rules 2000 </w:t>
            </w:r>
            <w:r w:rsidRPr="00AA09C2">
              <w:rPr>
                <w:rFonts w:cstheme="minorHAnsi"/>
                <w:sz w:val="16"/>
              </w:rPr>
              <w:t>– Rule 11.3 (7)</w:t>
            </w:r>
          </w:p>
          <w:p w14:paraId="351B0F3C" w14:textId="77777777" w:rsidR="00D9694A" w:rsidRDefault="00D9694A" w:rsidP="00D9694A">
            <w:pPr>
              <w:ind w:right="140"/>
              <w:jc w:val="right"/>
              <w:rPr>
                <w:rFonts w:cstheme="minorHAnsi"/>
                <w:sz w:val="16"/>
                <w:szCs w:val="16"/>
              </w:rPr>
            </w:pPr>
            <w:r w:rsidRPr="00AA09C2">
              <w:rPr>
                <w:rFonts w:cstheme="minorHAnsi"/>
                <w:i/>
                <w:sz w:val="16"/>
              </w:rPr>
              <w:t xml:space="preserve">Federal Court (Bankruptcy) 2005 – </w:t>
            </w:r>
            <w:r w:rsidRPr="00AA09C2">
              <w:rPr>
                <w:rFonts w:cstheme="minorHAnsi"/>
                <w:sz w:val="16"/>
              </w:rPr>
              <w:t xml:space="preserve">Rule </w:t>
            </w:r>
            <w:r w:rsidRPr="00C21D6F">
              <w:rPr>
                <w:rFonts w:cstheme="minorHAnsi"/>
                <w:sz w:val="16"/>
                <w:szCs w:val="16"/>
              </w:rPr>
              <w:t>6.13(7)</w:t>
            </w:r>
          </w:p>
          <w:p w14:paraId="4455EEC8" w14:textId="093AF022" w:rsidR="00D9694A" w:rsidRPr="00D9694A" w:rsidRDefault="00D9694A" w:rsidP="00D9694A">
            <w:pPr>
              <w:ind w:right="140"/>
              <w:jc w:val="right"/>
              <w:rPr>
                <w:rFonts w:cstheme="minorHAnsi"/>
                <w:sz w:val="16"/>
                <w:szCs w:val="16"/>
              </w:rPr>
            </w:pPr>
            <w:r w:rsidRPr="00C21D6F">
              <w:rPr>
                <w:rFonts w:cstheme="minorHAnsi"/>
                <w:sz w:val="16"/>
                <w:szCs w:val="16"/>
              </w:rPr>
              <w:t>Access to Documents and Transcript Practice Note (GPN-ACCS)</w:t>
            </w:r>
          </w:p>
        </w:tc>
      </w:tr>
      <w:tr w:rsidR="00F60759" w:rsidRPr="002211C2" w14:paraId="2B564E1C" w14:textId="77777777" w:rsidTr="00C55B8D">
        <w:trPr>
          <w:trHeight w:val="842"/>
        </w:trPr>
        <w:tc>
          <w:tcPr>
            <w:tcW w:w="992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A321D9" w14:textId="7FE8D7B1" w:rsidR="00F60759" w:rsidRPr="00AA09C2" w:rsidRDefault="00F60759" w:rsidP="00F60759">
            <w:pPr>
              <w:ind w:right="140"/>
              <w:rPr>
                <w:rFonts w:cstheme="minorHAnsi"/>
                <w:i/>
                <w:sz w:val="16"/>
              </w:rPr>
            </w:pPr>
            <w:r w:rsidRPr="00F96F12">
              <w:rPr>
                <w:rFonts w:cstheme="minorHAnsi"/>
                <w:b/>
                <w:sz w:val="36"/>
                <w:szCs w:val="36"/>
              </w:rPr>
              <w:t>REQUEST BY NON-PARTY FOR ACCESS TO COURT DOCUMENTS</w:t>
            </w:r>
          </w:p>
        </w:tc>
      </w:tr>
      <w:tr w:rsidR="00E01580" w:rsidRPr="002211C2" w14:paraId="29499240" w14:textId="77777777" w:rsidTr="00CC58F9">
        <w:trPr>
          <w:trHeight w:val="842"/>
        </w:trPr>
        <w:tc>
          <w:tcPr>
            <w:tcW w:w="9923" w:type="dxa"/>
            <w:gridSpan w:val="2"/>
            <w:tcBorders>
              <w:top w:val="nil"/>
              <w:bottom w:val="nil"/>
            </w:tcBorders>
            <w:shd w:val="clear" w:color="auto" w:fill="000000" w:themeFill="text1"/>
          </w:tcPr>
          <w:p w14:paraId="33464172" w14:textId="77777777" w:rsidR="00E01580" w:rsidRPr="002211C2" w:rsidRDefault="00E01580" w:rsidP="005954C8">
            <w:pPr>
              <w:tabs>
                <w:tab w:val="left" w:pos="2130"/>
              </w:tabs>
              <w:spacing w:before="120" w:after="120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</w:rPr>
              <w:t>N</w:t>
            </w:r>
            <w:r w:rsidRPr="002211C2">
              <w:rPr>
                <w:rFonts w:cstheme="minorHAnsi"/>
                <w:b/>
              </w:rPr>
              <w:t xml:space="preserve">OTICE TO NON-PARTY </w:t>
            </w:r>
            <w:r>
              <w:rPr>
                <w:rFonts w:cstheme="minorHAnsi"/>
                <w:b/>
              </w:rPr>
              <w:t xml:space="preserve">ACCESS </w:t>
            </w:r>
            <w:r w:rsidRPr="002211C2">
              <w:rPr>
                <w:rFonts w:cstheme="minorHAnsi"/>
                <w:b/>
              </w:rPr>
              <w:t>APPLICANT</w:t>
            </w:r>
            <w:r w:rsidRPr="002211C2">
              <w:rPr>
                <w:rFonts w:cstheme="minorHAnsi"/>
                <w:b/>
              </w:rPr>
              <w:br/>
              <w:t xml:space="preserve">YOU </w:t>
            </w:r>
            <w:r w:rsidRPr="002211C2">
              <w:rPr>
                <w:rFonts w:cstheme="minorHAnsi"/>
                <w:b/>
                <w:u w:val="single"/>
              </w:rPr>
              <w:t>MUST</w:t>
            </w:r>
            <w:r w:rsidRPr="002211C2">
              <w:rPr>
                <w:rFonts w:cstheme="minorHAnsi"/>
                <w:b/>
              </w:rPr>
              <w:t xml:space="preserve"> READ THIS BEFORE </w:t>
            </w:r>
            <w:r>
              <w:rPr>
                <w:rFonts w:cstheme="minorHAnsi"/>
                <w:b/>
              </w:rPr>
              <w:t>REQUESTING ACCESS TO COURT DOCUMENTS</w:t>
            </w:r>
          </w:p>
        </w:tc>
      </w:tr>
      <w:tr w:rsidR="00E01580" w:rsidRPr="00D144D3" w14:paraId="3FF5FFD2" w14:textId="77777777" w:rsidTr="00667246">
        <w:tc>
          <w:tcPr>
            <w:tcW w:w="9923" w:type="dxa"/>
            <w:gridSpan w:val="2"/>
            <w:tcBorders>
              <w:top w:val="nil"/>
              <w:bottom w:val="single" w:sz="18" w:space="0" w:color="595959" w:themeColor="text1" w:themeTint="A6"/>
            </w:tcBorders>
          </w:tcPr>
          <w:p w14:paraId="067C60F1" w14:textId="77777777" w:rsidR="00E01580" w:rsidRDefault="00E01580" w:rsidP="00252ED0">
            <w:pPr>
              <w:spacing w:before="240" w:after="120"/>
              <w:rPr>
                <w:rFonts w:cstheme="minorHAnsi"/>
              </w:rPr>
            </w:pPr>
            <w:r w:rsidRPr="00EF1755">
              <w:rPr>
                <w:rFonts w:cstheme="minorHAnsi"/>
              </w:rPr>
              <w:t>‘</w:t>
            </w:r>
            <w:r w:rsidRPr="00EF1755">
              <w:rPr>
                <w:rFonts w:cstheme="minorHAnsi"/>
                <w:b/>
              </w:rPr>
              <w:t>Unrestricted</w:t>
            </w:r>
            <w:r w:rsidRPr="00EF1755">
              <w:rPr>
                <w:rFonts w:cstheme="minorHAnsi"/>
              </w:rPr>
              <w:t xml:space="preserve">’ documents </w:t>
            </w:r>
            <w:r>
              <w:rPr>
                <w:rFonts w:cstheme="minorHAnsi"/>
              </w:rPr>
              <w:t xml:space="preserve">in a proceeding are those documents that fall within </w:t>
            </w:r>
            <w:r w:rsidRPr="00D144D3">
              <w:rPr>
                <w:rFonts w:cstheme="minorHAnsi"/>
              </w:rPr>
              <w:t xml:space="preserve">the categories set out in </w:t>
            </w:r>
            <w:r>
              <w:rPr>
                <w:rFonts w:cstheme="minorHAnsi"/>
              </w:rPr>
              <w:t>sub-r</w:t>
            </w:r>
            <w:r w:rsidRPr="00D144D3">
              <w:rPr>
                <w:rFonts w:cstheme="minorHAnsi"/>
              </w:rPr>
              <w:t>ule 2.32(2) of the Federal Court Rules</w:t>
            </w:r>
            <w:r>
              <w:rPr>
                <w:rFonts w:cstheme="minorHAnsi"/>
              </w:rPr>
              <w:t xml:space="preserve"> and </w:t>
            </w:r>
            <w:r w:rsidRPr="00EF1755">
              <w:rPr>
                <w:rFonts w:cstheme="minorHAnsi"/>
              </w:rPr>
              <w:t xml:space="preserve">include originating applications, pleadings, certain formal notices, </w:t>
            </w:r>
            <w:proofErr w:type="gramStart"/>
            <w:r w:rsidRPr="00EF1755">
              <w:rPr>
                <w:rFonts w:cstheme="minorHAnsi"/>
              </w:rPr>
              <w:t>transcript</w:t>
            </w:r>
            <w:proofErr w:type="gramEnd"/>
            <w:r w:rsidRPr="00EF1755">
              <w:rPr>
                <w:rFonts w:cstheme="minorHAnsi"/>
              </w:rPr>
              <w:t xml:space="preserve"> and reasons for judgment.</w:t>
            </w:r>
            <w:r>
              <w:rPr>
                <w:rFonts w:cstheme="minorHAnsi"/>
              </w:rPr>
              <w:t xml:space="preserve"> </w:t>
            </w:r>
            <w:r w:rsidRPr="005772FD">
              <w:rPr>
                <w:rFonts w:cstheme="minorHAnsi"/>
              </w:rPr>
              <w:t xml:space="preserve">A non-party access applicant may apply, under </w:t>
            </w:r>
            <w:r>
              <w:rPr>
                <w:rFonts w:cstheme="minorHAnsi"/>
              </w:rPr>
              <w:t>r</w:t>
            </w:r>
            <w:r w:rsidRPr="005772FD">
              <w:rPr>
                <w:rFonts w:cstheme="minorHAnsi"/>
              </w:rPr>
              <w:t xml:space="preserve">ule 2.32 of the </w:t>
            </w:r>
            <w:hyperlink r:id="rId8" w:history="1">
              <w:r w:rsidRPr="005772FD">
                <w:rPr>
                  <w:rStyle w:val="Hyperlink"/>
                  <w:rFonts w:cstheme="minorHAnsi"/>
                </w:rPr>
                <w:t>Federal Court Rules 2011</w:t>
              </w:r>
            </w:hyperlink>
            <w:r w:rsidRPr="005772FD">
              <w:rPr>
                <w:rFonts w:cstheme="minorHAnsi"/>
              </w:rPr>
              <w:t xml:space="preserve"> (</w:t>
            </w:r>
            <w:r w:rsidRPr="00EF1755">
              <w:rPr>
                <w:rFonts w:cstheme="minorHAnsi"/>
              </w:rPr>
              <w:t>Federal Court Rules</w:t>
            </w:r>
            <w:r w:rsidRPr="005772FD">
              <w:rPr>
                <w:rFonts w:cstheme="minorHAnsi"/>
              </w:rPr>
              <w:t xml:space="preserve">), to inspect </w:t>
            </w:r>
            <w:r>
              <w:rPr>
                <w:rFonts w:cstheme="minorHAnsi"/>
              </w:rPr>
              <w:t>‘</w:t>
            </w:r>
            <w:r w:rsidRPr="00EF1755">
              <w:rPr>
                <w:rFonts w:cstheme="minorHAnsi"/>
              </w:rPr>
              <w:t>unrestricted</w:t>
            </w:r>
            <w:r w:rsidRPr="002B14FC">
              <w:rPr>
                <w:rFonts w:cstheme="minorHAnsi"/>
                <w:b/>
              </w:rPr>
              <w:t>’</w:t>
            </w:r>
            <w:r w:rsidRPr="002B14FC">
              <w:rPr>
                <w:rFonts w:cstheme="minorHAnsi"/>
              </w:rPr>
              <w:t xml:space="preserve"> document</w:t>
            </w:r>
            <w:r>
              <w:rPr>
                <w:rFonts w:cstheme="minorHAnsi"/>
              </w:rPr>
              <w:t>(</w:t>
            </w:r>
            <w:r w:rsidRPr="002B14FC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) in a proceeding, </w:t>
            </w:r>
            <w:r w:rsidRPr="002B14FC">
              <w:rPr>
                <w:rFonts w:cstheme="minorHAnsi"/>
              </w:rPr>
              <w:t>subject to any order or direction of the Court and certain exceptions (regarding confidentiality and restriction from publication)</w:t>
            </w:r>
            <w:r>
              <w:rPr>
                <w:rFonts w:cstheme="minorHAnsi"/>
              </w:rPr>
              <w:t xml:space="preserve">. Where there has been no first </w:t>
            </w:r>
            <w:r w:rsidRPr="00EF1755">
              <w:rPr>
                <w:rFonts w:cstheme="minorHAnsi"/>
              </w:rPr>
              <w:t xml:space="preserve">hearing </w:t>
            </w:r>
            <w:r>
              <w:rPr>
                <w:rFonts w:cstheme="minorHAnsi"/>
              </w:rPr>
              <w:t>in a</w:t>
            </w:r>
            <w:r w:rsidRPr="00EF1755">
              <w:rPr>
                <w:rFonts w:cstheme="minorHAnsi"/>
              </w:rPr>
              <w:t xml:space="preserve"> proceeding</w:t>
            </w:r>
            <w:r>
              <w:rPr>
                <w:rFonts w:cstheme="minorHAnsi"/>
              </w:rPr>
              <w:t xml:space="preserve">, a non-party </w:t>
            </w:r>
            <w:r w:rsidRPr="00EF1755">
              <w:rPr>
                <w:rFonts w:cstheme="minorHAnsi"/>
              </w:rPr>
              <w:t xml:space="preserve">may apply to the Court for leave </w:t>
            </w:r>
            <w:r w:rsidRPr="00D144D3">
              <w:rPr>
                <w:rFonts w:cstheme="minorHAnsi"/>
              </w:rPr>
              <w:t>(permission)</w:t>
            </w:r>
            <w:r>
              <w:rPr>
                <w:rFonts w:cstheme="minorHAnsi"/>
              </w:rPr>
              <w:t>, pursuant to sub-r</w:t>
            </w:r>
            <w:r w:rsidRPr="00D144D3">
              <w:rPr>
                <w:rFonts w:cstheme="minorHAnsi"/>
              </w:rPr>
              <w:t>ule 2.32(4) of the Federal Court Rules</w:t>
            </w:r>
            <w:r>
              <w:rPr>
                <w:rFonts w:cstheme="minorHAnsi"/>
              </w:rPr>
              <w:t xml:space="preserve">, </w:t>
            </w:r>
            <w:r w:rsidRPr="00EF1755">
              <w:rPr>
                <w:rFonts w:cstheme="minorHAnsi"/>
              </w:rPr>
              <w:t>to inspect document</w:t>
            </w:r>
            <w:r>
              <w:rPr>
                <w:rFonts w:cstheme="minorHAnsi"/>
              </w:rPr>
              <w:t>(s)</w:t>
            </w:r>
            <w:r w:rsidRPr="00EF1755">
              <w:rPr>
                <w:rFonts w:cstheme="minorHAnsi"/>
              </w:rPr>
              <w:t xml:space="preserve"> that the </w:t>
            </w:r>
            <w:r>
              <w:rPr>
                <w:rFonts w:cstheme="minorHAnsi"/>
              </w:rPr>
              <w:t>non-party</w:t>
            </w:r>
            <w:r w:rsidRPr="00EF1755">
              <w:rPr>
                <w:rFonts w:cstheme="minorHAnsi"/>
              </w:rPr>
              <w:t xml:space="preserve"> is not otherwise entitled to inspect. </w:t>
            </w:r>
          </w:p>
          <w:p w14:paraId="6C9FC029" w14:textId="76945D71" w:rsidR="00E01580" w:rsidRDefault="00E01580" w:rsidP="00252ED0">
            <w:pPr>
              <w:spacing w:before="120" w:after="120"/>
              <w:rPr>
                <w:rFonts w:cstheme="minorHAnsi"/>
              </w:rPr>
            </w:pPr>
            <w:r w:rsidRPr="00D144D3">
              <w:rPr>
                <w:rFonts w:cstheme="minorHAnsi"/>
                <w:b/>
              </w:rPr>
              <w:t>‘</w:t>
            </w:r>
            <w:r>
              <w:rPr>
                <w:rFonts w:cstheme="minorHAnsi"/>
                <w:b/>
              </w:rPr>
              <w:t>R</w:t>
            </w:r>
            <w:r w:rsidRPr="00D144D3">
              <w:rPr>
                <w:rFonts w:cstheme="minorHAnsi"/>
                <w:b/>
              </w:rPr>
              <w:t>estricted’</w:t>
            </w:r>
            <w:r w:rsidRPr="00D144D3">
              <w:rPr>
                <w:rFonts w:cstheme="minorHAnsi"/>
              </w:rPr>
              <w:t xml:space="preserve"> document</w:t>
            </w:r>
            <w:r>
              <w:rPr>
                <w:rFonts w:cstheme="minorHAnsi"/>
              </w:rPr>
              <w:t>s i</w:t>
            </w:r>
            <w:r w:rsidRPr="00D144D3">
              <w:rPr>
                <w:rFonts w:cstheme="minorHAnsi"/>
              </w:rPr>
              <w:t xml:space="preserve">n a proceeding </w:t>
            </w:r>
            <w:r>
              <w:rPr>
                <w:rFonts w:cstheme="minorHAnsi"/>
              </w:rPr>
              <w:t xml:space="preserve">are those documents that fall </w:t>
            </w:r>
            <w:r w:rsidRPr="00D144D3">
              <w:rPr>
                <w:rFonts w:cstheme="minorHAnsi"/>
              </w:rPr>
              <w:t xml:space="preserve">outside the categories set out in </w:t>
            </w:r>
            <w:r>
              <w:rPr>
                <w:rFonts w:cstheme="minorHAnsi"/>
              </w:rPr>
              <w:t>sub-r</w:t>
            </w:r>
            <w:r w:rsidRPr="00D144D3">
              <w:rPr>
                <w:rFonts w:cstheme="minorHAnsi"/>
              </w:rPr>
              <w:t>ule 2.32(2) of the Federal Court Rules.</w:t>
            </w:r>
            <w:r>
              <w:rPr>
                <w:rFonts w:cstheme="minorHAnsi"/>
              </w:rPr>
              <w:t xml:space="preserve"> </w:t>
            </w:r>
            <w:r w:rsidRPr="00D144D3">
              <w:rPr>
                <w:rFonts w:cstheme="minorHAnsi"/>
              </w:rPr>
              <w:t xml:space="preserve">Examples of </w:t>
            </w:r>
            <w:r>
              <w:rPr>
                <w:rFonts w:cstheme="minorHAnsi"/>
              </w:rPr>
              <w:t xml:space="preserve">restricted </w:t>
            </w:r>
            <w:r w:rsidRPr="00D144D3">
              <w:rPr>
                <w:rFonts w:cstheme="minorHAnsi"/>
              </w:rPr>
              <w:t>documents include an affidavit (other than an affidavit accompanying an application or amended application in a native title proceeding</w:t>
            </w:r>
            <w:r>
              <w:rPr>
                <w:rFonts w:cstheme="minorHAnsi"/>
              </w:rPr>
              <w:t>)</w:t>
            </w:r>
            <w:r w:rsidRPr="00D144D3">
              <w:rPr>
                <w:rFonts w:cstheme="minorHAnsi"/>
              </w:rPr>
              <w:t xml:space="preserve">; an exhibit; </w:t>
            </w:r>
            <w:r>
              <w:rPr>
                <w:rFonts w:cstheme="minorHAnsi"/>
              </w:rPr>
              <w:t xml:space="preserve">an expert report; </w:t>
            </w:r>
            <w:r w:rsidRPr="00D144D3">
              <w:rPr>
                <w:rFonts w:cstheme="minorHAnsi"/>
              </w:rPr>
              <w:t>evidence taken on deposition</w:t>
            </w:r>
            <w:r w:rsidR="00EC5A51">
              <w:rPr>
                <w:rFonts w:cstheme="minorHAnsi"/>
              </w:rPr>
              <w:t>;</w:t>
            </w:r>
            <w:r w:rsidRPr="00D144D3">
              <w:rPr>
                <w:rFonts w:cstheme="minorHAnsi"/>
              </w:rPr>
              <w:t xml:space="preserve"> and written submissions.</w:t>
            </w:r>
            <w:r>
              <w:rPr>
                <w:rFonts w:cstheme="minorHAnsi"/>
              </w:rPr>
              <w:t xml:space="preserve"> </w:t>
            </w:r>
            <w:r w:rsidRPr="00D144D3">
              <w:rPr>
                <w:rFonts w:cstheme="minorHAnsi"/>
              </w:rPr>
              <w:t>A non-party requires the leave of the Court</w:t>
            </w:r>
            <w:r>
              <w:rPr>
                <w:rFonts w:cstheme="minorHAnsi"/>
              </w:rPr>
              <w:t xml:space="preserve">, </w:t>
            </w:r>
            <w:r w:rsidRPr="005772FD">
              <w:rPr>
                <w:rFonts w:cstheme="minorHAnsi"/>
              </w:rPr>
              <w:t xml:space="preserve">under </w:t>
            </w:r>
            <w:r>
              <w:rPr>
                <w:rFonts w:cstheme="minorHAnsi"/>
              </w:rPr>
              <w:t>sub-r</w:t>
            </w:r>
            <w:r w:rsidRPr="005772FD">
              <w:rPr>
                <w:rFonts w:cstheme="minorHAnsi"/>
              </w:rPr>
              <w:t>ule 2.32</w:t>
            </w:r>
            <w:r>
              <w:rPr>
                <w:rFonts w:cstheme="minorHAnsi"/>
              </w:rPr>
              <w:t>(4)</w:t>
            </w:r>
            <w:r w:rsidRPr="005772FD">
              <w:rPr>
                <w:rFonts w:cstheme="minorHAnsi"/>
              </w:rPr>
              <w:t xml:space="preserve"> of the</w:t>
            </w:r>
            <w:r>
              <w:rPr>
                <w:rFonts w:cstheme="minorHAnsi"/>
              </w:rPr>
              <w:t xml:space="preserve"> Federal Court Rule</w:t>
            </w:r>
            <w:r w:rsidR="00EC5A51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, </w:t>
            </w:r>
            <w:r w:rsidRPr="00D144D3">
              <w:rPr>
                <w:rFonts w:cstheme="minorHAnsi"/>
              </w:rPr>
              <w:t xml:space="preserve">to inspect </w:t>
            </w:r>
            <w:r>
              <w:rPr>
                <w:rFonts w:cstheme="minorHAnsi"/>
              </w:rPr>
              <w:t>restricted</w:t>
            </w:r>
            <w:r w:rsidRPr="00D144D3">
              <w:rPr>
                <w:rFonts w:cstheme="minorHAnsi"/>
              </w:rPr>
              <w:t xml:space="preserve"> documents. </w:t>
            </w:r>
          </w:p>
          <w:p w14:paraId="479BD117" w14:textId="77777777" w:rsidR="00E01580" w:rsidRPr="00D144D3" w:rsidRDefault="00E01580" w:rsidP="00252ED0">
            <w:pPr>
              <w:spacing w:before="120" w:after="40"/>
              <w:jc w:val="both"/>
              <w:rPr>
                <w:rFonts w:cstheme="minorHAnsi"/>
              </w:rPr>
            </w:pPr>
            <w:r>
              <w:rPr>
                <w:rStyle w:val="ui-provider"/>
              </w:rPr>
              <w:t xml:space="preserve">Prior to making any request for access to documents, the Court expects that a non-party access applicant will have </w:t>
            </w:r>
            <w:proofErr w:type="gramStart"/>
            <w:r>
              <w:rPr>
                <w:rStyle w:val="ui-provider"/>
              </w:rPr>
              <w:t>given careful consideration to</w:t>
            </w:r>
            <w:proofErr w:type="gramEnd"/>
            <w:r>
              <w:rPr>
                <w:rStyle w:val="ui-provider"/>
              </w:rPr>
              <w:t>:</w:t>
            </w:r>
            <w:r w:rsidRPr="00D144D3" w:rsidDel="0017375E">
              <w:rPr>
                <w:rFonts w:cstheme="minorHAnsi"/>
              </w:rPr>
              <w:t xml:space="preserve"> </w:t>
            </w:r>
          </w:p>
          <w:p w14:paraId="3FB14449" w14:textId="6B5FE15F" w:rsidR="00E01580" w:rsidRPr="00667246" w:rsidRDefault="00E01580" w:rsidP="00667246">
            <w:pPr>
              <w:pStyle w:val="ListParagraph"/>
              <w:numPr>
                <w:ilvl w:val="0"/>
                <w:numId w:val="29"/>
              </w:numPr>
              <w:spacing w:before="120" w:after="120"/>
              <w:jc w:val="both"/>
              <w:rPr>
                <w:rFonts w:cstheme="minorHAnsi"/>
              </w:rPr>
            </w:pPr>
            <w:r w:rsidRPr="00667246">
              <w:rPr>
                <w:rFonts w:cstheme="minorHAnsi"/>
              </w:rPr>
              <w:t>the relevant Rules (attached)</w:t>
            </w:r>
          </w:p>
          <w:p w14:paraId="0E9571B3" w14:textId="48666056" w:rsidR="00E01580" w:rsidRPr="00667246" w:rsidRDefault="00E01580" w:rsidP="00667246">
            <w:pPr>
              <w:pStyle w:val="ListParagraph"/>
              <w:numPr>
                <w:ilvl w:val="0"/>
                <w:numId w:val="29"/>
              </w:numPr>
              <w:spacing w:before="120" w:after="120"/>
              <w:jc w:val="both"/>
              <w:rPr>
                <w:rFonts w:cstheme="minorHAnsi"/>
              </w:rPr>
            </w:pPr>
            <w:r w:rsidRPr="00667246">
              <w:rPr>
                <w:rFonts w:cstheme="minorHAnsi"/>
              </w:rPr>
              <w:t xml:space="preserve">the </w:t>
            </w:r>
            <w:hyperlink r:id="rId9" w:history="1">
              <w:r w:rsidRPr="00667246">
                <w:rPr>
                  <w:rStyle w:val="Hyperlink"/>
                  <w:rFonts w:cstheme="minorHAnsi"/>
                </w:rPr>
                <w:t>Access to Documents Practice Note (GPN-ACCS)</w:t>
              </w:r>
            </w:hyperlink>
          </w:p>
          <w:p w14:paraId="163796F4" w14:textId="5AB53F09" w:rsidR="00E01580" w:rsidRPr="00667246" w:rsidRDefault="00E01580" w:rsidP="00667246">
            <w:pPr>
              <w:pStyle w:val="ListParagraph"/>
              <w:numPr>
                <w:ilvl w:val="0"/>
                <w:numId w:val="29"/>
              </w:numPr>
              <w:spacing w:before="120" w:after="120"/>
              <w:jc w:val="both"/>
              <w:rPr>
                <w:rFonts w:cstheme="minorHAnsi"/>
              </w:rPr>
            </w:pPr>
            <w:r w:rsidRPr="00667246">
              <w:rPr>
                <w:rFonts w:cstheme="minorHAnsi"/>
              </w:rPr>
              <w:t xml:space="preserve">whether the request is the most efficient method possible to obtain the documents (e.g. certain types of documents are available to be accessed by parties and non-parties, without a fee, through the </w:t>
            </w:r>
            <w:hyperlink r:id="rId10" w:history="1">
              <w:r w:rsidRPr="00667246">
                <w:rPr>
                  <w:rStyle w:val="Hyperlink"/>
                  <w:rFonts w:cstheme="minorHAnsi"/>
                </w:rPr>
                <w:t>Commonwealth Courts Portal</w:t>
              </w:r>
            </w:hyperlink>
            <w:r w:rsidRPr="00667246">
              <w:rPr>
                <w:rFonts w:cstheme="minorHAnsi"/>
              </w:rPr>
              <w:t>)</w:t>
            </w:r>
          </w:p>
          <w:p w14:paraId="6DA6C795" w14:textId="3BC77E32" w:rsidR="00E01580" w:rsidRPr="00667246" w:rsidRDefault="00E01580" w:rsidP="00667246">
            <w:pPr>
              <w:pStyle w:val="ListParagraph"/>
              <w:numPr>
                <w:ilvl w:val="0"/>
                <w:numId w:val="29"/>
              </w:numPr>
              <w:spacing w:before="120" w:after="120"/>
              <w:jc w:val="both"/>
              <w:rPr>
                <w:rFonts w:cstheme="minorHAnsi"/>
              </w:rPr>
            </w:pPr>
            <w:r w:rsidRPr="00667246">
              <w:rPr>
                <w:rFonts w:cstheme="minorHAnsi"/>
              </w:rPr>
              <w:t xml:space="preserve">whether the documents could be more easily and cost effectively obtained from an original or other source (e.g. a report of a </w:t>
            </w:r>
            <w:proofErr w:type="gramStart"/>
            <w:r w:rsidRPr="00667246">
              <w:rPr>
                <w:rFonts w:cstheme="minorHAnsi"/>
              </w:rPr>
              <w:t>Government</w:t>
            </w:r>
            <w:proofErr w:type="gramEnd"/>
            <w:r w:rsidRPr="00667246">
              <w:rPr>
                <w:rFonts w:cstheme="minorHAnsi"/>
              </w:rPr>
              <w:t xml:space="preserve"> agency freely available on that agency’s website)</w:t>
            </w:r>
          </w:p>
          <w:p w14:paraId="3243A121" w14:textId="15C306E6" w:rsidR="00E01580" w:rsidRPr="00667246" w:rsidRDefault="00E01580" w:rsidP="00667246">
            <w:pPr>
              <w:pStyle w:val="ListParagraph"/>
              <w:numPr>
                <w:ilvl w:val="0"/>
                <w:numId w:val="29"/>
              </w:numPr>
              <w:spacing w:before="120" w:after="120"/>
              <w:jc w:val="both"/>
              <w:rPr>
                <w:rFonts w:cstheme="minorHAnsi"/>
              </w:rPr>
            </w:pPr>
            <w:r w:rsidRPr="00667246">
              <w:rPr>
                <w:rFonts w:cstheme="minorHAnsi"/>
              </w:rPr>
              <w:t xml:space="preserve">ensuring the request is clear, concise, accurate and specific about the document(s) being requested (e.g. rather than requesting all affidavits on a file, only requesting those relevant to a person or particular </w:t>
            </w:r>
            <w:proofErr w:type="gramStart"/>
            <w:r w:rsidRPr="00667246">
              <w:rPr>
                <w:rFonts w:cstheme="minorHAnsi"/>
              </w:rPr>
              <w:t>period of time</w:t>
            </w:r>
            <w:proofErr w:type="gramEnd"/>
            <w:r w:rsidRPr="00667246">
              <w:rPr>
                <w:rFonts w:cstheme="minorHAnsi"/>
              </w:rPr>
              <w:t>)</w:t>
            </w:r>
            <w:r w:rsidR="00EC5A51" w:rsidRPr="00667246">
              <w:rPr>
                <w:rFonts w:cstheme="minorHAnsi"/>
              </w:rPr>
              <w:t>, and</w:t>
            </w:r>
          </w:p>
          <w:p w14:paraId="67894E85" w14:textId="77777777" w:rsidR="00E01580" w:rsidRPr="00667246" w:rsidRDefault="00E01580" w:rsidP="00667246">
            <w:pPr>
              <w:pStyle w:val="ListParagraph"/>
              <w:numPr>
                <w:ilvl w:val="0"/>
                <w:numId w:val="29"/>
              </w:numPr>
              <w:spacing w:before="120" w:after="120"/>
              <w:jc w:val="both"/>
              <w:rPr>
                <w:rFonts w:cstheme="minorHAnsi"/>
              </w:rPr>
            </w:pPr>
            <w:r w:rsidRPr="00667246">
              <w:rPr>
                <w:rFonts w:cstheme="minorHAnsi"/>
              </w:rPr>
              <w:t xml:space="preserve">whether they anticipate a likelihood for controversy to arise due to the request (e.g. if the material sought is commercially sensitive, </w:t>
            </w:r>
            <w:proofErr w:type="gramStart"/>
            <w:r w:rsidRPr="00667246">
              <w:rPr>
                <w:rFonts w:cstheme="minorHAnsi"/>
              </w:rPr>
              <w:t>confidential</w:t>
            </w:r>
            <w:proofErr w:type="gramEnd"/>
            <w:r w:rsidRPr="00667246">
              <w:rPr>
                <w:rFonts w:cstheme="minorHAnsi"/>
              </w:rPr>
              <w:t xml:space="preserve"> or intended to be used in another proceeding).</w:t>
            </w:r>
          </w:p>
          <w:p w14:paraId="3276AF05" w14:textId="658CC4DC" w:rsidR="00E01580" w:rsidRDefault="00E01580" w:rsidP="00C55B8D">
            <w:pPr>
              <w:spacing w:before="120" w:after="120"/>
              <w:rPr>
                <w:rFonts w:cstheme="minorHAnsi"/>
              </w:rPr>
            </w:pPr>
            <w:r w:rsidRPr="00D144D3">
              <w:rPr>
                <w:rFonts w:cstheme="minorHAnsi"/>
              </w:rPr>
              <w:t>In the Federal Court of Australia fees are payable and copying charges</w:t>
            </w:r>
            <w:r>
              <w:rPr>
                <w:rFonts w:cstheme="minorHAnsi"/>
              </w:rPr>
              <w:t xml:space="preserve"> may</w:t>
            </w:r>
            <w:r w:rsidRPr="00D144D3">
              <w:rPr>
                <w:rFonts w:cstheme="minorHAnsi"/>
              </w:rPr>
              <w:t xml:space="preserve"> also apply. The </w:t>
            </w:r>
            <w:hyperlink r:id="rId11" w:history="1">
              <w:r w:rsidRPr="00D144D3">
                <w:rPr>
                  <w:rStyle w:val="Hyperlink"/>
                  <w:rFonts w:cstheme="minorHAnsi"/>
                </w:rPr>
                <w:t>current fee</w:t>
              </w:r>
            </w:hyperlink>
            <w:r w:rsidRPr="00D144D3">
              <w:rPr>
                <w:rFonts w:cstheme="minorHAnsi"/>
              </w:rPr>
              <w:t xml:space="preserve"> is published on the </w:t>
            </w:r>
            <w:r w:rsidR="00EC5A51">
              <w:rPr>
                <w:rFonts w:cstheme="minorHAnsi"/>
              </w:rPr>
              <w:t xml:space="preserve">Court’s </w:t>
            </w:r>
            <w:r>
              <w:rPr>
                <w:rFonts w:cstheme="minorHAnsi"/>
              </w:rPr>
              <w:t>website (refer to item 123).</w:t>
            </w:r>
          </w:p>
          <w:p w14:paraId="0E251728" w14:textId="11BDEA0C" w:rsidR="0053564E" w:rsidRPr="004309E1" w:rsidRDefault="00E01580" w:rsidP="004309E1">
            <w:pPr>
              <w:spacing w:before="120" w:after="120"/>
              <w:rPr>
                <w:rFonts w:cstheme="minorHAnsi"/>
              </w:rPr>
            </w:pPr>
            <w:r w:rsidRPr="00E67670">
              <w:rPr>
                <w:rFonts w:cstheme="minorHAnsi"/>
              </w:rPr>
              <w:t xml:space="preserve">A </w:t>
            </w:r>
            <w:hyperlink r:id="rId12" w:history="1">
              <w:r w:rsidRPr="002E3EF7">
                <w:rPr>
                  <w:rStyle w:val="Hyperlink"/>
                  <w:rFonts w:cstheme="minorHAnsi"/>
                </w:rPr>
                <w:t>step-by-step guide</w:t>
              </w:r>
            </w:hyperlink>
            <w:r w:rsidRPr="00E67670">
              <w:rPr>
                <w:rFonts w:cstheme="minorHAnsi"/>
              </w:rPr>
              <w:t xml:space="preserve"> on </w:t>
            </w:r>
            <w:r>
              <w:rPr>
                <w:rFonts w:cstheme="minorHAnsi"/>
              </w:rPr>
              <w:t>h</w:t>
            </w:r>
            <w:r w:rsidRPr="00E67670">
              <w:rPr>
                <w:rFonts w:cstheme="minorHAnsi"/>
              </w:rPr>
              <w:t>ow to make an Access Request to inspect Court documents</w:t>
            </w:r>
            <w:r>
              <w:rPr>
                <w:rFonts w:cstheme="minorHAnsi"/>
              </w:rPr>
              <w:t xml:space="preserve"> is available on the Court’s website.</w:t>
            </w:r>
          </w:p>
        </w:tc>
      </w:tr>
      <w:tr w:rsidR="004309E1" w:rsidRPr="00D144D3" w14:paraId="221BD88B" w14:textId="77777777" w:rsidTr="00CF0AD3">
        <w:tc>
          <w:tcPr>
            <w:tcW w:w="9923" w:type="dxa"/>
            <w:gridSpan w:val="2"/>
            <w:tcBorders>
              <w:top w:val="nil"/>
              <w:bottom w:val="single" w:sz="18" w:space="0" w:color="595959" w:themeColor="text1" w:themeTint="A6"/>
            </w:tcBorders>
            <w:shd w:val="clear" w:color="auto" w:fill="FFFFFF" w:themeFill="background1"/>
          </w:tcPr>
          <w:p w14:paraId="73EE901F" w14:textId="2D6EAF11" w:rsidR="004309E1" w:rsidRPr="00CF0AD3" w:rsidRDefault="004309E1" w:rsidP="004309E1">
            <w:pPr>
              <w:spacing w:before="120" w:after="120"/>
            </w:pPr>
            <w:r w:rsidRPr="00CF0AD3">
              <w:rPr>
                <w:rFonts w:cstheme="minorHAnsi"/>
                <w:b/>
              </w:rPr>
              <w:t>NOTE:</w:t>
            </w:r>
            <w:r w:rsidRPr="00CF0AD3">
              <w:rPr>
                <w:rFonts w:cstheme="minorHAnsi"/>
              </w:rPr>
              <w:t xml:space="preserve"> ALL questions in </w:t>
            </w:r>
            <w:r w:rsidRPr="001A76C4">
              <w:rPr>
                <w:rFonts w:cstheme="minorHAnsi"/>
                <w:b/>
              </w:rPr>
              <w:t>PARTS 1-6</w:t>
            </w:r>
            <w:r w:rsidRPr="00CF0AD3">
              <w:rPr>
                <w:rFonts w:cstheme="minorHAnsi"/>
              </w:rPr>
              <w:t xml:space="preserve"> of this form</w:t>
            </w:r>
            <w:r w:rsidR="00252ED0" w:rsidRPr="00CF0AD3">
              <w:rPr>
                <w:rFonts w:cstheme="minorHAnsi"/>
              </w:rPr>
              <w:t xml:space="preserve"> must be completed. </w:t>
            </w:r>
            <w:r w:rsidR="001A76C4" w:rsidRPr="001A76C4">
              <w:rPr>
                <w:rFonts w:cstheme="minorHAnsi"/>
                <w:b/>
              </w:rPr>
              <w:t>Page 6</w:t>
            </w:r>
            <w:r w:rsidR="001A76C4">
              <w:rPr>
                <w:rFonts w:cstheme="minorHAnsi"/>
              </w:rPr>
              <w:t xml:space="preserve"> will be completed by the Court. </w:t>
            </w:r>
            <w:r w:rsidR="00252ED0" w:rsidRPr="00CF0AD3">
              <w:rPr>
                <w:rFonts w:cstheme="minorHAnsi"/>
              </w:rPr>
              <w:t>The c</w:t>
            </w:r>
            <w:r w:rsidRPr="00CF0AD3">
              <w:rPr>
                <w:rFonts w:cstheme="minorHAnsi"/>
              </w:rPr>
              <w:t xml:space="preserve">ompleted form may be lodged via email to </w:t>
            </w:r>
            <w:hyperlink r:id="rId13" w:history="1">
              <w:r w:rsidRPr="00CF0AD3">
                <w:rPr>
                  <w:rStyle w:val="Hyperlink"/>
                </w:rPr>
                <w:t>Document.Inspections@fedcourt.gov.au</w:t>
              </w:r>
            </w:hyperlink>
          </w:p>
        </w:tc>
      </w:tr>
      <w:tr w:rsidR="00E01580" w:rsidRPr="00D144D3" w14:paraId="5C53E8F3" w14:textId="77777777" w:rsidTr="00667246">
        <w:tc>
          <w:tcPr>
            <w:tcW w:w="9923" w:type="dxa"/>
            <w:gridSpan w:val="2"/>
            <w:tcBorders>
              <w:top w:val="single" w:sz="18" w:space="0" w:color="595959" w:themeColor="text1" w:themeTint="A6"/>
              <w:bottom w:val="single" w:sz="18" w:space="0" w:color="595959" w:themeColor="text1" w:themeTint="A6"/>
            </w:tcBorders>
            <w:shd w:val="clear" w:color="auto" w:fill="F2F2F2" w:themeFill="background1" w:themeFillShade="F2"/>
          </w:tcPr>
          <w:p w14:paraId="5B63EE29" w14:textId="77777777" w:rsidR="00E01580" w:rsidRPr="00D144D3" w:rsidRDefault="00E01580" w:rsidP="0074564D">
            <w:pPr>
              <w:tabs>
                <w:tab w:val="center" w:pos="4693"/>
              </w:tabs>
              <w:spacing w:before="120" w:after="120"/>
              <w:jc w:val="center"/>
              <w:rPr>
                <w:rFonts w:cstheme="minorHAnsi"/>
                <w:spacing w:val="-3"/>
              </w:rPr>
            </w:pPr>
            <w:r w:rsidRPr="00D144D3">
              <w:rPr>
                <w:rFonts w:cstheme="minorHAnsi"/>
                <w:b/>
                <w:bCs/>
                <w:spacing w:val="-3"/>
              </w:rPr>
              <w:t>WARNING</w:t>
            </w:r>
          </w:p>
          <w:p w14:paraId="23B470B1" w14:textId="4E1AA1FB" w:rsidR="00E01580" w:rsidRPr="00D144D3" w:rsidRDefault="00E01580" w:rsidP="0074564D">
            <w:pPr>
              <w:tabs>
                <w:tab w:val="left" w:pos="-1008"/>
                <w:tab w:val="left" w:pos="-288"/>
                <w:tab w:val="left" w:pos="432"/>
                <w:tab w:val="left" w:pos="1152"/>
                <w:tab w:val="left" w:pos="1872"/>
                <w:tab w:val="left" w:pos="2592"/>
                <w:tab w:val="left" w:pos="306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  <w:tab w:val="left" w:pos="11232"/>
                <w:tab w:val="left" w:pos="11952"/>
                <w:tab w:val="left" w:pos="12672"/>
                <w:tab w:val="left" w:pos="13392"/>
                <w:tab w:val="left" w:pos="14112"/>
                <w:tab w:val="left" w:pos="14832"/>
                <w:tab w:val="left" w:pos="15552"/>
                <w:tab w:val="left" w:pos="16272"/>
                <w:tab w:val="left" w:pos="16992"/>
                <w:tab w:val="left" w:pos="17712"/>
                <w:tab w:val="left" w:pos="18432"/>
                <w:tab w:val="left" w:pos="19152"/>
              </w:tabs>
              <w:spacing w:before="120" w:after="120"/>
              <w:jc w:val="center"/>
              <w:rPr>
                <w:rFonts w:cstheme="minorHAnsi"/>
                <w:b/>
              </w:rPr>
            </w:pPr>
            <w:r w:rsidRPr="00D144D3">
              <w:rPr>
                <w:rFonts w:cstheme="minorHAnsi"/>
                <w:b/>
                <w:spacing w:val="-3"/>
              </w:rPr>
              <w:t xml:space="preserve">UNDER THE </w:t>
            </w:r>
            <w:r w:rsidRPr="00D144D3">
              <w:rPr>
                <w:rFonts w:cstheme="minorHAnsi"/>
                <w:b/>
                <w:i/>
                <w:spacing w:val="-3"/>
              </w:rPr>
              <w:t>CRIMINAL CODE 1995</w:t>
            </w:r>
            <w:r w:rsidRPr="00D144D3">
              <w:rPr>
                <w:rFonts w:cstheme="minorHAnsi"/>
                <w:b/>
                <w:spacing w:val="-3"/>
              </w:rPr>
              <w:t xml:space="preserve"> (CTH) ANY PERSON WHO KNOWINGLY MAKES AN UNTRUE REPRESENTATION OR STATEMENT TO OBTAIN A BENEFIT OR ADVANTAGE FROM THE COMMONWEALTH</w:t>
            </w:r>
            <w:r w:rsidR="00534F31">
              <w:rPr>
                <w:rFonts w:cstheme="minorHAnsi"/>
                <w:b/>
                <w:spacing w:val="-3"/>
              </w:rPr>
              <w:br/>
            </w:r>
            <w:r w:rsidRPr="00D144D3">
              <w:rPr>
                <w:rFonts w:cstheme="minorHAnsi"/>
                <w:b/>
                <w:spacing w:val="-3"/>
              </w:rPr>
              <w:t xml:space="preserve"> IS GUILTY OF AN OFFENCE AND, IF FOUND </w:t>
            </w:r>
            <w:r w:rsidRPr="00534F31">
              <w:rPr>
                <w:rFonts w:cstheme="minorHAnsi"/>
                <w:b/>
                <w:spacing w:val="-3"/>
                <w:u w:val="single"/>
              </w:rPr>
              <w:t>GUILTY</w:t>
            </w:r>
            <w:r w:rsidRPr="00D144D3">
              <w:rPr>
                <w:rFonts w:cstheme="minorHAnsi"/>
                <w:b/>
                <w:spacing w:val="-3"/>
              </w:rPr>
              <w:t>, CAN BE FINED OR IMPRISONED.</w:t>
            </w:r>
          </w:p>
        </w:tc>
      </w:tr>
    </w:tbl>
    <w:p w14:paraId="7C7A2616" w14:textId="77777777" w:rsidR="00970031" w:rsidRDefault="00970031" w:rsidP="00222D7B">
      <w:r>
        <w:br w:type="page"/>
      </w:r>
    </w:p>
    <w:tbl>
      <w:tblPr>
        <w:tblStyle w:val="TableGrid"/>
        <w:tblW w:w="9786" w:type="dxa"/>
        <w:tblInd w:w="-10" w:type="dxa"/>
        <w:tblLook w:val="0600" w:firstRow="0" w:lastRow="0" w:firstColumn="0" w:lastColumn="0" w:noHBand="1" w:noVBand="1"/>
      </w:tblPr>
      <w:tblGrid>
        <w:gridCol w:w="3681"/>
        <w:gridCol w:w="62"/>
        <w:gridCol w:w="6043"/>
      </w:tblGrid>
      <w:tr w:rsidR="00222D7B" w:rsidRPr="00D144D3" w14:paraId="0CE12083" w14:textId="77777777" w:rsidTr="005E3C2E">
        <w:tc>
          <w:tcPr>
            <w:tcW w:w="97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8954EBB" w14:textId="77777777" w:rsidR="00222D7B" w:rsidRPr="005E3C2E" w:rsidRDefault="00222D7B" w:rsidP="005E3C2E">
            <w:pPr>
              <w:pStyle w:val="Heading1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sz w:val="34"/>
                <w:szCs w:val="34"/>
              </w:rPr>
            </w:pPr>
            <w:r w:rsidRPr="005E3C2E">
              <w:rPr>
                <w:rFonts w:asciiTheme="minorHAnsi" w:hAnsiTheme="minorHAnsi" w:cstheme="minorHAnsi"/>
                <w:color w:val="auto"/>
                <w:sz w:val="34"/>
                <w:szCs w:val="34"/>
              </w:rPr>
              <w:lastRenderedPageBreak/>
              <w:t>REQUEST BY NON-PARTY FOR ACCESS TO COURT DOCUMENTS</w:t>
            </w:r>
          </w:p>
          <w:p w14:paraId="72FA4EF2" w14:textId="77777777" w:rsidR="00222D7B" w:rsidRPr="005E3C2E" w:rsidRDefault="00222D7B" w:rsidP="005E3C2E">
            <w:pPr>
              <w:keepNext/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  <w:r w:rsidRPr="005E3C2E">
              <w:rPr>
                <w:rFonts w:ascii="Calibri" w:hAnsi="Calibri" w:cs="Calibri"/>
                <w:i/>
                <w:sz w:val="20"/>
                <w:szCs w:val="20"/>
              </w:rPr>
              <w:t>Federal Court Rules 2011 – Rule 2.32</w:t>
            </w:r>
          </w:p>
          <w:p w14:paraId="07B39327" w14:textId="77777777" w:rsidR="00222D7B" w:rsidRPr="005E3C2E" w:rsidRDefault="00222D7B" w:rsidP="005E3C2E">
            <w:pPr>
              <w:keepNext/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  <w:r w:rsidRPr="005E3C2E">
              <w:rPr>
                <w:rFonts w:ascii="Calibri" w:hAnsi="Calibri" w:cs="Calibri"/>
                <w:i/>
                <w:sz w:val="20"/>
                <w:szCs w:val="20"/>
              </w:rPr>
              <w:t>Federal Court (Corporations) Rules 2000 – Rule 11.3 (7)</w:t>
            </w:r>
          </w:p>
          <w:p w14:paraId="0F20EEC0" w14:textId="77777777" w:rsidR="00222D7B" w:rsidRPr="005E3C2E" w:rsidRDefault="00222D7B" w:rsidP="005E3C2E">
            <w:pPr>
              <w:keepNext/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  <w:r w:rsidRPr="005E3C2E">
              <w:rPr>
                <w:rFonts w:ascii="Calibri" w:hAnsi="Calibri" w:cs="Calibri"/>
                <w:i/>
                <w:sz w:val="20"/>
                <w:szCs w:val="20"/>
              </w:rPr>
              <w:t>Federal Court (Bankruptcy) 2005 – Rule 6.13(7)</w:t>
            </w:r>
          </w:p>
          <w:p w14:paraId="0D478C61" w14:textId="7D73FC56" w:rsidR="00222D7B" w:rsidRPr="00D144D3" w:rsidRDefault="00222D7B" w:rsidP="005E3C2E">
            <w:pPr>
              <w:keepNext/>
              <w:jc w:val="right"/>
              <w:rPr>
                <w:rFonts w:cstheme="minorHAnsi"/>
              </w:rPr>
            </w:pPr>
            <w:r w:rsidRPr="005E3C2E">
              <w:rPr>
                <w:rFonts w:ascii="Calibri" w:hAnsi="Calibri" w:cs="Calibri"/>
                <w:i/>
                <w:sz w:val="20"/>
                <w:szCs w:val="20"/>
              </w:rPr>
              <w:t>Access to Documents and Transcript Practice Note (GPN-ACCS)</w:t>
            </w:r>
          </w:p>
        </w:tc>
      </w:tr>
      <w:tr w:rsidR="00222D7B" w:rsidRPr="00D144D3" w14:paraId="40E955E9" w14:textId="77777777" w:rsidTr="005E3C2E">
        <w:tc>
          <w:tcPr>
            <w:tcW w:w="9786" w:type="dxa"/>
            <w:gridSpan w:val="3"/>
            <w:tcBorders>
              <w:top w:val="nil"/>
            </w:tcBorders>
            <w:shd w:val="clear" w:color="auto" w:fill="000000" w:themeFill="text1"/>
          </w:tcPr>
          <w:p w14:paraId="4ECA45EC" w14:textId="3A8212C8" w:rsidR="00222D7B" w:rsidRPr="00D144D3" w:rsidRDefault="00222D7B" w:rsidP="00914E56">
            <w:pPr>
              <w:pStyle w:val="Heading1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D144D3">
              <w:rPr>
                <w:rFonts w:asciiTheme="minorHAnsi" w:hAnsiTheme="minorHAnsi" w:cstheme="minorHAnsi"/>
              </w:rPr>
              <w:t>PART 1 – ACKNOWLEDGMENT</w:t>
            </w:r>
          </w:p>
        </w:tc>
      </w:tr>
      <w:tr w:rsidR="00222D7B" w:rsidRPr="0053564E" w14:paraId="44D368B1" w14:textId="77777777" w:rsidTr="005E3C2E">
        <w:tc>
          <w:tcPr>
            <w:tcW w:w="9786" w:type="dxa"/>
            <w:gridSpan w:val="3"/>
          </w:tcPr>
          <w:p w14:paraId="33A8E8B4" w14:textId="77777777" w:rsidR="00222D7B" w:rsidRPr="0027205D" w:rsidRDefault="00222D7B" w:rsidP="00914E56">
            <w:pPr>
              <w:keepNext/>
              <w:spacing w:before="120" w:after="60"/>
              <w:rPr>
                <w:rFonts w:ascii="Calibri" w:hAnsi="Calibri" w:cs="Calibri"/>
                <w:sz w:val="20"/>
                <w:szCs w:val="20"/>
              </w:rPr>
            </w:pPr>
            <w:r w:rsidRPr="0027205D">
              <w:rPr>
                <w:rFonts w:ascii="Calibri" w:hAnsi="Calibri" w:cs="Calibri"/>
                <w:sz w:val="20"/>
                <w:szCs w:val="20"/>
              </w:rPr>
              <w:t xml:space="preserve">I acknowledge that I have </w:t>
            </w:r>
            <w:proofErr w:type="gramStart"/>
            <w:r w:rsidRPr="0027205D">
              <w:rPr>
                <w:rFonts w:ascii="Calibri" w:hAnsi="Calibri" w:cs="Calibri"/>
                <w:sz w:val="20"/>
                <w:szCs w:val="20"/>
              </w:rPr>
              <w:t>given careful consideration to</w:t>
            </w:r>
            <w:proofErr w:type="gramEnd"/>
            <w:r w:rsidRPr="0027205D">
              <w:rPr>
                <w:rFonts w:ascii="Calibri" w:hAnsi="Calibri" w:cs="Calibri"/>
                <w:sz w:val="20"/>
                <w:szCs w:val="20"/>
              </w:rPr>
              <w:t xml:space="preserve"> the matters set out in:</w:t>
            </w:r>
          </w:p>
          <w:p w14:paraId="71F4142F" w14:textId="77777777" w:rsidR="00222D7B" w:rsidRPr="00353B66" w:rsidRDefault="00222D7B" w:rsidP="00914E56">
            <w:pPr>
              <w:pStyle w:val="ListParagraph"/>
              <w:numPr>
                <w:ilvl w:val="0"/>
                <w:numId w:val="27"/>
              </w:numPr>
              <w:tabs>
                <w:tab w:val="clear" w:pos="1134"/>
                <w:tab w:val="num" w:pos="598"/>
              </w:tabs>
              <w:spacing w:before="120" w:after="120"/>
              <w:ind w:left="598" w:hanging="425"/>
              <w:contextualSpacing w:val="0"/>
              <w:rPr>
                <w:sz w:val="20"/>
                <w:szCs w:val="20"/>
              </w:rPr>
            </w:pPr>
            <w:r w:rsidRPr="00353B66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>
              <w:rPr>
                <w:rFonts w:ascii="Calibri" w:hAnsi="Calibri" w:cs="Calibri"/>
                <w:sz w:val="20"/>
                <w:szCs w:val="20"/>
              </w:rPr>
              <w:t>‘Notice to non-party access a</w:t>
            </w:r>
            <w:r w:rsidRPr="00590553">
              <w:rPr>
                <w:rFonts w:ascii="Calibri" w:hAnsi="Calibri" w:cs="Calibri"/>
                <w:sz w:val="20"/>
                <w:szCs w:val="20"/>
              </w:rPr>
              <w:t>pplicant</w:t>
            </w:r>
            <w:r>
              <w:rPr>
                <w:rFonts w:ascii="Calibri" w:hAnsi="Calibri" w:cs="Calibri"/>
                <w:sz w:val="20"/>
                <w:szCs w:val="20"/>
              </w:rPr>
              <w:t>’</w:t>
            </w:r>
            <w:r w:rsidRPr="00353B66">
              <w:rPr>
                <w:rFonts w:ascii="Calibri" w:hAnsi="Calibri" w:cs="Calibri"/>
                <w:sz w:val="20"/>
                <w:szCs w:val="20"/>
              </w:rPr>
              <w:t xml:space="preserve"> (page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1)</w:t>
            </w:r>
          </w:p>
          <w:p w14:paraId="3BB74443" w14:textId="77777777" w:rsidR="00222D7B" w:rsidRPr="00353B66" w:rsidRDefault="00222D7B" w:rsidP="00914E56">
            <w:pPr>
              <w:pStyle w:val="ListParagraph"/>
              <w:numPr>
                <w:ilvl w:val="0"/>
                <w:numId w:val="27"/>
              </w:numPr>
              <w:tabs>
                <w:tab w:val="clear" w:pos="1134"/>
                <w:tab w:val="num" w:pos="598"/>
              </w:tabs>
              <w:spacing w:before="120" w:after="120"/>
              <w:ind w:left="598" w:hanging="425"/>
              <w:contextualSpacing w:val="0"/>
              <w:rPr>
                <w:sz w:val="20"/>
                <w:szCs w:val="20"/>
              </w:rPr>
            </w:pPr>
            <w:r w:rsidRPr="00353B66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hyperlink r:id="rId14" w:history="1">
              <w:r w:rsidRPr="00353B66">
                <w:rPr>
                  <w:rStyle w:val="Hyperlink"/>
                  <w:rFonts w:ascii="Calibri" w:hAnsi="Calibri" w:cs="Calibri"/>
                  <w:sz w:val="20"/>
                  <w:szCs w:val="20"/>
                </w:rPr>
                <w:t>Access to Documents Practice Note (GPN-ACCS)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353B66">
              <w:rPr>
                <w:rFonts w:ascii="Calibri" w:hAnsi="Calibri" w:cs="Calibri"/>
                <w:sz w:val="20"/>
                <w:szCs w:val="20"/>
              </w:rPr>
              <w:t xml:space="preserve"> and</w:t>
            </w:r>
          </w:p>
          <w:p w14:paraId="00C29B7B" w14:textId="77777777" w:rsidR="00222D7B" w:rsidRPr="0053564E" w:rsidRDefault="00222D7B" w:rsidP="00914E56">
            <w:pPr>
              <w:pStyle w:val="ListParagraph"/>
              <w:numPr>
                <w:ilvl w:val="0"/>
                <w:numId w:val="27"/>
              </w:numPr>
              <w:tabs>
                <w:tab w:val="clear" w:pos="1134"/>
                <w:tab w:val="num" w:pos="598"/>
              </w:tabs>
              <w:spacing w:before="120" w:after="120"/>
              <w:ind w:left="598" w:hanging="425"/>
              <w:contextualSpacing w:val="0"/>
              <w:rPr>
                <w:sz w:val="20"/>
                <w:szCs w:val="20"/>
              </w:rPr>
            </w:pPr>
            <w:r w:rsidRPr="00353B66">
              <w:rPr>
                <w:rFonts w:ascii="Calibri" w:hAnsi="Calibri" w:cs="Calibri"/>
                <w:sz w:val="20"/>
                <w:szCs w:val="20"/>
              </w:rPr>
              <w:t xml:space="preserve">Rule 2.32 of the </w:t>
            </w:r>
            <w:hyperlink r:id="rId15" w:history="1">
              <w:r w:rsidRPr="00353B66">
                <w:rPr>
                  <w:rStyle w:val="Hyperlink"/>
                  <w:rFonts w:ascii="Calibri" w:hAnsi="Calibri" w:cs="Calibri"/>
                  <w:sz w:val="20"/>
                  <w:szCs w:val="20"/>
                </w:rPr>
                <w:t>Federal Court Rules 2011</w:t>
              </w:r>
            </w:hyperlink>
            <w:r>
              <w:rPr>
                <w:rStyle w:val="Hyperlink"/>
                <w:rFonts w:ascii="Calibri" w:hAnsi="Calibri" w:cs="Calibri"/>
                <w:sz w:val="20"/>
                <w:szCs w:val="20"/>
              </w:rPr>
              <w:t xml:space="preserve"> </w:t>
            </w:r>
            <w:r w:rsidRPr="00590553">
              <w:rPr>
                <w:rFonts w:ascii="Calibri" w:hAnsi="Calibri" w:cs="Calibri"/>
                <w:sz w:val="20"/>
                <w:szCs w:val="20"/>
              </w:rPr>
              <w:t>(page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5</w:t>
            </w:r>
            <w:r w:rsidRPr="00590553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53564E">
              <w:rPr>
                <w:rFonts w:ascii="Calibri" w:hAnsi="Calibri" w:cs="Calibri"/>
                <w:sz w:val="20"/>
                <w:szCs w:val="20"/>
              </w:rPr>
              <w:t>and declare that the contents of this request are true and correct.</w:t>
            </w:r>
          </w:p>
        </w:tc>
      </w:tr>
      <w:tr w:rsidR="00222D7B" w:rsidRPr="00D144D3" w14:paraId="1C89DEC7" w14:textId="77777777" w:rsidTr="005E3C2E">
        <w:trPr>
          <w:trHeight w:val="397"/>
        </w:trPr>
        <w:tc>
          <w:tcPr>
            <w:tcW w:w="3743" w:type="dxa"/>
            <w:gridSpan w:val="2"/>
          </w:tcPr>
          <w:p w14:paraId="7D64322E" w14:textId="77777777" w:rsidR="00222D7B" w:rsidRPr="008B516B" w:rsidRDefault="00222D7B" w:rsidP="00914E56">
            <w:pPr>
              <w:pStyle w:val="Heading2"/>
              <w:numPr>
                <w:ilvl w:val="1"/>
                <w:numId w:val="18"/>
              </w:num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8B516B">
              <w:rPr>
                <w:rFonts w:ascii="Calibri" w:hAnsi="Calibri" w:cs="Calibri"/>
                <w:sz w:val="20"/>
                <w:szCs w:val="20"/>
              </w:rPr>
              <w:t>Full name</w:t>
            </w:r>
          </w:p>
        </w:tc>
        <w:tc>
          <w:tcPr>
            <w:tcW w:w="6043" w:type="dxa"/>
            <w:shd w:val="clear" w:color="auto" w:fill="auto"/>
          </w:tcPr>
          <w:p w14:paraId="07E5F8E3" w14:textId="7B8934C8" w:rsidR="00222D7B" w:rsidRPr="00D144D3" w:rsidRDefault="00222D7B" w:rsidP="00914E56">
            <w:pPr>
              <w:keepNext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</w:tr>
      <w:tr w:rsidR="00222D7B" w:rsidRPr="00D144D3" w14:paraId="4BFB9B88" w14:textId="77777777" w:rsidTr="005E3C2E">
        <w:trPr>
          <w:trHeight w:val="397"/>
        </w:trPr>
        <w:tc>
          <w:tcPr>
            <w:tcW w:w="3743" w:type="dxa"/>
            <w:gridSpan w:val="2"/>
          </w:tcPr>
          <w:p w14:paraId="7034489D" w14:textId="77777777" w:rsidR="00222D7B" w:rsidRPr="008B516B" w:rsidRDefault="00222D7B" w:rsidP="00914E56">
            <w:pPr>
              <w:pStyle w:val="Heading2"/>
              <w:numPr>
                <w:ilvl w:val="1"/>
                <w:numId w:val="18"/>
              </w:num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8B516B">
              <w:rPr>
                <w:rFonts w:ascii="Calibri" w:hAnsi="Calibri" w:cs="Calibri"/>
                <w:sz w:val="20"/>
                <w:szCs w:val="20"/>
              </w:rPr>
              <w:t>Signature</w:t>
            </w:r>
          </w:p>
        </w:tc>
        <w:tc>
          <w:tcPr>
            <w:tcW w:w="6043" w:type="dxa"/>
            <w:shd w:val="clear" w:color="auto" w:fill="auto"/>
          </w:tcPr>
          <w:p w14:paraId="20D2A473" w14:textId="27281D04" w:rsidR="00222D7B" w:rsidRPr="00D144D3" w:rsidRDefault="00222D7B" w:rsidP="00914E56">
            <w:pPr>
              <w:keepNext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</w:p>
        </w:tc>
      </w:tr>
      <w:tr w:rsidR="00222D7B" w:rsidRPr="00D144D3" w14:paraId="37CA1591" w14:textId="77777777" w:rsidTr="005E3C2E">
        <w:trPr>
          <w:trHeight w:val="397"/>
        </w:trPr>
        <w:tc>
          <w:tcPr>
            <w:tcW w:w="3743" w:type="dxa"/>
            <w:gridSpan w:val="2"/>
          </w:tcPr>
          <w:p w14:paraId="0E8A7C63" w14:textId="77777777" w:rsidR="00222D7B" w:rsidRPr="008B516B" w:rsidRDefault="00222D7B" w:rsidP="00914E56">
            <w:pPr>
              <w:pStyle w:val="Heading2"/>
              <w:numPr>
                <w:ilvl w:val="1"/>
                <w:numId w:val="18"/>
              </w:num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8B516B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6043" w:type="dxa"/>
            <w:shd w:val="clear" w:color="auto" w:fill="auto"/>
          </w:tcPr>
          <w:p w14:paraId="71D29C7B" w14:textId="464025EE" w:rsidR="00222D7B" w:rsidRPr="00D144D3" w:rsidRDefault="00222D7B" w:rsidP="00914E56">
            <w:pPr>
              <w:keepNext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</w:tc>
      </w:tr>
      <w:tr w:rsidR="00222D7B" w:rsidRPr="00D144D3" w14:paraId="4232E1DE" w14:textId="77777777" w:rsidTr="005E3C2E">
        <w:trPr>
          <w:trHeight w:val="397"/>
        </w:trPr>
        <w:tc>
          <w:tcPr>
            <w:tcW w:w="9786" w:type="dxa"/>
            <w:gridSpan w:val="3"/>
            <w:shd w:val="clear" w:color="auto" w:fill="000000" w:themeFill="text1"/>
          </w:tcPr>
          <w:p w14:paraId="5EAA3151" w14:textId="77777777" w:rsidR="00222D7B" w:rsidRPr="00D144D3" w:rsidRDefault="00222D7B" w:rsidP="00914E56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</w:rPr>
            </w:pPr>
            <w:r w:rsidRPr="00D144D3">
              <w:rPr>
                <w:rFonts w:asciiTheme="minorHAnsi" w:hAnsiTheme="minorHAnsi" w:cstheme="minorHAnsi"/>
              </w:rPr>
              <w:t>PART 2 – DETAILS OF THE PROCEEDING</w:t>
            </w:r>
          </w:p>
        </w:tc>
      </w:tr>
      <w:tr w:rsidR="00222D7B" w:rsidRPr="00D144D3" w14:paraId="4422FECD" w14:textId="77777777" w:rsidTr="005E3C2E">
        <w:trPr>
          <w:trHeight w:val="397"/>
        </w:trPr>
        <w:tc>
          <w:tcPr>
            <w:tcW w:w="3743" w:type="dxa"/>
            <w:gridSpan w:val="2"/>
          </w:tcPr>
          <w:p w14:paraId="350FDBA3" w14:textId="77777777" w:rsidR="00222D7B" w:rsidRPr="008B516B" w:rsidRDefault="00222D7B" w:rsidP="00914E56">
            <w:pPr>
              <w:pStyle w:val="Heading2"/>
              <w:numPr>
                <w:ilvl w:val="1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Title of proceeding</w:t>
            </w:r>
          </w:p>
        </w:tc>
        <w:tc>
          <w:tcPr>
            <w:tcW w:w="6043" w:type="dxa"/>
            <w:shd w:val="clear" w:color="auto" w:fill="auto"/>
          </w:tcPr>
          <w:p w14:paraId="3C69DBD3" w14:textId="7465B9C8" w:rsidR="00222D7B" w:rsidRPr="00D144D3" w:rsidRDefault="00222D7B" w:rsidP="00914E56">
            <w:pPr>
              <w:keepNext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  <w:tr w:rsidR="00222D7B" w:rsidRPr="00D144D3" w14:paraId="1EFC798B" w14:textId="77777777" w:rsidTr="005E3C2E">
        <w:trPr>
          <w:trHeight w:val="397"/>
        </w:trPr>
        <w:tc>
          <w:tcPr>
            <w:tcW w:w="3743" w:type="dxa"/>
            <w:gridSpan w:val="2"/>
          </w:tcPr>
          <w:p w14:paraId="0D95CD73" w14:textId="77777777" w:rsidR="00222D7B" w:rsidRPr="008B516B" w:rsidRDefault="00222D7B" w:rsidP="00914E56">
            <w:pPr>
              <w:pStyle w:val="Heading2"/>
              <w:numPr>
                <w:ilvl w:val="1"/>
                <w:numId w:val="20"/>
              </w:num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8B516B">
              <w:rPr>
                <w:rFonts w:ascii="Calibri" w:hAnsi="Calibri" w:cs="Calibri"/>
                <w:sz w:val="20"/>
                <w:szCs w:val="20"/>
              </w:rPr>
              <w:t xml:space="preserve">Proceeding number </w:t>
            </w:r>
            <w:r>
              <w:rPr>
                <w:rFonts w:ascii="Calibri" w:hAnsi="Calibri" w:cs="Calibri"/>
                <w:sz w:val="20"/>
                <w:szCs w:val="20"/>
              </w:rPr>
              <w:t>(if known)</w:t>
            </w:r>
          </w:p>
        </w:tc>
        <w:tc>
          <w:tcPr>
            <w:tcW w:w="6043" w:type="dxa"/>
            <w:shd w:val="clear" w:color="auto" w:fill="auto"/>
          </w:tcPr>
          <w:p w14:paraId="46F7797D" w14:textId="1DE80492" w:rsidR="00222D7B" w:rsidRPr="00D144D3" w:rsidRDefault="00222D7B" w:rsidP="00914E56">
            <w:pPr>
              <w:keepNext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  <w:tr w:rsidR="00222D7B" w:rsidRPr="00D144D3" w14:paraId="506411A2" w14:textId="77777777" w:rsidTr="005E3C2E">
        <w:trPr>
          <w:trHeight w:val="397"/>
        </w:trPr>
        <w:tc>
          <w:tcPr>
            <w:tcW w:w="3743" w:type="dxa"/>
            <w:gridSpan w:val="2"/>
          </w:tcPr>
          <w:p w14:paraId="56CF87C3" w14:textId="77777777" w:rsidR="00222D7B" w:rsidRPr="008B516B" w:rsidRDefault="00222D7B" w:rsidP="00914E56">
            <w:pPr>
              <w:pStyle w:val="Heading2"/>
              <w:numPr>
                <w:ilvl w:val="1"/>
                <w:numId w:val="20"/>
              </w:num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8B516B">
              <w:rPr>
                <w:rFonts w:ascii="Calibri" w:hAnsi="Calibri" w:cs="Calibri"/>
                <w:sz w:val="20"/>
                <w:szCs w:val="20"/>
              </w:rPr>
              <w:t xml:space="preserve">Judge / Registrar </w:t>
            </w:r>
            <w:r>
              <w:rPr>
                <w:rFonts w:ascii="Calibri" w:hAnsi="Calibri" w:cs="Calibri"/>
                <w:sz w:val="20"/>
                <w:szCs w:val="20"/>
              </w:rPr>
              <w:t>(if known)</w:t>
            </w:r>
          </w:p>
        </w:tc>
        <w:tc>
          <w:tcPr>
            <w:tcW w:w="6043" w:type="dxa"/>
            <w:shd w:val="clear" w:color="auto" w:fill="auto"/>
          </w:tcPr>
          <w:p w14:paraId="72981B81" w14:textId="309C6274" w:rsidR="00222D7B" w:rsidRPr="00D144D3" w:rsidRDefault="00222D7B" w:rsidP="00914E56">
            <w:pPr>
              <w:keepNext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="00222D7B" w:rsidRPr="00D144D3" w14:paraId="291D89FE" w14:textId="77777777" w:rsidTr="005E3C2E">
        <w:tc>
          <w:tcPr>
            <w:tcW w:w="9786" w:type="dxa"/>
            <w:gridSpan w:val="3"/>
            <w:shd w:val="clear" w:color="auto" w:fill="000000" w:themeFill="text1"/>
          </w:tcPr>
          <w:p w14:paraId="2A0551BD" w14:textId="77777777" w:rsidR="00222D7B" w:rsidRPr="00D144D3" w:rsidRDefault="00222D7B" w:rsidP="00914E56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</w:rPr>
            </w:pPr>
            <w:r w:rsidRPr="00D144D3">
              <w:rPr>
                <w:rFonts w:asciiTheme="minorHAnsi" w:hAnsiTheme="minorHAnsi" w:cstheme="minorHAnsi"/>
              </w:rPr>
              <w:t xml:space="preserve">PART 3 – DETAILS OF THE NON-PARTY ACCESS APPLICANT </w:t>
            </w:r>
          </w:p>
        </w:tc>
      </w:tr>
      <w:tr w:rsidR="00222D7B" w:rsidRPr="00EF1755" w14:paraId="5159CAA7" w14:textId="77777777" w:rsidTr="005E3C2E">
        <w:tc>
          <w:tcPr>
            <w:tcW w:w="3743" w:type="dxa"/>
            <w:gridSpan w:val="2"/>
          </w:tcPr>
          <w:p w14:paraId="6D438FF1" w14:textId="77777777" w:rsidR="00222D7B" w:rsidRPr="008B516B" w:rsidRDefault="00222D7B" w:rsidP="00914E56">
            <w:pPr>
              <w:pStyle w:val="Heading2"/>
              <w:numPr>
                <w:ilvl w:val="1"/>
                <w:numId w:val="21"/>
              </w:num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B516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edia representative</w:t>
            </w:r>
          </w:p>
        </w:tc>
        <w:tc>
          <w:tcPr>
            <w:tcW w:w="6043" w:type="dxa"/>
            <w:shd w:val="clear" w:color="auto" w:fill="auto"/>
          </w:tcPr>
          <w:p w14:paraId="53F5F301" w14:textId="77777777" w:rsidR="00222D7B" w:rsidRPr="00D144D3" w:rsidRDefault="00222D7B" w:rsidP="00914E56">
            <w:pPr>
              <w:keepNext/>
              <w:spacing w:before="120" w:after="60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No</w:t>
            </w:r>
          </w:p>
          <w:p w14:paraId="1D786148" w14:textId="77777777" w:rsidR="00222D7B" w:rsidRDefault="00222D7B" w:rsidP="00914E56">
            <w:pPr>
              <w:keepNext/>
              <w:spacing w:before="120" w:after="60"/>
              <w:rPr>
                <w:rFonts w:cstheme="minorHAnsi"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Yes: </w:t>
            </w:r>
            <w:r w:rsidRPr="00F2215C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2215C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F2215C">
              <w:rPr>
                <w:rFonts w:cstheme="minorHAnsi"/>
                <w:sz w:val="20"/>
                <w:szCs w:val="20"/>
                <w:u w:val="single"/>
              </w:rPr>
            </w:r>
            <w:r w:rsidRPr="00F2215C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  <w:bookmarkEnd w:id="6"/>
          </w:p>
          <w:p w14:paraId="2E38BA8F" w14:textId="77777777" w:rsidR="00222D7B" w:rsidRPr="00EF1755" w:rsidRDefault="00222D7B" w:rsidP="00914E56">
            <w:pPr>
              <w:keepNext/>
              <w:spacing w:before="120" w:after="60"/>
              <w:ind w:left="686"/>
              <w:rPr>
                <w:rFonts w:cstheme="minorHAnsi"/>
                <w:bCs/>
                <w:sz w:val="20"/>
                <w:szCs w:val="20"/>
              </w:rPr>
            </w:pPr>
            <w:r w:rsidRPr="00B8301D">
              <w:rPr>
                <w:rFonts w:cstheme="minorHAnsi"/>
                <w:color w:val="595959" w:themeColor="text1" w:themeTint="A6"/>
                <w:sz w:val="16"/>
                <w:szCs w:val="16"/>
              </w:rPr>
              <w:t>Details of media entity</w:t>
            </w:r>
          </w:p>
        </w:tc>
      </w:tr>
      <w:tr w:rsidR="00222D7B" w:rsidRPr="00511F6E" w14:paraId="485F6BBF" w14:textId="77777777" w:rsidTr="005E3C2E">
        <w:tc>
          <w:tcPr>
            <w:tcW w:w="3743" w:type="dxa"/>
            <w:gridSpan w:val="2"/>
          </w:tcPr>
          <w:p w14:paraId="7CC0462D" w14:textId="77777777" w:rsidR="00222D7B" w:rsidRPr="008B516B" w:rsidRDefault="00222D7B" w:rsidP="00914E56">
            <w:pPr>
              <w:pStyle w:val="Heading2"/>
              <w:numPr>
                <w:ilvl w:val="1"/>
                <w:numId w:val="21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Legal representative</w:t>
            </w:r>
          </w:p>
        </w:tc>
        <w:tc>
          <w:tcPr>
            <w:tcW w:w="6043" w:type="dxa"/>
            <w:shd w:val="clear" w:color="auto" w:fill="auto"/>
          </w:tcPr>
          <w:p w14:paraId="7751208F" w14:textId="77777777" w:rsidR="00222D7B" w:rsidRPr="00D144D3" w:rsidRDefault="00222D7B" w:rsidP="00914E56">
            <w:pPr>
              <w:keepNext/>
              <w:spacing w:before="120" w:after="60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No</w:t>
            </w:r>
          </w:p>
          <w:p w14:paraId="7E5B03A8" w14:textId="77777777" w:rsidR="00222D7B" w:rsidRDefault="00222D7B" w:rsidP="00914E56">
            <w:pPr>
              <w:keepNext/>
              <w:spacing w:before="60"/>
              <w:rPr>
                <w:rFonts w:cstheme="minorHAnsi"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Yes: </w:t>
            </w:r>
            <w:r w:rsidRPr="00F2215C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F2215C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F2215C">
              <w:rPr>
                <w:rFonts w:cstheme="minorHAnsi"/>
                <w:sz w:val="20"/>
                <w:szCs w:val="20"/>
                <w:u w:val="single"/>
              </w:rPr>
            </w:r>
            <w:r w:rsidRPr="00F2215C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  <w:bookmarkEnd w:id="7"/>
          </w:p>
          <w:p w14:paraId="04A85206" w14:textId="77777777" w:rsidR="00222D7B" w:rsidRPr="00511F6E" w:rsidRDefault="00222D7B" w:rsidP="00914E56">
            <w:pPr>
              <w:keepNext/>
              <w:spacing w:before="60" w:after="60"/>
              <w:ind w:left="686"/>
              <w:rPr>
                <w:rFonts w:cstheme="minorHAnsi"/>
                <w:sz w:val="20"/>
                <w:szCs w:val="20"/>
              </w:rPr>
            </w:pPr>
            <w:r w:rsidRPr="00B8301D">
              <w:rPr>
                <w:rFonts w:cstheme="minorHAnsi"/>
                <w:color w:val="595959" w:themeColor="text1" w:themeTint="A6"/>
                <w:sz w:val="16"/>
                <w:szCs w:val="16"/>
              </w:rPr>
              <w:t>Details of legal firm</w:t>
            </w:r>
          </w:p>
        </w:tc>
      </w:tr>
      <w:tr w:rsidR="00222D7B" w:rsidRPr="00511F6E" w14:paraId="5A2ED16E" w14:textId="77777777" w:rsidTr="005E3C2E">
        <w:tc>
          <w:tcPr>
            <w:tcW w:w="3743" w:type="dxa"/>
            <w:gridSpan w:val="2"/>
          </w:tcPr>
          <w:p w14:paraId="0FB567BD" w14:textId="77777777" w:rsidR="00222D7B" w:rsidRPr="008B516B" w:rsidRDefault="00222D7B" w:rsidP="00914E56">
            <w:pPr>
              <w:pStyle w:val="Heading2"/>
              <w:numPr>
                <w:ilvl w:val="1"/>
                <w:numId w:val="21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Researcher</w:t>
            </w:r>
          </w:p>
        </w:tc>
        <w:tc>
          <w:tcPr>
            <w:tcW w:w="6043" w:type="dxa"/>
            <w:tcBorders>
              <w:bottom w:val="single" w:sz="4" w:space="0" w:color="auto"/>
            </w:tcBorders>
            <w:shd w:val="clear" w:color="auto" w:fill="auto"/>
          </w:tcPr>
          <w:p w14:paraId="3D597FF9" w14:textId="77777777" w:rsidR="00222D7B" w:rsidRPr="00D144D3" w:rsidRDefault="00222D7B" w:rsidP="00914E56">
            <w:pPr>
              <w:keepNext/>
              <w:spacing w:before="120" w:after="60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No</w:t>
            </w:r>
          </w:p>
          <w:p w14:paraId="2D8F43C8" w14:textId="77777777" w:rsidR="00222D7B" w:rsidRDefault="00222D7B" w:rsidP="00914E56">
            <w:pPr>
              <w:keepNext/>
              <w:spacing w:before="60"/>
              <w:rPr>
                <w:rFonts w:cstheme="minorHAnsi"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Yes: </w:t>
            </w:r>
            <w:r w:rsidRPr="00F2215C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F2215C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F2215C">
              <w:rPr>
                <w:rFonts w:cstheme="minorHAnsi"/>
                <w:sz w:val="20"/>
                <w:szCs w:val="20"/>
                <w:u w:val="single"/>
              </w:rPr>
            </w:r>
            <w:r w:rsidRPr="00F2215C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F2215C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  <w:bookmarkEnd w:id="8"/>
          </w:p>
          <w:p w14:paraId="6C281EB4" w14:textId="77777777" w:rsidR="00222D7B" w:rsidRPr="00511F6E" w:rsidRDefault="00222D7B" w:rsidP="00914E56">
            <w:pPr>
              <w:keepNext/>
              <w:spacing w:before="60" w:after="60"/>
              <w:ind w:left="686"/>
              <w:rPr>
                <w:rFonts w:cstheme="minorHAnsi"/>
                <w:sz w:val="20"/>
                <w:szCs w:val="20"/>
              </w:rPr>
            </w:pPr>
            <w:r w:rsidRPr="00B8301D">
              <w:rPr>
                <w:rFonts w:cstheme="minorHAnsi"/>
                <w:color w:val="595959" w:themeColor="text1" w:themeTint="A6"/>
                <w:sz w:val="16"/>
                <w:szCs w:val="16"/>
              </w:rPr>
              <w:t>Details of organisation</w:t>
            </w:r>
          </w:p>
        </w:tc>
      </w:tr>
      <w:tr w:rsidR="00222D7B" w:rsidRPr="00196BA3" w14:paraId="0F43F708" w14:textId="77777777" w:rsidTr="005E3C2E">
        <w:trPr>
          <w:trHeight w:val="878"/>
        </w:trPr>
        <w:tc>
          <w:tcPr>
            <w:tcW w:w="3743" w:type="dxa"/>
            <w:gridSpan w:val="2"/>
          </w:tcPr>
          <w:p w14:paraId="5125547B" w14:textId="77777777" w:rsidR="00222D7B" w:rsidRPr="00511F6E" w:rsidRDefault="00222D7B" w:rsidP="00914E56">
            <w:pPr>
              <w:pStyle w:val="Heading2"/>
              <w:numPr>
                <w:ilvl w:val="1"/>
                <w:numId w:val="21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6043" w:type="dxa"/>
            <w:shd w:val="clear" w:color="auto" w:fill="auto"/>
          </w:tcPr>
          <w:p w14:paraId="2026E5A0" w14:textId="4B0366BC" w:rsidR="00222D7B" w:rsidRPr="00196BA3" w:rsidRDefault="00222D7B" w:rsidP="00914E56">
            <w:pPr>
              <w:keepNext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</w:tc>
      </w:tr>
      <w:tr w:rsidR="00222D7B" w:rsidRPr="00D144D3" w14:paraId="7206DE24" w14:textId="77777777" w:rsidTr="005E3C2E">
        <w:tc>
          <w:tcPr>
            <w:tcW w:w="9786" w:type="dxa"/>
            <w:gridSpan w:val="3"/>
            <w:shd w:val="clear" w:color="auto" w:fill="000000" w:themeFill="text1"/>
          </w:tcPr>
          <w:p w14:paraId="3D68A175" w14:textId="77777777" w:rsidR="00222D7B" w:rsidRPr="00D144D3" w:rsidRDefault="00222D7B" w:rsidP="00914E56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</w:rPr>
            </w:pPr>
            <w:r w:rsidRPr="00D144D3">
              <w:rPr>
                <w:rFonts w:asciiTheme="minorHAnsi" w:hAnsiTheme="minorHAnsi" w:cstheme="minorHAnsi"/>
              </w:rPr>
              <w:t>PART 4 – CONTACT DETAILS FOR NON-PARTY ACCESS APPLICANT</w:t>
            </w:r>
          </w:p>
        </w:tc>
      </w:tr>
      <w:tr w:rsidR="00222D7B" w:rsidRPr="00D144D3" w14:paraId="6F9514D0" w14:textId="77777777" w:rsidTr="005E3C2E">
        <w:trPr>
          <w:trHeight w:val="936"/>
        </w:trPr>
        <w:tc>
          <w:tcPr>
            <w:tcW w:w="3743" w:type="dxa"/>
            <w:gridSpan w:val="2"/>
          </w:tcPr>
          <w:p w14:paraId="0C8506B7" w14:textId="77777777" w:rsidR="00222D7B" w:rsidRPr="00D144D3" w:rsidRDefault="00222D7B" w:rsidP="00914E56">
            <w:pPr>
              <w:pStyle w:val="Heading2"/>
              <w:numPr>
                <w:ilvl w:val="1"/>
                <w:numId w:val="22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>Postal address</w:t>
            </w:r>
          </w:p>
        </w:tc>
        <w:tc>
          <w:tcPr>
            <w:tcW w:w="6043" w:type="dxa"/>
            <w:shd w:val="clear" w:color="auto" w:fill="auto"/>
          </w:tcPr>
          <w:p w14:paraId="665F42DD" w14:textId="4F83C221" w:rsidR="00222D7B" w:rsidRPr="00D144D3" w:rsidRDefault="00222D7B" w:rsidP="00914E56">
            <w:pPr>
              <w:keepNext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</w:tc>
      </w:tr>
      <w:tr w:rsidR="00222D7B" w:rsidRPr="00D144D3" w14:paraId="68A6E3F9" w14:textId="77777777" w:rsidTr="005E3C2E">
        <w:tc>
          <w:tcPr>
            <w:tcW w:w="3743" w:type="dxa"/>
            <w:gridSpan w:val="2"/>
          </w:tcPr>
          <w:p w14:paraId="454C6B6B" w14:textId="77777777" w:rsidR="00222D7B" w:rsidRPr="00D144D3" w:rsidRDefault="00222D7B" w:rsidP="00914E56">
            <w:pPr>
              <w:pStyle w:val="Heading2"/>
              <w:numPr>
                <w:ilvl w:val="1"/>
                <w:numId w:val="22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Email address</w:t>
            </w:r>
          </w:p>
        </w:tc>
        <w:tc>
          <w:tcPr>
            <w:tcW w:w="6043" w:type="dxa"/>
            <w:shd w:val="clear" w:color="auto" w:fill="auto"/>
          </w:tcPr>
          <w:p w14:paraId="1FC1CB74" w14:textId="157A7D5C" w:rsidR="00222D7B" w:rsidRPr="00D144D3" w:rsidRDefault="00222D7B" w:rsidP="00914E56">
            <w:pPr>
              <w:keepNext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1"/>
          </w:p>
        </w:tc>
      </w:tr>
      <w:tr w:rsidR="00222D7B" w:rsidRPr="00D144D3" w14:paraId="01E10C42" w14:textId="77777777" w:rsidTr="005E3C2E">
        <w:tc>
          <w:tcPr>
            <w:tcW w:w="3743" w:type="dxa"/>
            <w:gridSpan w:val="2"/>
          </w:tcPr>
          <w:p w14:paraId="6584C88E" w14:textId="77777777" w:rsidR="00222D7B" w:rsidRPr="00D144D3" w:rsidRDefault="00222D7B" w:rsidP="00914E56">
            <w:pPr>
              <w:pStyle w:val="Heading2"/>
              <w:numPr>
                <w:ilvl w:val="1"/>
                <w:numId w:val="22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Telephone number (mobile preferred)</w:t>
            </w:r>
          </w:p>
        </w:tc>
        <w:tc>
          <w:tcPr>
            <w:tcW w:w="6043" w:type="dxa"/>
            <w:shd w:val="clear" w:color="auto" w:fill="auto"/>
          </w:tcPr>
          <w:p w14:paraId="320EEE84" w14:textId="217510AC" w:rsidR="00222D7B" w:rsidRPr="00D144D3" w:rsidRDefault="00222D7B" w:rsidP="00914E56">
            <w:pPr>
              <w:keepNext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2"/>
          </w:p>
        </w:tc>
      </w:tr>
      <w:tr w:rsidR="00222D7B" w:rsidRPr="00D144D3" w14:paraId="5F3A6719" w14:textId="77777777" w:rsidTr="005E3C2E">
        <w:tc>
          <w:tcPr>
            <w:tcW w:w="9786" w:type="dxa"/>
            <w:gridSpan w:val="3"/>
            <w:shd w:val="clear" w:color="auto" w:fill="000000" w:themeFill="text1"/>
          </w:tcPr>
          <w:p w14:paraId="319FEC56" w14:textId="77777777" w:rsidR="00222D7B" w:rsidRPr="00D144D3" w:rsidRDefault="00222D7B" w:rsidP="00914E56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</w:rPr>
            </w:pPr>
            <w:r w:rsidRPr="00D144D3">
              <w:rPr>
                <w:rFonts w:asciiTheme="minorHAnsi" w:hAnsiTheme="minorHAnsi" w:cstheme="minorHAnsi"/>
              </w:rPr>
              <w:lastRenderedPageBreak/>
              <w:t>PART 5 – UNRESTRICTED DOCUMENTS</w:t>
            </w:r>
          </w:p>
        </w:tc>
      </w:tr>
      <w:tr w:rsidR="00222D7B" w:rsidRPr="00E55AC5" w14:paraId="48A2E188" w14:textId="77777777" w:rsidTr="005E3C2E">
        <w:tc>
          <w:tcPr>
            <w:tcW w:w="3681" w:type="dxa"/>
          </w:tcPr>
          <w:p w14:paraId="5E922257" w14:textId="77777777" w:rsidR="00222D7B" w:rsidRPr="00D144D3" w:rsidRDefault="00222D7B" w:rsidP="00914E56">
            <w:pPr>
              <w:pStyle w:val="Heading2"/>
              <w:numPr>
                <w:ilvl w:val="1"/>
                <w:numId w:val="23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>Do you wish to inspect unrestricted document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 xml:space="preserve"> on the court file?</w:t>
            </w:r>
          </w:p>
        </w:tc>
        <w:tc>
          <w:tcPr>
            <w:tcW w:w="61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3C51E7" w14:textId="77777777" w:rsidR="00222D7B" w:rsidRPr="00D144D3" w:rsidRDefault="00222D7B" w:rsidP="00914E56">
            <w:pPr>
              <w:keepNext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44D3">
              <w:rPr>
                <w:rFonts w:cstheme="minorHAnsi"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-</w:t>
            </w:r>
            <w:r w:rsidRPr="00D144D3">
              <w:rPr>
                <w:rFonts w:cstheme="minorHAnsi"/>
                <w:bCs/>
                <w:sz w:val="20"/>
                <w:szCs w:val="20"/>
              </w:rPr>
              <w:t xml:space="preserve"> complete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5</w:t>
            </w:r>
            <w:r w:rsidRPr="00D144D3">
              <w:rPr>
                <w:rFonts w:cstheme="minorHAnsi"/>
                <w:bCs/>
                <w:sz w:val="20"/>
                <w:szCs w:val="20"/>
              </w:rPr>
              <w:t>.2</w:t>
            </w:r>
            <w:proofErr w:type="gramEnd"/>
          </w:p>
          <w:p w14:paraId="501ECCC7" w14:textId="77777777" w:rsidR="00222D7B" w:rsidRPr="00E55AC5" w:rsidRDefault="00222D7B" w:rsidP="00914E56">
            <w:pPr>
              <w:keepNext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44D3">
              <w:rPr>
                <w:rFonts w:cstheme="minorHAnsi"/>
                <w:bCs/>
                <w:sz w:val="20"/>
                <w:szCs w:val="20"/>
              </w:rPr>
              <w:t>No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-</w:t>
            </w:r>
            <w:r w:rsidRPr="00D144D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complete </w:t>
            </w:r>
            <w:r w:rsidRPr="00EA0131">
              <w:rPr>
                <w:rFonts w:cstheme="minorHAnsi"/>
                <w:bCs/>
                <w:sz w:val="20"/>
                <w:szCs w:val="20"/>
              </w:rPr>
              <w:t>Part 6</w:t>
            </w:r>
            <w:r>
              <w:rPr>
                <w:rFonts w:cstheme="minorHAnsi"/>
                <w:bCs/>
                <w:sz w:val="20"/>
                <w:szCs w:val="20"/>
              </w:rPr>
              <w:t xml:space="preserve"> if you are requesting restricted documents</w:t>
            </w:r>
          </w:p>
        </w:tc>
      </w:tr>
      <w:tr w:rsidR="00222D7B" w:rsidRPr="00B8301D" w14:paraId="77FC928B" w14:textId="77777777" w:rsidTr="005E3C2E">
        <w:trPr>
          <w:trHeight w:val="2398"/>
        </w:trPr>
        <w:tc>
          <w:tcPr>
            <w:tcW w:w="3681" w:type="dxa"/>
            <w:vMerge w:val="restart"/>
          </w:tcPr>
          <w:p w14:paraId="2BB3062F" w14:textId="77777777" w:rsidR="00222D7B" w:rsidRDefault="00222D7B" w:rsidP="00914E56">
            <w:pPr>
              <w:pStyle w:val="Heading2"/>
              <w:numPr>
                <w:ilvl w:val="1"/>
                <w:numId w:val="23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F1755">
              <w:rPr>
                <w:rFonts w:asciiTheme="minorHAnsi" w:hAnsiTheme="minorHAnsi" w:cstheme="minorHAnsi"/>
                <w:b/>
                <w:sz w:val="20"/>
                <w:szCs w:val="20"/>
              </w:rPr>
              <w:t>Clearly list</w:t>
            </w: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 xml:space="preserve"> the unrestricted document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 xml:space="preserve"> you wish to inspect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E010282" w14:textId="77777777" w:rsidR="00222D7B" w:rsidRPr="00B93A76" w:rsidRDefault="00222D7B" w:rsidP="00914E56">
            <w:pPr>
              <w:pStyle w:val="Heading2"/>
              <w:numPr>
                <w:ilvl w:val="0"/>
                <w:numId w:val="0"/>
              </w:numPr>
              <w:spacing w:before="60" w:after="6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93A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NOTE: </w:t>
            </w:r>
            <w:r w:rsidRPr="00B93A76">
              <w:rPr>
                <w:rFonts w:asciiTheme="minorHAnsi" w:hAnsiTheme="minorHAnsi" w:cstheme="minorHAnsi"/>
                <w:sz w:val="20"/>
                <w:szCs w:val="20"/>
              </w:rPr>
              <w:t xml:space="preserve">Sub-rule 2.32(2) of the </w:t>
            </w:r>
            <w:r w:rsidRPr="00B93A7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Federal Court Rules 2011 </w:t>
            </w:r>
            <w:r w:rsidRPr="00B93A76">
              <w:rPr>
                <w:rFonts w:asciiTheme="minorHAnsi" w:hAnsiTheme="minorHAnsi" w:cstheme="minorHAnsi"/>
                <w:sz w:val="20"/>
                <w:szCs w:val="20"/>
              </w:rPr>
              <w:t>sets out the unrestricted documents that can be inspected.</w:t>
            </w:r>
          </w:p>
        </w:tc>
        <w:tc>
          <w:tcPr>
            <w:tcW w:w="61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C9E900" w14:textId="2F2E51D3" w:rsidR="00222D7B" w:rsidRPr="00B8301D" w:rsidRDefault="00222D7B" w:rsidP="00914E56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22D7B" w:rsidRPr="00D144D3" w14:paraId="73D1F2FF" w14:textId="77777777" w:rsidTr="005E3C2E">
        <w:trPr>
          <w:trHeight w:val="277"/>
        </w:trPr>
        <w:tc>
          <w:tcPr>
            <w:tcW w:w="3681" w:type="dxa"/>
            <w:vMerge/>
          </w:tcPr>
          <w:p w14:paraId="2F8ECDC4" w14:textId="77777777" w:rsidR="00222D7B" w:rsidRPr="00EF1755" w:rsidRDefault="00222D7B" w:rsidP="00914E56">
            <w:pPr>
              <w:pStyle w:val="Heading2"/>
              <w:numPr>
                <w:ilvl w:val="0"/>
                <w:numId w:val="0"/>
              </w:numPr>
              <w:spacing w:before="60" w:after="60"/>
              <w:ind w:left="576" w:hanging="5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05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8A801" w14:textId="77777777" w:rsidR="00222D7B" w:rsidRPr="00D144D3" w:rsidRDefault="00222D7B" w:rsidP="00914E56">
            <w:pPr>
              <w:keepNext/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B8301D">
              <w:rPr>
                <w:rFonts w:cstheme="minorHAnsi"/>
                <w:color w:val="595959" w:themeColor="text1" w:themeTint="A6"/>
                <w:sz w:val="16"/>
                <w:szCs w:val="16"/>
              </w:rPr>
              <w:t>Unclear requests for unrestricted documents may result in your request being refused.</w:t>
            </w:r>
          </w:p>
        </w:tc>
      </w:tr>
      <w:tr w:rsidR="00222D7B" w:rsidRPr="00D144D3" w14:paraId="4B12419E" w14:textId="77777777" w:rsidTr="005E3C2E">
        <w:tc>
          <w:tcPr>
            <w:tcW w:w="3681" w:type="dxa"/>
          </w:tcPr>
          <w:p w14:paraId="58640929" w14:textId="77777777" w:rsidR="00222D7B" w:rsidRPr="00D144D3" w:rsidRDefault="00222D7B" w:rsidP="00914E56">
            <w:pPr>
              <w:pStyle w:val="Heading2"/>
              <w:numPr>
                <w:ilvl w:val="1"/>
                <w:numId w:val="23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144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Is this request being made before the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AA09C2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44D3">
              <w:rPr>
                <w:rFonts w:asciiTheme="minorHAnsi" w:hAnsiTheme="minorHAnsi" w:cstheme="minorHAnsi"/>
                <w:bCs/>
                <w:sz w:val="20"/>
                <w:szCs w:val="20"/>
              </w:rPr>
              <w:t>directions hearing or hearing of the proceeding (whichever is earlier)?</w:t>
            </w:r>
          </w:p>
        </w:tc>
        <w:tc>
          <w:tcPr>
            <w:tcW w:w="6105" w:type="dxa"/>
            <w:gridSpan w:val="2"/>
            <w:shd w:val="clear" w:color="auto" w:fill="auto"/>
          </w:tcPr>
          <w:p w14:paraId="10C052B9" w14:textId="77777777" w:rsidR="00222D7B" w:rsidRPr="00D144D3" w:rsidRDefault="00222D7B" w:rsidP="00914E56">
            <w:pPr>
              <w:keepNext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44D3">
              <w:rPr>
                <w:rFonts w:cstheme="minorHAnsi"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bCs/>
                <w:sz w:val="20"/>
                <w:szCs w:val="20"/>
              </w:rPr>
              <w:t xml:space="preserve"> - </w:t>
            </w:r>
            <w:r w:rsidRPr="00D144D3">
              <w:rPr>
                <w:rFonts w:cstheme="minorHAnsi"/>
                <w:bCs/>
                <w:sz w:val="20"/>
                <w:szCs w:val="20"/>
              </w:rPr>
              <w:t xml:space="preserve">complete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5.4</w:t>
            </w:r>
            <w:proofErr w:type="gramEnd"/>
          </w:p>
          <w:p w14:paraId="3D323B1B" w14:textId="77777777" w:rsidR="00222D7B" w:rsidRPr="00D144D3" w:rsidRDefault="00222D7B" w:rsidP="00914E56">
            <w:pPr>
              <w:keepNext/>
              <w:spacing w:before="60" w:after="60"/>
              <w:rPr>
                <w:rFonts w:cstheme="minorHAnsi"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44D3">
              <w:rPr>
                <w:rFonts w:cstheme="minorHAnsi"/>
                <w:bCs/>
                <w:sz w:val="20"/>
                <w:szCs w:val="20"/>
              </w:rPr>
              <w:t>No</w:t>
            </w:r>
          </w:p>
        </w:tc>
      </w:tr>
      <w:tr w:rsidR="00222D7B" w:rsidRPr="002011BB" w14:paraId="2E84847F" w14:textId="77777777" w:rsidTr="005E3C2E">
        <w:tc>
          <w:tcPr>
            <w:tcW w:w="3681" w:type="dxa"/>
          </w:tcPr>
          <w:p w14:paraId="166C16D4" w14:textId="77777777" w:rsidR="00222D7B" w:rsidRPr="00D144D3" w:rsidRDefault="00222D7B" w:rsidP="00914E56">
            <w:pPr>
              <w:pStyle w:val="Heading2"/>
              <w:numPr>
                <w:ilvl w:val="1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44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you </w:t>
            </w:r>
            <w:r w:rsidRPr="00D144D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apply to the Court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</w:t>
            </w:r>
            <w:r w:rsidRPr="00D144D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144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pursuant to Rule </w:t>
            </w: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 xml:space="preserve">2.32(4) of the </w:t>
            </w:r>
            <w:r w:rsidRPr="00D144D3">
              <w:rPr>
                <w:rFonts w:asciiTheme="minorHAnsi" w:hAnsiTheme="minorHAnsi" w:cstheme="minorHAnsi"/>
                <w:i/>
                <w:sz w:val="20"/>
                <w:szCs w:val="20"/>
              </w:rPr>
              <w:t>Federal Court Rules 2011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144D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for leave to inspect the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unrestricted </w:t>
            </w:r>
            <w:r w:rsidRPr="00D144D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document(s) prior to the </w:t>
            </w:r>
            <w:r w:rsidRPr="00D144D3">
              <w:rPr>
                <w:rFonts w:asciiTheme="minorHAnsi" w:hAnsiTheme="minorHAnsi" w:cstheme="minorHAnsi"/>
                <w:bCs/>
                <w:sz w:val="20"/>
                <w:szCs w:val="20"/>
              </w:rPr>
              <w:t>first directions hearing or hearing of the matter (whichever is earlier)</w:t>
            </w:r>
            <w:r w:rsidRPr="00D144D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61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B480FB" w14:textId="77777777" w:rsidR="00222D7B" w:rsidRPr="00D144D3" w:rsidRDefault="00222D7B" w:rsidP="00914E56">
            <w:pPr>
              <w:keepNext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144D3">
              <w:rPr>
                <w:rFonts w:cstheme="minorHAnsi"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bCs/>
                <w:sz w:val="20"/>
                <w:szCs w:val="20"/>
              </w:rPr>
              <w:t xml:space="preserve"> - </w:t>
            </w:r>
            <w:r w:rsidRPr="00D144D3">
              <w:rPr>
                <w:rFonts w:cstheme="minorHAnsi"/>
                <w:bCs/>
                <w:sz w:val="20"/>
                <w:szCs w:val="20"/>
              </w:rPr>
              <w:t xml:space="preserve">complete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5</w:t>
            </w:r>
            <w:r w:rsidRPr="00D144D3">
              <w:rPr>
                <w:rFonts w:cstheme="minorHAnsi"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Cs/>
                <w:sz w:val="20"/>
                <w:szCs w:val="20"/>
              </w:rPr>
              <w:t>5</w:t>
            </w:r>
            <w:proofErr w:type="gramEnd"/>
          </w:p>
          <w:p w14:paraId="66C4FF56" w14:textId="77777777" w:rsidR="00222D7B" w:rsidRPr="002011BB" w:rsidRDefault="00222D7B" w:rsidP="00914E56">
            <w:pPr>
              <w:keepNext/>
              <w:spacing w:before="60" w:after="60"/>
              <w:ind w:left="457" w:hanging="457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144D3">
              <w:rPr>
                <w:rFonts w:cstheme="minorHAnsi"/>
                <w:bCs/>
                <w:sz w:val="20"/>
                <w:szCs w:val="20"/>
              </w:rPr>
              <w:t>No</w:t>
            </w:r>
          </w:p>
        </w:tc>
      </w:tr>
      <w:tr w:rsidR="00222D7B" w:rsidRPr="00B8301D" w14:paraId="7788102C" w14:textId="77777777" w:rsidTr="005E3C2E">
        <w:trPr>
          <w:trHeight w:val="6143"/>
        </w:trPr>
        <w:tc>
          <w:tcPr>
            <w:tcW w:w="3681" w:type="dxa"/>
            <w:vMerge w:val="restart"/>
          </w:tcPr>
          <w:p w14:paraId="2CDBD873" w14:textId="77777777" w:rsidR="00222D7B" w:rsidRPr="00771C0E" w:rsidRDefault="00222D7B" w:rsidP="00914E56">
            <w:pPr>
              <w:pStyle w:val="Heading2"/>
              <w:numPr>
                <w:ilvl w:val="1"/>
                <w:numId w:val="23"/>
              </w:numPr>
              <w:spacing w:before="60" w:after="120"/>
              <w:ind w:left="318" w:hanging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771C0E">
              <w:rPr>
                <w:rFonts w:asciiTheme="minorHAnsi" w:hAnsiTheme="minorHAnsi" w:cstheme="minorHAnsi"/>
                <w:bCs/>
                <w:sz w:val="20"/>
                <w:szCs w:val="20"/>
              </w:rPr>
              <w:t>Please provide written reasons to assist the judicial officer to determine your request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for access to unrestricted document(s) (e.g. media public interest story, research or accessing document(s) for potential use in future litigation etc.).</w:t>
            </w:r>
          </w:p>
          <w:p w14:paraId="090B853A" w14:textId="77777777" w:rsidR="00222D7B" w:rsidRPr="00771C0E" w:rsidRDefault="00222D7B" w:rsidP="00914E56">
            <w:pPr>
              <w:pStyle w:val="Heading2"/>
              <w:numPr>
                <w:ilvl w:val="0"/>
                <w:numId w:val="0"/>
              </w:numPr>
              <w:spacing w:before="60" w:after="60"/>
              <w:ind w:left="316"/>
            </w:pPr>
            <w:r w:rsidRPr="00771C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More information is available via </w:t>
            </w:r>
            <w:hyperlink r:id="rId16" w:history="1">
              <w:r w:rsidRPr="00771C0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Access to Documents Practice Note (GPN-ACCS)</w:t>
              </w:r>
            </w:hyperlink>
            <w:r w:rsidRPr="00771C0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105" w:type="dxa"/>
            <w:gridSpan w:val="2"/>
            <w:shd w:val="clear" w:color="auto" w:fill="auto"/>
          </w:tcPr>
          <w:p w14:paraId="1A02C68F" w14:textId="20CB5D83" w:rsidR="00222D7B" w:rsidRPr="00B8301D" w:rsidRDefault="00222D7B" w:rsidP="00914E56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222D7B" w:rsidRPr="00D144D3" w14:paraId="6BB4D2C1" w14:textId="77777777" w:rsidTr="005E3C2E">
        <w:trPr>
          <w:trHeight w:val="271"/>
        </w:trPr>
        <w:tc>
          <w:tcPr>
            <w:tcW w:w="3681" w:type="dxa"/>
            <w:vMerge/>
          </w:tcPr>
          <w:p w14:paraId="39E158FA" w14:textId="77777777" w:rsidR="00222D7B" w:rsidRPr="00771C0E" w:rsidRDefault="00222D7B" w:rsidP="00914E56">
            <w:pPr>
              <w:pStyle w:val="Heading2"/>
              <w:numPr>
                <w:ilvl w:val="0"/>
                <w:numId w:val="0"/>
              </w:numPr>
              <w:spacing w:before="60" w:after="60"/>
              <w:ind w:left="576" w:hanging="57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10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51F455E" w14:textId="77777777" w:rsidR="00222D7B" w:rsidRPr="00D144D3" w:rsidRDefault="00222D7B" w:rsidP="00914E56">
            <w:pPr>
              <w:keepNext/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595959" w:themeColor="text1" w:themeTint="A6"/>
                <w:sz w:val="16"/>
                <w:szCs w:val="16"/>
              </w:rPr>
              <w:t>I</w:t>
            </w:r>
            <w:r w:rsidRPr="00B8301D">
              <w:rPr>
                <w:rFonts w:cstheme="minorHAnsi"/>
                <w:color w:val="595959" w:themeColor="text1" w:themeTint="A6"/>
                <w:sz w:val="16"/>
                <w:szCs w:val="16"/>
              </w:rPr>
              <w:t>f there is insufficient space, please attach your additional reasons as a separate page.</w:t>
            </w:r>
          </w:p>
        </w:tc>
      </w:tr>
      <w:tr w:rsidR="00222D7B" w:rsidRPr="000C152F" w14:paraId="6E72BA27" w14:textId="77777777" w:rsidTr="005E3C2E">
        <w:tc>
          <w:tcPr>
            <w:tcW w:w="3681" w:type="dxa"/>
          </w:tcPr>
          <w:p w14:paraId="13062B61" w14:textId="77777777" w:rsidR="00222D7B" w:rsidRDefault="00222D7B" w:rsidP="00914E56">
            <w:pPr>
              <w:pStyle w:val="Heading2"/>
              <w:numPr>
                <w:ilvl w:val="1"/>
                <w:numId w:val="23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If your request to inspect the unrestricted document(s) nominated in 5.2 is approved, d</w:t>
            </w: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>o you wish 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be given a copy of these document(s)?</w:t>
            </w:r>
          </w:p>
          <w:p w14:paraId="6EBAE60D" w14:textId="77777777" w:rsidR="00222D7B" w:rsidRPr="008430D7" w:rsidRDefault="00222D7B" w:rsidP="00914E56">
            <w:pPr>
              <w:pStyle w:val="Heading2"/>
              <w:numPr>
                <w:ilvl w:val="0"/>
                <w:numId w:val="0"/>
              </w:numPr>
              <w:spacing w:before="120" w:after="60"/>
              <w:ind w:left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8430D7">
              <w:rPr>
                <w:rFonts w:asciiTheme="minorHAnsi" w:hAnsiTheme="minorHAnsi" w:cstheme="minorHAnsi"/>
                <w:b/>
                <w:sz w:val="20"/>
                <w:szCs w:val="20"/>
              </w:rPr>
              <w:t>NOTE:</w:t>
            </w:r>
            <w:r w:rsidRPr="008430D7">
              <w:rPr>
                <w:rFonts w:asciiTheme="minorHAnsi" w:hAnsiTheme="minorHAnsi" w:cstheme="minorHAnsi"/>
                <w:sz w:val="20"/>
                <w:szCs w:val="20"/>
              </w:rPr>
              <w:t xml:space="preserve"> Transcript is an excluded document.</w:t>
            </w:r>
          </w:p>
        </w:tc>
        <w:tc>
          <w:tcPr>
            <w:tcW w:w="61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187B4F" w14:textId="77777777" w:rsidR="00222D7B" w:rsidRPr="00D144D3" w:rsidRDefault="00222D7B" w:rsidP="00914E56">
            <w:pPr>
              <w:keepNext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Yes</w:t>
            </w:r>
          </w:p>
          <w:p w14:paraId="2D3F3F78" w14:textId="77777777" w:rsidR="00222D7B" w:rsidRPr="000C152F" w:rsidRDefault="00222D7B" w:rsidP="00914E56">
            <w:pPr>
              <w:keepNext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44D3">
              <w:rPr>
                <w:rFonts w:cstheme="minorHAnsi"/>
                <w:bCs/>
                <w:sz w:val="20"/>
                <w:szCs w:val="20"/>
              </w:rPr>
              <w:t>No</w:t>
            </w:r>
          </w:p>
        </w:tc>
      </w:tr>
      <w:tr w:rsidR="00222D7B" w:rsidRPr="00D144D3" w14:paraId="6E35D295" w14:textId="77777777" w:rsidTr="005E3C2E">
        <w:tc>
          <w:tcPr>
            <w:tcW w:w="9786" w:type="dxa"/>
            <w:gridSpan w:val="3"/>
            <w:shd w:val="clear" w:color="auto" w:fill="000000" w:themeFill="text1"/>
          </w:tcPr>
          <w:p w14:paraId="425C6906" w14:textId="77777777" w:rsidR="00222D7B" w:rsidRPr="00D144D3" w:rsidRDefault="00222D7B" w:rsidP="00914E56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  <w:bCs/>
              </w:rPr>
            </w:pPr>
            <w:r w:rsidRPr="00D144D3">
              <w:rPr>
                <w:rFonts w:asciiTheme="minorHAnsi" w:hAnsiTheme="minorHAnsi" w:cstheme="minorHAnsi"/>
              </w:rPr>
              <w:lastRenderedPageBreak/>
              <w:t>PART 6 – RESTRICTED DOCUMENTS</w:t>
            </w:r>
          </w:p>
        </w:tc>
      </w:tr>
      <w:tr w:rsidR="00222D7B" w:rsidRPr="00623E73" w14:paraId="060A5603" w14:textId="77777777" w:rsidTr="005E3C2E">
        <w:tc>
          <w:tcPr>
            <w:tcW w:w="3681" w:type="dxa"/>
          </w:tcPr>
          <w:p w14:paraId="21DCA24E" w14:textId="77777777" w:rsidR="00222D7B" w:rsidRPr="00D144D3" w:rsidRDefault="00222D7B" w:rsidP="00914E56">
            <w:pPr>
              <w:pStyle w:val="Heading2"/>
              <w:numPr>
                <w:ilvl w:val="1"/>
                <w:numId w:val="24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>Do you wish to inspect restricted document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 xml:space="preserve"> on the court file?</w:t>
            </w:r>
          </w:p>
        </w:tc>
        <w:tc>
          <w:tcPr>
            <w:tcW w:w="61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4B4DB3" w14:textId="77777777" w:rsidR="00222D7B" w:rsidRPr="00D144D3" w:rsidRDefault="00222D7B" w:rsidP="00914E56">
            <w:pPr>
              <w:keepNext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144D3">
              <w:rPr>
                <w:rFonts w:cstheme="minorHAnsi"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-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144D3">
              <w:rPr>
                <w:rFonts w:cstheme="minorHAnsi"/>
                <w:bCs/>
                <w:sz w:val="20"/>
                <w:szCs w:val="20"/>
              </w:rPr>
              <w:t xml:space="preserve">complete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6.2</w:t>
            </w:r>
            <w:proofErr w:type="gramEnd"/>
          </w:p>
          <w:p w14:paraId="6BF08AD1" w14:textId="77777777" w:rsidR="00222D7B" w:rsidRPr="00623E73" w:rsidRDefault="00222D7B" w:rsidP="00914E56">
            <w:pPr>
              <w:keepNext/>
              <w:spacing w:before="60" w:after="60"/>
              <w:ind w:left="457" w:hanging="457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144D3">
              <w:rPr>
                <w:rFonts w:cstheme="minorHAnsi"/>
                <w:bCs/>
                <w:sz w:val="20"/>
                <w:szCs w:val="20"/>
              </w:rPr>
              <w:t>No</w:t>
            </w:r>
          </w:p>
        </w:tc>
      </w:tr>
      <w:tr w:rsidR="00222D7B" w:rsidRPr="00B8301D" w14:paraId="0AF08296" w14:textId="77777777" w:rsidTr="005E3C2E">
        <w:trPr>
          <w:trHeight w:val="2025"/>
        </w:trPr>
        <w:tc>
          <w:tcPr>
            <w:tcW w:w="3681" w:type="dxa"/>
            <w:vMerge w:val="restart"/>
          </w:tcPr>
          <w:p w14:paraId="55925BB9" w14:textId="77777777" w:rsidR="00222D7B" w:rsidRDefault="00222D7B" w:rsidP="00914E56">
            <w:pPr>
              <w:pStyle w:val="Heading2"/>
              <w:numPr>
                <w:ilvl w:val="1"/>
                <w:numId w:val="24"/>
              </w:numPr>
              <w:spacing w:before="60" w:after="6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EF1755">
              <w:rPr>
                <w:rFonts w:asciiTheme="minorHAnsi" w:hAnsiTheme="minorHAnsi" w:cstheme="minorHAnsi"/>
                <w:b/>
                <w:sz w:val="20"/>
                <w:szCs w:val="20"/>
              </w:rPr>
              <w:t>Clearly list</w:t>
            </w: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 xml:space="preserve"> the restricted document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D144D3">
              <w:rPr>
                <w:rFonts w:asciiTheme="minorHAnsi" w:hAnsiTheme="minorHAnsi" w:cstheme="minorHAnsi"/>
                <w:sz w:val="20"/>
                <w:szCs w:val="20"/>
              </w:rPr>
              <w:t xml:space="preserve"> you wish to inspect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AD5AF9B" w14:textId="77777777" w:rsidR="00222D7B" w:rsidRPr="00623E73" w:rsidRDefault="00222D7B" w:rsidP="00914E56">
            <w:pPr>
              <w:pStyle w:val="Heading2"/>
              <w:numPr>
                <w:ilvl w:val="0"/>
                <w:numId w:val="0"/>
              </w:numPr>
              <w:spacing w:before="120" w:after="60"/>
              <w:ind w:left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623E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NOTE: </w:t>
            </w:r>
            <w:r w:rsidRPr="00623E73">
              <w:rPr>
                <w:rFonts w:asciiTheme="minorHAnsi" w:hAnsiTheme="minorHAnsi" w:cstheme="minorHAnsi"/>
                <w:sz w:val="20"/>
                <w:szCs w:val="20"/>
              </w:rPr>
              <w:t xml:space="preserve">Restricted document(s) are all court documents that are not included in sub-rule 2.32(2) of the </w:t>
            </w:r>
            <w:r w:rsidRPr="00623E73">
              <w:rPr>
                <w:rFonts w:asciiTheme="minorHAnsi" w:hAnsiTheme="minorHAnsi" w:cstheme="minorHAnsi"/>
                <w:i/>
                <w:sz w:val="20"/>
                <w:szCs w:val="20"/>
              </w:rPr>
              <w:t>Federal Court Rules 2011.</w:t>
            </w:r>
          </w:p>
        </w:tc>
        <w:tc>
          <w:tcPr>
            <w:tcW w:w="6105" w:type="dxa"/>
            <w:gridSpan w:val="2"/>
            <w:shd w:val="clear" w:color="auto" w:fill="auto"/>
          </w:tcPr>
          <w:p w14:paraId="22BEC0A0" w14:textId="531BF9CA" w:rsidR="00222D7B" w:rsidRPr="00B8301D" w:rsidRDefault="00222D7B" w:rsidP="00914E5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222D7B" w:rsidRPr="00B8301D" w14:paraId="0BE56863" w14:textId="77777777" w:rsidTr="005E3C2E">
        <w:tc>
          <w:tcPr>
            <w:tcW w:w="3681" w:type="dxa"/>
            <w:vMerge/>
          </w:tcPr>
          <w:p w14:paraId="47CE5A68" w14:textId="77777777" w:rsidR="00222D7B" w:rsidRPr="00EF1755" w:rsidRDefault="00222D7B" w:rsidP="00914E56">
            <w:pPr>
              <w:pStyle w:val="Heading2"/>
              <w:numPr>
                <w:ilvl w:val="0"/>
                <w:numId w:val="0"/>
              </w:numPr>
              <w:spacing w:before="60" w:after="60"/>
              <w:ind w:left="576" w:hanging="5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0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26F1E2C" w14:textId="77777777" w:rsidR="00222D7B" w:rsidRPr="00B8301D" w:rsidRDefault="00222D7B" w:rsidP="00914E56">
            <w:pPr>
              <w:keepNext/>
              <w:spacing w:before="60" w:after="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B8301D">
              <w:rPr>
                <w:rFonts w:cstheme="minorHAnsi"/>
                <w:color w:val="595959" w:themeColor="text1" w:themeTint="A6"/>
                <w:sz w:val="16"/>
                <w:szCs w:val="16"/>
              </w:rPr>
              <w:t>Unclear requests for restricted documents may result in your request being refused.</w:t>
            </w:r>
          </w:p>
        </w:tc>
      </w:tr>
      <w:tr w:rsidR="00222D7B" w:rsidRPr="00B8301D" w14:paraId="6E6BCD72" w14:textId="77777777" w:rsidTr="005E3C2E">
        <w:trPr>
          <w:trHeight w:val="7723"/>
        </w:trPr>
        <w:tc>
          <w:tcPr>
            <w:tcW w:w="3681" w:type="dxa"/>
            <w:vMerge w:val="restart"/>
          </w:tcPr>
          <w:p w14:paraId="7AE24EBD" w14:textId="77777777" w:rsidR="00222D7B" w:rsidRDefault="00222D7B" w:rsidP="00914E56">
            <w:pPr>
              <w:pStyle w:val="Heading2"/>
              <w:numPr>
                <w:ilvl w:val="1"/>
                <w:numId w:val="24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23E73">
              <w:rPr>
                <w:rFonts w:asciiTheme="minorHAnsi" w:hAnsiTheme="minorHAnsi" w:cstheme="minorHAnsi"/>
                <w:sz w:val="20"/>
                <w:szCs w:val="20"/>
              </w:rPr>
              <w:t xml:space="preserve">Pursuant to Rule 2.32(4) of the </w:t>
            </w:r>
            <w:r w:rsidRPr="0021189B">
              <w:rPr>
                <w:rFonts w:asciiTheme="minorHAnsi" w:hAnsiTheme="minorHAnsi" w:cstheme="minorHAnsi"/>
                <w:i/>
                <w:sz w:val="20"/>
                <w:szCs w:val="20"/>
              </w:rPr>
              <w:t>Federal Court Rules 2011</w:t>
            </w:r>
            <w:r w:rsidRPr="00623E73">
              <w:rPr>
                <w:rFonts w:asciiTheme="minorHAnsi" w:hAnsiTheme="minorHAnsi" w:cstheme="minorHAnsi"/>
                <w:sz w:val="20"/>
                <w:szCs w:val="20"/>
              </w:rPr>
              <w:t xml:space="preserve"> you must seek the Court’s leave to inspect restricted document(s)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6F3B261" w14:textId="77777777" w:rsidR="00222D7B" w:rsidRDefault="00222D7B" w:rsidP="00914E56">
            <w:pPr>
              <w:pStyle w:val="Heading2"/>
              <w:numPr>
                <w:ilvl w:val="0"/>
                <w:numId w:val="0"/>
              </w:numPr>
              <w:spacing w:before="120" w:after="120"/>
              <w:ind w:left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623E73">
              <w:rPr>
                <w:rFonts w:asciiTheme="minorHAnsi" w:hAnsiTheme="minorHAnsi" w:cstheme="minorHAnsi"/>
                <w:sz w:val="20"/>
                <w:szCs w:val="20"/>
              </w:rPr>
              <w:t>Please provide written reasons to assist the judicial officer to determine your request (e.g. media public interest story, research or accessing document(s) for potential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use in future litigation etc.</w:t>
            </w:r>
            <w:r w:rsidRPr="00623E73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5E0F07AE" w14:textId="77777777" w:rsidR="00222D7B" w:rsidRPr="00623E73" w:rsidRDefault="00222D7B" w:rsidP="00914E56">
            <w:pPr>
              <w:pStyle w:val="Heading2"/>
              <w:numPr>
                <w:ilvl w:val="0"/>
                <w:numId w:val="0"/>
              </w:numPr>
              <w:spacing w:before="120" w:after="120"/>
              <w:ind w:left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623E73">
              <w:rPr>
                <w:rFonts w:asciiTheme="minorHAnsi" w:hAnsiTheme="minorHAnsi" w:cstheme="minorHAnsi"/>
                <w:sz w:val="20"/>
                <w:szCs w:val="20"/>
              </w:rPr>
              <w:t xml:space="preserve">More information is available via </w:t>
            </w:r>
            <w:hyperlink r:id="rId17" w:history="1">
              <w:r w:rsidRPr="00623E7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Access to Documents Practice Note (GPN-ACCS)</w:t>
              </w:r>
            </w:hyperlink>
            <w:r w:rsidRPr="00623E7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105" w:type="dxa"/>
            <w:gridSpan w:val="2"/>
            <w:shd w:val="clear" w:color="auto" w:fill="auto"/>
          </w:tcPr>
          <w:p w14:paraId="01A69341" w14:textId="0FCF4D2D" w:rsidR="00222D7B" w:rsidRPr="00B8301D" w:rsidRDefault="00222D7B" w:rsidP="00914E56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222D7B" w:rsidRPr="00B8301D" w14:paraId="1B759B58" w14:textId="77777777" w:rsidTr="005E3C2E">
        <w:trPr>
          <w:trHeight w:val="397"/>
        </w:trPr>
        <w:tc>
          <w:tcPr>
            <w:tcW w:w="3681" w:type="dxa"/>
            <w:vMerge/>
          </w:tcPr>
          <w:p w14:paraId="38B58E65" w14:textId="77777777" w:rsidR="00222D7B" w:rsidRPr="00623E73" w:rsidRDefault="00222D7B" w:rsidP="00914E56">
            <w:pPr>
              <w:pStyle w:val="Heading2"/>
              <w:numPr>
                <w:ilvl w:val="0"/>
                <w:numId w:val="0"/>
              </w:numPr>
              <w:spacing w:before="60" w:after="60"/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8248100" w14:textId="77777777" w:rsidR="00222D7B" w:rsidRPr="00B8301D" w:rsidRDefault="00222D7B" w:rsidP="00914E56">
            <w:pPr>
              <w:keepNext/>
              <w:spacing w:before="60" w:after="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B8301D">
              <w:rPr>
                <w:rFonts w:cstheme="minorHAnsi"/>
                <w:color w:val="595959" w:themeColor="text1" w:themeTint="A6"/>
                <w:sz w:val="16"/>
                <w:szCs w:val="16"/>
              </w:rPr>
              <w:t>If there is insufficient space, please attach your additional reasons as a separate page.</w:t>
            </w:r>
          </w:p>
        </w:tc>
      </w:tr>
      <w:tr w:rsidR="00222D7B" w:rsidRPr="00191FD4" w14:paraId="4E243362" w14:textId="77777777" w:rsidTr="005E3C2E">
        <w:tc>
          <w:tcPr>
            <w:tcW w:w="3681" w:type="dxa"/>
          </w:tcPr>
          <w:p w14:paraId="09D5373E" w14:textId="77777777" w:rsidR="00222D7B" w:rsidRDefault="00222D7B" w:rsidP="00914E56">
            <w:pPr>
              <w:pStyle w:val="Heading2"/>
              <w:numPr>
                <w:ilvl w:val="1"/>
                <w:numId w:val="24"/>
              </w:numPr>
              <w:spacing w:before="60" w:after="12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If your request to inspect the restricted document(s) nominated in 6.2 is approved, do you wish to be given a copy of these document(s)?</w:t>
            </w:r>
          </w:p>
          <w:p w14:paraId="53B508CF" w14:textId="77777777" w:rsidR="00222D7B" w:rsidRPr="00142AF3" w:rsidRDefault="00222D7B" w:rsidP="00914E56">
            <w:pPr>
              <w:pStyle w:val="Heading2"/>
              <w:numPr>
                <w:ilvl w:val="0"/>
                <w:numId w:val="0"/>
              </w:numPr>
              <w:spacing w:before="60" w:after="120"/>
              <w:ind w:left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NOTE: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Transcript is an excluded document</w:t>
            </w:r>
          </w:p>
        </w:tc>
        <w:tc>
          <w:tcPr>
            <w:tcW w:w="6105" w:type="dxa"/>
            <w:gridSpan w:val="2"/>
            <w:shd w:val="clear" w:color="auto" w:fill="auto"/>
          </w:tcPr>
          <w:p w14:paraId="631FCB62" w14:textId="77777777" w:rsidR="00222D7B" w:rsidRPr="00D144D3" w:rsidRDefault="00222D7B" w:rsidP="00914E56">
            <w:pPr>
              <w:keepNext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bCs/>
                <w:sz w:val="20"/>
                <w:szCs w:val="20"/>
              </w:rPr>
              <w:t xml:space="preserve"> Yes</w:t>
            </w:r>
          </w:p>
          <w:p w14:paraId="55CA54CE" w14:textId="77777777" w:rsidR="00222D7B" w:rsidRPr="00191FD4" w:rsidRDefault="00222D7B" w:rsidP="00914E56">
            <w:pPr>
              <w:keepNext/>
              <w:spacing w:before="60" w:after="60"/>
              <w:ind w:left="457" w:hanging="457"/>
              <w:rPr>
                <w:rFonts w:cstheme="minorHAnsi"/>
                <w:bCs/>
                <w:sz w:val="20"/>
                <w:szCs w:val="20"/>
              </w:rPr>
            </w:pPr>
            <w:r w:rsidRPr="00D144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144D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D144D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144D3">
              <w:rPr>
                <w:rFonts w:cstheme="minorHAnsi"/>
                <w:bCs/>
                <w:sz w:val="20"/>
                <w:szCs w:val="20"/>
              </w:rPr>
              <w:t>No</w:t>
            </w:r>
          </w:p>
        </w:tc>
      </w:tr>
    </w:tbl>
    <w:p w14:paraId="466B086B" w14:textId="589CE21F" w:rsidR="006475E6" w:rsidRDefault="006475E6" w:rsidP="006475E6">
      <w:pPr>
        <w:ind w:right="140"/>
        <w:jc w:val="right"/>
        <w:rPr>
          <w:rFonts w:cstheme="minorHAnsi"/>
          <w:sz w:val="16"/>
          <w:szCs w:val="16"/>
        </w:rPr>
      </w:pPr>
    </w:p>
    <w:p w14:paraId="0B0AC824" w14:textId="5E561ECC" w:rsidR="00222D7B" w:rsidRDefault="00222D7B" w:rsidP="003C5FFB"/>
    <w:p w14:paraId="28E85AB7" w14:textId="6569CBCB" w:rsidR="00222D7B" w:rsidRDefault="00222D7B" w:rsidP="003C5FFB"/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1233"/>
        <w:gridCol w:w="3926"/>
        <w:gridCol w:w="1078"/>
      </w:tblGrid>
      <w:tr w:rsidR="00DB4A60" w:rsidRPr="00E47B1A" w14:paraId="0B0C2C64" w14:textId="77777777" w:rsidTr="005154C2">
        <w:tc>
          <w:tcPr>
            <w:tcW w:w="9781" w:type="dxa"/>
            <w:gridSpan w:val="4"/>
            <w:tcBorders>
              <w:bottom w:val="nil"/>
            </w:tcBorders>
            <w:shd w:val="clear" w:color="auto" w:fill="000000" w:themeFill="text1"/>
          </w:tcPr>
          <w:p w14:paraId="2AA80673" w14:textId="62CE6AC7" w:rsidR="00DB4A60" w:rsidRPr="00A527B4" w:rsidRDefault="00DB4A60" w:rsidP="00A527B4">
            <w:pPr>
              <w:keepNext/>
              <w:keepLines/>
              <w:spacing w:before="120" w:after="12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527B4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RELEVANT INFORMATION</w:t>
            </w:r>
          </w:p>
        </w:tc>
      </w:tr>
      <w:tr w:rsidR="004D5CC4" w:rsidRPr="00E47B1A" w14:paraId="17EF32DB" w14:textId="77777777" w:rsidTr="00C55B8D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64892C" w14:textId="1CF1AC68" w:rsidR="004D5CC4" w:rsidRPr="004D5CC4" w:rsidRDefault="004D5CC4" w:rsidP="002C6553">
            <w:pPr>
              <w:spacing w:before="12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The following links provide quick access to relevant information and services for this application:</w:t>
            </w:r>
          </w:p>
        </w:tc>
      </w:tr>
      <w:tr w:rsidR="00841585" w:rsidRPr="00E47B1A" w14:paraId="539E5C9F" w14:textId="77777777" w:rsidTr="004D5CC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A61BB" w14:textId="04A6221E" w:rsidR="00892DB3" w:rsidRPr="004D5CC4" w:rsidRDefault="00000000" w:rsidP="004D5CC4">
            <w:pPr>
              <w:keepNext/>
              <w:keepLines/>
              <w:spacing w:before="120" w:after="120"/>
              <w:ind w:left="59"/>
              <w:rPr>
                <w:rFonts w:ascii="Calibri" w:hAnsi="Calibri" w:cs="Calibri"/>
              </w:rPr>
            </w:pPr>
            <w:hyperlink r:id="rId18" w:history="1">
              <w:r w:rsidR="00841585" w:rsidRPr="004D5CC4">
                <w:rPr>
                  <w:rStyle w:val="Hyperlink"/>
                  <w:rFonts w:ascii="Calibri" w:hAnsi="Calibri" w:cs="Calibri"/>
                </w:rPr>
                <w:t>Access to Documents and Transcripts</w:t>
              </w:r>
              <w:r w:rsidR="00ED495C" w:rsidRPr="004D5CC4">
                <w:rPr>
                  <w:rStyle w:val="Hyperlink"/>
                  <w:rFonts w:ascii="Calibri" w:hAnsi="Calibri" w:cs="Calibri"/>
                </w:rPr>
                <w:t xml:space="preserve"> </w:t>
              </w:r>
              <w:r w:rsidR="00841585" w:rsidRPr="004D5CC4">
                <w:rPr>
                  <w:rStyle w:val="Hyperlink"/>
                  <w:rFonts w:ascii="Calibri" w:hAnsi="Calibri" w:cs="Calibri"/>
                </w:rPr>
                <w:t>Practice Note</w:t>
              </w:r>
            </w:hyperlink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9855" w14:textId="415DDAC0" w:rsidR="00841585" w:rsidRPr="004D5CC4" w:rsidRDefault="00946CA4" w:rsidP="004D5CC4">
            <w:pPr>
              <w:keepNext/>
              <w:keepLines/>
              <w:spacing w:before="120" w:after="120"/>
              <w:rPr>
                <w:rFonts w:ascii="Calibri" w:hAnsi="Calibri" w:cs="Calibri"/>
              </w:rPr>
            </w:pPr>
            <w:r w:rsidRPr="004D5CC4">
              <w:rPr>
                <w:rFonts w:ascii="Calibri" w:hAnsi="Calibri" w:cs="Calibri"/>
                <w:noProof/>
                <w:color w:val="000000" w:themeColor="text1"/>
                <w:lang w:eastAsia="en-AU"/>
              </w:rPr>
              <w:drawing>
                <wp:inline distT="0" distB="0" distL="0" distR="0" wp14:anchorId="393C4037" wp14:editId="6399E491">
                  <wp:extent cx="460800" cy="460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0" cy="4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00C4A" w14:textId="66EFE56C" w:rsidR="00841585" w:rsidRPr="004D5CC4" w:rsidRDefault="00000000" w:rsidP="004D5CC4">
            <w:pPr>
              <w:keepNext/>
              <w:keepLines/>
              <w:spacing w:before="120" w:after="120"/>
              <w:ind w:left="59"/>
              <w:rPr>
                <w:rFonts w:ascii="Calibri" w:hAnsi="Calibri" w:cs="Calibri"/>
              </w:rPr>
            </w:pPr>
            <w:hyperlink r:id="rId20" w:history="1">
              <w:r w:rsidR="00841585" w:rsidRPr="004D5CC4">
                <w:rPr>
                  <w:rStyle w:val="Hyperlink"/>
                  <w:rFonts w:ascii="Calibri" w:hAnsi="Calibri" w:cs="Calibri"/>
                </w:rPr>
                <w:t>A step-by-step guide on how to make an Access Request to inspect Court documents</w:t>
              </w:r>
            </w:hyperlink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41B0C" w14:textId="51DA7D5E" w:rsidR="00841585" w:rsidRPr="004D5CC4" w:rsidRDefault="00841585" w:rsidP="004D5CC4">
            <w:pPr>
              <w:keepNext/>
              <w:keepLines/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 w:rsidRPr="004D5CC4">
              <w:rPr>
                <w:rFonts w:ascii="Calibri" w:hAnsi="Calibri" w:cs="Calibri"/>
                <w:noProof/>
                <w:color w:val="000000" w:themeColor="text1"/>
                <w:lang w:eastAsia="en-AU"/>
              </w:rPr>
              <w:drawing>
                <wp:inline distT="0" distB="0" distL="0" distR="0" wp14:anchorId="46085F22" wp14:editId="64A3655C">
                  <wp:extent cx="442800" cy="439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43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585" w:rsidRPr="00E47B1A" w14:paraId="69A83F4E" w14:textId="77777777" w:rsidTr="004D5CC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79893" w14:textId="5C2CD328" w:rsidR="00841585" w:rsidRPr="004D5CC4" w:rsidRDefault="00000000" w:rsidP="004D5CC4">
            <w:pPr>
              <w:keepNext/>
              <w:keepLines/>
              <w:spacing w:before="120" w:after="120"/>
              <w:ind w:left="59"/>
              <w:rPr>
                <w:rFonts w:ascii="Calibri" w:hAnsi="Calibri" w:cs="Calibri"/>
              </w:rPr>
            </w:pPr>
            <w:hyperlink r:id="rId22" w:history="1">
              <w:r w:rsidR="00841585" w:rsidRPr="004D5CC4">
                <w:rPr>
                  <w:rStyle w:val="Hyperlink"/>
                  <w:rFonts w:ascii="Calibri" w:hAnsi="Calibri" w:cs="Calibri"/>
                </w:rPr>
                <w:t xml:space="preserve">Federal Court of Australia </w:t>
              </w:r>
              <w:r w:rsidR="004D5CC4">
                <w:rPr>
                  <w:rStyle w:val="Hyperlink"/>
                  <w:rFonts w:ascii="Calibri" w:hAnsi="Calibri" w:cs="Calibri"/>
                </w:rPr>
                <w:br/>
              </w:r>
              <w:r w:rsidR="00841585" w:rsidRPr="004D5CC4">
                <w:rPr>
                  <w:rStyle w:val="Hyperlink"/>
                  <w:rFonts w:ascii="Calibri" w:hAnsi="Calibri" w:cs="Calibri"/>
                </w:rPr>
                <w:t>current fees</w:t>
              </w:r>
            </w:hyperlink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53770" w14:textId="4AE2EACA" w:rsidR="00841585" w:rsidRPr="004D5CC4" w:rsidRDefault="00841585" w:rsidP="004D5CC4">
            <w:pPr>
              <w:keepNext/>
              <w:keepLines/>
              <w:spacing w:before="120" w:after="120"/>
              <w:rPr>
                <w:rFonts w:ascii="Calibri" w:hAnsi="Calibri" w:cs="Calibri"/>
                <w:noProof/>
                <w:color w:val="000000" w:themeColor="text1"/>
                <w:lang w:eastAsia="en-AU"/>
              </w:rPr>
            </w:pPr>
            <w:r w:rsidRPr="004D5CC4">
              <w:rPr>
                <w:rFonts w:ascii="Calibri" w:hAnsi="Calibri" w:cs="Calibri"/>
                <w:noProof/>
                <w:color w:val="000000" w:themeColor="text1"/>
                <w:lang w:eastAsia="en-AU"/>
              </w:rPr>
              <w:drawing>
                <wp:inline distT="0" distB="0" distL="0" distR="0" wp14:anchorId="7E563034" wp14:editId="02C97748">
                  <wp:extent cx="457200" cy="460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C9D3B" w14:textId="1DCB27A7" w:rsidR="00841585" w:rsidRPr="004D5CC4" w:rsidRDefault="00000000" w:rsidP="004D5CC4">
            <w:pPr>
              <w:keepNext/>
              <w:keepLines/>
              <w:spacing w:before="120" w:after="120"/>
              <w:ind w:left="59"/>
              <w:rPr>
                <w:rFonts w:ascii="Calibri" w:hAnsi="Calibri" w:cs="Calibri"/>
              </w:rPr>
            </w:pPr>
            <w:hyperlink r:id="rId24" w:history="1">
              <w:r w:rsidR="00841585" w:rsidRPr="004D5CC4">
                <w:rPr>
                  <w:rStyle w:val="Hyperlink"/>
                  <w:rFonts w:ascii="Calibri" w:hAnsi="Calibri" w:cs="Calibri"/>
                </w:rPr>
                <w:t>Commonwealth Courts Portal</w:t>
              </w:r>
            </w:hyperlink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8963B" w14:textId="278F6460" w:rsidR="00841585" w:rsidRPr="004D5CC4" w:rsidRDefault="00841585" w:rsidP="004D5CC4">
            <w:pPr>
              <w:keepNext/>
              <w:keepLines/>
              <w:spacing w:before="120" w:after="120"/>
              <w:rPr>
                <w:rFonts w:ascii="Calibri" w:hAnsi="Calibri" w:cs="Calibri"/>
                <w:noProof/>
                <w:color w:val="000000" w:themeColor="text1"/>
                <w:lang w:eastAsia="en-AU"/>
              </w:rPr>
            </w:pPr>
            <w:r w:rsidRPr="004D5CC4">
              <w:rPr>
                <w:rFonts w:ascii="Calibri" w:hAnsi="Calibri" w:cs="Calibri"/>
                <w:noProof/>
                <w:color w:val="000000" w:themeColor="text1"/>
                <w:lang w:eastAsia="en-AU"/>
              </w:rPr>
              <w:drawing>
                <wp:inline distT="0" distB="0" distL="0" distR="0" wp14:anchorId="430A7105" wp14:editId="7652D2E7">
                  <wp:extent cx="453600" cy="453600"/>
                  <wp:effectExtent l="0" t="0" r="381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00" cy="45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585" w:rsidRPr="00E47B1A" w14:paraId="2BA2B36A" w14:textId="77777777" w:rsidTr="004D5CC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71076" w14:textId="56B11D39" w:rsidR="00841585" w:rsidRPr="004D5CC4" w:rsidRDefault="00000000" w:rsidP="004D5CC4">
            <w:pPr>
              <w:keepNext/>
              <w:keepLines/>
              <w:spacing w:before="120" w:after="120"/>
              <w:ind w:left="59"/>
              <w:rPr>
                <w:rFonts w:ascii="Calibri" w:hAnsi="Calibri" w:cs="Calibri"/>
              </w:rPr>
            </w:pPr>
            <w:hyperlink r:id="rId26" w:history="1">
              <w:r w:rsidR="00841585" w:rsidRPr="004D5CC4">
                <w:rPr>
                  <w:rStyle w:val="Hyperlink"/>
                  <w:rFonts w:ascii="Calibri" w:hAnsi="Calibri" w:cs="Calibri"/>
                  <w:i/>
                </w:rPr>
                <w:t>Federal Court Rules 2011</w:t>
              </w:r>
            </w:hyperlink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F4885" w14:textId="7827FEED" w:rsidR="00841585" w:rsidRPr="004D5CC4" w:rsidRDefault="00841585" w:rsidP="004D5CC4">
            <w:pPr>
              <w:keepNext/>
              <w:keepLines/>
              <w:spacing w:before="120" w:after="120"/>
              <w:rPr>
                <w:rFonts w:ascii="Calibri" w:hAnsi="Calibri" w:cs="Calibri"/>
                <w:noProof/>
                <w:color w:val="000000" w:themeColor="text1"/>
                <w:lang w:eastAsia="en-AU"/>
              </w:rPr>
            </w:pPr>
            <w:r w:rsidRPr="004D5CC4">
              <w:rPr>
                <w:rFonts w:ascii="Calibri" w:hAnsi="Calibri" w:cs="Calibri"/>
                <w:noProof/>
                <w:color w:val="000000" w:themeColor="text1"/>
                <w:lang w:eastAsia="en-AU"/>
              </w:rPr>
              <w:drawing>
                <wp:inline distT="0" distB="0" distL="0" distR="0" wp14:anchorId="316BC61B" wp14:editId="37834173">
                  <wp:extent cx="474133" cy="459431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00" cy="46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E055B" w14:textId="77777777" w:rsidR="00841585" w:rsidRPr="004D5CC4" w:rsidRDefault="00841585" w:rsidP="004D5CC4">
            <w:pPr>
              <w:keepNext/>
              <w:keepLines/>
              <w:spacing w:before="120" w:after="120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07B9A" w14:textId="77777777" w:rsidR="00841585" w:rsidRPr="004D5CC4" w:rsidRDefault="00841585" w:rsidP="004D5CC4">
            <w:pPr>
              <w:keepNext/>
              <w:keepLines/>
              <w:spacing w:before="120" w:after="120"/>
              <w:rPr>
                <w:rFonts w:ascii="Calibri" w:hAnsi="Calibri" w:cs="Calibri"/>
                <w:noProof/>
                <w:color w:val="000000" w:themeColor="text1"/>
                <w:lang w:eastAsia="en-AU"/>
              </w:rPr>
            </w:pPr>
          </w:p>
        </w:tc>
      </w:tr>
      <w:tr w:rsidR="00D33A0B" w:rsidRPr="00E47B1A" w14:paraId="686FD493" w14:textId="77777777" w:rsidTr="005154C2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3FEA9E" w14:textId="1695BBE1" w:rsidR="001A10E5" w:rsidRPr="00A527B4" w:rsidRDefault="001A10E5" w:rsidP="00841585">
            <w:pPr>
              <w:pStyle w:val="HR"/>
              <w:spacing w:before="120" w:after="60"/>
              <w:outlineLvl w:val="0"/>
              <w:rPr>
                <w:rFonts w:ascii="Calibri" w:hAnsi="Calibri" w:cs="Calibri"/>
                <w:sz w:val="18"/>
                <w:szCs w:val="18"/>
              </w:rPr>
            </w:pPr>
            <w:bookmarkStart w:id="17" w:name="_Toc297912312"/>
            <w:bookmarkStart w:id="18" w:name="_Toc297989427"/>
            <w:r w:rsidRPr="00A527B4">
              <w:rPr>
                <w:rStyle w:val="CharSectno"/>
                <w:rFonts w:ascii="Calibri" w:eastAsiaTheme="majorEastAsia" w:hAnsi="Calibri" w:cs="Calibri"/>
                <w:i/>
                <w:sz w:val="18"/>
                <w:szCs w:val="18"/>
              </w:rPr>
              <w:t>Federal Court Rules 2011</w:t>
            </w:r>
            <w:r w:rsidRPr="00A527B4">
              <w:rPr>
                <w:rStyle w:val="CharSectno"/>
                <w:rFonts w:ascii="Calibri" w:eastAsiaTheme="majorEastAsia" w:hAnsi="Calibri" w:cs="Calibri"/>
                <w:sz w:val="18"/>
                <w:szCs w:val="18"/>
              </w:rPr>
              <w:t xml:space="preserve"> – </w:t>
            </w:r>
            <w:bookmarkEnd w:id="17"/>
            <w:bookmarkEnd w:id="18"/>
            <w:r w:rsidRPr="00A527B4">
              <w:rPr>
                <w:rStyle w:val="CharSectno"/>
                <w:rFonts w:ascii="Calibri" w:eastAsiaTheme="majorEastAsia" w:hAnsi="Calibri" w:cs="Calibri"/>
                <w:sz w:val="18"/>
                <w:szCs w:val="18"/>
              </w:rPr>
              <w:t xml:space="preserve">Rule 2.32 </w:t>
            </w:r>
            <w:r w:rsidRPr="00A527B4">
              <w:rPr>
                <w:rFonts w:ascii="Calibri" w:hAnsi="Calibri" w:cs="Calibri"/>
                <w:sz w:val="18"/>
                <w:szCs w:val="18"/>
              </w:rPr>
              <w:t>Inspection of documents</w:t>
            </w:r>
          </w:p>
          <w:p w14:paraId="26189F6B" w14:textId="7FDEDB46" w:rsidR="001A10E5" w:rsidRPr="00DD7B38" w:rsidRDefault="001A10E5" w:rsidP="001A10E5">
            <w:pPr>
              <w:pStyle w:val="ZR1"/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>(1)</w:t>
            </w:r>
            <w:r w:rsidR="00E0158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A party may inspect any document in the proceeding except:</w:t>
            </w:r>
          </w:p>
          <w:p w14:paraId="19A8948E" w14:textId="77777777" w:rsidR="001A10E5" w:rsidRPr="00DD7B38" w:rsidRDefault="001A10E5" w:rsidP="001A10E5">
            <w:pPr>
              <w:pStyle w:val="ZP1"/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(a)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a document for which a claim of privilege has been made:</w:t>
            </w:r>
          </w:p>
          <w:p w14:paraId="7357C667" w14:textId="77777777" w:rsidR="001A10E5" w:rsidRPr="00DD7B38" w:rsidRDefault="001A10E5" w:rsidP="001A10E5">
            <w:pPr>
              <w:pStyle w:val="P2"/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(i)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but not decided by the Court; or</w:t>
            </w:r>
          </w:p>
          <w:p w14:paraId="09634DD0" w14:textId="77777777" w:rsidR="001A10E5" w:rsidRPr="00DD7B38" w:rsidRDefault="001A10E5" w:rsidP="001A10E5">
            <w:pPr>
              <w:pStyle w:val="P2"/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(ii)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that the Court has decided is privileged; or</w:t>
            </w:r>
          </w:p>
          <w:p w14:paraId="41ACE9B9" w14:textId="77777777" w:rsidR="001A10E5" w:rsidRPr="00DD7B38" w:rsidRDefault="001A10E5" w:rsidP="001A10E5">
            <w:pPr>
              <w:pStyle w:val="P1"/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(b)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a document that the Court has ordered be confidential.</w:t>
            </w:r>
          </w:p>
          <w:p w14:paraId="6547B05B" w14:textId="77777777" w:rsidR="005F46B9" w:rsidRDefault="001A10E5" w:rsidP="001A10E5">
            <w:pPr>
              <w:pStyle w:val="ZR2"/>
              <w:spacing w:before="20" w:after="20" w:line="240" w:lineRule="auto"/>
              <w:ind w:left="0" w:firstLine="0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>(2)</w:t>
            </w:r>
            <w:r w:rsidR="00E0158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A person who is not a party may, after the first directions hearing or the hearing (whichever is earlier), inspect the following documents</w:t>
            </w:r>
            <w:r w:rsidR="005F46B9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218F2AC9" w14:textId="5DF39929" w:rsidR="001A10E5" w:rsidRPr="00DD7B38" w:rsidRDefault="001A10E5" w:rsidP="005F46B9">
            <w:pPr>
              <w:pStyle w:val="ZR2"/>
              <w:spacing w:before="20" w:after="20" w:line="240" w:lineRule="auto"/>
              <w:ind w:left="173" w:firstLine="0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>in a proceeding in the proper Registry:</w:t>
            </w:r>
          </w:p>
          <w:p w14:paraId="0C692CED" w14:textId="77777777" w:rsidR="001A10E5" w:rsidRPr="00DD7B38" w:rsidRDefault="001A10E5" w:rsidP="001A10E5">
            <w:pPr>
              <w:pStyle w:val="P1"/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(a)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an originating application or cross-</w:t>
            </w:r>
            <w:proofErr w:type="gramStart"/>
            <w:r w:rsidRPr="00DD7B38">
              <w:rPr>
                <w:rFonts w:ascii="Calibri" w:hAnsi="Calibri" w:cs="Calibri"/>
                <w:sz w:val="16"/>
                <w:szCs w:val="16"/>
              </w:rPr>
              <w:t>claim;</w:t>
            </w:r>
            <w:proofErr w:type="gramEnd"/>
          </w:p>
          <w:p w14:paraId="39ED33A6" w14:textId="77777777" w:rsidR="001A10E5" w:rsidRPr="00DD7B38" w:rsidRDefault="001A10E5" w:rsidP="001A10E5">
            <w:pPr>
              <w:pStyle w:val="P1"/>
              <w:tabs>
                <w:tab w:val="left" w:pos="1440"/>
                <w:tab w:val="left" w:pos="2160"/>
                <w:tab w:val="left" w:pos="2880"/>
                <w:tab w:val="left" w:pos="3600"/>
                <w:tab w:val="left" w:pos="6330"/>
              </w:tabs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(b)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 xml:space="preserve">a notice of address for </w:t>
            </w:r>
            <w:proofErr w:type="gramStart"/>
            <w:r w:rsidRPr="00DD7B38">
              <w:rPr>
                <w:rFonts w:ascii="Calibri" w:hAnsi="Calibri" w:cs="Calibri"/>
                <w:sz w:val="16"/>
                <w:szCs w:val="16"/>
              </w:rPr>
              <w:t>service;</w:t>
            </w:r>
            <w:proofErr w:type="gramEnd"/>
          </w:p>
          <w:p w14:paraId="5BE33FF2" w14:textId="77777777" w:rsidR="001A10E5" w:rsidRPr="00DD7B38" w:rsidRDefault="001A10E5" w:rsidP="001A10E5">
            <w:pPr>
              <w:pStyle w:val="P1"/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(c)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 xml:space="preserve">a pleading or particulars of a pleading or similar </w:t>
            </w:r>
            <w:proofErr w:type="gramStart"/>
            <w:r w:rsidRPr="00DD7B38">
              <w:rPr>
                <w:rFonts w:ascii="Calibri" w:hAnsi="Calibri" w:cs="Calibri"/>
                <w:sz w:val="16"/>
                <w:szCs w:val="16"/>
              </w:rPr>
              <w:t>document;</w:t>
            </w:r>
            <w:proofErr w:type="gramEnd"/>
          </w:p>
          <w:p w14:paraId="3818FC2F" w14:textId="77777777" w:rsidR="001A10E5" w:rsidRPr="00DD7B38" w:rsidRDefault="001A10E5" w:rsidP="001A10E5">
            <w:pPr>
              <w:pStyle w:val="P1"/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(d)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 xml:space="preserve">a statement of agreed facts or an agreed statement of </w:t>
            </w:r>
            <w:proofErr w:type="gramStart"/>
            <w:r w:rsidRPr="00DD7B38">
              <w:rPr>
                <w:rFonts w:ascii="Calibri" w:hAnsi="Calibri" w:cs="Calibri"/>
                <w:sz w:val="16"/>
                <w:szCs w:val="16"/>
              </w:rPr>
              <w:t>facts;</w:t>
            </w:r>
            <w:proofErr w:type="gramEnd"/>
          </w:p>
          <w:p w14:paraId="318F65AD" w14:textId="77777777" w:rsidR="001A10E5" w:rsidRPr="00DD7B38" w:rsidRDefault="001A10E5" w:rsidP="001A10E5">
            <w:pPr>
              <w:pStyle w:val="P1"/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(e)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 xml:space="preserve">an interlocutory </w:t>
            </w:r>
            <w:proofErr w:type="gramStart"/>
            <w:r w:rsidRPr="00DD7B38">
              <w:rPr>
                <w:rFonts w:ascii="Calibri" w:hAnsi="Calibri" w:cs="Calibri"/>
                <w:sz w:val="16"/>
                <w:szCs w:val="16"/>
              </w:rPr>
              <w:t>application;</w:t>
            </w:r>
            <w:proofErr w:type="gramEnd"/>
          </w:p>
          <w:p w14:paraId="653C6614" w14:textId="77777777" w:rsidR="001A10E5" w:rsidRPr="00DD7B38" w:rsidRDefault="001A10E5" w:rsidP="001A10E5">
            <w:pPr>
              <w:pStyle w:val="P1"/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(f)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 xml:space="preserve">a judgment or an order of the </w:t>
            </w:r>
            <w:proofErr w:type="gramStart"/>
            <w:r w:rsidRPr="00DD7B38">
              <w:rPr>
                <w:rFonts w:ascii="Calibri" w:hAnsi="Calibri" w:cs="Calibri"/>
                <w:sz w:val="16"/>
                <w:szCs w:val="16"/>
              </w:rPr>
              <w:t>Court;</w:t>
            </w:r>
            <w:proofErr w:type="gramEnd"/>
          </w:p>
          <w:p w14:paraId="5924EB00" w14:textId="77777777" w:rsidR="001A10E5" w:rsidRPr="00DD7B38" w:rsidRDefault="001A10E5" w:rsidP="001A10E5">
            <w:pPr>
              <w:pStyle w:val="P1"/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(g)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a notice of appeal or cross-</w:t>
            </w:r>
            <w:proofErr w:type="gramStart"/>
            <w:r w:rsidRPr="00DD7B38">
              <w:rPr>
                <w:rFonts w:ascii="Calibri" w:hAnsi="Calibri" w:cs="Calibri"/>
                <w:sz w:val="16"/>
                <w:szCs w:val="16"/>
              </w:rPr>
              <w:t>appeal;</w:t>
            </w:r>
            <w:proofErr w:type="gramEnd"/>
          </w:p>
          <w:p w14:paraId="785841C1" w14:textId="77777777" w:rsidR="001A10E5" w:rsidRPr="00DD7B38" w:rsidRDefault="001A10E5" w:rsidP="001A10E5">
            <w:pPr>
              <w:pStyle w:val="P1"/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(h)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 xml:space="preserve">a notice of </w:t>
            </w:r>
            <w:proofErr w:type="gramStart"/>
            <w:r w:rsidRPr="00DD7B38">
              <w:rPr>
                <w:rFonts w:ascii="Calibri" w:hAnsi="Calibri" w:cs="Calibri"/>
                <w:sz w:val="16"/>
                <w:szCs w:val="16"/>
              </w:rPr>
              <w:t>discontinuance;</w:t>
            </w:r>
            <w:proofErr w:type="gramEnd"/>
          </w:p>
          <w:p w14:paraId="6CDF7263" w14:textId="77777777" w:rsidR="001A10E5" w:rsidRPr="00DD7B38" w:rsidRDefault="001A10E5" w:rsidP="001A10E5">
            <w:pPr>
              <w:pStyle w:val="P1"/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(i)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 xml:space="preserve">a notice of change of </w:t>
            </w:r>
            <w:proofErr w:type="gramStart"/>
            <w:r w:rsidRPr="00DD7B38">
              <w:rPr>
                <w:rFonts w:ascii="Calibri" w:hAnsi="Calibri" w:cs="Calibri"/>
                <w:sz w:val="16"/>
                <w:szCs w:val="16"/>
              </w:rPr>
              <w:t>lawyer;</w:t>
            </w:r>
            <w:proofErr w:type="gramEnd"/>
          </w:p>
          <w:p w14:paraId="533421BF" w14:textId="77777777" w:rsidR="001A10E5" w:rsidRPr="00DD7B38" w:rsidRDefault="001A10E5" w:rsidP="001A10E5">
            <w:pPr>
              <w:pStyle w:val="P1"/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(j)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 xml:space="preserve">a notice of ceasing to </w:t>
            </w:r>
            <w:proofErr w:type="gramStart"/>
            <w:r w:rsidRPr="00DD7B38">
              <w:rPr>
                <w:rFonts w:ascii="Calibri" w:hAnsi="Calibri" w:cs="Calibri"/>
                <w:sz w:val="16"/>
                <w:szCs w:val="16"/>
              </w:rPr>
              <w:t>act;</w:t>
            </w:r>
            <w:proofErr w:type="gramEnd"/>
          </w:p>
          <w:p w14:paraId="11FF77E1" w14:textId="77777777" w:rsidR="001A10E5" w:rsidRPr="00DD7B38" w:rsidRDefault="001A10E5" w:rsidP="001A10E5">
            <w:pPr>
              <w:pStyle w:val="ZP1"/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(k)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in a proceeding to which Division 34.7 applies:</w:t>
            </w:r>
          </w:p>
          <w:p w14:paraId="10A69DE6" w14:textId="7A17BA9E" w:rsidR="001A10E5" w:rsidRPr="00DD7B38" w:rsidRDefault="001A10E5" w:rsidP="00CE55FC">
            <w:pPr>
              <w:pStyle w:val="P2"/>
              <w:spacing w:before="20" w:after="20" w:line="240" w:lineRule="auto"/>
              <w:ind w:left="1451" w:hanging="1451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(i)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</w:r>
            <w:r w:rsidR="00E0158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D7B38">
              <w:rPr>
                <w:rFonts w:ascii="Calibri" w:hAnsi="Calibri" w:cs="Calibri"/>
                <w:sz w:val="16"/>
                <w:szCs w:val="16"/>
              </w:rPr>
              <w:t xml:space="preserve">an affidavit accompanying an application, or an amended application, under section 61 of the </w:t>
            </w:r>
            <w:r w:rsidRPr="00DD7B38">
              <w:rPr>
                <w:rFonts w:ascii="Calibri" w:hAnsi="Calibri" w:cs="Calibri"/>
                <w:i/>
                <w:sz w:val="16"/>
                <w:szCs w:val="16"/>
              </w:rPr>
              <w:t>Native Title Act 1993</w:t>
            </w:r>
            <w:r w:rsidRPr="00DD7B38">
              <w:rPr>
                <w:rFonts w:ascii="Calibri" w:hAnsi="Calibri" w:cs="Calibri"/>
                <w:sz w:val="16"/>
                <w:szCs w:val="16"/>
              </w:rPr>
              <w:t>; or</w:t>
            </w:r>
          </w:p>
          <w:p w14:paraId="63044C01" w14:textId="11C6F54C" w:rsidR="001A10E5" w:rsidRPr="00DD7B38" w:rsidRDefault="001A10E5" w:rsidP="00CE55FC">
            <w:pPr>
              <w:pStyle w:val="P2"/>
              <w:spacing w:before="20" w:after="20" w:line="240" w:lineRule="auto"/>
              <w:ind w:left="1451" w:hanging="1451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(ii)</w:t>
            </w:r>
            <w:r w:rsidR="00E0158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 xml:space="preserve">an extract from the Register of Native Title Claims received by the Court from the Native Title </w:t>
            </w:r>
            <w:proofErr w:type="gramStart"/>
            <w:r w:rsidRPr="00DD7B38">
              <w:rPr>
                <w:rFonts w:ascii="Calibri" w:hAnsi="Calibri" w:cs="Calibri"/>
                <w:sz w:val="16"/>
                <w:szCs w:val="16"/>
              </w:rPr>
              <w:t>Registrar;</w:t>
            </w:r>
            <w:proofErr w:type="gramEnd"/>
          </w:p>
          <w:p w14:paraId="36E4BF32" w14:textId="77777777" w:rsidR="001A10E5" w:rsidRPr="00DD7B38" w:rsidRDefault="001A10E5" w:rsidP="001A10E5">
            <w:pPr>
              <w:pStyle w:val="P1"/>
              <w:numPr>
                <w:ilvl w:val="0"/>
                <w:numId w:val="11"/>
              </w:numPr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ab/>
              <w:t xml:space="preserve">reasons for </w:t>
            </w:r>
            <w:proofErr w:type="gramStart"/>
            <w:r w:rsidRPr="00DD7B38">
              <w:rPr>
                <w:rFonts w:ascii="Calibri" w:hAnsi="Calibri" w:cs="Calibri"/>
                <w:sz w:val="16"/>
                <w:szCs w:val="16"/>
              </w:rPr>
              <w:t>judgment;</w:t>
            </w:r>
            <w:proofErr w:type="gramEnd"/>
          </w:p>
          <w:p w14:paraId="0087AC2C" w14:textId="77777777" w:rsidR="001A10E5" w:rsidRPr="00DD7B38" w:rsidRDefault="001A10E5" w:rsidP="001A10E5">
            <w:pPr>
              <w:pStyle w:val="P1"/>
              <w:numPr>
                <w:ilvl w:val="0"/>
                <w:numId w:val="11"/>
              </w:numPr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A transcript of a hearing heard in open Court.</w:t>
            </w:r>
          </w:p>
          <w:p w14:paraId="6FE4C0A4" w14:textId="47FBEE57" w:rsidR="001A10E5" w:rsidRPr="00DD7B38" w:rsidRDefault="001A10E5" w:rsidP="001A10E5">
            <w:pPr>
              <w:pStyle w:val="Note"/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i/>
                <w:sz w:val="16"/>
                <w:szCs w:val="16"/>
              </w:rPr>
              <w:t>Note</w:t>
            </w:r>
            <w:r w:rsidR="00E0158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D7B38">
              <w:rPr>
                <w:rFonts w:ascii="Calibri" w:hAnsi="Calibri" w:cs="Calibri"/>
                <w:b/>
                <w:i/>
                <w:sz w:val="16"/>
                <w:szCs w:val="16"/>
              </w:rPr>
              <w:t>Native Title Registrar</w:t>
            </w:r>
            <w:r w:rsidRPr="00DD7B38">
              <w:rPr>
                <w:rFonts w:ascii="Calibri" w:hAnsi="Calibri" w:cs="Calibri"/>
                <w:sz w:val="16"/>
                <w:szCs w:val="16"/>
              </w:rPr>
              <w:t xml:space="preserve"> and </w:t>
            </w:r>
            <w:r w:rsidRPr="00DD7B38">
              <w:rPr>
                <w:rFonts w:ascii="Calibri" w:hAnsi="Calibri" w:cs="Calibri"/>
                <w:b/>
                <w:i/>
                <w:sz w:val="16"/>
                <w:szCs w:val="16"/>
              </w:rPr>
              <w:t>Register of Native Title Claims</w:t>
            </w:r>
            <w:r w:rsidRPr="00DD7B38">
              <w:rPr>
                <w:rFonts w:ascii="Calibri" w:hAnsi="Calibri" w:cs="Calibri"/>
                <w:sz w:val="16"/>
                <w:szCs w:val="16"/>
              </w:rPr>
              <w:t xml:space="preserve"> are defined in the Dictionary.</w:t>
            </w:r>
          </w:p>
          <w:p w14:paraId="35BF374F" w14:textId="6DB2944B" w:rsidR="001A10E5" w:rsidRPr="00DD7B38" w:rsidRDefault="001A10E5" w:rsidP="001A10E5">
            <w:pPr>
              <w:pStyle w:val="ZR2"/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>(3)</w:t>
            </w:r>
            <w:r w:rsidR="00E0158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However, a person who is not a party is not entitled to inspect a document that the Court has ordered:</w:t>
            </w:r>
          </w:p>
          <w:p w14:paraId="03B9AE17" w14:textId="77777777" w:rsidR="001A10E5" w:rsidRPr="00DD7B38" w:rsidRDefault="001A10E5" w:rsidP="001A10E5">
            <w:pPr>
              <w:pStyle w:val="P1"/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(a)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be confidential; or</w:t>
            </w:r>
          </w:p>
          <w:p w14:paraId="05585A69" w14:textId="77777777" w:rsidR="001A10E5" w:rsidRPr="00DD7B38" w:rsidRDefault="001A10E5" w:rsidP="001A10E5">
            <w:pPr>
              <w:pStyle w:val="P1"/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(b)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is forbidden from, or restricted from publication to, the person or a class of persons of which the person is a member.</w:t>
            </w:r>
          </w:p>
          <w:p w14:paraId="29912E82" w14:textId="77777777" w:rsidR="001A10E5" w:rsidRPr="00DD7B38" w:rsidRDefault="001A10E5" w:rsidP="001A10E5">
            <w:pPr>
              <w:pStyle w:val="Note"/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i/>
                <w:sz w:val="16"/>
                <w:szCs w:val="16"/>
              </w:rPr>
              <w:t>Note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For the prohibition of publication of evidence or of the name of a party or witness, see sections 37AF and 37AI of the Act.</w:t>
            </w:r>
          </w:p>
          <w:p w14:paraId="41B20C31" w14:textId="31C41090" w:rsidR="001A10E5" w:rsidRPr="00DD7B38" w:rsidRDefault="001A10E5" w:rsidP="001A10E5">
            <w:pPr>
              <w:pStyle w:val="R2"/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>(4)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</w:r>
            <w:r w:rsidR="00E0158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D7B38">
              <w:rPr>
                <w:rFonts w:ascii="Calibri" w:hAnsi="Calibri" w:cs="Calibri"/>
                <w:sz w:val="16"/>
                <w:szCs w:val="16"/>
              </w:rPr>
              <w:t>A person may apply to the Court for leave to inspect a document that the person is not otherwise entitled to inspect.</w:t>
            </w:r>
          </w:p>
          <w:p w14:paraId="668A7AE8" w14:textId="7835C8E4" w:rsidR="001A10E5" w:rsidRPr="00DD7B38" w:rsidRDefault="001A10E5" w:rsidP="001A10E5">
            <w:pPr>
              <w:pStyle w:val="ZR2"/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>(5)</w:t>
            </w:r>
            <w:r w:rsidR="00E0158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A person may be given a copy of a document, except a copy of the transcript in the proceeding, if the person:</w:t>
            </w:r>
          </w:p>
          <w:p w14:paraId="6999FE94" w14:textId="77777777" w:rsidR="001A10E5" w:rsidRPr="00DD7B38" w:rsidRDefault="001A10E5" w:rsidP="001A10E5">
            <w:pPr>
              <w:pStyle w:val="P1"/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(a)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 xml:space="preserve"> is entitled to inspect the document; and</w:t>
            </w:r>
          </w:p>
          <w:p w14:paraId="53C86DF9" w14:textId="77777777" w:rsidR="001A10E5" w:rsidRPr="00DD7B38" w:rsidRDefault="001A10E5" w:rsidP="001A10E5">
            <w:pPr>
              <w:pStyle w:val="P1"/>
              <w:spacing w:before="20" w:after="2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(b)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 xml:space="preserve"> has paid the prescribed fee.</w:t>
            </w:r>
          </w:p>
          <w:p w14:paraId="4B2FCD1C" w14:textId="77777777" w:rsidR="001A10E5" w:rsidRPr="00DD7B38" w:rsidRDefault="001A10E5" w:rsidP="001A10E5">
            <w:pPr>
              <w:pStyle w:val="Note"/>
              <w:spacing w:before="0" w:line="240" w:lineRule="auto"/>
              <w:ind w:right="0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i/>
                <w:sz w:val="16"/>
                <w:szCs w:val="16"/>
              </w:rPr>
              <w:t>Note 1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 xml:space="preserve">For the prescribed fee, see the </w:t>
            </w:r>
            <w:r w:rsidRPr="00DD7B38">
              <w:rPr>
                <w:rFonts w:ascii="Calibri" w:hAnsi="Calibri" w:cs="Calibri"/>
                <w:i/>
                <w:iCs/>
                <w:sz w:val="16"/>
                <w:szCs w:val="16"/>
              </w:rPr>
              <w:t>Federal Court and Federal Circuit and Family Court Regulations 2012</w:t>
            </w:r>
            <w:r w:rsidRPr="00DD7B38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03DC9B58" w14:textId="54500D01" w:rsidR="001A10E5" w:rsidRPr="00DD7B38" w:rsidRDefault="001A10E5" w:rsidP="001A10E5">
            <w:pPr>
              <w:pStyle w:val="Note"/>
              <w:spacing w:before="0" w:line="240" w:lineRule="auto"/>
              <w:ind w:right="0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i/>
                <w:sz w:val="16"/>
                <w:szCs w:val="16"/>
              </w:rPr>
              <w:t>Note 2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If there is no order that a transcript is confidential, a person may, on payment of the applicable charge, obtain a copy of</w:t>
            </w:r>
            <w:r w:rsidR="00AC057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AC0572">
              <w:rPr>
                <w:rFonts w:ascii="Calibri" w:hAnsi="Calibri" w:cs="Calibri"/>
                <w:sz w:val="16"/>
                <w:szCs w:val="16"/>
              </w:rPr>
              <w:br/>
            </w:r>
            <w:r w:rsidRPr="00DD7B38">
              <w:rPr>
                <w:rFonts w:ascii="Calibri" w:hAnsi="Calibri" w:cs="Calibri"/>
                <w:sz w:val="16"/>
                <w:szCs w:val="16"/>
              </w:rPr>
              <w:t>the transcript of a proceeding from the Court’s transcript provider.</w:t>
            </w:r>
          </w:p>
          <w:p w14:paraId="41402F39" w14:textId="77777777" w:rsidR="001A10E5" w:rsidRPr="00DD7B38" w:rsidRDefault="001A10E5" w:rsidP="001A10E5">
            <w:pPr>
              <w:pStyle w:val="Note"/>
              <w:spacing w:before="0" w:line="240" w:lineRule="auto"/>
              <w:ind w:right="0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i/>
                <w:sz w:val="16"/>
                <w:szCs w:val="16"/>
              </w:rPr>
              <w:t>Note 3</w:t>
            </w:r>
            <w:r w:rsidRPr="00DD7B38">
              <w:rPr>
                <w:rFonts w:ascii="Calibri" w:hAnsi="Calibri" w:cs="Calibri"/>
                <w:sz w:val="16"/>
                <w:szCs w:val="16"/>
              </w:rPr>
              <w:tab/>
              <w:t>For proceedings under the Trans-Tasman Proceedings Act, see also rule 34.70.</w:t>
            </w:r>
          </w:p>
          <w:p w14:paraId="0E78C738" w14:textId="77777777" w:rsidR="00841585" w:rsidRPr="00ED495C" w:rsidRDefault="001A10E5" w:rsidP="00841585">
            <w:pPr>
              <w:spacing w:before="180" w:after="20"/>
              <w:rPr>
                <w:rFonts w:ascii="Calibri" w:hAnsi="Calibri" w:cs="Calibri"/>
                <w:b/>
                <w:sz w:val="18"/>
                <w:szCs w:val="18"/>
              </w:rPr>
            </w:pPr>
            <w:r w:rsidRPr="00ED495C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Federal Court (Corporations) Rules 2000 - </w:t>
            </w:r>
            <w:r w:rsidRPr="00ED495C">
              <w:rPr>
                <w:rFonts w:ascii="Calibri" w:hAnsi="Calibri" w:cs="Calibri"/>
                <w:b/>
                <w:sz w:val="18"/>
                <w:szCs w:val="18"/>
              </w:rPr>
              <w:t>Rule 11.3(7)</w:t>
            </w:r>
          </w:p>
          <w:p w14:paraId="566076A5" w14:textId="4A8132DB" w:rsidR="001A10E5" w:rsidRPr="00DD7B38" w:rsidRDefault="001A10E5" w:rsidP="001A10E5">
            <w:pPr>
              <w:spacing w:before="120" w:after="20"/>
              <w:rPr>
                <w:rFonts w:ascii="Calibri" w:hAnsi="Calibri" w:cs="Calibri"/>
                <w:sz w:val="16"/>
                <w:szCs w:val="16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>Unless the Court otherwise orders, an affidavit in support of an application for examination summons is not available for inspection by any person.</w:t>
            </w:r>
          </w:p>
          <w:p w14:paraId="2C538435" w14:textId="77777777" w:rsidR="00841585" w:rsidRPr="00ED495C" w:rsidRDefault="001A10E5" w:rsidP="00841585">
            <w:pPr>
              <w:keepNext/>
              <w:keepLines/>
              <w:spacing w:before="180" w:after="100"/>
              <w:rPr>
                <w:rFonts w:ascii="Calibri" w:hAnsi="Calibri" w:cs="Calibri"/>
                <w:b/>
                <w:sz w:val="18"/>
                <w:szCs w:val="18"/>
              </w:rPr>
            </w:pPr>
            <w:r w:rsidRPr="00ED495C">
              <w:rPr>
                <w:rFonts w:ascii="Calibri" w:hAnsi="Calibri" w:cs="Calibri"/>
                <w:b/>
                <w:i/>
                <w:sz w:val="18"/>
                <w:szCs w:val="18"/>
              </w:rPr>
              <w:t>Federal Court (Bankruptcy) Rules 201</w:t>
            </w:r>
            <w:r w:rsidR="002C69B6" w:rsidRPr="00ED495C">
              <w:rPr>
                <w:rFonts w:ascii="Calibri" w:hAnsi="Calibri" w:cs="Calibri"/>
                <w:b/>
                <w:i/>
                <w:sz w:val="18"/>
                <w:szCs w:val="18"/>
              </w:rPr>
              <w:t>6</w:t>
            </w:r>
            <w:bookmarkStart w:id="19" w:name="paragraph"/>
            <w:r w:rsidRPr="00ED495C">
              <w:rPr>
                <w:rFonts w:ascii="Calibri" w:hAnsi="Calibri" w:cs="Calibri"/>
                <w:b/>
                <w:sz w:val="18"/>
                <w:szCs w:val="18"/>
              </w:rPr>
              <w:t xml:space="preserve"> - Rule 6.12(6)</w:t>
            </w:r>
          </w:p>
          <w:p w14:paraId="572544FE" w14:textId="3AAF1155" w:rsidR="00D33A0B" w:rsidRPr="00EF4E74" w:rsidRDefault="001A10E5" w:rsidP="002C69B6">
            <w:pPr>
              <w:keepNext/>
              <w:keepLines/>
              <w:spacing w:before="100" w:after="100"/>
              <w:rPr>
                <w:rFonts w:ascii="Calibri" w:hAnsi="Calibri" w:cs="Calibri"/>
                <w:noProof/>
                <w:color w:val="000000" w:themeColor="text1"/>
                <w:sz w:val="16"/>
                <w:szCs w:val="16"/>
                <w:lang w:eastAsia="en-AU"/>
              </w:rPr>
            </w:pPr>
            <w:r w:rsidRPr="00DD7B38">
              <w:rPr>
                <w:rFonts w:ascii="Calibri" w:hAnsi="Calibri" w:cs="Calibri"/>
                <w:sz w:val="16"/>
                <w:szCs w:val="16"/>
              </w:rPr>
              <w:t>If the affidavit is (a) filed in a sealed envelope in accordance with sub</w:t>
            </w:r>
            <w:r w:rsidR="00A95252">
              <w:rPr>
                <w:rFonts w:ascii="Calibri" w:hAnsi="Calibri" w:cs="Calibri"/>
                <w:sz w:val="16"/>
                <w:szCs w:val="16"/>
              </w:rPr>
              <w:t>-</w:t>
            </w:r>
            <w:r w:rsidRPr="00DD7B38">
              <w:rPr>
                <w:rFonts w:ascii="Calibri" w:hAnsi="Calibri" w:cs="Calibri"/>
                <w:sz w:val="16"/>
                <w:szCs w:val="16"/>
              </w:rPr>
              <w:t>rule (4); or</w:t>
            </w:r>
            <w:bookmarkStart w:id="20" w:name="confidential"/>
            <w:bookmarkEnd w:id="19"/>
            <w:bookmarkEnd w:id="20"/>
            <w:r w:rsidRPr="00DD7B38">
              <w:rPr>
                <w:rFonts w:ascii="Calibri" w:hAnsi="Calibri" w:cs="Calibri"/>
                <w:sz w:val="16"/>
                <w:szCs w:val="16"/>
              </w:rPr>
              <w:t xml:space="preserve"> (b) marked "Confidential" as permitted by </w:t>
            </w:r>
            <w:hyperlink r:id="rId28" w:anchor="paragraph" w:history="1">
              <w:r w:rsidRPr="00DD7B38">
                <w:rPr>
                  <w:rFonts w:ascii="Calibri" w:hAnsi="Calibri" w:cs="Calibri"/>
                  <w:sz w:val="16"/>
                  <w:szCs w:val="16"/>
                </w:rPr>
                <w:t>paragraph</w:t>
              </w:r>
            </w:hyperlink>
            <w:r w:rsidRPr="00DD7B38">
              <w:rPr>
                <w:rFonts w:ascii="Calibri" w:hAnsi="Calibri" w:cs="Calibri"/>
                <w:sz w:val="16"/>
                <w:szCs w:val="16"/>
              </w:rPr>
              <w:t> (5)(a)</w:t>
            </w:r>
            <w:bookmarkStart w:id="21" w:name="subsection2"/>
            <w:bookmarkEnd w:id="21"/>
            <w:r w:rsidRPr="00DD7B38">
              <w:rPr>
                <w:rFonts w:ascii="Calibri" w:hAnsi="Calibri" w:cs="Calibri"/>
                <w:sz w:val="16"/>
                <w:szCs w:val="16"/>
              </w:rPr>
              <w:t xml:space="preserve"> a Registrar must not make it available for public inspection.</w:t>
            </w:r>
          </w:p>
        </w:tc>
      </w:tr>
    </w:tbl>
    <w:p w14:paraId="7B295559" w14:textId="3BD9D860" w:rsidR="002C69B6" w:rsidRDefault="002C69B6"/>
    <w:p w14:paraId="2F4EB71D" w14:textId="77777777" w:rsidR="00D56D31" w:rsidRDefault="00D56D31"/>
    <w:tbl>
      <w:tblPr>
        <w:tblStyle w:val="Style1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998"/>
        <w:gridCol w:w="283"/>
        <w:gridCol w:w="679"/>
        <w:gridCol w:w="4112"/>
      </w:tblGrid>
      <w:tr w:rsidR="002211C2" w14:paraId="24527231" w14:textId="77777777" w:rsidTr="004F3780">
        <w:tc>
          <w:tcPr>
            <w:tcW w:w="9894" w:type="dxa"/>
            <w:gridSpan w:val="5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</w:tcPr>
          <w:p w14:paraId="66308AF5" w14:textId="69D74702" w:rsidR="00867BB0" w:rsidRDefault="00867BB0" w:rsidP="00E01580">
            <w:pPr>
              <w:spacing w:before="60" w:after="60"/>
              <w:jc w:val="center"/>
              <w:rPr>
                <w:rFonts w:cs="Arial"/>
                <w:b/>
              </w:rPr>
            </w:pPr>
            <w:r w:rsidRPr="004D5CC4">
              <w:rPr>
                <w:rFonts w:cs="Arial"/>
                <w:b/>
                <w:sz w:val="36"/>
                <w:szCs w:val="36"/>
              </w:rPr>
              <w:lastRenderedPageBreak/>
              <w:t xml:space="preserve">COURT </w:t>
            </w:r>
            <w:r w:rsidR="002211C2" w:rsidRPr="004D5CC4">
              <w:rPr>
                <w:rFonts w:cs="Arial"/>
                <w:b/>
                <w:sz w:val="36"/>
                <w:szCs w:val="36"/>
              </w:rPr>
              <w:t>USE ONLY</w:t>
            </w:r>
            <w:r w:rsidRPr="004D5CC4">
              <w:rPr>
                <w:rFonts w:cs="Arial"/>
                <w:b/>
                <w:sz w:val="36"/>
                <w:szCs w:val="36"/>
              </w:rPr>
              <w:t xml:space="preserve"> </w:t>
            </w:r>
            <w:r>
              <w:rPr>
                <w:rFonts w:cs="Arial"/>
                <w:b/>
                <w:sz w:val="32"/>
                <w:szCs w:val="32"/>
              </w:rPr>
              <w:t>(applicant not to complete)</w:t>
            </w:r>
          </w:p>
          <w:p w14:paraId="52731751" w14:textId="713A5735" w:rsidR="007C3BAB" w:rsidRPr="00E01580" w:rsidRDefault="007C3BAB" w:rsidP="00E01580">
            <w:pPr>
              <w:spacing w:before="60" w:after="60"/>
              <w:jc w:val="center"/>
              <w:rPr>
                <w:rFonts w:cs="Arial"/>
                <w:b/>
              </w:rPr>
            </w:pPr>
            <w:r w:rsidRPr="00E01580">
              <w:rPr>
                <w:rFonts w:cs="Arial"/>
                <w:b/>
              </w:rPr>
              <w:t>DECISION IN RELATION TO REQUEST BY NON-PARTY FOR ACCESS TO COURT DOCUMENT</w:t>
            </w:r>
            <w:r w:rsidR="00EE4889">
              <w:rPr>
                <w:rFonts w:cs="Arial"/>
                <w:b/>
              </w:rPr>
              <w:t>(</w:t>
            </w:r>
            <w:r w:rsidRPr="00E01580">
              <w:rPr>
                <w:rFonts w:cs="Arial"/>
                <w:b/>
              </w:rPr>
              <w:t>S</w:t>
            </w:r>
            <w:r w:rsidR="00EE4889">
              <w:rPr>
                <w:rFonts w:cs="Arial"/>
                <w:b/>
              </w:rPr>
              <w:t>)</w:t>
            </w:r>
          </w:p>
        </w:tc>
      </w:tr>
      <w:tr w:rsidR="00C55B8D" w14:paraId="2EA1619B" w14:textId="77777777" w:rsidTr="004F3780">
        <w:tc>
          <w:tcPr>
            <w:tcW w:w="9894" w:type="dxa"/>
            <w:gridSpan w:val="5"/>
            <w:tcBorders>
              <w:top w:val="single" w:sz="12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03E6218A" w14:textId="77777777" w:rsidR="00C55B8D" w:rsidRPr="004D5CC4" w:rsidRDefault="00C55B8D" w:rsidP="00C55B8D"/>
        </w:tc>
      </w:tr>
      <w:tr w:rsidR="00C55B8D" w:rsidRPr="00EE4889" w14:paraId="19803D3E" w14:textId="77777777" w:rsidTr="00C55B8D">
        <w:tc>
          <w:tcPr>
            <w:tcW w:w="4820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BFBFBF" w:themeFill="background1" w:themeFillShade="BF"/>
          </w:tcPr>
          <w:p w14:paraId="12D80997" w14:textId="0DE9A265" w:rsidR="00C55B8D" w:rsidRPr="00E01580" w:rsidRDefault="00C55B8D" w:rsidP="00E01580">
            <w:pPr>
              <w:spacing w:before="60" w:after="6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6C0D49">
              <w:rPr>
                <w:rFonts w:cstheme="minorHAnsi"/>
                <w:b/>
                <w:sz w:val="20"/>
                <w:szCs w:val="20"/>
              </w:rPr>
              <w:t>Request for ‘unrestricted’ document(s)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E01580">
              <w:rPr>
                <w:rFonts w:cstheme="minorHAnsi"/>
                <w:b/>
                <w:sz w:val="20"/>
                <w:szCs w:val="20"/>
                <w:u w:val="single"/>
              </w:rPr>
              <w:t>B</w:t>
            </w:r>
            <w:r w:rsidRPr="00E01580">
              <w:rPr>
                <w:rFonts w:cstheme="minorHAnsi"/>
                <w:b/>
                <w:bCs/>
                <w:sz w:val="20"/>
                <w:szCs w:val="20"/>
                <w:u w:val="single"/>
              </w:rPr>
              <w:t>EFORE</w:t>
            </w:r>
            <w:r w:rsidRPr="006C0D49">
              <w:rPr>
                <w:rFonts w:cstheme="minorHAnsi"/>
                <w:b/>
                <w:bCs/>
                <w:sz w:val="20"/>
                <w:szCs w:val="20"/>
              </w:rPr>
              <w:t xml:space="preserve"> the 1</w:t>
            </w:r>
            <w:r w:rsidRPr="006C0D49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Pr="006C0D49">
              <w:rPr>
                <w:rFonts w:cstheme="minorHAnsi"/>
                <w:b/>
                <w:bCs/>
                <w:sz w:val="20"/>
                <w:szCs w:val="20"/>
              </w:rPr>
              <w:t xml:space="preserve"> directions hearing or hearing</w:t>
            </w:r>
          </w:p>
        </w:tc>
        <w:tc>
          <w:tcPr>
            <w:tcW w:w="283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7C2F4CA8" w14:textId="63C344FC" w:rsidR="00C55B8D" w:rsidRPr="00E01580" w:rsidRDefault="00C55B8D" w:rsidP="00C55B8D"/>
        </w:tc>
        <w:tc>
          <w:tcPr>
            <w:tcW w:w="4791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BFBFBF" w:themeFill="background1" w:themeFillShade="BF"/>
          </w:tcPr>
          <w:p w14:paraId="371E1E61" w14:textId="338A8A53" w:rsidR="00C55B8D" w:rsidRPr="00E01580" w:rsidRDefault="00C55B8D" w:rsidP="00E01580">
            <w:pPr>
              <w:spacing w:before="60" w:after="6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6C0D49">
              <w:rPr>
                <w:rFonts w:cstheme="minorHAnsi"/>
                <w:b/>
                <w:sz w:val="20"/>
                <w:szCs w:val="20"/>
              </w:rPr>
              <w:t>All requests for ‘restricted’ document(s) regardless of time, require leave</w:t>
            </w:r>
          </w:p>
        </w:tc>
      </w:tr>
      <w:tr w:rsidR="00C55B8D" w:rsidRPr="00EE4889" w14:paraId="3F4AC10B" w14:textId="77777777" w:rsidTr="00124D74">
        <w:trPr>
          <w:trHeight w:val="373"/>
        </w:trPr>
        <w:tc>
          <w:tcPr>
            <w:tcW w:w="822" w:type="dxa"/>
            <w:tcBorders>
              <w:top w:val="nil"/>
              <w:left w:val="single" w:sz="12" w:space="0" w:color="7F7F7F" w:themeColor="text1" w:themeTint="80"/>
              <w:bottom w:val="single" w:sz="12" w:space="0" w:color="D9D9D9" w:themeColor="background1" w:themeShade="D9"/>
              <w:right w:val="nil"/>
            </w:tcBorders>
            <w:shd w:val="clear" w:color="auto" w:fill="auto"/>
          </w:tcPr>
          <w:p w14:paraId="67BA2A5E" w14:textId="491C9C62" w:rsidR="00C55B8D" w:rsidRPr="00DC3E7D" w:rsidRDefault="00C55B8D" w:rsidP="00C55B8D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napToGrid w:val="0"/>
                <w:sz w:val="20"/>
                <w:szCs w:val="20"/>
              </w:rPr>
            </w:r>
            <w:r w:rsidR="00000000">
              <w:rPr>
                <w:rFonts w:cstheme="minorHAnsi"/>
                <w:snapToGrid w:val="0"/>
                <w:sz w:val="20"/>
                <w:szCs w:val="20"/>
              </w:rPr>
              <w:fldChar w:fldCharType="separate"/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998" w:type="dxa"/>
            <w:tcBorders>
              <w:top w:val="nil"/>
              <w:left w:val="nil"/>
              <w:bottom w:val="single" w:sz="12" w:space="0" w:color="D9D9D9" w:themeColor="background1" w:themeShade="D9"/>
              <w:right w:val="single" w:sz="12" w:space="0" w:color="7F7F7F" w:themeColor="text1" w:themeTint="80"/>
            </w:tcBorders>
            <w:shd w:val="clear" w:color="auto" w:fill="auto"/>
          </w:tcPr>
          <w:p w14:paraId="6BF856DA" w14:textId="2D6D4060" w:rsidR="00C55B8D" w:rsidRPr="00E01580" w:rsidRDefault="00C55B8D" w:rsidP="00C55B8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C3E7D">
              <w:rPr>
                <w:rFonts w:cstheme="minorHAnsi"/>
                <w:sz w:val="20"/>
                <w:szCs w:val="20"/>
              </w:rPr>
              <w:t xml:space="preserve">I </w:t>
            </w:r>
            <w:r w:rsidRPr="00DC3E7D">
              <w:rPr>
                <w:rFonts w:cstheme="minorHAnsi"/>
                <w:b/>
                <w:sz w:val="20"/>
                <w:szCs w:val="20"/>
              </w:rPr>
              <w:t>grant leave</w:t>
            </w:r>
            <w:r w:rsidRPr="00B6752A">
              <w:rPr>
                <w:rFonts w:cstheme="minorHAnsi"/>
                <w:sz w:val="20"/>
                <w:szCs w:val="20"/>
              </w:rPr>
              <w:t xml:space="preserve">, pursuant to Rule 2.32(4) of the </w:t>
            </w:r>
            <w:r w:rsidRPr="005D1312">
              <w:rPr>
                <w:rFonts w:cstheme="minorHAnsi"/>
                <w:i/>
                <w:sz w:val="20"/>
                <w:szCs w:val="20"/>
              </w:rPr>
              <w:t>Federal Court Rules 2011</w:t>
            </w:r>
            <w:r w:rsidRPr="005D1312">
              <w:rPr>
                <w:rFonts w:cstheme="minorHAnsi"/>
                <w:sz w:val="20"/>
                <w:szCs w:val="20"/>
              </w:rPr>
              <w:t>, to</w:t>
            </w:r>
            <w:r w:rsidRPr="00E01580">
              <w:rPr>
                <w:rFonts w:cstheme="minorHAnsi"/>
                <w:sz w:val="20"/>
                <w:szCs w:val="20"/>
              </w:rPr>
              <w:t xml:space="preserve"> </w:t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t xml:space="preserve">inspect the requested unrestricted document(s).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009B6134" w14:textId="3436E700" w:rsidR="00C55B8D" w:rsidRPr="00DC3E7D" w:rsidRDefault="00C55B8D" w:rsidP="00C55B8D"/>
        </w:tc>
        <w:tc>
          <w:tcPr>
            <w:tcW w:w="679" w:type="dxa"/>
            <w:vMerge w:val="restart"/>
            <w:tcBorders>
              <w:top w:val="nil"/>
              <w:left w:val="single" w:sz="12" w:space="0" w:color="7F7F7F" w:themeColor="text1" w:themeTint="80"/>
              <w:bottom w:val="single" w:sz="12" w:space="0" w:color="D9D9D9" w:themeColor="background1" w:themeShade="D9"/>
              <w:right w:val="nil"/>
            </w:tcBorders>
            <w:shd w:val="clear" w:color="auto" w:fill="auto"/>
          </w:tcPr>
          <w:p w14:paraId="3128C8F4" w14:textId="34B36B9E" w:rsidR="00C55B8D" w:rsidRPr="00DC3E7D" w:rsidRDefault="00C55B8D" w:rsidP="00C55B8D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napToGrid w:val="0"/>
                <w:sz w:val="20"/>
                <w:szCs w:val="20"/>
              </w:rPr>
            </w:r>
            <w:r w:rsidR="00000000">
              <w:rPr>
                <w:rFonts w:cstheme="minorHAnsi"/>
                <w:snapToGrid w:val="0"/>
                <w:sz w:val="20"/>
                <w:szCs w:val="20"/>
              </w:rPr>
              <w:fldChar w:fldCharType="separate"/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single" w:sz="12" w:space="0" w:color="D9D9D9" w:themeColor="background1" w:themeShade="D9"/>
              <w:right w:val="single" w:sz="12" w:space="0" w:color="7F7F7F" w:themeColor="text1" w:themeTint="80"/>
            </w:tcBorders>
            <w:shd w:val="clear" w:color="auto" w:fill="auto"/>
          </w:tcPr>
          <w:p w14:paraId="46C2A414" w14:textId="6B2E0D1A" w:rsidR="00C55B8D" w:rsidRDefault="00C55B8D" w:rsidP="00C55B8D">
            <w:pPr>
              <w:pStyle w:val="Default"/>
              <w:spacing w:before="60" w:after="6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01580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E01580">
              <w:rPr>
                <w:rFonts w:asciiTheme="minorHAnsi" w:hAnsiTheme="minorHAnsi" w:cstheme="minorHAnsi"/>
                <w:b/>
                <w:sz w:val="20"/>
                <w:szCs w:val="20"/>
              </w:rPr>
              <w:t>grant leave</w:t>
            </w:r>
            <w:r w:rsidRPr="00E01580">
              <w:rPr>
                <w:rFonts w:asciiTheme="minorHAnsi" w:hAnsiTheme="minorHAnsi" w:cstheme="minorHAnsi"/>
                <w:sz w:val="20"/>
                <w:szCs w:val="20"/>
              </w:rPr>
              <w:t xml:space="preserve">, pursuant to Rule 2.32(4) of the </w:t>
            </w:r>
            <w:r w:rsidRPr="00E01580">
              <w:rPr>
                <w:rFonts w:asciiTheme="minorHAnsi" w:hAnsiTheme="minorHAnsi" w:cstheme="minorHAnsi"/>
                <w:i/>
                <w:sz w:val="20"/>
                <w:szCs w:val="20"/>
              </w:rPr>
              <w:t>Federal Court Rules 2011</w:t>
            </w:r>
            <w:r w:rsidRPr="00E01580">
              <w:rPr>
                <w:rFonts w:asciiTheme="minorHAnsi" w:hAnsiTheme="minorHAnsi" w:cstheme="minorHAnsi"/>
                <w:sz w:val="20"/>
                <w:szCs w:val="20"/>
              </w:rPr>
              <w:t xml:space="preserve">, to </w:t>
            </w:r>
            <w:r w:rsidRPr="00E01580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inspect the requested restricted document(s).</w:t>
            </w:r>
          </w:p>
          <w:p w14:paraId="60B99A3A" w14:textId="77777777" w:rsidR="00C55B8D" w:rsidRPr="00E01580" w:rsidRDefault="00C55B8D" w:rsidP="00C55B8D">
            <w:pPr>
              <w:pStyle w:val="Default"/>
              <w:spacing w:before="60" w:after="6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14:paraId="04B217E1" w14:textId="3B123586" w:rsidR="00C55B8D" w:rsidRPr="00E01580" w:rsidRDefault="00C55B8D" w:rsidP="00C55B8D">
            <w:pPr>
              <w:pStyle w:val="Default"/>
              <w:spacing w:before="60" w:after="60"/>
              <w:rPr>
                <w:rFonts w:cstheme="minorHAnsi"/>
                <w:snapToGrid w:val="0"/>
                <w:sz w:val="20"/>
                <w:szCs w:val="20"/>
              </w:rPr>
            </w:pPr>
            <w:r w:rsidRPr="00E01580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NOTE</w:t>
            </w:r>
            <w:r w:rsidRPr="00E01580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: The ACCESS TO DOCUMENTS AND TRANSCRIPTS PRACTICE NOTE (GPN-ACCS) provides, at paragraph 4.3, that access to a restricted document will generally be given where the document has been read in </w:t>
            </w:r>
            <w:r w:rsidRPr="00E01580">
              <w:rPr>
                <w:rFonts w:asciiTheme="minorHAnsi" w:hAnsiTheme="minorHAnsi" w:cstheme="minorHAnsi"/>
                <w:snapToGrid w:val="0"/>
                <w:sz w:val="20"/>
                <w:szCs w:val="20"/>
                <w:u w:val="single"/>
              </w:rPr>
              <w:t>open Court.</w:t>
            </w:r>
          </w:p>
        </w:tc>
      </w:tr>
      <w:tr w:rsidR="00C55B8D" w:rsidRPr="00EE4889" w14:paraId="4B59A5F9" w14:textId="77777777" w:rsidTr="00124D74">
        <w:trPr>
          <w:trHeight w:val="175"/>
        </w:trPr>
        <w:tc>
          <w:tcPr>
            <w:tcW w:w="4820" w:type="dxa"/>
            <w:gridSpan w:val="2"/>
            <w:tcBorders>
              <w:top w:val="single" w:sz="12" w:space="0" w:color="D9D9D9" w:themeColor="background1" w:themeShade="D9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0194173B" w14:textId="37BB83EB" w:rsidR="00C55B8D" w:rsidRPr="00E01580" w:rsidRDefault="00C55B8D" w:rsidP="00C55B8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01580">
              <w:rPr>
                <w:rFonts w:cstheme="minorHAnsi"/>
                <w:b/>
                <w:sz w:val="14"/>
                <w:szCs w:val="14"/>
              </w:rPr>
              <w:t>OR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69082F1A" w14:textId="77777777" w:rsidR="00C55B8D" w:rsidRPr="00E01580" w:rsidRDefault="00C55B8D" w:rsidP="00C55B8D">
            <w:pPr>
              <w:spacing w:before="60" w:after="6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D9D9D9" w:themeColor="background1" w:themeShade="D9"/>
              <w:right w:val="nil"/>
            </w:tcBorders>
            <w:shd w:val="clear" w:color="auto" w:fill="auto"/>
          </w:tcPr>
          <w:p w14:paraId="294BE576" w14:textId="68CF0538" w:rsidR="00C55B8D" w:rsidRPr="00E01580" w:rsidRDefault="00C55B8D" w:rsidP="00C55B8D">
            <w:pPr>
              <w:spacing w:before="60" w:after="6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12" w:space="0" w:color="D9D9D9" w:themeColor="background1" w:themeShade="D9"/>
              <w:right w:val="single" w:sz="12" w:space="0" w:color="7F7F7F" w:themeColor="text1" w:themeTint="80"/>
            </w:tcBorders>
            <w:shd w:val="clear" w:color="auto" w:fill="auto"/>
          </w:tcPr>
          <w:p w14:paraId="5FAEAE18" w14:textId="77777777" w:rsidR="00C55B8D" w:rsidRPr="00E01580" w:rsidRDefault="00C55B8D" w:rsidP="00C55B8D">
            <w:pPr>
              <w:pStyle w:val="Default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5B8D" w:rsidRPr="00EE4889" w14:paraId="4223A09B" w14:textId="77777777" w:rsidTr="00124D74">
        <w:trPr>
          <w:trHeight w:val="584"/>
        </w:trPr>
        <w:tc>
          <w:tcPr>
            <w:tcW w:w="822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shd w:val="clear" w:color="auto" w:fill="auto"/>
          </w:tcPr>
          <w:p w14:paraId="62FE4CA3" w14:textId="6D3BEB53" w:rsidR="00C55B8D" w:rsidRPr="00DC3E7D" w:rsidRDefault="00C55B8D" w:rsidP="00C55B8D">
            <w:pPr>
              <w:spacing w:before="60" w:after="6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napToGrid w:val="0"/>
                <w:sz w:val="20"/>
                <w:szCs w:val="20"/>
              </w:rPr>
            </w:r>
            <w:r w:rsidR="00000000">
              <w:rPr>
                <w:rFonts w:cstheme="minorHAnsi"/>
                <w:snapToGrid w:val="0"/>
                <w:sz w:val="20"/>
                <w:szCs w:val="20"/>
              </w:rPr>
              <w:fldChar w:fldCharType="separate"/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50CEF6E9" w14:textId="3807790E" w:rsidR="00C55B8D" w:rsidRPr="00E01580" w:rsidRDefault="00C55B8D" w:rsidP="00C55B8D">
            <w:pPr>
              <w:rPr>
                <w:rFonts w:cstheme="minorHAnsi"/>
                <w:snapToGrid w:val="0"/>
                <w:sz w:val="20"/>
                <w:szCs w:val="20"/>
              </w:rPr>
            </w:pPr>
            <w:r w:rsidRPr="00DC3E7D">
              <w:rPr>
                <w:rFonts w:cstheme="minorHAnsi"/>
                <w:sz w:val="20"/>
                <w:szCs w:val="20"/>
              </w:rPr>
              <w:t xml:space="preserve">I </w:t>
            </w:r>
            <w:r w:rsidRPr="00DC3E7D">
              <w:rPr>
                <w:rFonts w:cstheme="minorHAnsi"/>
                <w:b/>
                <w:sz w:val="20"/>
                <w:szCs w:val="20"/>
              </w:rPr>
              <w:t>grant leave</w:t>
            </w:r>
            <w:r w:rsidRPr="00DC3E7D">
              <w:rPr>
                <w:rFonts w:cstheme="minorHAnsi"/>
                <w:sz w:val="20"/>
                <w:szCs w:val="20"/>
              </w:rPr>
              <w:t xml:space="preserve">, pursuant to Rule 2.32(4) of the </w:t>
            </w:r>
            <w:r w:rsidRPr="00B6752A">
              <w:rPr>
                <w:rFonts w:cstheme="minorHAnsi"/>
                <w:i/>
                <w:sz w:val="20"/>
                <w:szCs w:val="20"/>
              </w:rPr>
              <w:t>Federal Court Rules 2011</w:t>
            </w:r>
            <w:r w:rsidRPr="00B6752A">
              <w:rPr>
                <w:rFonts w:cstheme="minorHAnsi"/>
                <w:sz w:val="20"/>
                <w:szCs w:val="20"/>
              </w:rPr>
              <w:t xml:space="preserve">, to </w:t>
            </w:r>
            <w:r w:rsidRPr="00B6752A">
              <w:rPr>
                <w:rFonts w:cstheme="minorHAnsi"/>
                <w:snapToGrid w:val="0"/>
                <w:sz w:val="20"/>
                <w:szCs w:val="20"/>
              </w:rPr>
              <w:t>inspect the requested unrestricted document</w:t>
            </w:r>
            <w:r w:rsidRPr="005D1312">
              <w:rPr>
                <w:rFonts w:cstheme="minorHAnsi"/>
                <w:snapToGrid w:val="0"/>
                <w:sz w:val="20"/>
                <w:szCs w:val="20"/>
              </w:rPr>
              <w:t>(s) subject to the following conditions: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7703D353" w14:textId="77777777" w:rsidR="00C55B8D" w:rsidRPr="00E01580" w:rsidRDefault="00C55B8D" w:rsidP="00C55B8D">
            <w:pPr>
              <w:spacing w:before="60" w:after="6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D9D9D9" w:themeColor="background1" w:themeShade="D9"/>
              <w:right w:val="nil"/>
            </w:tcBorders>
            <w:shd w:val="clear" w:color="auto" w:fill="auto"/>
          </w:tcPr>
          <w:p w14:paraId="2EE31F7D" w14:textId="41D08179" w:rsidR="00C55B8D" w:rsidRPr="00E01580" w:rsidRDefault="00C55B8D" w:rsidP="00C55B8D">
            <w:pPr>
              <w:spacing w:before="60" w:after="6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12" w:space="0" w:color="D9D9D9" w:themeColor="background1" w:themeShade="D9"/>
              <w:right w:val="single" w:sz="12" w:space="0" w:color="7F7F7F" w:themeColor="text1" w:themeTint="80"/>
            </w:tcBorders>
            <w:shd w:val="clear" w:color="auto" w:fill="auto"/>
          </w:tcPr>
          <w:p w14:paraId="5A3BC5E4" w14:textId="77777777" w:rsidR="00C55B8D" w:rsidRPr="00E01580" w:rsidRDefault="00C55B8D" w:rsidP="00C55B8D">
            <w:pPr>
              <w:pStyle w:val="Default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7AFB" w:rsidRPr="00EE4889" w14:paraId="664285C5" w14:textId="77777777" w:rsidTr="001C217A">
        <w:trPr>
          <w:trHeight w:val="1591"/>
        </w:trPr>
        <w:tc>
          <w:tcPr>
            <w:tcW w:w="4820" w:type="dxa"/>
            <w:gridSpan w:val="2"/>
            <w:tcBorders>
              <w:top w:val="nil"/>
              <w:left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7594EA8B" w14:textId="545DA786" w:rsidR="00487AFB" w:rsidRPr="00DC3E7D" w:rsidRDefault="00487AFB" w:rsidP="00C55B8D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83" w:type="dxa"/>
            <w:vMerge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4E3E29A5" w14:textId="77777777" w:rsidR="00487AFB" w:rsidRPr="00E01580" w:rsidRDefault="00487AFB" w:rsidP="00C55B8D">
            <w:pPr>
              <w:spacing w:before="60" w:after="6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D9D9D9" w:themeColor="background1" w:themeShade="D9"/>
              <w:right w:val="nil"/>
            </w:tcBorders>
            <w:shd w:val="clear" w:color="auto" w:fill="auto"/>
          </w:tcPr>
          <w:p w14:paraId="6CF6D9D8" w14:textId="6600F830" w:rsidR="00487AFB" w:rsidRPr="00E01580" w:rsidRDefault="00487AFB" w:rsidP="00C55B8D">
            <w:pPr>
              <w:spacing w:before="60" w:after="6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12" w:space="0" w:color="D9D9D9" w:themeColor="background1" w:themeShade="D9"/>
              <w:right w:val="single" w:sz="12" w:space="0" w:color="7F7F7F" w:themeColor="text1" w:themeTint="80"/>
            </w:tcBorders>
            <w:shd w:val="clear" w:color="auto" w:fill="auto"/>
          </w:tcPr>
          <w:p w14:paraId="55101D57" w14:textId="77777777" w:rsidR="00487AFB" w:rsidRPr="00E01580" w:rsidRDefault="00487AFB" w:rsidP="00C55B8D">
            <w:pPr>
              <w:pStyle w:val="Default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5B8D" w:rsidRPr="00EE4889" w14:paraId="12FE749A" w14:textId="77777777" w:rsidTr="00C55B8D">
        <w:tc>
          <w:tcPr>
            <w:tcW w:w="4820" w:type="dxa"/>
            <w:gridSpan w:val="2"/>
            <w:tcBorders>
              <w:top w:val="single" w:sz="12" w:space="0" w:color="D9D9D9" w:themeColor="background1" w:themeShade="D9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56A119FD" w14:textId="6DC20BA6" w:rsidR="00C55B8D" w:rsidRPr="00E01580" w:rsidRDefault="00C55B8D" w:rsidP="00C55B8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01580">
              <w:rPr>
                <w:rFonts w:cstheme="minorHAnsi"/>
                <w:b/>
                <w:sz w:val="14"/>
                <w:szCs w:val="14"/>
              </w:rPr>
              <w:t>OR</w:t>
            </w:r>
          </w:p>
        </w:tc>
        <w:tc>
          <w:tcPr>
            <w:tcW w:w="283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6ECBB9A5" w14:textId="72C88EDD" w:rsidR="00C55B8D" w:rsidRPr="00E01580" w:rsidDel="00E45B19" w:rsidRDefault="00C55B8D" w:rsidP="00C55B8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791" w:type="dxa"/>
            <w:gridSpan w:val="2"/>
            <w:tcBorders>
              <w:top w:val="single" w:sz="12" w:space="0" w:color="D9D9D9" w:themeColor="background1" w:themeShade="D9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227238EC" w14:textId="10BD35E9" w:rsidR="00C55B8D" w:rsidRPr="00E01580" w:rsidDel="00E45B19" w:rsidRDefault="00C55B8D" w:rsidP="00C55B8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01580">
              <w:rPr>
                <w:rFonts w:cstheme="minorHAnsi"/>
                <w:b/>
                <w:sz w:val="14"/>
                <w:szCs w:val="14"/>
              </w:rPr>
              <w:t>OR</w:t>
            </w:r>
          </w:p>
        </w:tc>
      </w:tr>
      <w:tr w:rsidR="00C55B8D" w:rsidRPr="00EE4889" w14:paraId="270CBF2D" w14:textId="77777777" w:rsidTr="00C55B8D">
        <w:tc>
          <w:tcPr>
            <w:tcW w:w="822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shd w:val="clear" w:color="auto" w:fill="auto"/>
          </w:tcPr>
          <w:p w14:paraId="28FF34F7" w14:textId="77777777" w:rsidR="00C55B8D" w:rsidRPr="00DC3E7D" w:rsidRDefault="00C55B8D" w:rsidP="00C55B8D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napToGrid w:val="0"/>
                <w:sz w:val="20"/>
                <w:szCs w:val="20"/>
              </w:rPr>
            </w:r>
            <w:r w:rsidR="00000000">
              <w:rPr>
                <w:rFonts w:cstheme="minorHAnsi"/>
                <w:snapToGrid w:val="0"/>
                <w:sz w:val="20"/>
                <w:szCs w:val="20"/>
              </w:rPr>
              <w:fldChar w:fldCharType="separate"/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619FBA13" w14:textId="1B54BDF0" w:rsidR="00C55B8D" w:rsidRPr="00E01580" w:rsidRDefault="00C55B8D" w:rsidP="00C55B8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6752A">
              <w:rPr>
                <w:rFonts w:cstheme="minorHAnsi"/>
                <w:sz w:val="20"/>
                <w:szCs w:val="20"/>
              </w:rPr>
              <w:t xml:space="preserve">I </w:t>
            </w:r>
            <w:r w:rsidRPr="00B6752A">
              <w:rPr>
                <w:rFonts w:cstheme="minorHAnsi"/>
                <w:b/>
                <w:sz w:val="20"/>
                <w:szCs w:val="20"/>
              </w:rPr>
              <w:t>do not grant leave</w:t>
            </w:r>
            <w:r w:rsidRPr="00B6752A">
              <w:rPr>
                <w:rFonts w:cstheme="minorHAnsi"/>
                <w:sz w:val="20"/>
                <w:szCs w:val="20"/>
              </w:rPr>
              <w:t xml:space="preserve">, pursuant to Rule 2.32(4) of the </w:t>
            </w:r>
            <w:r w:rsidRPr="005D1312">
              <w:rPr>
                <w:rFonts w:cstheme="minorHAnsi"/>
                <w:i/>
                <w:sz w:val="20"/>
                <w:szCs w:val="20"/>
              </w:rPr>
              <w:t>Federal Court Rules 2011</w:t>
            </w:r>
            <w:r w:rsidRPr="005D1312">
              <w:rPr>
                <w:rFonts w:cstheme="minorHAnsi"/>
                <w:sz w:val="20"/>
                <w:szCs w:val="20"/>
              </w:rPr>
              <w:t xml:space="preserve">, to </w:t>
            </w:r>
            <w:r w:rsidRPr="005D1312">
              <w:rPr>
                <w:rFonts w:cstheme="minorHAnsi"/>
                <w:snapToGrid w:val="0"/>
                <w:sz w:val="20"/>
                <w:szCs w:val="20"/>
              </w:rPr>
              <w:t>inspect the requested unrestricted document</w:t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t>(s) for the following reasons:</w:t>
            </w:r>
          </w:p>
        </w:tc>
        <w:tc>
          <w:tcPr>
            <w:tcW w:w="283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2B12BA59" w14:textId="3D519BE9" w:rsidR="00C55B8D" w:rsidRPr="00DC3E7D" w:rsidRDefault="00C55B8D" w:rsidP="00C55B8D"/>
        </w:tc>
        <w:tc>
          <w:tcPr>
            <w:tcW w:w="679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shd w:val="clear" w:color="auto" w:fill="auto"/>
          </w:tcPr>
          <w:p w14:paraId="47B25CA5" w14:textId="06E176FE" w:rsidR="00C55B8D" w:rsidRPr="00DC3E7D" w:rsidRDefault="00C55B8D" w:rsidP="00C55B8D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napToGrid w:val="0"/>
                <w:sz w:val="20"/>
                <w:szCs w:val="20"/>
              </w:rPr>
            </w:r>
            <w:r w:rsidR="00000000">
              <w:rPr>
                <w:rFonts w:cstheme="minorHAnsi"/>
                <w:snapToGrid w:val="0"/>
                <w:sz w:val="20"/>
                <w:szCs w:val="20"/>
              </w:rPr>
              <w:fldChar w:fldCharType="separate"/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2098F571" w14:textId="5E46A148" w:rsidR="00C55B8D" w:rsidRPr="00E01580" w:rsidRDefault="00C55B8D" w:rsidP="00C55B8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6752A">
              <w:rPr>
                <w:rFonts w:cstheme="minorHAnsi"/>
                <w:sz w:val="20"/>
                <w:szCs w:val="20"/>
              </w:rPr>
              <w:t xml:space="preserve">I </w:t>
            </w:r>
            <w:r w:rsidRPr="00B6752A">
              <w:rPr>
                <w:rFonts w:cstheme="minorHAnsi"/>
                <w:b/>
                <w:sz w:val="20"/>
                <w:szCs w:val="20"/>
              </w:rPr>
              <w:t>do not grant leave</w:t>
            </w:r>
            <w:r w:rsidRPr="00B6752A">
              <w:rPr>
                <w:rFonts w:cstheme="minorHAnsi"/>
                <w:sz w:val="20"/>
                <w:szCs w:val="20"/>
              </w:rPr>
              <w:t xml:space="preserve">, pursuant to Rule 2.32(4) of the </w:t>
            </w:r>
            <w:r w:rsidRPr="005D1312">
              <w:rPr>
                <w:rFonts w:cstheme="minorHAnsi"/>
                <w:i/>
                <w:sz w:val="20"/>
                <w:szCs w:val="20"/>
              </w:rPr>
              <w:t>Federal Court Rules 2011</w:t>
            </w:r>
            <w:r w:rsidRPr="005D1312">
              <w:rPr>
                <w:rFonts w:cstheme="minorHAnsi"/>
                <w:sz w:val="20"/>
                <w:szCs w:val="20"/>
              </w:rPr>
              <w:t xml:space="preserve">, to </w:t>
            </w:r>
            <w:r w:rsidRPr="005D1312">
              <w:rPr>
                <w:rFonts w:cstheme="minorHAnsi"/>
                <w:snapToGrid w:val="0"/>
                <w:sz w:val="20"/>
                <w:szCs w:val="20"/>
              </w:rPr>
              <w:t>inspect the requested restricted document</w:t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t>(s) for the following reasons:</w:t>
            </w:r>
          </w:p>
        </w:tc>
      </w:tr>
      <w:tr w:rsidR="00487AFB" w:rsidRPr="00EE4889" w14:paraId="1C86AD9B" w14:textId="77777777" w:rsidTr="00685D48">
        <w:trPr>
          <w:trHeight w:val="397"/>
        </w:trPr>
        <w:tc>
          <w:tcPr>
            <w:tcW w:w="4820" w:type="dxa"/>
            <w:gridSpan w:val="2"/>
            <w:vMerge w:val="restart"/>
            <w:tcBorders>
              <w:top w:val="nil"/>
              <w:left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17320EFD" w14:textId="50EDF0B4" w:rsidR="00487AFB" w:rsidRPr="00EE4889" w:rsidRDefault="00487AFB" w:rsidP="00C55B8D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83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71B0AECF" w14:textId="77777777" w:rsidR="00487AFB" w:rsidRPr="00DC3E7D" w:rsidRDefault="00487AFB" w:rsidP="00C55B8D"/>
        </w:tc>
        <w:tc>
          <w:tcPr>
            <w:tcW w:w="4791" w:type="dxa"/>
            <w:gridSpan w:val="2"/>
            <w:vMerge w:val="restart"/>
            <w:tcBorders>
              <w:top w:val="nil"/>
              <w:left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7675B3FB" w14:textId="55896E12" w:rsidR="00487AFB" w:rsidRPr="00DC3E7D" w:rsidRDefault="00487AFB" w:rsidP="00C55B8D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487AFB" w:rsidRPr="00EE4889" w14:paraId="30893793" w14:textId="77777777" w:rsidTr="00685D48">
        <w:trPr>
          <w:trHeight w:val="397"/>
        </w:trPr>
        <w:tc>
          <w:tcPr>
            <w:tcW w:w="4820" w:type="dxa"/>
            <w:gridSpan w:val="2"/>
            <w:vMerge/>
            <w:tcBorders>
              <w:left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4C4D68B2" w14:textId="77777777" w:rsidR="00487AFB" w:rsidRPr="00EE4889" w:rsidRDefault="00487AFB" w:rsidP="00C55B8D"/>
        </w:tc>
        <w:tc>
          <w:tcPr>
            <w:tcW w:w="283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50B66009" w14:textId="77777777" w:rsidR="00487AFB" w:rsidRPr="00DC3E7D" w:rsidRDefault="00487AFB" w:rsidP="00C55B8D"/>
        </w:tc>
        <w:tc>
          <w:tcPr>
            <w:tcW w:w="4791" w:type="dxa"/>
            <w:gridSpan w:val="2"/>
            <w:vMerge/>
            <w:tcBorders>
              <w:left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7F8F1E45" w14:textId="77777777" w:rsidR="00487AFB" w:rsidRPr="00DC3E7D" w:rsidRDefault="00487AFB" w:rsidP="00C55B8D"/>
        </w:tc>
      </w:tr>
      <w:tr w:rsidR="00487AFB" w:rsidRPr="00EE4889" w14:paraId="1213905C" w14:textId="77777777" w:rsidTr="00685D48">
        <w:trPr>
          <w:trHeight w:val="397"/>
        </w:trPr>
        <w:tc>
          <w:tcPr>
            <w:tcW w:w="4820" w:type="dxa"/>
            <w:gridSpan w:val="2"/>
            <w:vMerge/>
            <w:tcBorders>
              <w:left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24975EB1" w14:textId="77777777" w:rsidR="00487AFB" w:rsidRPr="00EE4889" w:rsidRDefault="00487AFB" w:rsidP="00C55B8D"/>
        </w:tc>
        <w:tc>
          <w:tcPr>
            <w:tcW w:w="283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5E18604D" w14:textId="77777777" w:rsidR="00487AFB" w:rsidRPr="00DC3E7D" w:rsidRDefault="00487AFB" w:rsidP="00C55B8D"/>
        </w:tc>
        <w:tc>
          <w:tcPr>
            <w:tcW w:w="4791" w:type="dxa"/>
            <w:gridSpan w:val="2"/>
            <w:vMerge/>
            <w:tcBorders>
              <w:left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6833460F" w14:textId="77777777" w:rsidR="00487AFB" w:rsidRPr="00DC3E7D" w:rsidRDefault="00487AFB" w:rsidP="00C55B8D"/>
        </w:tc>
      </w:tr>
      <w:tr w:rsidR="00487AFB" w:rsidRPr="00EE4889" w14:paraId="5DFA53D5" w14:textId="77777777" w:rsidTr="00685D48">
        <w:trPr>
          <w:trHeight w:val="397"/>
        </w:trPr>
        <w:tc>
          <w:tcPr>
            <w:tcW w:w="4820" w:type="dxa"/>
            <w:gridSpan w:val="2"/>
            <w:vMerge/>
            <w:tcBorders>
              <w:left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1395C3E9" w14:textId="77777777" w:rsidR="00487AFB" w:rsidRPr="00EE4889" w:rsidRDefault="00487AFB" w:rsidP="00C55B8D"/>
        </w:tc>
        <w:tc>
          <w:tcPr>
            <w:tcW w:w="283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738974BE" w14:textId="77777777" w:rsidR="00487AFB" w:rsidRPr="00DC3E7D" w:rsidRDefault="00487AFB" w:rsidP="00C55B8D"/>
        </w:tc>
        <w:tc>
          <w:tcPr>
            <w:tcW w:w="4791" w:type="dxa"/>
            <w:gridSpan w:val="2"/>
            <w:vMerge/>
            <w:tcBorders>
              <w:left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7B509894" w14:textId="77777777" w:rsidR="00487AFB" w:rsidRPr="00DC3E7D" w:rsidRDefault="00487AFB" w:rsidP="00C55B8D"/>
        </w:tc>
      </w:tr>
      <w:tr w:rsidR="00487AFB" w:rsidRPr="00EE4889" w14:paraId="61948CB4" w14:textId="77777777" w:rsidTr="00685D48">
        <w:trPr>
          <w:trHeight w:val="397"/>
        </w:trPr>
        <w:tc>
          <w:tcPr>
            <w:tcW w:w="4820" w:type="dxa"/>
            <w:gridSpan w:val="2"/>
            <w:vMerge/>
            <w:tcBorders>
              <w:left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3CD8354A" w14:textId="77777777" w:rsidR="00487AFB" w:rsidRPr="00EE4889" w:rsidRDefault="00487AFB" w:rsidP="00C55B8D"/>
        </w:tc>
        <w:tc>
          <w:tcPr>
            <w:tcW w:w="283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4D8132B2" w14:textId="77777777" w:rsidR="00487AFB" w:rsidRPr="00DC3E7D" w:rsidRDefault="00487AFB" w:rsidP="00C55B8D"/>
        </w:tc>
        <w:tc>
          <w:tcPr>
            <w:tcW w:w="4791" w:type="dxa"/>
            <w:gridSpan w:val="2"/>
            <w:vMerge/>
            <w:tcBorders>
              <w:left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7082B632" w14:textId="77777777" w:rsidR="00487AFB" w:rsidRPr="00DC3E7D" w:rsidRDefault="00487AFB" w:rsidP="00C55B8D"/>
        </w:tc>
      </w:tr>
      <w:tr w:rsidR="00487AFB" w:rsidRPr="00EE4889" w14:paraId="3D9A95BA" w14:textId="77777777" w:rsidTr="00685D48">
        <w:trPr>
          <w:trHeight w:val="397"/>
        </w:trPr>
        <w:tc>
          <w:tcPr>
            <w:tcW w:w="4820" w:type="dxa"/>
            <w:gridSpan w:val="2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1AE6CF00" w14:textId="77777777" w:rsidR="00487AFB" w:rsidRPr="00EE4889" w:rsidRDefault="00487AFB" w:rsidP="00C55B8D"/>
        </w:tc>
        <w:tc>
          <w:tcPr>
            <w:tcW w:w="283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</w:tcPr>
          <w:p w14:paraId="23A00546" w14:textId="77777777" w:rsidR="00487AFB" w:rsidRPr="00DC3E7D" w:rsidRDefault="00487AFB" w:rsidP="00C55B8D"/>
        </w:tc>
        <w:tc>
          <w:tcPr>
            <w:tcW w:w="4791" w:type="dxa"/>
            <w:gridSpan w:val="2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4CF712D7" w14:textId="77777777" w:rsidR="00487AFB" w:rsidRPr="00DC3E7D" w:rsidRDefault="00487AFB" w:rsidP="00C55B8D"/>
        </w:tc>
      </w:tr>
      <w:tr w:rsidR="00C55B8D" w:rsidRPr="00EE4889" w14:paraId="4945EDB9" w14:textId="77777777" w:rsidTr="004F3780">
        <w:trPr>
          <w:trHeight w:val="251"/>
        </w:trPr>
        <w:tc>
          <w:tcPr>
            <w:tcW w:w="4820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31D1DF8" w14:textId="77777777" w:rsidR="00C55B8D" w:rsidRPr="00EE4889" w:rsidRDefault="00C55B8D" w:rsidP="00C55B8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3A403" w14:textId="77777777" w:rsidR="00C55B8D" w:rsidRPr="00DC3E7D" w:rsidRDefault="00C55B8D" w:rsidP="00C55B8D"/>
        </w:tc>
        <w:tc>
          <w:tcPr>
            <w:tcW w:w="479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87D6BC" w14:textId="77777777" w:rsidR="00C55B8D" w:rsidRPr="00DC3E7D" w:rsidRDefault="00C55B8D" w:rsidP="00C55B8D"/>
        </w:tc>
      </w:tr>
      <w:tr w:rsidR="00C55B8D" w:rsidRPr="00DC3E7D" w14:paraId="305752CE" w14:textId="77777777" w:rsidTr="00597D49">
        <w:tc>
          <w:tcPr>
            <w:tcW w:w="4820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BFBFBF" w:themeFill="background1" w:themeFillShade="BF"/>
          </w:tcPr>
          <w:p w14:paraId="6A3ADDB6" w14:textId="77777777" w:rsidR="00C55B8D" w:rsidRPr="00EE4889" w:rsidRDefault="00C55B8D" w:rsidP="00C55B8D">
            <w:pPr>
              <w:spacing w:before="60" w:after="60"/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r w:rsidRPr="006C0D49">
              <w:rPr>
                <w:rFonts w:cstheme="minorHAnsi"/>
                <w:b/>
                <w:sz w:val="20"/>
                <w:szCs w:val="20"/>
              </w:rPr>
              <w:t xml:space="preserve">Request for ‘unrestricted’ document(s)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E01580">
              <w:rPr>
                <w:rFonts w:cstheme="minorHAnsi"/>
                <w:b/>
                <w:sz w:val="20"/>
                <w:szCs w:val="20"/>
                <w:u w:val="single"/>
              </w:rPr>
              <w:t>AFTER</w:t>
            </w:r>
            <w:r w:rsidRPr="006C0D49">
              <w:rPr>
                <w:rFonts w:cstheme="minorHAnsi"/>
                <w:b/>
                <w:bCs/>
                <w:sz w:val="20"/>
                <w:szCs w:val="20"/>
              </w:rPr>
              <w:t xml:space="preserve"> the 1</w:t>
            </w:r>
            <w:r w:rsidRPr="006C0D49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Pr="006C0D49">
              <w:rPr>
                <w:rFonts w:cstheme="minorHAnsi"/>
                <w:b/>
                <w:bCs/>
                <w:sz w:val="20"/>
                <w:szCs w:val="20"/>
              </w:rPr>
              <w:t xml:space="preserve"> directions hearing or hearing</w:t>
            </w:r>
          </w:p>
        </w:tc>
        <w:tc>
          <w:tcPr>
            <w:tcW w:w="5074" w:type="dxa"/>
            <w:gridSpan w:val="3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shd w:val="clear" w:color="auto" w:fill="auto"/>
          </w:tcPr>
          <w:p w14:paraId="6F587A43" w14:textId="77777777" w:rsidR="00C55B8D" w:rsidRPr="00DC3E7D" w:rsidRDefault="00C55B8D" w:rsidP="00C55B8D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5B8D" w:rsidRPr="00DC3E7D" w14:paraId="109FDC9F" w14:textId="77777777" w:rsidTr="00597D49">
        <w:trPr>
          <w:trHeight w:val="1657"/>
        </w:trPr>
        <w:tc>
          <w:tcPr>
            <w:tcW w:w="822" w:type="dxa"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110630F" w14:textId="77777777" w:rsidR="00C55B8D" w:rsidRPr="00DC3E7D" w:rsidRDefault="00C55B8D" w:rsidP="00C55B8D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napToGrid w:val="0"/>
                <w:sz w:val="20"/>
                <w:szCs w:val="20"/>
              </w:rPr>
            </w:r>
            <w:r w:rsidR="00000000">
              <w:rPr>
                <w:rFonts w:cstheme="minorHAnsi"/>
                <w:snapToGrid w:val="0"/>
                <w:sz w:val="20"/>
                <w:szCs w:val="20"/>
              </w:rPr>
              <w:fldChar w:fldCharType="separate"/>
            </w:r>
            <w:r w:rsidRPr="00E01580">
              <w:rPr>
                <w:rFonts w:cstheme="minorHAnsi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998" w:type="dxa"/>
            <w:tcBorders>
              <w:top w:val="nil"/>
              <w:left w:val="nil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14:paraId="0CB4EF19" w14:textId="77777777" w:rsidR="00C55B8D" w:rsidRPr="00E01580" w:rsidRDefault="00C55B8D" w:rsidP="00C55B8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C3E7D">
              <w:rPr>
                <w:rFonts w:cstheme="minorHAnsi"/>
                <w:sz w:val="20"/>
                <w:szCs w:val="20"/>
              </w:rPr>
              <w:t xml:space="preserve">Requests for unrestricted </w:t>
            </w:r>
            <w:r w:rsidRPr="00B6752A">
              <w:rPr>
                <w:rFonts w:cstheme="minorHAnsi"/>
                <w:sz w:val="20"/>
                <w:szCs w:val="20"/>
              </w:rPr>
              <w:t>document(s</w:t>
            </w:r>
            <w:r w:rsidRPr="005D1312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DC3E7D">
              <w:rPr>
                <w:rFonts w:cstheme="minorHAnsi"/>
                <w:sz w:val="20"/>
                <w:szCs w:val="20"/>
              </w:rPr>
              <w:t xml:space="preserve">that are not subject to a confidentiality order </w:t>
            </w:r>
            <w:r w:rsidRPr="00E01580">
              <w:rPr>
                <w:rFonts w:cstheme="minorHAnsi"/>
                <w:sz w:val="20"/>
                <w:szCs w:val="20"/>
              </w:rPr>
              <w:t>or otherwise restricted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E01580">
              <w:rPr>
                <w:rFonts w:cstheme="minorHAnsi"/>
                <w:sz w:val="20"/>
                <w:szCs w:val="20"/>
              </w:rPr>
              <w:t xml:space="preserve"> </w:t>
            </w:r>
            <w:r w:rsidRPr="00DC3E7D">
              <w:rPr>
                <w:rFonts w:cstheme="minorHAnsi"/>
                <w:sz w:val="20"/>
                <w:szCs w:val="20"/>
              </w:rPr>
              <w:t xml:space="preserve">do not require leave to be granted </w:t>
            </w:r>
            <w:r w:rsidRPr="00E01580">
              <w:rPr>
                <w:rFonts w:cstheme="minorHAnsi"/>
                <w:sz w:val="20"/>
                <w:szCs w:val="20"/>
                <w:u w:val="single"/>
              </w:rPr>
              <w:t>after</w:t>
            </w:r>
            <w:r w:rsidRPr="00DC3E7D">
              <w:rPr>
                <w:rFonts w:cstheme="minorHAnsi"/>
                <w:sz w:val="20"/>
                <w:szCs w:val="20"/>
              </w:rPr>
              <w:t xml:space="preserve"> the 1</w:t>
            </w:r>
            <w:r w:rsidRPr="00E01580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DC3E7D">
              <w:rPr>
                <w:rFonts w:cstheme="minorHAnsi"/>
                <w:sz w:val="20"/>
                <w:szCs w:val="20"/>
              </w:rPr>
              <w:t xml:space="preserve"> directions hearing or hearing and</w:t>
            </w:r>
            <w:r w:rsidRPr="00B6752A">
              <w:rPr>
                <w:rFonts w:cstheme="minorHAnsi"/>
                <w:sz w:val="20"/>
                <w:szCs w:val="20"/>
              </w:rPr>
              <w:t xml:space="preserve"> can be made available for inspection. </w:t>
            </w:r>
          </w:p>
        </w:tc>
        <w:tc>
          <w:tcPr>
            <w:tcW w:w="5074" w:type="dxa"/>
            <w:gridSpan w:val="3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shd w:val="clear" w:color="auto" w:fill="auto"/>
          </w:tcPr>
          <w:p w14:paraId="3ED87225" w14:textId="77777777" w:rsidR="00C55B8D" w:rsidRPr="00DC3E7D" w:rsidRDefault="00C55B8D" w:rsidP="00C55B8D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C55B8D" w:rsidRPr="00EE4889" w14:paraId="02132E68" w14:textId="77777777" w:rsidTr="00597D49">
        <w:trPr>
          <w:trHeight w:val="261"/>
        </w:trPr>
        <w:tc>
          <w:tcPr>
            <w:tcW w:w="4820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174724E0" w14:textId="77777777" w:rsidR="00C55B8D" w:rsidRPr="00DC3E7D" w:rsidDel="000E17DA" w:rsidRDefault="00C55B8D" w:rsidP="00597D49"/>
        </w:tc>
        <w:tc>
          <w:tcPr>
            <w:tcW w:w="5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E5C99" w14:textId="77777777" w:rsidR="00C55B8D" w:rsidRPr="00EE4889" w:rsidRDefault="00C55B8D" w:rsidP="00597D49">
            <w:pPr>
              <w:rPr>
                <w:sz w:val="14"/>
                <w:szCs w:val="14"/>
              </w:rPr>
            </w:pPr>
          </w:p>
        </w:tc>
      </w:tr>
    </w:tbl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709"/>
        <w:gridCol w:w="1842"/>
        <w:gridCol w:w="2552"/>
      </w:tblGrid>
      <w:tr w:rsidR="00275607" w:rsidRPr="00EE4889" w14:paraId="5D5771CB" w14:textId="77777777" w:rsidTr="00E0158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4D445B" w14:textId="7C0939BC" w:rsidR="00275607" w:rsidRPr="00E01580" w:rsidRDefault="00275607" w:rsidP="00976ECD">
            <w:pPr>
              <w:spacing w:before="80" w:after="80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0158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FEE PAID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B0C5" w14:textId="526C4303" w:rsidR="00275607" w:rsidRPr="00E01580" w:rsidRDefault="00275607" w:rsidP="00976ECD">
            <w:pPr>
              <w:spacing w:before="80" w:after="8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01580">
              <w:rPr>
                <w:rFonts w:cstheme="minorHAnsi"/>
                <w:b/>
                <w:color w:val="000000" w:themeColor="text1"/>
                <w:sz w:val="20"/>
                <w:szCs w:val="20"/>
              </w:rPr>
              <w:t>$</w:t>
            </w:r>
            <w:r w:rsidR="00487AFB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87AFB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487AFB">
              <w:rPr>
                <w:rFonts w:cstheme="minorHAnsi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487AFB">
              <w:rPr>
                <w:rFonts w:cstheme="minorHAnsi"/>
                <w:b/>
                <w:color w:val="000000" w:themeColor="text1"/>
                <w:sz w:val="20"/>
                <w:szCs w:val="20"/>
              </w:rPr>
            </w:r>
            <w:r w:rsidR="00487AFB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487AFB"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487AFB"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487AFB"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487AFB"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487AFB"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487AFB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92BDE0" w14:textId="61960410" w:rsidR="00275607" w:rsidRPr="00E01580" w:rsidRDefault="00275607" w:rsidP="00976ECD">
            <w:pPr>
              <w:spacing w:before="80" w:after="80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7560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RECEIPT NO.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7998" w14:textId="60D46129" w:rsidR="00275607" w:rsidRPr="00E01580" w:rsidRDefault="00487AFB" w:rsidP="00976ECD">
            <w:pPr>
              <w:spacing w:before="80" w:after="80"/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87AF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487AF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87AFB">
              <w:rPr>
                <w:rFonts w:cstheme="minorHAnsi"/>
                <w:sz w:val="20"/>
                <w:szCs w:val="20"/>
              </w:rPr>
            </w:r>
            <w:r w:rsidRPr="00487AFB">
              <w:rPr>
                <w:rFonts w:cstheme="minorHAnsi"/>
                <w:sz w:val="20"/>
                <w:szCs w:val="20"/>
              </w:rPr>
              <w:fldChar w:fldCharType="separate"/>
            </w:r>
            <w:r w:rsidRPr="00487AFB">
              <w:rPr>
                <w:rFonts w:cstheme="minorHAnsi"/>
                <w:noProof/>
                <w:sz w:val="20"/>
                <w:szCs w:val="20"/>
              </w:rPr>
              <w:t> </w:t>
            </w:r>
            <w:r w:rsidRPr="00487AFB">
              <w:rPr>
                <w:rFonts w:cstheme="minorHAnsi"/>
                <w:noProof/>
                <w:sz w:val="20"/>
                <w:szCs w:val="20"/>
              </w:rPr>
              <w:t> </w:t>
            </w:r>
            <w:r w:rsidRPr="00487AFB">
              <w:rPr>
                <w:rFonts w:cstheme="minorHAnsi"/>
                <w:noProof/>
                <w:sz w:val="20"/>
                <w:szCs w:val="20"/>
              </w:rPr>
              <w:t> </w:t>
            </w:r>
            <w:r w:rsidRPr="00487AFB">
              <w:rPr>
                <w:rFonts w:cstheme="minorHAnsi"/>
                <w:noProof/>
                <w:sz w:val="20"/>
                <w:szCs w:val="20"/>
              </w:rPr>
              <w:t> </w:t>
            </w:r>
            <w:r w:rsidRPr="00487AFB">
              <w:rPr>
                <w:rFonts w:cstheme="minorHAnsi"/>
                <w:noProof/>
                <w:sz w:val="20"/>
                <w:szCs w:val="20"/>
              </w:rPr>
              <w:t> </w:t>
            </w:r>
            <w:r w:rsidRPr="00487AFB">
              <w:rPr>
                <w:rFonts w:cstheme="minorHAnsi"/>
                <w:sz w:val="20"/>
                <w:szCs w:val="20"/>
              </w:rPr>
              <w:fldChar w:fldCharType="end"/>
            </w:r>
            <w:bookmarkEnd w:id="26"/>
          </w:p>
        </w:tc>
      </w:tr>
      <w:tr w:rsidR="009C5A6F" w:rsidRPr="00EE4889" w14:paraId="49138652" w14:textId="77777777" w:rsidTr="00E01580"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08C60" w14:textId="77777777" w:rsidR="00DC3E7D" w:rsidRDefault="00DC3E7D" w:rsidP="00976ECD">
            <w:pPr>
              <w:spacing w:before="80" w:after="80"/>
              <w:jc w:val="both"/>
              <w:rPr>
                <w:rFonts w:cstheme="minorHAnsi"/>
                <w:sz w:val="20"/>
                <w:szCs w:val="20"/>
              </w:rPr>
            </w:pPr>
          </w:p>
          <w:p w14:paraId="2BF19C44" w14:textId="309F4B6C" w:rsidR="00275607" w:rsidRDefault="00275607" w:rsidP="00976ECD">
            <w:pPr>
              <w:spacing w:before="80" w:after="80"/>
              <w:jc w:val="both"/>
              <w:rPr>
                <w:rFonts w:cstheme="minorHAnsi"/>
                <w:sz w:val="20"/>
                <w:szCs w:val="20"/>
              </w:rPr>
            </w:pPr>
          </w:p>
          <w:p w14:paraId="3E690AC6" w14:textId="53721AD2" w:rsidR="00B72471" w:rsidRPr="00EE4889" w:rsidRDefault="00B72471" w:rsidP="00976ECD">
            <w:pPr>
              <w:spacing w:before="80" w:after="8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</w:tcBorders>
          </w:tcPr>
          <w:p w14:paraId="5ECF12DD" w14:textId="77777777" w:rsidR="009C5A6F" w:rsidRPr="00EE4889" w:rsidRDefault="009C5A6F" w:rsidP="00976ECD">
            <w:pPr>
              <w:spacing w:before="80" w:after="8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F3780" w:rsidRPr="00EE4889" w14:paraId="40398753" w14:textId="77777777" w:rsidTr="004F3780">
        <w:tc>
          <w:tcPr>
            <w:tcW w:w="48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578F52" w14:textId="0BDC393B" w:rsidR="004F3780" w:rsidRDefault="004F3780">
            <w:pPr>
              <w:spacing w:before="80" w:after="80"/>
              <w:jc w:val="both"/>
              <w:rPr>
                <w:rFonts w:cstheme="minorHAnsi"/>
                <w:sz w:val="20"/>
                <w:szCs w:val="20"/>
              </w:rPr>
            </w:pPr>
            <w:r w:rsidRPr="00E01580">
              <w:rPr>
                <w:rFonts w:cstheme="minorHAnsi"/>
                <w:b/>
                <w:sz w:val="20"/>
                <w:szCs w:val="20"/>
              </w:rPr>
              <w:t>Judge / Registrar</w:t>
            </w:r>
          </w:p>
        </w:tc>
        <w:tc>
          <w:tcPr>
            <w:tcW w:w="709" w:type="dxa"/>
            <w:tcBorders>
              <w:left w:val="nil"/>
            </w:tcBorders>
          </w:tcPr>
          <w:p w14:paraId="6DFFA98D" w14:textId="77777777" w:rsidR="004F3780" w:rsidRPr="00EE4889" w:rsidRDefault="004F3780" w:rsidP="008D5048">
            <w:pPr>
              <w:spacing w:before="80" w:after="8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6C0D49">
              <w:rPr>
                <w:rFonts w:cstheme="minorHAnsi"/>
                <w:b/>
                <w:color w:val="000000"/>
                <w:sz w:val="20"/>
                <w:szCs w:val="20"/>
              </w:rPr>
              <w:t>Date: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  <w:gridSpan w:val="2"/>
            <w:tcBorders>
              <w:left w:val="nil"/>
              <w:bottom w:val="single" w:sz="4" w:space="0" w:color="auto"/>
            </w:tcBorders>
          </w:tcPr>
          <w:p w14:paraId="4521E420" w14:textId="7DC29D5E" w:rsidR="004F3780" w:rsidRPr="00EE4889" w:rsidRDefault="008E003E" w:rsidP="008D5048">
            <w:pPr>
              <w:spacing w:before="80" w:after="8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/>
                <w:sz w:val="20"/>
                <w:szCs w:val="20"/>
              </w:rPr>
            </w:r>
            <w:r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39FBAE82" w14:textId="29A36AA0" w:rsidR="00A33DFF" w:rsidRDefault="00A33DFF" w:rsidP="00E01580">
      <w:pPr>
        <w:rPr>
          <w:sz w:val="4"/>
          <w:szCs w:val="4"/>
        </w:rPr>
      </w:pPr>
    </w:p>
    <w:p w14:paraId="5E0FC2CA" w14:textId="081CBBC0" w:rsidR="00A33DFF" w:rsidRPr="00A33DFF" w:rsidRDefault="00A33DFF" w:rsidP="00A33DFF">
      <w:pPr>
        <w:spacing w:before="240" w:after="0"/>
        <w:jc w:val="right"/>
        <w:rPr>
          <w:sz w:val="14"/>
          <w:szCs w:val="14"/>
        </w:rPr>
      </w:pPr>
      <w:r w:rsidRPr="00A33DFF">
        <w:rPr>
          <w:sz w:val="14"/>
          <w:szCs w:val="14"/>
        </w:rPr>
        <w:t>NonParty_Req_0223V1</w:t>
      </w:r>
    </w:p>
    <w:sectPr w:rsidR="00A33DFF" w:rsidRPr="00A33DFF" w:rsidSect="00186F1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continuous"/>
      <w:pgSz w:w="11906" w:h="16838"/>
      <w:pgMar w:top="709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6AC4" w14:textId="77777777" w:rsidR="005B3EF8" w:rsidRDefault="005B3EF8" w:rsidP="00890C54">
      <w:pPr>
        <w:spacing w:after="0" w:line="240" w:lineRule="auto"/>
      </w:pPr>
      <w:r>
        <w:separator/>
      </w:r>
    </w:p>
  </w:endnote>
  <w:endnote w:type="continuationSeparator" w:id="0">
    <w:p w14:paraId="0834DECD" w14:textId="77777777" w:rsidR="005B3EF8" w:rsidRDefault="005B3EF8" w:rsidP="0089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9290" w14:textId="77777777" w:rsidR="00C55B8D" w:rsidRDefault="00C55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4"/>
        <w:szCs w:val="24"/>
        <w:lang w:eastAsia="en-AU"/>
      </w:rPr>
      <w:id w:val="648860455"/>
      <w:docPartObj>
        <w:docPartGallery w:val="Page Numbers (Bottom of Page)"/>
        <w:docPartUnique/>
      </w:docPartObj>
    </w:sdtPr>
    <w:sdtEndPr>
      <w:rPr>
        <w:rFonts w:ascii="Calibri" w:hAnsi="Calibri" w:cs="Calibri"/>
        <w:sz w:val="14"/>
        <w:szCs w:val="14"/>
      </w:rPr>
    </w:sdtEndPr>
    <w:sdtContent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14"/>
            <w:szCs w:val="14"/>
          </w:rPr>
        </w:sdtEndPr>
        <w:sdtContent>
          <w:p w14:paraId="12B34AE9" w14:textId="72835660" w:rsidR="00C55B8D" w:rsidRPr="00EB0479" w:rsidRDefault="00C55B8D" w:rsidP="00EB0479">
            <w:pPr>
              <w:pStyle w:val="Footer"/>
              <w:spacing w:after="60"/>
              <w:ind w:right="-284" w:hanging="284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522C896" w14:textId="3BC14668" w:rsidR="00C55B8D" w:rsidRPr="00386632" w:rsidRDefault="00C55B8D" w:rsidP="002C69B6">
            <w:pPr>
              <w:pStyle w:val="NormalWeb"/>
              <w:shd w:val="clear" w:color="auto" w:fill="FFFFFF"/>
              <w:spacing w:before="0" w:beforeAutospacing="0" w:after="240" w:afterAutospacing="0"/>
              <w:ind w:right="-425"/>
              <w:jc w:val="right"/>
              <w:textAlignment w:val="baseline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52F">
              <w:rPr>
                <w:rFonts w:ascii="Calibri" w:hAnsi="Calibri" w:cs="Calibri"/>
                <w:sz w:val="14"/>
                <w:szCs w:val="14"/>
              </w:rPr>
              <w:t xml:space="preserve">Page </w:t>
            </w:r>
            <w:r w:rsidRPr="000C152F">
              <w:rPr>
                <w:rFonts w:ascii="Calibri" w:hAnsi="Calibri" w:cs="Calibri"/>
                <w:b/>
                <w:bCs/>
                <w:sz w:val="14"/>
                <w:szCs w:val="14"/>
              </w:rPr>
              <w:fldChar w:fldCharType="begin"/>
            </w:r>
            <w:r w:rsidRPr="000C152F">
              <w:rPr>
                <w:rFonts w:ascii="Calibri" w:hAnsi="Calibri" w:cs="Calibri"/>
                <w:b/>
                <w:bCs/>
                <w:sz w:val="14"/>
                <w:szCs w:val="14"/>
              </w:rPr>
              <w:instrText xml:space="preserve"> PAGE </w:instrText>
            </w:r>
            <w:r w:rsidRPr="000C152F">
              <w:rPr>
                <w:rFonts w:ascii="Calibri" w:hAnsi="Calibri" w:cs="Calibri"/>
                <w:b/>
                <w:bCs/>
                <w:sz w:val="14"/>
                <w:szCs w:val="14"/>
              </w:rPr>
              <w:fldChar w:fldCharType="separate"/>
            </w:r>
            <w:r w:rsidR="000E3612">
              <w:rPr>
                <w:rFonts w:ascii="Calibri" w:hAnsi="Calibri" w:cs="Calibri"/>
                <w:b/>
                <w:bCs/>
                <w:noProof/>
                <w:sz w:val="14"/>
                <w:szCs w:val="14"/>
              </w:rPr>
              <w:t>2</w:t>
            </w:r>
            <w:r w:rsidRPr="000C152F">
              <w:rPr>
                <w:rFonts w:ascii="Calibri" w:hAnsi="Calibri" w:cs="Calibri"/>
                <w:b/>
                <w:bCs/>
                <w:sz w:val="14"/>
                <w:szCs w:val="14"/>
              </w:rPr>
              <w:fldChar w:fldCharType="end"/>
            </w:r>
            <w:r w:rsidRPr="000C152F">
              <w:rPr>
                <w:rFonts w:ascii="Calibri" w:hAnsi="Calibri" w:cs="Calibri"/>
                <w:sz w:val="14"/>
                <w:szCs w:val="14"/>
              </w:rPr>
              <w:t xml:space="preserve"> of </w:t>
            </w:r>
            <w:r w:rsidRPr="000C152F">
              <w:rPr>
                <w:rFonts w:ascii="Calibri" w:hAnsi="Calibri" w:cs="Calibri"/>
                <w:b/>
                <w:bCs/>
                <w:sz w:val="14"/>
                <w:szCs w:val="14"/>
              </w:rPr>
              <w:fldChar w:fldCharType="begin"/>
            </w:r>
            <w:r w:rsidRPr="000C152F">
              <w:rPr>
                <w:rFonts w:ascii="Calibri" w:hAnsi="Calibri" w:cs="Calibri"/>
                <w:b/>
                <w:bCs/>
                <w:sz w:val="14"/>
                <w:szCs w:val="14"/>
              </w:rPr>
              <w:instrText xml:space="preserve"> NUMPAGES  </w:instrText>
            </w:r>
            <w:r w:rsidRPr="000C152F">
              <w:rPr>
                <w:rFonts w:ascii="Calibri" w:hAnsi="Calibri" w:cs="Calibri"/>
                <w:b/>
                <w:bCs/>
                <w:sz w:val="14"/>
                <w:szCs w:val="14"/>
              </w:rPr>
              <w:fldChar w:fldCharType="separate"/>
            </w:r>
            <w:r w:rsidR="000E3612">
              <w:rPr>
                <w:rFonts w:ascii="Calibri" w:hAnsi="Calibri" w:cs="Calibri"/>
                <w:b/>
                <w:bCs/>
                <w:noProof/>
                <w:sz w:val="14"/>
                <w:szCs w:val="14"/>
              </w:rPr>
              <w:t>6</w:t>
            </w:r>
            <w:r w:rsidRPr="000C152F">
              <w:rPr>
                <w:rFonts w:ascii="Calibri" w:hAnsi="Calibri" w:cs="Calibr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F67C" w14:textId="77777777" w:rsidR="00C55B8D" w:rsidRDefault="00C55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A344" w14:textId="77777777" w:rsidR="005B3EF8" w:rsidRDefault="005B3EF8" w:rsidP="00890C54">
      <w:pPr>
        <w:spacing w:after="0" w:line="240" w:lineRule="auto"/>
      </w:pPr>
      <w:r>
        <w:separator/>
      </w:r>
    </w:p>
  </w:footnote>
  <w:footnote w:type="continuationSeparator" w:id="0">
    <w:p w14:paraId="5D56E4E7" w14:textId="77777777" w:rsidR="005B3EF8" w:rsidRDefault="005B3EF8" w:rsidP="0089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9061" w14:textId="77777777" w:rsidR="00C55B8D" w:rsidRDefault="00C55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4A63" w14:textId="519A3D80" w:rsidR="00C55B8D" w:rsidRPr="00A5721E" w:rsidRDefault="00C55B8D" w:rsidP="00E01580">
    <w:pPr>
      <w:spacing w:after="0" w:line="240" w:lineRule="auto"/>
      <w:ind w:right="-143"/>
      <w:jc w:val="right"/>
      <w:rPr>
        <w:rFonts w:cstheme="minorHAnsi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E597" w14:textId="77777777" w:rsidR="00C55B8D" w:rsidRDefault="00C55B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079"/>
    <w:multiLevelType w:val="multilevel"/>
    <w:tmpl w:val="5E0A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E23258"/>
    <w:multiLevelType w:val="hybridMultilevel"/>
    <w:tmpl w:val="D17AE924"/>
    <w:lvl w:ilvl="0" w:tplc="A802EF5C">
      <w:start w:val="1"/>
      <w:numFmt w:val="lowerLetter"/>
      <w:lvlText w:val="(%1)"/>
      <w:lvlJc w:val="left"/>
      <w:pPr>
        <w:ind w:left="567" w:hanging="567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81BBB"/>
    <w:multiLevelType w:val="hybridMultilevel"/>
    <w:tmpl w:val="F89C0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A6655"/>
    <w:multiLevelType w:val="hybridMultilevel"/>
    <w:tmpl w:val="3FC256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9A8"/>
    <w:multiLevelType w:val="hybridMultilevel"/>
    <w:tmpl w:val="5CA4596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03A8E"/>
    <w:multiLevelType w:val="multilevel"/>
    <w:tmpl w:val="2B941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7FB03C8"/>
    <w:multiLevelType w:val="hybridMultilevel"/>
    <w:tmpl w:val="58FE7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361B7"/>
    <w:multiLevelType w:val="hybridMultilevel"/>
    <w:tmpl w:val="E390CACE"/>
    <w:lvl w:ilvl="0" w:tplc="2E6C700C">
      <w:start w:val="30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526E5F"/>
    <w:multiLevelType w:val="multilevel"/>
    <w:tmpl w:val="27C887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9662443"/>
    <w:multiLevelType w:val="multilevel"/>
    <w:tmpl w:val="9CF28A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A804E9C"/>
    <w:multiLevelType w:val="hybridMultilevel"/>
    <w:tmpl w:val="2E40CB50"/>
    <w:lvl w:ilvl="0" w:tplc="20DA8C26">
      <w:start w:val="4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eastAsiaTheme="minorHAnsi" w:hAnsi="Symbol" w:cstheme="minorBid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AA13E8"/>
    <w:multiLevelType w:val="multilevel"/>
    <w:tmpl w:val="FB489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4602172"/>
    <w:multiLevelType w:val="hybridMultilevel"/>
    <w:tmpl w:val="84D0B4B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D3487"/>
    <w:multiLevelType w:val="hybridMultilevel"/>
    <w:tmpl w:val="9C9C9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12C4D"/>
    <w:multiLevelType w:val="hybridMultilevel"/>
    <w:tmpl w:val="C66CB6CC"/>
    <w:lvl w:ilvl="0" w:tplc="CD1A1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07ADB"/>
    <w:multiLevelType w:val="multilevel"/>
    <w:tmpl w:val="CD049B0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4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0654DB5"/>
    <w:multiLevelType w:val="multilevel"/>
    <w:tmpl w:val="37926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23C689E"/>
    <w:multiLevelType w:val="hybridMultilevel"/>
    <w:tmpl w:val="5D0AC846"/>
    <w:lvl w:ilvl="0" w:tplc="02A85A22">
      <w:start w:val="4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5183E"/>
    <w:multiLevelType w:val="hybridMultilevel"/>
    <w:tmpl w:val="73F61CB6"/>
    <w:lvl w:ilvl="0" w:tplc="BF361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83B73B9"/>
    <w:multiLevelType w:val="hybridMultilevel"/>
    <w:tmpl w:val="FF6A4718"/>
    <w:lvl w:ilvl="0" w:tplc="4F1066CC">
      <w:start w:val="6"/>
      <w:numFmt w:val="bullet"/>
      <w:lvlText w:val="-"/>
      <w:lvlJc w:val="left"/>
      <w:pPr>
        <w:ind w:left="644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BA142A5"/>
    <w:multiLevelType w:val="hybridMultilevel"/>
    <w:tmpl w:val="DAA6B5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C5807"/>
    <w:multiLevelType w:val="multilevel"/>
    <w:tmpl w:val="B1DA7AE6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74A18C2"/>
    <w:multiLevelType w:val="multilevel"/>
    <w:tmpl w:val="F1084D7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Arial" w:hAnsi="Arial" w:cs="Arial" w:hint="default"/>
      </w:rPr>
    </w:lvl>
    <w:lvl w:ilvl="1">
      <w:start w:val="2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C84317C"/>
    <w:multiLevelType w:val="hybridMultilevel"/>
    <w:tmpl w:val="B4EE945C"/>
    <w:lvl w:ilvl="0" w:tplc="1D5A72CE">
      <w:start w:val="12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4" w15:restartNumberingAfterBreak="0">
    <w:nsid w:val="7EA846EC"/>
    <w:multiLevelType w:val="hybridMultilevel"/>
    <w:tmpl w:val="70BC4E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5097">
    <w:abstractNumId w:val="2"/>
  </w:num>
  <w:num w:numId="2" w16cid:durableId="1080174899">
    <w:abstractNumId w:val="12"/>
  </w:num>
  <w:num w:numId="3" w16cid:durableId="1610969379">
    <w:abstractNumId w:val="22"/>
  </w:num>
  <w:num w:numId="4" w16cid:durableId="1627272632">
    <w:abstractNumId w:val="22"/>
  </w:num>
  <w:num w:numId="5" w16cid:durableId="169679628">
    <w:abstractNumId w:val="22"/>
  </w:num>
  <w:num w:numId="6" w16cid:durableId="1636325244">
    <w:abstractNumId w:val="22"/>
  </w:num>
  <w:num w:numId="7" w16cid:durableId="1965694157">
    <w:abstractNumId w:val="22"/>
  </w:num>
  <w:num w:numId="8" w16cid:durableId="209652040">
    <w:abstractNumId w:val="22"/>
  </w:num>
  <w:num w:numId="9" w16cid:durableId="1736010561">
    <w:abstractNumId w:val="7"/>
  </w:num>
  <w:num w:numId="10" w16cid:durableId="1734426144">
    <w:abstractNumId w:val="18"/>
  </w:num>
  <w:num w:numId="11" w16cid:durableId="915359390">
    <w:abstractNumId w:val="23"/>
  </w:num>
  <w:num w:numId="12" w16cid:durableId="878080868">
    <w:abstractNumId w:val="6"/>
  </w:num>
  <w:num w:numId="13" w16cid:durableId="1642929378">
    <w:abstractNumId w:val="17"/>
  </w:num>
  <w:num w:numId="14" w16cid:durableId="351305281">
    <w:abstractNumId w:val="1"/>
  </w:num>
  <w:num w:numId="15" w16cid:durableId="2106461652">
    <w:abstractNumId w:val="19"/>
  </w:num>
  <w:num w:numId="16" w16cid:durableId="1256550821">
    <w:abstractNumId w:val="21"/>
  </w:num>
  <w:num w:numId="17" w16cid:durableId="1561939694">
    <w:abstractNumId w:val="20"/>
  </w:num>
  <w:num w:numId="18" w16cid:durableId="2052457857">
    <w:abstractNumId w:val="0"/>
  </w:num>
  <w:num w:numId="19" w16cid:durableId="1177379702">
    <w:abstractNumId w:val="24"/>
  </w:num>
  <w:num w:numId="20" w16cid:durableId="1290474741">
    <w:abstractNumId w:val="5"/>
  </w:num>
  <w:num w:numId="21" w16cid:durableId="1701121719">
    <w:abstractNumId w:val="9"/>
  </w:num>
  <w:num w:numId="22" w16cid:durableId="1192651852">
    <w:abstractNumId w:val="8"/>
  </w:num>
  <w:num w:numId="23" w16cid:durableId="967399595">
    <w:abstractNumId w:val="11"/>
  </w:num>
  <w:num w:numId="24" w16cid:durableId="1766417478">
    <w:abstractNumId w:val="16"/>
  </w:num>
  <w:num w:numId="25" w16cid:durableId="974914119">
    <w:abstractNumId w:val="15"/>
  </w:num>
  <w:num w:numId="26" w16cid:durableId="348337804">
    <w:abstractNumId w:val="14"/>
  </w:num>
  <w:num w:numId="27" w16cid:durableId="378168489">
    <w:abstractNumId w:val="10"/>
  </w:num>
  <w:num w:numId="28" w16cid:durableId="1029839326">
    <w:abstractNumId w:val="4"/>
  </w:num>
  <w:num w:numId="29" w16cid:durableId="346641054">
    <w:abstractNumId w:val="13"/>
  </w:num>
  <w:num w:numId="30" w16cid:durableId="1376809430">
    <w:abstractNumId w:val="22"/>
  </w:num>
  <w:num w:numId="31" w16cid:durableId="380784526">
    <w:abstractNumId w:val="22"/>
  </w:num>
  <w:num w:numId="32" w16cid:durableId="1344938617">
    <w:abstractNumId w:val="22"/>
  </w:num>
  <w:num w:numId="33" w16cid:durableId="1338315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54"/>
    <w:rsid w:val="0000090A"/>
    <w:rsid w:val="00011435"/>
    <w:rsid w:val="000322FA"/>
    <w:rsid w:val="0004301D"/>
    <w:rsid w:val="00067D2D"/>
    <w:rsid w:val="0009140D"/>
    <w:rsid w:val="000B0152"/>
    <w:rsid w:val="000B0448"/>
    <w:rsid w:val="000B0E4E"/>
    <w:rsid w:val="000C152F"/>
    <w:rsid w:val="000E17DA"/>
    <w:rsid w:val="000E3612"/>
    <w:rsid w:val="000E42BE"/>
    <w:rsid w:val="000F06EC"/>
    <w:rsid w:val="001023AC"/>
    <w:rsid w:val="00103B24"/>
    <w:rsid w:val="00124D74"/>
    <w:rsid w:val="00135C35"/>
    <w:rsid w:val="00142AF3"/>
    <w:rsid w:val="0017129D"/>
    <w:rsid w:val="0017375E"/>
    <w:rsid w:val="00180330"/>
    <w:rsid w:val="00186F10"/>
    <w:rsid w:val="00191FD4"/>
    <w:rsid w:val="00196BA3"/>
    <w:rsid w:val="001A075A"/>
    <w:rsid w:val="001A10E5"/>
    <w:rsid w:val="001A76C4"/>
    <w:rsid w:val="001D0AF9"/>
    <w:rsid w:val="001F3E89"/>
    <w:rsid w:val="002011BB"/>
    <w:rsid w:val="00207A3C"/>
    <w:rsid w:val="0021189B"/>
    <w:rsid w:val="00213869"/>
    <w:rsid w:val="002211C2"/>
    <w:rsid w:val="00222D7B"/>
    <w:rsid w:val="00223FE1"/>
    <w:rsid w:val="00227F2E"/>
    <w:rsid w:val="00252ED0"/>
    <w:rsid w:val="0027205D"/>
    <w:rsid w:val="00275607"/>
    <w:rsid w:val="0027789B"/>
    <w:rsid w:val="00283224"/>
    <w:rsid w:val="002B0BD1"/>
    <w:rsid w:val="002B14FC"/>
    <w:rsid w:val="002C478D"/>
    <w:rsid w:val="002C6553"/>
    <w:rsid w:val="002C69B6"/>
    <w:rsid w:val="002E3EF7"/>
    <w:rsid w:val="00304D3A"/>
    <w:rsid w:val="00353B66"/>
    <w:rsid w:val="003641DA"/>
    <w:rsid w:val="00386632"/>
    <w:rsid w:val="003942C7"/>
    <w:rsid w:val="003A6E0D"/>
    <w:rsid w:val="003C5FFB"/>
    <w:rsid w:val="003D1718"/>
    <w:rsid w:val="003D1E25"/>
    <w:rsid w:val="003F3BF7"/>
    <w:rsid w:val="00417D04"/>
    <w:rsid w:val="00422AA5"/>
    <w:rsid w:val="004309E1"/>
    <w:rsid w:val="004317EF"/>
    <w:rsid w:val="00434F82"/>
    <w:rsid w:val="004537DC"/>
    <w:rsid w:val="00472546"/>
    <w:rsid w:val="004800C5"/>
    <w:rsid w:val="00487AFB"/>
    <w:rsid w:val="004D5CC4"/>
    <w:rsid w:val="004F3780"/>
    <w:rsid w:val="00511F6E"/>
    <w:rsid w:val="00512A36"/>
    <w:rsid w:val="005154C2"/>
    <w:rsid w:val="005263E6"/>
    <w:rsid w:val="0052744F"/>
    <w:rsid w:val="00531898"/>
    <w:rsid w:val="00534F31"/>
    <w:rsid w:val="0053564E"/>
    <w:rsid w:val="00541BF4"/>
    <w:rsid w:val="005554EB"/>
    <w:rsid w:val="005570EB"/>
    <w:rsid w:val="005573B4"/>
    <w:rsid w:val="005772FD"/>
    <w:rsid w:val="00590553"/>
    <w:rsid w:val="00592DA9"/>
    <w:rsid w:val="005954C8"/>
    <w:rsid w:val="00597D49"/>
    <w:rsid w:val="005B094E"/>
    <w:rsid w:val="005B3EF8"/>
    <w:rsid w:val="005D1312"/>
    <w:rsid w:val="005E3C2E"/>
    <w:rsid w:val="005E4A86"/>
    <w:rsid w:val="005E4BFB"/>
    <w:rsid w:val="005F46B9"/>
    <w:rsid w:val="006050FE"/>
    <w:rsid w:val="00617016"/>
    <w:rsid w:val="00620D2C"/>
    <w:rsid w:val="00621457"/>
    <w:rsid w:val="00622C9C"/>
    <w:rsid w:val="00623E73"/>
    <w:rsid w:val="00626B5D"/>
    <w:rsid w:val="00627AA0"/>
    <w:rsid w:val="006475E6"/>
    <w:rsid w:val="00653814"/>
    <w:rsid w:val="006648D6"/>
    <w:rsid w:val="0066516C"/>
    <w:rsid w:val="00667246"/>
    <w:rsid w:val="006734E8"/>
    <w:rsid w:val="006742B8"/>
    <w:rsid w:val="00677074"/>
    <w:rsid w:val="00683A58"/>
    <w:rsid w:val="006A3AAD"/>
    <w:rsid w:val="006A3EDE"/>
    <w:rsid w:val="006A4C1E"/>
    <w:rsid w:val="006B754A"/>
    <w:rsid w:val="006D3BB8"/>
    <w:rsid w:val="006E3B2F"/>
    <w:rsid w:val="006F5BE5"/>
    <w:rsid w:val="0070210B"/>
    <w:rsid w:val="007114C1"/>
    <w:rsid w:val="00720CB1"/>
    <w:rsid w:val="0074564D"/>
    <w:rsid w:val="00766FA6"/>
    <w:rsid w:val="00771C0E"/>
    <w:rsid w:val="00783143"/>
    <w:rsid w:val="00783BE6"/>
    <w:rsid w:val="00790CFD"/>
    <w:rsid w:val="00792802"/>
    <w:rsid w:val="00797E2A"/>
    <w:rsid w:val="007A2DA7"/>
    <w:rsid w:val="007A3928"/>
    <w:rsid w:val="007C2A09"/>
    <w:rsid w:val="007C3BAB"/>
    <w:rsid w:val="007E1E0A"/>
    <w:rsid w:val="00802B01"/>
    <w:rsid w:val="0080692F"/>
    <w:rsid w:val="00816315"/>
    <w:rsid w:val="0083667D"/>
    <w:rsid w:val="008408CB"/>
    <w:rsid w:val="00841585"/>
    <w:rsid w:val="008430D7"/>
    <w:rsid w:val="008653B4"/>
    <w:rsid w:val="00867BB0"/>
    <w:rsid w:val="008700B3"/>
    <w:rsid w:val="00871B61"/>
    <w:rsid w:val="00875A17"/>
    <w:rsid w:val="0087779F"/>
    <w:rsid w:val="00880ACA"/>
    <w:rsid w:val="00885B3C"/>
    <w:rsid w:val="00890C54"/>
    <w:rsid w:val="00892DB3"/>
    <w:rsid w:val="00897FFE"/>
    <w:rsid w:val="008B516B"/>
    <w:rsid w:val="008D5048"/>
    <w:rsid w:val="008D7418"/>
    <w:rsid w:val="008E003E"/>
    <w:rsid w:val="00912324"/>
    <w:rsid w:val="00925ACD"/>
    <w:rsid w:val="0093258E"/>
    <w:rsid w:val="00944E6B"/>
    <w:rsid w:val="00946CA4"/>
    <w:rsid w:val="0094713F"/>
    <w:rsid w:val="0094731E"/>
    <w:rsid w:val="00970031"/>
    <w:rsid w:val="00974F90"/>
    <w:rsid w:val="00976ECD"/>
    <w:rsid w:val="00994A39"/>
    <w:rsid w:val="009B3D0C"/>
    <w:rsid w:val="009C0342"/>
    <w:rsid w:val="009C315F"/>
    <w:rsid w:val="009C5A6F"/>
    <w:rsid w:val="009D30C6"/>
    <w:rsid w:val="009D5BFC"/>
    <w:rsid w:val="009E0420"/>
    <w:rsid w:val="009E39FD"/>
    <w:rsid w:val="009F09DB"/>
    <w:rsid w:val="009F14DF"/>
    <w:rsid w:val="00A065D7"/>
    <w:rsid w:val="00A11890"/>
    <w:rsid w:val="00A1720F"/>
    <w:rsid w:val="00A32EBA"/>
    <w:rsid w:val="00A33DFF"/>
    <w:rsid w:val="00A36597"/>
    <w:rsid w:val="00A46B28"/>
    <w:rsid w:val="00A527B4"/>
    <w:rsid w:val="00A5721E"/>
    <w:rsid w:val="00A8158F"/>
    <w:rsid w:val="00A827EF"/>
    <w:rsid w:val="00A85967"/>
    <w:rsid w:val="00A91F00"/>
    <w:rsid w:val="00A95252"/>
    <w:rsid w:val="00AA09C2"/>
    <w:rsid w:val="00AA5637"/>
    <w:rsid w:val="00AA580C"/>
    <w:rsid w:val="00AB6E63"/>
    <w:rsid w:val="00AC0572"/>
    <w:rsid w:val="00AC303A"/>
    <w:rsid w:val="00AE0890"/>
    <w:rsid w:val="00B13FC9"/>
    <w:rsid w:val="00B147AC"/>
    <w:rsid w:val="00B25EFE"/>
    <w:rsid w:val="00B33D4B"/>
    <w:rsid w:val="00B56043"/>
    <w:rsid w:val="00B5626E"/>
    <w:rsid w:val="00B62C4D"/>
    <w:rsid w:val="00B6752A"/>
    <w:rsid w:val="00B72471"/>
    <w:rsid w:val="00B8301D"/>
    <w:rsid w:val="00B92553"/>
    <w:rsid w:val="00B93A76"/>
    <w:rsid w:val="00B95244"/>
    <w:rsid w:val="00BC571F"/>
    <w:rsid w:val="00BE1266"/>
    <w:rsid w:val="00C00513"/>
    <w:rsid w:val="00C041EC"/>
    <w:rsid w:val="00C21D6F"/>
    <w:rsid w:val="00C33266"/>
    <w:rsid w:val="00C35EBF"/>
    <w:rsid w:val="00C55B8D"/>
    <w:rsid w:val="00C96145"/>
    <w:rsid w:val="00CA0AFB"/>
    <w:rsid w:val="00CC4FA5"/>
    <w:rsid w:val="00CC58F9"/>
    <w:rsid w:val="00CE55FC"/>
    <w:rsid w:val="00CF0AD3"/>
    <w:rsid w:val="00CF2D8C"/>
    <w:rsid w:val="00CF7E71"/>
    <w:rsid w:val="00D03208"/>
    <w:rsid w:val="00D144D3"/>
    <w:rsid w:val="00D33A0B"/>
    <w:rsid w:val="00D56D31"/>
    <w:rsid w:val="00D65E82"/>
    <w:rsid w:val="00D86761"/>
    <w:rsid w:val="00D92F8E"/>
    <w:rsid w:val="00D9619C"/>
    <w:rsid w:val="00D9694A"/>
    <w:rsid w:val="00DA15BA"/>
    <w:rsid w:val="00DB4A60"/>
    <w:rsid w:val="00DC3E7D"/>
    <w:rsid w:val="00DD7B38"/>
    <w:rsid w:val="00DE53AB"/>
    <w:rsid w:val="00DF3F77"/>
    <w:rsid w:val="00E01580"/>
    <w:rsid w:val="00E227B1"/>
    <w:rsid w:val="00E25EC7"/>
    <w:rsid w:val="00E2648D"/>
    <w:rsid w:val="00E45B19"/>
    <w:rsid w:val="00E47B1A"/>
    <w:rsid w:val="00E55AC5"/>
    <w:rsid w:val="00E67670"/>
    <w:rsid w:val="00E87368"/>
    <w:rsid w:val="00EA0131"/>
    <w:rsid w:val="00EB0479"/>
    <w:rsid w:val="00EC5A51"/>
    <w:rsid w:val="00ED495C"/>
    <w:rsid w:val="00EE4889"/>
    <w:rsid w:val="00EF1755"/>
    <w:rsid w:val="00EF4E74"/>
    <w:rsid w:val="00EF7E32"/>
    <w:rsid w:val="00F064F5"/>
    <w:rsid w:val="00F12A3C"/>
    <w:rsid w:val="00F2215C"/>
    <w:rsid w:val="00F230AC"/>
    <w:rsid w:val="00F60759"/>
    <w:rsid w:val="00F721FF"/>
    <w:rsid w:val="00F77ECF"/>
    <w:rsid w:val="00F82AE0"/>
    <w:rsid w:val="00F878BF"/>
    <w:rsid w:val="00F947EE"/>
    <w:rsid w:val="00F96F12"/>
    <w:rsid w:val="00FB041C"/>
    <w:rsid w:val="00FC11B0"/>
    <w:rsid w:val="00FE236F"/>
    <w:rsid w:val="00FE46DE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77C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5E6"/>
  </w:style>
  <w:style w:type="paragraph" w:styleId="Heading1">
    <w:name w:val="heading 1"/>
    <w:basedOn w:val="Normal"/>
    <w:next w:val="Normal"/>
    <w:link w:val="Heading1Char"/>
    <w:qFormat/>
    <w:rsid w:val="00890C54"/>
    <w:pPr>
      <w:keepNext/>
      <w:keepLines/>
      <w:numPr>
        <w:numId w:val="3"/>
      </w:numPr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color w:val="FFFFFF" w:themeColor="background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C54"/>
    <w:pPr>
      <w:keepNext/>
      <w:keepLines/>
      <w:numPr>
        <w:ilvl w:val="1"/>
        <w:numId w:val="3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C54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C54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C54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C54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C54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C54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C54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C54"/>
  </w:style>
  <w:style w:type="paragraph" w:styleId="Footer">
    <w:name w:val="footer"/>
    <w:basedOn w:val="Normal"/>
    <w:link w:val="FooterChar"/>
    <w:uiPriority w:val="99"/>
    <w:unhideWhenUsed/>
    <w:rsid w:val="0089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C54"/>
  </w:style>
  <w:style w:type="character" w:customStyle="1" w:styleId="Heading1Char">
    <w:name w:val="Heading 1 Char"/>
    <w:basedOn w:val="DefaultParagraphFont"/>
    <w:link w:val="Heading1"/>
    <w:rsid w:val="00890C54"/>
    <w:rPr>
      <w:rFonts w:asciiTheme="majorHAnsi" w:eastAsiaTheme="majorEastAsia" w:hAnsiTheme="majorHAnsi" w:cstheme="majorBidi"/>
      <w:b/>
      <w:color w:val="FFFFFF" w:themeColor="background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90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0C54"/>
    <w:rPr>
      <w:color w:val="0563C1" w:themeColor="hyperlink"/>
      <w:u w:val="single"/>
    </w:rPr>
  </w:style>
  <w:style w:type="table" w:styleId="TableGrid">
    <w:name w:val="Table Grid"/>
    <w:aliases w:val="Navy"/>
    <w:basedOn w:val="TableNormal"/>
    <w:rsid w:val="0089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90C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C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C5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C5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C5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C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C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C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harSectno">
    <w:name w:val="CharSectno"/>
    <w:rsid w:val="00B13FC9"/>
  </w:style>
  <w:style w:type="paragraph" w:customStyle="1" w:styleId="P1">
    <w:name w:val="P1"/>
    <w:aliases w:val="(a)"/>
    <w:basedOn w:val="Normal"/>
    <w:rsid w:val="00B13FC9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aliases w:val="(i)"/>
    <w:basedOn w:val="Normal"/>
    <w:rsid w:val="00B13FC9"/>
    <w:pPr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2">
    <w:name w:val="R2"/>
    <w:aliases w:val="(2)"/>
    <w:basedOn w:val="Normal"/>
    <w:rsid w:val="00B13FC9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">
    <w:name w:val="HR"/>
    <w:aliases w:val="Regulation Heading"/>
    <w:basedOn w:val="Normal"/>
    <w:next w:val="Normal"/>
    <w:rsid w:val="00B13FC9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Note">
    <w:name w:val="Note"/>
    <w:basedOn w:val="Normal"/>
    <w:rsid w:val="00B13FC9"/>
    <w:pPr>
      <w:keepLines/>
      <w:spacing w:before="120" w:after="0" w:line="221" w:lineRule="auto"/>
      <w:ind w:left="964" w:right="-1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ZP1">
    <w:name w:val="ZP1"/>
    <w:basedOn w:val="P1"/>
    <w:rsid w:val="00B13FC9"/>
    <w:pPr>
      <w:keepNext/>
      <w:keepLines/>
    </w:pPr>
  </w:style>
  <w:style w:type="paragraph" w:customStyle="1" w:styleId="ZR1">
    <w:name w:val="ZR1"/>
    <w:basedOn w:val="Normal"/>
    <w:rsid w:val="00B13FC9"/>
    <w:pPr>
      <w:keepNext/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R2">
    <w:name w:val="ZR2"/>
    <w:basedOn w:val="R2"/>
    <w:rsid w:val="00B13FC9"/>
    <w:pPr>
      <w:keepNext/>
    </w:pPr>
  </w:style>
  <w:style w:type="table" w:customStyle="1" w:styleId="Style1">
    <w:name w:val="Style1"/>
    <w:basedOn w:val="TableNormal"/>
    <w:uiPriority w:val="99"/>
    <w:rsid w:val="00B13FC9"/>
    <w:pPr>
      <w:spacing w:after="0" w:line="240" w:lineRule="auto"/>
    </w:pPr>
    <w:tblPr>
      <w:tblBorders>
        <w:top w:val="single" w:sz="8" w:space="0" w:color="F2F2F2" w:themeColor="background1" w:themeShade="F2"/>
        <w:left w:val="single" w:sz="8" w:space="0" w:color="F2F2F2" w:themeColor="background1" w:themeShade="F2"/>
        <w:bottom w:val="single" w:sz="8" w:space="0" w:color="F2F2F2" w:themeColor="background1" w:themeShade="F2"/>
        <w:right w:val="single" w:sz="8" w:space="0" w:color="F2F2F2" w:themeColor="background1" w:themeShade="F2"/>
        <w:insideH w:val="single" w:sz="8" w:space="0" w:color="F2F2F2" w:themeColor="background1" w:themeShade="F2"/>
        <w:insideV w:val="single" w:sz="8" w:space="0" w:color="F2F2F2" w:themeColor="background1" w:themeShade="F2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721FF"/>
    <w:rPr>
      <w:color w:val="954F72" w:themeColor="followedHyperlink"/>
      <w:u w:val="single"/>
    </w:rPr>
  </w:style>
  <w:style w:type="paragraph" w:customStyle="1" w:styleId="subsection">
    <w:name w:val="subsection"/>
    <w:basedOn w:val="Normal"/>
    <w:rsid w:val="00B9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B9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2">
    <w:name w:val="subsection2"/>
    <w:basedOn w:val="Normal"/>
    <w:rsid w:val="00B9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2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3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1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73B4"/>
    <w:pPr>
      <w:spacing w:after="0" w:line="240" w:lineRule="auto"/>
    </w:pPr>
  </w:style>
  <w:style w:type="character" w:customStyle="1" w:styleId="ui-provider">
    <w:name w:val="ui-provider"/>
    <w:basedOn w:val="DefaultParagraphFont"/>
    <w:rsid w:val="007C2A09"/>
  </w:style>
  <w:style w:type="paragraph" w:styleId="NormalWeb">
    <w:name w:val="Normal (Web)"/>
    <w:basedOn w:val="Normal"/>
    <w:uiPriority w:val="99"/>
    <w:unhideWhenUsed/>
    <w:rsid w:val="000C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434F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cument.Inspections@fedcourt.gov.au" TargetMode="External"/><Relationship Id="rId18" Type="http://schemas.openxmlformats.org/officeDocument/2006/relationships/hyperlink" Target="https://www.fedcourt.gov.au/law-and-practice/practice-documents/practice-notes/gpn-accs" TargetMode="External"/><Relationship Id="rId26" Type="http://schemas.openxmlformats.org/officeDocument/2006/relationships/hyperlink" Target="https://www.legislation.gov.au/Series/F2011L0155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fedcourt.gov.au/services/access-to-files-and-transcripts/court-documents/how-to-apply" TargetMode="External"/><Relationship Id="rId17" Type="http://schemas.openxmlformats.org/officeDocument/2006/relationships/hyperlink" Target="https://www.fedcourt.gov.au/law-and-practice/practice-documents/practice-notes/gpn-accs" TargetMode="External"/><Relationship Id="rId25" Type="http://schemas.openxmlformats.org/officeDocument/2006/relationships/image" Target="media/image5.png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fedcourt.gov.au/law-and-practice/practice-documents/practice-notes/gpn-accs" TargetMode="External"/><Relationship Id="rId20" Type="http://schemas.openxmlformats.org/officeDocument/2006/relationships/hyperlink" Target="https://www.fedcourt.gov.au/services/access-to-files-and-transcripts/court-documents/how-to-apply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dcourt.gov.au/forms-and-fees/court-fees/fees" TargetMode="External"/><Relationship Id="rId24" Type="http://schemas.openxmlformats.org/officeDocument/2006/relationships/hyperlink" Target="https://www.comcourts.gov.au/public/esearch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legislation.gov.au/Series/F2011L01551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://classic.austlii.edu.au/au/legis/cth/consol_reg/fcr2016307/s15.01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omcourts.gov.au/public/esearch" TargetMode="External"/><Relationship Id="rId19" Type="http://schemas.openxmlformats.org/officeDocument/2006/relationships/image" Target="media/image2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edcourt.gov.au/law-and-practice/practice-documents/practice-notes/gpn-accs" TargetMode="External"/><Relationship Id="rId14" Type="http://schemas.openxmlformats.org/officeDocument/2006/relationships/hyperlink" Target="https://www.fedcourt.gov.au/law-and-practice/practice-documents/practice-notes/gpn-accs" TargetMode="External"/><Relationship Id="rId22" Type="http://schemas.openxmlformats.org/officeDocument/2006/relationships/hyperlink" Target="https://www.fedcourt.gov.au/forms-and-fees/court-fees/fees" TargetMode="External"/><Relationship Id="rId27" Type="http://schemas.openxmlformats.org/officeDocument/2006/relationships/image" Target="media/image6.pn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s://www.legislation.gov.au/Series/F2011L015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by non-party for access to court documents (Form)</dc:title>
  <dc:subject/>
  <dc:creator/>
  <cp:keywords/>
  <dc:description/>
  <cp:lastModifiedBy/>
  <cp:revision>1</cp:revision>
  <dcterms:created xsi:type="dcterms:W3CDTF">2023-02-16T22:15:00Z</dcterms:created>
  <dcterms:modified xsi:type="dcterms:W3CDTF">2024-08-11T11:59:00Z</dcterms:modified>
</cp:coreProperties>
</file>